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514EB" w14:textId="63FDFCD0" w:rsidR="007933DD" w:rsidRPr="00E94596" w:rsidRDefault="007933DD" w:rsidP="00711265">
      <w:pPr>
        <w:spacing w:line="360" w:lineRule="auto"/>
        <w:jc w:val="center"/>
        <w:rPr>
          <w:rFonts w:ascii="Calibri" w:hAnsi="Calibri" w:cs="Calibri"/>
          <w:b/>
          <w:bCs/>
          <w:w w:val="95"/>
          <w:sz w:val="24"/>
          <w:szCs w:val="24"/>
        </w:rPr>
      </w:pPr>
      <w:r w:rsidRPr="00E94596">
        <w:rPr>
          <w:rFonts w:ascii="Calibri" w:hAnsi="Calibri" w:cs="Calibri"/>
          <w:noProof/>
          <w:sz w:val="24"/>
          <w:szCs w:val="24"/>
        </w:rPr>
        <w:drawing>
          <wp:inline distT="0" distB="0" distL="0" distR="0" wp14:anchorId="7781F8DC" wp14:editId="21D8A5B6">
            <wp:extent cx="1857375" cy="762000"/>
            <wp:effectExtent l="0" t="0" r="0" b="0"/>
            <wp:docPr id="854689720"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89720"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F706519" w14:textId="77777777" w:rsidR="007933DD" w:rsidRPr="00E94596" w:rsidRDefault="007933DD" w:rsidP="00711265">
      <w:pPr>
        <w:spacing w:line="360" w:lineRule="auto"/>
        <w:rPr>
          <w:rFonts w:ascii="Calibri" w:hAnsi="Calibri" w:cs="Calibri"/>
          <w:sz w:val="24"/>
          <w:szCs w:val="24"/>
        </w:rPr>
      </w:pPr>
    </w:p>
    <w:p w14:paraId="35E32EDF" w14:textId="77777777" w:rsidR="007933DD" w:rsidRPr="00E94596" w:rsidRDefault="007933DD" w:rsidP="00711265">
      <w:pPr>
        <w:spacing w:line="360" w:lineRule="auto"/>
        <w:rPr>
          <w:rFonts w:ascii="Calibri" w:hAnsi="Calibri" w:cs="Calibri"/>
          <w:sz w:val="24"/>
          <w:szCs w:val="24"/>
        </w:rPr>
      </w:pPr>
    </w:p>
    <w:p w14:paraId="678A0317" w14:textId="77777777" w:rsidR="007933DD" w:rsidRPr="00E94596" w:rsidRDefault="007933DD" w:rsidP="00711265">
      <w:pPr>
        <w:spacing w:line="360" w:lineRule="auto"/>
        <w:rPr>
          <w:rFonts w:ascii="Calibri" w:hAnsi="Calibri" w:cs="Calibri"/>
          <w:sz w:val="28"/>
          <w:szCs w:val="28"/>
        </w:rPr>
      </w:pPr>
    </w:p>
    <w:p w14:paraId="34A580A4" w14:textId="669A0016" w:rsidR="007933DD" w:rsidRPr="00E94596" w:rsidRDefault="00CB5380" w:rsidP="00711265">
      <w:pPr>
        <w:spacing w:line="360" w:lineRule="auto"/>
        <w:jc w:val="center"/>
        <w:rPr>
          <w:rFonts w:ascii="Calibri" w:hAnsi="Calibri" w:cs="Calibri"/>
          <w:sz w:val="28"/>
          <w:szCs w:val="28"/>
        </w:rPr>
      </w:pPr>
      <w:r w:rsidRPr="00E94596">
        <w:rPr>
          <w:rFonts w:ascii="Calibri" w:hAnsi="Calibri" w:cs="Calibri"/>
          <w:sz w:val="28"/>
          <w:szCs w:val="28"/>
        </w:rPr>
        <w:t>“Prize Her Highly and She Will Exalt You”: Lady Wisdom as the Ideal Wife in Proverbs and Ben Sira</w:t>
      </w:r>
    </w:p>
    <w:p w14:paraId="4C44F403" w14:textId="77777777" w:rsidR="007933DD" w:rsidRPr="00E94596" w:rsidRDefault="007933DD" w:rsidP="00711265">
      <w:pPr>
        <w:spacing w:line="360" w:lineRule="auto"/>
        <w:jc w:val="center"/>
        <w:rPr>
          <w:rFonts w:ascii="Calibri" w:hAnsi="Calibri" w:cs="Calibri"/>
          <w:sz w:val="24"/>
          <w:szCs w:val="24"/>
        </w:rPr>
      </w:pPr>
    </w:p>
    <w:p w14:paraId="0C51E82A" w14:textId="77777777" w:rsidR="007933DD" w:rsidRPr="00E94596" w:rsidRDefault="007933DD" w:rsidP="00711265">
      <w:pPr>
        <w:spacing w:line="360" w:lineRule="auto"/>
        <w:jc w:val="center"/>
        <w:rPr>
          <w:rFonts w:ascii="Calibri" w:hAnsi="Calibri" w:cs="Calibri"/>
          <w:sz w:val="24"/>
          <w:szCs w:val="24"/>
        </w:rPr>
      </w:pPr>
    </w:p>
    <w:p w14:paraId="3D445B44" w14:textId="77777777" w:rsidR="007933DD" w:rsidRPr="00E94596" w:rsidRDefault="007933DD" w:rsidP="00711265">
      <w:pPr>
        <w:spacing w:line="360" w:lineRule="auto"/>
        <w:jc w:val="center"/>
        <w:rPr>
          <w:rFonts w:ascii="Calibri" w:hAnsi="Calibri" w:cs="Calibri"/>
          <w:sz w:val="24"/>
          <w:szCs w:val="24"/>
        </w:rPr>
      </w:pPr>
    </w:p>
    <w:p w14:paraId="026E088A" w14:textId="77777777" w:rsidR="007933DD" w:rsidRPr="00E94596" w:rsidRDefault="007933DD" w:rsidP="00711265">
      <w:pPr>
        <w:spacing w:line="360" w:lineRule="auto"/>
        <w:jc w:val="center"/>
        <w:rPr>
          <w:rFonts w:ascii="Calibri" w:hAnsi="Calibri" w:cs="Calibri"/>
          <w:sz w:val="24"/>
          <w:szCs w:val="24"/>
        </w:rPr>
      </w:pPr>
    </w:p>
    <w:p w14:paraId="524A3886" w14:textId="6716C7CD" w:rsidR="007933DD" w:rsidRPr="00E94596" w:rsidRDefault="00CB5380" w:rsidP="00711265">
      <w:pPr>
        <w:spacing w:line="360" w:lineRule="auto"/>
        <w:jc w:val="center"/>
        <w:rPr>
          <w:rFonts w:ascii="Calibri" w:hAnsi="Calibri" w:cs="Calibri"/>
          <w:sz w:val="24"/>
          <w:szCs w:val="24"/>
        </w:rPr>
      </w:pPr>
      <w:r w:rsidRPr="00E94596">
        <w:rPr>
          <w:rFonts w:ascii="Calibri" w:hAnsi="Calibri" w:cs="Calibri"/>
          <w:sz w:val="24"/>
          <w:szCs w:val="24"/>
        </w:rPr>
        <w:t>Neve Pule 2219959</w:t>
      </w:r>
    </w:p>
    <w:p w14:paraId="046754D6" w14:textId="77777777" w:rsidR="007933DD" w:rsidRPr="00E94596" w:rsidRDefault="007933DD" w:rsidP="00711265">
      <w:pPr>
        <w:spacing w:line="360" w:lineRule="auto"/>
        <w:jc w:val="center"/>
        <w:rPr>
          <w:rFonts w:ascii="Calibri" w:hAnsi="Calibri" w:cs="Calibri"/>
          <w:sz w:val="24"/>
          <w:szCs w:val="24"/>
        </w:rPr>
      </w:pPr>
    </w:p>
    <w:p w14:paraId="0B2E4C4B" w14:textId="77777777" w:rsidR="007933DD" w:rsidRPr="00E94596" w:rsidRDefault="007933DD" w:rsidP="00711265">
      <w:pPr>
        <w:spacing w:line="360" w:lineRule="auto"/>
        <w:jc w:val="center"/>
        <w:rPr>
          <w:rFonts w:ascii="Calibri" w:hAnsi="Calibri" w:cs="Calibri"/>
          <w:sz w:val="24"/>
          <w:szCs w:val="24"/>
        </w:rPr>
      </w:pPr>
    </w:p>
    <w:p w14:paraId="0A3195B8" w14:textId="7D7D068F"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 xml:space="preserve">Supervised by: </w:t>
      </w:r>
      <w:r w:rsidR="00CB5380" w:rsidRPr="00E94596">
        <w:rPr>
          <w:rFonts w:ascii="Calibri" w:hAnsi="Calibri" w:cs="Calibri"/>
          <w:sz w:val="24"/>
          <w:szCs w:val="24"/>
        </w:rPr>
        <w:t>Dr Jessica Keady</w:t>
      </w:r>
    </w:p>
    <w:p w14:paraId="2B49575D" w14:textId="77777777" w:rsidR="007933DD" w:rsidRPr="00E94596" w:rsidRDefault="007933DD" w:rsidP="00711265">
      <w:pPr>
        <w:spacing w:line="360" w:lineRule="auto"/>
        <w:jc w:val="center"/>
        <w:rPr>
          <w:rFonts w:ascii="Calibri" w:hAnsi="Calibri" w:cs="Calibri"/>
          <w:sz w:val="24"/>
          <w:szCs w:val="24"/>
        </w:rPr>
      </w:pPr>
    </w:p>
    <w:p w14:paraId="73561B8B" w14:textId="77777777" w:rsidR="007933DD" w:rsidRPr="00E94596" w:rsidRDefault="007933DD" w:rsidP="00A17C65">
      <w:pPr>
        <w:spacing w:line="360" w:lineRule="auto"/>
        <w:rPr>
          <w:rFonts w:ascii="Calibri" w:hAnsi="Calibri" w:cs="Calibri"/>
          <w:sz w:val="24"/>
          <w:szCs w:val="24"/>
        </w:rPr>
      </w:pPr>
    </w:p>
    <w:p w14:paraId="496B9503" w14:textId="77777777" w:rsidR="007933DD" w:rsidRPr="00E94596" w:rsidRDefault="007933DD" w:rsidP="00711265">
      <w:pPr>
        <w:spacing w:line="360" w:lineRule="auto"/>
        <w:jc w:val="center"/>
        <w:rPr>
          <w:rFonts w:ascii="Calibri" w:hAnsi="Calibri" w:cs="Calibri"/>
          <w:sz w:val="24"/>
          <w:szCs w:val="24"/>
        </w:rPr>
      </w:pPr>
    </w:p>
    <w:p w14:paraId="158D483F" w14:textId="13ADB256"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 xml:space="preserve">Submitted in partial fulfilment for the award of the degree of </w:t>
      </w:r>
      <w:r w:rsidR="00CB5380" w:rsidRPr="00E94596">
        <w:rPr>
          <w:rFonts w:ascii="Calibri" w:hAnsi="Calibri" w:cs="Calibri"/>
          <w:sz w:val="24"/>
          <w:szCs w:val="24"/>
        </w:rPr>
        <w:t>BA Bible and Theology</w:t>
      </w:r>
    </w:p>
    <w:p w14:paraId="681964B6" w14:textId="77777777" w:rsidR="007933DD" w:rsidRPr="00E94596" w:rsidRDefault="007933DD" w:rsidP="00711265">
      <w:pPr>
        <w:spacing w:line="360" w:lineRule="auto"/>
        <w:jc w:val="center"/>
        <w:rPr>
          <w:rFonts w:ascii="Calibri" w:hAnsi="Calibri" w:cs="Calibri"/>
          <w:sz w:val="24"/>
          <w:szCs w:val="24"/>
        </w:rPr>
      </w:pPr>
    </w:p>
    <w:p w14:paraId="27067C8D" w14:textId="347CCFC6"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University of Wales Trinity Saint Davi</w:t>
      </w:r>
      <w:r w:rsidR="00711265" w:rsidRPr="00E94596">
        <w:rPr>
          <w:rFonts w:ascii="Calibri" w:hAnsi="Calibri" w:cs="Calibri"/>
          <w:sz w:val="24"/>
          <w:szCs w:val="24"/>
        </w:rPr>
        <w:t>d</w:t>
      </w:r>
    </w:p>
    <w:p w14:paraId="3EE4E3B2" w14:textId="77777777" w:rsidR="007933DD" w:rsidRPr="00E94596" w:rsidRDefault="007933DD" w:rsidP="00711265">
      <w:pPr>
        <w:spacing w:line="360" w:lineRule="auto"/>
        <w:jc w:val="center"/>
        <w:rPr>
          <w:rFonts w:ascii="Calibri" w:hAnsi="Calibri" w:cs="Calibri"/>
          <w:sz w:val="24"/>
          <w:szCs w:val="24"/>
        </w:rPr>
      </w:pPr>
    </w:p>
    <w:p w14:paraId="3D55DDFE" w14:textId="122866A6" w:rsidR="00711265"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202</w:t>
      </w:r>
      <w:r w:rsidR="00CB5380" w:rsidRPr="00E94596">
        <w:rPr>
          <w:rFonts w:ascii="Calibri" w:hAnsi="Calibri" w:cs="Calibri"/>
          <w:sz w:val="24"/>
          <w:szCs w:val="24"/>
        </w:rPr>
        <w:t>5</w:t>
      </w:r>
    </w:p>
    <w:p w14:paraId="2B45F397" w14:textId="0D535887" w:rsidR="00B90914" w:rsidRPr="00E94596" w:rsidRDefault="00367EA6" w:rsidP="00367EA6">
      <w:pPr>
        <w:pStyle w:val="Heading1"/>
        <w:rPr>
          <w:rFonts w:ascii="Calibri" w:hAnsi="Calibri" w:cs="Calibri"/>
        </w:rPr>
      </w:pPr>
      <w:bookmarkStart w:id="0" w:name="_Toc195875628"/>
      <w:r w:rsidRPr="00E94596">
        <w:rPr>
          <w:rFonts w:ascii="Calibri" w:hAnsi="Calibri" w:cs="Calibri"/>
        </w:rPr>
        <w:lastRenderedPageBreak/>
        <w:t>Acknowledgements</w:t>
      </w:r>
      <w:bookmarkEnd w:id="0"/>
    </w:p>
    <w:p w14:paraId="4734B1E3" w14:textId="77777777" w:rsidR="00F31F73" w:rsidRPr="00E94596" w:rsidRDefault="009B2398" w:rsidP="009B2398">
      <w:pPr>
        <w:rPr>
          <w:rFonts w:ascii="Calibri" w:hAnsi="Calibri" w:cs="Calibri"/>
          <w:sz w:val="24"/>
          <w:szCs w:val="24"/>
        </w:rPr>
      </w:pPr>
      <w:r w:rsidRPr="00E94596">
        <w:rPr>
          <w:rFonts w:ascii="Calibri" w:hAnsi="Calibri" w:cs="Calibri"/>
          <w:sz w:val="24"/>
          <w:szCs w:val="24"/>
        </w:rPr>
        <w:t>This dissertation wouldn’t have been possible without support from many people.</w:t>
      </w:r>
    </w:p>
    <w:p w14:paraId="6754A66E" w14:textId="1503260E" w:rsidR="00493E42" w:rsidRPr="00E94596" w:rsidRDefault="00F31F73" w:rsidP="00493E42">
      <w:pPr>
        <w:rPr>
          <w:rFonts w:ascii="Calibri" w:hAnsi="Calibri" w:cs="Calibri"/>
          <w:sz w:val="24"/>
          <w:szCs w:val="24"/>
        </w:rPr>
      </w:pPr>
      <w:r w:rsidRPr="00E94596">
        <w:rPr>
          <w:rFonts w:ascii="Calibri" w:hAnsi="Calibri" w:cs="Calibri"/>
          <w:sz w:val="24"/>
          <w:szCs w:val="24"/>
        </w:rPr>
        <w:t>Thank you t</w:t>
      </w:r>
      <w:r w:rsidR="009B2398" w:rsidRPr="00E94596">
        <w:rPr>
          <w:rFonts w:ascii="Calibri" w:hAnsi="Calibri" w:cs="Calibri"/>
          <w:sz w:val="24"/>
          <w:szCs w:val="24"/>
        </w:rPr>
        <w:t>o my supervisor Dr Jessica Keady</w:t>
      </w:r>
      <w:r w:rsidRPr="00E94596">
        <w:rPr>
          <w:rFonts w:ascii="Calibri" w:hAnsi="Calibri" w:cs="Calibri"/>
          <w:sz w:val="24"/>
          <w:szCs w:val="24"/>
        </w:rPr>
        <w:t xml:space="preserve"> for</w:t>
      </w:r>
      <w:r w:rsidR="009B2398" w:rsidRPr="00E94596">
        <w:rPr>
          <w:rFonts w:ascii="Calibri" w:hAnsi="Calibri" w:cs="Calibri"/>
          <w:sz w:val="24"/>
          <w:szCs w:val="24"/>
        </w:rPr>
        <w:t xml:space="preserve"> </w:t>
      </w:r>
      <w:r w:rsidRPr="00E94596">
        <w:rPr>
          <w:rFonts w:ascii="Calibri" w:hAnsi="Calibri" w:cs="Calibri"/>
          <w:sz w:val="24"/>
          <w:szCs w:val="24"/>
        </w:rPr>
        <w:t xml:space="preserve">your help with this project, and for your support throughout my undergraduate </w:t>
      </w:r>
      <w:r w:rsidR="00493E42" w:rsidRPr="00E94596">
        <w:rPr>
          <w:rFonts w:ascii="Calibri" w:hAnsi="Calibri" w:cs="Calibri"/>
          <w:sz w:val="24"/>
          <w:szCs w:val="24"/>
        </w:rPr>
        <w:t xml:space="preserve">degree. </w:t>
      </w:r>
    </w:p>
    <w:p w14:paraId="55389CC1" w14:textId="4AE53716" w:rsidR="00FB0BF3" w:rsidRPr="00E94596" w:rsidRDefault="00FB0BF3" w:rsidP="00493E42">
      <w:pPr>
        <w:rPr>
          <w:rFonts w:ascii="Calibri" w:hAnsi="Calibri" w:cs="Calibri"/>
          <w:sz w:val="24"/>
          <w:szCs w:val="24"/>
        </w:rPr>
      </w:pPr>
      <w:r w:rsidRPr="00E94596">
        <w:rPr>
          <w:rFonts w:ascii="Calibri" w:hAnsi="Calibri" w:cs="Calibri"/>
          <w:sz w:val="24"/>
          <w:szCs w:val="24"/>
        </w:rPr>
        <w:t>Thank you to my girlfriend Beth, for</w:t>
      </w:r>
      <w:r w:rsidR="008F2072" w:rsidRPr="00E94596">
        <w:rPr>
          <w:rFonts w:ascii="Calibri" w:hAnsi="Calibri" w:cs="Calibri"/>
          <w:sz w:val="24"/>
          <w:szCs w:val="24"/>
        </w:rPr>
        <w:t xml:space="preserve"> being a place for solace when I’ve felt stressed throughout this </w:t>
      </w:r>
      <w:r w:rsidR="00305D8F" w:rsidRPr="00E94596">
        <w:rPr>
          <w:rFonts w:ascii="Calibri" w:hAnsi="Calibri" w:cs="Calibri"/>
          <w:sz w:val="24"/>
          <w:szCs w:val="24"/>
        </w:rPr>
        <w:t>whole process and</w:t>
      </w:r>
      <w:r w:rsidR="008F2072" w:rsidRPr="00E94596">
        <w:rPr>
          <w:rFonts w:ascii="Calibri" w:hAnsi="Calibri" w:cs="Calibri"/>
          <w:sz w:val="24"/>
          <w:szCs w:val="24"/>
        </w:rPr>
        <w:t xml:space="preserve"> reminding me over and over again that I am capable of </w:t>
      </w:r>
      <w:r w:rsidR="00305D8F" w:rsidRPr="00E94596">
        <w:rPr>
          <w:rFonts w:ascii="Calibri" w:hAnsi="Calibri" w:cs="Calibri"/>
          <w:sz w:val="24"/>
          <w:szCs w:val="24"/>
        </w:rPr>
        <w:t>anything I put my mind to.</w:t>
      </w:r>
    </w:p>
    <w:p w14:paraId="68D2FDC0" w14:textId="77777777" w:rsidR="00305D8F" w:rsidRPr="00E94596" w:rsidRDefault="00693486" w:rsidP="00C140A6">
      <w:pPr>
        <w:rPr>
          <w:rFonts w:ascii="Calibri" w:hAnsi="Calibri" w:cs="Calibri"/>
          <w:sz w:val="24"/>
          <w:szCs w:val="24"/>
        </w:rPr>
      </w:pPr>
      <w:r w:rsidRPr="00E94596">
        <w:rPr>
          <w:rFonts w:ascii="Calibri" w:hAnsi="Calibri" w:cs="Calibri"/>
          <w:sz w:val="24"/>
          <w:szCs w:val="24"/>
        </w:rPr>
        <w:t xml:space="preserve">Thank you to my parents, for your endless love and patience listening to me talk about my </w:t>
      </w:r>
      <w:r w:rsidR="007B44D2" w:rsidRPr="00E94596">
        <w:rPr>
          <w:rFonts w:ascii="Calibri" w:hAnsi="Calibri" w:cs="Calibri"/>
          <w:sz w:val="24"/>
          <w:szCs w:val="24"/>
        </w:rPr>
        <w:t xml:space="preserve">passions and encouraging my love for learning ever since I was young. </w:t>
      </w:r>
    </w:p>
    <w:p w14:paraId="45BBC97E" w14:textId="567F32F6" w:rsidR="00FB0BF3" w:rsidRPr="00E94596" w:rsidRDefault="00C140A6" w:rsidP="00C140A6">
      <w:pPr>
        <w:rPr>
          <w:rFonts w:ascii="Calibri" w:hAnsi="Calibri" w:cs="Calibri"/>
          <w:sz w:val="24"/>
          <w:szCs w:val="24"/>
        </w:rPr>
      </w:pPr>
      <w:r w:rsidRPr="00E94596">
        <w:rPr>
          <w:rFonts w:ascii="Calibri" w:hAnsi="Calibri" w:cs="Calibri"/>
          <w:sz w:val="24"/>
          <w:szCs w:val="24"/>
        </w:rPr>
        <w:t xml:space="preserve">Thank you to my brothers, for bringing laughter and fun times, and making sure I take breaks when I need them. </w:t>
      </w:r>
    </w:p>
    <w:p w14:paraId="2CB8D7FA" w14:textId="77E27552" w:rsidR="00C140A6" w:rsidRPr="00E94596" w:rsidRDefault="00C140A6" w:rsidP="00C140A6">
      <w:pPr>
        <w:rPr>
          <w:rFonts w:ascii="Calibri" w:hAnsi="Calibri" w:cs="Calibri"/>
          <w:sz w:val="24"/>
          <w:szCs w:val="24"/>
        </w:rPr>
      </w:pPr>
      <w:r w:rsidRPr="00E94596">
        <w:rPr>
          <w:rFonts w:ascii="Calibri" w:hAnsi="Calibri" w:cs="Calibri"/>
          <w:sz w:val="24"/>
          <w:szCs w:val="24"/>
        </w:rPr>
        <w:t xml:space="preserve">I couldn’t have done it without you all. </w:t>
      </w:r>
    </w:p>
    <w:p w14:paraId="23FB780C" w14:textId="77777777" w:rsidR="00B90914" w:rsidRPr="00E94596" w:rsidRDefault="00B90914" w:rsidP="00B90914">
      <w:pPr>
        <w:pStyle w:val="Heading1"/>
        <w:rPr>
          <w:rFonts w:ascii="Calibri" w:hAnsi="Calibri" w:cs="Calibri"/>
        </w:rPr>
      </w:pPr>
    </w:p>
    <w:p w14:paraId="0B228711" w14:textId="77777777" w:rsidR="00B90914" w:rsidRPr="00E94596" w:rsidRDefault="00B90914" w:rsidP="00B90914">
      <w:pPr>
        <w:pStyle w:val="Heading1"/>
        <w:rPr>
          <w:rFonts w:ascii="Calibri" w:hAnsi="Calibri" w:cs="Calibri"/>
        </w:rPr>
      </w:pPr>
    </w:p>
    <w:p w14:paraId="27E20511" w14:textId="77777777" w:rsidR="00B90914" w:rsidRPr="00E94596" w:rsidRDefault="00B90914" w:rsidP="00B90914">
      <w:pPr>
        <w:pStyle w:val="Heading1"/>
        <w:rPr>
          <w:rFonts w:ascii="Calibri" w:hAnsi="Calibri" w:cs="Calibri"/>
        </w:rPr>
      </w:pPr>
    </w:p>
    <w:p w14:paraId="205B185D" w14:textId="77777777" w:rsidR="00B90914" w:rsidRPr="00E94596" w:rsidRDefault="00B90914" w:rsidP="00B90914">
      <w:pPr>
        <w:pStyle w:val="Heading1"/>
        <w:rPr>
          <w:rFonts w:ascii="Calibri" w:hAnsi="Calibri" w:cs="Calibri"/>
        </w:rPr>
      </w:pPr>
    </w:p>
    <w:p w14:paraId="78FA4216" w14:textId="77777777" w:rsidR="00B90914" w:rsidRPr="00E94596" w:rsidRDefault="00B90914" w:rsidP="00B90914">
      <w:pPr>
        <w:pStyle w:val="Heading1"/>
        <w:rPr>
          <w:rFonts w:ascii="Calibri" w:hAnsi="Calibri" w:cs="Calibri"/>
        </w:rPr>
      </w:pPr>
    </w:p>
    <w:p w14:paraId="7BA15D85" w14:textId="77777777" w:rsidR="00E94596" w:rsidRPr="00E94596" w:rsidRDefault="00E94596" w:rsidP="005A762E">
      <w:pPr>
        <w:pStyle w:val="Heading1"/>
        <w:rPr>
          <w:rFonts w:ascii="Calibri" w:hAnsi="Calibri" w:cs="Calibri"/>
        </w:rPr>
      </w:pPr>
    </w:p>
    <w:p w14:paraId="6D425808" w14:textId="77777777" w:rsidR="00E94596" w:rsidRPr="00E94596" w:rsidRDefault="00E94596" w:rsidP="005A762E">
      <w:pPr>
        <w:pStyle w:val="Heading1"/>
        <w:rPr>
          <w:rFonts w:ascii="Calibri" w:hAnsi="Calibri" w:cs="Calibri"/>
        </w:rPr>
      </w:pPr>
    </w:p>
    <w:p w14:paraId="7273D59D" w14:textId="77777777" w:rsidR="00E94596" w:rsidRPr="00E94596" w:rsidRDefault="00E94596" w:rsidP="005A762E">
      <w:pPr>
        <w:pStyle w:val="Heading1"/>
        <w:rPr>
          <w:rFonts w:ascii="Calibri" w:hAnsi="Calibri" w:cs="Calibri"/>
        </w:rPr>
      </w:pPr>
    </w:p>
    <w:p w14:paraId="5F2EFFBD" w14:textId="77777777" w:rsidR="00E94596" w:rsidRPr="00E94596" w:rsidRDefault="00E94596" w:rsidP="00E94596">
      <w:pPr>
        <w:rPr>
          <w:rFonts w:ascii="Calibri" w:hAnsi="Calibri" w:cs="Calibri"/>
        </w:rPr>
      </w:pPr>
    </w:p>
    <w:p w14:paraId="470AD90C" w14:textId="77777777" w:rsidR="00E94596" w:rsidRPr="00E94596" w:rsidRDefault="00E94596" w:rsidP="00E94596">
      <w:pPr>
        <w:rPr>
          <w:rFonts w:ascii="Calibri" w:hAnsi="Calibri" w:cs="Calibri"/>
        </w:rPr>
      </w:pPr>
    </w:p>
    <w:p w14:paraId="4E6D920F" w14:textId="77777777" w:rsidR="00E94596" w:rsidRPr="00E94596" w:rsidRDefault="00E94596" w:rsidP="00E94596">
      <w:pPr>
        <w:rPr>
          <w:rFonts w:ascii="Calibri" w:hAnsi="Calibri" w:cs="Calibri"/>
        </w:rPr>
      </w:pPr>
    </w:p>
    <w:p w14:paraId="696F837D" w14:textId="60D6CC96" w:rsidR="00B90914" w:rsidRPr="00E94596" w:rsidRDefault="00385C4C" w:rsidP="005A762E">
      <w:pPr>
        <w:pStyle w:val="Heading1"/>
        <w:rPr>
          <w:rFonts w:ascii="Calibri" w:hAnsi="Calibri" w:cs="Calibri"/>
        </w:rPr>
      </w:pPr>
      <w:bookmarkStart w:id="1" w:name="_Toc195875629"/>
      <w:r w:rsidRPr="00E94596">
        <w:rPr>
          <w:rFonts w:ascii="Calibri" w:hAnsi="Calibri" w:cs="Calibri"/>
        </w:rPr>
        <w:lastRenderedPageBreak/>
        <w:t>Contents</w:t>
      </w:r>
      <w:bookmarkEnd w:id="1"/>
    </w:p>
    <w:sdt>
      <w:sdtPr>
        <w:rPr>
          <w:rFonts w:ascii="Calibri" w:eastAsiaTheme="minorHAnsi" w:hAnsi="Calibri" w:cs="Calibri"/>
          <w:color w:val="auto"/>
          <w:kern w:val="2"/>
          <w:sz w:val="24"/>
          <w:szCs w:val="24"/>
          <w:lang w:val="en-GB"/>
          <w14:ligatures w14:val="standardContextual"/>
        </w:rPr>
        <w:id w:val="-646590656"/>
        <w:docPartObj>
          <w:docPartGallery w:val="Table of Contents"/>
          <w:docPartUnique/>
        </w:docPartObj>
      </w:sdtPr>
      <w:sdtEndPr>
        <w:rPr>
          <w:b/>
          <w:bCs/>
          <w:noProof/>
        </w:rPr>
      </w:sdtEndPr>
      <w:sdtContent>
        <w:p w14:paraId="5F1B8826" w14:textId="608FBA5B" w:rsidR="00B90914" w:rsidRPr="00E94596" w:rsidRDefault="00B90914" w:rsidP="00A05E20">
          <w:pPr>
            <w:pStyle w:val="TOCHeading"/>
            <w:rPr>
              <w:rFonts w:ascii="Calibri" w:eastAsiaTheme="minorHAnsi" w:hAnsi="Calibri" w:cs="Calibri"/>
              <w:color w:val="auto"/>
              <w:kern w:val="2"/>
              <w:sz w:val="24"/>
              <w:szCs w:val="24"/>
              <w:lang w:val="en-GB"/>
              <w14:ligatures w14:val="standardContextual"/>
            </w:rPr>
          </w:pPr>
        </w:p>
        <w:p w14:paraId="636A2130" w14:textId="2AD5FDDD" w:rsidR="0095556C" w:rsidRPr="0095556C" w:rsidRDefault="00EA3465">
          <w:pPr>
            <w:pStyle w:val="TOC1"/>
            <w:tabs>
              <w:tab w:val="right" w:leader="dot" w:pos="9016"/>
            </w:tabs>
            <w:rPr>
              <w:rFonts w:cstheme="minorBidi"/>
              <w:noProof/>
              <w:kern w:val="2"/>
              <w:sz w:val="28"/>
              <w:szCs w:val="28"/>
              <w:lang w:val="en-GB" w:eastAsia="en-GB" w:bidi="he-IL"/>
              <w14:ligatures w14:val="standardContextual"/>
            </w:rPr>
          </w:pPr>
          <w:r w:rsidRPr="00E94596">
            <w:rPr>
              <w:rFonts w:ascii="Calibri" w:hAnsi="Calibri" w:cs="Calibri"/>
              <w:sz w:val="32"/>
              <w:szCs w:val="32"/>
            </w:rPr>
            <w:fldChar w:fldCharType="begin"/>
          </w:r>
          <w:r w:rsidRPr="00E94596">
            <w:rPr>
              <w:rFonts w:ascii="Calibri" w:hAnsi="Calibri" w:cs="Calibri"/>
              <w:sz w:val="32"/>
              <w:szCs w:val="32"/>
            </w:rPr>
            <w:instrText xml:space="preserve"> TOC \o "1-3" \h \z \u </w:instrText>
          </w:r>
          <w:r w:rsidRPr="00E94596">
            <w:rPr>
              <w:rFonts w:ascii="Calibri" w:hAnsi="Calibri" w:cs="Calibri"/>
              <w:sz w:val="32"/>
              <w:szCs w:val="32"/>
            </w:rPr>
            <w:fldChar w:fldCharType="separate"/>
          </w:r>
          <w:hyperlink w:anchor="_Toc195875628" w:history="1">
            <w:r w:rsidR="0095556C" w:rsidRPr="0095556C">
              <w:rPr>
                <w:rStyle w:val="Hyperlink"/>
                <w:rFonts w:ascii="Calibri" w:hAnsi="Calibri" w:cs="Calibri"/>
                <w:noProof/>
                <w:sz w:val="24"/>
                <w:szCs w:val="24"/>
              </w:rPr>
              <w:t>Acknowledgements</w:t>
            </w:r>
            <w:r w:rsidR="0095556C" w:rsidRPr="0095556C">
              <w:rPr>
                <w:noProof/>
                <w:webHidden/>
                <w:sz w:val="24"/>
                <w:szCs w:val="24"/>
              </w:rPr>
              <w:tab/>
            </w:r>
            <w:r w:rsidR="0095556C" w:rsidRPr="0095556C">
              <w:rPr>
                <w:noProof/>
                <w:webHidden/>
                <w:sz w:val="24"/>
                <w:szCs w:val="24"/>
              </w:rPr>
              <w:fldChar w:fldCharType="begin"/>
            </w:r>
            <w:r w:rsidR="0095556C" w:rsidRPr="0095556C">
              <w:rPr>
                <w:noProof/>
                <w:webHidden/>
                <w:sz w:val="24"/>
                <w:szCs w:val="24"/>
              </w:rPr>
              <w:instrText xml:space="preserve"> PAGEREF _Toc195875628 \h </w:instrText>
            </w:r>
            <w:r w:rsidR="0095556C" w:rsidRPr="0095556C">
              <w:rPr>
                <w:noProof/>
                <w:webHidden/>
                <w:sz w:val="24"/>
                <w:szCs w:val="24"/>
              </w:rPr>
            </w:r>
            <w:r w:rsidR="0095556C" w:rsidRPr="0095556C">
              <w:rPr>
                <w:noProof/>
                <w:webHidden/>
                <w:sz w:val="24"/>
                <w:szCs w:val="24"/>
              </w:rPr>
              <w:fldChar w:fldCharType="separate"/>
            </w:r>
            <w:r w:rsidR="00344B09">
              <w:rPr>
                <w:noProof/>
                <w:webHidden/>
                <w:sz w:val="24"/>
                <w:szCs w:val="24"/>
              </w:rPr>
              <w:t>2</w:t>
            </w:r>
            <w:r w:rsidR="0095556C" w:rsidRPr="0095556C">
              <w:rPr>
                <w:noProof/>
                <w:webHidden/>
                <w:sz w:val="24"/>
                <w:szCs w:val="24"/>
              </w:rPr>
              <w:fldChar w:fldCharType="end"/>
            </w:r>
          </w:hyperlink>
        </w:p>
        <w:p w14:paraId="7988074D" w14:textId="316DA361"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29" w:history="1">
            <w:r w:rsidRPr="0095556C">
              <w:rPr>
                <w:rStyle w:val="Hyperlink"/>
                <w:rFonts w:ascii="Calibri" w:hAnsi="Calibri" w:cs="Calibri"/>
                <w:noProof/>
                <w:sz w:val="24"/>
                <w:szCs w:val="24"/>
              </w:rPr>
              <w:t>Contents</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_Toc195875629 \h </w:instrText>
            </w:r>
            <w:r w:rsidRPr="0095556C">
              <w:rPr>
                <w:noProof/>
                <w:webHidden/>
                <w:sz w:val="24"/>
                <w:szCs w:val="24"/>
              </w:rPr>
            </w:r>
            <w:r w:rsidRPr="0095556C">
              <w:rPr>
                <w:noProof/>
                <w:webHidden/>
                <w:sz w:val="24"/>
                <w:szCs w:val="24"/>
              </w:rPr>
              <w:fldChar w:fldCharType="separate"/>
            </w:r>
            <w:r w:rsidR="00344B09">
              <w:rPr>
                <w:noProof/>
                <w:webHidden/>
                <w:sz w:val="24"/>
                <w:szCs w:val="24"/>
              </w:rPr>
              <w:t>3</w:t>
            </w:r>
            <w:r w:rsidRPr="0095556C">
              <w:rPr>
                <w:noProof/>
                <w:webHidden/>
                <w:sz w:val="24"/>
                <w:szCs w:val="24"/>
              </w:rPr>
              <w:fldChar w:fldCharType="end"/>
            </w:r>
          </w:hyperlink>
        </w:p>
        <w:p w14:paraId="728CFF25" w14:textId="62154374"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0" w:history="1">
            <w:r w:rsidRPr="0095556C">
              <w:rPr>
                <w:rStyle w:val="Hyperlink"/>
                <w:rFonts w:ascii="Calibri" w:hAnsi="Calibri" w:cs="Calibri"/>
                <w:noProof/>
                <w:sz w:val="24"/>
                <w:szCs w:val="24"/>
              </w:rPr>
              <w:t>Abstract</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_Toc195875630 \h </w:instrText>
            </w:r>
            <w:r w:rsidRPr="0095556C">
              <w:rPr>
                <w:noProof/>
                <w:webHidden/>
                <w:sz w:val="24"/>
                <w:szCs w:val="24"/>
              </w:rPr>
            </w:r>
            <w:r w:rsidRPr="0095556C">
              <w:rPr>
                <w:noProof/>
                <w:webHidden/>
                <w:sz w:val="24"/>
                <w:szCs w:val="24"/>
              </w:rPr>
              <w:fldChar w:fldCharType="separate"/>
            </w:r>
            <w:r w:rsidR="00344B09">
              <w:rPr>
                <w:noProof/>
                <w:webHidden/>
                <w:sz w:val="24"/>
                <w:szCs w:val="24"/>
              </w:rPr>
              <w:t>4</w:t>
            </w:r>
            <w:r w:rsidRPr="0095556C">
              <w:rPr>
                <w:noProof/>
                <w:webHidden/>
                <w:sz w:val="24"/>
                <w:szCs w:val="24"/>
              </w:rPr>
              <w:fldChar w:fldCharType="end"/>
            </w:r>
          </w:hyperlink>
        </w:p>
        <w:p w14:paraId="2625171E" w14:textId="267F9D2E"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1" w:history="1">
            <w:r w:rsidRPr="0095556C">
              <w:rPr>
                <w:rStyle w:val="Hyperlink"/>
                <w:rFonts w:ascii="Calibri" w:hAnsi="Calibri" w:cs="Calibri"/>
                <w:noProof/>
                <w:sz w:val="24"/>
                <w:szCs w:val="24"/>
              </w:rPr>
              <w:t>Introduction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_Toc195875631 \h </w:instrText>
            </w:r>
            <w:r w:rsidRPr="0095556C">
              <w:rPr>
                <w:noProof/>
                <w:webHidden/>
                <w:sz w:val="24"/>
                <w:szCs w:val="24"/>
              </w:rPr>
            </w:r>
            <w:r w:rsidRPr="0095556C">
              <w:rPr>
                <w:noProof/>
                <w:webHidden/>
                <w:sz w:val="24"/>
                <w:szCs w:val="24"/>
              </w:rPr>
              <w:fldChar w:fldCharType="separate"/>
            </w:r>
            <w:r w:rsidR="00344B09">
              <w:rPr>
                <w:noProof/>
                <w:webHidden/>
                <w:sz w:val="24"/>
                <w:szCs w:val="24"/>
              </w:rPr>
              <w:t>5</w:t>
            </w:r>
            <w:r w:rsidRPr="0095556C">
              <w:rPr>
                <w:noProof/>
                <w:webHidden/>
                <w:sz w:val="24"/>
                <w:szCs w:val="24"/>
              </w:rPr>
              <w:fldChar w:fldCharType="end"/>
            </w:r>
          </w:hyperlink>
        </w:p>
        <w:p w14:paraId="77F4AA4B" w14:textId="739D3DE4"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2" w:history="1">
            <w:r w:rsidRPr="0095556C">
              <w:rPr>
                <w:rStyle w:val="Hyperlink"/>
                <w:rFonts w:ascii="Calibri" w:hAnsi="Calibri" w:cs="Calibri"/>
                <w:noProof/>
                <w:sz w:val="24"/>
                <w:szCs w:val="24"/>
              </w:rPr>
              <w:t>Chapter 1: Lady Wisdom as the Ideal Wife</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_Toc195875632 \h </w:instrText>
            </w:r>
            <w:r w:rsidRPr="0095556C">
              <w:rPr>
                <w:noProof/>
                <w:webHidden/>
                <w:sz w:val="24"/>
                <w:szCs w:val="24"/>
              </w:rPr>
            </w:r>
            <w:r w:rsidRPr="0095556C">
              <w:rPr>
                <w:noProof/>
                <w:webHidden/>
                <w:sz w:val="24"/>
                <w:szCs w:val="24"/>
              </w:rPr>
              <w:fldChar w:fldCharType="separate"/>
            </w:r>
            <w:r w:rsidR="00344B09">
              <w:rPr>
                <w:noProof/>
                <w:webHidden/>
                <w:sz w:val="24"/>
                <w:szCs w:val="24"/>
              </w:rPr>
              <w:t>8</w:t>
            </w:r>
            <w:r w:rsidRPr="0095556C">
              <w:rPr>
                <w:noProof/>
                <w:webHidden/>
                <w:sz w:val="24"/>
                <w:szCs w:val="24"/>
              </w:rPr>
              <w:fldChar w:fldCharType="end"/>
            </w:r>
          </w:hyperlink>
        </w:p>
        <w:p w14:paraId="0035FBA2" w14:textId="5AFF496D"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3" w:history="1">
            <w:r w:rsidRPr="0095556C">
              <w:rPr>
                <w:rStyle w:val="Hyperlink"/>
                <w:rFonts w:ascii="Calibri" w:hAnsi="Calibri" w:cs="Calibri"/>
                <w:noProof/>
                <w:sz w:val="24"/>
                <w:szCs w:val="24"/>
              </w:rPr>
              <w:t>Chapter 2: Lady Wisdom and the Strange Woman as alternate choices for young men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_Toc195875633 \h </w:instrText>
            </w:r>
            <w:r w:rsidRPr="0095556C">
              <w:rPr>
                <w:noProof/>
                <w:webHidden/>
                <w:sz w:val="24"/>
                <w:szCs w:val="24"/>
              </w:rPr>
            </w:r>
            <w:r w:rsidRPr="0095556C">
              <w:rPr>
                <w:noProof/>
                <w:webHidden/>
                <w:sz w:val="24"/>
                <w:szCs w:val="24"/>
              </w:rPr>
              <w:fldChar w:fldCharType="separate"/>
            </w:r>
            <w:r w:rsidR="00344B09">
              <w:rPr>
                <w:noProof/>
                <w:webHidden/>
                <w:sz w:val="24"/>
                <w:szCs w:val="24"/>
              </w:rPr>
              <w:t>20</w:t>
            </w:r>
            <w:r w:rsidRPr="0095556C">
              <w:rPr>
                <w:noProof/>
                <w:webHidden/>
                <w:sz w:val="24"/>
                <w:szCs w:val="24"/>
              </w:rPr>
              <w:fldChar w:fldCharType="end"/>
            </w:r>
          </w:hyperlink>
        </w:p>
        <w:p w14:paraId="3203170C" w14:textId="30B8884D"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4" w:history="1">
            <w:r w:rsidRPr="0095556C">
              <w:rPr>
                <w:rStyle w:val="Hyperlink"/>
                <w:rFonts w:ascii="Calibri" w:hAnsi="Calibri" w:cs="Calibri"/>
                <w:noProof/>
                <w:sz w:val="24"/>
                <w:szCs w:val="24"/>
              </w:rPr>
              <w:t>Chapter 3: Feminist Analysis of Lady Wisdom</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_Toc195875634 \h </w:instrText>
            </w:r>
            <w:r w:rsidRPr="0095556C">
              <w:rPr>
                <w:noProof/>
                <w:webHidden/>
                <w:sz w:val="24"/>
                <w:szCs w:val="24"/>
              </w:rPr>
            </w:r>
            <w:r w:rsidRPr="0095556C">
              <w:rPr>
                <w:noProof/>
                <w:webHidden/>
                <w:sz w:val="24"/>
                <w:szCs w:val="24"/>
              </w:rPr>
              <w:fldChar w:fldCharType="separate"/>
            </w:r>
            <w:r w:rsidR="00344B09">
              <w:rPr>
                <w:noProof/>
                <w:webHidden/>
                <w:sz w:val="24"/>
                <w:szCs w:val="24"/>
              </w:rPr>
              <w:t>29</w:t>
            </w:r>
            <w:r w:rsidRPr="0095556C">
              <w:rPr>
                <w:noProof/>
                <w:webHidden/>
                <w:sz w:val="24"/>
                <w:szCs w:val="24"/>
              </w:rPr>
              <w:fldChar w:fldCharType="end"/>
            </w:r>
          </w:hyperlink>
        </w:p>
        <w:p w14:paraId="3B97ECBF" w14:textId="0783368C"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5" w:history="1">
            <w:r w:rsidRPr="0095556C">
              <w:rPr>
                <w:rStyle w:val="Hyperlink"/>
                <w:rFonts w:ascii="Calibri" w:hAnsi="Calibri" w:cs="Calibri"/>
                <w:noProof/>
                <w:sz w:val="24"/>
                <w:szCs w:val="24"/>
              </w:rPr>
              <w:t>Conclusion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_Toc195875635 \h </w:instrText>
            </w:r>
            <w:r w:rsidRPr="0095556C">
              <w:rPr>
                <w:noProof/>
                <w:webHidden/>
                <w:sz w:val="24"/>
                <w:szCs w:val="24"/>
              </w:rPr>
            </w:r>
            <w:r w:rsidRPr="0095556C">
              <w:rPr>
                <w:noProof/>
                <w:webHidden/>
                <w:sz w:val="24"/>
                <w:szCs w:val="24"/>
              </w:rPr>
              <w:fldChar w:fldCharType="separate"/>
            </w:r>
            <w:r w:rsidR="00344B09">
              <w:rPr>
                <w:noProof/>
                <w:webHidden/>
                <w:sz w:val="24"/>
                <w:szCs w:val="24"/>
              </w:rPr>
              <w:t>37</w:t>
            </w:r>
            <w:r w:rsidRPr="0095556C">
              <w:rPr>
                <w:noProof/>
                <w:webHidden/>
                <w:sz w:val="24"/>
                <w:szCs w:val="24"/>
              </w:rPr>
              <w:fldChar w:fldCharType="end"/>
            </w:r>
          </w:hyperlink>
        </w:p>
        <w:p w14:paraId="4E6224E4" w14:textId="068E7F97"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6" w:history="1">
            <w:r w:rsidRPr="0095556C">
              <w:rPr>
                <w:rStyle w:val="Hyperlink"/>
                <w:rFonts w:ascii="Calibri" w:hAnsi="Calibri" w:cs="Calibri"/>
                <w:noProof/>
                <w:sz w:val="24"/>
                <w:szCs w:val="24"/>
              </w:rPr>
              <w:t>Bibliography</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_Toc195875636 \h </w:instrText>
            </w:r>
            <w:r w:rsidRPr="0095556C">
              <w:rPr>
                <w:noProof/>
                <w:webHidden/>
                <w:sz w:val="24"/>
                <w:szCs w:val="24"/>
              </w:rPr>
            </w:r>
            <w:r w:rsidRPr="0095556C">
              <w:rPr>
                <w:noProof/>
                <w:webHidden/>
                <w:sz w:val="24"/>
                <w:szCs w:val="24"/>
              </w:rPr>
              <w:fldChar w:fldCharType="separate"/>
            </w:r>
            <w:r w:rsidR="00344B09">
              <w:rPr>
                <w:noProof/>
                <w:webHidden/>
                <w:sz w:val="24"/>
                <w:szCs w:val="24"/>
              </w:rPr>
              <w:t>39</w:t>
            </w:r>
            <w:r w:rsidRPr="0095556C">
              <w:rPr>
                <w:noProof/>
                <w:webHidden/>
                <w:sz w:val="24"/>
                <w:szCs w:val="24"/>
              </w:rPr>
              <w:fldChar w:fldCharType="end"/>
            </w:r>
          </w:hyperlink>
        </w:p>
        <w:p w14:paraId="7D728642" w14:textId="262E1FF0" w:rsidR="00EA3465" w:rsidRPr="00E94596" w:rsidRDefault="00EA3465" w:rsidP="00867040">
          <w:pPr>
            <w:rPr>
              <w:rFonts w:ascii="Calibri" w:hAnsi="Calibri" w:cs="Calibri"/>
              <w:b/>
              <w:bCs/>
              <w:noProof/>
              <w:sz w:val="24"/>
              <w:szCs w:val="24"/>
            </w:rPr>
          </w:pPr>
          <w:r w:rsidRPr="00E94596">
            <w:rPr>
              <w:rFonts w:ascii="Calibri" w:hAnsi="Calibri" w:cs="Calibri"/>
              <w:b/>
              <w:bCs/>
              <w:noProof/>
              <w:sz w:val="32"/>
              <w:szCs w:val="32"/>
            </w:rPr>
            <w:fldChar w:fldCharType="end"/>
          </w:r>
        </w:p>
      </w:sdtContent>
    </w:sdt>
    <w:p w14:paraId="5684AD16" w14:textId="77777777" w:rsidR="00057CE5" w:rsidRPr="00E94596" w:rsidRDefault="00057CE5" w:rsidP="00711265">
      <w:pPr>
        <w:pStyle w:val="Heading1"/>
        <w:spacing w:line="360" w:lineRule="auto"/>
        <w:rPr>
          <w:rFonts w:ascii="Calibri" w:hAnsi="Calibri" w:cs="Calibri"/>
          <w:sz w:val="28"/>
          <w:szCs w:val="28"/>
        </w:rPr>
      </w:pPr>
    </w:p>
    <w:p w14:paraId="4DB73D28" w14:textId="77777777" w:rsidR="00057CE5" w:rsidRPr="00E94596" w:rsidRDefault="00057CE5" w:rsidP="00711265">
      <w:pPr>
        <w:pStyle w:val="Heading1"/>
        <w:spacing w:line="360" w:lineRule="auto"/>
        <w:rPr>
          <w:rFonts w:ascii="Calibri" w:hAnsi="Calibri" w:cs="Calibri"/>
          <w:sz w:val="24"/>
          <w:szCs w:val="24"/>
        </w:rPr>
      </w:pPr>
    </w:p>
    <w:p w14:paraId="0FDF692D" w14:textId="77777777" w:rsidR="00057CE5" w:rsidRPr="00E94596" w:rsidRDefault="00057CE5" w:rsidP="00711265">
      <w:pPr>
        <w:pStyle w:val="Heading1"/>
        <w:spacing w:line="360" w:lineRule="auto"/>
        <w:rPr>
          <w:rFonts w:ascii="Calibri" w:hAnsi="Calibri" w:cs="Calibri"/>
          <w:sz w:val="24"/>
          <w:szCs w:val="24"/>
        </w:rPr>
      </w:pPr>
    </w:p>
    <w:p w14:paraId="106CDFC9" w14:textId="77777777" w:rsidR="00057CE5" w:rsidRPr="00E94596" w:rsidRDefault="00057CE5" w:rsidP="00711265">
      <w:pPr>
        <w:pStyle w:val="Heading1"/>
        <w:spacing w:line="360" w:lineRule="auto"/>
        <w:rPr>
          <w:rFonts w:ascii="Calibri" w:hAnsi="Calibri" w:cs="Calibri"/>
          <w:sz w:val="24"/>
          <w:szCs w:val="24"/>
        </w:rPr>
      </w:pPr>
    </w:p>
    <w:p w14:paraId="0D7CC485" w14:textId="77777777" w:rsidR="007F1777" w:rsidRPr="00E94596" w:rsidRDefault="007F1777" w:rsidP="007F1777">
      <w:pPr>
        <w:rPr>
          <w:rFonts w:ascii="Calibri" w:hAnsi="Calibri" w:cs="Calibri"/>
        </w:rPr>
      </w:pPr>
    </w:p>
    <w:p w14:paraId="4008423A" w14:textId="77777777" w:rsidR="007F1777" w:rsidRPr="00E94596" w:rsidRDefault="007F1777" w:rsidP="007F1777">
      <w:pPr>
        <w:rPr>
          <w:rFonts w:ascii="Calibri" w:hAnsi="Calibri" w:cs="Calibri"/>
        </w:rPr>
      </w:pPr>
    </w:p>
    <w:p w14:paraId="3F3C4CC5" w14:textId="77777777" w:rsidR="007F1777" w:rsidRPr="00E94596" w:rsidRDefault="007F1777" w:rsidP="007F1777">
      <w:pPr>
        <w:rPr>
          <w:rFonts w:ascii="Calibri" w:hAnsi="Calibri" w:cs="Calibri"/>
        </w:rPr>
      </w:pPr>
    </w:p>
    <w:p w14:paraId="1FE0EF8B" w14:textId="77777777" w:rsidR="007F1777" w:rsidRPr="00E94596" w:rsidRDefault="007F1777" w:rsidP="007F1777">
      <w:pPr>
        <w:rPr>
          <w:rFonts w:ascii="Calibri" w:hAnsi="Calibri" w:cs="Calibri"/>
        </w:rPr>
      </w:pPr>
    </w:p>
    <w:p w14:paraId="5E3B9D4B" w14:textId="77777777" w:rsidR="007F1777" w:rsidRPr="00E94596" w:rsidRDefault="007F1777" w:rsidP="007F1777">
      <w:pPr>
        <w:rPr>
          <w:rFonts w:ascii="Calibri" w:hAnsi="Calibri" w:cs="Calibri"/>
        </w:rPr>
      </w:pPr>
    </w:p>
    <w:p w14:paraId="2B7B6070" w14:textId="77777777" w:rsidR="007F1777" w:rsidRPr="00E94596" w:rsidRDefault="007F1777" w:rsidP="007F1777">
      <w:pPr>
        <w:rPr>
          <w:rFonts w:ascii="Calibri" w:hAnsi="Calibri" w:cs="Calibri"/>
        </w:rPr>
      </w:pPr>
    </w:p>
    <w:p w14:paraId="3305D9DB" w14:textId="77777777" w:rsidR="007F1777" w:rsidRPr="00E94596" w:rsidRDefault="007F1777" w:rsidP="007F1777">
      <w:pPr>
        <w:rPr>
          <w:rFonts w:ascii="Calibri" w:hAnsi="Calibri" w:cs="Calibri"/>
        </w:rPr>
      </w:pPr>
    </w:p>
    <w:p w14:paraId="093AE23B" w14:textId="77777777" w:rsidR="007F1777" w:rsidRPr="00E94596" w:rsidRDefault="007F1777" w:rsidP="007F1777">
      <w:pPr>
        <w:rPr>
          <w:rFonts w:ascii="Calibri" w:hAnsi="Calibri" w:cs="Calibri"/>
        </w:rPr>
      </w:pPr>
    </w:p>
    <w:p w14:paraId="7BD658D2" w14:textId="77777777" w:rsidR="007F1777" w:rsidRPr="00E94596" w:rsidRDefault="007F1777" w:rsidP="007F1777">
      <w:pPr>
        <w:rPr>
          <w:rFonts w:ascii="Calibri" w:hAnsi="Calibri" w:cs="Calibri"/>
        </w:rPr>
      </w:pPr>
    </w:p>
    <w:p w14:paraId="38361E28" w14:textId="77777777" w:rsidR="007F1777" w:rsidRPr="00E94596" w:rsidRDefault="007F1777" w:rsidP="007F1777">
      <w:pPr>
        <w:rPr>
          <w:rFonts w:ascii="Calibri" w:hAnsi="Calibri" w:cs="Calibri"/>
        </w:rPr>
      </w:pPr>
    </w:p>
    <w:p w14:paraId="32AD5675" w14:textId="77777777" w:rsidR="007F1777" w:rsidRPr="00E94596" w:rsidRDefault="007F1777" w:rsidP="007F1777">
      <w:pPr>
        <w:rPr>
          <w:rFonts w:ascii="Calibri" w:hAnsi="Calibri" w:cs="Calibri"/>
        </w:rPr>
      </w:pPr>
    </w:p>
    <w:p w14:paraId="612425B9" w14:textId="77777777" w:rsidR="007F1777" w:rsidRPr="00E94596" w:rsidRDefault="007F1777" w:rsidP="007F1777">
      <w:pPr>
        <w:rPr>
          <w:rFonts w:ascii="Calibri" w:hAnsi="Calibri" w:cs="Calibri"/>
        </w:rPr>
      </w:pPr>
    </w:p>
    <w:p w14:paraId="0E13B4C0" w14:textId="4A42D2A2" w:rsidR="007F1777" w:rsidRPr="00E94596" w:rsidRDefault="007F1777" w:rsidP="007F1777">
      <w:pPr>
        <w:pStyle w:val="Heading1"/>
        <w:rPr>
          <w:rFonts w:ascii="Calibri" w:hAnsi="Calibri" w:cs="Calibri"/>
        </w:rPr>
      </w:pPr>
      <w:bookmarkStart w:id="2" w:name="_Toc195875630"/>
      <w:r w:rsidRPr="00E94596">
        <w:rPr>
          <w:rFonts w:ascii="Calibri" w:hAnsi="Calibri" w:cs="Calibri"/>
        </w:rPr>
        <w:lastRenderedPageBreak/>
        <w:t>Abstract</w:t>
      </w:r>
      <w:bookmarkEnd w:id="2"/>
    </w:p>
    <w:p w14:paraId="7E8855A4" w14:textId="002E1DA5" w:rsidR="00B85149" w:rsidRPr="00E94596" w:rsidRDefault="002661BA" w:rsidP="00E94596">
      <w:pPr>
        <w:spacing w:line="360" w:lineRule="auto"/>
        <w:rPr>
          <w:rFonts w:ascii="Calibri" w:hAnsi="Calibri" w:cs="Calibri"/>
          <w:sz w:val="24"/>
          <w:szCs w:val="24"/>
        </w:rPr>
      </w:pPr>
      <w:r w:rsidRPr="00E94596">
        <w:rPr>
          <w:rFonts w:ascii="Calibri" w:hAnsi="Calibri" w:cs="Calibri"/>
          <w:sz w:val="24"/>
          <w:szCs w:val="24"/>
        </w:rPr>
        <w:t xml:space="preserve">The personification of wisdom in </w:t>
      </w:r>
      <w:r w:rsidR="003F382B" w:rsidRPr="00E94596">
        <w:rPr>
          <w:rFonts w:ascii="Calibri" w:hAnsi="Calibri" w:cs="Calibri"/>
          <w:sz w:val="24"/>
          <w:szCs w:val="24"/>
        </w:rPr>
        <w:t xml:space="preserve">Jewish wisdom literature </w:t>
      </w:r>
      <w:r w:rsidR="00F14DC3" w:rsidRPr="00E94596">
        <w:rPr>
          <w:rFonts w:ascii="Calibri" w:hAnsi="Calibri" w:cs="Calibri"/>
          <w:sz w:val="24"/>
          <w:szCs w:val="24"/>
        </w:rPr>
        <w:t xml:space="preserve">is unique for her characterisation </w:t>
      </w:r>
      <w:r w:rsidR="0048505F" w:rsidRPr="00E94596">
        <w:rPr>
          <w:rFonts w:ascii="Calibri" w:hAnsi="Calibri" w:cs="Calibri"/>
          <w:sz w:val="24"/>
          <w:szCs w:val="24"/>
        </w:rPr>
        <w:t xml:space="preserve">as feminine, and while the majority of scholarship regarding her </w:t>
      </w:r>
      <w:r w:rsidR="003F1833" w:rsidRPr="00E94596">
        <w:rPr>
          <w:rFonts w:ascii="Calibri" w:hAnsi="Calibri" w:cs="Calibri"/>
          <w:sz w:val="24"/>
          <w:szCs w:val="24"/>
        </w:rPr>
        <w:t xml:space="preserve">focuses on her origins, this dissertation will instead propose an argument for her purpose. </w:t>
      </w:r>
      <w:r w:rsidR="00B85149" w:rsidRPr="00E94596">
        <w:rPr>
          <w:rFonts w:ascii="Calibri" w:hAnsi="Calibri" w:cs="Calibri"/>
          <w:sz w:val="24"/>
          <w:szCs w:val="24"/>
        </w:rPr>
        <w:t>This study argues Lady Wisdom</w:t>
      </w:r>
      <w:r w:rsidR="00F3616F" w:rsidRPr="00E94596">
        <w:rPr>
          <w:rFonts w:ascii="Calibri" w:hAnsi="Calibri" w:cs="Calibri"/>
          <w:sz w:val="24"/>
          <w:szCs w:val="24"/>
        </w:rPr>
        <w:t xml:space="preserve"> acts as a </w:t>
      </w:r>
      <w:r w:rsidR="009A27EB" w:rsidRPr="00E94596">
        <w:rPr>
          <w:rFonts w:ascii="Calibri" w:hAnsi="Calibri" w:cs="Calibri"/>
          <w:sz w:val="24"/>
          <w:szCs w:val="24"/>
        </w:rPr>
        <w:t xml:space="preserve">literary </w:t>
      </w:r>
      <w:r w:rsidR="00F3616F" w:rsidRPr="00E94596">
        <w:rPr>
          <w:rFonts w:ascii="Calibri" w:hAnsi="Calibri" w:cs="Calibri"/>
          <w:sz w:val="24"/>
          <w:szCs w:val="24"/>
        </w:rPr>
        <w:t xml:space="preserve">construct </w:t>
      </w:r>
      <w:r w:rsidR="009A27EB" w:rsidRPr="00E94596">
        <w:rPr>
          <w:rFonts w:ascii="Calibri" w:hAnsi="Calibri" w:cs="Calibri"/>
          <w:sz w:val="24"/>
          <w:szCs w:val="24"/>
        </w:rPr>
        <w:t>of an ideal wife, surveying her presentation in the books of Proverbs and Ben Sira</w:t>
      </w:r>
      <w:r w:rsidR="006E3CEC" w:rsidRPr="00E94596">
        <w:rPr>
          <w:rFonts w:ascii="Calibri" w:hAnsi="Calibri" w:cs="Calibri"/>
          <w:sz w:val="24"/>
          <w:szCs w:val="24"/>
        </w:rPr>
        <w:t xml:space="preserve"> and analysing the similarities between her description and </w:t>
      </w:r>
      <w:r w:rsidR="00F14DC3" w:rsidRPr="00E94596">
        <w:rPr>
          <w:rFonts w:ascii="Calibri" w:hAnsi="Calibri" w:cs="Calibri"/>
          <w:sz w:val="24"/>
          <w:szCs w:val="24"/>
        </w:rPr>
        <w:t>the portrayal of wives in the two texts.</w:t>
      </w:r>
      <w:r w:rsidR="000F3EFB" w:rsidRPr="00E94596">
        <w:rPr>
          <w:rFonts w:ascii="Calibri" w:hAnsi="Calibri" w:cs="Calibri"/>
          <w:sz w:val="24"/>
          <w:szCs w:val="24"/>
        </w:rPr>
        <w:t xml:space="preserve"> </w:t>
      </w:r>
      <w:r w:rsidR="00737358" w:rsidRPr="00E94596">
        <w:rPr>
          <w:rFonts w:ascii="Calibri" w:hAnsi="Calibri" w:cs="Calibri"/>
          <w:sz w:val="24"/>
          <w:szCs w:val="24"/>
        </w:rPr>
        <w:t>After comparing her to the Strange Woman</w:t>
      </w:r>
      <w:r w:rsidR="001320B1" w:rsidRPr="00E94596">
        <w:rPr>
          <w:rFonts w:ascii="Calibri" w:hAnsi="Calibri" w:cs="Calibri"/>
          <w:sz w:val="24"/>
          <w:szCs w:val="24"/>
        </w:rPr>
        <w:t>,</w:t>
      </w:r>
      <w:r w:rsidR="00737358" w:rsidRPr="00E94596">
        <w:rPr>
          <w:rFonts w:ascii="Calibri" w:hAnsi="Calibri" w:cs="Calibri"/>
          <w:sz w:val="24"/>
          <w:szCs w:val="24"/>
        </w:rPr>
        <w:t xml:space="preserve"> who this piece argues acts as a warning against adultery, </w:t>
      </w:r>
      <w:r w:rsidR="008D39CF" w:rsidRPr="00E94596">
        <w:rPr>
          <w:rFonts w:ascii="Calibri" w:hAnsi="Calibri" w:cs="Calibri"/>
          <w:sz w:val="24"/>
          <w:szCs w:val="24"/>
        </w:rPr>
        <w:t>Lady Wisdom’s potential for female empowerment is analysed using feminist methodology</w:t>
      </w:r>
      <w:r w:rsidR="001320B1" w:rsidRPr="00E94596">
        <w:rPr>
          <w:rFonts w:ascii="Calibri" w:hAnsi="Calibri" w:cs="Calibri"/>
          <w:sz w:val="24"/>
          <w:szCs w:val="24"/>
        </w:rPr>
        <w:t xml:space="preserve"> to conclude that </w:t>
      </w:r>
      <w:r w:rsidR="009353F0" w:rsidRPr="00E94596">
        <w:rPr>
          <w:rFonts w:ascii="Calibri" w:hAnsi="Calibri" w:cs="Calibri"/>
          <w:sz w:val="24"/>
          <w:szCs w:val="24"/>
        </w:rPr>
        <w:t>while in isolation her liberative potential is limited,</w:t>
      </w:r>
      <w:r w:rsidR="004C6D12" w:rsidRPr="00E94596">
        <w:rPr>
          <w:rFonts w:ascii="Calibri" w:hAnsi="Calibri" w:cs="Calibri"/>
          <w:sz w:val="24"/>
          <w:szCs w:val="24"/>
        </w:rPr>
        <w:t xml:space="preserve"> when examined alongside the Strange Woman she can be used to deconstruct dichotomies that are harmful for women. </w:t>
      </w:r>
    </w:p>
    <w:p w14:paraId="07E01B95" w14:textId="77777777" w:rsidR="007F1777" w:rsidRPr="00E94596" w:rsidRDefault="007F1777" w:rsidP="007F1777">
      <w:pPr>
        <w:rPr>
          <w:rFonts w:ascii="Calibri" w:hAnsi="Calibri" w:cs="Calibri"/>
        </w:rPr>
      </w:pPr>
    </w:p>
    <w:p w14:paraId="6F450714" w14:textId="77777777" w:rsidR="007F1777" w:rsidRPr="00E94596" w:rsidRDefault="007F1777" w:rsidP="007F1777">
      <w:pPr>
        <w:rPr>
          <w:rFonts w:ascii="Calibri" w:hAnsi="Calibri" w:cs="Calibri"/>
        </w:rPr>
      </w:pPr>
    </w:p>
    <w:p w14:paraId="574F0701" w14:textId="77777777" w:rsidR="007F1777" w:rsidRPr="00E94596" w:rsidRDefault="007F1777" w:rsidP="007F1777">
      <w:pPr>
        <w:rPr>
          <w:rFonts w:ascii="Calibri" w:hAnsi="Calibri" w:cs="Calibri"/>
        </w:rPr>
      </w:pPr>
    </w:p>
    <w:p w14:paraId="7CABA88C" w14:textId="77777777" w:rsidR="007F1777" w:rsidRPr="00E94596" w:rsidRDefault="007F1777" w:rsidP="007F1777">
      <w:pPr>
        <w:rPr>
          <w:rFonts w:ascii="Calibri" w:hAnsi="Calibri" w:cs="Calibri"/>
        </w:rPr>
      </w:pPr>
    </w:p>
    <w:p w14:paraId="789AA16B" w14:textId="77777777" w:rsidR="007F1777" w:rsidRPr="00E94596" w:rsidRDefault="007F1777" w:rsidP="007F1777">
      <w:pPr>
        <w:rPr>
          <w:rFonts w:ascii="Calibri" w:hAnsi="Calibri" w:cs="Calibri"/>
        </w:rPr>
      </w:pPr>
    </w:p>
    <w:p w14:paraId="3E036F8B" w14:textId="77777777" w:rsidR="007F1777" w:rsidRPr="00E94596" w:rsidRDefault="007F1777" w:rsidP="007F1777">
      <w:pPr>
        <w:rPr>
          <w:rFonts w:ascii="Calibri" w:hAnsi="Calibri" w:cs="Calibri"/>
        </w:rPr>
      </w:pPr>
    </w:p>
    <w:p w14:paraId="7F39C425" w14:textId="77777777" w:rsidR="007F1777" w:rsidRPr="00E94596" w:rsidRDefault="007F1777" w:rsidP="007F1777">
      <w:pPr>
        <w:rPr>
          <w:rFonts w:ascii="Calibri" w:hAnsi="Calibri" w:cs="Calibri"/>
        </w:rPr>
      </w:pPr>
    </w:p>
    <w:p w14:paraId="785945B0" w14:textId="77777777" w:rsidR="007F1777" w:rsidRPr="00E94596" w:rsidRDefault="007F1777" w:rsidP="007F1777">
      <w:pPr>
        <w:rPr>
          <w:rFonts w:ascii="Calibri" w:hAnsi="Calibri" w:cs="Calibri"/>
        </w:rPr>
      </w:pPr>
    </w:p>
    <w:p w14:paraId="2F387FF7" w14:textId="77777777" w:rsidR="007F1777" w:rsidRPr="00E94596" w:rsidRDefault="007F1777" w:rsidP="007F1777">
      <w:pPr>
        <w:rPr>
          <w:rFonts w:ascii="Calibri" w:hAnsi="Calibri" w:cs="Calibri"/>
        </w:rPr>
      </w:pPr>
    </w:p>
    <w:p w14:paraId="6B3B6915" w14:textId="77777777" w:rsidR="007F1777" w:rsidRPr="00E94596" w:rsidRDefault="007F1777" w:rsidP="007F1777">
      <w:pPr>
        <w:rPr>
          <w:rFonts w:ascii="Calibri" w:hAnsi="Calibri" w:cs="Calibri"/>
        </w:rPr>
      </w:pPr>
    </w:p>
    <w:p w14:paraId="383D1B60" w14:textId="77777777" w:rsidR="007F1777" w:rsidRPr="00E94596" w:rsidRDefault="007F1777" w:rsidP="007F1777">
      <w:pPr>
        <w:rPr>
          <w:rFonts w:ascii="Calibri" w:hAnsi="Calibri" w:cs="Calibri"/>
        </w:rPr>
      </w:pPr>
    </w:p>
    <w:p w14:paraId="66127D5A" w14:textId="77777777" w:rsidR="007F1777" w:rsidRPr="00E94596" w:rsidRDefault="007F1777" w:rsidP="007F1777">
      <w:pPr>
        <w:rPr>
          <w:rFonts w:ascii="Calibri" w:hAnsi="Calibri" w:cs="Calibri"/>
        </w:rPr>
      </w:pPr>
    </w:p>
    <w:p w14:paraId="6E7F6BAF" w14:textId="77777777" w:rsidR="007F1777" w:rsidRPr="00E94596" w:rsidRDefault="007F1777" w:rsidP="007F1777">
      <w:pPr>
        <w:rPr>
          <w:rFonts w:ascii="Calibri" w:hAnsi="Calibri" w:cs="Calibri"/>
        </w:rPr>
      </w:pPr>
    </w:p>
    <w:p w14:paraId="70FEFDA9" w14:textId="77777777" w:rsidR="007F1777" w:rsidRPr="00E94596" w:rsidRDefault="007F1777" w:rsidP="007F1777">
      <w:pPr>
        <w:rPr>
          <w:rFonts w:ascii="Calibri" w:hAnsi="Calibri" w:cs="Calibri"/>
        </w:rPr>
      </w:pPr>
    </w:p>
    <w:p w14:paraId="64F224CE" w14:textId="77777777" w:rsidR="007F1777" w:rsidRPr="00E94596" w:rsidRDefault="007F1777" w:rsidP="007F1777">
      <w:pPr>
        <w:rPr>
          <w:rFonts w:ascii="Calibri" w:hAnsi="Calibri" w:cs="Calibri"/>
        </w:rPr>
      </w:pPr>
    </w:p>
    <w:p w14:paraId="5F0FCC2C" w14:textId="77777777" w:rsidR="007F1777" w:rsidRPr="00E94596" w:rsidRDefault="007F1777" w:rsidP="007F1777">
      <w:pPr>
        <w:rPr>
          <w:rFonts w:ascii="Calibri" w:hAnsi="Calibri" w:cs="Calibri"/>
        </w:rPr>
      </w:pPr>
    </w:p>
    <w:p w14:paraId="40A007CD" w14:textId="77777777" w:rsidR="007F1777" w:rsidRPr="00E94596" w:rsidRDefault="007F1777" w:rsidP="007F1777">
      <w:pPr>
        <w:rPr>
          <w:rFonts w:ascii="Calibri" w:hAnsi="Calibri" w:cs="Calibri"/>
        </w:rPr>
      </w:pPr>
    </w:p>
    <w:p w14:paraId="1B3676AD" w14:textId="77777777" w:rsidR="009B1827" w:rsidRPr="00E94596" w:rsidRDefault="009B1827" w:rsidP="009B1827">
      <w:pPr>
        <w:rPr>
          <w:rFonts w:ascii="Calibri" w:hAnsi="Calibri" w:cs="Calibri"/>
        </w:rPr>
      </w:pPr>
    </w:p>
    <w:p w14:paraId="6501F837" w14:textId="6CA9B39C" w:rsidR="0091762C" w:rsidRPr="00E94596" w:rsidRDefault="0091762C" w:rsidP="00711265">
      <w:pPr>
        <w:pStyle w:val="Heading1"/>
        <w:rPr>
          <w:rFonts w:ascii="Calibri" w:hAnsi="Calibri" w:cs="Calibri"/>
        </w:rPr>
      </w:pPr>
      <w:bookmarkStart w:id="3" w:name="_Toc195174884"/>
      <w:bookmarkStart w:id="4" w:name="_Toc195875631"/>
      <w:r w:rsidRPr="00E94596">
        <w:rPr>
          <w:rFonts w:ascii="Calibri" w:hAnsi="Calibri" w:cs="Calibri"/>
        </w:rPr>
        <w:lastRenderedPageBreak/>
        <w:t>Introduction</w:t>
      </w:r>
      <w:bookmarkEnd w:id="3"/>
      <w:bookmarkEnd w:id="4"/>
      <w:r w:rsidRPr="00E94596">
        <w:rPr>
          <w:rFonts w:ascii="Calibri" w:hAnsi="Calibri" w:cs="Calibri"/>
        </w:rPr>
        <w:t xml:space="preserve"> </w:t>
      </w:r>
    </w:p>
    <w:p w14:paraId="179C3BBC" w14:textId="77777777" w:rsidR="0091762C" w:rsidRPr="00E94596" w:rsidRDefault="0091762C" w:rsidP="00711265">
      <w:pPr>
        <w:spacing w:line="360" w:lineRule="auto"/>
        <w:rPr>
          <w:rFonts w:ascii="Calibri" w:hAnsi="Calibri" w:cs="Calibri"/>
          <w:sz w:val="24"/>
          <w:szCs w:val="24"/>
        </w:rPr>
      </w:pPr>
      <w:r w:rsidRPr="00E94596">
        <w:rPr>
          <w:rFonts w:ascii="Calibri" w:hAnsi="Calibri" w:cs="Calibri"/>
          <w:sz w:val="24"/>
          <w:szCs w:val="24"/>
        </w:rPr>
        <w:t>The personification of wisdom is a motif in wisdom literature, a genre common in the Ancient Near East characterised by sayings of wisdom teaching about the nature of the universe and moral behaviour, and most notably occurs in the Book of Proverbs in the Hebrew Bible and other Jewish texts. This dissertation will explore the characterisation of Lady Wisdom</w:t>
      </w:r>
      <w:r w:rsidRPr="00E94596">
        <w:rPr>
          <w:rStyle w:val="FootnoteReference"/>
          <w:rFonts w:ascii="Calibri" w:hAnsi="Calibri" w:cs="Calibri"/>
          <w:sz w:val="24"/>
          <w:szCs w:val="24"/>
        </w:rPr>
        <w:footnoteReference w:id="1"/>
      </w:r>
      <w:r w:rsidRPr="00E94596">
        <w:rPr>
          <w:rFonts w:ascii="Calibri" w:hAnsi="Calibri" w:cs="Calibri"/>
          <w:sz w:val="24"/>
          <w:szCs w:val="24"/>
        </w:rPr>
        <w:t xml:space="preserve"> through textual analysis and posit the hypothesis that one of the purposes for her depiction is to act as a construct of an ideal wife for the male readers of wisdom literature to strive to marry. </w:t>
      </w:r>
    </w:p>
    <w:p w14:paraId="742DE75F" w14:textId="606192CB" w:rsidR="0091762C" w:rsidRPr="00E94596" w:rsidRDefault="008032FF" w:rsidP="00E43ECA">
      <w:pPr>
        <w:spacing w:line="360" w:lineRule="auto"/>
        <w:rPr>
          <w:rFonts w:ascii="Calibri" w:hAnsi="Calibri" w:cs="Calibri"/>
          <w:sz w:val="24"/>
          <w:szCs w:val="24"/>
        </w:rPr>
      </w:pPr>
      <w:r w:rsidRPr="00E94596">
        <w:rPr>
          <w:rFonts w:ascii="Calibri" w:hAnsi="Calibri" w:cs="Calibri"/>
          <w:sz w:val="24"/>
          <w:szCs w:val="24"/>
        </w:rPr>
        <w:t>For the purpose of this study, two primary sources will be consulted: the book of Ben Sira and the book of Proverbs. Authored by</w:t>
      </w:r>
      <w:r w:rsidR="006E6F3D" w:rsidRPr="00E94596">
        <w:rPr>
          <w:rFonts w:ascii="Calibri" w:hAnsi="Calibri" w:cs="Calibri"/>
          <w:sz w:val="24"/>
          <w:szCs w:val="24"/>
        </w:rPr>
        <w:t xml:space="preserve"> Hellenistic Jewish scribe Yeshua ben Eleazar be Sira between 195 and 175 BCE, the work is addressed to a young male audience, seeking </w:t>
      </w:r>
      <w:r w:rsidR="006D2EF6" w:rsidRPr="00E94596">
        <w:rPr>
          <w:rFonts w:ascii="Calibri" w:hAnsi="Calibri" w:cs="Calibri"/>
          <w:sz w:val="24"/>
          <w:szCs w:val="24"/>
        </w:rPr>
        <w:t>to educate them in various issues of everyday life as future prominent members of Israelite society</w:t>
      </w:r>
      <w:r w:rsidR="0091762C" w:rsidRPr="00E94596">
        <w:rPr>
          <w:rFonts w:ascii="Calibri" w:hAnsi="Calibri" w:cs="Calibri"/>
          <w:sz w:val="24"/>
          <w:szCs w:val="24"/>
        </w:rPr>
        <w:t>.</w:t>
      </w:r>
      <w:r w:rsidR="0091762C" w:rsidRPr="00E94596">
        <w:rPr>
          <w:rStyle w:val="FootnoteReference"/>
          <w:rFonts w:ascii="Calibri" w:hAnsi="Calibri" w:cs="Calibri"/>
          <w:sz w:val="24"/>
          <w:szCs w:val="24"/>
        </w:rPr>
        <w:footnoteReference w:id="2"/>
      </w:r>
      <w:r w:rsidR="0091762C" w:rsidRPr="00E94596">
        <w:rPr>
          <w:rFonts w:ascii="Calibri" w:hAnsi="Calibri" w:cs="Calibri"/>
          <w:sz w:val="24"/>
          <w:szCs w:val="24"/>
        </w:rPr>
        <w:t xml:space="preserve"> </w:t>
      </w:r>
      <w:r w:rsidR="006D2EF6" w:rsidRPr="00E94596">
        <w:rPr>
          <w:rFonts w:ascii="Calibri" w:hAnsi="Calibri" w:cs="Calibri"/>
          <w:sz w:val="24"/>
          <w:szCs w:val="24"/>
        </w:rPr>
        <w:t xml:space="preserve">In Ben Sira, Wisdom is personified as a woman, and the author’s male patriarchal perspective is very evident in her characterisation, where gendered language is used to depict as a bride and object of desire (Sir. 7:2-6, 9:1). </w:t>
      </w:r>
      <w:r w:rsidR="0091762C" w:rsidRPr="00E94596">
        <w:rPr>
          <w:rStyle w:val="FootnoteReference"/>
          <w:rFonts w:ascii="Calibri" w:hAnsi="Calibri" w:cs="Calibri"/>
          <w:sz w:val="24"/>
          <w:szCs w:val="24"/>
        </w:rPr>
        <w:footnoteReference w:id="3"/>
      </w:r>
      <w:r w:rsidR="0091762C" w:rsidRPr="00E94596">
        <w:rPr>
          <w:rFonts w:ascii="Calibri" w:hAnsi="Calibri" w:cs="Calibri"/>
          <w:sz w:val="24"/>
          <w:szCs w:val="24"/>
        </w:rPr>
        <w:t xml:space="preserve"> </w:t>
      </w:r>
      <w:r w:rsidR="00841A9A" w:rsidRPr="00E94596">
        <w:rPr>
          <w:rFonts w:ascii="Calibri" w:hAnsi="Calibri" w:cs="Calibri"/>
          <w:sz w:val="24"/>
          <w:szCs w:val="24"/>
        </w:rPr>
        <w:t>Ben Sira is often condemned for its misogynistic descriptions of women, and even the book’s praise of women like Lady Wisdom follows the patriarchal value system,</w:t>
      </w:r>
      <w:r w:rsidR="00C46A6E" w:rsidRPr="00E94596">
        <w:rPr>
          <w:rStyle w:val="FootnoteReference"/>
          <w:rFonts w:ascii="Calibri" w:hAnsi="Calibri" w:cs="Calibri"/>
          <w:sz w:val="24"/>
          <w:szCs w:val="24"/>
        </w:rPr>
        <w:footnoteReference w:id="4"/>
      </w:r>
      <w:r w:rsidR="00841A9A" w:rsidRPr="00E94596">
        <w:rPr>
          <w:rFonts w:ascii="Calibri" w:hAnsi="Calibri" w:cs="Calibri"/>
          <w:sz w:val="24"/>
          <w:szCs w:val="24"/>
        </w:rPr>
        <w:t xml:space="preserve"> the feminist implications of which are explored in this work’s final chapter. </w:t>
      </w:r>
      <w:r w:rsidR="00C46A6E" w:rsidRPr="00E94596">
        <w:rPr>
          <w:rFonts w:ascii="Calibri" w:hAnsi="Calibri" w:cs="Calibri"/>
          <w:sz w:val="24"/>
          <w:szCs w:val="24"/>
        </w:rPr>
        <w:t>The other main source for this study is the Book of Proverbs,</w:t>
      </w:r>
      <w:r w:rsidR="00CC7B5F" w:rsidRPr="00E94596">
        <w:rPr>
          <w:rStyle w:val="FootnoteReference"/>
          <w:rFonts w:ascii="Calibri" w:hAnsi="Calibri" w:cs="Calibri"/>
          <w:sz w:val="24"/>
          <w:szCs w:val="24"/>
        </w:rPr>
        <w:footnoteReference w:id="5"/>
      </w:r>
      <w:r w:rsidR="00C46A6E" w:rsidRPr="00E94596">
        <w:rPr>
          <w:rFonts w:ascii="Calibri" w:hAnsi="Calibri" w:cs="Calibri"/>
          <w:sz w:val="24"/>
          <w:szCs w:val="24"/>
        </w:rPr>
        <w:t xml:space="preserve"> </w:t>
      </w:r>
      <w:r w:rsidR="00E43ECA" w:rsidRPr="00E94596">
        <w:rPr>
          <w:rFonts w:ascii="Calibri" w:hAnsi="Calibri" w:cs="Calibri"/>
          <w:sz w:val="24"/>
          <w:szCs w:val="24"/>
        </w:rPr>
        <w:t xml:space="preserve">which Gillingham </w:t>
      </w:r>
      <w:r w:rsidR="0091762C" w:rsidRPr="00E94596">
        <w:rPr>
          <w:rFonts w:ascii="Calibri" w:hAnsi="Calibri" w:cs="Calibri"/>
          <w:sz w:val="24"/>
          <w:szCs w:val="24"/>
        </w:rPr>
        <w:t xml:space="preserve">argues </w:t>
      </w:r>
      <w:r w:rsidR="00E43ECA" w:rsidRPr="00E94596">
        <w:rPr>
          <w:rFonts w:ascii="Calibri" w:hAnsi="Calibri" w:cs="Calibri"/>
          <w:sz w:val="24"/>
          <w:szCs w:val="24"/>
        </w:rPr>
        <w:t xml:space="preserve">that is </w:t>
      </w:r>
      <w:r w:rsidR="0091762C" w:rsidRPr="00E94596">
        <w:rPr>
          <w:rFonts w:ascii="Calibri" w:hAnsi="Calibri" w:cs="Calibri"/>
          <w:sz w:val="24"/>
          <w:szCs w:val="24"/>
        </w:rPr>
        <w:t>essentially a pragmatic work;</w:t>
      </w:r>
      <w:r w:rsidR="0091762C" w:rsidRPr="00E94596">
        <w:rPr>
          <w:rStyle w:val="FootnoteReference"/>
          <w:rFonts w:ascii="Calibri" w:hAnsi="Calibri" w:cs="Calibri"/>
          <w:sz w:val="24"/>
          <w:szCs w:val="24"/>
        </w:rPr>
        <w:footnoteReference w:id="6"/>
      </w:r>
      <w:r w:rsidR="0091762C" w:rsidRPr="00E94596">
        <w:rPr>
          <w:rFonts w:ascii="Calibri" w:hAnsi="Calibri" w:cs="Calibri"/>
          <w:sz w:val="24"/>
          <w:szCs w:val="24"/>
        </w:rPr>
        <w:t xml:space="preserve"> the work offers instruction on everyday issues in Israelite life, including the issue of marriage and </w:t>
      </w:r>
      <w:r w:rsidR="00E43ECA" w:rsidRPr="00E94596">
        <w:rPr>
          <w:rFonts w:ascii="Calibri" w:hAnsi="Calibri" w:cs="Calibri"/>
          <w:sz w:val="24"/>
          <w:szCs w:val="24"/>
        </w:rPr>
        <w:t>choosing a correct bride, the purpose for which this dissertation argues Lady Wisdom was constructed.</w:t>
      </w:r>
    </w:p>
    <w:p w14:paraId="284EDA21" w14:textId="50FA0049" w:rsidR="001D61A0" w:rsidRPr="00E94596" w:rsidRDefault="0091762C" w:rsidP="00842063">
      <w:pPr>
        <w:spacing w:line="360" w:lineRule="auto"/>
        <w:rPr>
          <w:rFonts w:ascii="Calibri" w:hAnsi="Calibri" w:cs="Calibri"/>
          <w:color w:val="1D2125"/>
          <w:sz w:val="24"/>
          <w:szCs w:val="24"/>
          <w:shd w:val="clear" w:color="auto" w:fill="FFFFFF"/>
        </w:rPr>
      </w:pPr>
      <w:r w:rsidRPr="00E94596">
        <w:rPr>
          <w:rFonts w:ascii="Calibri" w:hAnsi="Calibri" w:cs="Calibri"/>
          <w:sz w:val="24"/>
          <w:szCs w:val="24"/>
        </w:rPr>
        <w:t xml:space="preserve">The literature surrounding personified wisdom in Israelite wisdom texts primarily focuses on the origins and pedigree of Lady Wisdom. </w:t>
      </w:r>
      <w:r w:rsidR="00013527" w:rsidRPr="00E94596">
        <w:rPr>
          <w:rFonts w:ascii="Calibri" w:hAnsi="Calibri" w:cs="Calibri"/>
          <w:sz w:val="24"/>
          <w:szCs w:val="24"/>
        </w:rPr>
        <w:t xml:space="preserve">Recent scholarship on Lady Wisdom has seen the </w:t>
      </w:r>
      <w:r w:rsidR="00013527" w:rsidRPr="00E94596">
        <w:rPr>
          <w:rFonts w:ascii="Calibri" w:hAnsi="Calibri" w:cs="Calibri"/>
          <w:sz w:val="24"/>
          <w:szCs w:val="24"/>
        </w:rPr>
        <w:lastRenderedPageBreak/>
        <w:t>broaching of various theories</w:t>
      </w:r>
      <w:r w:rsidR="00842063" w:rsidRPr="00E94596">
        <w:rPr>
          <w:rFonts w:ascii="Calibri" w:hAnsi="Calibri" w:cs="Calibri"/>
          <w:sz w:val="24"/>
          <w:szCs w:val="24"/>
        </w:rPr>
        <w:t xml:space="preserve">, </w:t>
      </w:r>
      <w:r w:rsidRPr="00E94596">
        <w:rPr>
          <w:rFonts w:ascii="Calibri" w:hAnsi="Calibri" w:cs="Calibri"/>
          <w:sz w:val="24"/>
          <w:szCs w:val="24"/>
        </w:rPr>
        <w:t>from Ronald E. Murphy’s insistence that due to the strict monotheism of the post-exilic period, Lady Wisdom could be nothing more than a literary device</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7"/>
      </w:r>
      <w:r w:rsidRPr="00E94596">
        <w:rPr>
          <w:rFonts w:ascii="Calibri" w:hAnsi="Calibri" w:cs="Calibri"/>
          <w:sz w:val="24"/>
          <w:szCs w:val="24"/>
        </w:rPr>
        <w:t xml:space="preserve"> Kloppenborg’s theory that Lady Wisdom was constructed in a similar light to Hellenistic Isis in order to provide an alternative for Jews perhaps attracted to Hellenistic religion</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8"/>
      </w:r>
      <w:r w:rsidRPr="00E94596">
        <w:rPr>
          <w:rFonts w:ascii="Calibri" w:hAnsi="Calibri" w:cs="Calibri"/>
          <w:sz w:val="24"/>
          <w:szCs w:val="24"/>
        </w:rPr>
        <w:t xml:space="preserve"> Michael Coogan’s argument that a tradition drawing earlier from polytheistic goddess worship was adapted into her personification and then later demythologised in texts like Baruch to fit her into stricter Jewish monotheism</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9"/>
      </w:r>
      <w:r w:rsidRPr="00E94596">
        <w:rPr>
          <w:rFonts w:ascii="Calibri" w:hAnsi="Calibri" w:cs="Calibri"/>
          <w:sz w:val="24"/>
          <w:szCs w:val="24"/>
        </w:rPr>
        <w:t xml:space="preserve"> and Bernhard Lang’s work as a vocal advocate for Lady Wisdom’s origins in the Canaanite goddess Asherah as surviving evidence of a powerful and widely venerated Israelite goddess.</w:t>
      </w:r>
      <w:r w:rsidRPr="00E94596">
        <w:rPr>
          <w:rStyle w:val="FootnoteReference"/>
          <w:rFonts w:ascii="Calibri" w:hAnsi="Calibri" w:cs="Calibri"/>
          <w:sz w:val="24"/>
          <w:szCs w:val="24"/>
        </w:rPr>
        <w:footnoteReference w:id="10"/>
      </w:r>
      <w:r w:rsidRPr="00E94596">
        <w:rPr>
          <w:rFonts w:ascii="Calibri" w:hAnsi="Calibri" w:cs="Calibri"/>
          <w:sz w:val="24"/>
          <w:szCs w:val="24"/>
        </w:rPr>
        <w:t xml:space="preserve"> </w:t>
      </w:r>
      <w:r w:rsidRPr="00E94596">
        <w:rPr>
          <w:rFonts w:ascii="Calibri" w:hAnsi="Calibri" w:cs="Calibri"/>
          <w:color w:val="1D2125"/>
          <w:sz w:val="24"/>
          <w:szCs w:val="24"/>
          <w:shd w:val="clear" w:color="auto" w:fill="FFFFFF"/>
        </w:rPr>
        <w:t xml:space="preserve">As a large body of scholarship exists analysing potential origins for personified Wisdom but without a definitive conclusion, and rather than adding to the ample amount of research that already exists, this dissertation will approach personified Wisdom from the angle of her </w:t>
      </w:r>
      <w:r w:rsidRPr="00E94596">
        <w:rPr>
          <w:rFonts w:ascii="Calibri" w:hAnsi="Calibri" w:cs="Calibri"/>
          <w:i/>
          <w:iCs/>
          <w:color w:val="1D2125"/>
          <w:sz w:val="24"/>
          <w:szCs w:val="24"/>
          <w:shd w:val="clear" w:color="auto" w:fill="FFFFFF"/>
        </w:rPr>
        <w:t>purpose</w:t>
      </w:r>
      <w:r w:rsidRPr="00E94596">
        <w:rPr>
          <w:rFonts w:ascii="Calibri" w:hAnsi="Calibri" w:cs="Calibri"/>
          <w:color w:val="1D2125"/>
          <w:sz w:val="24"/>
          <w:szCs w:val="24"/>
          <w:shd w:val="clear" w:color="auto" w:fill="FFFFFF"/>
        </w:rPr>
        <w:t>, rather than her origins</w:t>
      </w:r>
      <w:r w:rsidR="001D61A0" w:rsidRPr="00E94596">
        <w:rPr>
          <w:rFonts w:ascii="Calibri" w:hAnsi="Calibri" w:cs="Calibri"/>
          <w:color w:val="1D2125"/>
          <w:sz w:val="24"/>
          <w:szCs w:val="24"/>
          <w:shd w:val="clear" w:color="auto" w:fill="FFFFFF"/>
        </w:rPr>
        <w:t xml:space="preserve">, as a construct of </w:t>
      </w:r>
      <w:r w:rsidR="003405BF" w:rsidRPr="00E94596">
        <w:rPr>
          <w:rFonts w:ascii="Calibri" w:hAnsi="Calibri" w:cs="Calibri"/>
          <w:color w:val="1D2125"/>
          <w:sz w:val="24"/>
          <w:szCs w:val="24"/>
          <w:shd w:val="clear" w:color="auto" w:fill="FFFFFF"/>
        </w:rPr>
        <w:t xml:space="preserve">an ideal woman with characteristics that young Israelite men should look for in a wife. </w:t>
      </w:r>
    </w:p>
    <w:p w14:paraId="6F3A9AE3" w14:textId="77777777" w:rsidR="0091762C" w:rsidRPr="00E94596" w:rsidRDefault="0091762C" w:rsidP="00711265">
      <w:pPr>
        <w:spacing w:line="360" w:lineRule="auto"/>
        <w:rPr>
          <w:rFonts w:ascii="Calibri" w:hAnsi="Calibri" w:cs="Calibri"/>
          <w:sz w:val="24"/>
          <w:szCs w:val="24"/>
        </w:rPr>
      </w:pPr>
      <w:r w:rsidRPr="00E94596">
        <w:rPr>
          <w:rFonts w:ascii="Calibri" w:hAnsi="Calibri" w:cs="Calibri"/>
          <w:color w:val="1D2125"/>
          <w:sz w:val="24"/>
          <w:szCs w:val="24"/>
          <w:shd w:val="clear" w:color="auto" w:fill="FFFFFF"/>
        </w:rPr>
        <w:t xml:space="preserve">This study will employ textual analysis in the first two chapters before shifting to feminist methodology in the third chapter. </w:t>
      </w:r>
      <w:r w:rsidRPr="00E94596">
        <w:rPr>
          <w:rFonts w:ascii="Calibri" w:hAnsi="Calibri" w:cs="Calibri"/>
          <w:sz w:val="24"/>
          <w:szCs w:val="24"/>
        </w:rPr>
        <w:t>The fundamental question for feminist interpreters is the role and status of the bible as a source of faith for women,</w:t>
      </w:r>
      <w:r w:rsidRPr="00E94596">
        <w:rPr>
          <w:rStyle w:val="FootnoteReference"/>
          <w:rFonts w:ascii="Calibri" w:hAnsi="Calibri" w:cs="Calibri"/>
          <w:sz w:val="24"/>
          <w:szCs w:val="24"/>
        </w:rPr>
        <w:footnoteReference w:id="11"/>
      </w:r>
      <w:r w:rsidRPr="00E94596">
        <w:rPr>
          <w:rFonts w:ascii="Calibri" w:hAnsi="Calibri" w:cs="Calibri"/>
          <w:sz w:val="24"/>
          <w:szCs w:val="24"/>
        </w:rPr>
        <w:t xml:space="preserve"> and so the topic of investigation when approaching Lady Wisdom through a feminist lens must be whether the book of Proverbs and Ben Sira and their presentation of Lady Wisdom can serve as source of empowerment for women, and if so, how is this impacted by the thesis in this dissertation. Schussler Fiorenza’ hermeneutic of suspicion, which entails reading a text with suspicion of the patriarchal system underpinning them looking carefully for how women may be </w:t>
      </w:r>
      <w:r w:rsidRPr="00E94596">
        <w:rPr>
          <w:rFonts w:ascii="Calibri" w:hAnsi="Calibri" w:cs="Calibri"/>
          <w:sz w:val="24"/>
          <w:szCs w:val="24"/>
        </w:rPr>
        <w:lastRenderedPageBreak/>
        <w:t>excluded or devalued in the text,</w:t>
      </w:r>
      <w:r w:rsidRPr="00E94596">
        <w:rPr>
          <w:rStyle w:val="FootnoteReference"/>
          <w:rFonts w:ascii="Calibri" w:hAnsi="Calibri" w:cs="Calibri"/>
          <w:sz w:val="24"/>
          <w:szCs w:val="24"/>
        </w:rPr>
        <w:footnoteReference w:id="12"/>
      </w:r>
      <w:r w:rsidRPr="00E94596">
        <w:rPr>
          <w:rFonts w:ascii="Calibri" w:hAnsi="Calibri" w:cs="Calibri"/>
          <w:sz w:val="24"/>
          <w:szCs w:val="24"/>
        </w:rPr>
        <w:t xml:space="preserve"> will be utilised in the third chapter to critically examine Lady Wisdom’s potential as a source of empowerment for women.  </w:t>
      </w:r>
    </w:p>
    <w:p w14:paraId="7132165A" w14:textId="0D30A63F" w:rsidR="0091762C" w:rsidRPr="00E94596" w:rsidRDefault="0091762C" w:rsidP="00E33D4E">
      <w:pPr>
        <w:spacing w:line="360" w:lineRule="auto"/>
        <w:rPr>
          <w:rFonts w:ascii="Calibri" w:hAnsi="Calibri" w:cs="Calibri"/>
          <w:sz w:val="24"/>
          <w:szCs w:val="24"/>
        </w:rPr>
      </w:pPr>
      <w:r w:rsidRPr="00E94596">
        <w:rPr>
          <w:rFonts w:ascii="Calibri" w:hAnsi="Calibri" w:cs="Calibri"/>
          <w:sz w:val="24"/>
          <w:szCs w:val="24"/>
        </w:rPr>
        <w:t>The first chapter of this study will explore evidence from Ben Sira and Proverbs and draw comparison between descriptions of Lady Wisdom and wives in the two texts. After investigating the economic value attributed to Lady Wisdom, her role as provider of food and manager of her household is examined in conjunction with historical expectations of housewives in ancient Israel. To conclude the first chapter, Lady Wisdom’s presentation as an object of erotic desire is used to argue that due to the strict condemnations of adultery, the only viable way for Lady Wisdom to act as a legitimate sexual partner is if she is placed in a wife role.</w:t>
      </w:r>
      <w:r w:rsidR="0025618D">
        <w:rPr>
          <w:rFonts w:ascii="Calibri" w:hAnsi="Calibri" w:cs="Calibri"/>
          <w:sz w:val="24"/>
          <w:szCs w:val="24"/>
        </w:rPr>
        <w:t xml:space="preserve"> T</w:t>
      </w:r>
      <w:r w:rsidRPr="00E94596">
        <w:rPr>
          <w:rFonts w:ascii="Calibri" w:hAnsi="Calibri" w:cs="Calibri"/>
          <w:sz w:val="24"/>
          <w:szCs w:val="24"/>
        </w:rPr>
        <w:t xml:space="preserve">he investigation </w:t>
      </w:r>
      <w:r w:rsidR="0025618D">
        <w:rPr>
          <w:rFonts w:ascii="Calibri" w:hAnsi="Calibri" w:cs="Calibri"/>
          <w:sz w:val="24"/>
          <w:szCs w:val="24"/>
        </w:rPr>
        <w:t xml:space="preserve">shifts and </w:t>
      </w:r>
      <w:r w:rsidRPr="00E94596">
        <w:rPr>
          <w:rFonts w:ascii="Calibri" w:hAnsi="Calibri" w:cs="Calibri"/>
          <w:sz w:val="24"/>
          <w:szCs w:val="24"/>
        </w:rPr>
        <w:t xml:space="preserve">broadens </w:t>
      </w:r>
      <w:r w:rsidR="0025618D">
        <w:rPr>
          <w:rFonts w:ascii="Calibri" w:hAnsi="Calibri" w:cs="Calibri"/>
          <w:sz w:val="24"/>
          <w:szCs w:val="24"/>
        </w:rPr>
        <w:t xml:space="preserve">in the second chapter </w:t>
      </w:r>
      <w:r w:rsidRPr="00E94596">
        <w:rPr>
          <w:rFonts w:ascii="Calibri" w:hAnsi="Calibri" w:cs="Calibri"/>
          <w:sz w:val="24"/>
          <w:szCs w:val="24"/>
        </w:rPr>
        <w:t>to include Lady Wisdom’s counterpart in Proverbs, the Strange Woman, and examines their presentations in tandem to show how the Strange Woman’s adultery and violation of marital norms serves to emphasise Lady Wisdom’s portrayal as an ideal wife figure. The third chapter will explore the implications of this dissertation’s thesis that Lady Wisdom acts as a construct of an ideal wife in ancient Israel on her potential for feminist application, surveying arguments for and against her usage as a source of empowerment for women. Examining the Strange Woman in the second chapter was chosen specifically to act congruently with the feminist methodology used in the third chapter, where her use alongside Lady Wisdom is demonstrated as a method to deconstruct the harmful binary of good woman/bad woman that restricts female behaviour and is harmful to women.</w:t>
      </w:r>
    </w:p>
    <w:p w14:paraId="047DB558" w14:textId="14B6954A" w:rsidR="00867040" w:rsidRPr="00E94596" w:rsidRDefault="0091762C" w:rsidP="009B1827">
      <w:pPr>
        <w:spacing w:line="360" w:lineRule="auto"/>
        <w:rPr>
          <w:rFonts w:ascii="Calibri" w:hAnsi="Calibri" w:cs="Calibri"/>
          <w:sz w:val="24"/>
          <w:szCs w:val="24"/>
        </w:rPr>
      </w:pPr>
      <w:r w:rsidRPr="00E94596">
        <w:rPr>
          <w:rFonts w:ascii="Calibri" w:hAnsi="Calibri" w:cs="Calibri"/>
          <w:sz w:val="24"/>
          <w:szCs w:val="24"/>
        </w:rPr>
        <w:t xml:space="preserve">Overall, the aim of this dissertation is to demonstrate that Lady Wisdom acts as a construct of an ideal wife in Proverbs and Ben Sira and to examine the knock-on impact of the work on the use of Lady Wisdom in feminist scholarship. </w:t>
      </w:r>
      <w:bookmarkStart w:id="5" w:name="_Toc195174885"/>
    </w:p>
    <w:p w14:paraId="12D52CF2" w14:textId="77777777" w:rsidR="00AD5198" w:rsidRPr="00E94596" w:rsidRDefault="00AD5198" w:rsidP="00711265">
      <w:pPr>
        <w:pStyle w:val="Heading1"/>
        <w:rPr>
          <w:rFonts w:ascii="Calibri" w:hAnsi="Calibri" w:cs="Calibri"/>
        </w:rPr>
      </w:pPr>
    </w:p>
    <w:p w14:paraId="429A4369" w14:textId="77777777" w:rsidR="00AD5198" w:rsidRPr="00E94596" w:rsidRDefault="00AD5198" w:rsidP="00AD5198">
      <w:pPr>
        <w:rPr>
          <w:rFonts w:ascii="Calibri" w:hAnsi="Calibri" w:cs="Calibri"/>
        </w:rPr>
      </w:pPr>
    </w:p>
    <w:p w14:paraId="17F7AA0A" w14:textId="7AD9DBE0" w:rsidR="00F71CA3" w:rsidRPr="00E94596" w:rsidRDefault="00F71CA3" w:rsidP="00711265">
      <w:pPr>
        <w:pStyle w:val="Heading1"/>
        <w:rPr>
          <w:rFonts w:ascii="Calibri" w:hAnsi="Calibri" w:cs="Calibri"/>
        </w:rPr>
      </w:pPr>
      <w:bookmarkStart w:id="6" w:name="_Toc195875632"/>
      <w:r w:rsidRPr="00E94596">
        <w:rPr>
          <w:rFonts w:ascii="Calibri" w:hAnsi="Calibri" w:cs="Calibri"/>
        </w:rPr>
        <w:lastRenderedPageBreak/>
        <w:t>Chapter 1</w:t>
      </w:r>
      <w:r w:rsidR="00432136" w:rsidRPr="00E94596">
        <w:rPr>
          <w:rFonts w:ascii="Calibri" w:hAnsi="Calibri" w:cs="Calibri"/>
        </w:rPr>
        <w:t>: Lady Wisdom as the Ideal Wife</w:t>
      </w:r>
      <w:bookmarkEnd w:id="5"/>
      <w:bookmarkEnd w:id="6"/>
    </w:p>
    <w:p w14:paraId="05D338C6" w14:textId="0A5479D8" w:rsidR="00EC1889" w:rsidRPr="00E94596" w:rsidRDefault="00B937E8" w:rsidP="00B937E8">
      <w:pPr>
        <w:spacing w:line="360" w:lineRule="auto"/>
        <w:rPr>
          <w:rFonts w:ascii="Calibri" w:hAnsi="Calibri" w:cs="Calibri"/>
          <w:sz w:val="24"/>
          <w:szCs w:val="24"/>
        </w:rPr>
      </w:pPr>
      <w:r w:rsidRPr="00E94596">
        <w:rPr>
          <w:rFonts w:ascii="Calibri" w:hAnsi="Calibri" w:cs="Calibri"/>
          <w:sz w:val="24"/>
          <w:szCs w:val="24"/>
        </w:rPr>
        <w:t xml:space="preserve">Similarities between the description of good wives and Lady Wisdom in Ben Sira and Proverbs are ubiquitous and will be explored in this chapter. </w:t>
      </w:r>
      <w:r w:rsidR="00EC1889" w:rsidRPr="00E94596">
        <w:rPr>
          <w:rFonts w:ascii="Calibri" w:hAnsi="Calibri" w:cs="Calibri"/>
          <w:sz w:val="24"/>
          <w:szCs w:val="24"/>
        </w:rPr>
        <w:t>First</w:t>
      </w:r>
      <w:r w:rsidR="00DE2DB3" w:rsidRPr="00E94596">
        <w:rPr>
          <w:rFonts w:ascii="Calibri" w:hAnsi="Calibri" w:cs="Calibri"/>
          <w:sz w:val="24"/>
          <w:szCs w:val="24"/>
        </w:rPr>
        <w:t xml:space="preserve">ly, </w:t>
      </w:r>
      <w:r w:rsidR="00EC1889" w:rsidRPr="00E94596">
        <w:rPr>
          <w:rFonts w:ascii="Calibri" w:hAnsi="Calibri" w:cs="Calibri"/>
          <w:sz w:val="24"/>
          <w:szCs w:val="24"/>
        </w:rPr>
        <w:t xml:space="preserve">descriptions of economic value and the potential link to marriage as economically transactional in ancient Israel will be discussed. </w:t>
      </w:r>
      <w:r w:rsidR="00DE2DB3" w:rsidRPr="00E94596">
        <w:rPr>
          <w:rFonts w:ascii="Calibri" w:hAnsi="Calibri" w:cs="Calibri"/>
          <w:sz w:val="24"/>
          <w:szCs w:val="24"/>
        </w:rPr>
        <w:t>Secondly, t</w:t>
      </w:r>
      <w:r w:rsidR="00EC1889" w:rsidRPr="00E94596">
        <w:rPr>
          <w:rFonts w:ascii="Calibri" w:hAnsi="Calibri" w:cs="Calibri"/>
          <w:sz w:val="24"/>
          <w:szCs w:val="24"/>
        </w:rPr>
        <w:t xml:space="preserve">he chapter will then move onto examining descriptions of wives in Ben Sira in particular, analysing the language of and listed benefits of marriage, to highlight the construction of Lady Wisdom as a positive model of a virtuous wife within the text’s frame of reference. </w:t>
      </w:r>
      <w:r w:rsidR="00522316" w:rsidRPr="00E94596">
        <w:rPr>
          <w:rFonts w:ascii="Calibri" w:hAnsi="Calibri" w:cs="Calibri"/>
          <w:sz w:val="24"/>
          <w:szCs w:val="24"/>
        </w:rPr>
        <w:t>Thirdly,</w:t>
      </w:r>
      <w:r w:rsidR="008D1CF0" w:rsidRPr="00E94596">
        <w:rPr>
          <w:rFonts w:ascii="Calibri" w:hAnsi="Calibri" w:cs="Calibri"/>
          <w:sz w:val="24"/>
          <w:szCs w:val="24"/>
        </w:rPr>
        <w:t xml:space="preserve"> </w:t>
      </w:r>
      <w:r w:rsidR="00EC1889" w:rsidRPr="00E94596">
        <w:rPr>
          <w:rFonts w:ascii="Calibri" w:hAnsi="Calibri" w:cs="Calibri"/>
          <w:sz w:val="24"/>
          <w:szCs w:val="24"/>
        </w:rPr>
        <w:t xml:space="preserve">further points of comparison </w:t>
      </w:r>
      <w:r w:rsidR="008D1CF0" w:rsidRPr="00E94596">
        <w:rPr>
          <w:rFonts w:ascii="Calibri" w:hAnsi="Calibri" w:cs="Calibri"/>
          <w:sz w:val="24"/>
          <w:szCs w:val="24"/>
        </w:rPr>
        <w:t>will be drawn f</w:t>
      </w:r>
      <w:r w:rsidR="00EC1889" w:rsidRPr="00E94596">
        <w:rPr>
          <w:rFonts w:ascii="Calibri" w:hAnsi="Calibri" w:cs="Calibri"/>
          <w:sz w:val="24"/>
          <w:szCs w:val="24"/>
        </w:rPr>
        <w:t xml:space="preserve">rom the wife’s role as household manager and praise of Lady Wisdom as provider, </w:t>
      </w:r>
      <w:r w:rsidR="008D1CF0" w:rsidRPr="00E94596">
        <w:rPr>
          <w:rFonts w:ascii="Calibri" w:hAnsi="Calibri" w:cs="Calibri"/>
          <w:sz w:val="24"/>
          <w:szCs w:val="24"/>
        </w:rPr>
        <w:t xml:space="preserve">and </w:t>
      </w:r>
      <w:r w:rsidR="00EC1889" w:rsidRPr="00E94596">
        <w:rPr>
          <w:rFonts w:ascii="Calibri" w:hAnsi="Calibri" w:cs="Calibri"/>
          <w:sz w:val="24"/>
          <w:szCs w:val="24"/>
        </w:rPr>
        <w:t xml:space="preserve">the chapter will </w:t>
      </w:r>
      <w:r w:rsidR="008D1CF0" w:rsidRPr="00E94596">
        <w:rPr>
          <w:rFonts w:ascii="Calibri" w:hAnsi="Calibri" w:cs="Calibri"/>
          <w:sz w:val="24"/>
          <w:szCs w:val="24"/>
        </w:rPr>
        <w:t xml:space="preserve">then </w:t>
      </w:r>
      <w:r w:rsidR="00EC1889" w:rsidRPr="00E94596">
        <w:rPr>
          <w:rFonts w:ascii="Calibri" w:hAnsi="Calibri" w:cs="Calibri"/>
          <w:sz w:val="24"/>
          <w:szCs w:val="24"/>
        </w:rPr>
        <w:t>conclude with an evaluation of Lady Wisdom’s erotic desirability</w:t>
      </w:r>
      <w:r w:rsidR="006B02E8" w:rsidRPr="00E94596">
        <w:rPr>
          <w:rFonts w:ascii="Calibri" w:hAnsi="Calibri" w:cs="Calibri"/>
          <w:sz w:val="24"/>
          <w:szCs w:val="24"/>
        </w:rPr>
        <w:t xml:space="preserve"> </w:t>
      </w:r>
      <w:r w:rsidR="00EC1889" w:rsidRPr="00E94596">
        <w:rPr>
          <w:rFonts w:ascii="Calibri" w:hAnsi="Calibri" w:cs="Calibri"/>
          <w:sz w:val="24"/>
          <w:szCs w:val="24"/>
        </w:rPr>
        <w:t xml:space="preserve">and finish with a summary of the examined evidence alongside a reiteration of the overall thesis. </w:t>
      </w:r>
    </w:p>
    <w:p w14:paraId="28539306" w14:textId="3B8C649F" w:rsidR="00522316" w:rsidRPr="00E94596" w:rsidRDefault="00522316" w:rsidP="00711265">
      <w:pPr>
        <w:spacing w:line="360" w:lineRule="auto"/>
        <w:rPr>
          <w:rFonts w:ascii="Calibri" w:hAnsi="Calibri" w:cs="Calibri"/>
          <w:sz w:val="24"/>
          <w:szCs w:val="24"/>
          <w:u w:val="single"/>
        </w:rPr>
      </w:pPr>
      <w:r w:rsidRPr="00E94596">
        <w:rPr>
          <w:rFonts w:ascii="Calibri" w:hAnsi="Calibri" w:cs="Calibri"/>
          <w:sz w:val="24"/>
          <w:szCs w:val="24"/>
          <w:u w:val="single"/>
        </w:rPr>
        <w:t>Lady Wisdom as economically valuable</w:t>
      </w:r>
      <w:r w:rsidR="00A84ACA" w:rsidRPr="00E94596">
        <w:rPr>
          <w:rFonts w:ascii="Calibri" w:hAnsi="Calibri" w:cs="Calibri"/>
          <w:sz w:val="24"/>
          <w:szCs w:val="24"/>
          <w:u w:val="single"/>
        </w:rPr>
        <w:t xml:space="preserve"> and marriage as a transaction</w:t>
      </w:r>
    </w:p>
    <w:p w14:paraId="1335BFBA" w14:textId="6A31346F" w:rsidR="00EC1889" w:rsidRPr="00E94596" w:rsidRDefault="00D2672C" w:rsidP="00D2672C">
      <w:pPr>
        <w:spacing w:line="360" w:lineRule="auto"/>
        <w:rPr>
          <w:rFonts w:ascii="Calibri" w:hAnsi="Calibri" w:cs="Calibri"/>
          <w:sz w:val="24"/>
          <w:szCs w:val="24"/>
        </w:rPr>
      </w:pPr>
      <w:r w:rsidRPr="00E94596">
        <w:rPr>
          <w:rFonts w:ascii="Calibri" w:hAnsi="Calibri" w:cs="Calibri"/>
          <w:sz w:val="24"/>
          <w:szCs w:val="24"/>
        </w:rPr>
        <w:t xml:space="preserve">Firstly, </w:t>
      </w:r>
      <w:r w:rsidR="00EC1889" w:rsidRPr="00E94596">
        <w:rPr>
          <w:rFonts w:ascii="Calibri" w:hAnsi="Calibri" w:cs="Calibri"/>
          <w:sz w:val="24"/>
          <w:szCs w:val="24"/>
        </w:rPr>
        <w:t>in both Ben Sira and Proverbs</w:t>
      </w:r>
      <w:r w:rsidRPr="00E94596">
        <w:rPr>
          <w:rFonts w:ascii="Calibri" w:hAnsi="Calibri" w:cs="Calibri"/>
          <w:sz w:val="24"/>
          <w:szCs w:val="24"/>
        </w:rPr>
        <w:t xml:space="preserve">, Lady Wisdom </w:t>
      </w:r>
      <w:r w:rsidR="00EC1889" w:rsidRPr="00E94596">
        <w:rPr>
          <w:rFonts w:ascii="Calibri" w:hAnsi="Calibri" w:cs="Calibri"/>
          <w:sz w:val="24"/>
          <w:szCs w:val="24"/>
        </w:rPr>
        <w:t xml:space="preserve">is consistently described as and compared with treasure </w:t>
      </w:r>
      <w:r w:rsidRPr="00E94596">
        <w:rPr>
          <w:rFonts w:ascii="Calibri" w:hAnsi="Calibri" w:cs="Calibri"/>
          <w:sz w:val="24"/>
          <w:szCs w:val="24"/>
        </w:rPr>
        <w:t xml:space="preserve">as </w:t>
      </w:r>
      <w:r w:rsidR="00EC1889" w:rsidRPr="00E94596">
        <w:rPr>
          <w:rFonts w:ascii="Calibri" w:hAnsi="Calibri" w:cs="Calibri"/>
          <w:sz w:val="24"/>
          <w:szCs w:val="24"/>
        </w:rPr>
        <w:t xml:space="preserve">economically valuable, paralleling the ancient Israelite understanding of marriage as a </w:t>
      </w:r>
      <w:r w:rsidR="00CA2182" w:rsidRPr="00E94596">
        <w:rPr>
          <w:rFonts w:ascii="Calibri" w:hAnsi="Calibri" w:cs="Calibri"/>
          <w:sz w:val="24"/>
          <w:szCs w:val="24"/>
        </w:rPr>
        <w:t xml:space="preserve">business </w:t>
      </w:r>
      <w:r w:rsidR="00EC1889" w:rsidRPr="00E94596">
        <w:rPr>
          <w:rFonts w:ascii="Calibri" w:hAnsi="Calibri" w:cs="Calibri"/>
          <w:sz w:val="24"/>
          <w:szCs w:val="24"/>
        </w:rPr>
        <w:t>transaction between household</w:t>
      </w:r>
      <w:r w:rsidR="00CA2182" w:rsidRPr="00E94596">
        <w:rPr>
          <w:rFonts w:ascii="Calibri" w:hAnsi="Calibri" w:cs="Calibri"/>
          <w:sz w:val="24"/>
          <w:szCs w:val="24"/>
        </w:rPr>
        <w:t>s</w:t>
      </w:r>
      <w:r w:rsidR="00EC1889" w:rsidRPr="00E94596">
        <w:rPr>
          <w:rFonts w:ascii="Calibri" w:hAnsi="Calibri" w:cs="Calibri"/>
          <w:sz w:val="24"/>
          <w:szCs w:val="24"/>
        </w:rPr>
        <w:t xml:space="preserve"> in which a woman was exchanged for a substantial payment</w:t>
      </w:r>
      <w:r w:rsidR="00CA2182" w:rsidRPr="00E94596">
        <w:rPr>
          <w:rFonts w:ascii="Calibri" w:hAnsi="Calibri" w:cs="Calibri"/>
          <w:sz w:val="24"/>
          <w:szCs w:val="24"/>
        </w:rPr>
        <w:t>. T</w:t>
      </w:r>
      <w:r w:rsidR="00A54051" w:rsidRPr="00E94596">
        <w:rPr>
          <w:rFonts w:ascii="Calibri" w:hAnsi="Calibri" w:cs="Calibri"/>
          <w:sz w:val="24"/>
          <w:szCs w:val="24"/>
        </w:rPr>
        <w:t>his practice is attested to in the Hebrew Bible, for example in Genesis</w:t>
      </w:r>
      <w:r w:rsidR="00CA2182" w:rsidRPr="00E94596">
        <w:rPr>
          <w:rFonts w:ascii="Calibri" w:hAnsi="Calibri" w:cs="Calibri"/>
          <w:sz w:val="24"/>
          <w:szCs w:val="24"/>
        </w:rPr>
        <w:t xml:space="preserve">, where </w:t>
      </w:r>
      <w:r w:rsidR="00C3617E" w:rsidRPr="00E94596">
        <w:rPr>
          <w:rFonts w:ascii="Calibri" w:hAnsi="Calibri" w:cs="Calibri"/>
          <w:sz w:val="24"/>
          <w:szCs w:val="24"/>
        </w:rPr>
        <w:t xml:space="preserve">Shechem declares, </w:t>
      </w:r>
      <w:r w:rsidR="00B80EAF" w:rsidRPr="00E94596">
        <w:rPr>
          <w:rFonts w:ascii="Calibri" w:hAnsi="Calibri" w:cs="Calibri"/>
          <w:sz w:val="24"/>
          <w:szCs w:val="24"/>
        </w:rPr>
        <w:t xml:space="preserve">“Put the marriage present and gift as high as you like, and I will give whatever you ask me; only give me the girl to be my wife” </w:t>
      </w:r>
      <w:r w:rsidR="00A54051" w:rsidRPr="00E94596">
        <w:rPr>
          <w:rFonts w:ascii="Calibri" w:hAnsi="Calibri" w:cs="Calibri"/>
          <w:sz w:val="24"/>
          <w:szCs w:val="24"/>
        </w:rPr>
        <w:t>(</w:t>
      </w:r>
      <w:r w:rsidR="00B80EAF" w:rsidRPr="00E94596">
        <w:rPr>
          <w:rFonts w:ascii="Calibri" w:hAnsi="Calibri" w:cs="Calibri"/>
          <w:sz w:val="24"/>
          <w:szCs w:val="24"/>
        </w:rPr>
        <w:t>Gen. 3</w:t>
      </w:r>
      <w:r w:rsidR="00BB498D" w:rsidRPr="00E94596">
        <w:rPr>
          <w:rFonts w:ascii="Calibri" w:hAnsi="Calibri" w:cs="Calibri"/>
          <w:sz w:val="24"/>
          <w:szCs w:val="24"/>
        </w:rPr>
        <w:t>4</w:t>
      </w:r>
      <w:r w:rsidR="00B80EAF" w:rsidRPr="00E94596">
        <w:rPr>
          <w:rFonts w:ascii="Calibri" w:hAnsi="Calibri" w:cs="Calibri"/>
          <w:sz w:val="24"/>
          <w:szCs w:val="24"/>
        </w:rPr>
        <w:t>:1</w:t>
      </w:r>
      <w:r w:rsidR="00BB498D" w:rsidRPr="00E94596">
        <w:rPr>
          <w:rFonts w:ascii="Calibri" w:hAnsi="Calibri" w:cs="Calibri"/>
          <w:sz w:val="24"/>
          <w:szCs w:val="24"/>
        </w:rPr>
        <w:t>2</w:t>
      </w:r>
      <w:r w:rsidR="00A54051" w:rsidRPr="00E94596">
        <w:rPr>
          <w:rFonts w:ascii="Calibri" w:hAnsi="Calibri" w:cs="Calibri"/>
          <w:sz w:val="24"/>
          <w:szCs w:val="24"/>
        </w:rPr>
        <w:t>)</w:t>
      </w:r>
      <w:r w:rsidR="00B80EAF" w:rsidRPr="00E94596">
        <w:rPr>
          <w:rFonts w:ascii="Calibri" w:hAnsi="Calibri" w:cs="Calibri"/>
          <w:sz w:val="24"/>
          <w:szCs w:val="24"/>
        </w:rPr>
        <w:t>.</w:t>
      </w:r>
      <w:r w:rsidR="00EC1889" w:rsidRPr="00E94596">
        <w:rPr>
          <w:rStyle w:val="FootnoteReference"/>
          <w:rFonts w:ascii="Calibri" w:hAnsi="Calibri" w:cs="Calibri"/>
          <w:sz w:val="24"/>
          <w:szCs w:val="24"/>
        </w:rPr>
        <w:footnoteReference w:id="13"/>
      </w:r>
      <w:r w:rsidR="00EC1889" w:rsidRPr="00E94596">
        <w:rPr>
          <w:rFonts w:ascii="Calibri" w:hAnsi="Calibri" w:cs="Calibri"/>
          <w:sz w:val="24"/>
          <w:szCs w:val="24"/>
        </w:rPr>
        <w:t xml:space="preserve"> Conducted as business arrangements, marriage negotiations established a bride price based on a woman’s perceived value as a wife.</w:t>
      </w:r>
      <w:r w:rsidR="00EC1889" w:rsidRPr="00E94596">
        <w:rPr>
          <w:rStyle w:val="FootnoteReference"/>
          <w:rFonts w:ascii="Calibri" w:hAnsi="Calibri" w:cs="Calibri"/>
          <w:sz w:val="24"/>
          <w:szCs w:val="24"/>
        </w:rPr>
        <w:footnoteReference w:id="14"/>
      </w:r>
      <w:r w:rsidR="00EC1889" w:rsidRPr="00E94596">
        <w:rPr>
          <w:rFonts w:ascii="Calibri" w:hAnsi="Calibri" w:cs="Calibri"/>
          <w:sz w:val="24"/>
          <w:szCs w:val="24"/>
        </w:rPr>
        <w:t xml:space="preserve"> Marriage to a valuable bride afforded a man greater financial resources, </w:t>
      </w:r>
      <w:r w:rsidR="00C3617E" w:rsidRPr="00E94596">
        <w:rPr>
          <w:rFonts w:ascii="Calibri" w:hAnsi="Calibri" w:cs="Calibri"/>
          <w:sz w:val="24"/>
          <w:szCs w:val="24"/>
        </w:rPr>
        <w:t xml:space="preserve">as </w:t>
      </w:r>
      <w:r w:rsidR="00EC1889" w:rsidRPr="00E94596">
        <w:rPr>
          <w:rFonts w:ascii="Calibri" w:hAnsi="Calibri" w:cs="Calibri"/>
          <w:sz w:val="24"/>
          <w:szCs w:val="24"/>
        </w:rPr>
        <w:t xml:space="preserve">her husband </w:t>
      </w:r>
      <w:r w:rsidR="00C3617E" w:rsidRPr="00E94596">
        <w:rPr>
          <w:rFonts w:ascii="Calibri" w:hAnsi="Calibri" w:cs="Calibri"/>
          <w:sz w:val="24"/>
          <w:szCs w:val="24"/>
        </w:rPr>
        <w:t>became</w:t>
      </w:r>
      <w:r w:rsidR="00EC1889" w:rsidRPr="00E94596">
        <w:rPr>
          <w:rFonts w:ascii="Calibri" w:hAnsi="Calibri" w:cs="Calibri"/>
          <w:sz w:val="24"/>
          <w:szCs w:val="24"/>
        </w:rPr>
        <w:t xml:space="preserve"> guardian over her dowry and </w:t>
      </w:r>
      <w:r w:rsidR="00C3617E" w:rsidRPr="00E94596">
        <w:rPr>
          <w:rFonts w:ascii="Calibri" w:hAnsi="Calibri" w:cs="Calibri"/>
          <w:sz w:val="24"/>
          <w:szCs w:val="24"/>
        </w:rPr>
        <w:t>could</w:t>
      </w:r>
      <w:r w:rsidR="00EC1889" w:rsidRPr="00E94596">
        <w:rPr>
          <w:rFonts w:ascii="Calibri" w:hAnsi="Calibri" w:cs="Calibri"/>
          <w:sz w:val="24"/>
          <w:szCs w:val="24"/>
        </w:rPr>
        <w:t xml:space="preserve"> draw on her dowry for his own purposes as long as she was eventually compensated.</w:t>
      </w:r>
      <w:r w:rsidR="00EC1889" w:rsidRPr="00E94596">
        <w:rPr>
          <w:rStyle w:val="FootnoteReference"/>
          <w:rFonts w:ascii="Calibri" w:hAnsi="Calibri" w:cs="Calibri"/>
          <w:sz w:val="24"/>
          <w:szCs w:val="24"/>
        </w:rPr>
        <w:footnoteReference w:id="15"/>
      </w:r>
      <w:r w:rsidR="00EC1889" w:rsidRPr="00E94596">
        <w:rPr>
          <w:rFonts w:ascii="Calibri" w:hAnsi="Calibri" w:cs="Calibri"/>
          <w:sz w:val="24"/>
          <w:szCs w:val="24"/>
        </w:rPr>
        <w:t xml:space="preserve"> More desirable and therefore expensive candidates were women who brought wealth and property to their husbands,</w:t>
      </w:r>
      <w:r w:rsidR="00EC1889" w:rsidRPr="00E94596">
        <w:rPr>
          <w:rStyle w:val="FootnoteReference"/>
          <w:rFonts w:ascii="Calibri" w:hAnsi="Calibri" w:cs="Calibri"/>
          <w:sz w:val="24"/>
          <w:szCs w:val="24"/>
        </w:rPr>
        <w:footnoteReference w:id="16"/>
      </w:r>
      <w:r w:rsidR="00EC1889" w:rsidRPr="00E94596">
        <w:rPr>
          <w:rFonts w:ascii="Calibri" w:hAnsi="Calibri" w:cs="Calibri"/>
          <w:sz w:val="24"/>
          <w:szCs w:val="24"/>
        </w:rPr>
        <w:t xml:space="preserve"> as well as less tangible but still valuable social advantages obtained by the groom by marrying into her family.</w:t>
      </w:r>
      <w:r w:rsidR="00EC1889" w:rsidRPr="00E94596">
        <w:rPr>
          <w:rStyle w:val="FootnoteReference"/>
          <w:rFonts w:ascii="Calibri" w:hAnsi="Calibri" w:cs="Calibri"/>
          <w:sz w:val="24"/>
          <w:szCs w:val="24"/>
        </w:rPr>
        <w:footnoteReference w:id="17"/>
      </w:r>
      <w:r w:rsidR="00EC1889" w:rsidRPr="00E94596">
        <w:rPr>
          <w:rFonts w:ascii="Calibri" w:hAnsi="Calibri" w:cs="Calibri"/>
          <w:sz w:val="24"/>
          <w:szCs w:val="24"/>
        </w:rPr>
        <w:t xml:space="preserve"> For example, the daughter of profitable </w:t>
      </w:r>
      <w:r w:rsidR="00EC1889" w:rsidRPr="00E94596">
        <w:rPr>
          <w:rFonts w:ascii="Calibri" w:hAnsi="Calibri" w:cs="Calibri"/>
          <w:sz w:val="24"/>
          <w:szCs w:val="24"/>
        </w:rPr>
        <w:lastRenderedPageBreak/>
        <w:t>merchants or city officials would bring benefits such as a substantial dowry and social connections, but at the cost of a steeper bride price, making it vital for men to evaluate the pros and cons of candidates for marriage.</w:t>
      </w:r>
      <w:r w:rsidR="00EC1889" w:rsidRPr="00E94596">
        <w:rPr>
          <w:rStyle w:val="FootnoteReference"/>
          <w:rFonts w:ascii="Calibri" w:hAnsi="Calibri" w:cs="Calibri"/>
          <w:sz w:val="24"/>
          <w:szCs w:val="24"/>
        </w:rPr>
        <w:footnoteReference w:id="18"/>
      </w:r>
      <w:r w:rsidR="00EC1889" w:rsidRPr="00E94596">
        <w:rPr>
          <w:rFonts w:ascii="Calibri" w:hAnsi="Calibri" w:cs="Calibri"/>
          <w:sz w:val="24"/>
          <w:szCs w:val="24"/>
        </w:rPr>
        <w:t xml:space="preserve"> </w:t>
      </w:r>
    </w:p>
    <w:p w14:paraId="1008F41A" w14:textId="6EC0DD86"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Allusions to the economic value attributed to wives can be found in Ben Sira and Proverbs; Ben Sira describes the value of wives’ positive characteristics, with ‘no scales … [able to] weigh the value of her chastity’ (Sir. 26:15), ‘nothing … so precious as her self-discipline’ (Sir. 26:16), praising that ‘her charm is worth more than gold’ (Sir. 7:19), and that she is ‘more precious than corals’ (Sir. 51:28). In comparison, Lady Wisdom is described as ‘more precious than jewels’ (Prov. 3:14-15), with ‘her income better than silver, and her revenue better than gold’ (3:14). Furthering Lady Wisdom’s association with precious items, Ben Sira introduces a link between her and expensive jewellery and clothing, describing ‘possessing’ Lady Wisdom by ‘wear[</w:t>
      </w:r>
      <w:proofErr w:type="spellStart"/>
      <w:r w:rsidRPr="00E94596">
        <w:rPr>
          <w:rFonts w:ascii="Calibri" w:hAnsi="Calibri" w:cs="Calibri"/>
          <w:sz w:val="24"/>
          <w:szCs w:val="24"/>
        </w:rPr>
        <w:t>ing</w:t>
      </w:r>
      <w:proofErr w:type="spellEnd"/>
      <w:r w:rsidRPr="00E94596">
        <w:rPr>
          <w:rFonts w:ascii="Calibri" w:hAnsi="Calibri" w:cs="Calibri"/>
          <w:sz w:val="24"/>
          <w:szCs w:val="24"/>
        </w:rPr>
        <w:t>] her as your glorious apparel, bear[</w:t>
      </w:r>
      <w:proofErr w:type="spellStart"/>
      <w:r w:rsidRPr="00E94596">
        <w:rPr>
          <w:rFonts w:ascii="Calibri" w:hAnsi="Calibri" w:cs="Calibri"/>
          <w:sz w:val="24"/>
          <w:szCs w:val="24"/>
        </w:rPr>
        <w:t>ing</w:t>
      </w:r>
      <w:proofErr w:type="spellEnd"/>
      <w:r w:rsidRPr="00E94596">
        <w:rPr>
          <w:rFonts w:ascii="Calibri" w:hAnsi="Calibri" w:cs="Calibri"/>
          <w:sz w:val="24"/>
          <w:szCs w:val="24"/>
        </w:rPr>
        <w:t xml:space="preserve">] her as your splendid crown,’ (Sir. 6:31). </w:t>
      </w:r>
      <w:r w:rsidR="00B16F71" w:rsidRPr="00E94596">
        <w:rPr>
          <w:rFonts w:ascii="Calibri" w:hAnsi="Calibri" w:cs="Calibri"/>
          <w:sz w:val="24"/>
          <w:szCs w:val="24"/>
        </w:rPr>
        <w:t xml:space="preserve">Lady Wisdom’s </w:t>
      </w:r>
      <w:r w:rsidRPr="00E94596">
        <w:rPr>
          <w:rFonts w:ascii="Calibri" w:hAnsi="Calibri" w:cs="Calibri"/>
          <w:sz w:val="24"/>
          <w:szCs w:val="24"/>
        </w:rPr>
        <w:t xml:space="preserve">objectification can be compared to Ben Sira’s </w:t>
      </w:r>
      <w:r w:rsidR="00B16F71" w:rsidRPr="00E94596">
        <w:rPr>
          <w:rFonts w:ascii="Calibri" w:hAnsi="Calibri" w:cs="Calibri"/>
          <w:sz w:val="24"/>
          <w:szCs w:val="24"/>
        </w:rPr>
        <w:t>description</w:t>
      </w:r>
      <w:r w:rsidRPr="00E94596">
        <w:rPr>
          <w:rFonts w:ascii="Calibri" w:hAnsi="Calibri" w:cs="Calibri"/>
          <w:sz w:val="24"/>
          <w:szCs w:val="24"/>
        </w:rPr>
        <w:t xml:space="preserve"> of marriage: “He who acquires a wife gets his best possession” (Sir. 36:29). </w:t>
      </w:r>
    </w:p>
    <w:p w14:paraId="196E481D" w14:textId="4D1CED14" w:rsidR="00B16F71" w:rsidRPr="00E94596" w:rsidRDefault="00B16F71" w:rsidP="00711265">
      <w:pPr>
        <w:spacing w:line="360" w:lineRule="auto"/>
        <w:rPr>
          <w:rFonts w:ascii="Calibri" w:hAnsi="Calibri" w:cs="Calibri"/>
          <w:sz w:val="24"/>
          <w:szCs w:val="24"/>
        </w:rPr>
      </w:pPr>
    </w:p>
    <w:p w14:paraId="76E01619" w14:textId="04F6359C" w:rsidR="00B16F71" w:rsidRPr="00E94596" w:rsidRDefault="00B16F71" w:rsidP="00B16F71">
      <w:pPr>
        <w:spacing w:line="360" w:lineRule="auto"/>
        <w:rPr>
          <w:rFonts w:ascii="Calibri" w:hAnsi="Calibri" w:cs="Calibri"/>
          <w:sz w:val="24"/>
          <w:szCs w:val="24"/>
        </w:rPr>
      </w:pPr>
      <w:r w:rsidRPr="00E94596">
        <w:rPr>
          <w:rFonts w:ascii="Calibri" w:hAnsi="Calibri" w:cs="Calibri"/>
          <w:sz w:val="24"/>
          <w:szCs w:val="24"/>
        </w:rPr>
        <w:t>The attribution of a monetary price to Lady Wisdom in the same vein as wives is noteworthy for their comparison. However, while Ben Sira fosters a connection between Lady Wisdom and wealth through possessing of finery,</w:t>
      </w:r>
      <w:r w:rsidR="00C36035" w:rsidRPr="00E94596">
        <w:rPr>
          <w:rStyle w:val="FootnoteReference"/>
          <w:rFonts w:ascii="Calibri" w:hAnsi="Calibri" w:cs="Calibri"/>
          <w:sz w:val="24"/>
          <w:szCs w:val="24"/>
        </w:rPr>
        <w:footnoteReference w:id="19"/>
      </w:r>
      <w:r w:rsidR="00324C80" w:rsidRPr="00E94596">
        <w:rPr>
          <w:rFonts w:ascii="Calibri" w:hAnsi="Calibri" w:cs="Calibri"/>
          <w:sz w:val="24"/>
          <w:szCs w:val="24"/>
        </w:rPr>
        <w:t xml:space="preserve"> both texts ultimately stress Lady Wisdom’s value as being beyond the worth of physical possessions and from this a further argument can be posited that these descriptions </w:t>
      </w:r>
      <w:r w:rsidR="00E8248A" w:rsidRPr="00E94596">
        <w:rPr>
          <w:rFonts w:ascii="Calibri" w:hAnsi="Calibri" w:cs="Calibri"/>
          <w:sz w:val="24"/>
          <w:szCs w:val="24"/>
        </w:rPr>
        <w:t xml:space="preserve">of Lady Wisdom </w:t>
      </w:r>
      <w:r w:rsidR="00324C80" w:rsidRPr="00E94596">
        <w:rPr>
          <w:rFonts w:ascii="Calibri" w:hAnsi="Calibri" w:cs="Calibri"/>
          <w:sz w:val="24"/>
          <w:szCs w:val="24"/>
        </w:rPr>
        <w:t xml:space="preserve">were put in place to teach young male readers </w:t>
      </w:r>
      <w:r w:rsidR="00A4371F" w:rsidRPr="00E94596">
        <w:rPr>
          <w:rFonts w:ascii="Calibri" w:hAnsi="Calibri" w:cs="Calibri"/>
          <w:sz w:val="24"/>
          <w:szCs w:val="24"/>
        </w:rPr>
        <w:t xml:space="preserve">to avoid choosing wives based purely on monetary gain. </w:t>
      </w:r>
    </w:p>
    <w:p w14:paraId="059C7B3E" w14:textId="34DF4C23" w:rsidR="00984E47" w:rsidRPr="00E94596" w:rsidRDefault="00984E47" w:rsidP="00B16F71">
      <w:pPr>
        <w:spacing w:line="360" w:lineRule="auto"/>
        <w:rPr>
          <w:rFonts w:ascii="Calibri" w:hAnsi="Calibri" w:cs="Calibri"/>
          <w:sz w:val="24"/>
          <w:szCs w:val="24"/>
        </w:rPr>
      </w:pPr>
      <w:r w:rsidRPr="00E94596">
        <w:rPr>
          <w:rFonts w:ascii="Calibri" w:hAnsi="Calibri" w:cs="Calibri"/>
          <w:sz w:val="24"/>
          <w:szCs w:val="24"/>
        </w:rPr>
        <w:t>Proverbs declares that “nothing you desire can compare with her” (Prov. 3:15) and Ben Sira condemns wanting women because</w:t>
      </w:r>
      <w:r w:rsidR="00A76260" w:rsidRPr="00E94596">
        <w:rPr>
          <w:rFonts w:ascii="Calibri" w:hAnsi="Calibri" w:cs="Calibri"/>
          <w:sz w:val="24"/>
          <w:szCs w:val="24"/>
        </w:rPr>
        <w:t xml:space="preserve"> they covet the wealth she brings, warning young men not to desire a woman for her possessions (Sir. 23:21), as a wife supporting her husband brings ‘great disgrace’ (21:22). </w:t>
      </w:r>
      <w:r w:rsidR="00467F06" w:rsidRPr="00E94596">
        <w:rPr>
          <w:rFonts w:ascii="Calibri" w:hAnsi="Calibri" w:cs="Calibri"/>
          <w:sz w:val="24"/>
          <w:szCs w:val="24"/>
        </w:rPr>
        <w:t>These texts provide instruction to the young male readers of Proverbs and Ben Sira on whom to marry and for what reas</w:t>
      </w:r>
      <w:r w:rsidR="00C225BE" w:rsidRPr="00E94596">
        <w:rPr>
          <w:rFonts w:ascii="Calibri" w:hAnsi="Calibri" w:cs="Calibri"/>
          <w:sz w:val="24"/>
          <w:szCs w:val="24"/>
        </w:rPr>
        <w:t>on, arguing for the choice of a bride who is valuable as a wife and not just as a source of wealt</w:t>
      </w:r>
      <w:r w:rsidR="007B34B4" w:rsidRPr="00E94596">
        <w:rPr>
          <w:rFonts w:ascii="Calibri" w:hAnsi="Calibri" w:cs="Calibri"/>
          <w:sz w:val="24"/>
          <w:szCs w:val="24"/>
        </w:rPr>
        <w:t xml:space="preserve">h. </w:t>
      </w:r>
    </w:p>
    <w:p w14:paraId="2651D724" w14:textId="4E358C64" w:rsidR="00EC1889" w:rsidRPr="00E94596" w:rsidRDefault="007B34B4" w:rsidP="006F01D5">
      <w:pPr>
        <w:spacing w:line="360" w:lineRule="auto"/>
        <w:rPr>
          <w:rFonts w:ascii="Calibri" w:hAnsi="Calibri" w:cs="Calibri"/>
          <w:sz w:val="24"/>
          <w:szCs w:val="24"/>
        </w:rPr>
      </w:pPr>
      <w:r w:rsidRPr="00E94596">
        <w:rPr>
          <w:rFonts w:ascii="Calibri" w:hAnsi="Calibri" w:cs="Calibri"/>
          <w:sz w:val="24"/>
          <w:szCs w:val="24"/>
        </w:rPr>
        <w:lastRenderedPageBreak/>
        <w:t xml:space="preserve">In light of the warning to not be seduced by wealth, the statements calling both good wives and Lady Wisdom invaluable draws a parallel between how Ben Sira describes ideal wives </w:t>
      </w:r>
      <w:r w:rsidR="006F01D5" w:rsidRPr="00E94596">
        <w:rPr>
          <w:rFonts w:ascii="Calibri" w:hAnsi="Calibri" w:cs="Calibri"/>
          <w:sz w:val="24"/>
          <w:szCs w:val="24"/>
        </w:rPr>
        <w:t xml:space="preserve">(e.g. Sir. 7:19, 51:28) </w:t>
      </w:r>
      <w:r w:rsidRPr="00E94596">
        <w:rPr>
          <w:rFonts w:ascii="Calibri" w:hAnsi="Calibri" w:cs="Calibri"/>
          <w:sz w:val="24"/>
          <w:szCs w:val="24"/>
        </w:rPr>
        <w:t>and the virtuous characteristics attributed to Lady Wisdom in Ben Sira and Proverb</w:t>
      </w:r>
      <w:r w:rsidR="006F01D5" w:rsidRPr="00E94596">
        <w:rPr>
          <w:rFonts w:ascii="Calibri" w:hAnsi="Calibri" w:cs="Calibri"/>
          <w:sz w:val="24"/>
          <w:szCs w:val="24"/>
        </w:rPr>
        <w:t xml:space="preserve"> (Prov. 3:14-15, 31:10)</w:t>
      </w:r>
      <w:r w:rsidRPr="00E94596">
        <w:rPr>
          <w:rFonts w:ascii="Calibri" w:hAnsi="Calibri" w:cs="Calibri"/>
          <w:sz w:val="24"/>
          <w:szCs w:val="24"/>
        </w:rPr>
        <w:t xml:space="preserve">. </w:t>
      </w:r>
      <w:r w:rsidR="00EC1889" w:rsidRPr="00E94596">
        <w:rPr>
          <w:rFonts w:ascii="Calibri" w:hAnsi="Calibri" w:cs="Calibri"/>
          <w:sz w:val="24"/>
          <w:szCs w:val="24"/>
        </w:rPr>
        <w:t xml:space="preserve">Viewed as a construct to show the ideal wife, Lady Wisdom is thus used to reinforce the advice given to the texts’ students that while considering the economic benefits of potential brides was important due to marriage’s nature as transactional in the </w:t>
      </w:r>
      <w:r w:rsidR="00DA6CC2" w:rsidRPr="00E94596">
        <w:rPr>
          <w:rFonts w:ascii="Calibri" w:hAnsi="Calibri" w:cs="Calibri"/>
          <w:sz w:val="24"/>
          <w:szCs w:val="24"/>
        </w:rPr>
        <w:t>contemporary</w:t>
      </w:r>
      <w:r w:rsidR="00EC1889" w:rsidRPr="00E94596">
        <w:rPr>
          <w:rFonts w:ascii="Calibri" w:hAnsi="Calibri" w:cs="Calibri"/>
          <w:sz w:val="24"/>
          <w:szCs w:val="24"/>
        </w:rPr>
        <w:t xml:space="preserve"> context,</w:t>
      </w:r>
      <w:r w:rsidR="00EC1889" w:rsidRPr="00E94596">
        <w:rPr>
          <w:rStyle w:val="FootnoteReference"/>
          <w:rFonts w:ascii="Calibri" w:hAnsi="Calibri" w:cs="Calibri"/>
          <w:sz w:val="24"/>
          <w:szCs w:val="24"/>
        </w:rPr>
        <w:footnoteReference w:id="20"/>
      </w:r>
      <w:r w:rsidR="00EC1889" w:rsidRPr="00E94596">
        <w:rPr>
          <w:rFonts w:ascii="Calibri" w:hAnsi="Calibri" w:cs="Calibri"/>
          <w:sz w:val="24"/>
          <w:szCs w:val="24"/>
        </w:rPr>
        <w:t xml:space="preserve"> their focus should not only be on obtaining her wealth but also on the woman’s virtuous behaviour and favourable characteristics, and thus what she can bring to the marriage. </w:t>
      </w:r>
    </w:p>
    <w:p w14:paraId="3931B522" w14:textId="0FCC3B73" w:rsidR="009973D7" w:rsidRPr="00E94596" w:rsidRDefault="009973D7" w:rsidP="00711265">
      <w:pPr>
        <w:spacing w:line="360" w:lineRule="auto"/>
        <w:rPr>
          <w:rFonts w:ascii="Calibri" w:hAnsi="Calibri" w:cs="Calibri"/>
          <w:sz w:val="24"/>
          <w:szCs w:val="24"/>
          <w:u w:val="single"/>
        </w:rPr>
      </w:pPr>
      <w:r w:rsidRPr="00E94596">
        <w:rPr>
          <w:rFonts w:ascii="Calibri" w:hAnsi="Calibri" w:cs="Calibri"/>
          <w:sz w:val="24"/>
          <w:szCs w:val="24"/>
          <w:u w:val="single"/>
        </w:rPr>
        <w:t>Textual parallels with the marriage process</w:t>
      </w:r>
    </w:p>
    <w:p w14:paraId="2CB74490" w14:textId="34F34790"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Through the lens of looking at Lady Wisdom as a construct of an ideal wife, the description of Lady Wisdom’s movement from heaven to earth can be interpreted </w:t>
      </w:r>
      <w:r w:rsidR="00F6359E" w:rsidRPr="00E94596">
        <w:rPr>
          <w:rFonts w:ascii="Calibri" w:hAnsi="Calibri" w:cs="Calibri"/>
          <w:sz w:val="24"/>
          <w:szCs w:val="24"/>
        </w:rPr>
        <w:t>as</w:t>
      </w:r>
      <w:r w:rsidRPr="00E94596">
        <w:rPr>
          <w:rFonts w:ascii="Calibri" w:hAnsi="Calibri" w:cs="Calibri"/>
          <w:sz w:val="24"/>
          <w:szCs w:val="24"/>
        </w:rPr>
        <w:t xml:space="preserve"> mimicking the ancient Israelite practice of patrilocal exchange of a woman from her father’s home to her husband’s;</w:t>
      </w:r>
      <w:r w:rsidRPr="00E94596">
        <w:rPr>
          <w:rStyle w:val="FootnoteReference"/>
          <w:rFonts w:ascii="Calibri" w:hAnsi="Calibri" w:cs="Calibri"/>
          <w:sz w:val="24"/>
          <w:szCs w:val="24"/>
        </w:rPr>
        <w:footnoteReference w:id="21"/>
      </w:r>
      <w:r w:rsidRPr="00E94596">
        <w:rPr>
          <w:rFonts w:ascii="Calibri" w:hAnsi="Calibri" w:cs="Calibri"/>
          <w:sz w:val="24"/>
          <w:szCs w:val="24"/>
        </w:rPr>
        <w:t xml:space="preserve"> Lady Wisdom is given to humanity and makes her home following God, the ultimate patriarch, where she then receives an inheritance from him. Lady Wisdom describes herself as a creation of God (Sir. 24:9) who then “pitched [her] tent” and commanded her to “encamp in Jacob, and in Israel receive [her] inheritance” (Sir. 24:8). The giving of an ‘inheritance’ upon </w:t>
      </w:r>
      <w:r w:rsidR="00F6359E" w:rsidRPr="00E94596">
        <w:rPr>
          <w:rFonts w:ascii="Calibri" w:hAnsi="Calibri" w:cs="Calibri"/>
          <w:sz w:val="24"/>
          <w:szCs w:val="24"/>
        </w:rPr>
        <w:t xml:space="preserve">Lady Wisdom’s relocation </w:t>
      </w:r>
      <w:r w:rsidRPr="00E94596">
        <w:rPr>
          <w:rFonts w:ascii="Calibri" w:hAnsi="Calibri" w:cs="Calibri"/>
          <w:sz w:val="24"/>
          <w:szCs w:val="24"/>
        </w:rPr>
        <w:t>parallels the dowry given to a bride by her family upon her marriage and</w:t>
      </w:r>
      <w:r w:rsidR="00F6359E" w:rsidRPr="00E94596">
        <w:rPr>
          <w:rFonts w:ascii="Calibri" w:hAnsi="Calibri" w:cs="Calibri"/>
          <w:sz w:val="24"/>
          <w:szCs w:val="24"/>
        </w:rPr>
        <w:t xml:space="preserve"> movement to her husband’s home</w:t>
      </w:r>
      <w:r w:rsidRPr="00E94596">
        <w:rPr>
          <w:rFonts w:ascii="Calibri" w:hAnsi="Calibri" w:cs="Calibri"/>
          <w:sz w:val="24"/>
          <w:szCs w:val="24"/>
        </w:rPr>
        <w:t xml:space="preserve">. In addition, the transition of Lady Wisdom from ministering to God in the holy tent (Sir. 24:10) to him choosing a home for her among his chosen people also prompts comparison with the ancient movement of women away from her original family dwelling to her husband’s home after marriage on the orders of her family’s patriarch. </w:t>
      </w:r>
    </w:p>
    <w:p w14:paraId="76F1AA20" w14:textId="63D755FD" w:rsidR="00711265" w:rsidRPr="00CA3737" w:rsidRDefault="00EC1889" w:rsidP="00CA3737">
      <w:pPr>
        <w:spacing w:line="360" w:lineRule="auto"/>
        <w:rPr>
          <w:rFonts w:ascii="Calibri" w:hAnsi="Calibri" w:cs="Calibri"/>
          <w:sz w:val="24"/>
          <w:szCs w:val="24"/>
        </w:rPr>
      </w:pPr>
      <w:r w:rsidRPr="00E94596">
        <w:rPr>
          <w:rFonts w:ascii="Calibri" w:hAnsi="Calibri" w:cs="Calibri"/>
          <w:sz w:val="24"/>
          <w:szCs w:val="24"/>
        </w:rPr>
        <w:t xml:space="preserve">In line with theme of marriage and its connection to Lady Wisdom’s portrayal, the language in Proverbs 8 used in relation to Lady Wisdom is related to the language used elsewhere to describe the marriage covenant, describing the faithfulness and truth (Prov. 8:7), righteousness and justice (8:20) and life (8:35) that accompany both loving Lady Wisdom </w:t>
      </w:r>
      <w:r w:rsidRPr="00E94596">
        <w:rPr>
          <w:rFonts w:ascii="Calibri" w:hAnsi="Calibri" w:cs="Calibri"/>
          <w:sz w:val="24"/>
          <w:szCs w:val="24"/>
        </w:rPr>
        <w:lastRenderedPageBreak/>
        <w:t>and entering a marriage.</w:t>
      </w:r>
      <w:r w:rsidRPr="00E94596">
        <w:rPr>
          <w:rStyle w:val="FootnoteReference"/>
          <w:rFonts w:ascii="Calibri" w:hAnsi="Calibri" w:cs="Calibri"/>
          <w:sz w:val="24"/>
          <w:szCs w:val="24"/>
        </w:rPr>
        <w:footnoteReference w:id="22"/>
      </w:r>
      <w:r w:rsidRPr="00E94596">
        <w:rPr>
          <w:rFonts w:ascii="Calibri" w:hAnsi="Calibri" w:cs="Calibri"/>
          <w:sz w:val="24"/>
          <w:szCs w:val="24"/>
        </w:rPr>
        <w:t xml:space="preserve"> The ubiquitous family imagery found throughout Proverbs 1-9 also furthers the overall theme of marriage, and Camp points to the references to the student’s father and mother, pointing to the likelihood of a young man seeking to ‘cleave’ to the same qualities in a wife that he sees in his parents.</w:t>
      </w:r>
      <w:r w:rsidRPr="00E94596">
        <w:rPr>
          <w:rStyle w:val="FootnoteReference"/>
          <w:rFonts w:ascii="Calibri" w:hAnsi="Calibri" w:cs="Calibri"/>
          <w:sz w:val="24"/>
          <w:szCs w:val="24"/>
        </w:rPr>
        <w:footnoteReference w:id="23"/>
      </w:r>
      <w:r w:rsidRPr="00E94596">
        <w:rPr>
          <w:rFonts w:ascii="Calibri" w:hAnsi="Calibri" w:cs="Calibri"/>
          <w:sz w:val="24"/>
          <w:szCs w:val="24"/>
        </w:rPr>
        <w:t xml:space="preserve"> In light of this, in keeping with the mother and father’s association with choosing a wife candidate for their young son, Camp connects the image of the garland and crown that Lady Wisdom as ‘sister’ brings those who love her, to father’s instruction and the mother’s teachings, which are imaged as a ‘fair garland’ and ‘pendants’ (Prov. 1:8).</w:t>
      </w:r>
      <w:r w:rsidRPr="00E94596">
        <w:rPr>
          <w:rStyle w:val="FootnoteReference"/>
          <w:rFonts w:ascii="Calibri" w:hAnsi="Calibri" w:cs="Calibri"/>
          <w:sz w:val="24"/>
          <w:szCs w:val="24"/>
        </w:rPr>
        <w:footnoteReference w:id="24"/>
      </w:r>
      <w:r w:rsidRPr="00E94596">
        <w:rPr>
          <w:rFonts w:ascii="Calibri" w:hAnsi="Calibri" w:cs="Calibri"/>
          <w:sz w:val="24"/>
          <w:szCs w:val="24"/>
        </w:rPr>
        <w:t xml:space="preserve"> This connection creates a parallel between the valuable wisdom coming from the male student’s mother and father and the gifts brought by Lady Wisdom by those with whom she is in a relationship as a ‘sister’, which is a term used in Ancient Near Eastern literature to refer to a romantic partner, for example in the Song of Songs, when the bridegroom declares “You have ravished my heart, my sister, my bride” (Songs 4:9). Lady Wisdom as a lover imitates the wisdom given by the young man’s married parents, thus positioning herself as an ideal candidate for a wife for the young man who wishes to follow his parents’ advice to find a suitable bride. </w:t>
      </w:r>
    </w:p>
    <w:p w14:paraId="1BD52437" w14:textId="1010FE1F" w:rsidR="009973D7" w:rsidRPr="00E94596" w:rsidRDefault="00A56B03" w:rsidP="00711265">
      <w:pPr>
        <w:spacing w:line="360" w:lineRule="auto"/>
        <w:rPr>
          <w:rFonts w:ascii="Calibri" w:hAnsi="Calibri" w:cs="Calibri"/>
          <w:sz w:val="24"/>
          <w:szCs w:val="24"/>
          <w:u w:val="single"/>
        </w:rPr>
      </w:pPr>
      <w:r w:rsidRPr="00E94596">
        <w:rPr>
          <w:rFonts w:ascii="Calibri" w:hAnsi="Calibri" w:cs="Calibri"/>
          <w:sz w:val="24"/>
          <w:szCs w:val="24"/>
          <w:u w:val="single"/>
        </w:rPr>
        <w:t>B</w:t>
      </w:r>
      <w:r w:rsidR="009973D7" w:rsidRPr="00E94596">
        <w:rPr>
          <w:rFonts w:ascii="Calibri" w:hAnsi="Calibri" w:cs="Calibri"/>
          <w:sz w:val="24"/>
          <w:szCs w:val="24"/>
          <w:u w:val="single"/>
        </w:rPr>
        <w:t>enefits of marriage and virtuous wives</w:t>
      </w:r>
    </w:p>
    <w:p w14:paraId="647148E5" w14:textId="60CE8117" w:rsidR="00CC7CAE"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Along with comparisons of economic value, Ben Sira contains extensive descriptions of positive qualities attributed to virtuous wives from which comparisons can be drawn to Lady Wisdom and her portrayal in Ben Sira. In the same way that wives are ‘a pillar of support’ (Sir. 36:29), Lady Wisdom ensures those who listen to her ‘will live secure’ (Sir. 4:15). Similarly to Lady Wisdom, who will ‘exalt’ those who love her ‘above his neighbours’ (Sir. 15:5), good wives who honour their husbands ‘seem wise to all’ (26:25). Arguably the most striking parallel is the language of bondage used in reference to the marital relationship in Ben Sira, where a bad wife is described as ‘a chafing yoke’, who taking hold of is ‘like grasping a scorpion’ (26:7).</w:t>
      </w:r>
      <w:r w:rsidR="008461D0" w:rsidRPr="00E94596">
        <w:rPr>
          <w:rStyle w:val="FootnoteReference"/>
          <w:rFonts w:ascii="Calibri" w:hAnsi="Calibri" w:cs="Calibri"/>
          <w:sz w:val="24"/>
          <w:szCs w:val="24"/>
        </w:rPr>
        <w:footnoteReference w:id="25"/>
      </w:r>
      <w:r w:rsidRPr="00E94596">
        <w:rPr>
          <w:rFonts w:ascii="Calibri" w:hAnsi="Calibri" w:cs="Calibri"/>
          <w:sz w:val="24"/>
          <w:szCs w:val="24"/>
        </w:rPr>
        <w:t xml:space="preserve"> In comparison, the reader is urged to willingly embrace the bonds of Lady Wisdom: ‘Put your feet into her fetters and your neck into her collar,’ (Sir. </w:t>
      </w:r>
      <w:r w:rsidRPr="00E94596">
        <w:rPr>
          <w:rFonts w:ascii="Calibri" w:hAnsi="Calibri" w:cs="Calibri"/>
          <w:sz w:val="24"/>
          <w:szCs w:val="24"/>
        </w:rPr>
        <w:lastRenderedPageBreak/>
        <w:t>6:24) and ‘do not fret under her bonds’ (6:25). Lady Wisdom’s yoke is described as luxurious, ‘a golden ornament’, and ‘her bonds a purple cord’ (Sir. 6:29-30), with her fetters acting as a ‘strong defence’ for those who embrace her and willingly take on her ‘yoke’. (6:29-30). Wives are also described as a defence against danger: ‘where there is no wife, a man will become a fugitive and a wanderer’ (36:30)</w:t>
      </w:r>
      <w:r w:rsidR="00CC7CAE" w:rsidRPr="00E94596">
        <w:rPr>
          <w:rFonts w:ascii="Calibri" w:hAnsi="Calibri" w:cs="Calibri"/>
          <w:sz w:val="24"/>
          <w:szCs w:val="24"/>
        </w:rPr>
        <w:t xml:space="preserve">, and in the same way, Lady Wisdom acts </w:t>
      </w:r>
      <w:r w:rsidR="0036611C" w:rsidRPr="00E94596">
        <w:rPr>
          <w:rFonts w:ascii="Calibri" w:hAnsi="Calibri" w:cs="Calibri"/>
          <w:sz w:val="24"/>
          <w:szCs w:val="24"/>
        </w:rPr>
        <w:t xml:space="preserve">as a defence from liaisons with dangerous adulteress like the Strange Woman. </w:t>
      </w:r>
    </w:p>
    <w:p w14:paraId="7831166A" w14:textId="7EF6D2E4" w:rsidR="0081030B" w:rsidRPr="00E94596" w:rsidRDefault="00EC1889" w:rsidP="0081030B">
      <w:pPr>
        <w:spacing w:line="360" w:lineRule="auto"/>
        <w:rPr>
          <w:rFonts w:ascii="Calibri" w:hAnsi="Calibri" w:cs="Calibri"/>
          <w:sz w:val="24"/>
          <w:szCs w:val="24"/>
        </w:rPr>
      </w:pPr>
      <w:r w:rsidRPr="00E94596">
        <w:rPr>
          <w:rFonts w:ascii="Calibri" w:hAnsi="Calibri" w:cs="Calibri"/>
          <w:sz w:val="24"/>
          <w:szCs w:val="24"/>
        </w:rPr>
        <w:t>Along with these similarities, both Proverbs and Ben Sira praise her capabilities</w:t>
      </w:r>
      <w:r w:rsidR="004C554F" w:rsidRPr="00E94596">
        <w:rPr>
          <w:rFonts w:ascii="Calibri" w:hAnsi="Calibri" w:cs="Calibri"/>
          <w:sz w:val="24"/>
          <w:szCs w:val="24"/>
        </w:rPr>
        <w:t xml:space="preserve"> both</w:t>
      </w:r>
      <w:r w:rsidRPr="00E94596">
        <w:rPr>
          <w:rFonts w:ascii="Calibri" w:hAnsi="Calibri" w:cs="Calibri"/>
          <w:sz w:val="24"/>
          <w:szCs w:val="24"/>
        </w:rPr>
        <w:t xml:space="preserve"> as a successful manager of her household and an object of erotic satisfaction for her desirer in the same way an ideal wife sexually satisfies her husban</w:t>
      </w:r>
      <w:r w:rsidR="003F3D3D" w:rsidRPr="00E94596">
        <w:rPr>
          <w:rFonts w:ascii="Calibri" w:hAnsi="Calibri" w:cs="Calibri"/>
          <w:sz w:val="24"/>
          <w:szCs w:val="24"/>
        </w:rPr>
        <w:t>d</w:t>
      </w:r>
      <w:r w:rsidR="004C554F" w:rsidRPr="00E94596">
        <w:rPr>
          <w:rFonts w:ascii="Calibri" w:hAnsi="Calibri" w:cs="Calibri"/>
          <w:sz w:val="24"/>
          <w:szCs w:val="24"/>
        </w:rPr>
        <w:t xml:space="preserve">, placing Lady Wisdom firmly in the category of wife through her enactment of roles given to wives in ancient Israel. </w:t>
      </w:r>
      <w:r w:rsidR="00B07B3A" w:rsidRPr="00E94596">
        <w:rPr>
          <w:rFonts w:ascii="Calibri" w:hAnsi="Calibri" w:cs="Calibri"/>
          <w:sz w:val="24"/>
          <w:szCs w:val="24"/>
        </w:rPr>
        <w:t>Wives in this period were responsible for the general welfare of the family, providing food and clothing as well as raising and educating their children.</w:t>
      </w:r>
      <w:r w:rsidR="00145FD7" w:rsidRPr="00E94596">
        <w:rPr>
          <w:rStyle w:val="FootnoteReference"/>
          <w:rFonts w:ascii="Calibri" w:hAnsi="Calibri" w:cs="Calibri"/>
          <w:sz w:val="24"/>
          <w:szCs w:val="24"/>
        </w:rPr>
        <w:footnoteReference w:id="26"/>
      </w:r>
      <w:r w:rsidR="0081030B" w:rsidRPr="00E94596">
        <w:rPr>
          <w:rFonts w:ascii="Calibri" w:hAnsi="Calibri" w:cs="Calibri"/>
          <w:sz w:val="24"/>
          <w:szCs w:val="24"/>
        </w:rPr>
        <w:t xml:space="preserve"> Evidence from both Proverbs and Ben Sira support these duties as expectations of wives, with, for example, Proverbs 31’s emphasis on the ideal wife’s role as a provider by describing in detail the clothes and coverings she makes for the household (Prov. 31:22) and her preparing of food and management of servants (31:22). </w:t>
      </w:r>
    </w:p>
    <w:p w14:paraId="61307DCF" w14:textId="77777777" w:rsidR="00C85255"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Evidence from both Proverbs and Ben Sira explain the expectations of good wives, with the concluding poem of Proverbs 31 especially placing emphasis on the ideal wife’s role as provider, describing in detail the clothes and coverings she makes for the household (Prov. 31:22) and her preparing of food and management of servants (31:22). </w:t>
      </w:r>
    </w:p>
    <w:p w14:paraId="68BD4B66" w14:textId="1C010D14" w:rsidR="00EC1889" w:rsidRPr="00E94596" w:rsidRDefault="00C85255" w:rsidP="00451BFE">
      <w:pPr>
        <w:spacing w:line="360" w:lineRule="auto"/>
        <w:rPr>
          <w:rFonts w:ascii="Calibri" w:hAnsi="Calibri" w:cs="Calibri"/>
          <w:sz w:val="24"/>
          <w:szCs w:val="24"/>
        </w:rPr>
      </w:pPr>
      <w:r w:rsidRPr="00E94596">
        <w:rPr>
          <w:rFonts w:ascii="Calibri" w:hAnsi="Calibri" w:cs="Calibri"/>
          <w:sz w:val="24"/>
          <w:szCs w:val="24"/>
        </w:rPr>
        <w:t>Proverbs 31 depicts an ideal wife for the male Israelite audience,</w:t>
      </w:r>
      <w:r w:rsidR="00531F3C" w:rsidRPr="00E94596">
        <w:rPr>
          <w:rStyle w:val="FootnoteReference"/>
          <w:rFonts w:ascii="Calibri" w:hAnsi="Calibri" w:cs="Calibri"/>
          <w:sz w:val="24"/>
          <w:szCs w:val="24"/>
        </w:rPr>
        <w:footnoteReference w:id="27"/>
      </w:r>
      <w:r w:rsidRPr="00E94596">
        <w:rPr>
          <w:rFonts w:ascii="Calibri" w:hAnsi="Calibri" w:cs="Calibri"/>
          <w:sz w:val="24"/>
          <w:szCs w:val="24"/>
        </w:rPr>
        <w:t xml:space="preserve"> and scholars such as Creesh and Clifford have argued it is </w:t>
      </w:r>
      <w:r w:rsidR="00531F3C" w:rsidRPr="00E94596">
        <w:rPr>
          <w:rFonts w:ascii="Calibri" w:hAnsi="Calibri" w:cs="Calibri"/>
          <w:sz w:val="24"/>
          <w:szCs w:val="24"/>
        </w:rPr>
        <w:t>actually a continuation of the</w:t>
      </w:r>
      <w:r w:rsidRPr="00E94596">
        <w:rPr>
          <w:rFonts w:ascii="Calibri" w:hAnsi="Calibri" w:cs="Calibri"/>
          <w:sz w:val="24"/>
          <w:szCs w:val="24"/>
        </w:rPr>
        <w:t xml:space="preserve"> description of Lady Wisdom</w:t>
      </w:r>
      <w:r w:rsidR="00531F3C" w:rsidRPr="00E94596">
        <w:rPr>
          <w:rFonts w:ascii="Calibri" w:hAnsi="Calibri" w:cs="Calibri"/>
          <w:sz w:val="24"/>
          <w:szCs w:val="24"/>
        </w:rPr>
        <w:t>.</w:t>
      </w:r>
      <w:r w:rsidR="00090D3F" w:rsidRPr="00E94596">
        <w:rPr>
          <w:rStyle w:val="FootnoteReference"/>
          <w:rFonts w:ascii="Calibri" w:hAnsi="Calibri" w:cs="Calibri"/>
          <w:sz w:val="24"/>
          <w:szCs w:val="24"/>
        </w:rPr>
        <w:footnoteReference w:id="28"/>
      </w:r>
      <w:r w:rsidR="00842018" w:rsidRPr="00E94596">
        <w:rPr>
          <w:rFonts w:ascii="Calibri" w:hAnsi="Calibri" w:cs="Calibri"/>
          <w:sz w:val="24"/>
          <w:szCs w:val="24"/>
        </w:rPr>
        <w:t xml:space="preserve"> While the current scholarship is not convincing enough to be considered conclusive, Yoder proposes based on similarities between the wi</w:t>
      </w:r>
      <w:r w:rsidR="007676D2" w:rsidRPr="00E94596">
        <w:rPr>
          <w:rFonts w:ascii="Calibri" w:hAnsi="Calibri" w:cs="Calibri"/>
          <w:sz w:val="24"/>
          <w:szCs w:val="24"/>
        </w:rPr>
        <w:t>f</w:t>
      </w:r>
      <w:r w:rsidR="00F57CE9" w:rsidRPr="00E94596">
        <w:rPr>
          <w:rFonts w:ascii="Calibri" w:hAnsi="Calibri" w:cs="Calibri"/>
          <w:sz w:val="24"/>
          <w:szCs w:val="24"/>
        </w:rPr>
        <w:t xml:space="preserve">e of </w:t>
      </w:r>
      <w:r w:rsidR="00842018" w:rsidRPr="00E94596">
        <w:rPr>
          <w:rFonts w:ascii="Calibri" w:hAnsi="Calibri" w:cs="Calibri"/>
          <w:sz w:val="24"/>
          <w:szCs w:val="24"/>
        </w:rPr>
        <w:t xml:space="preserve">Proverbs 31 and </w:t>
      </w:r>
      <w:r w:rsidR="00451BFE" w:rsidRPr="00E94596">
        <w:rPr>
          <w:rFonts w:ascii="Calibri" w:hAnsi="Calibri" w:cs="Calibri"/>
          <w:sz w:val="24"/>
          <w:szCs w:val="24"/>
        </w:rPr>
        <w:t xml:space="preserve">Lady Wisdom that just as the ideal wife figure in Proverbs 31 is based on real Persian-period expectations for women, as her and Lady Wisdom coalesce, Lady Wisdom reflects social </w:t>
      </w:r>
      <w:r w:rsidR="00451BFE" w:rsidRPr="00E94596">
        <w:rPr>
          <w:rFonts w:ascii="Calibri" w:hAnsi="Calibri" w:cs="Calibri"/>
          <w:sz w:val="24"/>
          <w:szCs w:val="24"/>
        </w:rPr>
        <w:lastRenderedPageBreak/>
        <w:t xml:space="preserve">realities </w:t>
      </w:r>
      <w:r w:rsidR="00EC1889" w:rsidRPr="00E94596">
        <w:rPr>
          <w:rFonts w:ascii="Calibri" w:hAnsi="Calibri" w:cs="Calibri"/>
          <w:sz w:val="24"/>
          <w:szCs w:val="24"/>
        </w:rPr>
        <w:t>for Persian-period women and that her description is shaped by the activities and perceptions of ancient Israelite wives.</w:t>
      </w:r>
      <w:r w:rsidR="00EC1889" w:rsidRPr="00E94596">
        <w:rPr>
          <w:rStyle w:val="FootnoteReference"/>
          <w:rFonts w:ascii="Calibri" w:hAnsi="Calibri" w:cs="Calibri"/>
          <w:sz w:val="24"/>
          <w:szCs w:val="24"/>
        </w:rPr>
        <w:footnoteReference w:id="29"/>
      </w:r>
    </w:p>
    <w:p w14:paraId="703935C4" w14:textId="4A651A9D" w:rsidR="00880742" w:rsidRPr="00E94596" w:rsidRDefault="00A56B03" w:rsidP="00711265">
      <w:pPr>
        <w:spacing w:line="360" w:lineRule="auto"/>
        <w:rPr>
          <w:rFonts w:ascii="Calibri" w:hAnsi="Calibri" w:cs="Calibri"/>
          <w:sz w:val="24"/>
          <w:szCs w:val="24"/>
          <w:u w:val="single"/>
        </w:rPr>
      </w:pPr>
      <w:r w:rsidRPr="00E94596">
        <w:rPr>
          <w:rFonts w:ascii="Calibri" w:hAnsi="Calibri" w:cs="Calibri"/>
          <w:sz w:val="24"/>
          <w:szCs w:val="24"/>
          <w:u w:val="single"/>
        </w:rPr>
        <w:t>Wife’s role as household manager and provider</w:t>
      </w:r>
    </w:p>
    <w:p w14:paraId="14D79C8E" w14:textId="5FDACB4E" w:rsidR="00A5424B" w:rsidRPr="00E94596" w:rsidRDefault="001F4FD8" w:rsidP="001F4FD8">
      <w:pPr>
        <w:spacing w:line="360" w:lineRule="auto"/>
        <w:rPr>
          <w:rFonts w:ascii="Calibri" w:hAnsi="Calibri" w:cs="Calibri"/>
          <w:sz w:val="24"/>
          <w:szCs w:val="24"/>
        </w:rPr>
      </w:pPr>
      <w:r w:rsidRPr="00E94596">
        <w:rPr>
          <w:rFonts w:ascii="Calibri" w:hAnsi="Calibri" w:cs="Calibri"/>
          <w:sz w:val="24"/>
          <w:szCs w:val="24"/>
        </w:rPr>
        <w:t>Of all of their duties, the preparation of meals was a crucial role of wives in ancient Israel and was linked integrally to female social identity</w:t>
      </w:r>
      <w:r w:rsidR="00EC1889" w:rsidRPr="00E94596">
        <w:rPr>
          <w:rFonts w:ascii="Calibri" w:hAnsi="Calibri" w:cs="Calibri"/>
          <w:sz w:val="24"/>
          <w:szCs w:val="24"/>
        </w:rPr>
        <w:t>.</w:t>
      </w:r>
      <w:r w:rsidR="00EC1889" w:rsidRPr="00E94596">
        <w:rPr>
          <w:rStyle w:val="FootnoteReference"/>
          <w:rFonts w:ascii="Calibri" w:hAnsi="Calibri" w:cs="Calibri"/>
          <w:sz w:val="24"/>
          <w:szCs w:val="24"/>
        </w:rPr>
        <w:footnoteReference w:id="30"/>
      </w:r>
      <w:r w:rsidR="00EC1889" w:rsidRPr="00E94596">
        <w:rPr>
          <w:rFonts w:ascii="Calibri" w:hAnsi="Calibri" w:cs="Calibri"/>
          <w:sz w:val="24"/>
          <w:szCs w:val="24"/>
        </w:rPr>
        <w:t xml:space="preserve"> </w:t>
      </w:r>
      <w:r w:rsidR="00A5424B" w:rsidRPr="00E94596">
        <w:rPr>
          <w:rFonts w:ascii="Calibri" w:hAnsi="Calibri" w:cs="Calibri"/>
          <w:sz w:val="24"/>
          <w:szCs w:val="24"/>
        </w:rPr>
        <w:t>Lady Wisdom’s actions in managing her household and preparing a banquet place her in this wifely role, as it is described in Proverbs:</w:t>
      </w:r>
    </w:p>
    <w:p w14:paraId="18044B3B"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t xml:space="preserve">Wisdom has built her house; she has hewn her seven pillars. She has slaughtered her animals, she has mixed her wine, she has also set her table. She has sent out her servant-girls. (Prov. 9:1-3) </w:t>
      </w:r>
    </w:p>
    <w:p w14:paraId="77C6D42C" w14:textId="396F39FD" w:rsidR="00EC1889" w:rsidRPr="00E94596" w:rsidRDefault="007F4E45" w:rsidP="00E87120">
      <w:pPr>
        <w:spacing w:line="360" w:lineRule="auto"/>
        <w:rPr>
          <w:rFonts w:ascii="Calibri" w:hAnsi="Calibri" w:cs="Calibri"/>
          <w:sz w:val="24"/>
          <w:szCs w:val="24"/>
        </w:rPr>
      </w:pPr>
      <w:r w:rsidRPr="00E94596">
        <w:rPr>
          <w:rFonts w:ascii="Calibri" w:hAnsi="Calibri" w:cs="Calibri"/>
          <w:sz w:val="24"/>
          <w:szCs w:val="24"/>
        </w:rPr>
        <w:t>This passage clearly demonstrates Lady Wisdom’s capabilities as provider and manager of her household</w:t>
      </w:r>
      <w:r w:rsidR="00E87120" w:rsidRPr="00E94596">
        <w:rPr>
          <w:rFonts w:ascii="Calibri" w:hAnsi="Calibri" w:cs="Calibri"/>
          <w:sz w:val="24"/>
          <w:szCs w:val="24"/>
        </w:rPr>
        <w:t xml:space="preserve">. She </w:t>
      </w:r>
      <w:r w:rsidR="00EC1889" w:rsidRPr="00E94596">
        <w:rPr>
          <w:rFonts w:ascii="Calibri" w:hAnsi="Calibri" w:cs="Calibri"/>
          <w:sz w:val="24"/>
          <w:szCs w:val="24"/>
        </w:rPr>
        <w:t xml:space="preserve">prepares a feast in her home, preparing food and mixing wine for her guests. She is presented as a skilful manager, sending out servant girls to invite her guests into her home. In contrast with the earlier descriptions of her calling in the street, Lady Wisdom here is </w:t>
      </w:r>
      <w:r w:rsidR="00E87120" w:rsidRPr="00E94596">
        <w:rPr>
          <w:rFonts w:ascii="Calibri" w:hAnsi="Calibri" w:cs="Calibri"/>
          <w:sz w:val="24"/>
          <w:szCs w:val="24"/>
        </w:rPr>
        <w:t xml:space="preserve">shown to be </w:t>
      </w:r>
      <w:r w:rsidR="00EC1889" w:rsidRPr="00E94596">
        <w:rPr>
          <w:rFonts w:ascii="Calibri" w:hAnsi="Calibri" w:cs="Calibri"/>
          <w:sz w:val="24"/>
          <w:szCs w:val="24"/>
        </w:rPr>
        <w:t xml:space="preserve">established in her </w:t>
      </w:r>
      <w:proofErr w:type="gramStart"/>
      <w:r w:rsidR="00EC1889" w:rsidRPr="00E94596">
        <w:rPr>
          <w:rFonts w:ascii="Calibri" w:hAnsi="Calibri" w:cs="Calibri"/>
          <w:sz w:val="24"/>
          <w:szCs w:val="24"/>
        </w:rPr>
        <w:t>household</w:t>
      </w:r>
      <w:r w:rsidR="00ED6813" w:rsidRPr="00E94596">
        <w:rPr>
          <w:rFonts w:ascii="Calibri" w:hAnsi="Calibri" w:cs="Calibri"/>
          <w:sz w:val="24"/>
          <w:szCs w:val="24"/>
        </w:rPr>
        <w:t>,</w:t>
      </w:r>
      <w:r w:rsidR="00EC1889" w:rsidRPr="00E94596">
        <w:rPr>
          <w:rFonts w:ascii="Calibri" w:hAnsi="Calibri" w:cs="Calibri"/>
          <w:sz w:val="24"/>
          <w:szCs w:val="24"/>
        </w:rPr>
        <w:t xml:space="preserve"> and</w:t>
      </w:r>
      <w:proofErr w:type="gramEnd"/>
      <w:r w:rsidR="00EC1889" w:rsidRPr="00E94596">
        <w:rPr>
          <w:rFonts w:ascii="Calibri" w:hAnsi="Calibri" w:cs="Calibri"/>
          <w:sz w:val="24"/>
          <w:szCs w:val="24"/>
        </w:rPr>
        <w:t xml:space="preserve"> efficiently carries out the duties </w:t>
      </w:r>
      <w:r w:rsidR="00EC206E" w:rsidRPr="00E94596">
        <w:rPr>
          <w:rFonts w:ascii="Calibri" w:hAnsi="Calibri" w:cs="Calibri"/>
          <w:sz w:val="24"/>
          <w:szCs w:val="24"/>
        </w:rPr>
        <w:t xml:space="preserve">that were given </w:t>
      </w:r>
      <w:r w:rsidR="00EC1889" w:rsidRPr="00E94596">
        <w:rPr>
          <w:rFonts w:ascii="Calibri" w:hAnsi="Calibri" w:cs="Calibri"/>
          <w:sz w:val="24"/>
          <w:szCs w:val="24"/>
        </w:rPr>
        <w:t>to wives in ancient Israel.</w:t>
      </w:r>
      <w:r w:rsidR="0014341A" w:rsidRPr="00E94596">
        <w:rPr>
          <w:rStyle w:val="FootnoteReference"/>
          <w:rFonts w:ascii="Calibri" w:hAnsi="Calibri" w:cs="Calibri"/>
          <w:sz w:val="24"/>
          <w:szCs w:val="24"/>
        </w:rPr>
        <w:footnoteReference w:id="31"/>
      </w:r>
    </w:p>
    <w:p w14:paraId="21C68F9A" w14:textId="3199E596"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Particularly </w:t>
      </w:r>
      <w:r w:rsidR="00E87120" w:rsidRPr="00E94596">
        <w:rPr>
          <w:rFonts w:ascii="Calibri" w:hAnsi="Calibri" w:cs="Calibri"/>
          <w:sz w:val="24"/>
          <w:szCs w:val="24"/>
        </w:rPr>
        <w:t>unique</w:t>
      </w:r>
      <w:r w:rsidRPr="00E94596">
        <w:rPr>
          <w:rFonts w:ascii="Calibri" w:hAnsi="Calibri" w:cs="Calibri"/>
          <w:sz w:val="24"/>
          <w:szCs w:val="24"/>
        </w:rPr>
        <w:t xml:space="preserve"> in this passage is the description of Lady Wisdom building her house (Prov. 9:1). Biblical literature presents the building and sustaining of households as an essential concern for women, often physically;</w:t>
      </w:r>
      <w:r w:rsidRPr="00E94596">
        <w:rPr>
          <w:rStyle w:val="FootnoteReference"/>
          <w:rFonts w:ascii="Calibri" w:hAnsi="Calibri" w:cs="Calibri"/>
          <w:sz w:val="24"/>
          <w:szCs w:val="24"/>
        </w:rPr>
        <w:footnoteReference w:id="32"/>
      </w:r>
      <w:r w:rsidRPr="00E94596">
        <w:rPr>
          <w:rFonts w:ascii="Calibri" w:hAnsi="Calibri" w:cs="Calibri"/>
          <w:sz w:val="24"/>
          <w:szCs w:val="24"/>
        </w:rPr>
        <w:t xml:space="preserve"> just as Lady Wisdom is described as carving her home’s pillars, an Israelite prayer from Psalms wishes that “our daughters be like the corner pillars cut for the structure of a palace” (Ps. 144:12).  Biblical matriarchs such as Rebekah and Naomi were portrayed as having extended interest in house building, which </w:t>
      </w:r>
      <w:r w:rsidR="00234781" w:rsidRPr="00E94596">
        <w:rPr>
          <w:rFonts w:ascii="Calibri" w:hAnsi="Calibri" w:cs="Calibri"/>
          <w:sz w:val="24"/>
          <w:szCs w:val="24"/>
        </w:rPr>
        <w:t xml:space="preserve">as a trope was used to represent </w:t>
      </w:r>
      <w:r w:rsidRPr="00E94596">
        <w:rPr>
          <w:rFonts w:ascii="Calibri" w:hAnsi="Calibri" w:cs="Calibri"/>
          <w:sz w:val="24"/>
          <w:szCs w:val="24"/>
        </w:rPr>
        <w:t>“the establishment of secure and properly blessed family life.”</w:t>
      </w:r>
      <w:r w:rsidRPr="00E94596">
        <w:rPr>
          <w:rStyle w:val="FootnoteReference"/>
          <w:rFonts w:ascii="Calibri" w:hAnsi="Calibri" w:cs="Calibri"/>
          <w:sz w:val="24"/>
          <w:szCs w:val="24"/>
        </w:rPr>
        <w:footnoteReference w:id="33"/>
      </w:r>
      <w:r w:rsidRPr="00E94596">
        <w:rPr>
          <w:rFonts w:ascii="Calibri" w:hAnsi="Calibri" w:cs="Calibri"/>
          <w:sz w:val="24"/>
          <w:szCs w:val="24"/>
        </w:rPr>
        <w:t xml:space="preserve"> Connotations for house building in Israelite literature include concern for one’s family, expected from typical wives and mothers, but also women’s roles in identity, bonding and </w:t>
      </w:r>
      <w:r w:rsidRPr="00E94596">
        <w:rPr>
          <w:rFonts w:ascii="Calibri" w:hAnsi="Calibri" w:cs="Calibri"/>
          <w:sz w:val="24"/>
          <w:szCs w:val="24"/>
        </w:rPr>
        <w:lastRenderedPageBreak/>
        <w:t>community.</w:t>
      </w:r>
      <w:r w:rsidRPr="00E94596">
        <w:rPr>
          <w:rStyle w:val="FootnoteReference"/>
          <w:rFonts w:ascii="Calibri" w:hAnsi="Calibri" w:cs="Calibri"/>
          <w:sz w:val="24"/>
          <w:szCs w:val="24"/>
        </w:rPr>
        <w:footnoteReference w:id="34"/>
      </w:r>
      <w:r w:rsidRPr="00E94596">
        <w:rPr>
          <w:rFonts w:ascii="Calibri" w:hAnsi="Calibri" w:cs="Calibri"/>
          <w:sz w:val="24"/>
          <w:szCs w:val="24"/>
        </w:rPr>
        <w:t xml:space="preserve"> As the providers of new generations and givers of sustenance, women and especially those in wife roles were crucial in maintaining a functioning society. In this way, praise of Lady Wisdom has roots in praise for the crucial roles carried out by women in Israelite society. Ben Sira describes: “He who acquires a wife gets his best possession, a helper fit for him and a pillar of support” (Sirach 36:29) and praises a good wife by comparing her beautiful form to “golden pillars on silver bases” (26:18). While the patriarchal viewpoint is clearly evident in the designation of a wife as a possession, the importance of women as ‘pillar[s] of support’ in the building of a home highlights the value placed on women as homemakers and the understanding of their importance as physical supporters of a household – just as Lady Wisdom builds her house and carves its pillars (Prov. 9:1)</w:t>
      </w:r>
    </w:p>
    <w:p w14:paraId="597FC4E9" w14:textId="0435BC91"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The book of Ben Sira also contains evidence for Lady Wisdom in the role of sustenance provider in the first-person account of her qualities, in which she describes herself using similes comparing herself to various plants and trees. Announcing her producing of many goods, she commands, “Come to me, you who desire me, and eat your fill of my fruits” (Sirach 24:19). Aside from the erotic connotations,</w:t>
      </w:r>
      <w:r w:rsidR="00C4076C" w:rsidRPr="00E94596">
        <w:rPr>
          <w:rFonts w:ascii="Calibri" w:hAnsi="Calibri" w:cs="Calibri"/>
          <w:sz w:val="24"/>
          <w:szCs w:val="24"/>
        </w:rPr>
        <w:t xml:space="preserve"> </w:t>
      </w:r>
      <w:r w:rsidRPr="00E94596">
        <w:rPr>
          <w:rFonts w:ascii="Calibri" w:hAnsi="Calibri" w:cs="Calibri"/>
          <w:sz w:val="24"/>
          <w:szCs w:val="24"/>
        </w:rPr>
        <w:t>she offers her desirer the fruits of her labour, explaining that her work brings fruitful resources as her “blossoms become glorious and abundant fruit” (24:17). Scholars such as McKinlay have drawn comparisons here, along with the quote from Proverbs “She is a tree of life to those who lay hold of her” (Prov. 3:18), to argue a borrowing from the ancient goddess Asherah who was symbolically associated with trees.</w:t>
      </w:r>
      <w:r w:rsidRPr="00E94596">
        <w:rPr>
          <w:rStyle w:val="FootnoteReference"/>
          <w:rFonts w:ascii="Calibri" w:hAnsi="Calibri" w:cs="Calibri"/>
          <w:sz w:val="24"/>
          <w:szCs w:val="24"/>
        </w:rPr>
        <w:footnoteReference w:id="35"/>
      </w:r>
      <w:r w:rsidRPr="00E94596">
        <w:rPr>
          <w:rFonts w:ascii="Calibri" w:hAnsi="Calibri" w:cs="Calibri"/>
          <w:sz w:val="24"/>
          <w:szCs w:val="24"/>
        </w:rPr>
        <w:t xml:space="preserve"> However, the frequency in the near Eastern iconographic record of trees that give life show it was an important cultural ideal that was not confined to divine symbols,</w:t>
      </w:r>
      <w:r w:rsidRPr="00E94596">
        <w:rPr>
          <w:rStyle w:val="FootnoteReference"/>
          <w:rFonts w:ascii="Calibri" w:hAnsi="Calibri" w:cs="Calibri"/>
          <w:sz w:val="24"/>
          <w:szCs w:val="24"/>
        </w:rPr>
        <w:footnoteReference w:id="36"/>
      </w:r>
      <w:r w:rsidRPr="00E94596">
        <w:rPr>
          <w:rFonts w:ascii="Calibri" w:hAnsi="Calibri" w:cs="Calibri"/>
          <w:sz w:val="24"/>
          <w:szCs w:val="24"/>
        </w:rPr>
        <w:t xml:space="preserve"> meaning this reference cannot be conclusively linked to a borrowing from goddess imagery, but </w:t>
      </w:r>
      <w:r w:rsidRPr="00E94596">
        <w:rPr>
          <w:rFonts w:ascii="Calibri" w:hAnsi="Calibri" w:cs="Calibri"/>
          <w:i/>
          <w:iCs/>
          <w:sz w:val="24"/>
          <w:szCs w:val="24"/>
        </w:rPr>
        <w:t>can</w:t>
      </w:r>
      <w:r w:rsidRPr="00E94596">
        <w:rPr>
          <w:rFonts w:ascii="Calibri" w:hAnsi="Calibri" w:cs="Calibri"/>
          <w:sz w:val="24"/>
          <w:szCs w:val="24"/>
        </w:rPr>
        <w:t xml:space="preserve"> be interpreted as labelling Lady Wisdom as a provider of both food</w:t>
      </w:r>
      <w:r w:rsidR="00234781" w:rsidRPr="00E94596">
        <w:rPr>
          <w:rFonts w:ascii="Calibri" w:hAnsi="Calibri" w:cs="Calibri"/>
          <w:sz w:val="24"/>
          <w:szCs w:val="24"/>
        </w:rPr>
        <w:t xml:space="preserve"> </w:t>
      </w:r>
      <w:r w:rsidRPr="00E94596">
        <w:rPr>
          <w:rFonts w:ascii="Calibri" w:hAnsi="Calibri" w:cs="Calibri"/>
          <w:sz w:val="24"/>
          <w:szCs w:val="24"/>
        </w:rPr>
        <w:t xml:space="preserve">and life to those who love and rely on her. </w:t>
      </w:r>
    </w:p>
    <w:p w14:paraId="40275571" w14:textId="7A202420" w:rsidR="006B7515" w:rsidRPr="00E94596" w:rsidRDefault="00EC1889" w:rsidP="001E4C0D">
      <w:pPr>
        <w:spacing w:line="360" w:lineRule="auto"/>
        <w:rPr>
          <w:rFonts w:ascii="Calibri" w:hAnsi="Calibri" w:cs="Calibri"/>
          <w:sz w:val="24"/>
          <w:szCs w:val="24"/>
        </w:rPr>
      </w:pPr>
      <w:r w:rsidRPr="00E94596">
        <w:rPr>
          <w:rFonts w:ascii="Calibri" w:hAnsi="Calibri" w:cs="Calibri"/>
          <w:sz w:val="24"/>
          <w:szCs w:val="24"/>
        </w:rPr>
        <w:t xml:space="preserve">Lady Wisdom is further connected with abundance and sustenance when the reader is encouraged to “wait for her good harvest” (Sir. 6:19), </w:t>
      </w:r>
      <w:r w:rsidR="00772D13" w:rsidRPr="00E94596">
        <w:rPr>
          <w:rFonts w:ascii="Calibri" w:hAnsi="Calibri" w:cs="Calibri"/>
          <w:sz w:val="24"/>
          <w:szCs w:val="24"/>
        </w:rPr>
        <w:t>as they will soon “</w:t>
      </w:r>
      <w:r w:rsidRPr="00E94596">
        <w:rPr>
          <w:rFonts w:ascii="Calibri" w:hAnsi="Calibri" w:cs="Calibri"/>
          <w:sz w:val="24"/>
          <w:szCs w:val="24"/>
        </w:rPr>
        <w:t xml:space="preserve">eat of her produce” </w:t>
      </w:r>
      <w:r w:rsidRPr="00E94596">
        <w:rPr>
          <w:rFonts w:ascii="Calibri" w:hAnsi="Calibri" w:cs="Calibri"/>
          <w:sz w:val="24"/>
          <w:szCs w:val="24"/>
        </w:rPr>
        <w:lastRenderedPageBreak/>
        <w:t>(6:20), with acquisition of Lady Wisdom related to a reduction in the man’s work (“when you cultivate her you will toil but little” [6:20]; “at last you will find the rest she gives” [6:28]; “she will be changed into joy for you” [6:28]).</w:t>
      </w:r>
      <w:r w:rsidR="005C3E5D" w:rsidRPr="00E94596">
        <w:rPr>
          <w:rFonts w:ascii="Calibri" w:hAnsi="Calibri" w:cs="Calibri"/>
          <w:sz w:val="24"/>
          <w:szCs w:val="24"/>
        </w:rPr>
        <w:t xml:space="preserve"> </w:t>
      </w:r>
      <w:r w:rsidR="005F62C5" w:rsidRPr="00E94596">
        <w:rPr>
          <w:rFonts w:ascii="Calibri" w:hAnsi="Calibri" w:cs="Calibri"/>
          <w:sz w:val="24"/>
          <w:szCs w:val="24"/>
        </w:rPr>
        <w:t xml:space="preserve">In the same way, Ben Sira lists the benefits of a virtuous wife as entailing her knowledge putting flesh on his bones (26:13-14), </w:t>
      </w:r>
      <w:r w:rsidRPr="00E94596">
        <w:rPr>
          <w:rFonts w:ascii="Calibri" w:hAnsi="Calibri" w:cs="Calibri"/>
          <w:sz w:val="24"/>
          <w:szCs w:val="24"/>
        </w:rPr>
        <w:t>with compliments to loyal wives who keep their husbands healthy and make their husbands put on fat, implying this is through providing a plentiful and healthy diet (26:1-2)</w:t>
      </w:r>
      <w:r w:rsidR="00C4076C" w:rsidRPr="00E94596">
        <w:rPr>
          <w:rFonts w:ascii="Calibri" w:hAnsi="Calibri" w:cs="Calibri"/>
          <w:sz w:val="24"/>
          <w:szCs w:val="24"/>
        </w:rPr>
        <w:t xml:space="preserve"> with a good wife meaning “the number of his days will be doubled” (Sir. 26:1) </w:t>
      </w:r>
      <w:r w:rsidRPr="00E94596">
        <w:rPr>
          <w:rFonts w:ascii="Calibri" w:hAnsi="Calibri" w:cs="Calibri"/>
          <w:sz w:val="24"/>
          <w:szCs w:val="24"/>
        </w:rPr>
        <w:t>and declares “where there is no wife, a man will become a fugitive and a wanderer” (36:30). A longer, safer and happier life is brought by a virtuous wife to her family, just as Lady Wisdom is a source of life to those who love her (Prov. 8:17-21)</w:t>
      </w:r>
      <w:r w:rsidR="001E4C0D" w:rsidRPr="00E94596">
        <w:rPr>
          <w:rFonts w:ascii="Calibri" w:hAnsi="Calibri" w:cs="Calibri"/>
          <w:sz w:val="24"/>
          <w:szCs w:val="24"/>
        </w:rPr>
        <w:t>.</w:t>
      </w:r>
      <w:r w:rsidRPr="00E94596">
        <w:rPr>
          <w:rFonts w:ascii="Calibri" w:hAnsi="Calibri" w:cs="Calibri"/>
          <w:sz w:val="24"/>
          <w:szCs w:val="24"/>
        </w:rPr>
        <w:t xml:space="preserve"> </w:t>
      </w:r>
      <w:r w:rsidR="006B7515" w:rsidRPr="00E94596">
        <w:rPr>
          <w:rFonts w:ascii="Calibri" w:hAnsi="Calibri" w:cs="Calibri"/>
          <w:sz w:val="24"/>
          <w:szCs w:val="24"/>
        </w:rPr>
        <w:t xml:space="preserve">By comparing Lady Wisdom and her actions as a provider to the role of wives in ancient Israel, her purpose as a construct becomes clear </w:t>
      </w:r>
      <w:r w:rsidR="001E4C0D" w:rsidRPr="00E94596">
        <w:rPr>
          <w:rFonts w:ascii="Calibri" w:hAnsi="Calibri" w:cs="Calibri"/>
          <w:sz w:val="24"/>
          <w:szCs w:val="24"/>
        </w:rPr>
        <w:t xml:space="preserve">in how closely she aligns with the characteristics of good wives described in Ben Sira and Proverbs. </w:t>
      </w:r>
    </w:p>
    <w:p w14:paraId="451FBC98" w14:textId="500249FD" w:rsidR="00C27B22" w:rsidRPr="00E94596" w:rsidRDefault="00C27B22" w:rsidP="00711265">
      <w:pPr>
        <w:spacing w:line="360" w:lineRule="auto"/>
        <w:rPr>
          <w:rFonts w:ascii="Calibri" w:hAnsi="Calibri" w:cs="Calibri"/>
          <w:sz w:val="24"/>
          <w:szCs w:val="24"/>
          <w:u w:val="single"/>
        </w:rPr>
      </w:pPr>
      <w:r w:rsidRPr="00E94596">
        <w:rPr>
          <w:rFonts w:ascii="Calibri" w:hAnsi="Calibri" w:cs="Calibri"/>
          <w:sz w:val="24"/>
          <w:szCs w:val="24"/>
          <w:u w:val="single"/>
        </w:rPr>
        <w:t>Erotic desir</w:t>
      </w:r>
      <w:r w:rsidR="00A56B03" w:rsidRPr="00E94596">
        <w:rPr>
          <w:rFonts w:ascii="Calibri" w:hAnsi="Calibri" w:cs="Calibri"/>
          <w:sz w:val="24"/>
          <w:szCs w:val="24"/>
          <w:u w:val="single"/>
        </w:rPr>
        <w:t xml:space="preserve">ability </w:t>
      </w:r>
    </w:p>
    <w:p w14:paraId="68D5905D" w14:textId="43E73D25" w:rsidR="00EC1889" w:rsidRPr="00E94596" w:rsidRDefault="00EC55A8" w:rsidP="00EC55A8">
      <w:pPr>
        <w:spacing w:line="360" w:lineRule="auto"/>
        <w:rPr>
          <w:rFonts w:ascii="Calibri" w:hAnsi="Calibri" w:cs="Calibri"/>
          <w:sz w:val="24"/>
          <w:szCs w:val="24"/>
        </w:rPr>
      </w:pPr>
      <w:r w:rsidRPr="00E94596">
        <w:rPr>
          <w:rFonts w:ascii="Calibri" w:hAnsi="Calibri" w:cs="Calibri"/>
          <w:sz w:val="24"/>
          <w:szCs w:val="24"/>
        </w:rPr>
        <w:t xml:space="preserve">As well as fulfilling the household tasks expected of a wife, Lady Wisdom is described as provider of </w:t>
      </w:r>
      <w:r w:rsidR="00EC1889" w:rsidRPr="00E94596">
        <w:rPr>
          <w:rFonts w:ascii="Calibri" w:hAnsi="Calibri" w:cs="Calibri"/>
          <w:sz w:val="24"/>
          <w:szCs w:val="24"/>
        </w:rPr>
        <w:t>sexual desire and satisfaction, as was considered a wife’s duty in the Ancient Near East</w:t>
      </w:r>
      <w:r w:rsidRPr="00E94596">
        <w:rPr>
          <w:rFonts w:ascii="Calibri" w:hAnsi="Calibri" w:cs="Calibri"/>
          <w:sz w:val="24"/>
          <w:szCs w:val="24"/>
        </w:rPr>
        <w:t xml:space="preserve">. </w:t>
      </w:r>
      <w:r w:rsidR="00EC1889" w:rsidRPr="00E94596">
        <w:rPr>
          <w:rFonts w:ascii="Calibri" w:hAnsi="Calibri" w:cs="Calibri"/>
          <w:sz w:val="24"/>
          <w:szCs w:val="24"/>
        </w:rPr>
        <w:t>Both Proverbs and Ben Sira highlight the sexual component of marriage, referring to the importance of a woman’s beauty, as “A woman’s beauty lights up a man’s face, and there is nothing he desires more,” (Sir</w:t>
      </w:r>
      <w:r w:rsidRPr="00E94596">
        <w:rPr>
          <w:rFonts w:ascii="Calibri" w:hAnsi="Calibri" w:cs="Calibri"/>
          <w:sz w:val="24"/>
          <w:szCs w:val="24"/>
        </w:rPr>
        <w:t>.</w:t>
      </w:r>
      <w:r w:rsidR="00EC1889" w:rsidRPr="00E94596">
        <w:rPr>
          <w:rFonts w:ascii="Calibri" w:hAnsi="Calibri" w:cs="Calibri"/>
          <w:sz w:val="24"/>
          <w:szCs w:val="24"/>
        </w:rPr>
        <w:t xml:space="preserve"> 36:27). In the book of Proverbs, warnings against adultery are reinforced with a command for men to seek sexual satisfaction with their wives:</w:t>
      </w:r>
    </w:p>
    <w:p w14:paraId="64101C18"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t xml:space="preserve">Let your fountain be blessed and rejoice in the wife of your youth, a lovely deer, a graceful doe. May her breasts satisfy you at all times; may you be intoxicated always by her love. (Prov. 5:18) </w:t>
      </w:r>
    </w:p>
    <w:p w14:paraId="5912BC87"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Alongside this description of a wife as a ‘fountain’, McKane argues that Proverbs presents an alternative water-based metaphor for adultery, ordering readers to only have sexual intercourse with their wife:</w:t>
      </w:r>
      <w:r w:rsidRPr="00E94596">
        <w:rPr>
          <w:rStyle w:val="FootnoteReference"/>
          <w:rFonts w:ascii="Calibri" w:hAnsi="Calibri" w:cs="Calibri"/>
          <w:sz w:val="24"/>
          <w:szCs w:val="24"/>
        </w:rPr>
        <w:footnoteReference w:id="37"/>
      </w:r>
    </w:p>
    <w:p w14:paraId="3ED771E4"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lastRenderedPageBreak/>
        <w:t xml:space="preserve">Drink water from your own cistern, flowing water from your own well. Should your springs be scattered abroad, streams of water in the streets? Let them be for yourself alone, and not for sharing with strangers. (Prov. 5:15-17) </w:t>
      </w:r>
    </w:p>
    <w:p w14:paraId="6A39126A" w14:textId="7C958BB4"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As works of literature focused on practical guidance for young male readers, both Proverbs and Ben Sira address societal issues and place a clear emphasis on defining a paradigm of appropriate sexuality and attraction, denouncing adulterous relations as inappropriate and sinful. In these works, the use of water imagery reflects the fountains and wells in the Song of Songs; single-streamed and channelled water like fresh flowing water in rivers or streams and water contained in receptacles was a symbol of socially acceptable female sexuality and sexual relations, while dispersed water, spilled or running through the public domain was a symbol of unsanctioned and dangerous sexual behaviour.</w:t>
      </w:r>
      <w:r w:rsidRPr="00E94596">
        <w:rPr>
          <w:rStyle w:val="FootnoteReference"/>
          <w:rFonts w:ascii="Calibri" w:hAnsi="Calibri" w:cs="Calibri"/>
          <w:sz w:val="24"/>
          <w:szCs w:val="24"/>
        </w:rPr>
        <w:footnoteReference w:id="38"/>
      </w:r>
      <w:r w:rsidRPr="00E94596">
        <w:rPr>
          <w:rFonts w:ascii="Calibri" w:hAnsi="Calibri" w:cs="Calibri"/>
          <w:sz w:val="24"/>
          <w:szCs w:val="24"/>
        </w:rPr>
        <w:t xml:space="preserve"> Following this, Imray argued that the well and cistern of Prov. 5:15 likely refer to a wife’s womb or vagina, metaphorically considered also a source of fresh flowing water.</w:t>
      </w:r>
      <w:r w:rsidRPr="00E94596">
        <w:rPr>
          <w:rStyle w:val="FootnoteReference"/>
          <w:rFonts w:ascii="Calibri" w:hAnsi="Calibri" w:cs="Calibri"/>
          <w:sz w:val="24"/>
          <w:szCs w:val="24"/>
        </w:rPr>
        <w:footnoteReference w:id="39"/>
      </w:r>
      <w:r w:rsidRPr="00E94596">
        <w:rPr>
          <w:rFonts w:ascii="Calibri" w:hAnsi="Calibri" w:cs="Calibri"/>
          <w:sz w:val="24"/>
          <w:szCs w:val="24"/>
        </w:rPr>
        <w:t xml:space="preserve"> Lady Wisdom fits into this metaphor when describing herself in first person as a multitude of rivers, as a source of water that nourishes and provides: “I came forth like a canal from a river, like a water channel into a garden” (Sirach 24:30); “I will water my garden and drench my flower beds” (24:31); “My canal became a river and my river a sea” (24:31). As a source of sustenance and quencher of thirst, parallels can be drawn to Lady Wisdom as an erotic figure in a similar way to the wife described in Proverbs 5:15-18. </w:t>
      </w:r>
    </w:p>
    <w:p w14:paraId="2A845D80"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In the paradigm of appropriate and inappropriate sexuality, both texts make clear that sex within marriage is the only acceptable option as an outlet for erotic desire. Schroer notes the contrast between the eroticisation of the reader’s relationship with Lady wisdom and the ordered control and elimination of sex between unmarried men and women.</w:t>
      </w:r>
      <w:r w:rsidRPr="00E94596">
        <w:rPr>
          <w:rStyle w:val="FootnoteReference"/>
          <w:rFonts w:ascii="Calibri" w:hAnsi="Calibri" w:cs="Calibri"/>
          <w:sz w:val="24"/>
          <w:szCs w:val="24"/>
        </w:rPr>
        <w:footnoteReference w:id="40"/>
      </w:r>
      <w:r w:rsidRPr="00E94596">
        <w:rPr>
          <w:rFonts w:ascii="Calibri" w:hAnsi="Calibri" w:cs="Calibri"/>
          <w:sz w:val="24"/>
          <w:szCs w:val="24"/>
        </w:rPr>
        <w:t xml:space="preserve"> Demonisation of the Strange Woman for her adulterous actions in Proverbs and Ben Sira’s degradation of unfaithful women both point to the necessity for Lady Wisdom to be placed in a wife role in order for the plentiful language of erotic desire in the texts to still be praised </w:t>
      </w:r>
      <w:r w:rsidRPr="00E94596">
        <w:rPr>
          <w:rFonts w:ascii="Calibri" w:hAnsi="Calibri" w:cs="Calibri"/>
          <w:sz w:val="24"/>
          <w:szCs w:val="24"/>
        </w:rPr>
        <w:lastRenderedPageBreak/>
        <w:t xml:space="preserve">Direct comparisons can even be drawn between the praise of Lady Wisdom and the condemnation of adultery: unlike adulterous women, who are condemned to infertility as “her children will not take root, and her branches will not bear fruit” (Sir. 23:25), Lady Wisdom’s fidelity and virtue means she grows abundant fruits (24:17). This juxtaposition of Lady Wisdom’s legitimate sexualisation next to the condemnation of extra-marital sexual relations supports the conclusion that Lady Wisdom is placed in the wife role to the reading student, as otherwise an erotic relationship would be taboo and against Proverbs and Ben Sira’s own condemnations of adultery and premarital sex. </w:t>
      </w:r>
    </w:p>
    <w:p w14:paraId="3303CE0B"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Beginning with erotic language in the book of Proverbs, desire is primarily communicated through the motif of seeking and finding, with the attraction between men and Lady Wisdom drawing on terminology used in the bible to describe the allures of wives and temptresses.</w:t>
      </w:r>
      <w:r w:rsidRPr="00E94596">
        <w:rPr>
          <w:rStyle w:val="FootnoteReference"/>
          <w:rFonts w:ascii="Calibri" w:hAnsi="Calibri" w:cs="Calibri"/>
          <w:sz w:val="24"/>
          <w:szCs w:val="24"/>
        </w:rPr>
        <w:footnoteReference w:id="41"/>
      </w:r>
      <w:r w:rsidRPr="00E94596">
        <w:rPr>
          <w:rFonts w:ascii="Calibri" w:hAnsi="Calibri" w:cs="Calibri"/>
          <w:sz w:val="24"/>
          <w:szCs w:val="24"/>
        </w:rPr>
        <w:t xml:space="preserve"> Lady Wisdom describes requited love for her lover (Prov. 8:17) and says “those who seek me diligently find me” (8:17), which Forti argues portrays her as a lover who seeks and is sought by her beloved.</w:t>
      </w:r>
      <w:r w:rsidRPr="00E94596">
        <w:rPr>
          <w:rStyle w:val="FootnoteReference"/>
          <w:rFonts w:ascii="Calibri" w:hAnsi="Calibri" w:cs="Calibri"/>
          <w:sz w:val="24"/>
          <w:szCs w:val="24"/>
        </w:rPr>
        <w:footnoteReference w:id="42"/>
      </w:r>
      <w:r w:rsidRPr="00E94596">
        <w:rPr>
          <w:rFonts w:ascii="Calibri" w:hAnsi="Calibri" w:cs="Calibri"/>
          <w:sz w:val="24"/>
          <w:szCs w:val="24"/>
        </w:rPr>
        <w:t xml:space="preserve"> One particularly striking image from Proverbs describes a man waiting at the doors of Lady Wisdom’s house using language of erotic coyness in a similar image to the woman’s beloved in the Song of Songs stands behind the wall and looks into her windows:</w:t>
      </w:r>
      <w:r w:rsidRPr="00E94596">
        <w:rPr>
          <w:rStyle w:val="FootnoteReference"/>
          <w:rFonts w:ascii="Calibri" w:hAnsi="Calibri" w:cs="Calibri"/>
          <w:sz w:val="24"/>
          <w:szCs w:val="24"/>
        </w:rPr>
        <w:footnoteReference w:id="43"/>
      </w:r>
      <w:r w:rsidRPr="00E94596">
        <w:rPr>
          <w:rFonts w:ascii="Calibri" w:hAnsi="Calibri" w:cs="Calibri"/>
          <w:sz w:val="24"/>
          <w:szCs w:val="24"/>
        </w:rPr>
        <w:t xml:space="preserve"> “Blessed are those who listen to me, watching daily at my doors, waiting at my doorway” (8:34). Camp highlights these similarities, arguing the love of Lady Wisdom for her lover is comparable to the mutual intimacy of the lovers in the Song of Songs.</w:t>
      </w:r>
      <w:r w:rsidRPr="00E94596">
        <w:rPr>
          <w:rStyle w:val="FootnoteReference"/>
          <w:rFonts w:ascii="Calibri" w:hAnsi="Calibri" w:cs="Calibri"/>
          <w:sz w:val="24"/>
          <w:szCs w:val="24"/>
        </w:rPr>
        <w:footnoteReference w:id="44"/>
      </w:r>
    </w:p>
    <w:p w14:paraId="34044DF8"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Ben Sira highlights the sexual desire for Lady Wisdom in a far more pronounced way, with Schroer pointing out that the depiction of the relationship between Lady Wisdom and the male reader in Ben Sira is “eroticised in ways that from time to time cross into pornography”</w:t>
      </w:r>
      <w:r w:rsidRPr="00E94596">
        <w:rPr>
          <w:rStyle w:val="FootnoteReference"/>
          <w:rFonts w:ascii="Calibri" w:hAnsi="Calibri" w:cs="Calibri"/>
          <w:sz w:val="24"/>
          <w:szCs w:val="24"/>
        </w:rPr>
        <w:footnoteReference w:id="45"/>
      </w:r>
      <w:r w:rsidRPr="00E94596">
        <w:rPr>
          <w:rFonts w:ascii="Calibri" w:hAnsi="Calibri" w:cs="Calibri"/>
          <w:sz w:val="24"/>
          <w:szCs w:val="24"/>
        </w:rPr>
        <w:t xml:space="preserve"> with “a grasping possessive male lust [as] the quintessence of the metaphors.”</w:t>
      </w:r>
      <w:r w:rsidRPr="00E94596">
        <w:rPr>
          <w:rStyle w:val="FootnoteReference"/>
          <w:rFonts w:ascii="Calibri" w:hAnsi="Calibri" w:cs="Calibri"/>
          <w:sz w:val="24"/>
          <w:szCs w:val="24"/>
        </w:rPr>
        <w:footnoteReference w:id="46"/>
      </w:r>
      <w:r w:rsidRPr="00E94596">
        <w:rPr>
          <w:rFonts w:ascii="Calibri" w:hAnsi="Calibri" w:cs="Calibri"/>
          <w:sz w:val="24"/>
          <w:szCs w:val="24"/>
        </w:rPr>
        <w:t xml:space="preserve"> Sirach describes passionately wooing and consuming Lady Wisdom: </w:t>
      </w:r>
    </w:p>
    <w:p w14:paraId="242FF1FF" w14:textId="5B091E2A"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lastRenderedPageBreak/>
        <w:t>When I was young, I became delighted in her and sought her […] I burned with desire for her, never relenting. I became preoccupied with her, never weary of extolling her. (51:13)</w:t>
      </w:r>
    </w:p>
    <w:p w14:paraId="74C67833" w14:textId="77777777" w:rsidR="00172293"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In order for her to remain a legitimate and praised object of lust, Lady Wisdom must fit within the text’s idea of appropriate female sexuality: within marriage as a wife. Furthermore, her description as a ‘tree of life’ satisfying hunger and thirst also has erotic connotations, linking to the man in Song of Songs who compares his beloved to a date palm he wants to climb to enjoy her fruits: “I will climb the palm tree and lay hold of its branches. O may your breasts be like clusters of the vine” (Songs 7:8).</w:t>
      </w:r>
      <w:r w:rsidRPr="00E94596">
        <w:rPr>
          <w:rStyle w:val="FootnoteReference"/>
          <w:rFonts w:ascii="Calibri" w:hAnsi="Calibri" w:cs="Calibri"/>
          <w:sz w:val="24"/>
          <w:szCs w:val="24"/>
        </w:rPr>
        <w:footnoteReference w:id="47"/>
      </w:r>
      <w:r w:rsidRPr="00E94596">
        <w:rPr>
          <w:rFonts w:ascii="Calibri" w:hAnsi="Calibri" w:cs="Calibri"/>
          <w:sz w:val="24"/>
          <w:szCs w:val="24"/>
        </w:rPr>
        <w:t xml:space="preserve"> Schroer argues that eroticism is an important component of the student’s ideal relationship with Lady Wisdom, with a common feature of literature with personified wisdom describing the student of wisdom’s feeling as ‘desire’ and ‘wanting to possess.’</w:t>
      </w:r>
      <w:r w:rsidRPr="00E94596">
        <w:rPr>
          <w:rStyle w:val="FootnoteReference"/>
          <w:rFonts w:ascii="Calibri" w:hAnsi="Calibri" w:cs="Calibri"/>
          <w:sz w:val="24"/>
          <w:szCs w:val="24"/>
        </w:rPr>
        <w:footnoteReference w:id="48"/>
      </w:r>
      <w:r w:rsidRPr="00E94596">
        <w:rPr>
          <w:rFonts w:ascii="Calibri" w:hAnsi="Calibri" w:cs="Calibri"/>
          <w:sz w:val="24"/>
          <w:szCs w:val="24"/>
        </w:rPr>
        <w:t xml:space="preserve"> Framed in the background of warnings for anxious fathers to lock away their daughters in 42:11, </w:t>
      </w:r>
      <w:r w:rsidR="00172293" w:rsidRPr="00E94596">
        <w:rPr>
          <w:rFonts w:ascii="Calibri" w:hAnsi="Calibri" w:cs="Calibri"/>
          <w:sz w:val="24"/>
          <w:szCs w:val="24"/>
        </w:rPr>
        <w:t>]</w:t>
      </w:r>
    </w:p>
    <w:p w14:paraId="6532E854" w14:textId="58320E8C" w:rsidR="00A84ACA" w:rsidRPr="00E94596" w:rsidRDefault="00172293" w:rsidP="00713A9F">
      <w:pPr>
        <w:spacing w:line="360" w:lineRule="auto"/>
        <w:rPr>
          <w:rFonts w:ascii="Calibri" w:hAnsi="Calibri" w:cs="Calibri"/>
          <w:sz w:val="24"/>
          <w:szCs w:val="24"/>
        </w:rPr>
      </w:pPr>
      <w:r w:rsidRPr="00E94596">
        <w:rPr>
          <w:rFonts w:ascii="Calibri" w:hAnsi="Calibri" w:cs="Calibri"/>
          <w:sz w:val="24"/>
          <w:szCs w:val="24"/>
        </w:rPr>
        <w:t>The male readers being urgently recommended to desire and initiate a sexual relationshi</w:t>
      </w:r>
      <w:r w:rsidR="004E1029" w:rsidRPr="00E94596">
        <w:rPr>
          <w:rFonts w:ascii="Calibri" w:hAnsi="Calibri" w:cs="Calibri"/>
          <w:sz w:val="24"/>
          <w:szCs w:val="24"/>
        </w:rPr>
        <w:t>p</w:t>
      </w:r>
      <w:r w:rsidR="00DD1582" w:rsidRPr="00E94596">
        <w:rPr>
          <w:rFonts w:ascii="Calibri" w:hAnsi="Calibri" w:cs="Calibri"/>
          <w:sz w:val="24"/>
          <w:szCs w:val="24"/>
        </w:rPr>
        <w:t xml:space="preserve"> with Lady Wisdom highlights her legitimacy as a subject of desire and thus places her in the only appropriate </w:t>
      </w:r>
      <w:r w:rsidR="00713A9F" w:rsidRPr="00E94596">
        <w:rPr>
          <w:rFonts w:ascii="Calibri" w:hAnsi="Calibri" w:cs="Calibri"/>
          <w:sz w:val="24"/>
          <w:szCs w:val="24"/>
        </w:rPr>
        <w:t xml:space="preserve">role for a man to desire: his wife. In this way, Lady Wisdom’s presentation as sexually desirable supports this work’s hypothesis that Lady Wisdom acts as a construct of an ideal wife in Proverbs and Ben Sira. </w:t>
      </w:r>
    </w:p>
    <w:p w14:paraId="68874CE8" w14:textId="53F7D1A7" w:rsidR="00A84ACA" w:rsidRPr="00E94596" w:rsidRDefault="00A84ACA" w:rsidP="00711265">
      <w:pPr>
        <w:spacing w:line="360" w:lineRule="auto"/>
        <w:rPr>
          <w:rFonts w:ascii="Calibri" w:hAnsi="Calibri" w:cs="Calibri"/>
          <w:sz w:val="24"/>
          <w:szCs w:val="24"/>
          <w:u w:val="single"/>
        </w:rPr>
      </w:pPr>
      <w:r w:rsidRPr="00E94596">
        <w:rPr>
          <w:rFonts w:ascii="Calibri" w:hAnsi="Calibri" w:cs="Calibri"/>
          <w:sz w:val="24"/>
          <w:szCs w:val="24"/>
          <w:u w:val="single"/>
        </w:rPr>
        <w:t>Conclusion</w:t>
      </w:r>
    </w:p>
    <w:p w14:paraId="29A0EA7F" w14:textId="77777777" w:rsidR="00C86FF0"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This chapter has explored the characteristics relating to the wife’s role in ancient Israel and assessed how Lady Wisdom’s portrayal fits her within this category. </w:t>
      </w:r>
      <w:r w:rsidR="00760C2F" w:rsidRPr="00E94596">
        <w:rPr>
          <w:rFonts w:ascii="Calibri" w:hAnsi="Calibri" w:cs="Calibri"/>
          <w:sz w:val="24"/>
          <w:szCs w:val="24"/>
        </w:rPr>
        <w:t>Beginning with an examination of the economic value attributed to Lady Wisdom, moving to the listed benefits of marriage and then analysing her description as a household manager, food provider and object of erotic desire, this chapter has drawn comparison with various aspects of Lady Wisdom’s portrayal in both Ben Sira and Proverbs with the language and imagery used to refer to wives in those same texts.</w:t>
      </w:r>
      <w:r w:rsidR="00892341" w:rsidRPr="00E94596">
        <w:rPr>
          <w:rFonts w:ascii="Calibri" w:hAnsi="Calibri" w:cs="Calibri"/>
          <w:sz w:val="24"/>
          <w:szCs w:val="24"/>
        </w:rPr>
        <w:t xml:space="preserve"> </w:t>
      </w:r>
      <w:r w:rsidR="00760C2F" w:rsidRPr="00E94596">
        <w:rPr>
          <w:rFonts w:ascii="Calibri" w:hAnsi="Calibri" w:cs="Calibri"/>
          <w:sz w:val="24"/>
          <w:szCs w:val="24"/>
        </w:rPr>
        <w:t>From this</w:t>
      </w:r>
      <w:r w:rsidR="00F8468E" w:rsidRPr="00E94596">
        <w:rPr>
          <w:rFonts w:ascii="Calibri" w:hAnsi="Calibri" w:cs="Calibri"/>
          <w:sz w:val="24"/>
          <w:szCs w:val="24"/>
        </w:rPr>
        <w:t xml:space="preserve"> evidence</w:t>
      </w:r>
      <w:r w:rsidR="00760C2F" w:rsidRPr="00E94596">
        <w:rPr>
          <w:rFonts w:ascii="Calibri" w:hAnsi="Calibri" w:cs="Calibri"/>
          <w:sz w:val="24"/>
          <w:szCs w:val="24"/>
        </w:rPr>
        <w:t xml:space="preserve">, it can be </w:t>
      </w:r>
      <w:r w:rsidR="00F8468E" w:rsidRPr="00E94596">
        <w:rPr>
          <w:rFonts w:ascii="Calibri" w:hAnsi="Calibri" w:cs="Calibri"/>
          <w:sz w:val="24"/>
          <w:szCs w:val="24"/>
        </w:rPr>
        <w:t xml:space="preserve">argued convincingly </w:t>
      </w:r>
      <w:r w:rsidR="00892341" w:rsidRPr="00E94596">
        <w:rPr>
          <w:rFonts w:ascii="Calibri" w:hAnsi="Calibri" w:cs="Calibri"/>
          <w:sz w:val="24"/>
          <w:szCs w:val="24"/>
        </w:rPr>
        <w:t xml:space="preserve">that </w:t>
      </w:r>
      <w:r w:rsidR="00760C2F" w:rsidRPr="00E94596">
        <w:rPr>
          <w:rFonts w:ascii="Calibri" w:hAnsi="Calibri" w:cs="Calibri"/>
          <w:sz w:val="24"/>
          <w:szCs w:val="24"/>
        </w:rPr>
        <w:t xml:space="preserve">Lady Wisdom </w:t>
      </w:r>
      <w:r w:rsidR="00892341" w:rsidRPr="00E94596">
        <w:rPr>
          <w:rFonts w:ascii="Calibri" w:hAnsi="Calibri" w:cs="Calibri"/>
          <w:sz w:val="24"/>
          <w:szCs w:val="24"/>
        </w:rPr>
        <w:t xml:space="preserve">has been constructed to </w:t>
      </w:r>
      <w:r w:rsidR="00760C2F" w:rsidRPr="00E94596">
        <w:rPr>
          <w:rFonts w:ascii="Calibri" w:hAnsi="Calibri" w:cs="Calibri"/>
          <w:sz w:val="24"/>
          <w:szCs w:val="24"/>
        </w:rPr>
        <w:t>present</w:t>
      </w:r>
      <w:r w:rsidR="00892341" w:rsidRPr="00E94596">
        <w:rPr>
          <w:rFonts w:ascii="Calibri" w:hAnsi="Calibri" w:cs="Calibri"/>
          <w:sz w:val="24"/>
          <w:szCs w:val="24"/>
        </w:rPr>
        <w:t xml:space="preserve"> </w:t>
      </w:r>
      <w:r w:rsidR="00760C2F" w:rsidRPr="00E94596">
        <w:rPr>
          <w:rFonts w:ascii="Calibri" w:hAnsi="Calibri" w:cs="Calibri"/>
          <w:sz w:val="24"/>
          <w:szCs w:val="24"/>
        </w:rPr>
        <w:t>a</w:t>
      </w:r>
      <w:r w:rsidR="00892341" w:rsidRPr="00E94596">
        <w:rPr>
          <w:rFonts w:ascii="Calibri" w:hAnsi="Calibri" w:cs="Calibri"/>
          <w:sz w:val="24"/>
          <w:szCs w:val="24"/>
        </w:rPr>
        <w:t xml:space="preserve">n idealised candidate </w:t>
      </w:r>
      <w:r w:rsidR="00760C2F" w:rsidRPr="00E94596">
        <w:rPr>
          <w:rFonts w:ascii="Calibri" w:hAnsi="Calibri" w:cs="Calibri"/>
          <w:sz w:val="24"/>
          <w:szCs w:val="24"/>
        </w:rPr>
        <w:t xml:space="preserve">for </w:t>
      </w:r>
      <w:r w:rsidR="00892341" w:rsidRPr="00E94596">
        <w:rPr>
          <w:rFonts w:ascii="Calibri" w:hAnsi="Calibri" w:cs="Calibri"/>
          <w:sz w:val="24"/>
          <w:szCs w:val="24"/>
        </w:rPr>
        <w:t xml:space="preserve">the wisdom texts’ </w:t>
      </w:r>
      <w:r w:rsidR="00760C2F" w:rsidRPr="00E94596">
        <w:rPr>
          <w:rFonts w:ascii="Calibri" w:hAnsi="Calibri" w:cs="Calibri"/>
          <w:sz w:val="24"/>
          <w:szCs w:val="24"/>
        </w:rPr>
        <w:t>young male readers to strive for in their marriage choice.</w:t>
      </w:r>
      <w:r w:rsidR="00892341" w:rsidRPr="00E94596">
        <w:rPr>
          <w:rFonts w:ascii="Calibri" w:hAnsi="Calibri" w:cs="Calibri"/>
          <w:sz w:val="24"/>
          <w:szCs w:val="24"/>
        </w:rPr>
        <w:t xml:space="preserve"> </w:t>
      </w:r>
    </w:p>
    <w:p w14:paraId="2A67337E" w14:textId="1F9170CB"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lastRenderedPageBreak/>
        <w:t xml:space="preserve">In the next chapter, Lady Wisdom’s presentation as a wife will be examined with the Strange Woman from Proverbs, interpreted as a purposeful contrast to show male readers the appropriate and inappropriate candidates for love and marriage. Alongside the sexual component, the socioeconomic element in the differences between the two female figures will be analysed to show the function of Lady Wisdom as an ideal wife figure and her part in the conception of a socioeconomically privileged idealised lifestyle for a young man in ancient Israel. </w:t>
      </w:r>
    </w:p>
    <w:p w14:paraId="7965309D" w14:textId="77777777" w:rsidR="00013829" w:rsidRPr="00E94596" w:rsidRDefault="00013829" w:rsidP="00711265">
      <w:pPr>
        <w:pStyle w:val="Heading1"/>
        <w:rPr>
          <w:rFonts w:ascii="Calibri" w:hAnsi="Calibri" w:cs="Calibri"/>
        </w:rPr>
      </w:pPr>
      <w:bookmarkStart w:id="7" w:name="_Toc195174886"/>
    </w:p>
    <w:p w14:paraId="38CECAE8" w14:textId="77777777" w:rsidR="00013829" w:rsidRPr="00E94596" w:rsidRDefault="00013829" w:rsidP="00711265">
      <w:pPr>
        <w:pStyle w:val="Heading1"/>
        <w:rPr>
          <w:rFonts w:ascii="Calibri" w:hAnsi="Calibri" w:cs="Calibri"/>
        </w:rPr>
      </w:pPr>
    </w:p>
    <w:p w14:paraId="31E22798" w14:textId="77777777" w:rsidR="00013829" w:rsidRPr="00E94596" w:rsidRDefault="00013829" w:rsidP="00013829">
      <w:pPr>
        <w:rPr>
          <w:rFonts w:ascii="Calibri" w:hAnsi="Calibri" w:cs="Calibri"/>
        </w:rPr>
      </w:pPr>
    </w:p>
    <w:p w14:paraId="11EC8818" w14:textId="77777777" w:rsidR="00013829" w:rsidRPr="00E94596" w:rsidRDefault="00013829" w:rsidP="00711265">
      <w:pPr>
        <w:pStyle w:val="Heading1"/>
        <w:rPr>
          <w:rFonts w:ascii="Calibri" w:hAnsi="Calibri" w:cs="Calibri"/>
        </w:rPr>
      </w:pPr>
    </w:p>
    <w:p w14:paraId="6C09E2CB" w14:textId="77777777" w:rsidR="00013829" w:rsidRPr="00E94596" w:rsidRDefault="00013829" w:rsidP="00013829">
      <w:pPr>
        <w:rPr>
          <w:rFonts w:ascii="Calibri" w:hAnsi="Calibri" w:cs="Calibri"/>
        </w:rPr>
      </w:pPr>
    </w:p>
    <w:p w14:paraId="5E5F502F" w14:textId="77777777" w:rsidR="00AD5198" w:rsidRPr="00E94596" w:rsidRDefault="00AD5198" w:rsidP="00711265">
      <w:pPr>
        <w:pStyle w:val="Heading1"/>
        <w:rPr>
          <w:rFonts w:ascii="Calibri" w:hAnsi="Calibri" w:cs="Calibri"/>
        </w:rPr>
      </w:pPr>
    </w:p>
    <w:p w14:paraId="0CE53E26" w14:textId="77777777" w:rsidR="00AD5198" w:rsidRPr="00E94596" w:rsidRDefault="00AD5198" w:rsidP="00711265">
      <w:pPr>
        <w:pStyle w:val="Heading1"/>
        <w:rPr>
          <w:rFonts w:ascii="Calibri" w:hAnsi="Calibri" w:cs="Calibri"/>
        </w:rPr>
      </w:pPr>
    </w:p>
    <w:p w14:paraId="4BF2818D" w14:textId="77777777" w:rsidR="00AD5198" w:rsidRPr="00E94596" w:rsidRDefault="00AD5198" w:rsidP="00711265">
      <w:pPr>
        <w:pStyle w:val="Heading1"/>
        <w:rPr>
          <w:rFonts w:ascii="Calibri" w:hAnsi="Calibri" w:cs="Calibri"/>
        </w:rPr>
      </w:pPr>
    </w:p>
    <w:p w14:paraId="6E9AC976" w14:textId="77777777" w:rsidR="00AD5198" w:rsidRPr="00E94596" w:rsidRDefault="00AD5198" w:rsidP="00711265">
      <w:pPr>
        <w:pStyle w:val="Heading1"/>
        <w:rPr>
          <w:rFonts w:ascii="Calibri" w:hAnsi="Calibri" w:cs="Calibri"/>
        </w:rPr>
      </w:pPr>
    </w:p>
    <w:p w14:paraId="14B20F9B" w14:textId="77777777" w:rsidR="00AD5198" w:rsidRPr="00E94596" w:rsidRDefault="00AD5198" w:rsidP="00711265">
      <w:pPr>
        <w:pStyle w:val="Heading1"/>
        <w:rPr>
          <w:rFonts w:ascii="Calibri" w:hAnsi="Calibri" w:cs="Calibri"/>
        </w:rPr>
      </w:pPr>
    </w:p>
    <w:p w14:paraId="3146FC34" w14:textId="77777777" w:rsidR="00AD5198" w:rsidRPr="00E94596" w:rsidRDefault="00AD5198" w:rsidP="00711265">
      <w:pPr>
        <w:pStyle w:val="Heading1"/>
        <w:rPr>
          <w:rFonts w:ascii="Calibri" w:hAnsi="Calibri" w:cs="Calibri"/>
        </w:rPr>
      </w:pPr>
    </w:p>
    <w:p w14:paraId="1EF41DBE" w14:textId="77777777" w:rsidR="00AD5198" w:rsidRPr="00E94596" w:rsidRDefault="00AD5198" w:rsidP="00AD5198">
      <w:pPr>
        <w:rPr>
          <w:rFonts w:ascii="Calibri" w:hAnsi="Calibri" w:cs="Calibri"/>
        </w:rPr>
      </w:pPr>
    </w:p>
    <w:p w14:paraId="4387D4F1" w14:textId="77777777" w:rsidR="00AD5198" w:rsidRPr="00E94596" w:rsidRDefault="00AD5198" w:rsidP="00AD5198">
      <w:pPr>
        <w:rPr>
          <w:rFonts w:ascii="Calibri" w:hAnsi="Calibri" w:cs="Calibri"/>
        </w:rPr>
      </w:pPr>
    </w:p>
    <w:p w14:paraId="5568465A" w14:textId="0B461F6D" w:rsidR="00A72BA5" w:rsidRPr="00E94596" w:rsidRDefault="00A72BA5" w:rsidP="00711265">
      <w:pPr>
        <w:pStyle w:val="Heading1"/>
        <w:rPr>
          <w:rFonts w:ascii="Calibri" w:hAnsi="Calibri" w:cs="Calibri"/>
        </w:rPr>
      </w:pPr>
      <w:bookmarkStart w:id="8" w:name="_Toc195875633"/>
      <w:r w:rsidRPr="00E94596">
        <w:rPr>
          <w:rFonts w:ascii="Calibri" w:hAnsi="Calibri" w:cs="Calibri"/>
        </w:rPr>
        <w:lastRenderedPageBreak/>
        <w:t>Chapter 2</w:t>
      </w:r>
      <w:r w:rsidR="00432136" w:rsidRPr="00E94596">
        <w:rPr>
          <w:rFonts w:ascii="Calibri" w:hAnsi="Calibri" w:cs="Calibri"/>
        </w:rPr>
        <w:t xml:space="preserve">: Lady Wisdom and the Strange Woman </w:t>
      </w:r>
      <w:r w:rsidR="004D41B2" w:rsidRPr="00E94596">
        <w:rPr>
          <w:rFonts w:ascii="Calibri" w:hAnsi="Calibri" w:cs="Calibri"/>
        </w:rPr>
        <w:t>as alternate choices for young men</w:t>
      </w:r>
      <w:bookmarkEnd w:id="7"/>
      <w:bookmarkEnd w:id="8"/>
    </w:p>
    <w:p w14:paraId="392218AF" w14:textId="4ABA57B5" w:rsidR="00254AD6" w:rsidRPr="00E94596" w:rsidRDefault="00A72BA5" w:rsidP="008C0EDB">
      <w:pPr>
        <w:spacing w:line="360" w:lineRule="auto"/>
        <w:rPr>
          <w:rFonts w:ascii="Calibri" w:hAnsi="Calibri" w:cs="Calibri"/>
          <w:sz w:val="24"/>
          <w:szCs w:val="24"/>
        </w:rPr>
      </w:pPr>
      <w:r w:rsidRPr="00E94596">
        <w:rPr>
          <w:rFonts w:ascii="Calibri" w:hAnsi="Calibri" w:cs="Calibri"/>
          <w:sz w:val="24"/>
          <w:szCs w:val="24"/>
        </w:rPr>
        <w:t xml:space="preserve">Lady Wisdom is not the only female figure crucial to the teachings of the book of Proverbs; in contrast with her virtuous portrayal, the ‘issa zara’, frequently translated as ‘Strange Woman’ is a prolific adulteress who is presented as a dangerous source of temptation for the young male readers of Proverbs. </w:t>
      </w:r>
      <w:r w:rsidR="008C0EDB" w:rsidRPr="00E94596">
        <w:rPr>
          <w:rFonts w:ascii="Calibri" w:hAnsi="Calibri" w:cs="Calibri"/>
          <w:sz w:val="24"/>
          <w:szCs w:val="24"/>
        </w:rPr>
        <w:t xml:space="preserve">This chapter will examine her in conjunction with Lady Wisdom in light of this dissertation’s hypothesis. </w:t>
      </w:r>
      <w:r w:rsidR="00254AD6" w:rsidRPr="00E94596">
        <w:rPr>
          <w:rFonts w:ascii="Calibri" w:hAnsi="Calibri" w:cs="Calibri"/>
          <w:sz w:val="24"/>
          <w:szCs w:val="24"/>
        </w:rPr>
        <w:t xml:space="preserve">Firstly, the Strange Woman will be introduced, and secondly </w:t>
      </w:r>
      <w:r w:rsidR="00F9284D" w:rsidRPr="00E94596">
        <w:rPr>
          <w:rFonts w:ascii="Calibri" w:hAnsi="Calibri" w:cs="Calibri"/>
          <w:sz w:val="24"/>
          <w:szCs w:val="24"/>
        </w:rPr>
        <w:t xml:space="preserve">Lady Wisdom and the Strange Woman’s comparative passive and active descriptions of sexuality will be examined. Thirdly, their comparative adultery and fidelity will be </w:t>
      </w:r>
      <w:r w:rsidR="007271D8" w:rsidRPr="00E94596">
        <w:rPr>
          <w:rFonts w:ascii="Calibri" w:hAnsi="Calibri" w:cs="Calibri"/>
          <w:sz w:val="24"/>
          <w:szCs w:val="24"/>
        </w:rPr>
        <w:t xml:space="preserve">analysed, followed by an examination of the </w:t>
      </w:r>
      <w:r w:rsidR="001B11F8" w:rsidRPr="00E94596">
        <w:rPr>
          <w:rFonts w:ascii="Calibri" w:hAnsi="Calibri" w:cs="Calibri"/>
          <w:sz w:val="24"/>
          <w:szCs w:val="24"/>
        </w:rPr>
        <w:t xml:space="preserve">different </w:t>
      </w:r>
      <w:r w:rsidR="007271D8" w:rsidRPr="00E94596">
        <w:rPr>
          <w:rFonts w:ascii="Calibri" w:hAnsi="Calibri" w:cs="Calibri"/>
          <w:sz w:val="24"/>
          <w:szCs w:val="24"/>
        </w:rPr>
        <w:t>banquets of Lady Wisdo</w:t>
      </w:r>
      <w:r w:rsidR="001B11F8" w:rsidRPr="00E94596">
        <w:rPr>
          <w:rFonts w:ascii="Calibri" w:hAnsi="Calibri" w:cs="Calibri"/>
          <w:sz w:val="24"/>
          <w:szCs w:val="24"/>
        </w:rPr>
        <w:t xml:space="preserve">m and Strange Woman, and finally </w:t>
      </w:r>
      <w:r w:rsidR="006629C8" w:rsidRPr="00E94596">
        <w:rPr>
          <w:rFonts w:ascii="Calibri" w:hAnsi="Calibri" w:cs="Calibri"/>
          <w:sz w:val="24"/>
          <w:szCs w:val="24"/>
        </w:rPr>
        <w:t xml:space="preserve">concluding with a survey of </w:t>
      </w:r>
      <w:r w:rsidR="001B11F8" w:rsidRPr="00E94596">
        <w:rPr>
          <w:rFonts w:ascii="Calibri" w:hAnsi="Calibri" w:cs="Calibri"/>
          <w:sz w:val="24"/>
          <w:szCs w:val="24"/>
        </w:rPr>
        <w:t>the</w:t>
      </w:r>
      <w:r w:rsidR="006629C8" w:rsidRPr="00E94596">
        <w:rPr>
          <w:rFonts w:ascii="Calibri" w:hAnsi="Calibri" w:cs="Calibri"/>
          <w:sz w:val="24"/>
          <w:szCs w:val="24"/>
        </w:rPr>
        <w:t xml:space="preserve"> described</w:t>
      </w:r>
      <w:r w:rsidR="001B11F8" w:rsidRPr="00E94596">
        <w:rPr>
          <w:rFonts w:ascii="Calibri" w:hAnsi="Calibri" w:cs="Calibri"/>
          <w:sz w:val="24"/>
          <w:szCs w:val="24"/>
        </w:rPr>
        <w:t xml:space="preserve"> socioeconomic and social consequences of interaction with both figures. This chapter will explore the characterisation of Lady Wisdom’s antithesis as a purposeful construction to demonstrate what the young men should avoid, adultery and extra-marital sex with women who are not marriable, alongside what they should seek, which is marriage to the ideal wife figure represented by Lady Wisdom.</w:t>
      </w:r>
    </w:p>
    <w:p w14:paraId="45D038CB" w14:textId="5A6CA830" w:rsidR="000B3E1C" w:rsidRPr="00E94596" w:rsidRDefault="000B3E1C" w:rsidP="00711265">
      <w:pPr>
        <w:spacing w:line="360" w:lineRule="auto"/>
        <w:rPr>
          <w:rFonts w:ascii="Calibri" w:hAnsi="Calibri" w:cs="Calibri"/>
          <w:sz w:val="24"/>
          <w:szCs w:val="24"/>
          <w:u w:val="single"/>
        </w:rPr>
      </w:pPr>
      <w:r w:rsidRPr="00E94596">
        <w:rPr>
          <w:rFonts w:ascii="Calibri" w:hAnsi="Calibri" w:cs="Calibri"/>
          <w:sz w:val="24"/>
          <w:szCs w:val="24"/>
          <w:u w:val="single"/>
        </w:rPr>
        <w:t>Introduction to the Strange Woman</w:t>
      </w:r>
    </w:p>
    <w:p w14:paraId="7CC03D70" w14:textId="7601F14A" w:rsidR="008C0EDB" w:rsidRPr="00E94596" w:rsidRDefault="008C0EDB" w:rsidP="00711265">
      <w:pPr>
        <w:spacing w:line="360" w:lineRule="auto"/>
        <w:rPr>
          <w:rFonts w:ascii="Calibri" w:hAnsi="Calibri" w:cs="Calibri"/>
          <w:sz w:val="24"/>
          <w:szCs w:val="24"/>
        </w:rPr>
      </w:pPr>
      <w:r w:rsidRPr="00E94596">
        <w:rPr>
          <w:rFonts w:ascii="Calibri" w:hAnsi="Calibri" w:cs="Calibri"/>
          <w:sz w:val="24"/>
          <w:szCs w:val="24"/>
        </w:rPr>
        <w:t>The dangers of adulterous women are introduced early in the book of Proverbs with a reassurance that if the student accepts the narrator’s words and follows his advice, he will “be saved from the loose woman, from the adulteress with her smooth words” (2:16), rather than following in her ways and committing adultery, which “leads down to death” (2:18). The Strange Woman is then brought into focus in the fifth chapter of Proverbs with the narrator beginning with describing the dangers of fraternisation with the loose woman whose steps “follow the path to Sheol” (5:5). Before her introduction, the narrator condemns adultery and warns the male reader of the “wounds and dishonours” (6:33) that would befall him, facing “utter ruin in the public assembly” (5:13-14). With the ominous warning that “the wife of another stalks a man’s very life” (6:26), the reader is introduced to the adulteress who roams the street seeking sexual partners.</w:t>
      </w:r>
    </w:p>
    <w:p w14:paraId="22008210" w14:textId="6F3C70CC"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this chapter the view of Yee will be adopted from her persuasive argument that not only is the Strange Woman presented as the antithesis of Lady Wisdom as shown by deliberate </w:t>
      </w:r>
      <w:r w:rsidRPr="00E94596">
        <w:rPr>
          <w:rFonts w:ascii="Calibri" w:hAnsi="Calibri" w:cs="Calibri"/>
          <w:sz w:val="24"/>
          <w:szCs w:val="24"/>
        </w:rPr>
        <w:lastRenderedPageBreak/>
        <w:t>paralleled actions,</w:t>
      </w:r>
      <w:r w:rsidRPr="00E94596">
        <w:rPr>
          <w:rStyle w:val="FootnoteReference"/>
          <w:rFonts w:ascii="Calibri" w:hAnsi="Calibri" w:cs="Calibri"/>
          <w:sz w:val="24"/>
          <w:szCs w:val="24"/>
        </w:rPr>
        <w:footnoteReference w:id="49"/>
      </w:r>
      <w:r w:rsidRPr="00E94596">
        <w:rPr>
          <w:rFonts w:ascii="Calibri" w:hAnsi="Calibri" w:cs="Calibri"/>
          <w:sz w:val="24"/>
          <w:szCs w:val="24"/>
        </w:rPr>
        <w:t xml:space="preserve"> but also that the adulteress and the “foolish woman” (Prov. 9:13) who is sometimes referred to as “Lady Folly” represent one figure, “embodied in the issa zara who stands over and against Wisdom.”</w:t>
      </w:r>
      <w:r w:rsidRPr="00E94596">
        <w:rPr>
          <w:rStyle w:val="FootnoteReference"/>
          <w:rFonts w:ascii="Calibri" w:hAnsi="Calibri" w:cs="Calibri"/>
          <w:sz w:val="24"/>
          <w:szCs w:val="24"/>
        </w:rPr>
        <w:footnoteReference w:id="50"/>
      </w:r>
      <w:r w:rsidRPr="00E94596">
        <w:rPr>
          <w:rFonts w:ascii="Calibri" w:hAnsi="Calibri" w:cs="Calibri"/>
          <w:sz w:val="24"/>
          <w:szCs w:val="24"/>
        </w:rPr>
        <w:t xml:space="preserve"> Furthermore, rather than viewing the Strange Woman as a symbol or metaphor for exogamous marriage as argued by Washington, Maler and Nam Hoon Tan,</w:t>
      </w:r>
      <w:r w:rsidRPr="00E94596">
        <w:rPr>
          <w:rStyle w:val="FootnoteReference"/>
          <w:rFonts w:ascii="Calibri" w:hAnsi="Calibri" w:cs="Calibri"/>
          <w:sz w:val="24"/>
          <w:szCs w:val="24"/>
        </w:rPr>
        <w:footnoteReference w:id="51"/>
      </w:r>
      <w:r w:rsidRPr="00E94596">
        <w:rPr>
          <w:rFonts w:ascii="Calibri" w:hAnsi="Calibri" w:cs="Calibri"/>
          <w:sz w:val="24"/>
          <w:szCs w:val="24"/>
        </w:rPr>
        <w:t xml:space="preserve"> this work will use a more literal understanding of the Strange Woman due to the purpose of Proverbs being practical advice rather than a polemic against exogamy. Perceiving the Strange Woman through a more abstract lens as representative of foreign cultic wisdom and philosophy also does not fit with the didactic framework of Proverbs. As argued by Whybray, Proverbs’ primary purpose is a manual of conduct with the majority of its aphorisms focused on family ethos and parental teachings, along with the maintenance of both domestic harmony and societal stability.</w:t>
      </w:r>
      <w:r w:rsidRPr="00E94596">
        <w:rPr>
          <w:rStyle w:val="FootnoteReference"/>
          <w:rFonts w:ascii="Calibri" w:hAnsi="Calibri" w:cs="Calibri"/>
          <w:sz w:val="24"/>
          <w:szCs w:val="24"/>
        </w:rPr>
        <w:footnoteReference w:id="52"/>
      </w:r>
      <w:r w:rsidRPr="00E94596">
        <w:rPr>
          <w:rFonts w:ascii="Calibri" w:hAnsi="Calibri" w:cs="Calibri"/>
          <w:sz w:val="24"/>
          <w:szCs w:val="24"/>
        </w:rPr>
        <w:t xml:space="preserve"> In the same way, the idea of Lady Wisdom as primarily a characterisation of abstract theological ideas is illogical in the setting of a book written to teach young male students how to function correctly in society, overwhelmingly focused on providing “practical guidance for right living”.</w:t>
      </w:r>
      <w:r w:rsidRPr="00E94596">
        <w:rPr>
          <w:rStyle w:val="FootnoteReference"/>
          <w:rFonts w:ascii="Calibri" w:hAnsi="Calibri" w:cs="Calibri"/>
          <w:sz w:val="24"/>
          <w:szCs w:val="24"/>
        </w:rPr>
        <w:footnoteReference w:id="53"/>
      </w:r>
      <w:r w:rsidRPr="00E94596">
        <w:rPr>
          <w:rFonts w:ascii="Calibri" w:hAnsi="Calibri" w:cs="Calibri"/>
          <w:sz w:val="24"/>
          <w:szCs w:val="24"/>
        </w:rPr>
        <w:t xml:space="preserve"> </w:t>
      </w:r>
    </w:p>
    <w:p w14:paraId="2B020BC1" w14:textId="1907ED5E"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Active</w:t>
      </w:r>
      <w:r w:rsidR="000B3E1C" w:rsidRPr="00E94596">
        <w:rPr>
          <w:rFonts w:ascii="Calibri" w:hAnsi="Calibri" w:cs="Calibri"/>
          <w:sz w:val="24"/>
          <w:szCs w:val="24"/>
          <w:u w:val="single"/>
        </w:rPr>
        <w:t xml:space="preserve"> and passive acts of</w:t>
      </w:r>
      <w:r w:rsidRPr="00E94596">
        <w:rPr>
          <w:rFonts w:ascii="Calibri" w:hAnsi="Calibri" w:cs="Calibri"/>
          <w:sz w:val="24"/>
          <w:szCs w:val="24"/>
          <w:u w:val="single"/>
        </w:rPr>
        <w:t xml:space="preserve"> sexuality</w:t>
      </w:r>
    </w:p>
    <w:p w14:paraId="40BDAC1F" w14:textId="446A540B" w:rsidR="00A72BA5" w:rsidRPr="00E94596" w:rsidRDefault="00F961D8" w:rsidP="00F961D8">
      <w:pPr>
        <w:spacing w:line="360" w:lineRule="auto"/>
        <w:rPr>
          <w:rFonts w:ascii="Calibri" w:hAnsi="Calibri" w:cs="Calibri"/>
          <w:sz w:val="24"/>
          <w:szCs w:val="24"/>
        </w:rPr>
      </w:pPr>
      <w:r w:rsidRPr="00E94596">
        <w:rPr>
          <w:rFonts w:ascii="Calibri" w:hAnsi="Calibri" w:cs="Calibri"/>
          <w:sz w:val="24"/>
          <w:szCs w:val="24"/>
        </w:rPr>
        <w:t xml:space="preserve">One key point of comparison between Lady Wisdom and the Strange Woman is their sexual behaviour. </w:t>
      </w:r>
      <w:r w:rsidR="00A72BA5" w:rsidRPr="00E94596">
        <w:rPr>
          <w:rFonts w:ascii="Calibri" w:hAnsi="Calibri" w:cs="Calibri"/>
          <w:sz w:val="24"/>
          <w:szCs w:val="24"/>
        </w:rPr>
        <w:t>Upon encountering the young man in the street, the Strange Woman takes on an active role: she “seizes him and kisses him” (7:13). As the subject rather than the object of desire, she contrasts with the narrator’s commandment to “rejoice in the wife of your youth” (5:18), “may her breasts satisfy you”, “may you be intoxicated always by her love” (5:19). She is “loud and wayward” (7:11) for her active and independent seeking of sexual pleasure, taking initiative to initiate the adulterous liaison. Her boldness is striking as she announces, “I have come out to meet you, to seek you eagerly, and I have found you!” (7:15)</w:t>
      </w:r>
      <w:r w:rsidR="0037656C" w:rsidRPr="00E94596">
        <w:rPr>
          <w:rFonts w:ascii="Calibri" w:hAnsi="Calibri" w:cs="Calibri"/>
          <w:sz w:val="24"/>
          <w:szCs w:val="24"/>
        </w:rPr>
        <w:t xml:space="preserve">, contrasting with </w:t>
      </w:r>
      <w:r w:rsidR="00A72BA5" w:rsidRPr="00E94596">
        <w:rPr>
          <w:rFonts w:ascii="Calibri" w:hAnsi="Calibri" w:cs="Calibri"/>
          <w:sz w:val="24"/>
          <w:szCs w:val="24"/>
        </w:rPr>
        <w:t xml:space="preserve">Lady Wisdom’s dignified call for her lovers to seek her out, “I love those who love me, and those who seek me diligently find me,” (8:17). The narrator projects </w:t>
      </w:r>
      <w:r w:rsidR="00A72BA5" w:rsidRPr="00E94596">
        <w:rPr>
          <w:rFonts w:ascii="Calibri" w:hAnsi="Calibri" w:cs="Calibri"/>
          <w:sz w:val="24"/>
          <w:szCs w:val="24"/>
        </w:rPr>
        <w:lastRenderedPageBreak/>
        <w:t xml:space="preserve">an image of the </w:t>
      </w:r>
      <w:r w:rsidR="0037656C" w:rsidRPr="00E94596">
        <w:rPr>
          <w:rFonts w:ascii="Calibri" w:hAnsi="Calibri" w:cs="Calibri"/>
          <w:sz w:val="24"/>
          <w:szCs w:val="24"/>
        </w:rPr>
        <w:t>Strange W</w:t>
      </w:r>
      <w:r w:rsidR="00A72BA5" w:rsidRPr="00E94596">
        <w:rPr>
          <w:rFonts w:ascii="Calibri" w:hAnsi="Calibri" w:cs="Calibri"/>
          <w:sz w:val="24"/>
          <w:szCs w:val="24"/>
        </w:rPr>
        <w:t>oman as predatory and dangerous,</w:t>
      </w:r>
      <w:r w:rsidR="000E6773" w:rsidRPr="00E94596">
        <w:rPr>
          <w:rStyle w:val="FootnoteReference"/>
          <w:rFonts w:ascii="Calibri" w:hAnsi="Calibri" w:cs="Calibri"/>
          <w:sz w:val="24"/>
          <w:szCs w:val="24"/>
        </w:rPr>
        <w:footnoteReference w:id="54"/>
      </w:r>
      <w:r w:rsidR="00A72BA5" w:rsidRPr="00E94596">
        <w:rPr>
          <w:rFonts w:ascii="Calibri" w:hAnsi="Calibri" w:cs="Calibri"/>
          <w:sz w:val="24"/>
          <w:szCs w:val="24"/>
        </w:rPr>
        <w:t xml:space="preserve"> comparing the young man who follows her into her home as being “like an ox to the slaughter”, bounding “like a stag towards the trap” (7:22), “like a bird rushing into a snare, not knowing that it will cost him his life” (7:23). This idea of a woman as the violent aggressor in a sexual union is </w:t>
      </w:r>
      <w:r w:rsidR="0037656C" w:rsidRPr="00E94596">
        <w:rPr>
          <w:rFonts w:ascii="Calibri" w:hAnsi="Calibri" w:cs="Calibri"/>
          <w:sz w:val="24"/>
          <w:szCs w:val="24"/>
        </w:rPr>
        <w:t xml:space="preserve">reminiscent of </w:t>
      </w:r>
      <w:r w:rsidR="00A72BA5" w:rsidRPr="00E94596">
        <w:rPr>
          <w:rFonts w:ascii="Calibri" w:hAnsi="Calibri" w:cs="Calibri"/>
          <w:sz w:val="24"/>
          <w:szCs w:val="24"/>
        </w:rPr>
        <w:t>a male hunter pursuing prey.  A comparison can also be drawn here between the image of the young male lover as a stag and the description of the desired young wife as “a lovely deer, a graceful doe” (5:18), which can be interpreted as suggesting the two should be paired together, rather than the violent end that the ‘stag’ (young male) will face at the hands of the predator adulteress. These examples illustrate how the Strange Woman violates the social norm of expected male/female roles, taking on the active and dominating role while the young man becomes passive and vulnerable, transformed into a prey animal who is helpless to resist temptation.</w:t>
      </w:r>
      <w:r w:rsidR="00F61A49" w:rsidRPr="00E94596">
        <w:rPr>
          <w:rFonts w:ascii="Calibri" w:hAnsi="Calibri" w:cs="Calibri"/>
          <w:sz w:val="24"/>
          <w:szCs w:val="24"/>
        </w:rPr>
        <w:t xml:space="preserve"> </w:t>
      </w:r>
      <w:r w:rsidR="0069453E" w:rsidRPr="00E94596">
        <w:rPr>
          <w:rFonts w:ascii="Calibri" w:hAnsi="Calibri" w:cs="Calibri"/>
          <w:sz w:val="24"/>
          <w:szCs w:val="24"/>
        </w:rPr>
        <w:t>In the case of the Strange Woman, her uncontrolled sexuality leads to men’s social, moral and physical destruction,</w:t>
      </w:r>
      <w:r w:rsidR="0069453E" w:rsidRPr="00E94596">
        <w:rPr>
          <w:rStyle w:val="FootnoteReference"/>
          <w:rFonts w:ascii="Calibri" w:hAnsi="Calibri" w:cs="Calibri"/>
          <w:sz w:val="24"/>
          <w:szCs w:val="24"/>
        </w:rPr>
        <w:footnoteReference w:id="55"/>
      </w:r>
      <w:r w:rsidR="0069453E" w:rsidRPr="00E94596">
        <w:rPr>
          <w:rFonts w:ascii="Calibri" w:hAnsi="Calibri" w:cs="Calibri"/>
          <w:sz w:val="24"/>
          <w:szCs w:val="24"/>
        </w:rPr>
        <w:t xml:space="preserve"> whereas Lady Wisdom is presented</w:t>
      </w:r>
      <w:r w:rsidR="003F2B84" w:rsidRPr="00E94596">
        <w:rPr>
          <w:rFonts w:ascii="Calibri" w:hAnsi="Calibri" w:cs="Calibri"/>
          <w:sz w:val="24"/>
          <w:szCs w:val="24"/>
        </w:rPr>
        <w:t xml:space="preserve"> as being a more controlled and acceptable source of sexual desir</w:t>
      </w:r>
      <w:r w:rsidR="000D5467" w:rsidRPr="00E94596">
        <w:rPr>
          <w:rFonts w:ascii="Calibri" w:hAnsi="Calibri" w:cs="Calibri"/>
          <w:sz w:val="24"/>
          <w:szCs w:val="24"/>
        </w:rPr>
        <w:t>e</w:t>
      </w:r>
      <w:r w:rsidR="003F2B84" w:rsidRPr="00E94596">
        <w:rPr>
          <w:rFonts w:ascii="Calibri" w:hAnsi="Calibri" w:cs="Calibri"/>
          <w:sz w:val="24"/>
          <w:szCs w:val="24"/>
        </w:rPr>
        <w:t>.</w:t>
      </w:r>
      <w:r w:rsidR="00363BD7" w:rsidRPr="00E94596">
        <w:rPr>
          <w:rStyle w:val="FootnoteReference"/>
          <w:rFonts w:ascii="Calibri" w:hAnsi="Calibri" w:cs="Calibri"/>
          <w:sz w:val="24"/>
          <w:szCs w:val="24"/>
        </w:rPr>
        <w:footnoteReference w:id="56"/>
      </w:r>
    </w:p>
    <w:p w14:paraId="255E01AD" w14:textId="1DB2582F" w:rsidR="00CE3284" w:rsidRPr="00E94596" w:rsidRDefault="000D5467" w:rsidP="00711265">
      <w:pPr>
        <w:spacing w:line="360" w:lineRule="auto"/>
        <w:rPr>
          <w:rFonts w:ascii="Calibri" w:hAnsi="Calibri" w:cs="Calibri"/>
          <w:sz w:val="24"/>
          <w:szCs w:val="24"/>
        </w:rPr>
      </w:pPr>
      <w:r w:rsidRPr="00E94596">
        <w:rPr>
          <w:rFonts w:ascii="Calibri" w:hAnsi="Calibri" w:cs="Calibri"/>
          <w:sz w:val="24"/>
          <w:szCs w:val="24"/>
        </w:rPr>
        <w:t xml:space="preserve">The imagery of water sources is also used to represent sexuality. </w:t>
      </w:r>
      <w:r w:rsidR="00A72BA5" w:rsidRPr="00E94596">
        <w:rPr>
          <w:rFonts w:ascii="Calibri" w:hAnsi="Calibri" w:cs="Calibri"/>
          <w:sz w:val="24"/>
          <w:szCs w:val="24"/>
        </w:rPr>
        <w:t xml:space="preserve">Sometimes referred to in literature as Lady Folly, the figure placed as Lady Wisdom’s opposite in Proverbs 9 and related here to the Strange Woman following Yee, the foolish woman declares that “stolen water is sweet and bread eaten in secret is pleasant” (9:17), a statement </w:t>
      </w:r>
      <w:r w:rsidR="00A07B13" w:rsidRPr="00E94596">
        <w:rPr>
          <w:rFonts w:ascii="Calibri" w:hAnsi="Calibri" w:cs="Calibri"/>
          <w:sz w:val="24"/>
          <w:szCs w:val="24"/>
        </w:rPr>
        <w:t xml:space="preserve">that insinuates adultery. </w:t>
      </w:r>
      <w:r w:rsidR="00A72BA5" w:rsidRPr="00E94596">
        <w:rPr>
          <w:rFonts w:ascii="Calibri" w:hAnsi="Calibri" w:cs="Calibri"/>
          <w:sz w:val="24"/>
          <w:szCs w:val="24"/>
        </w:rPr>
        <w:t>Water imagery is used prolifically in Proverbs to refer to sexuality and is directly linked to fidelity when the narrator orders the young male student to be faithful to his wife and “drink water from your own cistern, flowing water from your own well” (5:15), with the direct order to “let your fountain be blessed, and rejoice in the wife of your youth” (5:18), and for the water “be for yourself alone, and not for sharing with strangers” (5:17)</w:t>
      </w:r>
      <w:r w:rsidR="00F54860" w:rsidRPr="00E94596">
        <w:rPr>
          <w:rFonts w:ascii="Calibri" w:hAnsi="Calibri" w:cs="Calibri"/>
          <w:sz w:val="24"/>
          <w:szCs w:val="24"/>
        </w:rPr>
        <w:t xml:space="preserve">. </w:t>
      </w:r>
      <w:r w:rsidR="00A72BA5" w:rsidRPr="00E94596">
        <w:rPr>
          <w:rFonts w:ascii="Calibri" w:hAnsi="Calibri" w:cs="Calibri"/>
          <w:sz w:val="24"/>
          <w:szCs w:val="24"/>
        </w:rPr>
        <w:t>In declaring the desirability of “stolen water”, Fox interprets the foolish woman’s statement as insinuating that “legitimate pleasures, such as sex with one’s wife, are somehow deficient”,</w:t>
      </w:r>
      <w:r w:rsidR="00A72BA5" w:rsidRPr="00E94596">
        <w:rPr>
          <w:rStyle w:val="FootnoteReference"/>
          <w:rFonts w:ascii="Calibri" w:hAnsi="Calibri" w:cs="Calibri"/>
          <w:sz w:val="24"/>
          <w:szCs w:val="24"/>
        </w:rPr>
        <w:footnoteReference w:id="57"/>
      </w:r>
      <w:r w:rsidR="00A72BA5" w:rsidRPr="00E94596">
        <w:rPr>
          <w:rFonts w:ascii="Calibri" w:hAnsi="Calibri" w:cs="Calibri"/>
          <w:sz w:val="24"/>
          <w:szCs w:val="24"/>
        </w:rPr>
        <w:t xml:space="preserve"> a teaching that directly contradicts the encouragement of marital sexuality in 5:18-20.   </w:t>
      </w:r>
    </w:p>
    <w:p w14:paraId="49AA0DBA" w14:textId="77777777" w:rsidR="00921A1D" w:rsidRDefault="00921A1D" w:rsidP="00711265">
      <w:pPr>
        <w:spacing w:line="360" w:lineRule="auto"/>
        <w:rPr>
          <w:rFonts w:ascii="Calibri" w:hAnsi="Calibri" w:cs="Calibri"/>
          <w:sz w:val="24"/>
          <w:szCs w:val="24"/>
          <w:u w:val="single"/>
        </w:rPr>
      </w:pPr>
    </w:p>
    <w:p w14:paraId="34FC3652" w14:textId="778F25CC" w:rsidR="00CE3284" w:rsidRPr="00E94596" w:rsidRDefault="00CE3284" w:rsidP="00711265">
      <w:pPr>
        <w:spacing w:line="360" w:lineRule="auto"/>
        <w:rPr>
          <w:rFonts w:ascii="Calibri" w:hAnsi="Calibri" w:cs="Calibri"/>
          <w:sz w:val="24"/>
          <w:szCs w:val="24"/>
          <w:u w:val="single"/>
        </w:rPr>
      </w:pPr>
      <w:r w:rsidRPr="00E94596">
        <w:rPr>
          <w:rFonts w:ascii="Calibri" w:hAnsi="Calibri" w:cs="Calibri"/>
          <w:sz w:val="24"/>
          <w:szCs w:val="24"/>
          <w:u w:val="single"/>
        </w:rPr>
        <w:lastRenderedPageBreak/>
        <w:t xml:space="preserve">Adultery </w:t>
      </w:r>
      <w:r w:rsidR="001A249E" w:rsidRPr="00E94596">
        <w:rPr>
          <w:rFonts w:ascii="Calibri" w:hAnsi="Calibri" w:cs="Calibri"/>
          <w:sz w:val="24"/>
          <w:szCs w:val="24"/>
          <w:u w:val="single"/>
        </w:rPr>
        <w:t>and fidelity</w:t>
      </w:r>
    </w:p>
    <w:p w14:paraId="379E839B" w14:textId="5D4C114C"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her work exploring the Strange Woman in comparison with the Song of Songs, Imray </w:t>
      </w:r>
      <w:r w:rsidR="00D129B0" w:rsidRPr="00E94596">
        <w:rPr>
          <w:rFonts w:ascii="Calibri" w:hAnsi="Calibri" w:cs="Calibri"/>
          <w:sz w:val="24"/>
          <w:szCs w:val="24"/>
        </w:rPr>
        <w:t xml:space="preserve">argues that she generates anxiety through her uncontrollability, </w:t>
      </w:r>
      <w:r w:rsidRPr="00E94596">
        <w:rPr>
          <w:rFonts w:ascii="Calibri" w:hAnsi="Calibri" w:cs="Calibri"/>
          <w:sz w:val="24"/>
          <w:szCs w:val="24"/>
        </w:rPr>
        <w:t>which is expressed sexually.</w:t>
      </w:r>
      <w:r w:rsidRPr="00E94596">
        <w:rPr>
          <w:rStyle w:val="FootnoteReference"/>
          <w:rFonts w:ascii="Calibri" w:hAnsi="Calibri" w:cs="Calibri"/>
          <w:sz w:val="24"/>
          <w:szCs w:val="24"/>
        </w:rPr>
        <w:footnoteReference w:id="58"/>
      </w:r>
      <w:r w:rsidRPr="00E94596">
        <w:rPr>
          <w:rFonts w:ascii="Calibri" w:hAnsi="Calibri" w:cs="Calibri"/>
          <w:sz w:val="24"/>
          <w:szCs w:val="24"/>
        </w:rPr>
        <w:t xml:space="preserve"> Imray highlights how the Strange breaks the rules of accepted behaviour for women in seeking and finding illicit sexual partners (7:26) wandering the streets rather than staying in the approved setting of the domestic space (7:9, 7:11-12), dressing like a prostitute and hiding her face (7:10), speaking seductively and being scented to “highlight her sexual voracity”</w:t>
      </w:r>
      <w:r w:rsidRPr="00E94596">
        <w:rPr>
          <w:rStyle w:val="FootnoteReference"/>
          <w:rFonts w:ascii="Calibri" w:hAnsi="Calibri" w:cs="Calibri"/>
          <w:sz w:val="24"/>
          <w:szCs w:val="24"/>
        </w:rPr>
        <w:footnoteReference w:id="59"/>
      </w:r>
      <w:r w:rsidRPr="00E94596">
        <w:rPr>
          <w:rFonts w:ascii="Calibri" w:hAnsi="Calibri" w:cs="Calibri"/>
          <w:sz w:val="24"/>
          <w:szCs w:val="24"/>
        </w:rPr>
        <w:t xml:space="preserve"> (7:17). In contrast with Proverbs’ description of marriage as a sanctioned and satisfying domain of sexuality,</w:t>
      </w:r>
      <w:r w:rsidRPr="00E94596">
        <w:rPr>
          <w:rStyle w:val="FootnoteReference"/>
          <w:rFonts w:ascii="Calibri" w:hAnsi="Calibri" w:cs="Calibri"/>
          <w:sz w:val="24"/>
          <w:szCs w:val="24"/>
        </w:rPr>
        <w:footnoteReference w:id="60"/>
      </w:r>
      <w:r w:rsidRPr="00E94596">
        <w:rPr>
          <w:rFonts w:ascii="Calibri" w:hAnsi="Calibri" w:cs="Calibri"/>
          <w:sz w:val="24"/>
          <w:szCs w:val="24"/>
        </w:rPr>
        <w:t xml:space="preserve"> the Strange woman is </w:t>
      </w:r>
      <w:r w:rsidR="00077983">
        <w:rPr>
          <w:rFonts w:ascii="Calibri" w:hAnsi="Calibri" w:cs="Calibri"/>
          <w:sz w:val="24"/>
          <w:szCs w:val="24"/>
        </w:rPr>
        <w:t xml:space="preserve">an unsanctioned </w:t>
      </w:r>
      <w:r w:rsidRPr="00E94596">
        <w:rPr>
          <w:rFonts w:ascii="Calibri" w:hAnsi="Calibri" w:cs="Calibri"/>
          <w:sz w:val="24"/>
          <w:szCs w:val="24"/>
        </w:rPr>
        <w:t>sexual partner, is unknown to the man she approaches, and shows “utter disdain for marriage” in declaring the absence of her husband to further tempt the young man (7:19-20).</w:t>
      </w:r>
      <w:r w:rsidRPr="00E94596">
        <w:rPr>
          <w:rStyle w:val="FootnoteReference"/>
          <w:rFonts w:ascii="Calibri" w:hAnsi="Calibri" w:cs="Calibri"/>
          <w:sz w:val="24"/>
          <w:szCs w:val="24"/>
        </w:rPr>
        <w:footnoteReference w:id="61"/>
      </w:r>
    </w:p>
    <w:p w14:paraId="572B9737" w14:textId="2E94B770" w:rsidR="00A72BA5" w:rsidRPr="00E94596" w:rsidRDefault="00A72BA5" w:rsidP="00D129B0">
      <w:pPr>
        <w:spacing w:line="360" w:lineRule="auto"/>
        <w:rPr>
          <w:rFonts w:ascii="Calibri" w:hAnsi="Calibri" w:cs="Calibri"/>
          <w:sz w:val="24"/>
          <w:szCs w:val="24"/>
        </w:rPr>
      </w:pPr>
      <w:r w:rsidRPr="00E94596">
        <w:rPr>
          <w:rFonts w:ascii="Calibri" w:hAnsi="Calibri" w:cs="Calibri"/>
          <w:sz w:val="24"/>
          <w:szCs w:val="24"/>
        </w:rPr>
        <w:t>Reflecting on the societal dynamics at play in the text, Viviers highlights the fear generated by female sexuality, which was viewed as “a dangerous, uncontrollable and mysterious dark force”,</w:t>
      </w:r>
      <w:r w:rsidRPr="00E94596">
        <w:rPr>
          <w:rStyle w:val="FootnoteReference"/>
          <w:rFonts w:ascii="Calibri" w:hAnsi="Calibri" w:cs="Calibri"/>
          <w:sz w:val="24"/>
          <w:szCs w:val="24"/>
        </w:rPr>
        <w:footnoteReference w:id="62"/>
      </w:r>
      <w:r w:rsidRPr="00E94596">
        <w:rPr>
          <w:rFonts w:ascii="Calibri" w:hAnsi="Calibri" w:cs="Calibri"/>
          <w:sz w:val="24"/>
          <w:szCs w:val="24"/>
        </w:rPr>
        <w:t xml:space="preserve"> and attributes the Strange woman’s ‘otherness’ to her being an anti-wife figure, demonised for actively subverting the patriarchal institutions that controlled family, property and women’s activity by standing outside of the family structure.</w:t>
      </w:r>
      <w:r w:rsidRPr="00E94596">
        <w:rPr>
          <w:rStyle w:val="FootnoteReference"/>
          <w:rFonts w:ascii="Calibri" w:hAnsi="Calibri" w:cs="Calibri"/>
          <w:sz w:val="24"/>
          <w:szCs w:val="24"/>
        </w:rPr>
        <w:footnoteReference w:id="63"/>
      </w:r>
      <w:r w:rsidRPr="00E94596">
        <w:rPr>
          <w:rFonts w:ascii="Calibri" w:hAnsi="Calibri" w:cs="Calibri"/>
          <w:sz w:val="24"/>
          <w:szCs w:val="24"/>
        </w:rPr>
        <w:t xml:space="preserve"> Camp’s work also supports this interpretation, arguing that the woman is depicted as ‘zara’ (strange), because “she acts in ways that are alien to the family structure.”</w:t>
      </w:r>
      <w:r w:rsidRPr="00E94596">
        <w:rPr>
          <w:rStyle w:val="FootnoteReference"/>
          <w:rFonts w:ascii="Calibri" w:hAnsi="Calibri" w:cs="Calibri"/>
          <w:sz w:val="24"/>
          <w:szCs w:val="24"/>
        </w:rPr>
        <w:footnoteReference w:id="64"/>
      </w:r>
      <w:r w:rsidRPr="00E94596">
        <w:rPr>
          <w:rFonts w:ascii="Calibri" w:hAnsi="Calibri" w:cs="Calibri"/>
          <w:sz w:val="24"/>
          <w:szCs w:val="24"/>
        </w:rPr>
        <w:t xml:space="preserve"> In ancient Israel, adultery was absolutely intolerable and harshly punished, because it threatened the social structure which relied on the stability of the family unit and authority of the patriarch.</w:t>
      </w:r>
      <w:r w:rsidRPr="00E94596">
        <w:rPr>
          <w:rStyle w:val="FootnoteReference"/>
          <w:rFonts w:ascii="Calibri" w:hAnsi="Calibri" w:cs="Calibri"/>
          <w:sz w:val="24"/>
          <w:szCs w:val="24"/>
        </w:rPr>
        <w:footnoteReference w:id="65"/>
      </w:r>
      <w:r w:rsidRPr="00E94596">
        <w:rPr>
          <w:rFonts w:ascii="Calibri" w:hAnsi="Calibri" w:cs="Calibri"/>
          <w:sz w:val="24"/>
          <w:szCs w:val="24"/>
        </w:rPr>
        <w:t xml:space="preserve"> </w:t>
      </w:r>
      <w:r w:rsidR="00D129B0" w:rsidRPr="00E94596">
        <w:rPr>
          <w:rFonts w:ascii="Calibri" w:hAnsi="Calibri" w:cs="Calibri"/>
          <w:sz w:val="24"/>
          <w:szCs w:val="24"/>
        </w:rPr>
        <w:t xml:space="preserve">The Strange </w:t>
      </w:r>
      <w:r w:rsidR="00D129B0" w:rsidRPr="00E94596">
        <w:rPr>
          <w:rFonts w:ascii="Calibri" w:hAnsi="Calibri" w:cs="Calibri"/>
          <w:sz w:val="24"/>
          <w:szCs w:val="24"/>
        </w:rPr>
        <w:lastRenderedPageBreak/>
        <w:t>Woman here acts as a point of contrast with Lady Wisdom</w:t>
      </w:r>
      <w:r w:rsidRPr="00E94596">
        <w:rPr>
          <w:rFonts w:ascii="Calibri" w:hAnsi="Calibri" w:cs="Calibri"/>
          <w:sz w:val="24"/>
          <w:szCs w:val="24"/>
        </w:rPr>
        <w:t>: “she is chaos while Lady Wisdom is order.”</w:t>
      </w:r>
      <w:r w:rsidRPr="00E94596">
        <w:rPr>
          <w:rStyle w:val="FootnoteReference"/>
          <w:rFonts w:ascii="Calibri" w:hAnsi="Calibri" w:cs="Calibri"/>
          <w:sz w:val="24"/>
          <w:szCs w:val="24"/>
        </w:rPr>
        <w:footnoteReference w:id="66"/>
      </w:r>
      <w:r w:rsidRPr="00E94596">
        <w:rPr>
          <w:rFonts w:ascii="Calibri" w:hAnsi="Calibri" w:cs="Calibri"/>
          <w:sz w:val="24"/>
          <w:szCs w:val="24"/>
        </w:rPr>
        <w:t xml:space="preserve"> </w:t>
      </w:r>
    </w:p>
    <w:p w14:paraId="3E5504E1" w14:textId="456EDA28" w:rsidR="00A72BA5" w:rsidRPr="00E94596" w:rsidRDefault="00A72BA5" w:rsidP="0061674B">
      <w:pPr>
        <w:spacing w:line="360" w:lineRule="auto"/>
        <w:rPr>
          <w:rFonts w:ascii="Calibri" w:hAnsi="Calibri" w:cs="Calibri"/>
          <w:sz w:val="24"/>
          <w:szCs w:val="24"/>
        </w:rPr>
      </w:pPr>
      <w:r w:rsidRPr="00E94596">
        <w:rPr>
          <w:rFonts w:ascii="Calibri" w:hAnsi="Calibri" w:cs="Calibri"/>
          <w:sz w:val="24"/>
          <w:szCs w:val="24"/>
        </w:rPr>
        <w:t>Further comparisons between Lady Wisdom and the Strange Woman can be drawn spatially in their imagined locations; while the young man is warned to keep away Strange Woman and told “do not go near the door of her house” (5:8), waiting near Lady Wisdom’s home is a source of happiness: “Happy is the one who listens to me, watching daily at my gates, waiting beside my doors” (8:34). The term used for door here is the same in both (“</w:t>
      </w:r>
      <w:proofErr w:type="spellStart"/>
      <w:r w:rsidRPr="00E94596">
        <w:rPr>
          <w:rFonts w:ascii="Calibri" w:hAnsi="Calibri" w:cs="Calibri"/>
          <w:sz w:val="24"/>
          <w:szCs w:val="24"/>
        </w:rPr>
        <w:t>petah</w:t>
      </w:r>
      <w:proofErr w:type="spellEnd"/>
      <w:r w:rsidRPr="00E94596">
        <w:rPr>
          <w:rFonts w:ascii="Calibri" w:hAnsi="Calibri" w:cs="Calibri"/>
          <w:sz w:val="24"/>
          <w:szCs w:val="24"/>
        </w:rPr>
        <w:t xml:space="preserve">”), meaning opening, </w:t>
      </w:r>
      <w:r w:rsidR="0061674B" w:rsidRPr="00E94596">
        <w:rPr>
          <w:rFonts w:ascii="Calibri" w:hAnsi="Calibri" w:cs="Calibri"/>
          <w:sz w:val="24"/>
          <w:szCs w:val="24"/>
        </w:rPr>
        <w:t>which Fox argues could be used to allude to the vagina</w:t>
      </w:r>
      <w:r w:rsidRPr="00E94596">
        <w:rPr>
          <w:rFonts w:ascii="Calibri" w:hAnsi="Calibri" w:cs="Calibri"/>
          <w:sz w:val="24"/>
          <w:szCs w:val="24"/>
        </w:rPr>
        <w:t>.</w:t>
      </w:r>
      <w:r w:rsidRPr="00E94596">
        <w:rPr>
          <w:rStyle w:val="FootnoteReference"/>
          <w:rFonts w:ascii="Calibri" w:hAnsi="Calibri" w:cs="Calibri"/>
          <w:sz w:val="24"/>
          <w:szCs w:val="24"/>
        </w:rPr>
        <w:footnoteReference w:id="67"/>
      </w:r>
      <w:r w:rsidRPr="00E94596">
        <w:rPr>
          <w:rFonts w:ascii="Calibri" w:hAnsi="Calibri" w:cs="Calibri"/>
          <w:sz w:val="24"/>
          <w:szCs w:val="24"/>
        </w:rPr>
        <w:t xml:space="preserve"> Furthermore, the </w:t>
      </w:r>
      <w:r w:rsidR="0061674B" w:rsidRPr="00E94596">
        <w:rPr>
          <w:rFonts w:ascii="Calibri" w:hAnsi="Calibri" w:cs="Calibri"/>
          <w:sz w:val="24"/>
          <w:szCs w:val="24"/>
        </w:rPr>
        <w:t xml:space="preserve">very </w:t>
      </w:r>
      <w:r w:rsidRPr="00E94596">
        <w:rPr>
          <w:rFonts w:ascii="Calibri" w:hAnsi="Calibri" w:cs="Calibri"/>
          <w:sz w:val="24"/>
          <w:szCs w:val="24"/>
        </w:rPr>
        <w:t xml:space="preserve">act of inviting men into the female domestic space </w:t>
      </w:r>
      <w:r w:rsidR="0061674B" w:rsidRPr="00E94596">
        <w:rPr>
          <w:rFonts w:ascii="Calibri" w:hAnsi="Calibri" w:cs="Calibri"/>
          <w:sz w:val="24"/>
          <w:szCs w:val="24"/>
        </w:rPr>
        <w:t xml:space="preserve">can </w:t>
      </w:r>
      <w:r w:rsidRPr="00E94596">
        <w:rPr>
          <w:rFonts w:ascii="Calibri" w:hAnsi="Calibri" w:cs="Calibri"/>
          <w:sz w:val="24"/>
          <w:szCs w:val="24"/>
        </w:rPr>
        <w:t xml:space="preserve">be interpreted as a precursor to an intimate act. </w:t>
      </w:r>
    </w:p>
    <w:p w14:paraId="2C5E520A" w14:textId="66B21FAA" w:rsidR="00C9279B" w:rsidRPr="00E94596" w:rsidRDefault="00F20F73" w:rsidP="00C9279B">
      <w:pPr>
        <w:spacing w:line="360" w:lineRule="auto"/>
        <w:rPr>
          <w:rFonts w:ascii="Calibri" w:hAnsi="Calibri" w:cs="Calibri"/>
          <w:sz w:val="24"/>
          <w:szCs w:val="24"/>
        </w:rPr>
      </w:pPr>
      <w:r w:rsidRPr="00E94596">
        <w:rPr>
          <w:rFonts w:ascii="Calibri" w:hAnsi="Calibri" w:cs="Calibri"/>
          <w:sz w:val="24"/>
          <w:szCs w:val="24"/>
        </w:rPr>
        <w:t xml:space="preserve">As a wife, Lady Wisdom is placed in a protective role, defending young men </w:t>
      </w:r>
      <w:r w:rsidR="00B36D69" w:rsidRPr="00E94596">
        <w:rPr>
          <w:rFonts w:ascii="Calibri" w:hAnsi="Calibri" w:cs="Calibri"/>
          <w:sz w:val="24"/>
          <w:szCs w:val="24"/>
        </w:rPr>
        <w:t>from the temptations of the adulteress.</w:t>
      </w:r>
      <w:r w:rsidR="00B36D69" w:rsidRPr="00E94596">
        <w:rPr>
          <w:rStyle w:val="FootnoteReference"/>
          <w:rFonts w:ascii="Calibri" w:hAnsi="Calibri" w:cs="Calibri"/>
          <w:sz w:val="24"/>
          <w:szCs w:val="24"/>
        </w:rPr>
        <w:footnoteReference w:id="68"/>
      </w:r>
      <w:r w:rsidR="00B36D69" w:rsidRPr="00E94596">
        <w:rPr>
          <w:rFonts w:ascii="Calibri" w:hAnsi="Calibri" w:cs="Calibri"/>
          <w:sz w:val="24"/>
          <w:szCs w:val="24"/>
        </w:rPr>
        <w:t xml:space="preserve"> </w:t>
      </w:r>
      <w:r w:rsidR="00A72BA5" w:rsidRPr="00E94596">
        <w:rPr>
          <w:rFonts w:ascii="Calibri" w:hAnsi="Calibri" w:cs="Calibri"/>
          <w:sz w:val="24"/>
          <w:szCs w:val="24"/>
        </w:rPr>
        <w:t>Yee argues that Lady Wisdom takes an active role in claiming the attentive son, coming into his heart to protect him from the issa zara</w:t>
      </w:r>
      <w:r w:rsidR="00B36D69" w:rsidRPr="00E94596">
        <w:rPr>
          <w:rFonts w:ascii="Calibri" w:hAnsi="Calibri" w:cs="Calibri"/>
          <w:sz w:val="24"/>
          <w:szCs w:val="24"/>
        </w:rPr>
        <w:t>, which places her in the category of appropriate lover as wife</w:t>
      </w:r>
      <w:r w:rsidR="00A72BA5" w:rsidRPr="00E94596">
        <w:rPr>
          <w:rFonts w:ascii="Calibri" w:hAnsi="Calibri" w:cs="Calibri"/>
          <w:sz w:val="24"/>
          <w:szCs w:val="24"/>
        </w:rPr>
        <w:t>.</w:t>
      </w:r>
      <w:r w:rsidR="00A72BA5" w:rsidRPr="00E94596">
        <w:rPr>
          <w:rStyle w:val="FootnoteReference"/>
          <w:rFonts w:ascii="Calibri" w:hAnsi="Calibri" w:cs="Calibri"/>
          <w:sz w:val="24"/>
          <w:szCs w:val="24"/>
        </w:rPr>
        <w:footnoteReference w:id="69"/>
      </w:r>
      <w:r w:rsidR="00A72BA5" w:rsidRPr="00E94596">
        <w:rPr>
          <w:rFonts w:ascii="Calibri" w:hAnsi="Calibri" w:cs="Calibri"/>
          <w:sz w:val="24"/>
          <w:szCs w:val="24"/>
        </w:rPr>
        <w:t xml:space="preserve"> The grandfather’s speech in Proverbs 4 decorates Lady Wisdom with bridal imagery, and the young man is urged to love Wisdom and not forsake her like the Strange Woman “forsakes the partner of her youth and forgets her sacred covenant” (2:17). In a speech urging the man to embrace Wisdom as a bride and lover, </w:t>
      </w:r>
      <w:r w:rsidR="00B36D69" w:rsidRPr="00E94596">
        <w:rPr>
          <w:rFonts w:ascii="Calibri" w:hAnsi="Calibri" w:cs="Calibri"/>
          <w:sz w:val="24"/>
          <w:szCs w:val="24"/>
        </w:rPr>
        <w:t>the young man</w:t>
      </w:r>
      <w:r w:rsidR="00A72BA5" w:rsidRPr="00E94596">
        <w:rPr>
          <w:rFonts w:ascii="Calibri" w:hAnsi="Calibri" w:cs="Calibri"/>
          <w:sz w:val="24"/>
          <w:szCs w:val="24"/>
        </w:rPr>
        <w:t xml:space="preserve"> is likewise warned against embracing the bosom of the adulteress (5:20), with the wise grandfather pointing to Lady Wisdom as the correct woman to “embrace”</w:t>
      </w:r>
      <w:r w:rsidR="003D1A42" w:rsidRPr="00E94596">
        <w:rPr>
          <w:rFonts w:ascii="Calibri" w:hAnsi="Calibri" w:cs="Calibri"/>
          <w:sz w:val="24"/>
          <w:szCs w:val="24"/>
        </w:rPr>
        <w:t xml:space="preserve"> and the correct alternative to extra-marital sex with the Strange Woman</w:t>
      </w:r>
      <w:r w:rsidR="00A72BA5" w:rsidRPr="00E94596">
        <w:rPr>
          <w:rFonts w:ascii="Calibri" w:hAnsi="Calibri" w:cs="Calibri"/>
          <w:sz w:val="24"/>
          <w:szCs w:val="24"/>
        </w:rPr>
        <w:t>.</w:t>
      </w:r>
      <w:r w:rsidR="00A72BA5" w:rsidRPr="00E94596">
        <w:rPr>
          <w:rStyle w:val="FootnoteReference"/>
          <w:rFonts w:ascii="Calibri" w:hAnsi="Calibri" w:cs="Calibri"/>
          <w:sz w:val="24"/>
          <w:szCs w:val="24"/>
        </w:rPr>
        <w:footnoteReference w:id="70"/>
      </w:r>
      <w:r w:rsidR="00A72BA5" w:rsidRPr="00E94596">
        <w:rPr>
          <w:rFonts w:ascii="Calibri" w:hAnsi="Calibri" w:cs="Calibri"/>
          <w:sz w:val="24"/>
          <w:szCs w:val="24"/>
        </w:rPr>
        <w:t xml:space="preserve"> Furthermore,</w:t>
      </w:r>
      <w:r w:rsidR="003D1A42" w:rsidRPr="00E94596">
        <w:rPr>
          <w:rFonts w:ascii="Calibri" w:hAnsi="Calibri" w:cs="Calibri"/>
          <w:sz w:val="24"/>
          <w:szCs w:val="24"/>
        </w:rPr>
        <w:t xml:space="preserve"> both Lady Wisdom are described frequenting the same locations, “</w:t>
      </w:r>
      <w:r w:rsidR="00A72BA5" w:rsidRPr="00E94596">
        <w:rPr>
          <w:rFonts w:ascii="Calibri" w:hAnsi="Calibri" w:cs="Calibri"/>
          <w:sz w:val="24"/>
          <w:szCs w:val="24"/>
        </w:rPr>
        <w:t xml:space="preserve">in the streets” and “in the squares” (1:20-21, 7:11-12), and Yee argues this is </w:t>
      </w:r>
      <w:r w:rsidR="002E0DDA" w:rsidRPr="00E94596">
        <w:rPr>
          <w:rFonts w:ascii="Calibri" w:hAnsi="Calibri" w:cs="Calibri"/>
          <w:sz w:val="24"/>
          <w:szCs w:val="24"/>
        </w:rPr>
        <w:t>done</w:t>
      </w:r>
      <w:r w:rsidR="00A72BA5" w:rsidRPr="00E94596">
        <w:rPr>
          <w:rFonts w:ascii="Calibri" w:hAnsi="Calibri" w:cs="Calibri"/>
          <w:sz w:val="24"/>
          <w:szCs w:val="24"/>
        </w:rPr>
        <w:t xml:space="preserve"> purposefully to emphasise “the twin claims of the two opposing factions.”</w:t>
      </w:r>
      <w:r w:rsidR="00A72BA5" w:rsidRPr="00E94596">
        <w:rPr>
          <w:rStyle w:val="FootnoteReference"/>
          <w:rFonts w:ascii="Calibri" w:hAnsi="Calibri" w:cs="Calibri"/>
          <w:sz w:val="24"/>
          <w:szCs w:val="24"/>
        </w:rPr>
        <w:footnoteReference w:id="71"/>
      </w:r>
      <w:r w:rsidR="00A72BA5" w:rsidRPr="00E94596">
        <w:rPr>
          <w:rFonts w:ascii="Calibri" w:hAnsi="Calibri" w:cs="Calibri"/>
          <w:sz w:val="24"/>
          <w:szCs w:val="24"/>
        </w:rPr>
        <w:t xml:space="preserve"> </w:t>
      </w:r>
      <w:r w:rsidR="002E0DDA" w:rsidRPr="00E94596">
        <w:rPr>
          <w:rFonts w:ascii="Calibri" w:hAnsi="Calibri" w:cs="Calibri"/>
          <w:sz w:val="24"/>
          <w:szCs w:val="24"/>
        </w:rPr>
        <w:t>Yee emphasise</w:t>
      </w:r>
      <w:r w:rsidR="004408DB" w:rsidRPr="00E94596">
        <w:rPr>
          <w:rFonts w:ascii="Calibri" w:hAnsi="Calibri" w:cs="Calibri"/>
          <w:sz w:val="24"/>
          <w:szCs w:val="24"/>
        </w:rPr>
        <w:t xml:space="preserve">s </w:t>
      </w:r>
      <w:r w:rsidR="00A72BA5" w:rsidRPr="00E94596">
        <w:rPr>
          <w:rFonts w:ascii="Calibri" w:hAnsi="Calibri" w:cs="Calibri"/>
          <w:sz w:val="24"/>
          <w:szCs w:val="24"/>
        </w:rPr>
        <w:t>that the love of Lady Wisdom is shown to fill her beloved at all times, while the love of the Strange Woman is inherently transitory, as it only lasts until the return of the Strange Woman’s cuckolded husband.</w:t>
      </w:r>
      <w:r w:rsidR="00A72BA5" w:rsidRPr="00E94596">
        <w:rPr>
          <w:rStyle w:val="FootnoteReference"/>
          <w:rFonts w:ascii="Calibri" w:hAnsi="Calibri" w:cs="Calibri"/>
          <w:sz w:val="24"/>
          <w:szCs w:val="24"/>
        </w:rPr>
        <w:footnoteReference w:id="72"/>
      </w:r>
      <w:r w:rsidR="00A72BA5" w:rsidRPr="00E94596">
        <w:rPr>
          <w:rFonts w:ascii="Calibri" w:hAnsi="Calibri" w:cs="Calibri"/>
          <w:sz w:val="24"/>
          <w:szCs w:val="24"/>
        </w:rPr>
        <w:t xml:space="preserve"> Fox’s commentary on Prov. 7:4 describes the instruction to call Lady Wisdom </w:t>
      </w:r>
      <w:r w:rsidR="00A72BA5" w:rsidRPr="00E94596">
        <w:rPr>
          <w:rFonts w:ascii="Calibri" w:hAnsi="Calibri" w:cs="Calibri"/>
          <w:sz w:val="24"/>
          <w:szCs w:val="24"/>
        </w:rPr>
        <w:lastRenderedPageBreak/>
        <w:t xml:space="preserve">“sister”, a term used in the Song of Songs and elsewhere in Egyptian love poetry as a romantic term of endearment, as a sharp counterpoint to the </w:t>
      </w:r>
      <w:r w:rsidR="00C9279B" w:rsidRPr="00E94596">
        <w:rPr>
          <w:rFonts w:ascii="Calibri" w:hAnsi="Calibri" w:cs="Calibri"/>
          <w:sz w:val="24"/>
          <w:szCs w:val="24"/>
        </w:rPr>
        <w:t>illegitimate affair with the Strange Woman.</w:t>
      </w:r>
      <w:r w:rsidR="00A72BA5" w:rsidRPr="00E94596">
        <w:rPr>
          <w:rStyle w:val="FootnoteReference"/>
          <w:rFonts w:ascii="Calibri" w:hAnsi="Calibri" w:cs="Calibri"/>
          <w:sz w:val="24"/>
          <w:szCs w:val="24"/>
        </w:rPr>
        <w:footnoteReference w:id="73"/>
      </w:r>
      <w:r w:rsidR="00C9279B" w:rsidRPr="00E94596">
        <w:rPr>
          <w:rFonts w:ascii="Calibri" w:hAnsi="Calibri" w:cs="Calibri"/>
          <w:sz w:val="24"/>
          <w:szCs w:val="24"/>
        </w:rPr>
        <w:t xml:space="preserve"> The descriptions of Lady Wisdom point the intended male audience to the correct choice of Lady Wisdom as wife while warning against adulterous relationships that lead to ruin and disaster.</w:t>
      </w:r>
    </w:p>
    <w:p w14:paraId="5ECFC87C" w14:textId="6FE5124A"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The banquets of Lady Wisdom and the Strange Woman</w:t>
      </w:r>
    </w:p>
    <w:p w14:paraId="12C3ED69" w14:textId="652508D3" w:rsidR="00A72BA5" w:rsidRPr="00E94596" w:rsidRDefault="00994607" w:rsidP="00994607">
      <w:pPr>
        <w:spacing w:line="360" w:lineRule="auto"/>
        <w:rPr>
          <w:rFonts w:ascii="Calibri" w:hAnsi="Calibri" w:cs="Calibri"/>
          <w:sz w:val="24"/>
          <w:szCs w:val="24"/>
        </w:rPr>
      </w:pPr>
      <w:r w:rsidRPr="00E94596">
        <w:rPr>
          <w:rFonts w:ascii="Calibri" w:hAnsi="Calibri" w:cs="Calibri"/>
          <w:sz w:val="24"/>
          <w:szCs w:val="24"/>
        </w:rPr>
        <w:t xml:space="preserve">Additional comparisons can be drawn between Lady Wisdom and the Strange Woman in 9:13-18, </w:t>
      </w:r>
      <w:r w:rsidR="00A72BA5" w:rsidRPr="00E94596">
        <w:rPr>
          <w:rFonts w:ascii="Calibri" w:hAnsi="Calibri" w:cs="Calibri"/>
          <w:sz w:val="24"/>
          <w:szCs w:val="24"/>
        </w:rPr>
        <w:t>with both inviting men into their houses offering food to their guests. Both are referenced as calling from the “highest places in the town”, seeking public venues and often in proximity, which Fox argues points to them as directly alternative choices.</w:t>
      </w:r>
      <w:r w:rsidR="00A72BA5" w:rsidRPr="00E94596">
        <w:rPr>
          <w:rStyle w:val="FootnoteReference"/>
          <w:rFonts w:ascii="Calibri" w:hAnsi="Calibri" w:cs="Calibri"/>
          <w:sz w:val="24"/>
          <w:szCs w:val="24"/>
        </w:rPr>
        <w:footnoteReference w:id="74"/>
      </w:r>
      <w:r w:rsidR="00A72BA5" w:rsidRPr="00E94596">
        <w:rPr>
          <w:rFonts w:ascii="Calibri" w:hAnsi="Calibri" w:cs="Calibri"/>
          <w:sz w:val="24"/>
          <w:szCs w:val="24"/>
        </w:rPr>
        <w:t xml:space="preserve"> Michael Fox’s observations of the differences between the two banquets are enlightening: </w:t>
      </w:r>
    </w:p>
    <w:p w14:paraId="01778A93" w14:textId="77777777" w:rsidR="00A72BA5" w:rsidRPr="00E94596" w:rsidRDefault="00A72BA5" w:rsidP="00711265">
      <w:pPr>
        <w:spacing w:line="360" w:lineRule="auto"/>
        <w:ind w:left="720"/>
        <w:rPr>
          <w:rFonts w:ascii="Calibri" w:hAnsi="Calibri" w:cs="Calibri"/>
          <w:sz w:val="24"/>
          <w:szCs w:val="24"/>
        </w:rPr>
      </w:pPr>
      <w:r w:rsidRPr="00E94596">
        <w:rPr>
          <w:rFonts w:ascii="Calibri" w:hAnsi="Calibri" w:cs="Calibri"/>
          <w:sz w:val="24"/>
          <w:szCs w:val="24"/>
        </w:rPr>
        <w:t xml:space="preserve">Wisdom invested energy and care in preparing her banquet, in contrast to Folly’s indolence. Wisdom is energetic, effective and clever, like the Excellent Woman of 31:10-31. Folly neither </w:t>
      </w:r>
      <w:proofErr w:type="gramStart"/>
      <w:r w:rsidRPr="00E94596">
        <w:rPr>
          <w:rFonts w:ascii="Calibri" w:hAnsi="Calibri" w:cs="Calibri"/>
          <w:sz w:val="24"/>
          <w:szCs w:val="24"/>
        </w:rPr>
        <w:t>makes preparations</w:t>
      </w:r>
      <w:proofErr w:type="gramEnd"/>
      <w:r w:rsidRPr="00E94596">
        <w:rPr>
          <w:rFonts w:ascii="Calibri" w:hAnsi="Calibri" w:cs="Calibri"/>
          <w:sz w:val="24"/>
          <w:szCs w:val="24"/>
        </w:rPr>
        <w:t xml:space="preserve"> nor sends out messengers but merely sits at her door summoning passersby. The food she provides is, after all, stolen.</w:t>
      </w:r>
      <w:r w:rsidRPr="00E94596">
        <w:rPr>
          <w:rStyle w:val="FootnoteReference"/>
          <w:rFonts w:ascii="Calibri" w:hAnsi="Calibri" w:cs="Calibri"/>
          <w:sz w:val="24"/>
          <w:szCs w:val="24"/>
        </w:rPr>
        <w:footnoteReference w:id="75"/>
      </w:r>
    </w:p>
    <w:p w14:paraId="620BCA12" w14:textId="77777777"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Lady Wisdom is portrayed as an efficient household manager, as explored in chapter one, slaughtering her cattle (9:2), mixing her wine (9:5) and sending her domestic servants as messengers to invite guests (9:3). In comparison, the foolish woman does no preparation and instead does not send out messengers, but instead “sits at the door of her house, on a seat at the high places of town” (9:14), calling out to men to join her. </w:t>
      </w:r>
    </w:p>
    <w:p w14:paraId="7953F5DE" w14:textId="5F416285" w:rsidR="00A72BA5" w:rsidRPr="00E94596" w:rsidRDefault="004F2B73" w:rsidP="004F2B73">
      <w:pPr>
        <w:spacing w:line="360" w:lineRule="auto"/>
        <w:rPr>
          <w:rFonts w:ascii="Calibri" w:hAnsi="Calibri" w:cs="Calibri"/>
          <w:sz w:val="24"/>
          <w:szCs w:val="24"/>
        </w:rPr>
      </w:pPr>
      <w:r w:rsidRPr="00E94596">
        <w:rPr>
          <w:rFonts w:ascii="Calibri" w:hAnsi="Calibri" w:cs="Calibri"/>
          <w:sz w:val="24"/>
          <w:szCs w:val="24"/>
        </w:rPr>
        <w:t>Following Yee’s argument that the Strange Woman and foolish woman represent one figure, the Strange Woman not only hosts a banquet but also feeds her lover.</w:t>
      </w:r>
      <w:r w:rsidRPr="00E94596">
        <w:rPr>
          <w:rStyle w:val="FootnoteReference"/>
          <w:rFonts w:ascii="Calibri" w:hAnsi="Calibri" w:cs="Calibri"/>
          <w:sz w:val="24"/>
          <w:szCs w:val="24"/>
        </w:rPr>
        <w:footnoteReference w:id="76"/>
      </w:r>
      <w:r w:rsidRPr="00E94596">
        <w:rPr>
          <w:rFonts w:ascii="Calibri" w:hAnsi="Calibri" w:cs="Calibri"/>
          <w:sz w:val="24"/>
          <w:szCs w:val="24"/>
        </w:rPr>
        <w:t xml:space="preserve"> </w:t>
      </w:r>
      <w:r w:rsidR="00A72BA5" w:rsidRPr="00E94596">
        <w:rPr>
          <w:rFonts w:ascii="Calibri" w:hAnsi="Calibri" w:cs="Calibri"/>
          <w:sz w:val="24"/>
          <w:szCs w:val="24"/>
        </w:rPr>
        <w:t xml:space="preserve">In his analyses of 7:14, Michael Fox uncovers the hidden meaning of the statement previously used to mistakenly align the Strange Woman with cultic prostitution: the Strange Woman tells the young man she approaches for sex, “I had to make my offerings today, today I have paid my vows,” (7:14). Examining the historical context for this passage, it can be understood as referencing Israelite temple sacrifice, when animals were sacrificed at the Temple at </w:t>
      </w:r>
      <w:r w:rsidR="00A72BA5" w:rsidRPr="00E94596">
        <w:rPr>
          <w:rFonts w:ascii="Calibri" w:hAnsi="Calibri" w:cs="Calibri"/>
          <w:sz w:val="24"/>
          <w:szCs w:val="24"/>
        </w:rPr>
        <w:lastRenderedPageBreak/>
        <w:t>Jerusalem and then the majority of the meat was given back to the offeror (laid out in Lev. 17:15) and could be eaten on the day of sacrifice and the next day (Lev. 7:16). Fox interprets this as meaning that “the non-devoted portion is now available for dinner”</w:t>
      </w:r>
      <w:r w:rsidR="00A72BA5" w:rsidRPr="00E94596">
        <w:rPr>
          <w:rStyle w:val="FootnoteReference"/>
          <w:rFonts w:ascii="Calibri" w:hAnsi="Calibri" w:cs="Calibri"/>
          <w:sz w:val="24"/>
          <w:szCs w:val="24"/>
        </w:rPr>
        <w:footnoteReference w:id="77"/>
      </w:r>
      <w:r w:rsidR="00A72BA5" w:rsidRPr="00E94596">
        <w:rPr>
          <w:rFonts w:ascii="Calibri" w:hAnsi="Calibri" w:cs="Calibri"/>
          <w:sz w:val="24"/>
          <w:szCs w:val="24"/>
        </w:rPr>
        <w:t xml:space="preserve"> and thus the Strange Woman is also offering the man a feast, described by Fox as baiting her trap with food.</w:t>
      </w:r>
      <w:r w:rsidR="00A72BA5" w:rsidRPr="00E94596">
        <w:rPr>
          <w:rStyle w:val="FootnoteReference"/>
          <w:rFonts w:ascii="Calibri" w:hAnsi="Calibri" w:cs="Calibri"/>
          <w:sz w:val="24"/>
          <w:szCs w:val="24"/>
        </w:rPr>
        <w:footnoteReference w:id="78"/>
      </w:r>
      <w:r w:rsidR="00A72BA5" w:rsidRPr="00E94596">
        <w:rPr>
          <w:rFonts w:ascii="Calibri" w:hAnsi="Calibri" w:cs="Calibri"/>
          <w:sz w:val="24"/>
          <w:szCs w:val="24"/>
        </w:rPr>
        <w:t xml:space="preserve"> The Strange Woman’s offer is thick with sexual innuendo as she describes that she has “decked [her] couch with coverings” (7:16) and offers the man an experience of sensory indulgence,</w:t>
      </w:r>
      <w:r w:rsidR="00A72BA5" w:rsidRPr="00E94596">
        <w:rPr>
          <w:rStyle w:val="FootnoteReference"/>
          <w:rFonts w:ascii="Calibri" w:hAnsi="Calibri" w:cs="Calibri"/>
          <w:sz w:val="24"/>
          <w:szCs w:val="24"/>
        </w:rPr>
        <w:footnoteReference w:id="79"/>
      </w:r>
      <w:r w:rsidR="00A72BA5" w:rsidRPr="00E94596">
        <w:rPr>
          <w:rFonts w:ascii="Calibri" w:hAnsi="Calibri" w:cs="Calibri"/>
          <w:sz w:val="24"/>
          <w:szCs w:val="24"/>
        </w:rPr>
        <w:t xml:space="preserve"> compelling him to join her: “Come, let us take our fill of love until morning; let us delight ourselves with love” (7:18). In comparison with the </w:t>
      </w:r>
      <w:r w:rsidRPr="00E94596">
        <w:rPr>
          <w:rFonts w:ascii="Calibri" w:hAnsi="Calibri" w:cs="Calibri"/>
          <w:sz w:val="24"/>
          <w:szCs w:val="24"/>
        </w:rPr>
        <w:t xml:space="preserve">Strange Woman’s desperate acts of seduction, Lady Wisdom acts as an </w:t>
      </w:r>
      <w:r w:rsidR="00A72BA5" w:rsidRPr="00E94596">
        <w:rPr>
          <w:rFonts w:ascii="Calibri" w:hAnsi="Calibri" w:cs="Calibri"/>
          <w:sz w:val="24"/>
          <w:szCs w:val="24"/>
        </w:rPr>
        <w:t>excellent household manager and virtuous wife, holding strong in her fidelity to her husban</w:t>
      </w:r>
      <w:r w:rsidR="007918BD" w:rsidRPr="00E94596">
        <w:rPr>
          <w:rFonts w:ascii="Calibri" w:hAnsi="Calibri" w:cs="Calibri"/>
          <w:sz w:val="24"/>
          <w:szCs w:val="24"/>
        </w:rPr>
        <w:t>d and</w:t>
      </w:r>
      <w:r w:rsidR="00A72BA5" w:rsidRPr="00E94596">
        <w:rPr>
          <w:rFonts w:ascii="Calibri" w:hAnsi="Calibri" w:cs="Calibri"/>
          <w:sz w:val="24"/>
          <w:szCs w:val="24"/>
        </w:rPr>
        <w:t xml:space="preserve"> satisfying the needs of those she calls to her home for feasts, </w:t>
      </w:r>
      <w:r w:rsidR="007918BD" w:rsidRPr="00E94596">
        <w:rPr>
          <w:rFonts w:ascii="Calibri" w:hAnsi="Calibri" w:cs="Calibri"/>
          <w:sz w:val="24"/>
          <w:szCs w:val="24"/>
        </w:rPr>
        <w:t xml:space="preserve">all the while </w:t>
      </w:r>
      <w:r w:rsidR="00A72BA5" w:rsidRPr="00E94596">
        <w:rPr>
          <w:rFonts w:ascii="Calibri" w:hAnsi="Calibri" w:cs="Calibri"/>
          <w:sz w:val="24"/>
          <w:szCs w:val="24"/>
        </w:rPr>
        <w:t>“displaying dignified authority”.</w:t>
      </w:r>
      <w:r w:rsidR="00A72BA5" w:rsidRPr="00E94596">
        <w:rPr>
          <w:rStyle w:val="FootnoteReference"/>
          <w:rFonts w:ascii="Calibri" w:hAnsi="Calibri" w:cs="Calibri"/>
          <w:sz w:val="24"/>
          <w:szCs w:val="24"/>
        </w:rPr>
        <w:footnoteReference w:id="80"/>
      </w:r>
      <w:r w:rsidR="00A72BA5" w:rsidRPr="00E94596">
        <w:rPr>
          <w:rFonts w:ascii="Calibri" w:hAnsi="Calibri" w:cs="Calibri"/>
          <w:sz w:val="24"/>
          <w:szCs w:val="24"/>
        </w:rPr>
        <w:t xml:space="preserve"> </w:t>
      </w:r>
    </w:p>
    <w:p w14:paraId="697747BE" w14:textId="54C1710F"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 xml:space="preserve">Socioeconomic </w:t>
      </w:r>
      <w:r w:rsidR="007918BD" w:rsidRPr="00E94596">
        <w:rPr>
          <w:rFonts w:ascii="Calibri" w:hAnsi="Calibri" w:cs="Calibri"/>
          <w:sz w:val="24"/>
          <w:szCs w:val="24"/>
          <w:u w:val="single"/>
        </w:rPr>
        <w:t>consequences of each relationship</w:t>
      </w:r>
    </w:p>
    <w:p w14:paraId="1A3A6481" w14:textId="77777777" w:rsidR="00803828" w:rsidRPr="00E94596" w:rsidRDefault="004C586F" w:rsidP="004C586F">
      <w:pPr>
        <w:spacing w:line="360" w:lineRule="auto"/>
        <w:rPr>
          <w:rFonts w:ascii="Calibri" w:hAnsi="Calibri" w:cs="Calibri"/>
          <w:sz w:val="24"/>
          <w:szCs w:val="24"/>
        </w:rPr>
      </w:pPr>
      <w:r w:rsidRPr="00E94596">
        <w:rPr>
          <w:rFonts w:ascii="Calibri" w:hAnsi="Calibri" w:cs="Calibri"/>
          <w:sz w:val="24"/>
          <w:szCs w:val="24"/>
        </w:rPr>
        <w:t xml:space="preserve">Another point of contrast between the Strange Woman and Lady is the consequences, both economic and social, of relationships with each of them. </w:t>
      </w:r>
      <w:r w:rsidR="00A72BA5" w:rsidRPr="00E94596">
        <w:rPr>
          <w:rFonts w:ascii="Calibri" w:hAnsi="Calibri" w:cs="Calibri"/>
          <w:sz w:val="24"/>
          <w:szCs w:val="24"/>
        </w:rPr>
        <w:t>Viviers points to the opulence evoked by Lady Wisdom’s feast, describing her representation in 9:1-6 being that of an aristocratic woman, even similar to a queen (c.f. Esther), celebrating her lavish home with an expensive banquet.</w:t>
      </w:r>
      <w:r w:rsidR="00A72BA5" w:rsidRPr="00E94596">
        <w:rPr>
          <w:rStyle w:val="FootnoteReference"/>
          <w:rFonts w:ascii="Calibri" w:hAnsi="Calibri" w:cs="Calibri"/>
          <w:sz w:val="24"/>
          <w:szCs w:val="24"/>
        </w:rPr>
        <w:footnoteReference w:id="81"/>
      </w:r>
      <w:r w:rsidR="00A72BA5" w:rsidRPr="00E94596">
        <w:rPr>
          <w:rFonts w:ascii="Calibri" w:hAnsi="Calibri" w:cs="Calibri"/>
          <w:sz w:val="24"/>
          <w:szCs w:val="24"/>
        </w:rPr>
        <w:t xml:space="preserve"> Her home having “seven pillars” is also linked to expensive homes or even royal palaces by Viviers</w:t>
      </w:r>
      <w:r w:rsidR="00A72BA5" w:rsidRPr="00E94596">
        <w:rPr>
          <w:rStyle w:val="FootnoteReference"/>
          <w:rFonts w:ascii="Calibri" w:hAnsi="Calibri" w:cs="Calibri"/>
          <w:sz w:val="24"/>
          <w:szCs w:val="24"/>
        </w:rPr>
        <w:footnoteReference w:id="82"/>
      </w:r>
      <w:r w:rsidR="00A72BA5" w:rsidRPr="00E94596">
        <w:rPr>
          <w:rFonts w:ascii="Calibri" w:hAnsi="Calibri" w:cs="Calibri"/>
          <w:sz w:val="24"/>
          <w:szCs w:val="24"/>
        </w:rPr>
        <w:t xml:space="preserve"> as well as Fox, who described the reference as indicating “spaciousness and elegance”.</w:t>
      </w:r>
      <w:r w:rsidR="00A72BA5" w:rsidRPr="00E94596">
        <w:rPr>
          <w:rStyle w:val="FootnoteReference"/>
          <w:rFonts w:ascii="Calibri" w:hAnsi="Calibri" w:cs="Calibri"/>
          <w:sz w:val="24"/>
          <w:szCs w:val="24"/>
        </w:rPr>
        <w:footnoteReference w:id="83"/>
      </w:r>
      <w:r w:rsidR="00A72BA5" w:rsidRPr="00E94596">
        <w:rPr>
          <w:rFonts w:ascii="Calibri" w:hAnsi="Calibri" w:cs="Calibri"/>
          <w:sz w:val="24"/>
          <w:szCs w:val="24"/>
        </w:rPr>
        <w:t xml:space="preserve"> </w:t>
      </w:r>
    </w:p>
    <w:p w14:paraId="0386FA9D" w14:textId="77777777" w:rsidR="000A46CA" w:rsidRPr="00E94596" w:rsidRDefault="00803828" w:rsidP="006E3043">
      <w:pPr>
        <w:spacing w:line="360" w:lineRule="auto"/>
        <w:rPr>
          <w:rFonts w:ascii="Calibri" w:hAnsi="Calibri" w:cs="Calibri"/>
          <w:sz w:val="24"/>
          <w:szCs w:val="24"/>
        </w:rPr>
      </w:pPr>
      <w:r w:rsidRPr="00E94596">
        <w:rPr>
          <w:rFonts w:ascii="Calibri" w:hAnsi="Calibri" w:cs="Calibri"/>
          <w:sz w:val="24"/>
          <w:szCs w:val="24"/>
        </w:rPr>
        <w:t>In comparison, while the Strange Woman is described as perfuming her bed with “myrrh […] aloes and cinnamon”</w:t>
      </w:r>
      <w:r w:rsidR="006E3043" w:rsidRPr="00E94596">
        <w:rPr>
          <w:rFonts w:ascii="Calibri" w:hAnsi="Calibri" w:cs="Calibri"/>
          <w:sz w:val="24"/>
          <w:szCs w:val="24"/>
        </w:rPr>
        <w:t>, Fox explains that these were such expensive spices that they were sprinkled on the royal couch (Songs 3:6-7), and so the Strange Woman’s claim would be recognisable to the original readers as an exaggeration or an outright lie.</w:t>
      </w:r>
      <w:r w:rsidR="00A72BA5" w:rsidRPr="00E94596">
        <w:rPr>
          <w:rStyle w:val="FootnoteReference"/>
          <w:rFonts w:ascii="Calibri" w:hAnsi="Calibri" w:cs="Calibri"/>
          <w:sz w:val="24"/>
          <w:szCs w:val="24"/>
        </w:rPr>
        <w:footnoteReference w:id="84"/>
      </w:r>
      <w:r w:rsidR="00A72BA5" w:rsidRPr="00E94596">
        <w:rPr>
          <w:rFonts w:ascii="Calibri" w:hAnsi="Calibri" w:cs="Calibri"/>
          <w:sz w:val="24"/>
          <w:szCs w:val="24"/>
        </w:rPr>
        <w:t xml:space="preserve"> </w:t>
      </w:r>
    </w:p>
    <w:p w14:paraId="250C4F72" w14:textId="5F90775A" w:rsidR="00A72BA5" w:rsidRPr="00E94596" w:rsidRDefault="00310BE0" w:rsidP="00310BE0">
      <w:pPr>
        <w:spacing w:line="360" w:lineRule="auto"/>
        <w:rPr>
          <w:rFonts w:ascii="Calibri" w:hAnsi="Calibri" w:cs="Calibri"/>
          <w:sz w:val="24"/>
          <w:szCs w:val="24"/>
        </w:rPr>
      </w:pPr>
      <w:r w:rsidRPr="00E94596">
        <w:rPr>
          <w:rFonts w:ascii="Calibri" w:hAnsi="Calibri" w:cs="Calibri"/>
          <w:sz w:val="24"/>
          <w:szCs w:val="24"/>
        </w:rPr>
        <w:lastRenderedPageBreak/>
        <w:t xml:space="preserve">This deception builds on her other lies, as </w:t>
      </w:r>
      <w:r w:rsidR="00A72BA5" w:rsidRPr="00E94596">
        <w:rPr>
          <w:rFonts w:ascii="Calibri" w:hAnsi="Calibri" w:cs="Calibri"/>
          <w:sz w:val="24"/>
          <w:szCs w:val="24"/>
        </w:rPr>
        <w:t>she both feigns fidelity to her husband and promises luxury to her adulterous lovers that she almost certainly cannot provide.</w:t>
      </w:r>
      <w:r w:rsidR="00A72BA5" w:rsidRPr="00E94596">
        <w:rPr>
          <w:rStyle w:val="FootnoteReference"/>
          <w:rFonts w:ascii="Calibri" w:hAnsi="Calibri" w:cs="Calibri"/>
          <w:sz w:val="24"/>
          <w:szCs w:val="24"/>
        </w:rPr>
        <w:footnoteReference w:id="85"/>
      </w:r>
      <w:r w:rsidR="00A72BA5" w:rsidRPr="00E94596">
        <w:rPr>
          <w:rFonts w:ascii="Calibri" w:hAnsi="Calibri" w:cs="Calibri"/>
          <w:sz w:val="24"/>
          <w:szCs w:val="24"/>
        </w:rPr>
        <w:t xml:space="preserve"> In contrast with the meat and spice-mixed wine given by Lady Wisdom to </w:t>
      </w:r>
      <w:r w:rsidRPr="00E94596">
        <w:rPr>
          <w:rFonts w:ascii="Calibri" w:hAnsi="Calibri" w:cs="Calibri"/>
          <w:sz w:val="24"/>
          <w:szCs w:val="24"/>
        </w:rPr>
        <w:t>her guests in her opulent home</w:t>
      </w:r>
      <w:r w:rsidR="00A72BA5" w:rsidRPr="00E94596">
        <w:rPr>
          <w:rFonts w:ascii="Calibri" w:hAnsi="Calibri" w:cs="Calibri"/>
          <w:sz w:val="24"/>
          <w:szCs w:val="24"/>
        </w:rPr>
        <w:t xml:space="preserve">, the Strange Woman can only make empty promises of luxury, offer stolen bread and water, and welcome her lover into her </w:t>
      </w:r>
      <w:proofErr w:type="spellStart"/>
      <w:r w:rsidR="00A72BA5" w:rsidRPr="00E94596">
        <w:rPr>
          <w:rFonts w:ascii="Calibri" w:hAnsi="Calibri" w:cs="Calibri"/>
          <w:sz w:val="24"/>
          <w:szCs w:val="24"/>
        </w:rPr>
        <w:t>cuckholded</w:t>
      </w:r>
      <w:proofErr w:type="spellEnd"/>
      <w:r w:rsidR="00A72BA5" w:rsidRPr="00E94596">
        <w:rPr>
          <w:rFonts w:ascii="Calibri" w:hAnsi="Calibri" w:cs="Calibri"/>
          <w:sz w:val="24"/>
          <w:szCs w:val="24"/>
        </w:rPr>
        <w:t xml:space="preserve"> husband’s home until he inevitably returns to his deceiving wife. </w:t>
      </w:r>
      <w:r w:rsidR="00117872" w:rsidRPr="00E94596">
        <w:rPr>
          <w:rFonts w:ascii="Calibri" w:hAnsi="Calibri" w:cs="Calibri"/>
          <w:sz w:val="24"/>
          <w:szCs w:val="24"/>
        </w:rPr>
        <w:t>A relationship with Lady Wisdom provides true sustenance and luxury, while adulterous liaisons with the Strange Woman lead to deception and a lack of fulfilment. Gaining a woman like Lady Wisdom is thus the best choice for young men, rather than an illicit extra-marital affair with the Strange Woman.</w:t>
      </w:r>
    </w:p>
    <w:p w14:paraId="7B2A8548" w14:textId="4B516A3F" w:rsidR="001A6621" w:rsidRPr="00E94596" w:rsidRDefault="004364A0" w:rsidP="00C25867">
      <w:pPr>
        <w:spacing w:line="360" w:lineRule="auto"/>
        <w:rPr>
          <w:rFonts w:ascii="Calibri" w:hAnsi="Calibri" w:cs="Calibri"/>
          <w:sz w:val="24"/>
          <w:szCs w:val="24"/>
        </w:rPr>
      </w:pPr>
      <w:r w:rsidRPr="00E94596">
        <w:rPr>
          <w:rFonts w:ascii="Calibri" w:hAnsi="Calibri" w:cs="Calibri"/>
          <w:sz w:val="24"/>
          <w:szCs w:val="24"/>
        </w:rPr>
        <w:t xml:space="preserve">The longer-term social consequences of dalliance with the two figures also posit Lady Wisdom as the correct choice. </w:t>
      </w:r>
      <w:r w:rsidR="00A72BA5" w:rsidRPr="00E94596">
        <w:rPr>
          <w:rFonts w:ascii="Calibri" w:hAnsi="Calibri" w:cs="Calibri"/>
          <w:sz w:val="24"/>
          <w:szCs w:val="24"/>
        </w:rPr>
        <w:t>Lady Wisdom exalts and honours those who embrace her, (Prov. 4:8) and she describes “riches and honour are with me, enduring wealth and prosperity,” (8:18). In contrast, the dangerous and even deadly consequences of engaging in an adulterous union with the Strange Woman are laid out in Prov. 5:1-23, warning young men to “approach not the door of her house</w:t>
      </w:r>
      <w:r w:rsidR="00C25867" w:rsidRPr="00E94596">
        <w:rPr>
          <w:rFonts w:ascii="Calibri" w:hAnsi="Calibri" w:cs="Calibri"/>
          <w:sz w:val="24"/>
          <w:szCs w:val="24"/>
        </w:rPr>
        <w:t>”</w:t>
      </w:r>
      <w:r w:rsidR="00C25867" w:rsidRPr="00E94596">
        <w:rPr>
          <w:rStyle w:val="FootnoteReference"/>
          <w:rFonts w:ascii="Calibri" w:hAnsi="Calibri" w:cs="Calibri"/>
          <w:sz w:val="24"/>
          <w:szCs w:val="24"/>
        </w:rPr>
        <w:footnoteReference w:id="86"/>
      </w:r>
      <w:r w:rsidR="00C25867" w:rsidRPr="00E94596">
        <w:rPr>
          <w:rFonts w:ascii="Calibri" w:hAnsi="Calibri" w:cs="Calibri"/>
          <w:sz w:val="24"/>
          <w:szCs w:val="24"/>
        </w:rPr>
        <w:t xml:space="preserve"> </w:t>
      </w:r>
      <w:r w:rsidR="00A72BA5" w:rsidRPr="00E94596">
        <w:rPr>
          <w:rFonts w:ascii="Calibri" w:hAnsi="Calibri" w:cs="Calibri"/>
          <w:sz w:val="24"/>
          <w:szCs w:val="24"/>
        </w:rPr>
        <w:t>to avoid the loss of their labours and property as well as painful social consequences. The dangers of adultery in ancient Israel were numerous. Adulterous sexual relations are described as leading to strangers taking the man’s wealth (5:9), with the man’s ‘labours [going] to the house of an alien’ (5:10), rather than to his children conceived within a legitimate marriage. Furthermore, adultery would mean a man surrenders his offspring and the wealth they could produce to the man whose wife he impregnates, as sexual reproduction with another’s wife means “the cuckhold will possess the adulterer’s children as his own and benefit from their labour.”</w:t>
      </w:r>
      <w:r w:rsidR="00A72BA5" w:rsidRPr="00E94596">
        <w:rPr>
          <w:rStyle w:val="FootnoteReference"/>
          <w:rFonts w:ascii="Calibri" w:hAnsi="Calibri" w:cs="Calibri"/>
          <w:sz w:val="24"/>
          <w:szCs w:val="24"/>
        </w:rPr>
        <w:footnoteReference w:id="87"/>
      </w:r>
      <w:r w:rsidR="00A72BA5" w:rsidRPr="00E94596">
        <w:rPr>
          <w:rFonts w:ascii="Calibri" w:hAnsi="Calibri" w:cs="Calibri"/>
          <w:sz w:val="24"/>
          <w:szCs w:val="24"/>
        </w:rPr>
        <w:t xml:space="preserve"> Fox suggests a reading of the Hebrew as referring to the loss of the sexual vigour of the man’s years, and the results of his toil,</w:t>
      </w:r>
      <w:r w:rsidR="00A72BA5" w:rsidRPr="00E94596">
        <w:rPr>
          <w:rStyle w:val="FootnoteReference"/>
          <w:rFonts w:ascii="Calibri" w:hAnsi="Calibri" w:cs="Calibri"/>
          <w:sz w:val="24"/>
          <w:szCs w:val="24"/>
        </w:rPr>
        <w:footnoteReference w:id="88"/>
      </w:r>
      <w:r w:rsidR="00A72BA5" w:rsidRPr="00E94596">
        <w:rPr>
          <w:rFonts w:ascii="Calibri" w:hAnsi="Calibri" w:cs="Calibri"/>
          <w:sz w:val="24"/>
          <w:szCs w:val="24"/>
        </w:rPr>
        <w:t xml:space="preserve"> with the wasting of a union that will bear the violator no fruit (Prov. 5:9) and the loss of the adulterer’s earnings after potential demands for compensation or judicial confiscation.</w:t>
      </w:r>
      <w:r w:rsidR="00A72BA5" w:rsidRPr="00E94596">
        <w:rPr>
          <w:rStyle w:val="FootnoteReference"/>
          <w:rFonts w:ascii="Calibri" w:hAnsi="Calibri" w:cs="Calibri"/>
          <w:sz w:val="24"/>
          <w:szCs w:val="24"/>
        </w:rPr>
        <w:footnoteReference w:id="89"/>
      </w:r>
      <w:r w:rsidR="00A72BA5" w:rsidRPr="00E94596">
        <w:rPr>
          <w:rFonts w:ascii="Calibri" w:hAnsi="Calibri" w:cs="Calibri"/>
          <w:sz w:val="24"/>
          <w:szCs w:val="24"/>
        </w:rPr>
        <w:t xml:space="preserve"> </w:t>
      </w:r>
      <w:r w:rsidR="00655E66" w:rsidRPr="00E94596">
        <w:rPr>
          <w:rFonts w:ascii="Calibri" w:hAnsi="Calibri" w:cs="Calibri"/>
          <w:sz w:val="24"/>
          <w:szCs w:val="24"/>
        </w:rPr>
        <w:t xml:space="preserve">In comparison, the benefits of pursuing </w:t>
      </w:r>
      <w:r w:rsidR="00F60814" w:rsidRPr="00E94596">
        <w:rPr>
          <w:rFonts w:ascii="Calibri" w:hAnsi="Calibri" w:cs="Calibri"/>
          <w:sz w:val="24"/>
          <w:szCs w:val="24"/>
        </w:rPr>
        <w:t xml:space="preserve">a legitimate union with Lady Wisdom </w:t>
      </w:r>
      <w:r w:rsidR="00052649" w:rsidRPr="00E94596">
        <w:rPr>
          <w:rFonts w:ascii="Calibri" w:hAnsi="Calibri" w:cs="Calibri"/>
          <w:sz w:val="24"/>
          <w:szCs w:val="24"/>
        </w:rPr>
        <w:t xml:space="preserve">place her as the correct choice for young men. In this way, the depictions of the </w:t>
      </w:r>
      <w:r w:rsidR="00052649" w:rsidRPr="00E94596">
        <w:rPr>
          <w:rFonts w:ascii="Calibri" w:hAnsi="Calibri" w:cs="Calibri"/>
          <w:sz w:val="24"/>
          <w:szCs w:val="24"/>
        </w:rPr>
        <w:lastRenderedPageBreak/>
        <w:t>Strange Woman and Lady Wisdom in conjunction support this dissertation’s hypothesis that Lady Wisdom acts as a construct of an ideal wife for young men in Israel to strive to marry.</w:t>
      </w:r>
    </w:p>
    <w:p w14:paraId="7D13E04A" w14:textId="03102D24" w:rsidR="001A249E" w:rsidRPr="00E94596" w:rsidRDefault="001A249E" w:rsidP="00711265">
      <w:pPr>
        <w:spacing w:line="360" w:lineRule="auto"/>
        <w:rPr>
          <w:rFonts w:ascii="Calibri" w:hAnsi="Calibri" w:cs="Calibri"/>
          <w:sz w:val="24"/>
          <w:szCs w:val="24"/>
          <w:u w:val="single"/>
        </w:rPr>
      </w:pPr>
      <w:r w:rsidRPr="00E94596">
        <w:rPr>
          <w:rFonts w:ascii="Calibri" w:hAnsi="Calibri" w:cs="Calibri"/>
          <w:sz w:val="24"/>
          <w:szCs w:val="24"/>
          <w:u w:val="single"/>
        </w:rPr>
        <w:t>Conclusion</w:t>
      </w:r>
    </w:p>
    <w:p w14:paraId="3AC69A5E" w14:textId="4C93AC00" w:rsidR="00B01A79"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summary, </w:t>
      </w:r>
      <w:r w:rsidR="009F4CC1" w:rsidRPr="00E94596">
        <w:rPr>
          <w:rFonts w:ascii="Calibri" w:hAnsi="Calibri" w:cs="Calibri"/>
          <w:sz w:val="24"/>
          <w:szCs w:val="24"/>
        </w:rPr>
        <w:t xml:space="preserve">this chapter has explored the characteristics of the Strange Woman in relation to Lady Wisdom </w:t>
      </w:r>
      <w:r w:rsidR="008A1C67" w:rsidRPr="00E94596">
        <w:rPr>
          <w:rFonts w:ascii="Calibri" w:hAnsi="Calibri" w:cs="Calibri"/>
          <w:sz w:val="24"/>
          <w:szCs w:val="24"/>
        </w:rPr>
        <w:t xml:space="preserve">by </w:t>
      </w:r>
      <w:r w:rsidR="002122E0" w:rsidRPr="00E94596">
        <w:rPr>
          <w:rFonts w:ascii="Calibri" w:hAnsi="Calibri" w:cs="Calibri"/>
          <w:sz w:val="24"/>
          <w:szCs w:val="24"/>
        </w:rPr>
        <w:t xml:space="preserve">analysing the descriptions of their sexualities, the contrast of the Strange Woman’s adultery and Lady Wisdom’s fidelity, </w:t>
      </w:r>
      <w:r w:rsidR="00E6263C" w:rsidRPr="00E94596">
        <w:rPr>
          <w:rFonts w:ascii="Calibri" w:hAnsi="Calibri" w:cs="Calibri"/>
          <w:sz w:val="24"/>
          <w:szCs w:val="24"/>
        </w:rPr>
        <w:t>the difference between the banquets given by the two figures and the socioeconomic and social consequences of joining in a relationship with the</w:t>
      </w:r>
      <w:r w:rsidR="005F460C" w:rsidRPr="00E94596">
        <w:rPr>
          <w:rFonts w:ascii="Calibri" w:hAnsi="Calibri" w:cs="Calibri"/>
          <w:sz w:val="24"/>
          <w:szCs w:val="24"/>
        </w:rPr>
        <w:t xml:space="preserve">m. </w:t>
      </w:r>
      <w:r w:rsidR="00210375" w:rsidRPr="00E94596">
        <w:rPr>
          <w:rFonts w:ascii="Calibri" w:hAnsi="Calibri" w:cs="Calibri"/>
          <w:sz w:val="24"/>
          <w:szCs w:val="24"/>
        </w:rPr>
        <w:t>While t</w:t>
      </w:r>
      <w:r w:rsidR="0006109D" w:rsidRPr="00E94596">
        <w:rPr>
          <w:rFonts w:ascii="Calibri" w:hAnsi="Calibri" w:cs="Calibri"/>
          <w:sz w:val="24"/>
          <w:szCs w:val="24"/>
        </w:rPr>
        <w:t>he Strange Woman acts as a warning highlighting the dangers of adultery, Lady Wisdom exists as a literary construct to show the characteristics of an ideal wife and the benefits of marriage with such a woman.</w:t>
      </w:r>
      <w:r w:rsidR="00223120" w:rsidRPr="00E94596">
        <w:rPr>
          <w:rFonts w:ascii="Calibri" w:hAnsi="Calibri" w:cs="Calibri"/>
          <w:sz w:val="24"/>
          <w:szCs w:val="24"/>
        </w:rPr>
        <w:t xml:space="preserve"> </w:t>
      </w:r>
      <w:r w:rsidR="009F4CC1" w:rsidRPr="00E94596">
        <w:rPr>
          <w:rFonts w:ascii="Calibri" w:hAnsi="Calibri" w:cs="Calibri"/>
          <w:sz w:val="24"/>
          <w:szCs w:val="24"/>
        </w:rPr>
        <w:t>W</w:t>
      </w:r>
      <w:r w:rsidRPr="00E94596">
        <w:rPr>
          <w:rFonts w:ascii="Calibri" w:hAnsi="Calibri" w:cs="Calibri"/>
          <w:sz w:val="24"/>
          <w:szCs w:val="24"/>
        </w:rPr>
        <w:t xml:space="preserve">hile Lady Wisdom brings life, riches and honour to those who embrace her, these positive results contrast with the consequences of adultery with the Strange Woman, which are described at length in Proverbs and highlight the two figures as constructs with opposite purposes. </w:t>
      </w:r>
    </w:p>
    <w:p w14:paraId="1EEE3A65" w14:textId="4FDFEE84" w:rsidR="00B01A79" w:rsidRPr="00E94596" w:rsidRDefault="00B01A79" w:rsidP="00711265">
      <w:pPr>
        <w:spacing w:line="360" w:lineRule="auto"/>
        <w:rPr>
          <w:rFonts w:ascii="Calibri" w:hAnsi="Calibri" w:cs="Calibri"/>
          <w:sz w:val="24"/>
          <w:szCs w:val="24"/>
        </w:rPr>
      </w:pPr>
    </w:p>
    <w:p w14:paraId="1A7B1459" w14:textId="77777777" w:rsidR="008C2DC1" w:rsidRPr="00E94596" w:rsidRDefault="008C2DC1" w:rsidP="00711265">
      <w:pPr>
        <w:spacing w:line="360" w:lineRule="auto"/>
        <w:rPr>
          <w:rFonts w:ascii="Calibri" w:hAnsi="Calibri" w:cs="Calibri"/>
          <w:sz w:val="24"/>
          <w:szCs w:val="24"/>
        </w:rPr>
      </w:pPr>
    </w:p>
    <w:p w14:paraId="64B157A1" w14:textId="027BA61E" w:rsidR="008C2DC1" w:rsidRPr="00E94596" w:rsidRDefault="008C2DC1" w:rsidP="00711265">
      <w:pPr>
        <w:spacing w:line="360" w:lineRule="auto"/>
        <w:rPr>
          <w:rFonts w:ascii="Calibri" w:hAnsi="Calibri" w:cs="Calibri"/>
          <w:sz w:val="24"/>
          <w:szCs w:val="24"/>
        </w:rPr>
      </w:pPr>
      <w:r w:rsidRPr="00E94596">
        <w:rPr>
          <w:rFonts w:ascii="Calibri" w:hAnsi="Calibri" w:cs="Calibri"/>
          <w:sz w:val="24"/>
          <w:szCs w:val="24"/>
        </w:rPr>
        <w:t>-</w:t>
      </w:r>
    </w:p>
    <w:p w14:paraId="72D41EE7" w14:textId="77777777" w:rsidR="00A72BA5" w:rsidRPr="00E94596" w:rsidRDefault="00A72BA5" w:rsidP="00711265">
      <w:pPr>
        <w:spacing w:line="360" w:lineRule="auto"/>
        <w:rPr>
          <w:rFonts w:ascii="Calibri" w:hAnsi="Calibri" w:cs="Calibri"/>
          <w:sz w:val="24"/>
          <w:szCs w:val="24"/>
        </w:rPr>
      </w:pPr>
    </w:p>
    <w:p w14:paraId="0C74FFC4" w14:textId="77777777" w:rsidR="00AD5198" w:rsidRPr="00E94596" w:rsidRDefault="00AD5198" w:rsidP="00AD5198">
      <w:pPr>
        <w:rPr>
          <w:rFonts w:ascii="Calibri" w:hAnsi="Calibri" w:cs="Calibri"/>
        </w:rPr>
      </w:pPr>
      <w:bookmarkStart w:id="9" w:name="_Toc195174887"/>
    </w:p>
    <w:p w14:paraId="23E75E71" w14:textId="77777777" w:rsidR="00017130" w:rsidRDefault="00017130" w:rsidP="00711265">
      <w:pPr>
        <w:pStyle w:val="Heading1"/>
        <w:rPr>
          <w:rFonts w:ascii="Calibri" w:hAnsi="Calibri" w:cs="Calibri"/>
        </w:rPr>
      </w:pPr>
    </w:p>
    <w:p w14:paraId="025822AB" w14:textId="77777777" w:rsidR="00017130" w:rsidRDefault="00017130" w:rsidP="00711265">
      <w:pPr>
        <w:pStyle w:val="Heading1"/>
        <w:rPr>
          <w:rFonts w:ascii="Calibri" w:hAnsi="Calibri" w:cs="Calibri"/>
        </w:rPr>
      </w:pPr>
    </w:p>
    <w:p w14:paraId="7115BC94" w14:textId="77777777" w:rsidR="00017130" w:rsidRDefault="00017130" w:rsidP="00711265">
      <w:pPr>
        <w:pStyle w:val="Heading1"/>
        <w:rPr>
          <w:rFonts w:ascii="Calibri" w:hAnsi="Calibri" w:cs="Calibri"/>
        </w:rPr>
      </w:pPr>
    </w:p>
    <w:p w14:paraId="47364F6A" w14:textId="77777777" w:rsidR="00017130" w:rsidRDefault="00017130" w:rsidP="00711265">
      <w:pPr>
        <w:pStyle w:val="Heading1"/>
        <w:rPr>
          <w:rFonts w:ascii="Calibri" w:hAnsi="Calibri" w:cs="Calibri"/>
        </w:rPr>
      </w:pPr>
    </w:p>
    <w:p w14:paraId="2D3E05ED" w14:textId="77777777" w:rsidR="00017130" w:rsidRDefault="00017130" w:rsidP="00711265">
      <w:pPr>
        <w:pStyle w:val="Heading1"/>
        <w:rPr>
          <w:rFonts w:ascii="Calibri" w:hAnsi="Calibri" w:cs="Calibri"/>
        </w:rPr>
      </w:pPr>
    </w:p>
    <w:p w14:paraId="3CB5E12C" w14:textId="77777777" w:rsidR="00017130" w:rsidRDefault="00017130" w:rsidP="00017130"/>
    <w:p w14:paraId="25C4BCA0" w14:textId="77777777" w:rsidR="00017130" w:rsidRPr="00017130" w:rsidRDefault="00017130" w:rsidP="00017130"/>
    <w:p w14:paraId="52F5FA7E" w14:textId="3F761AEE" w:rsidR="002C16FE" w:rsidRPr="00E94596" w:rsidRDefault="002C16FE" w:rsidP="00711265">
      <w:pPr>
        <w:pStyle w:val="Heading1"/>
        <w:rPr>
          <w:rFonts w:ascii="Calibri" w:hAnsi="Calibri" w:cs="Calibri"/>
        </w:rPr>
      </w:pPr>
      <w:bookmarkStart w:id="10" w:name="_Toc195875634"/>
      <w:r w:rsidRPr="00E94596">
        <w:rPr>
          <w:rFonts w:ascii="Calibri" w:hAnsi="Calibri" w:cs="Calibri"/>
        </w:rPr>
        <w:t>Chapter 3: Feminist Analysis of Lady Wisdom</w:t>
      </w:r>
      <w:bookmarkEnd w:id="9"/>
      <w:bookmarkEnd w:id="10"/>
    </w:p>
    <w:p w14:paraId="41979AE0" w14:textId="21ADD1E2"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Since its emergence as a major scholarly movement in 1970, feminist biblical interpretation has analysed the bible to expose the patriarchal character of the bible, recover women’s insights and knowledge, and highlight how traditional biblical interpretations have reinforced discrimination against women.</w:t>
      </w:r>
      <w:r w:rsidRPr="00E94596">
        <w:rPr>
          <w:rStyle w:val="FootnoteReference"/>
          <w:rFonts w:ascii="Calibri" w:hAnsi="Calibri" w:cs="Calibri"/>
          <w:sz w:val="24"/>
          <w:szCs w:val="24"/>
        </w:rPr>
        <w:footnoteReference w:id="90"/>
      </w:r>
      <w:r w:rsidRPr="00E94596">
        <w:rPr>
          <w:rFonts w:ascii="Calibri" w:hAnsi="Calibri" w:cs="Calibri"/>
          <w:sz w:val="24"/>
          <w:szCs w:val="24"/>
        </w:rPr>
        <w:t xml:space="preserve"> </w:t>
      </w:r>
      <w:r w:rsidR="00155113" w:rsidRPr="00E94596">
        <w:rPr>
          <w:rFonts w:ascii="Calibri" w:hAnsi="Calibri" w:cs="Calibri"/>
          <w:sz w:val="24"/>
          <w:szCs w:val="24"/>
        </w:rPr>
        <w:t>This chapter will re-evaluate Lady Wisdom’s potential for contributing to feminist re-readings of the text or subverting patriarchal constructs</w:t>
      </w:r>
      <w:r w:rsidR="00DA5FF1" w:rsidRPr="00E94596">
        <w:rPr>
          <w:rFonts w:ascii="Calibri" w:hAnsi="Calibri" w:cs="Calibri"/>
          <w:sz w:val="24"/>
          <w:szCs w:val="24"/>
        </w:rPr>
        <w:t xml:space="preserve">, in light of this work’s </w:t>
      </w:r>
      <w:r w:rsidRPr="00E94596">
        <w:rPr>
          <w:rFonts w:ascii="Calibri" w:hAnsi="Calibri" w:cs="Calibri"/>
          <w:sz w:val="24"/>
          <w:szCs w:val="24"/>
        </w:rPr>
        <w:t xml:space="preserve">preceding chapters that examined her as a literary construct of an ideal wife and in comparison with the Strange Woman. Firstly, </w:t>
      </w:r>
      <w:r w:rsidR="0035690F" w:rsidRPr="00E94596">
        <w:rPr>
          <w:rFonts w:ascii="Calibri" w:hAnsi="Calibri" w:cs="Calibri"/>
          <w:sz w:val="24"/>
          <w:szCs w:val="24"/>
        </w:rPr>
        <w:t xml:space="preserve">this chapter will explore how feminist scholars have evaluated Lady Wisdom’s </w:t>
      </w:r>
      <w:r w:rsidR="00C91726" w:rsidRPr="00E94596">
        <w:rPr>
          <w:rFonts w:ascii="Calibri" w:hAnsi="Calibri" w:cs="Calibri"/>
          <w:sz w:val="24"/>
          <w:szCs w:val="24"/>
        </w:rPr>
        <w:t>presentation in wisdom literature</w:t>
      </w:r>
      <w:r w:rsidRPr="00E94596">
        <w:rPr>
          <w:rFonts w:ascii="Calibri" w:hAnsi="Calibri" w:cs="Calibri"/>
          <w:sz w:val="24"/>
          <w:szCs w:val="24"/>
        </w:rPr>
        <w:t xml:space="preserve">. Secondly, Lady Wisdom’s appropriateness for feminist application will be considered in light of this work’s thesis, surveying arguments for and against her use. Thirdly, the harmful Madonna/Whore dichotomy perpetuated by the descriptions of Lady Wisdom and the Strange Woman will be critiqued and then deconstructed, followed finally by an overall conclusion to feminist analysis of Lady Wisdom. </w:t>
      </w:r>
    </w:p>
    <w:p w14:paraId="701D5AD0"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Existing scholarship on feminist application of Lady Wisdom</w:t>
      </w:r>
    </w:p>
    <w:p w14:paraId="0E701BEC" w14:textId="77777777" w:rsidR="00D121BA"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Firstly, it is important to acknowledge that there are contrasting opinions on Lady Wisdom’s potential for feminist application in scholarship. </w:t>
      </w:r>
      <w:r w:rsidR="00C91726" w:rsidRPr="00E94596">
        <w:rPr>
          <w:rFonts w:ascii="Calibri" w:hAnsi="Calibri" w:cs="Calibri"/>
          <w:sz w:val="24"/>
          <w:szCs w:val="24"/>
        </w:rPr>
        <w:t xml:space="preserve">Some scholars have focused on positive, liberative interpretations, arguing that </w:t>
      </w:r>
      <w:r w:rsidRPr="00E94596">
        <w:rPr>
          <w:rFonts w:ascii="Calibri" w:hAnsi="Calibri" w:cs="Calibri"/>
          <w:sz w:val="24"/>
          <w:szCs w:val="24"/>
        </w:rPr>
        <w:t>Lady Wisdom’s descriptions in Proverbs and Ben Sira are empowering examples of female autonomy and speech in wisdom literature. The concept of wisdom being personified as a woman has been used to argue</w:t>
      </w:r>
      <w:r w:rsidR="00C91726" w:rsidRPr="00E94596">
        <w:rPr>
          <w:rFonts w:ascii="Calibri" w:hAnsi="Calibri" w:cs="Calibri"/>
          <w:sz w:val="24"/>
          <w:szCs w:val="24"/>
        </w:rPr>
        <w:t xml:space="preserve"> by some</w:t>
      </w:r>
      <w:r w:rsidRPr="00E94596">
        <w:rPr>
          <w:rFonts w:ascii="Calibri" w:hAnsi="Calibri" w:cs="Calibri"/>
          <w:sz w:val="24"/>
          <w:szCs w:val="24"/>
        </w:rPr>
        <w:t xml:space="preserve"> that the writers held women in great esteem; for example, Ostrander argues that the writers of Proverbs show real respect for women by seeing “the most humanly attractive element in the divinity to be analogous to the feminine in humanity.”</w:t>
      </w:r>
      <w:r w:rsidRPr="00E94596">
        <w:rPr>
          <w:rStyle w:val="FootnoteReference"/>
          <w:rFonts w:ascii="Calibri" w:hAnsi="Calibri" w:cs="Calibri"/>
          <w:sz w:val="24"/>
          <w:szCs w:val="24"/>
        </w:rPr>
        <w:footnoteReference w:id="91"/>
      </w:r>
      <w:r w:rsidRPr="00E94596">
        <w:rPr>
          <w:rFonts w:ascii="Calibri" w:hAnsi="Calibri" w:cs="Calibri"/>
          <w:sz w:val="24"/>
          <w:szCs w:val="24"/>
        </w:rPr>
        <w:t xml:space="preserve"> </w:t>
      </w:r>
    </w:p>
    <w:p w14:paraId="3131DCCB" w14:textId="1668E066" w:rsidR="002C16FE" w:rsidRPr="00E94596" w:rsidRDefault="0022380B" w:rsidP="00711265">
      <w:pPr>
        <w:spacing w:line="360" w:lineRule="auto"/>
        <w:rPr>
          <w:rFonts w:ascii="Calibri" w:hAnsi="Calibri" w:cs="Calibri"/>
          <w:sz w:val="24"/>
          <w:szCs w:val="24"/>
        </w:rPr>
      </w:pPr>
      <w:r w:rsidRPr="00E94596">
        <w:rPr>
          <w:rFonts w:ascii="Calibri" w:hAnsi="Calibri" w:cs="Calibri"/>
          <w:sz w:val="24"/>
          <w:szCs w:val="24"/>
        </w:rPr>
        <w:t>However, w</w:t>
      </w:r>
      <w:r w:rsidR="00D121BA" w:rsidRPr="00E94596">
        <w:rPr>
          <w:rFonts w:ascii="Calibri" w:hAnsi="Calibri" w:cs="Calibri"/>
          <w:sz w:val="24"/>
          <w:szCs w:val="24"/>
        </w:rPr>
        <w:t xml:space="preserve">hile </w:t>
      </w:r>
      <w:r w:rsidR="00785A90" w:rsidRPr="00E94596">
        <w:rPr>
          <w:rFonts w:ascii="Calibri" w:hAnsi="Calibri" w:cs="Calibri"/>
          <w:sz w:val="24"/>
          <w:szCs w:val="24"/>
        </w:rPr>
        <w:t xml:space="preserve">these </w:t>
      </w:r>
      <w:r w:rsidR="00D121BA" w:rsidRPr="00E94596">
        <w:rPr>
          <w:rFonts w:ascii="Calibri" w:hAnsi="Calibri" w:cs="Calibri"/>
          <w:sz w:val="24"/>
          <w:szCs w:val="24"/>
        </w:rPr>
        <w:t>interpretation</w:t>
      </w:r>
      <w:r w:rsidR="00785A90" w:rsidRPr="00E94596">
        <w:rPr>
          <w:rFonts w:ascii="Calibri" w:hAnsi="Calibri" w:cs="Calibri"/>
          <w:sz w:val="24"/>
          <w:szCs w:val="24"/>
        </w:rPr>
        <w:t>s</w:t>
      </w:r>
      <w:r w:rsidR="00D121BA" w:rsidRPr="00E94596">
        <w:rPr>
          <w:rFonts w:ascii="Calibri" w:hAnsi="Calibri" w:cs="Calibri"/>
          <w:sz w:val="24"/>
          <w:szCs w:val="24"/>
        </w:rPr>
        <w:t xml:space="preserve"> highlights her elevated status, it overlooks the broader literary context </w:t>
      </w:r>
      <w:r w:rsidR="001F1419" w:rsidRPr="00E94596">
        <w:rPr>
          <w:rFonts w:ascii="Calibri" w:hAnsi="Calibri" w:cs="Calibri"/>
          <w:sz w:val="24"/>
          <w:szCs w:val="24"/>
        </w:rPr>
        <w:t xml:space="preserve">of how </w:t>
      </w:r>
      <w:r w:rsidR="002C16FE" w:rsidRPr="00E94596">
        <w:rPr>
          <w:rFonts w:ascii="Calibri" w:hAnsi="Calibri" w:cs="Calibri"/>
          <w:sz w:val="24"/>
          <w:szCs w:val="24"/>
        </w:rPr>
        <w:t xml:space="preserve">Lady Wisdom is contrasted with other women and used to devalue them in the case of the Strange Woman. As an unattainable standard, she is the paragon of the ancient Israelite male ideal of femininity, and thus the respect Ostrander views as being </w:t>
      </w:r>
      <w:r w:rsidR="002C16FE" w:rsidRPr="00E94596">
        <w:rPr>
          <w:rFonts w:ascii="Calibri" w:hAnsi="Calibri" w:cs="Calibri"/>
          <w:sz w:val="24"/>
          <w:szCs w:val="24"/>
        </w:rPr>
        <w:lastRenderedPageBreak/>
        <w:t>shown from the feminine personification of Wisdom is respect for the unachievable ideal rather than real women. Viviers</w:t>
      </w:r>
      <w:r w:rsidR="009503DA" w:rsidRPr="00E94596">
        <w:rPr>
          <w:rFonts w:ascii="Calibri" w:hAnsi="Calibri" w:cs="Calibri"/>
          <w:sz w:val="24"/>
          <w:szCs w:val="24"/>
        </w:rPr>
        <w:t xml:space="preserve">, while arguing that Lady Wisdom acts to serve the patriarchal order, does </w:t>
      </w:r>
      <w:r w:rsidR="002C16FE" w:rsidRPr="00E94596">
        <w:rPr>
          <w:rFonts w:ascii="Calibri" w:hAnsi="Calibri" w:cs="Calibri"/>
          <w:sz w:val="24"/>
          <w:szCs w:val="24"/>
        </w:rPr>
        <w:t>acknowledg</w:t>
      </w:r>
      <w:r w:rsidR="009503DA" w:rsidRPr="00E94596">
        <w:rPr>
          <w:rFonts w:ascii="Calibri" w:hAnsi="Calibri" w:cs="Calibri"/>
          <w:sz w:val="24"/>
          <w:szCs w:val="24"/>
        </w:rPr>
        <w:t>e</w:t>
      </w:r>
      <w:r w:rsidR="002C16FE" w:rsidRPr="00E94596">
        <w:rPr>
          <w:rFonts w:ascii="Calibri" w:hAnsi="Calibri" w:cs="Calibri"/>
          <w:sz w:val="24"/>
          <w:szCs w:val="24"/>
        </w:rPr>
        <w:t xml:space="preserve"> that Lady Wisdom </w:t>
      </w:r>
      <w:r w:rsidR="009503DA" w:rsidRPr="00E94596">
        <w:rPr>
          <w:rFonts w:ascii="Calibri" w:hAnsi="Calibri" w:cs="Calibri"/>
          <w:sz w:val="24"/>
          <w:szCs w:val="24"/>
        </w:rPr>
        <w:t>could act as</w:t>
      </w:r>
      <w:r w:rsidR="002C16FE" w:rsidRPr="00E94596">
        <w:rPr>
          <w:rFonts w:ascii="Calibri" w:hAnsi="Calibri" w:cs="Calibri"/>
          <w:sz w:val="24"/>
          <w:szCs w:val="24"/>
        </w:rPr>
        <w:t xml:space="preserve"> “an attractive and empowering figure for modern Christian women who often find themselves in similar roles of counsellors and advisers.”</w:t>
      </w:r>
      <w:r w:rsidR="002C16FE" w:rsidRPr="00E94596">
        <w:rPr>
          <w:rStyle w:val="FootnoteReference"/>
          <w:rFonts w:ascii="Calibri" w:hAnsi="Calibri" w:cs="Calibri"/>
          <w:sz w:val="24"/>
          <w:szCs w:val="24"/>
        </w:rPr>
        <w:footnoteReference w:id="92"/>
      </w:r>
      <w:r w:rsidR="002C16FE" w:rsidRPr="00E94596">
        <w:rPr>
          <w:rFonts w:ascii="Calibri" w:hAnsi="Calibri" w:cs="Calibri"/>
          <w:sz w:val="24"/>
          <w:szCs w:val="24"/>
        </w:rPr>
        <w:t xml:space="preserve"> </w:t>
      </w:r>
    </w:p>
    <w:p w14:paraId="28B791B7" w14:textId="77777777" w:rsidR="006100C4" w:rsidRPr="00E94596" w:rsidRDefault="001C3E03" w:rsidP="00711265">
      <w:pPr>
        <w:spacing w:line="360" w:lineRule="auto"/>
        <w:rPr>
          <w:rFonts w:ascii="Calibri" w:hAnsi="Calibri" w:cs="Calibri"/>
          <w:sz w:val="24"/>
          <w:szCs w:val="24"/>
        </w:rPr>
      </w:pPr>
      <w:r w:rsidRPr="00E94596">
        <w:rPr>
          <w:rFonts w:ascii="Calibri" w:hAnsi="Calibri" w:cs="Calibri"/>
          <w:sz w:val="24"/>
          <w:szCs w:val="24"/>
        </w:rPr>
        <w:t xml:space="preserve">On the other hand, scholars such as Viviers and Schones have criticised Lady Wisdom’s portrayal as </w:t>
      </w:r>
      <w:r w:rsidR="009503DA" w:rsidRPr="00E94596">
        <w:rPr>
          <w:rFonts w:ascii="Calibri" w:hAnsi="Calibri" w:cs="Calibri"/>
          <w:sz w:val="24"/>
          <w:szCs w:val="24"/>
        </w:rPr>
        <w:t xml:space="preserve">limited for feminist analysis. </w:t>
      </w:r>
      <w:r w:rsidR="00C91726" w:rsidRPr="00E94596">
        <w:rPr>
          <w:rFonts w:ascii="Calibri" w:hAnsi="Calibri" w:cs="Calibri"/>
          <w:sz w:val="24"/>
          <w:szCs w:val="24"/>
        </w:rPr>
        <w:t>W</w:t>
      </w:r>
      <w:r w:rsidR="002C16FE" w:rsidRPr="00E94596">
        <w:rPr>
          <w:rFonts w:ascii="Calibri" w:hAnsi="Calibri" w:cs="Calibri"/>
          <w:sz w:val="24"/>
          <w:szCs w:val="24"/>
        </w:rPr>
        <w:t xml:space="preserve">hile analysing the presentation of Lady Wisdom as divine is not within the scope of this work,  Viviers argues that </w:t>
      </w:r>
      <w:r w:rsidR="009503DA" w:rsidRPr="00E94596">
        <w:rPr>
          <w:rFonts w:ascii="Calibri" w:hAnsi="Calibri" w:cs="Calibri"/>
          <w:sz w:val="24"/>
          <w:szCs w:val="24"/>
        </w:rPr>
        <w:t xml:space="preserve">despite </w:t>
      </w:r>
      <w:r w:rsidR="002C16FE" w:rsidRPr="00E94596">
        <w:rPr>
          <w:rFonts w:ascii="Calibri" w:hAnsi="Calibri" w:cs="Calibri"/>
          <w:sz w:val="24"/>
          <w:szCs w:val="24"/>
        </w:rPr>
        <w:t xml:space="preserve">even within her presentation as linked to God since the beginning of creation, she acts as a feminine dimension </w:t>
      </w:r>
      <w:r w:rsidR="00412CE9" w:rsidRPr="00E94596">
        <w:rPr>
          <w:rFonts w:ascii="Calibri" w:hAnsi="Calibri" w:cs="Calibri"/>
          <w:sz w:val="24"/>
          <w:szCs w:val="24"/>
        </w:rPr>
        <w:t>of a patriarchal God</w:t>
      </w:r>
      <w:r w:rsidR="002C16FE" w:rsidRPr="00E94596">
        <w:rPr>
          <w:rFonts w:ascii="Calibri" w:hAnsi="Calibri" w:cs="Calibri"/>
          <w:sz w:val="24"/>
          <w:szCs w:val="24"/>
        </w:rPr>
        <w:t>, there to serve masculinity, and thus not act in her own right from authentic female experience.</w:t>
      </w:r>
      <w:r w:rsidR="002C16FE" w:rsidRPr="00E94596">
        <w:rPr>
          <w:rStyle w:val="FootnoteReference"/>
          <w:rFonts w:ascii="Calibri" w:hAnsi="Calibri" w:cs="Calibri"/>
          <w:sz w:val="24"/>
          <w:szCs w:val="24"/>
        </w:rPr>
        <w:footnoteReference w:id="93"/>
      </w:r>
      <w:r w:rsidR="002C16FE" w:rsidRPr="00E94596">
        <w:rPr>
          <w:rFonts w:ascii="Calibri" w:hAnsi="Calibri" w:cs="Calibri"/>
          <w:sz w:val="24"/>
          <w:szCs w:val="24"/>
        </w:rPr>
        <w:t xml:space="preserve"> As a figure, even in her more powerful depiction, she is closely aligned with male divinity </w:t>
      </w:r>
      <w:r w:rsidR="00412CE9" w:rsidRPr="00E94596">
        <w:rPr>
          <w:rFonts w:ascii="Calibri" w:hAnsi="Calibri" w:cs="Calibri"/>
          <w:sz w:val="24"/>
          <w:szCs w:val="24"/>
        </w:rPr>
        <w:t xml:space="preserve">and </w:t>
      </w:r>
      <w:r w:rsidR="002C16FE" w:rsidRPr="00E94596">
        <w:rPr>
          <w:rFonts w:ascii="Calibri" w:hAnsi="Calibri" w:cs="Calibri"/>
          <w:sz w:val="24"/>
          <w:szCs w:val="24"/>
        </w:rPr>
        <w:t>is designed to further male interests in its construction of womanhood: her voice</w:t>
      </w:r>
      <w:r w:rsidR="001F1419" w:rsidRPr="00E94596">
        <w:rPr>
          <w:rFonts w:ascii="Calibri" w:hAnsi="Calibri" w:cs="Calibri"/>
          <w:sz w:val="24"/>
          <w:szCs w:val="24"/>
        </w:rPr>
        <w:t>, though female,</w:t>
      </w:r>
      <w:r w:rsidR="002C16FE" w:rsidRPr="00E94596">
        <w:rPr>
          <w:rFonts w:ascii="Calibri" w:hAnsi="Calibri" w:cs="Calibri"/>
          <w:sz w:val="24"/>
          <w:szCs w:val="24"/>
        </w:rPr>
        <w:t xml:space="preserve"> is </w:t>
      </w:r>
      <w:r w:rsidR="001F1419" w:rsidRPr="00E94596">
        <w:rPr>
          <w:rFonts w:ascii="Calibri" w:hAnsi="Calibri" w:cs="Calibri"/>
          <w:sz w:val="24"/>
          <w:szCs w:val="24"/>
        </w:rPr>
        <w:t>shaped and constrained by p</w:t>
      </w:r>
      <w:r w:rsidR="002C16FE" w:rsidRPr="00E94596">
        <w:rPr>
          <w:rFonts w:ascii="Calibri" w:hAnsi="Calibri" w:cs="Calibri"/>
          <w:sz w:val="24"/>
          <w:szCs w:val="24"/>
        </w:rPr>
        <w:t>atriarchal interest</w:t>
      </w:r>
      <w:r w:rsidR="001F1419" w:rsidRPr="00E94596">
        <w:rPr>
          <w:rFonts w:ascii="Calibri" w:hAnsi="Calibri" w:cs="Calibri"/>
          <w:sz w:val="24"/>
          <w:szCs w:val="24"/>
        </w:rPr>
        <w:t>s</w:t>
      </w:r>
      <w:r w:rsidR="002C16FE" w:rsidRPr="00E94596">
        <w:rPr>
          <w:rFonts w:ascii="Calibri" w:hAnsi="Calibri" w:cs="Calibri"/>
          <w:sz w:val="24"/>
          <w:szCs w:val="24"/>
        </w:rPr>
        <w:t>.</w:t>
      </w:r>
      <w:r w:rsidR="002C16FE" w:rsidRPr="00E94596">
        <w:rPr>
          <w:rStyle w:val="FootnoteReference"/>
          <w:rFonts w:ascii="Calibri" w:hAnsi="Calibri" w:cs="Calibri"/>
          <w:sz w:val="24"/>
          <w:szCs w:val="24"/>
        </w:rPr>
        <w:footnoteReference w:id="94"/>
      </w:r>
      <w:r w:rsidR="002C16FE" w:rsidRPr="00E94596">
        <w:rPr>
          <w:rFonts w:ascii="Calibri" w:hAnsi="Calibri" w:cs="Calibri"/>
          <w:sz w:val="24"/>
          <w:szCs w:val="24"/>
        </w:rPr>
        <w:t xml:space="preserve"> </w:t>
      </w:r>
    </w:p>
    <w:p w14:paraId="6BA07192" w14:textId="2347D03C"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Previous feminist analyses of Lady Wisdom such as those carried out by Camp and McKinlay typically focus on her deification and look for liberative aspects to her presentation, and Schones criticises the little attention given to whether or not Lady Wisdom as a symbol supports or undermines patriarchal ideology.</w:t>
      </w:r>
      <w:r w:rsidRPr="00E94596">
        <w:rPr>
          <w:rStyle w:val="FootnoteReference"/>
          <w:rFonts w:ascii="Calibri" w:hAnsi="Calibri" w:cs="Calibri"/>
          <w:sz w:val="24"/>
          <w:szCs w:val="24"/>
        </w:rPr>
        <w:footnoteReference w:id="95"/>
      </w:r>
      <w:r w:rsidRPr="00E94596">
        <w:rPr>
          <w:rFonts w:ascii="Calibri" w:hAnsi="Calibri" w:cs="Calibri"/>
          <w:sz w:val="24"/>
          <w:szCs w:val="24"/>
        </w:rPr>
        <w:t xml:space="preserve"> Similarly, work on the Strange Woman such as those by Camp and </w:t>
      </w:r>
      <w:proofErr w:type="spellStart"/>
      <w:r w:rsidRPr="00E94596">
        <w:rPr>
          <w:rFonts w:ascii="Calibri" w:hAnsi="Calibri" w:cs="Calibri"/>
          <w:sz w:val="24"/>
          <w:szCs w:val="24"/>
        </w:rPr>
        <w:t>Heijerman</w:t>
      </w:r>
      <w:proofErr w:type="spellEnd"/>
      <w:r w:rsidRPr="00E94596">
        <w:rPr>
          <w:rFonts w:ascii="Calibri" w:hAnsi="Calibri" w:cs="Calibri"/>
          <w:sz w:val="24"/>
          <w:szCs w:val="24"/>
        </w:rPr>
        <w:t>, while acknowledging that she represents a scapegoat for patriarchal ideology, do not challenge the underlying binary of good woman/bad woman that give the presentations of Lady Wisdom and the Strange Woman their harmful nature.</w:t>
      </w:r>
      <w:r w:rsidRPr="00E94596">
        <w:rPr>
          <w:rStyle w:val="FootnoteReference"/>
          <w:rFonts w:ascii="Calibri" w:hAnsi="Calibri" w:cs="Calibri"/>
          <w:sz w:val="24"/>
          <w:szCs w:val="24"/>
        </w:rPr>
        <w:footnoteReference w:id="96"/>
      </w:r>
      <w:r w:rsidRPr="00E94596">
        <w:rPr>
          <w:rFonts w:ascii="Calibri" w:hAnsi="Calibri" w:cs="Calibri"/>
          <w:sz w:val="24"/>
          <w:szCs w:val="24"/>
        </w:rPr>
        <w:t xml:space="preserve">  This chapter will aim to tackle these gaps in scholarship by critiquing how Lady Wisdom supports patriarchal ideology, and will challenge the underlying Madonna/Whore dichotomy that is harmful to women. </w:t>
      </w:r>
    </w:p>
    <w:p w14:paraId="6261191F" w14:textId="77777777" w:rsidR="00463282" w:rsidRDefault="00463282" w:rsidP="00711265">
      <w:pPr>
        <w:spacing w:line="360" w:lineRule="auto"/>
        <w:rPr>
          <w:rFonts w:ascii="Calibri" w:hAnsi="Calibri" w:cs="Calibri"/>
          <w:sz w:val="24"/>
          <w:szCs w:val="24"/>
          <w:u w:val="single"/>
        </w:rPr>
      </w:pPr>
    </w:p>
    <w:p w14:paraId="22A34552" w14:textId="77777777" w:rsidR="00463282" w:rsidRDefault="00463282" w:rsidP="00711265">
      <w:pPr>
        <w:spacing w:line="360" w:lineRule="auto"/>
        <w:rPr>
          <w:rFonts w:ascii="Calibri" w:hAnsi="Calibri" w:cs="Calibri"/>
          <w:sz w:val="24"/>
          <w:szCs w:val="24"/>
          <w:u w:val="single"/>
        </w:rPr>
      </w:pPr>
    </w:p>
    <w:p w14:paraId="0531E867" w14:textId="420DB345"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 xml:space="preserve">Potential for Lady Wisdom’s feminist application </w:t>
      </w:r>
    </w:p>
    <w:p w14:paraId="66AD5C5B" w14:textId="2B20224C"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When analysing Proverbs, Allen-McLaurin suggests the use of both the feminist hermeneutics of liberation and suspicion.</w:t>
      </w:r>
      <w:r w:rsidRPr="00E94596">
        <w:rPr>
          <w:rStyle w:val="FootnoteReference"/>
          <w:rFonts w:ascii="Calibri" w:hAnsi="Calibri" w:cs="Calibri"/>
          <w:sz w:val="24"/>
          <w:szCs w:val="24"/>
        </w:rPr>
        <w:footnoteReference w:id="97"/>
      </w:r>
      <w:r w:rsidRPr="00E94596">
        <w:rPr>
          <w:rFonts w:ascii="Calibri" w:hAnsi="Calibri" w:cs="Calibri"/>
          <w:sz w:val="24"/>
          <w:szCs w:val="24"/>
        </w:rPr>
        <w:t xml:space="preserve"> The hermeneutics of liberation view the works from the mindset of empowerment of women and aim to liberate women from texts that are anachronistic, unrealistic or dangerous for modern day women.</w:t>
      </w:r>
      <w:r w:rsidRPr="00E94596">
        <w:rPr>
          <w:rStyle w:val="FootnoteReference"/>
          <w:rFonts w:ascii="Calibri" w:hAnsi="Calibri" w:cs="Calibri"/>
          <w:sz w:val="24"/>
          <w:szCs w:val="24"/>
        </w:rPr>
        <w:footnoteReference w:id="98"/>
      </w:r>
      <w:r w:rsidRPr="00E94596">
        <w:rPr>
          <w:rFonts w:ascii="Calibri" w:hAnsi="Calibri" w:cs="Calibri"/>
          <w:sz w:val="24"/>
          <w:szCs w:val="24"/>
        </w:rPr>
        <w:t xml:space="preserve"> Similarly using hermeneutics of suspicion encourages scholars to evaluate the claims made in biblical texts, defined by Kelly Brown Douglas as critically re-evaluating texts and holding them ‘under suspicion’ inasmuch as the text diminishes the life and freedom of women.</w:t>
      </w:r>
      <w:r w:rsidRPr="00E94596">
        <w:rPr>
          <w:rStyle w:val="FootnoteReference"/>
          <w:rFonts w:ascii="Calibri" w:hAnsi="Calibri" w:cs="Calibri"/>
          <w:sz w:val="24"/>
          <w:szCs w:val="24"/>
        </w:rPr>
        <w:footnoteReference w:id="99"/>
      </w:r>
      <w:r w:rsidRPr="00E94596">
        <w:rPr>
          <w:rFonts w:ascii="Calibri" w:hAnsi="Calibri" w:cs="Calibri"/>
          <w:sz w:val="24"/>
          <w:szCs w:val="24"/>
        </w:rPr>
        <w:t xml:space="preserve"> </w:t>
      </w:r>
      <w:r w:rsidR="004D4CC3" w:rsidRPr="00E94596">
        <w:rPr>
          <w:rFonts w:ascii="Calibri" w:hAnsi="Calibri" w:cs="Calibri"/>
          <w:sz w:val="24"/>
          <w:szCs w:val="24"/>
        </w:rPr>
        <w:t xml:space="preserve">Together, these two approaches expose both the empowering potential and structural limitations inherent in the two texts under investigation. </w:t>
      </w:r>
      <w:r w:rsidRPr="00E94596">
        <w:rPr>
          <w:rFonts w:ascii="Calibri" w:hAnsi="Calibri" w:cs="Calibri"/>
          <w:sz w:val="24"/>
          <w:szCs w:val="24"/>
        </w:rPr>
        <w:t xml:space="preserve">In both Proverbs and Ben Sira, women are both demonised and praised, though the praise in exclusively within the paradigm of virtuous womanhood, thus promoting unrealistic expectations for women. </w:t>
      </w:r>
      <w:r w:rsidR="00470932" w:rsidRPr="00E94596">
        <w:rPr>
          <w:rFonts w:ascii="Calibri" w:hAnsi="Calibri" w:cs="Calibri"/>
          <w:sz w:val="24"/>
          <w:szCs w:val="24"/>
        </w:rPr>
        <w:t xml:space="preserve">Using a hermeneutics of suspicion reveals how even Lady Wisdom’s praised </w:t>
      </w:r>
      <w:r w:rsidR="006F66A1" w:rsidRPr="00E94596">
        <w:rPr>
          <w:rFonts w:ascii="Calibri" w:hAnsi="Calibri" w:cs="Calibri"/>
          <w:sz w:val="24"/>
          <w:szCs w:val="24"/>
        </w:rPr>
        <w:t>traits are</w:t>
      </w:r>
      <w:r w:rsidR="00470932" w:rsidRPr="00E94596">
        <w:rPr>
          <w:rFonts w:ascii="Calibri" w:hAnsi="Calibri" w:cs="Calibri"/>
          <w:sz w:val="24"/>
          <w:szCs w:val="24"/>
        </w:rPr>
        <w:t xml:space="preserve"> undermined by the male-centric framework in which she operates and the patriarchal value system within which she is praised. </w:t>
      </w:r>
    </w:p>
    <w:p w14:paraId="23BCFDF4" w14:textId="17F2A01F" w:rsidR="002C16FE" w:rsidRPr="00E94596" w:rsidRDefault="00785A90" w:rsidP="00711265">
      <w:pPr>
        <w:spacing w:line="360" w:lineRule="auto"/>
        <w:rPr>
          <w:rFonts w:ascii="Calibri" w:hAnsi="Calibri" w:cs="Calibri"/>
          <w:sz w:val="24"/>
          <w:szCs w:val="24"/>
        </w:rPr>
      </w:pPr>
      <w:r w:rsidRPr="00E94596">
        <w:rPr>
          <w:rFonts w:ascii="Calibri" w:hAnsi="Calibri" w:cs="Calibri"/>
          <w:sz w:val="24"/>
          <w:szCs w:val="24"/>
        </w:rPr>
        <w:t xml:space="preserve">Following this work’s thesis of Lady Wisdom as a literary construction presenting the ideal wife in ancient Israel, the role of women as advisors of their husbands and educators of their children could be used to highlight positive aspects of Lady Wisdom’s description as wife. </w:t>
      </w:r>
      <w:r w:rsidR="002C16FE" w:rsidRPr="00E94596">
        <w:rPr>
          <w:rFonts w:ascii="Calibri" w:hAnsi="Calibri" w:cs="Calibri"/>
          <w:sz w:val="24"/>
          <w:szCs w:val="24"/>
        </w:rPr>
        <w:t>Camp describes that in Israel’s social experience and literary imagination there was a cultural image of an advisor and educator of young people defined as female and associated with the role of wife.</w:t>
      </w:r>
      <w:r w:rsidR="002C16FE" w:rsidRPr="00E94596">
        <w:rPr>
          <w:rStyle w:val="FootnoteReference"/>
          <w:rFonts w:ascii="Calibri" w:hAnsi="Calibri" w:cs="Calibri"/>
          <w:sz w:val="24"/>
          <w:szCs w:val="24"/>
        </w:rPr>
        <w:footnoteReference w:id="100"/>
      </w:r>
      <w:r w:rsidR="002C16FE" w:rsidRPr="00E94596">
        <w:rPr>
          <w:rFonts w:ascii="Calibri" w:hAnsi="Calibri" w:cs="Calibri"/>
          <w:sz w:val="24"/>
          <w:szCs w:val="24"/>
        </w:rPr>
        <w:t xml:space="preserve"> Meyers argues that the female personification of wisdom is rooted in the roles of women as teachers of skills, and so Lady Wisdom is “a cultural expression of the primary role of women in socialising the young and managing the household.”</w:t>
      </w:r>
      <w:r w:rsidR="002C16FE" w:rsidRPr="00E94596">
        <w:rPr>
          <w:rStyle w:val="FootnoteReference"/>
          <w:rFonts w:ascii="Calibri" w:hAnsi="Calibri" w:cs="Calibri"/>
          <w:sz w:val="24"/>
          <w:szCs w:val="24"/>
        </w:rPr>
        <w:footnoteReference w:id="101"/>
      </w:r>
      <w:r w:rsidR="002C16FE" w:rsidRPr="00E94596">
        <w:rPr>
          <w:rFonts w:ascii="Calibri" w:hAnsi="Calibri" w:cs="Calibri"/>
          <w:sz w:val="24"/>
          <w:szCs w:val="24"/>
        </w:rPr>
        <w:t xml:space="preserve"> </w:t>
      </w:r>
    </w:p>
    <w:p w14:paraId="2F9835E0" w14:textId="77777777" w:rsidR="00B3651B"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lastRenderedPageBreak/>
        <w:t xml:space="preserve">The book of Proverbs </w:t>
      </w:r>
      <w:r w:rsidR="00785A90" w:rsidRPr="00E94596">
        <w:rPr>
          <w:rFonts w:ascii="Calibri" w:hAnsi="Calibri" w:cs="Calibri"/>
          <w:sz w:val="24"/>
          <w:szCs w:val="24"/>
        </w:rPr>
        <w:t xml:space="preserve">supports this association when it </w:t>
      </w:r>
      <w:r w:rsidRPr="00E94596">
        <w:rPr>
          <w:rFonts w:ascii="Calibri" w:hAnsi="Calibri" w:cs="Calibri"/>
          <w:sz w:val="24"/>
          <w:szCs w:val="24"/>
        </w:rPr>
        <w:t>references both mothers and fathers as educators of their young sons,</w:t>
      </w:r>
      <w:r w:rsidRPr="00E94596">
        <w:rPr>
          <w:rStyle w:val="FootnoteReference"/>
          <w:rFonts w:ascii="Calibri" w:hAnsi="Calibri" w:cs="Calibri"/>
          <w:sz w:val="24"/>
          <w:szCs w:val="24"/>
        </w:rPr>
        <w:footnoteReference w:id="102"/>
      </w:r>
      <w:r w:rsidRPr="00E94596">
        <w:rPr>
          <w:rFonts w:ascii="Calibri" w:hAnsi="Calibri" w:cs="Calibri"/>
          <w:sz w:val="24"/>
          <w:szCs w:val="24"/>
        </w:rPr>
        <w:t xml:space="preserve"> with the reader instructed to “Hear, my child, your father’s instruction, and do not reject your mother’s teaching” (Prov. 1:8) and as women were the primary caregivers for their children, they were integral to their education on the dynamics of household life, how to perform their daily tasks, and also taught them how to interact with others.</w:t>
      </w:r>
      <w:r w:rsidRPr="00E94596">
        <w:rPr>
          <w:rStyle w:val="FootnoteReference"/>
          <w:rFonts w:ascii="Calibri" w:hAnsi="Calibri" w:cs="Calibri"/>
          <w:sz w:val="24"/>
          <w:szCs w:val="24"/>
        </w:rPr>
        <w:footnoteReference w:id="103"/>
      </w:r>
      <w:r w:rsidRPr="00E94596">
        <w:rPr>
          <w:rFonts w:ascii="Calibri" w:hAnsi="Calibri" w:cs="Calibri"/>
          <w:sz w:val="24"/>
          <w:szCs w:val="24"/>
        </w:rPr>
        <w:t xml:space="preserve"> </w:t>
      </w:r>
    </w:p>
    <w:p w14:paraId="6878A574" w14:textId="11185573" w:rsidR="00702A4C" w:rsidRPr="00E94596" w:rsidRDefault="00B3651B" w:rsidP="00711265">
      <w:pPr>
        <w:spacing w:line="360" w:lineRule="auto"/>
        <w:rPr>
          <w:rFonts w:ascii="Calibri" w:hAnsi="Calibri" w:cs="Calibri"/>
          <w:sz w:val="24"/>
          <w:szCs w:val="24"/>
        </w:rPr>
      </w:pPr>
      <w:r w:rsidRPr="00E94596">
        <w:rPr>
          <w:rFonts w:ascii="Calibri" w:hAnsi="Calibri" w:cs="Calibri"/>
          <w:sz w:val="24"/>
          <w:szCs w:val="24"/>
        </w:rPr>
        <w:t>Women also acted as advisors to their husbands, with b</w:t>
      </w:r>
      <w:r w:rsidR="002C16FE" w:rsidRPr="00E94596">
        <w:rPr>
          <w:rFonts w:ascii="Calibri" w:hAnsi="Calibri" w:cs="Calibri"/>
          <w:sz w:val="24"/>
          <w:szCs w:val="24"/>
        </w:rPr>
        <w:t xml:space="preserve">iblical examples </w:t>
      </w:r>
      <w:r w:rsidRPr="00E94596">
        <w:rPr>
          <w:rFonts w:ascii="Calibri" w:hAnsi="Calibri" w:cs="Calibri"/>
          <w:sz w:val="24"/>
          <w:szCs w:val="24"/>
        </w:rPr>
        <w:t xml:space="preserve">such as </w:t>
      </w:r>
      <w:r w:rsidR="002C16FE" w:rsidRPr="00E94596">
        <w:rPr>
          <w:rFonts w:ascii="Calibri" w:hAnsi="Calibri" w:cs="Calibri"/>
          <w:sz w:val="24"/>
          <w:szCs w:val="24"/>
        </w:rPr>
        <w:t>with</w:t>
      </w:r>
      <w:r w:rsidRPr="00E94596">
        <w:rPr>
          <w:rFonts w:ascii="Calibri" w:hAnsi="Calibri" w:cs="Calibri"/>
          <w:sz w:val="24"/>
          <w:szCs w:val="24"/>
        </w:rPr>
        <w:t xml:space="preserve"> </w:t>
      </w:r>
      <w:r w:rsidR="002C16FE" w:rsidRPr="00E94596">
        <w:rPr>
          <w:rFonts w:ascii="Calibri" w:hAnsi="Calibri" w:cs="Calibri"/>
          <w:sz w:val="24"/>
          <w:szCs w:val="24"/>
        </w:rPr>
        <w:t>Sarah advising her husband Abraham to bear children with Hagar (Gen. 16:2), and Bathsheba convincing King David to put Solomon on his throne after his death (1 Kgs. 1:17-21). The range of dates throughout the instances of the wife advisor in the biblical texts and the motif’s frequent use suggest, as Otwell argues, that “the motif of the wise wife reflected a commonplace reality in ancient Israelite culture”.</w:t>
      </w:r>
      <w:r w:rsidR="002C16FE" w:rsidRPr="00E94596">
        <w:rPr>
          <w:rStyle w:val="FootnoteReference"/>
          <w:rFonts w:ascii="Calibri" w:hAnsi="Calibri" w:cs="Calibri"/>
          <w:sz w:val="24"/>
          <w:szCs w:val="24"/>
        </w:rPr>
        <w:footnoteReference w:id="104"/>
      </w:r>
      <w:r w:rsidR="002C16FE" w:rsidRPr="00E94596">
        <w:rPr>
          <w:rFonts w:ascii="Calibri" w:hAnsi="Calibri" w:cs="Calibri"/>
          <w:sz w:val="24"/>
          <w:szCs w:val="24"/>
        </w:rPr>
        <w:t xml:space="preserve"> Camp also notes that within these examples, the wives appear to have as much authority with their husbands as a male counsellor had in advising a king, as in virtually no case, for better or worse, do the husbands question their wives’ advice.</w:t>
      </w:r>
      <w:r w:rsidR="002C16FE" w:rsidRPr="00E94596">
        <w:rPr>
          <w:rStyle w:val="FootnoteReference"/>
          <w:rFonts w:ascii="Calibri" w:hAnsi="Calibri" w:cs="Calibri"/>
          <w:sz w:val="24"/>
          <w:szCs w:val="24"/>
        </w:rPr>
        <w:footnoteReference w:id="105"/>
      </w:r>
      <w:r w:rsidR="002C16FE" w:rsidRPr="00E94596">
        <w:rPr>
          <w:rFonts w:ascii="Calibri" w:hAnsi="Calibri" w:cs="Calibri"/>
          <w:sz w:val="24"/>
          <w:szCs w:val="24"/>
        </w:rPr>
        <w:t xml:space="preserve"> Placing Lady Wisdom in this role of wifely advisor allows for potential for feminist application, making her not just as a quiet wife submissive to her husband’s authority, but as a woman who declares herself that she has “good advice and sound wisdom” (Prov. 8:14) through whom “kings reign, and rulers decree what is just”, (8:15) whose advice fills the treasuries and endows with wealth those who love and follow her guidance, just as a husband would (8:21). </w:t>
      </w:r>
    </w:p>
    <w:p w14:paraId="42CE6E09" w14:textId="331929FB" w:rsidR="004F6A05"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However, placing Lady Wisdom in the role of wifely advisor in response to the thesis that she serves as an example of the ideal wife does not free her from her significance being rooted in her usefulness as a </w:t>
      </w:r>
      <w:r w:rsidRPr="00E94596">
        <w:rPr>
          <w:rFonts w:ascii="Calibri" w:hAnsi="Calibri" w:cs="Calibri"/>
          <w:i/>
          <w:iCs/>
          <w:sz w:val="24"/>
          <w:szCs w:val="24"/>
        </w:rPr>
        <w:t>wife</w:t>
      </w:r>
      <w:r w:rsidRPr="00E94596">
        <w:rPr>
          <w:rFonts w:ascii="Calibri" w:hAnsi="Calibri" w:cs="Calibri"/>
          <w:sz w:val="24"/>
          <w:szCs w:val="24"/>
        </w:rPr>
        <w:t xml:space="preserve">. </w:t>
      </w:r>
      <w:r w:rsidR="0062491D" w:rsidRPr="00E94596">
        <w:rPr>
          <w:rFonts w:ascii="Calibri" w:hAnsi="Calibri" w:cs="Calibri"/>
          <w:sz w:val="24"/>
          <w:szCs w:val="24"/>
        </w:rPr>
        <w:t xml:space="preserve">In the previously mentioned examples of </w:t>
      </w:r>
      <w:r w:rsidR="00AF4BE2" w:rsidRPr="00E94596">
        <w:rPr>
          <w:rFonts w:ascii="Calibri" w:hAnsi="Calibri" w:cs="Calibri"/>
          <w:sz w:val="24"/>
          <w:szCs w:val="24"/>
        </w:rPr>
        <w:t>Bathsheba and Sarah</w:t>
      </w:r>
      <w:r w:rsidR="00A332DC" w:rsidRPr="00E94596">
        <w:rPr>
          <w:rFonts w:ascii="Calibri" w:hAnsi="Calibri" w:cs="Calibri"/>
          <w:sz w:val="24"/>
          <w:szCs w:val="24"/>
        </w:rPr>
        <w:t xml:space="preserve"> who, though their advice to their husbands are followed, </w:t>
      </w:r>
      <w:r w:rsidR="00902A3E" w:rsidRPr="00E94596">
        <w:rPr>
          <w:rFonts w:ascii="Calibri" w:hAnsi="Calibri" w:cs="Calibri"/>
          <w:sz w:val="24"/>
          <w:szCs w:val="24"/>
        </w:rPr>
        <w:t xml:space="preserve">do not dispense wisdom in their own right or to their own ends, only to the benefit of the men in their lives, for Sarah to benefit her husband by </w:t>
      </w:r>
      <w:r w:rsidR="00B77FE5" w:rsidRPr="00E94596">
        <w:rPr>
          <w:rFonts w:ascii="Calibri" w:hAnsi="Calibri" w:cs="Calibri"/>
          <w:sz w:val="24"/>
          <w:szCs w:val="24"/>
        </w:rPr>
        <w:t>giving him a son, (Gen. 16:2) and Bathsheba to make her son her husband’s successor (1 Kgs. 1:17-21). In the same way, r</w:t>
      </w:r>
      <w:r w:rsidRPr="00E94596">
        <w:rPr>
          <w:rFonts w:ascii="Calibri" w:hAnsi="Calibri" w:cs="Calibri"/>
          <w:sz w:val="24"/>
          <w:szCs w:val="24"/>
        </w:rPr>
        <w:t xml:space="preserve">ather than a woman empowered in her own right, Lady Wisdom’s positive qualities cannot be truly her own if they are linked to </w:t>
      </w:r>
      <w:r w:rsidRPr="00E94596">
        <w:rPr>
          <w:rFonts w:ascii="Calibri" w:hAnsi="Calibri" w:cs="Calibri"/>
          <w:sz w:val="24"/>
          <w:szCs w:val="24"/>
        </w:rPr>
        <w:lastRenderedPageBreak/>
        <w:t xml:space="preserve">the benefits she brings to the men around her. In this way, Lady Wisdom’s potential for feminist interpretation and female empowerment is limited.  </w:t>
      </w:r>
    </w:p>
    <w:p w14:paraId="29FD72BD" w14:textId="0BA7AC3E"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Another crucial feature of her presentation that hinders Lady Wisdom’s use for female empowerment is her objectification. Lady Wisdom is presented as an object, a treasure of value (Prov. 4:8) </w:t>
      </w:r>
      <w:r w:rsidR="001C1F5F" w:rsidRPr="00E94596">
        <w:rPr>
          <w:rFonts w:ascii="Calibri" w:hAnsi="Calibri" w:cs="Calibri"/>
          <w:sz w:val="24"/>
          <w:szCs w:val="24"/>
        </w:rPr>
        <w:t>that</w:t>
      </w:r>
      <w:r w:rsidR="00E21A05" w:rsidRPr="00E94596">
        <w:rPr>
          <w:rFonts w:ascii="Calibri" w:hAnsi="Calibri" w:cs="Calibri"/>
          <w:sz w:val="24"/>
          <w:szCs w:val="24"/>
        </w:rPr>
        <w:t xml:space="preserve"> Proverbs casts as more of a possession that a person when commanding the reader to “embrace her”</w:t>
      </w:r>
      <w:r w:rsidRPr="00E94596">
        <w:rPr>
          <w:rFonts w:ascii="Calibri" w:hAnsi="Calibri" w:cs="Calibri"/>
          <w:sz w:val="24"/>
          <w:szCs w:val="24"/>
        </w:rPr>
        <w:t xml:space="preserve"> (7:4)</w:t>
      </w:r>
      <w:r w:rsidR="00E21A05" w:rsidRPr="00E94596">
        <w:rPr>
          <w:rFonts w:ascii="Calibri" w:hAnsi="Calibri" w:cs="Calibri"/>
          <w:sz w:val="24"/>
          <w:szCs w:val="24"/>
        </w:rPr>
        <w:t>. In addition, t</w:t>
      </w:r>
      <w:r w:rsidRPr="00E94596">
        <w:rPr>
          <w:rFonts w:ascii="Calibri" w:hAnsi="Calibri" w:cs="Calibri"/>
          <w:sz w:val="24"/>
          <w:szCs w:val="24"/>
        </w:rPr>
        <w:t xml:space="preserve">he descriptions of </w:t>
      </w:r>
      <w:r w:rsidR="00E21A05" w:rsidRPr="00E94596">
        <w:rPr>
          <w:rFonts w:ascii="Calibri" w:hAnsi="Calibri" w:cs="Calibri"/>
          <w:sz w:val="24"/>
          <w:szCs w:val="24"/>
        </w:rPr>
        <w:t>Lady Wisdom</w:t>
      </w:r>
      <w:r w:rsidRPr="00E94596">
        <w:rPr>
          <w:rFonts w:ascii="Calibri" w:hAnsi="Calibri" w:cs="Calibri"/>
          <w:sz w:val="24"/>
          <w:szCs w:val="24"/>
        </w:rPr>
        <w:t xml:space="preserve"> in Ben Sira promote intimacy</w:t>
      </w:r>
      <w:r w:rsidR="00123A8B" w:rsidRPr="00E94596">
        <w:rPr>
          <w:rFonts w:ascii="Calibri" w:hAnsi="Calibri" w:cs="Calibri"/>
          <w:sz w:val="24"/>
          <w:szCs w:val="24"/>
        </w:rPr>
        <w:t xml:space="preserve"> </w:t>
      </w:r>
      <w:r w:rsidRPr="00E94596">
        <w:rPr>
          <w:rFonts w:ascii="Calibri" w:hAnsi="Calibri" w:cs="Calibri"/>
          <w:sz w:val="24"/>
          <w:szCs w:val="24"/>
        </w:rPr>
        <w:t>rather than any identification with Lady Wisdom</w:t>
      </w:r>
      <w:r w:rsidR="00965D64" w:rsidRPr="00E94596">
        <w:rPr>
          <w:rFonts w:ascii="Calibri" w:hAnsi="Calibri" w:cs="Calibri"/>
          <w:sz w:val="24"/>
          <w:szCs w:val="24"/>
        </w:rPr>
        <w:t xml:space="preserve">, with her calling to </w:t>
      </w:r>
      <w:r w:rsidR="009360CA" w:rsidRPr="00E94596">
        <w:rPr>
          <w:rFonts w:ascii="Calibri" w:hAnsi="Calibri" w:cs="Calibri"/>
          <w:sz w:val="24"/>
          <w:szCs w:val="24"/>
        </w:rPr>
        <w:t>the audience to “Come to me, you who desire me”</w:t>
      </w:r>
      <w:r w:rsidR="009A4F93" w:rsidRPr="00E94596">
        <w:rPr>
          <w:rFonts w:ascii="Calibri" w:hAnsi="Calibri" w:cs="Calibri"/>
          <w:sz w:val="24"/>
          <w:szCs w:val="24"/>
        </w:rPr>
        <w:t xml:space="preserve"> (Sir. 24:19)</w:t>
      </w:r>
      <w:r w:rsidRPr="00E94596">
        <w:rPr>
          <w:rFonts w:ascii="Calibri" w:hAnsi="Calibri" w:cs="Calibri"/>
          <w:sz w:val="24"/>
          <w:szCs w:val="24"/>
        </w:rPr>
        <w:t>.</w:t>
      </w:r>
      <w:r w:rsidRPr="00E94596">
        <w:rPr>
          <w:rStyle w:val="FootnoteReference"/>
          <w:rFonts w:ascii="Calibri" w:hAnsi="Calibri" w:cs="Calibri"/>
          <w:sz w:val="24"/>
          <w:szCs w:val="24"/>
        </w:rPr>
        <w:footnoteReference w:id="106"/>
      </w:r>
      <w:r w:rsidRPr="00E94596">
        <w:rPr>
          <w:rFonts w:ascii="Calibri" w:hAnsi="Calibri" w:cs="Calibri"/>
          <w:sz w:val="24"/>
          <w:szCs w:val="24"/>
        </w:rPr>
        <w:t xml:space="preserve"> </w:t>
      </w:r>
      <w:r w:rsidR="004D3376" w:rsidRPr="00E94596">
        <w:rPr>
          <w:rFonts w:ascii="Calibri" w:hAnsi="Calibri" w:cs="Calibri"/>
          <w:sz w:val="24"/>
          <w:szCs w:val="24"/>
        </w:rPr>
        <w:t>Lady Wisdom is not unique in being objectified, a</w:t>
      </w:r>
      <w:r w:rsidR="00417073" w:rsidRPr="00E94596">
        <w:rPr>
          <w:rFonts w:ascii="Calibri" w:hAnsi="Calibri" w:cs="Calibri"/>
          <w:sz w:val="24"/>
          <w:szCs w:val="24"/>
        </w:rPr>
        <w:t xml:space="preserve">s discussed in the first chapter of this work, where wives </w:t>
      </w:r>
      <w:r w:rsidR="003C7583" w:rsidRPr="00E94596">
        <w:rPr>
          <w:rFonts w:ascii="Calibri" w:hAnsi="Calibri" w:cs="Calibri"/>
          <w:sz w:val="24"/>
          <w:szCs w:val="24"/>
        </w:rPr>
        <w:t xml:space="preserve">are objectified in the same way, </w:t>
      </w:r>
      <w:r w:rsidR="00F83537" w:rsidRPr="00E94596">
        <w:rPr>
          <w:rFonts w:ascii="Calibri" w:hAnsi="Calibri" w:cs="Calibri"/>
          <w:sz w:val="24"/>
          <w:szCs w:val="24"/>
        </w:rPr>
        <w:t xml:space="preserve">with good wives called “a generous gift” bestowed upon a man (Sir. 26:3), with their bodies </w:t>
      </w:r>
      <w:r w:rsidR="003A3649" w:rsidRPr="00E94596">
        <w:rPr>
          <w:rFonts w:ascii="Calibri" w:hAnsi="Calibri" w:cs="Calibri"/>
          <w:sz w:val="24"/>
          <w:szCs w:val="24"/>
        </w:rPr>
        <w:t xml:space="preserve">called “golden columns on silver bases” (26:18). In this way Lady Wisdom follows </w:t>
      </w:r>
      <w:r w:rsidR="000C3C91" w:rsidRPr="00E94596">
        <w:rPr>
          <w:rFonts w:ascii="Calibri" w:hAnsi="Calibri" w:cs="Calibri"/>
          <w:sz w:val="24"/>
          <w:szCs w:val="24"/>
        </w:rPr>
        <w:t>a trend within the work of Ben Sira and Proverbs that objectifies women while praising them</w:t>
      </w:r>
      <w:r w:rsidR="00931FBC" w:rsidRPr="00E94596">
        <w:rPr>
          <w:rFonts w:ascii="Calibri" w:hAnsi="Calibri" w:cs="Calibri"/>
          <w:sz w:val="24"/>
          <w:szCs w:val="24"/>
        </w:rPr>
        <w:t>, making them an object to covet rather than an autonomous person</w:t>
      </w:r>
      <w:r w:rsidR="000C3C91" w:rsidRPr="00E94596">
        <w:rPr>
          <w:rFonts w:ascii="Calibri" w:hAnsi="Calibri" w:cs="Calibri"/>
          <w:sz w:val="24"/>
          <w:szCs w:val="24"/>
        </w:rPr>
        <w:t>.</w:t>
      </w:r>
      <w:r w:rsidR="00931FBC" w:rsidRPr="00E94596">
        <w:rPr>
          <w:rFonts w:ascii="Calibri" w:hAnsi="Calibri" w:cs="Calibri"/>
          <w:sz w:val="24"/>
          <w:szCs w:val="24"/>
        </w:rPr>
        <w:t xml:space="preserve"> </w:t>
      </w:r>
      <w:r w:rsidR="004D4CC3" w:rsidRPr="00E94596">
        <w:rPr>
          <w:rFonts w:ascii="Calibri" w:hAnsi="Calibri" w:cs="Calibri"/>
          <w:sz w:val="24"/>
          <w:szCs w:val="24"/>
        </w:rPr>
        <w:t>Rather than acting as a role model for women, Lady Wisdom is objectified, her value defined by male desire and contro</w:t>
      </w:r>
      <w:r w:rsidRPr="00E94596">
        <w:rPr>
          <w:rFonts w:ascii="Calibri" w:hAnsi="Calibri" w:cs="Calibri"/>
          <w:sz w:val="24"/>
          <w:szCs w:val="24"/>
        </w:rPr>
        <w:t>l,</w:t>
      </w:r>
      <w:r w:rsidRPr="00E94596">
        <w:rPr>
          <w:rStyle w:val="FootnoteReference"/>
          <w:rFonts w:ascii="Calibri" w:hAnsi="Calibri" w:cs="Calibri"/>
          <w:sz w:val="24"/>
          <w:szCs w:val="24"/>
        </w:rPr>
        <w:footnoteReference w:id="107"/>
      </w:r>
      <w:r w:rsidRPr="00E94596">
        <w:rPr>
          <w:rFonts w:ascii="Calibri" w:hAnsi="Calibri" w:cs="Calibri"/>
          <w:sz w:val="24"/>
          <w:szCs w:val="24"/>
        </w:rPr>
        <w:t xml:space="preserve"> and </w:t>
      </w:r>
      <w:r w:rsidR="00B47FE1" w:rsidRPr="00E94596">
        <w:rPr>
          <w:rFonts w:ascii="Calibri" w:hAnsi="Calibri" w:cs="Calibri"/>
          <w:sz w:val="24"/>
          <w:szCs w:val="24"/>
        </w:rPr>
        <w:t>this limits</w:t>
      </w:r>
      <w:r w:rsidRPr="00E94596">
        <w:rPr>
          <w:rFonts w:ascii="Calibri" w:hAnsi="Calibri" w:cs="Calibri"/>
          <w:sz w:val="24"/>
          <w:szCs w:val="24"/>
        </w:rPr>
        <w:t xml:space="preserve"> her potential for feminist application, as she does not act as a model for women </w:t>
      </w:r>
      <w:r w:rsidR="004F6A05" w:rsidRPr="00E94596">
        <w:rPr>
          <w:rFonts w:ascii="Calibri" w:hAnsi="Calibri" w:cs="Calibri"/>
          <w:sz w:val="24"/>
          <w:szCs w:val="24"/>
        </w:rPr>
        <w:t xml:space="preserve">to emulate </w:t>
      </w:r>
      <w:r w:rsidRPr="00E94596">
        <w:rPr>
          <w:rFonts w:ascii="Calibri" w:hAnsi="Calibri" w:cs="Calibri"/>
          <w:sz w:val="24"/>
          <w:szCs w:val="24"/>
        </w:rPr>
        <w:t xml:space="preserve">but instead a symbol whose </w:t>
      </w:r>
      <w:r w:rsidR="0062491D" w:rsidRPr="00E94596">
        <w:rPr>
          <w:rFonts w:ascii="Calibri" w:hAnsi="Calibri" w:cs="Calibri"/>
          <w:sz w:val="24"/>
          <w:szCs w:val="24"/>
        </w:rPr>
        <w:t>construction</w:t>
      </w:r>
      <w:r w:rsidRPr="00E94596">
        <w:rPr>
          <w:rFonts w:ascii="Calibri" w:hAnsi="Calibri" w:cs="Calibri"/>
          <w:sz w:val="24"/>
          <w:szCs w:val="24"/>
        </w:rPr>
        <w:t xml:space="preserve"> revolves around her relationship with men. </w:t>
      </w:r>
    </w:p>
    <w:p w14:paraId="7B278111"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The Madonna/Whore dichotomy</w:t>
      </w:r>
    </w:p>
    <w:p w14:paraId="78B0C1EC" w14:textId="77777777" w:rsidR="00622631" w:rsidRPr="00E94596" w:rsidRDefault="00470932" w:rsidP="00711265">
      <w:pPr>
        <w:spacing w:line="360" w:lineRule="auto"/>
        <w:rPr>
          <w:rFonts w:ascii="Calibri" w:hAnsi="Calibri" w:cs="Calibri"/>
          <w:sz w:val="24"/>
          <w:szCs w:val="24"/>
        </w:rPr>
      </w:pPr>
      <w:r w:rsidRPr="00E94596">
        <w:rPr>
          <w:rFonts w:ascii="Calibri" w:hAnsi="Calibri" w:cs="Calibri"/>
          <w:sz w:val="24"/>
          <w:szCs w:val="24"/>
        </w:rPr>
        <w:t>Given Lady Wisdom’s limited potential as a feminist role model in isolation, it becomes crucial to then explore how her depictions interacts with Proverbs’ Strange Woman and how together they can be used to both reinforce or resist harmful gender binaries. T</w:t>
      </w:r>
      <w:r w:rsidR="002C16FE" w:rsidRPr="00E94596">
        <w:rPr>
          <w:rFonts w:ascii="Calibri" w:hAnsi="Calibri" w:cs="Calibri"/>
          <w:sz w:val="24"/>
          <w:szCs w:val="24"/>
        </w:rPr>
        <w:t>he Strange Woman</w:t>
      </w:r>
      <w:r w:rsidRPr="00E94596">
        <w:rPr>
          <w:rFonts w:ascii="Calibri" w:hAnsi="Calibri" w:cs="Calibri"/>
          <w:sz w:val="24"/>
          <w:szCs w:val="24"/>
        </w:rPr>
        <w:t xml:space="preserve">’s </w:t>
      </w:r>
      <w:r w:rsidR="002C16FE" w:rsidRPr="00E94596">
        <w:rPr>
          <w:rFonts w:ascii="Calibri" w:hAnsi="Calibri" w:cs="Calibri"/>
          <w:sz w:val="24"/>
          <w:szCs w:val="24"/>
        </w:rPr>
        <w:t>presentation as an adulterous sexual woman has led to her demonisation in both the scripture and traditional scholarship as a dangerous predator</w:t>
      </w:r>
      <w:r w:rsidRPr="00E94596">
        <w:rPr>
          <w:rFonts w:ascii="Calibri" w:hAnsi="Calibri" w:cs="Calibri"/>
          <w:sz w:val="24"/>
          <w:szCs w:val="24"/>
        </w:rPr>
        <w:t>, and so alongside the praised Lady Wisdom, t</w:t>
      </w:r>
      <w:r w:rsidR="002C16FE" w:rsidRPr="00E94596">
        <w:rPr>
          <w:rFonts w:ascii="Calibri" w:hAnsi="Calibri" w:cs="Calibri"/>
          <w:sz w:val="24"/>
          <w:szCs w:val="24"/>
        </w:rPr>
        <w:t>he two figures are portrayed as antitheses of each other, with their behaviour described similarly but framed very differently. Schones describes their contrast as deriving from differing interpretations of the same activities, for example “whereas Woman Wisdom prepares a meal (9:3), the Strange Woman seduces with food (7:13-18)</w:t>
      </w:r>
      <w:r w:rsidR="00A50E98" w:rsidRPr="00E94596">
        <w:rPr>
          <w:rFonts w:ascii="Calibri" w:hAnsi="Calibri" w:cs="Calibri"/>
          <w:sz w:val="24"/>
          <w:szCs w:val="24"/>
        </w:rPr>
        <w:t>,</w:t>
      </w:r>
      <w:r w:rsidR="002C16FE" w:rsidRPr="00E94596">
        <w:rPr>
          <w:rFonts w:ascii="Calibri" w:hAnsi="Calibri" w:cs="Calibri"/>
          <w:sz w:val="24"/>
          <w:szCs w:val="24"/>
        </w:rPr>
        <w:t>”</w:t>
      </w:r>
      <w:r w:rsidR="00A50E98" w:rsidRPr="00E94596">
        <w:rPr>
          <w:rFonts w:ascii="Calibri" w:hAnsi="Calibri" w:cs="Calibri"/>
          <w:sz w:val="24"/>
          <w:szCs w:val="24"/>
        </w:rPr>
        <w:t xml:space="preserve"> and they both call from </w:t>
      </w:r>
      <w:r w:rsidR="00971711" w:rsidRPr="00E94596">
        <w:rPr>
          <w:rFonts w:ascii="Calibri" w:hAnsi="Calibri" w:cs="Calibri"/>
          <w:sz w:val="24"/>
          <w:szCs w:val="24"/>
        </w:rPr>
        <w:t xml:space="preserve">a shared location of </w:t>
      </w:r>
      <w:r w:rsidR="00A50E98" w:rsidRPr="00E94596">
        <w:rPr>
          <w:rFonts w:ascii="Calibri" w:hAnsi="Calibri" w:cs="Calibri"/>
          <w:sz w:val="24"/>
          <w:szCs w:val="24"/>
        </w:rPr>
        <w:t>the</w:t>
      </w:r>
      <w:r w:rsidR="00971711" w:rsidRPr="00E94596">
        <w:rPr>
          <w:rFonts w:ascii="Calibri" w:hAnsi="Calibri" w:cs="Calibri"/>
          <w:sz w:val="24"/>
          <w:szCs w:val="24"/>
        </w:rPr>
        <w:t xml:space="preserve"> highest places in town (</w:t>
      </w:r>
      <w:r w:rsidR="00B11DD1" w:rsidRPr="00E94596">
        <w:rPr>
          <w:rFonts w:ascii="Calibri" w:hAnsi="Calibri" w:cs="Calibri"/>
          <w:sz w:val="24"/>
          <w:szCs w:val="24"/>
        </w:rPr>
        <w:t xml:space="preserve">8:2; c.f. </w:t>
      </w:r>
      <w:r w:rsidR="00D50950" w:rsidRPr="00E94596">
        <w:rPr>
          <w:rFonts w:ascii="Calibri" w:hAnsi="Calibri" w:cs="Calibri"/>
          <w:sz w:val="24"/>
          <w:szCs w:val="24"/>
        </w:rPr>
        <w:t>9:14).</w:t>
      </w:r>
      <w:r w:rsidR="002C16FE" w:rsidRPr="00E94596">
        <w:rPr>
          <w:rStyle w:val="FootnoteReference"/>
          <w:rFonts w:ascii="Calibri" w:hAnsi="Calibri" w:cs="Calibri"/>
          <w:sz w:val="24"/>
          <w:szCs w:val="24"/>
        </w:rPr>
        <w:footnoteReference w:id="108"/>
      </w:r>
      <w:r w:rsidR="002C16FE" w:rsidRPr="00E94596">
        <w:rPr>
          <w:rFonts w:ascii="Calibri" w:hAnsi="Calibri" w:cs="Calibri"/>
          <w:sz w:val="24"/>
          <w:szCs w:val="24"/>
        </w:rPr>
        <w:t xml:space="preserve"> </w:t>
      </w:r>
      <w:r w:rsidR="002C16FE" w:rsidRPr="00E94596">
        <w:rPr>
          <w:rFonts w:ascii="Calibri" w:hAnsi="Calibri" w:cs="Calibri"/>
          <w:sz w:val="24"/>
          <w:szCs w:val="24"/>
        </w:rPr>
        <w:lastRenderedPageBreak/>
        <w:t>Schones criticises the portrayals of Lady Wisdom and the Strange Woman as creating a harmful binary follows the ideological tendency to separate women according to the Madonna/Whore dichotomy, which denotes polarised perceptions of women as either virtuous, chaste and pure following the patriarchal ideas of virtue in women, or as evil, promiscuous and violators of the patriarchal order.</w:t>
      </w:r>
      <w:r w:rsidR="002C16FE" w:rsidRPr="00E94596">
        <w:rPr>
          <w:rStyle w:val="FootnoteReference"/>
          <w:rFonts w:ascii="Calibri" w:hAnsi="Calibri" w:cs="Calibri"/>
          <w:sz w:val="24"/>
          <w:szCs w:val="24"/>
        </w:rPr>
        <w:footnoteReference w:id="109"/>
      </w:r>
      <w:r w:rsidR="002C16FE" w:rsidRPr="00E94596">
        <w:rPr>
          <w:rFonts w:ascii="Calibri" w:hAnsi="Calibri" w:cs="Calibri"/>
          <w:sz w:val="24"/>
          <w:szCs w:val="24"/>
        </w:rPr>
        <w:t xml:space="preserve"> </w:t>
      </w:r>
    </w:p>
    <w:p w14:paraId="358F6329" w14:textId="5EE4557F"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Current psychological research supports the argument made by feminist scholars that the dichotomy reinforces the patriarchy by tightly restricting what is considered acceptable female behaviour.</w:t>
      </w:r>
      <w:r w:rsidRPr="00E94596">
        <w:rPr>
          <w:rStyle w:val="FootnoteReference"/>
          <w:rFonts w:ascii="Calibri" w:hAnsi="Calibri" w:cs="Calibri"/>
          <w:sz w:val="24"/>
          <w:szCs w:val="24"/>
        </w:rPr>
        <w:footnoteReference w:id="110"/>
      </w:r>
      <w:r w:rsidRPr="00E94596">
        <w:rPr>
          <w:rFonts w:ascii="Calibri" w:hAnsi="Calibri" w:cs="Calibri"/>
          <w:sz w:val="24"/>
          <w:szCs w:val="24"/>
        </w:rPr>
        <w:t xml:space="preserve"> Even when women are lauded as virtuous within this paradigm, such as Lady Wisdom, her presentation should be criticised for upholding this harmful dichotomy, as the concept of virtuous womanhood put forward by Proverbs and Ben Sira is extremely narrow, focused on outward performance rather than inner personhood, and Allen-McLaurin argues that it projects an unattainable ideal for women to follow.</w:t>
      </w:r>
      <w:r w:rsidRPr="00E94596">
        <w:rPr>
          <w:rStyle w:val="FootnoteReference"/>
          <w:rFonts w:ascii="Calibri" w:hAnsi="Calibri" w:cs="Calibri"/>
          <w:sz w:val="24"/>
          <w:szCs w:val="24"/>
        </w:rPr>
        <w:footnoteReference w:id="111"/>
      </w:r>
      <w:r w:rsidRPr="00E94596">
        <w:rPr>
          <w:rFonts w:ascii="Calibri" w:hAnsi="Calibri" w:cs="Calibri"/>
          <w:sz w:val="24"/>
          <w:szCs w:val="24"/>
        </w:rPr>
        <w:t xml:space="preserve"> In the book of Proverbs, contrasting Lady Wisdom as “the standard-bearer” for Jewish girls and women and the relationship goal for every Jewish man is the Strange Woman, painted as a seductress and adulterer.</w:t>
      </w:r>
      <w:r w:rsidRPr="00E94596">
        <w:rPr>
          <w:rStyle w:val="FootnoteReference"/>
          <w:rFonts w:ascii="Calibri" w:hAnsi="Calibri" w:cs="Calibri"/>
          <w:sz w:val="24"/>
          <w:szCs w:val="24"/>
        </w:rPr>
        <w:footnoteReference w:id="112"/>
      </w:r>
      <w:r w:rsidRPr="00E94596">
        <w:rPr>
          <w:rFonts w:ascii="Calibri" w:hAnsi="Calibri" w:cs="Calibri"/>
          <w:sz w:val="24"/>
          <w:szCs w:val="24"/>
        </w:rPr>
        <w:t xml:space="preserve"> </w:t>
      </w:r>
      <w:r w:rsidR="00912D2B" w:rsidRPr="00E94596">
        <w:rPr>
          <w:rFonts w:ascii="Calibri" w:hAnsi="Calibri" w:cs="Calibri"/>
          <w:sz w:val="24"/>
          <w:szCs w:val="24"/>
        </w:rPr>
        <w:t>Allen-McLaurin argues that t</w:t>
      </w:r>
      <w:r w:rsidRPr="00E94596">
        <w:rPr>
          <w:rFonts w:ascii="Calibri" w:hAnsi="Calibri" w:cs="Calibri"/>
          <w:sz w:val="24"/>
          <w:szCs w:val="24"/>
        </w:rPr>
        <w:t>hese contrasting depictions “arise from patriarchal, misogynistic stereotypes that perpetuate violence against girls and women,”</w:t>
      </w:r>
      <w:r w:rsidRPr="00E94596">
        <w:rPr>
          <w:rStyle w:val="FootnoteReference"/>
          <w:rFonts w:ascii="Calibri" w:hAnsi="Calibri" w:cs="Calibri"/>
          <w:sz w:val="24"/>
          <w:szCs w:val="24"/>
        </w:rPr>
        <w:footnoteReference w:id="113"/>
      </w:r>
      <w:r w:rsidRPr="00E94596">
        <w:rPr>
          <w:rFonts w:ascii="Calibri" w:hAnsi="Calibri" w:cs="Calibri"/>
          <w:sz w:val="24"/>
          <w:szCs w:val="24"/>
        </w:rPr>
        <w:t xml:space="preserve"> and Viviers argues that Proverbs enhances the idea of only two types of women, ‘saints’ and ‘whores’, with both categories, portrayed positively or negatively, being subservient to the patriarchal order.</w:t>
      </w:r>
      <w:r w:rsidRPr="00E94596">
        <w:rPr>
          <w:rStyle w:val="FootnoteReference"/>
          <w:rFonts w:ascii="Calibri" w:hAnsi="Calibri" w:cs="Calibri"/>
          <w:sz w:val="24"/>
          <w:szCs w:val="24"/>
        </w:rPr>
        <w:footnoteReference w:id="114"/>
      </w:r>
      <w:r w:rsidRPr="00E94596">
        <w:rPr>
          <w:rFonts w:ascii="Calibri" w:hAnsi="Calibri" w:cs="Calibri"/>
          <w:sz w:val="24"/>
          <w:szCs w:val="24"/>
        </w:rPr>
        <w:t xml:space="preserve"> </w:t>
      </w:r>
    </w:p>
    <w:p w14:paraId="58DBEAA5" w14:textId="24D9C610"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In this sense, both the Strange Woman and Lady Wisdom are useful to the patriarchy, presenting two types of femininity, with one approved and one rejected by the androcentric community. Schones argues that this binary can be deconstructed by investigating the similarities and interconnectedness between the two figures, as “their interdependence undermines the patriarchal interpretation that valorises one female figure and rejects the other.”</w:t>
      </w:r>
      <w:r w:rsidRPr="00E94596">
        <w:rPr>
          <w:rStyle w:val="FootnoteReference"/>
          <w:rFonts w:ascii="Calibri" w:hAnsi="Calibri" w:cs="Calibri"/>
          <w:sz w:val="24"/>
          <w:szCs w:val="24"/>
        </w:rPr>
        <w:footnoteReference w:id="115"/>
      </w:r>
      <w:r w:rsidRPr="00E94596">
        <w:rPr>
          <w:rFonts w:ascii="Calibri" w:hAnsi="Calibri" w:cs="Calibri"/>
          <w:sz w:val="24"/>
          <w:szCs w:val="24"/>
        </w:rPr>
        <w:t xml:space="preserve"> Both figures are vocal in their enticement to men, with each calling from the high </w:t>
      </w:r>
      <w:r w:rsidRPr="00E94596">
        <w:rPr>
          <w:rFonts w:ascii="Calibri" w:hAnsi="Calibri" w:cs="Calibri"/>
          <w:sz w:val="24"/>
          <w:szCs w:val="24"/>
        </w:rPr>
        <w:lastRenderedPageBreak/>
        <w:t>places of town (Prov. 9:14-16; c.f. 9:4-6); both are loud and demand attention, but while wisdom “raises her voice” (1:20), the Strange Woman is considered “loud and wayward” (7:11). Both figures offer bread (9:17; c.f. 9:5) and their calls to those who follow them are presented with the same phrasing, calling, “you who are simple, turn in here” (9:4; c.f. 9:16). When reviewing their similarities, their constructions as antithesis of one another becomes less clear-cut, and Schones argues that “this slippage between the features unique to Woman Wisdom and the Strange Woman weakens the binary and undermines the power afforded to each symbol.”</w:t>
      </w:r>
      <w:r w:rsidRPr="00E94596">
        <w:rPr>
          <w:rStyle w:val="FootnoteReference"/>
          <w:rFonts w:ascii="Calibri" w:hAnsi="Calibri" w:cs="Calibri"/>
          <w:sz w:val="24"/>
          <w:szCs w:val="24"/>
        </w:rPr>
        <w:footnoteReference w:id="116"/>
      </w:r>
      <w:r w:rsidRPr="00E94596">
        <w:rPr>
          <w:rFonts w:ascii="Calibri" w:hAnsi="Calibri" w:cs="Calibri"/>
          <w:sz w:val="24"/>
          <w:szCs w:val="24"/>
        </w:rPr>
        <w:t xml:space="preserve"> Therefore, while examination of Lady Wisdom as a figure alone may not be well suited for feminist application and the empowerment of women, using her in conjunction with the Strange Woman to deconstruct the harmful Madonna/Whore dichotomy can help undermine patriarchal constructs that are </w:t>
      </w:r>
      <w:r w:rsidR="00C10117" w:rsidRPr="00E94596">
        <w:rPr>
          <w:rFonts w:ascii="Calibri" w:hAnsi="Calibri" w:cs="Calibri"/>
          <w:sz w:val="24"/>
          <w:szCs w:val="24"/>
        </w:rPr>
        <w:t xml:space="preserve">harmful </w:t>
      </w:r>
      <w:r w:rsidRPr="00E94596">
        <w:rPr>
          <w:rFonts w:ascii="Calibri" w:hAnsi="Calibri" w:cs="Calibri"/>
          <w:sz w:val="24"/>
          <w:szCs w:val="24"/>
        </w:rPr>
        <w:t xml:space="preserve">to women. </w:t>
      </w:r>
    </w:p>
    <w:p w14:paraId="045E1596"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 xml:space="preserve">Conclusion to Lady Wisdom’s feminist application and further research </w:t>
      </w:r>
    </w:p>
    <w:p w14:paraId="286EBB1D" w14:textId="4887C43F"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To conclude, while Lady Wisdom’s role as ideal wife may suit her to an empowering role as a female advisor to her husband, </w:t>
      </w:r>
      <w:r w:rsidR="00090F0A" w:rsidRPr="00E94596">
        <w:rPr>
          <w:rFonts w:ascii="Calibri" w:hAnsi="Calibri" w:cs="Calibri"/>
          <w:sz w:val="24"/>
          <w:szCs w:val="24"/>
        </w:rPr>
        <w:t>h</w:t>
      </w:r>
      <w:r w:rsidR="0093093E" w:rsidRPr="00E94596">
        <w:rPr>
          <w:rFonts w:ascii="Calibri" w:hAnsi="Calibri" w:cs="Calibri"/>
          <w:sz w:val="24"/>
          <w:szCs w:val="24"/>
        </w:rPr>
        <w:t>er voice, despite being elevated, is still ventriloquized through a patriarchal framework</w:t>
      </w:r>
      <w:r w:rsidR="00C10117" w:rsidRPr="00E94596">
        <w:rPr>
          <w:rFonts w:ascii="Calibri" w:hAnsi="Calibri" w:cs="Calibri"/>
          <w:sz w:val="24"/>
          <w:szCs w:val="24"/>
        </w:rPr>
        <w:t>, and</w:t>
      </w:r>
      <w:r w:rsidR="0093093E" w:rsidRPr="00E94596">
        <w:rPr>
          <w:rFonts w:ascii="Calibri" w:hAnsi="Calibri" w:cs="Calibri"/>
          <w:sz w:val="24"/>
          <w:szCs w:val="24"/>
        </w:rPr>
        <w:t xml:space="preserve"> </w:t>
      </w:r>
      <w:r w:rsidR="00090F0A" w:rsidRPr="00E94596">
        <w:rPr>
          <w:rFonts w:ascii="Calibri" w:hAnsi="Calibri" w:cs="Calibri"/>
          <w:sz w:val="24"/>
          <w:szCs w:val="24"/>
        </w:rPr>
        <w:t xml:space="preserve">this </w:t>
      </w:r>
      <w:r w:rsidR="00C10117" w:rsidRPr="00E94596">
        <w:rPr>
          <w:rFonts w:ascii="Calibri" w:hAnsi="Calibri" w:cs="Calibri"/>
          <w:sz w:val="24"/>
          <w:szCs w:val="24"/>
        </w:rPr>
        <w:t xml:space="preserve">makes her voice subservient to </w:t>
      </w:r>
      <w:r w:rsidR="00090F0A" w:rsidRPr="00E94596">
        <w:rPr>
          <w:rFonts w:ascii="Calibri" w:hAnsi="Calibri" w:cs="Calibri"/>
          <w:sz w:val="24"/>
          <w:szCs w:val="24"/>
        </w:rPr>
        <w:t>male authority.</w:t>
      </w:r>
      <w:r w:rsidR="000A5B64" w:rsidRPr="00E94596">
        <w:rPr>
          <w:rFonts w:ascii="Calibri" w:hAnsi="Calibri" w:cs="Calibri"/>
          <w:sz w:val="24"/>
          <w:szCs w:val="24"/>
        </w:rPr>
        <w:t xml:space="preserve"> </w:t>
      </w:r>
      <w:r w:rsidRPr="00E94596">
        <w:rPr>
          <w:rFonts w:ascii="Calibri" w:hAnsi="Calibri" w:cs="Calibri"/>
          <w:sz w:val="24"/>
          <w:szCs w:val="24"/>
        </w:rPr>
        <w:t xml:space="preserve">Despite her descriptions as wise and discerning and bringing wealth and benefits to others, protecting those who exhort her (Prov. 14-21), she is praised for what she can do for others, with men urged to marry and love her to get the benefits of their union, rather than respect her autonomy, allow her to flourish as an independent woman and honour her for her intrinsic self. Therefore, Lady Wisdom’s feminist application is limited when considered with this dissertation’s thesis that Lady Wisdom represents a literary construct of the ideal wife role in ancient Israel. </w:t>
      </w:r>
    </w:p>
    <w:p w14:paraId="5938C07D" w14:textId="3A2D8DB7" w:rsidR="00AD5198" w:rsidRPr="00E94596" w:rsidRDefault="002C16FE" w:rsidP="00AD5198">
      <w:pPr>
        <w:spacing w:line="360" w:lineRule="auto"/>
        <w:rPr>
          <w:rFonts w:ascii="Calibri" w:hAnsi="Calibri" w:cs="Calibri"/>
          <w:sz w:val="24"/>
          <w:szCs w:val="24"/>
        </w:rPr>
      </w:pPr>
      <w:r w:rsidRPr="00E94596">
        <w:rPr>
          <w:rFonts w:ascii="Calibri" w:hAnsi="Calibri" w:cs="Calibri"/>
          <w:sz w:val="24"/>
          <w:szCs w:val="24"/>
        </w:rPr>
        <w:t xml:space="preserve">However, when considered in conjunction with the Strange Woman, Lady Wisdom can be used to deconstruct the harmful Madonna/Whore dichotomy that harms women by reinforcing patriarchal control over female behaviour, and thus </w:t>
      </w:r>
      <w:r w:rsidR="00406599" w:rsidRPr="00E94596">
        <w:rPr>
          <w:rFonts w:ascii="Calibri" w:hAnsi="Calibri" w:cs="Calibri"/>
          <w:sz w:val="24"/>
          <w:szCs w:val="24"/>
        </w:rPr>
        <w:t xml:space="preserve">only in relation to her counterpart does Lady Wisdom’s subversive potential emerge, allowing her to help with the dismantling of </w:t>
      </w:r>
      <w:r w:rsidRPr="00E94596">
        <w:rPr>
          <w:rFonts w:ascii="Calibri" w:hAnsi="Calibri" w:cs="Calibri"/>
          <w:sz w:val="24"/>
          <w:szCs w:val="24"/>
        </w:rPr>
        <w:t xml:space="preserve">ideologies in biblical texts that cause harm to women in the present day. Furthermore, although Lady Wisdom’s presentation is constrained within the patriarchal model for wives, the Strange Woman’s expressions of autonomy and her defiance of </w:t>
      </w:r>
      <w:r w:rsidRPr="00E94596">
        <w:rPr>
          <w:rFonts w:ascii="Calibri" w:hAnsi="Calibri" w:cs="Calibri"/>
          <w:sz w:val="24"/>
          <w:szCs w:val="24"/>
        </w:rPr>
        <w:lastRenderedPageBreak/>
        <w:t xml:space="preserve">patriarchal sexual control of women has potential for feminist analysis, and </w:t>
      </w:r>
      <w:r w:rsidR="00406599" w:rsidRPr="00E94596">
        <w:rPr>
          <w:rFonts w:ascii="Calibri" w:hAnsi="Calibri" w:cs="Calibri"/>
          <w:sz w:val="24"/>
          <w:szCs w:val="24"/>
        </w:rPr>
        <w:t xml:space="preserve">future research should explore </w:t>
      </w:r>
      <w:r w:rsidR="004C76E0" w:rsidRPr="00E94596">
        <w:rPr>
          <w:rFonts w:ascii="Calibri" w:hAnsi="Calibri" w:cs="Calibri"/>
          <w:sz w:val="24"/>
          <w:szCs w:val="24"/>
        </w:rPr>
        <w:t>this, focusing on</w:t>
      </w:r>
      <w:r w:rsidR="009748C0" w:rsidRPr="00E94596">
        <w:rPr>
          <w:rFonts w:ascii="Calibri" w:hAnsi="Calibri" w:cs="Calibri"/>
          <w:sz w:val="24"/>
          <w:szCs w:val="24"/>
        </w:rPr>
        <w:t xml:space="preserve"> her displays of sexual agency, and her rejection of the </w:t>
      </w:r>
      <w:r w:rsidR="004C76E0" w:rsidRPr="00E94596">
        <w:rPr>
          <w:rFonts w:ascii="Calibri" w:hAnsi="Calibri" w:cs="Calibri"/>
          <w:sz w:val="24"/>
          <w:szCs w:val="24"/>
        </w:rPr>
        <w:t xml:space="preserve">same </w:t>
      </w:r>
      <w:r w:rsidR="009748C0" w:rsidRPr="00E94596">
        <w:rPr>
          <w:rFonts w:ascii="Calibri" w:hAnsi="Calibri" w:cs="Calibri"/>
          <w:sz w:val="24"/>
          <w:szCs w:val="24"/>
        </w:rPr>
        <w:t xml:space="preserve">domestic roles that constrict Lady Wisdom into a construct of an ideal wife. </w:t>
      </w:r>
      <w:bookmarkStart w:id="11" w:name="_Toc195174888"/>
    </w:p>
    <w:p w14:paraId="72F2F5DE" w14:textId="77777777" w:rsidR="00AD5198" w:rsidRPr="00E94596" w:rsidRDefault="00AD5198" w:rsidP="00AD5198">
      <w:pPr>
        <w:spacing w:line="360" w:lineRule="auto"/>
        <w:rPr>
          <w:rFonts w:ascii="Calibri" w:hAnsi="Calibri" w:cs="Calibri"/>
          <w:sz w:val="24"/>
          <w:szCs w:val="24"/>
        </w:rPr>
      </w:pPr>
    </w:p>
    <w:p w14:paraId="4D6B6A9D" w14:textId="77777777" w:rsidR="00F56814" w:rsidRDefault="00F56814" w:rsidP="00A17C65">
      <w:pPr>
        <w:pStyle w:val="Heading1"/>
        <w:rPr>
          <w:rFonts w:ascii="Calibri" w:hAnsi="Calibri" w:cs="Calibri"/>
        </w:rPr>
      </w:pPr>
    </w:p>
    <w:p w14:paraId="0AF574C6" w14:textId="77777777" w:rsidR="00F56814" w:rsidRDefault="00F56814" w:rsidP="00A17C65">
      <w:pPr>
        <w:pStyle w:val="Heading1"/>
        <w:rPr>
          <w:rFonts w:ascii="Calibri" w:hAnsi="Calibri" w:cs="Calibri"/>
        </w:rPr>
      </w:pPr>
    </w:p>
    <w:p w14:paraId="219DB6F4" w14:textId="77777777" w:rsidR="00F56814" w:rsidRDefault="00F56814" w:rsidP="00A17C65">
      <w:pPr>
        <w:pStyle w:val="Heading1"/>
        <w:rPr>
          <w:rFonts w:ascii="Calibri" w:hAnsi="Calibri" w:cs="Calibri"/>
        </w:rPr>
      </w:pPr>
    </w:p>
    <w:p w14:paraId="6E9C3864" w14:textId="77777777" w:rsidR="00F56814" w:rsidRDefault="00F56814" w:rsidP="00A17C65">
      <w:pPr>
        <w:pStyle w:val="Heading1"/>
        <w:rPr>
          <w:rFonts w:ascii="Calibri" w:hAnsi="Calibri" w:cs="Calibri"/>
        </w:rPr>
      </w:pPr>
    </w:p>
    <w:p w14:paraId="0DBA24F0" w14:textId="77777777" w:rsidR="00F56814" w:rsidRDefault="00F56814" w:rsidP="00A17C65">
      <w:pPr>
        <w:pStyle w:val="Heading1"/>
        <w:rPr>
          <w:rFonts w:ascii="Calibri" w:hAnsi="Calibri" w:cs="Calibri"/>
        </w:rPr>
      </w:pPr>
    </w:p>
    <w:p w14:paraId="45EF843D" w14:textId="77777777" w:rsidR="00F56814" w:rsidRDefault="00F56814" w:rsidP="00A17C65">
      <w:pPr>
        <w:pStyle w:val="Heading1"/>
        <w:rPr>
          <w:rFonts w:ascii="Calibri" w:hAnsi="Calibri" w:cs="Calibri"/>
        </w:rPr>
      </w:pPr>
    </w:p>
    <w:p w14:paraId="6F6EB99A" w14:textId="77777777" w:rsidR="00F56814" w:rsidRDefault="00F56814" w:rsidP="00A17C65">
      <w:pPr>
        <w:pStyle w:val="Heading1"/>
        <w:rPr>
          <w:rFonts w:ascii="Calibri" w:hAnsi="Calibri" w:cs="Calibri"/>
        </w:rPr>
      </w:pPr>
    </w:p>
    <w:p w14:paraId="1176F8EC" w14:textId="77777777" w:rsidR="00F56814" w:rsidRDefault="00F56814" w:rsidP="00A17C65">
      <w:pPr>
        <w:pStyle w:val="Heading1"/>
        <w:rPr>
          <w:rFonts w:ascii="Calibri" w:hAnsi="Calibri" w:cs="Calibri"/>
        </w:rPr>
      </w:pPr>
    </w:p>
    <w:p w14:paraId="338E9766" w14:textId="77777777" w:rsidR="00F56814" w:rsidRDefault="00F56814" w:rsidP="00A17C65">
      <w:pPr>
        <w:pStyle w:val="Heading1"/>
        <w:rPr>
          <w:rFonts w:ascii="Calibri" w:hAnsi="Calibri" w:cs="Calibri"/>
        </w:rPr>
      </w:pPr>
    </w:p>
    <w:p w14:paraId="2F98855C" w14:textId="77777777" w:rsidR="00F56814" w:rsidRDefault="00F56814" w:rsidP="00A17C65">
      <w:pPr>
        <w:pStyle w:val="Heading1"/>
        <w:rPr>
          <w:rFonts w:ascii="Calibri" w:hAnsi="Calibri" w:cs="Calibri"/>
        </w:rPr>
      </w:pPr>
    </w:p>
    <w:p w14:paraId="17FC4D26" w14:textId="77777777" w:rsidR="00F56814" w:rsidRDefault="00F56814" w:rsidP="00A17C65">
      <w:pPr>
        <w:pStyle w:val="Heading1"/>
        <w:rPr>
          <w:rFonts w:ascii="Calibri" w:hAnsi="Calibri" w:cs="Calibri"/>
        </w:rPr>
      </w:pPr>
    </w:p>
    <w:p w14:paraId="3B760225" w14:textId="77777777" w:rsidR="00F56814" w:rsidRDefault="00F56814" w:rsidP="00A17C65">
      <w:pPr>
        <w:pStyle w:val="Heading1"/>
        <w:rPr>
          <w:rFonts w:ascii="Calibri" w:hAnsi="Calibri" w:cs="Calibri"/>
        </w:rPr>
      </w:pPr>
    </w:p>
    <w:p w14:paraId="15875E7E" w14:textId="77777777" w:rsidR="00F56814" w:rsidRPr="00F56814" w:rsidRDefault="00F56814" w:rsidP="00F56814"/>
    <w:p w14:paraId="498AE81A" w14:textId="393D129E" w:rsidR="002C16FE" w:rsidRPr="00E94596" w:rsidRDefault="00A84A20" w:rsidP="00A17C65">
      <w:pPr>
        <w:pStyle w:val="Heading1"/>
        <w:rPr>
          <w:rFonts w:ascii="Calibri" w:hAnsi="Calibri" w:cs="Calibri"/>
          <w:sz w:val="24"/>
          <w:szCs w:val="24"/>
        </w:rPr>
      </w:pPr>
      <w:bookmarkStart w:id="12" w:name="_Toc195875635"/>
      <w:r w:rsidRPr="00E94596">
        <w:rPr>
          <w:rFonts w:ascii="Calibri" w:hAnsi="Calibri" w:cs="Calibri"/>
        </w:rPr>
        <w:lastRenderedPageBreak/>
        <w:t>Conclusion</w:t>
      </w:r>
      <w:bookmarkEnd w:id="11"/>
      <w:bookmarkEnd w:id="12"/>
    </w:p>
    <w:p w14:paraId="712F50F8" w14:textId="6959A9B0"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This dissertation has surveyed evidence from the books of Ben Sira and Proverbs to argue that Lady Wisdom serves as a construct of an ideal wife figure and </w:t>
      </w:r>
      <w:r w:rsidR="008B316A" w:rsidRPr="00E94596">
        <w:rPr>
          <w:rFonts w:ascii="Calibri" w:hAnsi="Calibri" w:cs="Calibri"/>
          <w:sz w:val="24"/>
          <w:szCs w:val="24"/>
        </w:rPr>
        <w:t xml:space="preserve">has </w:t>
      </w:r>
      <w:r w:rsidRPr="00E94596">
        <w:rPr>
          <w:rFonts w:ascii="Calibri" w:hAnsi="Calibri" w:cs="Calibri"/>
          <w:sz w:val="24"/>
          <w:szCs w:val="24"/>
        </w:rPr>
        <w:t xml:space="preserve">evaluated her potential for feminist analysis. Evidence put forward in chapter one explored the characteristics relating to the wife’s role in ancient Israel and analysed how Lady Wisdom’s portrayal fits her within that category through her portrayal as household manager, food provider, object of economic value and object of erotic desire. Chapter one concluded </w:t>
      </w:r>
      <w:r w:rsidR="008B316A" w:rsidRPr="00E94596">
        <w:rPr>
          <w:rFonts w:ascii="Calibri" w:hAnsi="Calibri" w:cs="Calibri"/>
          <w:sz w:val="24"/>
          <w:szCs w:val="24"/>
        </w:rPr>
        <w:t>by</w:t>
      </w:r>
      <w:r w:rsidRPr="00E94596">
        <w:rPr>
          <w:rFonts w:ascii="Calibri" w:hAnsi="Calibri" w:cs="Calibri"/>
          <w:sz w:val="24"/>
          <w:szCs w:val="24"/>
        </w:rPr>
        <w:t xml:space="preserve"> consolidating the hypothesis that Lady Wisdom was constructed for the purpose of presenting an idealised candidate for the wisdom texts’ young male readers to strive for in their marriage choice, and chapter two built on this hypothesis by contrasting Lady Wisdom with her counterpart in Proverbs the Strange Woman. </w:t>
      </w:r>
    </w:p>
    <w:p w14:paraId="3F4233A1" w14:textId="77777777"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To examine their contrasting depiction, the second chapter of this dissertation examined the difference between the banquets given by the two figures, the descriptions of their sexualities and explored the socioeconomic consequences of joining in a relationship with each figure and concluded that in the same way that Strange Woman acts as a warning highlighting the dangers of adultery, Lady Wisdom acts as an ideal wife figure. </w:t>
      </w:r>
    </w:p>
    <w:p w14:paraId="69C372F0" w14:textId="77777777"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The third and final chapter reevaluated Lady Wisdom’s possibility for feminist analysis and argued that her potential to be used for female empowerment is limited due to her lack of autonomy and praise deriving from only the benefits she brings to men. However, while alone her potential is limited, examining her presentation alongside the Strange Woman and highlighting their similarities as opposed to just their differences allows the two female figures to be used together to deconstruct the harmful binary placed upon women that limits their freedom. </w:t>
      </w:r>
    </w:p>
    <w:p w14:paraId="0A1D5E06" w14:textId="0EDD3E83" w:rsidR="00A84A20" w:rsidRPr="00E94596" w:rsidRDefault="0022380B" w:rsidP="00711265">
      <w:pPr>
        <w:spacing w:line="360" w:lineRule="auto"/>
        <w:rPr>
          <w:rFonts w:ascii="Calibri" w:hAnsi="Calibri" w:cs="Calibri"/>
          <w:sz w:val="24"/>
          <w:szCs w:val="24"/>
        </w:rPr>
      </w:pPr>
      <w:r w:rsidRPr="00E94596">
        <w:rPr>
          <w:rFonts w:ascii="Calibri" w:hAnsi="Calibri" w:cs="Calibri"/>
          <w:sz w:val="24"/>
          <w:szCs w:val="24"/>
        </w:rPr>
        <w:t>Overall t</w:t>
      </w:r>
      <w:r w:rsidR="00A84A20" w:rsidRPr="00E94596">
        <w:rPr>
          <w:rFonts w:ascii="Calibri" w:hAnsi="Calibri" w:cs="Calibri"/>
          <w:sz w:val="24"/>
          <w:szCs w:val="24"/>
        </w:rPr>
        <w:t>his study has provided a comprehensive</w:t>
      </w:r>
      <w:r w:rsidR="00F83D89">
        <w:rPr>
          <w:rFonts w:ascii="Calibri" w:hAnsi="Calibri" w:cs="Calibri"/>
          <w:sz w:val="24"/>
          <w:szCs w:val="24"/>
        </w:rPr>
        <w:t xml:space="preserve"> </w:t>
      </w:r>
      <w:r w:rsidR="00A84A20" w:rsidRPr="00E94596">
        <w:rPr>
          <w:rFonts w:ascii="Calibri" w:hAnsi="Calibri" w:cs="Calibri"/>
          <w:sz w:val="24"/>
          <w:szCs w:val="24"/>
        </w:rPr>
        <w:t xml:space="preserve">analysis of the presentation of Lady Wisdom in Ben Sira and Proverbs in light of the hypothesis that she serves as the construct of an ideal wife, examining the text from a different angle from the existing body of scholarship by focusing on her literary purpose. Furthermore, by examining the impact of this hypothesis on her feminist application, this dissertation has contributed to critical analysis of biblical texts that are harmful towards women and adds to the field of feminist </w:t>
      </w:r>
      <w:r w:rsidR="00A84A20" w:rsidRPr="00E94596">
        <w:rPr>
          <w:rFonts w:ascii="Calibri" w:hAnsi="Calibri" w:cs="Calibri"/>
          <w:sz w:val="24"/>
          <w:szCs w:val="24"/>
        </w:rPr>
        <w:lastRenderedPageBreak/>
        <w:t xml:space="preserve">scholarship that aims to challenge sexist, damaging presentations of women in both ancient and modern texts. </w:t>
      </w:r>
    </w:p>
    <w:p w14:paraId="23ACB0D2" w14:textId="77777777" w:rsidR="00A84A20" w:rsidRPr="00E94596" w:rsidRDefault="00A84A20" w:rsidP="00711265">
      <w:pPr>
        <w:spacing w:line="360" w:lineRule="auto"/>
        <w:rPr>
          <w:rFonts w:ascii="Calibri" w:hAnsi="Calibri" w:cs="Calibri"/>
          <w:sz w:val="24"/>
          <w:szCs w:val="24"/>
        </w:rPr>
      </w:pPr>
    </w:p>
    <w:p w14:paraId="29FD3036" w14:textId="77777777" w:rsidR="00A84A20" w:rsidRPr="00E94596" w:rsidRDefault="00A84A20" w:rsidP="00711265">
      <w:pPr>
        <w:spacing w:line="360" w:lineRule="auto"/>
        <w:rPr>
          <w:rFonts w:ascii="Calibri" w:hAnsi="Calibri" w:cs="Calibri"/>
          <w:sz w:val="24"/>
          <w:szCs w:val="24"/>
        </w:rPr>
      </w:pPr>
    </w:p>
    <w:p w14:paraId="70F70EA1" w14:textId="77777777" w:rsidR="002C16FE" w:rsidRPr="00E94596" w:rsidRDefault="002C16FE" w:rsidP="00711265">
      <w:pPr>
        <w:spacing w:line="360" w:lineRule="auto"/>
        <w:rPr>
          <w:rFonts w:ascii="Calibri" w:hAnsi="Calibri" w:cs="Calibri"/>
          <w:sz w:val="24"/>
          <w:szCs w:val="24"/>
        </w:rPr>
      </w:pPr>
    </w:p>
    <w:p w14:paraId="50F91785" w14:textId="77777777" w:rsidR="002C16FE" w:rsidRPr="00E94596" w:rsidRDefault="002C16FE" w:rsidP="00711265">
      <w:pPr>
        <w:spacing w:line="360" w:lineRule="auto"/>
        <w:rPr>
          <w:rFonts w:ascii="Calibri" w:hAnsi="Calibri" w:cs="Calibri"/>
          <w:sz w:val="24"/>
          <w:szCs w:val="24"/>
        </w:rPr>
      </w:pPr>
    </w:p>
    <w:p w14:paraId="7F082BD8" w14:textId="77777777" w:rsidR="002C16FE" w:rsidRPr="00E94596" w:rsidRDefault="002C16FE" w:rsidP="00711265">
      <w:pPr>
        <w:spacing w:line="360" w:lineRule="auto"/>
        <w:rPr>
          <w:rFonts w:ascii="Calibri" w:hAnsi="Calibri" w:cs="Calibri"/>
          <w:sz w:val="24"/>
          <w:szCs w:val="24"/>
        </w:rPr>
      </w:pPr>
    </w:p>
    <w:p w14:paraId="7786F833" w14:textId="77777777" w:rsidR="002C16FE" w:rsidRPr="00E94596" w:rsidRDefault="002C16FE" w:rsidP="00711265">
      <w:pPr>
        <w:spacing w:line="360" w:lineRule="auto"/>
        <w:rPr>
          <w:rFonts w:ascii="Calibri" w:hAnsi="Calibri" w:cs="Calibri"/>
          <w:sz w:val="24"/>
          <w:szCs w:val="24"/>
        </w:rPr>
      </w:pPr>
    </w:p>
    <w:p w14:paraId="459F3545" w14:textId="77777777" w:rsidR="00AD5198" w:rsidRPr="00E94596" w:rsidRDefault="00AD5198" w:rsidP="00AD5198">
      <w:pPr>
        <w:rPr>
          <w:rFonts w:ascii="Calibri" w:hAnsi="Calibri" w:cs="Calibri"/>
        </w:rPr>
      </w:pPr>
    </w:p>
    <w:p w14:paraId="4555DC9F" w14:textId="77777777" w:rsidR="008A4CC5" w:rsidRDefault="008A4CC5" w:rsidP="00711265">
      <w:pPr>
        <w:pStyle w:val="Heading1"/>
        <w:rPr>
          <w:rFonts w:ascii="Calibri" w:hAnsi="Calibri" w:cs="Calibri"/>
        </w:rPr>
      </w:pPr>
    </w:p>
    <w:p w14:paraId="60901F67" w14:textId="77777777" w:rsidR="008A4CC5" w:rsidRDefault="008A4CC5" w:rsidP="00711265">
      <w:pPr>
        <w:pStyle w:val="Heading1"/>
        <w:rPr>
          <w:rFonts w:ascii="Calibri" w:hAnsi="Calibri" w:cs="Calibri"/>
        </w:rPr>
      </w:pPr>
    </w:p>
    <w:p w14:paraId="0007F41C" w14:textId="77777777" w:rsidR="008A4CC5" w:rsidRDefault="008A4CC5" w:rsidP="00711265">
      <w:pPr>
        <w:pStyle w:val="Heading1"/>
        <w:rPr>
          <w:rFonts w:ascii="Calibri" w:hAnsi="Calibri" w:cs="Calibri"/>
        </w:rPr>
      </w:pPr>
    </w:p>
    <w:p w14:paraId="63D49509" w14:textId="77777777" w:rsidR="008A4CC5" w:rsidRDefault="008A4CC5" w:rsidP="00711265">
      <w:pPr>
        <w:pStyle w:val="Heading1"/>
        <w:rPr>
          <w:rFonts w:ascii="Calibri" w:hAnsi="Calibri" w:cs="Calibri"/>
        </w:rPr>
      </w:pPr>
    </w:p>
    <w:p w14:paraId="0DEB775A" w14:textId="77777777" w:rsidR="008A4CC5" w:rsidRDefault="008A4CC5" w:rsidP="00711265">
      <w:pPr>
        <w:pStyle w:val="Heading1"/>
        <w:rPr>
          <w:rFonts w:ascii="Calibri" w:hAnsi="Calibri" w:cs="Calibri"/>
        </w:rPr>
      </w:pPr>
    </w:p>
    <w:p w14:paraId="1381A6DA" w14:textId="77777777" w:rsidR="008A4CC5" w:rsidRDefault="008A4CC5" w:rsidP="008A4CC5"/>
    <w:p w14:paraId="5DF7A6D2" w14:textId="77777777" w:rsidR="008A4CC5" w:rsidRPr="008A4CC5" w:rsidRDefault="008A4CC5" w:rsidP="008A4CC5"/>
    <w:p w14:paraId="66874F6E" w14:textId="77777777" w:rsidR="008A4CC5" w:rsidRDefault="008A4CC5" w:rsidP="008A4CC5"/>
    <w:p w14:paraId="54652101" w14:textId="77777777" w:rsidR="008A4CC5" w:rsidRDefault="008A4CC5" w:rsidP="008A4CC5"/>
    <w:p w14:paraId="10BB886D" w14:textId="77777777" w:rsidR="00F56814" w:rsidRDefault="00F56814" w:rsidP="00F56814">
      <w:pPr>
        <w:pStyle w:val="Heading1"/>
        <w:rPr>
          <w:rFonts w:ascii="Calibri" w:hAnsi="Calibri" w:cs="Calibri"/>
        </w:rPr>
      </w:pPr>
    </w:p>
    <w:p w14:paraId="79B93F3F" w14:textId="77777777" w:rsidR="007A6D19" w:rsidRPr="007A6D19" w:rsidRDefault="007A6D19" w:rsidP="007A6D19"/>
    <w:p w14:paraId="66C44192" w14:textId="4BAB968D" w:rsidR="00F56814" w:rsidRPr="00F56814" w:rsidRDefault="00711265" w:rsidP="00F56814">
      <w:pPr>
        <w:pStyle w:val="Heading1"/>
        <w:rPr>
          <w:rFonts w:ascii="Calibri" w:hAnsi="Calibri" w:cs="Calibri"/>
        </w:rPr>
      </w:pPr>
      <w:bookmarkStart w:id="13" w:name="_Toc195875636"/>
      <w:r w:rsidRPr="00E94596">
        <w:rPr>
          <w:rFonts w:ascii="Calibri" w:hAnsi="Calibri" w:cs="Calibri"/>
        </w:rPr>
        <w:lastRenderedPageBreak/>
        <w:t>Bibliography</w:t>
      </w:r>
      <w:bookmarkEnd w:id="13"/>
    </w:p>
    <w:p w14:paraId="6F4F723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Allen-McLaurin, Lisa, ‘Overcoming the Violence of “Virtuous” Womanhood: Liberating Women from the Proverbs 31 Paradigm’, </w:t>
      </w:r>
      <w:r>
        <w:rPr>
          <w:rFonts w:ascii="Calibri" w:hAnsi="Calibri" w:cs="Calibri"/>
          <w:i/>
          <w:iCs/>
        </w:rPr>
        <w:t>Religions</w:t>
      </w:r>
      <w:r>
        <w:rPr>
          <w:rFonts w:ascii="Calibri" w:hAnsi="Calibri" w:cs="Calibri"/>
        </w:rPr>
        <w:t>, 14.1028 (2023), 1–18</w:t>
      </w:r>
    </w:p>
    <w:p w14:paraId="55DD8D8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Blenkinsopp, Joseph, ‘The Household in Ancient Judaism and Early Judaism’, in </w:t>
      </w:r>
      <w:r>
        <w:rPr>
          <w:rFonts w:ascii="Calibri" w:hAnsi="Calibri" w:cs="Calibri"/>
          <w:i/>
          <w:iCs/>
        </w:rPr>
        <w:t>The Blackwell Companion to the Hebrew Bible</w:t>
      </w:r>
      <w:r>
        <w:rPr>
          <w:rFonts w:ascii="Calibri" w:hAnsi="Calibri" w:cs="Calibri"/>
        </w:rPr>
        <w:t xml:space="preserve"> (Blackwell Publishing Ltd., 2001), pp. 169–85</w:t>
      </w:r>
    </w:p>
    <w:p w14:paraId="2F8A92D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Camp, Claudia V, </w:t>
      </w:r>
      <w:r>
        <w:rPr>
          <w:rFonts w:ascii="Calibri" w:hAnsi="Calibri" w:cs="Calibri"/>
          <w:i/>
          <w:iCs/>
        </w:rPr>
        <w:t>Wisdom and the Feminine in the Book of Proverbs</w:t>
      </w:r>
      <w:r>
        <w:rPr>
          <w:rFonts w:ascii="Calibri" w:hAnsi="Calibri" w:cs="Calibri"/>
        </w:rPr>
        <w:t xml:space="preserve"> (Decatur, Ga: Almond Press, 1985)</w:t>
      </w:r>
    </w:p>
    <w:p w14:paraId="7230EB91"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Camp, Claudia </w:t>
      </w:r>
      <w:proofErr w:type="gramStart"/>
      <w:r>
        <w:rPr>
          <w:rFonts w:ascii="Calibri" w:hAnsi="Calibri" w:cs="Calibri"/>
        </w:rPr>
        <w:t>V. ,</w:t>
      </w:r>
      <w:proofErr w:type="gramEnd"/>
      <w:r>
        <w:rPr>
          <w:rFonts w:ascii="Calibri" w:hAnsi="Calibri" w:cs="Calibri"/>
        </w:rPr>
        <w:t xml:space="preserve"> ‘What’s so Strange about the Strange Woman?’, in </w:t>
      </w:r>
      <w:r>
        <w:rPr>
          <w:rFonts w:ascii="Calibri" w:hAnsi="Calibri" w:cs="Calibri"/>
          <w:i/>
          <w:iCs/>
        </w:rPr>
        <w:t>The Bible and the Politics of Exegesis</w:t>
      </w:r>
      <w:r>
        <w:rPr>
          <w:rFonts w:ascii="Calibri" w:hAnsi="Calibri" w:cs="Calibri"/>
        </w:rPr>
        <w:t xml:space="preserve"> (Cleveland, </w:t>
      </w:r>
      <w:proofErr w:type="gramStart"/>
      <w:r>
        <w:rPr>
          <w:rFonts w:ascii="Calibri" w:hAnsi="Calibri" w:cs="Calibri"/>
        </w:rPr>
        <w:t>Ohio :</w:t>
      </w:r>
      <w:proofErr w:type="gramEnd"/>
      <w:r>
        <w:rPr>
          <w:rFonts w:ascii="Calibri" w:hAnsi="Calibri" w:cs="Calibri"/>
        </w:rPr>
        <w:t xml:space="preserve"> Pilgrim Press, 1991), pp. 17–32</w:t>
      </w:r>
    </w:p>
    <w:p w14:paraId="59CA1E39"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Clifford, Richard J, </w:t>
      </w:r>
      <w:r>
        <w:rPr>
          <w:rFonts w:ascii="Calibri" w:hAnsi="Calibri" w:cs="Calibri"/>
          <w:i/>
          <w:iCs/>
        </w:rPr>
        <w:t>Proverbs</w:t>
      </w:r>
      <w:r>
        <w:rPr>
          <w:rFonts w:ascii="Calibri" w:hAnsi="Calibri" w:cs="Calibri"/>
        </w:rPr>
        <w:t xml:space="preserve"> (Westminster John Knox Press, 1999)</w:t>
      </w:r>
    </w:p>
    <w:p w14:paraId="39F656FC"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Coogan, Michael D., ‘The Goddess Wisdom - “Where Can She Be Found?”: Literary Reflexes of Popular Religion’, in </w:t>
      </w:r>
      <w:r>
        <w:rPr>
          <w:rFonts w:ascii="Calibri" w:hAnsi="Calibri" w:cs="Calibri"/>
          <w:i/>
          <w:iCs/>
        </w:rPr>
        <w:t>Ki Baruch Hu: Ancient near Eastern, Biblical, and Judaic Studies in Honor of Baruch A. Levine</w:t>
      </w:r>
      <w:r>
        <w:rPr>
          <w:rFonts w:ascii="Calibri" w:hAnsi="Calibri" w:cs="Calibri"/>
        </w:rPr>
        <w:t>, ed. by William W. Hallo and Lawrence H. Schiffman (Penn State University Press, 1999), pp. 203–9</w:t>
      </w:r>
    </w:p>
    <w:p w14:paraId="3A73D91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Corley, Jeremy, ‘Sirach’, in </w:t>
      </w:r>
      <w:r>
        <w:rPr>
          <w:rFonts w:ascii="Calibri" w:hAnsi="Calibri" w:cs="Calibri"/>
          <w:i/>
          <w:iCs/>
        </w:rPr>
        <w:t>The Oxford Handbook of the Apocrypha</w:t>
      </w:r>
      <w:r>
        <w:rPr>
          <w:rFonts w:ascii="Calibri" w:hAnsi="Calibri" w:cs="Calibri"/>
        </w:rPr>
        <w:t xml:space="preserve"> (Oxford Academic, 2021), pp. 284–305</w:t>
      </w:r>
    </w:p>
    <w:p w14:paraId="095B1AA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Estes, Douglas, </w:t>
      </w:r>
      <w:r>
        <w:rPr>
          <w:rFonts w:ascii="Calibri" w:hAnsi="Calibri" w:cs="Calibri"/>
          <w:i/>
          <w:iCs/>
        </w:rPr>
        <w:t>The Tree of Life</w:t>
      </w:r>
      <w:r>
        <w:rPr>
          <w:rFonts w:ascii="Calibri" w:hAnsi="Calibri" w:cs="Calibri"/>
        </w:rPr>
        <w:t xml:space="preserve"> (</w:t>
      </w:r>
      <w:proofErr w:type="gramStart"/>
      <w:r>
        <w:rPr>
          <w:rFonts w:ascii="Calibri" w:hAnsi="Calibri" w:cs="Calibri"/>
        </w:rPr>
        <w:t>Leiden ;</w:t>
      </w:r>
      <w:proofErr w:type="gramEnd"/>
      <w:r>
        <w:rPr>
          <w:rFonts w:ascii="Calibri" w:hAnsi="Calibri" w:cs="Calibri"/>
        </w:rPr>
        <w:t xml:space="preserve"> Boston: Brill, 2020)</w:t>
      </w:r>
    </w:p>
    <w:p w14:paraId="071A11FF"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Forti, Tova, ‘Female Imagery in Wisdom Literature’, in </w:t>
      </w:r>
      <w:r>
        <w:rPr>
          <w:rFonts w:ascii="Calibri" w:hAnsi="Calibri" w:cs="Calibri"/>
          <w:i/>
          <w:iCs/>
        </w:rPr>
        <w:t>The Wiley Blackwell Companion to Wisdom Literature</w:t>
      </w:r>
      <w:r>
        <w:rPr>
          <w:rFonts w:ascii="Calibri" w:hAnsi="Calibri" w:cs="Calibri"/>
        </w:rPr>
        <w:t xml:space="preserve"> (John Wiley and Sons, 2020), pp. 177–89</w:t>
      </w:r>
    </w:p>
    <w:p w14:paraId="0E31264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Fox, Michael V, </w:t>
      </w:r>
      <w:r>
        <w:rPr>
          <w:rFonts w:ascii="Calibri" w:hAnsi="Calibri" w:cs="Calibri"/>
          <w:i/>
          <w:iCs/>
        </w:rPr>
        <w:t>Proverbs 1-9</w:t>
      </w:r>
      <w:r>
        <w:rPr>
          <w:rFonts w:ascii="Calibri" w:hAnsi="Calibri" w:cs="Calibri"/>
        </w:rPr>
        <w:t xml:space="preserve"> (Anchor Bible, 2000)</w:t>
      </w:r>
    </w:p>
    <w:p w14:paraId="0E952B1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Gillingham, S.E, ‘Postexilic Poetic Traditions in the Writings’, in </w:t>
      </w:r>
      <w:r>
        <w:rPr>
          <w:rFonts w:ascii="Calibri" w:hAnsi="Calibri" w:cs="Calibri"/>
          <w:i/>
          <w:iCs/>
        </w:rPr>
        <w:t>The Oxford Handbook of the Writings of the Hebrew Bible</w:t>
      </w:r>
      <w:r>
        <w:rPr>
          <w:rFonts w:ascii="Calibri" w:hAnsi="Calibri" w:cs="Calibri"/>
        </w:rPr>
        <w:t xml:space="preserve"> (Oxford Academic, 2015), pp. 132–48</w:t>
      </w:r>
    </w:p>
    <w:p w14:paraId="0BA2A99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Goff, Matthew J., ‘The Personification of Wisdom and Folly as Women in Ancient Judaism’, in </w:t>
      </w:r>
      <w:r>
        <w:rPr>
          <w:rFonts w:ascii="Calibri" w:hAnsi="Calibri" w:cs="Calibri"/>
          <w:i/>
          <w:iCs/>
        </w:rPr>
        <w:t>Religion and Female Body in Ancient Judaism and Its Environments</w:t>
      </w:r>
      <w:r>
        <w:rPr>
          <w:rFonts w:ascii="Calibri" w:hAnsi="Calibri" w:cs="Calibri"/>
        </w:rPr>
        <w:t xml:space="preserve"> (Berlin: De Gruyter, 2015), pp. 128–54</w:t>
      </w:r>
    </w:p>
    <w:p w14:paraId="7A4FA01F" w14:textId="77777777" w:rsidR="005974EE" w:rsidRDefault="005974EE" w:rsidP="005974EE">
      <w:pPr>
        <w:pStyle w:val="NormalWeb"/>
        <w:spacing w:before="0" w:beforeAutospacing="0" w:after="240" w:afterAutospacing="0" w:line="360" w:lineRule="auto"/>
        <w:ind w:left="720" w:hanging="720"/>
        <w:rPr>
          <w:rFonts w:ascii="Calibri" w:hAnsi="Calibri" w:cs="Calibri"/>
        </w:rPr>
      </w:pPr>
      <w:proofErr w:type="spellStart"/>
      <w:r>
        <w:rPr>
          <w:rFonts w:ascii="Calibri" w:hAnsi="Calibri" w:cs="Calibri"/>
        </w:rPr>
        <w:lastRenderedPageBreak/>
        <w:t>IlanṬal</w:t>
      </w:r>
      <w:proofErr w:type="spellEnd"/>
      <w:r>
        <w:rPr>
          <w:rFonts w:ascii="Calibri" w:hAnsi="Calibri" w:cs="Calibri"/>
        </w:rPr>
        <w:t xml:space="preserve">, </w:t>
      </w:r>
      <w:r>
        <w:rPr>
          <w:rFonts w:ascii="Calibri" w:hAnsi="Calibri" w:cs="Calibri"/>
          <w:i/>
          <w:iCs/>
        </w:rPr>
        <w:t>Jewish Women in Greco-Roman Palestine</w:t>
      </w:r>
      <w:r>
        <w:rPr>
          <w:rFonts w:ascii="Calibri" w:hAnsi="Calibri" w:cs="Calibri"/>
        </w:rPr>
        <w:t xml:space="preserve"> (Peabody, Mass.: Hendrickson Publishers, 1996)</w:t>
      </w:r>
    </w:p>
    <w:p w14:paraId="5BBEC8E9"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Imray, Kathryn, ‘Love Is (Strong As) Death: Reading the Song of Songs through Proverbs 1-9’, </w:t>
      </w:r>
      <w:r>
        <w:rPr>
          <w:rFonts w:ascii="Calibri" w:hAnsi="Calibri" w:cs="Calibri"/>
          <w:i/>
          <w:iCs/>
        </w:rPr>
        <w:t>The Catholic Biblical Quarterly</w:t>
      </w:r>
      <w:r>
        <w:rPr>
          <w:rFonts w:ascii="Calibri" w:hAnsi="Calibri" w:cs="Calibri"/>
        </w:rPr>
        <w:t>, 73.4 (2013), 649–65</w:t>
      </w:r>
    </w:p>
    <w:p w14:paraId="412E7207" w14:textId="77777777" w:rsidR="005974EE" w:rsidRDefault="005974EE" w:rsidP="005974EE">
      <w:pPr>
        <w:pStyle w:val="NormalWeb"/>
        <w:spacing w:before="0" w:beforeAutospacing="0" w:after="240" w:afterAutospacing="0" w:line="360" w:lineRule="auto"/>
        <w:ind w:left="720" w:hanging="720"/>
        <w:rPr>
          <w:rFonts w:ascii="Calibri" w:hAnsi="Calibri" w:cs="Calibri"/>
        </w:rPr>
      </w:pPr>
      <w:proofErr w:type="spellStart"/>
      <w:r>
        <w:rPr>
          <w:rFonts w:ascii="Calibri" w:hAnsi="Calibri" w:cs="Calibri"/>
        </w:rPr>
        <w:t>Kahalon</w:t>
      </w:r>
      <w:proofErr w:type="spellEnd"/>
      <w:r>
        <w:rPr>
          <w:rFonts w:ascii="Calibri" w:hAnsi="Calibri" w:cs="Calibri"/>
        </w:rPr>
        <w:t xml:space="preserve">, Rotem, Orly </w:t>
      </w:r>
      <w:proofErr w:type="spellStart"/>
      <w:r>
        <w:rPr>
          <w:rFonts w:ascii="Calibri" w:hAnsi="Calibri" w:cs="Calibri"/>
        </w:rPr>
        <w:t>Bareket</w:t>
      </w:r>
      <w:proofErr w:type="spellEnd"/>
      <w:r>
        <w:rPr>
          <w:rFonts w:ascii="Calibri" w:hAnsi="Calibri" w:cs="Calibri"/>
        </w:rPr>
        <w:t xml:space="preserve">, Andrea C. Vial, Nora </w:t>
      </w:r>
      <w:proofErr w:type="spellStart"/>
      <w:r>
        <w:rPr>
          <w:rFonts w:ascii="Calibri" w:hAnsi="Calibri" w:cs="Calibri"/>
        </w:rPr>
        <w:t>Sassenhagen</w:t>
      </w:r>
      <w:proofErr w:type="spellEnd"/>
      <w:r>
        <w:rPr>
          <w:rFonts w:ascii="Calibri" w:hAnsi="Calibri" w:cs="Calibri"/>
        </w:rPr>
        <w:t xml:space="preserve">, Julia C. Becker, and Nurit </w:t>
      </w:r>
      <w:proofErr w:type="spellStart"/>
      <w:r>
        <w:rPr>
          <w:rFonts w:ascii="Calibri" w:hAnsi="Calibri" w:cs="Calibri"/>
        </w:rPr>
        <w:t>Shnabel</w:t>
      </w:r>
      <w:proofErr w:type="spellEnd"/>
      <w:r>
        <w:rPr>
          <w:rFonts w:ascii="Calibri" w:hAnsi="Calibri" w:cs="Calibri"/>
        </w:rPr>
        <w:t xml:space="preserve">, ‘The Madonna-Whore Dichotomy Is Associated with Patriarchy Endorsement: Evidence from Israel, the United States, and Germany’, </w:t>
      </w:r>
      <w:r>
        <w:rPr>
          <w:rFonts w:ascii="Calibri" w:hAnsi="Calibri" w:cs="Calibri"/>
          <w:i/>
          <w:iCs/>
        </w:rPr>
        <w:t>Psychology of Women Quarterly</w:t>
      </w:r>
      <w:r>
        <w:rPr>
          <w:rFonts w:ascii="Calibri" w:hAnsi="Calibri" w:cs="Calibri"/>
        </w:rPr>
        <w:t>, 43.3 (2019), 348–67 &lt;https://doi.org/10.1177/0361684319843298&gt;</w:t>
      </w:r>
    </w:p>
    <w:p w14:paraId="2DD9592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Kloppenborg, John S, ‘Isis and Sophia in the Book of Wisdom’, </w:t>
      </w:r>
      <w:r>
        <w:rPr>
          <w:rFonts w:ascii="Calibri" w:hAnsi="Calibri" w:cs="Calibri"/>
          <w:i/>
          <w:iCs/>
        </w:rPr>
        <w:t>Harvard Theological Review</w:t>
      </w:r>
      <w:r>
        <w:rPr>
          <w:rFonts w:ascii="Calibri" w:hAnsi="Calibri" w:cs="Calibri"/>
        </w:rPr>
        <w:t>, 75.1 (1982), 57–84</w:t>
      </w:r>
    </w:p>
    <w:p w14:paraId="063DE225"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Lang, Bernard, ‘Lady Wisdom: A Polytheistic and Psychological Interpretation of a Biblical Goddess’, in </w:t>
      </w:r>
      <w:r>
        <w:rPr>
          <w:rFonts w:ascii="Calibri" w:hAnsi="Calibri" w:cs="Calibri"/>
          <w:i/>
          <w:iCs/>
        </w:rPr>
        <w:t>A Feminist Companion to Wisdom Literature</w:t>
      </w:r>
      <w:r>
        <w:rPr>
          <w:rFonts w:ascii="Calibri" w:hAnsi="Calibri" w:cs="Calibri"/>
        </w:rPr>
        <w:t xml:space="preserve"> (Sheffield: Sheffield Academic Press, 1996), pp. 400–423</w:t>
      </w:r>
    </w:p>
    <w:p w14:paraId="0F196908"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Lang, Bernhard, ‘Women’s Work, Household and Property in Two Mediterranean Societies: A Comparative Essay on Proverbs XXXI 10-31’, </w:t>
      </w:r>
      <w:proofErr w:type="spellStart"/>
      <w:r>
        <w:rPr>
          <w:rFonts w:ascii="Calibri" w:hAnsi="Calibri" w:cs="Calibri"/>
          <w:i/>
          <w:iCs/>
        </w:rPr>
        <w:t>Vetus</w:t>
      </w:r>
      <w:proofErr w:type="spellEnd"/>
      <w:r>
        <w:rPr>
          <w:rFonts w:ascii="Calibri" w:hAnsi="Calibri" w:cs="Calibri"/>
          <w:i/>
          <w:iCs/>
        </w:rPr>
        <w:t xml:space="preserve"> </w:t>
      </w:r>
      <w:proofErr w:type="spellStart"/>
      <w:r>
        <w:rPr>
          <w:rFonts w:ascii="Calibri" w:hAnsi="Calibri" w:cs="Calibri"/>
          <w:i/>
          <w:iCs/>
        </w:rPr>
        <w:t>Testamentum</w:t>
      </w:r>
      <w:proofErr w:type="spellEnd"/>
      <w:r>
        <w:rPr>
          <w:rFonts w:ascii="Calibri" w:hAnsi="Calibri" w:cs="Calibri"/>
        </w:rPr>
        <w:t>, 54.2 (2004), 188–207</w:t>
      </w:r>
    </w:p>
    <w:p w14:paraId="5CDF053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McCreesh, Thomas P., ‘Wisdom as Wife: Proverbs 31:10-31’, </w:t>
      </w:r>
      <w:r>
        <w:rPr>
          <w:rFonts w:ascii="Calibri" w:hAnsi="Calibri" w:cs="Calibri"/>
          <w:i/>
          <w:iCs/>
        </w:rPr>
        <w:t xml:space="preserve">Revue </w:t>
      </w:r>
      <w:proofErr w:type="spellStart"/>
      <w:r>
        <w:rPr>
          <w:rFonts w:ascii="Calibri" w:hAnsi="Calibri" w:cs="Calibri"/>
          <w:i/>
          <w:iCs/>
        </w:rPr>
        <w:t>Biblique</w:t>
      </w:r>
      <w:proofErr w:type="spellEnd"/>
      <w:r>
        <w:rPr>
          <w:rFonts w:ascii="Calibri" w:hAnsi="Calibri" w:cs="Calibri"/>
        </w:rPr>
        <w:t>, 92.1 (1985), 25–46</w:t>
      </w:r>
    </w:p>
    <w:p w14:paraId="72D8CAE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McKane, William, </w:t>
      </w:r>
      <w:r>
        <w:rPr>
          <w:rFonts w:ascii="Calibri" w:hAnsi="Calibri" w:cs="Calibri"/>
          <w:i/>
          <w:iCs/>
        </w:rPr>
        <w:t>Proverbs: A New Approach</w:t>
      </w:r>
      <w:r>
        <w:rPr>
          <w:rFonts w:ascii="Calibri" w:hAnsi="Calibri" w:cs="Calibri"/>
        </w:rPr>
        <w:t xml:space="preserve"> (SCM Press, 1980)</w:t>
      </w:r>
    </w:p>
    <w:p w14:paraId="01EBEBCA"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McKinlay, Judith E, </w:t>
      </w:r>
      <w:r>
        <w:rPr>
          <w:rFonts w:ascii="Calibri" w:hAnsi="Calibri" w:cs="Calibri"/>
          <w:i/>
          <w:iCs/>
        </w:rPr>
        <w:t xml:space="preserve">Gendering Wisdom the </w:t>
      </w:r>
      <w:proofErr w:type="gramStart"/>
      <w:r>
        <w:rPr>
          <w:rFonts w:ascii="Calibri" w:hAnsi="Calibri" w:cs="Calibri"/>
          <w:i/>
          <w:iCs/>
        </w:rPr>
        <w:t>Host :</w:t>
      </w:r>
      <w:proofErr w:type="gramEnd"/>
      <w:r>
        <w:rPr>
          <w:rFonts w:ascii="Calibri" w:hAnsi="Calibri" w:cs="Calibri"/>
          <w:i/>
          <w:iCs/>
        </w:rPr>
        <w:t xml:space="preserve"> Biblical Invitations to Eat and Drink.</w:t>
      </w:r>
      <w:r>
        <w:rPr>
          <w:rFonts w:ascii="Calibri" w:hAnsi="Calibri" w:cs="Calibri"/>
        </w:rPr>
        <w:t xml:space="preserve"> (Sheffield: Sheffield Academic Press, 1996)</w:t>
      </w:r>
    </w:p>
    <w:p w14:paraId="52C153F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Meyers, Carol, ‘In the Household and Beyond: The Social World of Israelite Women’, </w:t>
      </w:r>
      <w:r>
        <w:rPr>
          <w:rFonts w:ascii="Calibri" w:hAnsi="Calibri" w:cs="Calibri"/>
          <w:i/>
          <w:iCs/>
        </w:rPr>
        <w:t>Studia Theologica</w:t>
      </w:r>
      <w:r>
        <w:rPr>
          <w:rFonts w:ascii="Calibri" w:hAnsi="Calibri" w:cs="Calibri"/>
        </w:rPr>
        <w:t>, 63.1 (2009), 19–41</w:t>
      </w:r>
    </w:p>
    <w:p w14:paraId="5DBEEB5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 ‘Women’s Lives’, in </w:t>
      </w:r>
      <w:r>
        <w:rPr>
          <w:rFonts w:ascii="Calibri" w:hAnsi="Calibri" w:cs="Calibri"/>
          <w:i/>
          <w:iCs/>
        </w:rPr>
        <w:t>The Wiley Blackwell Companion to Ancient Israel</w:t>
      </w:r>
      <w:r>
        <w:rPr>
          <w:rFonts w:ascii="Calibri" w:hAnsi="Calibri" w:cs="Calibri"/>
        </w:rPr>
        <w:t xml:space="preserve"> (John Wiley &amp; Sons Ltd, 2015), pp. 415–32</w:t>
      </w:r>
    </w:p>
    <w:p w14:paraId="0056894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lastRenderedPageBreak/>
        <w:t xml:space="preserve">Meyers, Carol L, </w:t>
      </w:r>
      <w:r>
        <w:rPr>
          <w:rFonts w:ascii="Calibri" w:hAnsi="Calibri" w:cs="Calibri"/>
          <w:i/>
          <w:iCs/>
        </w:rPr>
        <w:t xml:space="preserve">Rediscovering </w:t>
      </w:r>
      <w:proofErr w:type="gramStart"/>
      <w:r>
        <w:rPr>
          <w:rFonts w:ascii="Calibri" w:hAnsi="Calibri" w:cs="Calibri"/>
          <w:i/>
          <w:iCs/>
        </w:rPr>
        <w:t>Eve :</w:t>
      </w:r>
      <w:proofErr w:type="gramEnd"/>
      <w:r>
        <w:rPr>
          <w:rFonts w:ascii="Calibri" w:hAnsi="Calibri" w:cs="Calibri"/>
          <w:i/>
          <w:iCs/>
        </w:rPr>
        <w:t xml:space="preserve"> Ancient Israelite Women in Context</w:t>
      </w:r>
      <w:r>
        <w:rPr>
          <w:rFonts w:ascii="Calibri" w:hAnsi="Calibri" w:cs="Calibri"/>
        </w:rPr>
        <w:t xml:space="preserve"> (</w:t>
      </w:r>
      <w:proofErr w:type="gramStart"/>
      <w:r>
        <w:rPr>
          <w:rFonts w:ascii="Calibri" w:hAnsi="Calibri" w:cs="Calibri"/>
        </w:rPr>
        <w:t>Oxford ;</w:t>
      </w:r>
      <w:proofErr w:type="gramEnd"/>
      <w:r>
        <w:rPr>
          <w:rFonts w:ascii="Calibri" w:hAnsi="Calibri" w:cs="Calibri"/>
        </w:rPr>
        <w:t xml:space="preserve"> New York: Oxford University Press, 2013)</w:t>
      </w:r>
    </w:p>
    <w:p w14:paraId="12DE00A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Moore, Michael S., ‘“Wise Women” or Wisdom Woman? A Biblical Study of Women’s Roles’, </w:t>
      </w:r>
      <w:r>
        <w:rPr>
          <w:rFonts w:ascii="Calibri" w:hAnsi="Calibri" w:cs="Calibri"/>
          <w:i/>
          <w:iCs/>
        </w:rPr>
        <w:t>Restoration Quarterly</w:t>
      </w:r>
      <w:r>
        <w:rPr>
          <w:rFonts w:ascii="Calibri" w:hAnsi="Calibri" w:cs="Calibri"/>
        </w:rPr>
        <w:t>, 35.3 (1993), 147–58</w:t>
      </w:r>
    </w:p>
    <w:p w14:paraId="69CBCA8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Murphy, R.E., ‘Wisdom - Theses and Hypotheses’, in </w:t>
      </w:r>
      <w:r>
        <w:rPr>
          <w:rFonts w:ascii="Calibri" w:hAnsi="Calibri" w:cs="Calibri"/>
          <w:i/>
          <w:iCs/>
        </w:rPr>
        <w:t xml:space="preserve">Israelite Wisdom: Theological and Literary Essays in Honour of Samuel </w:t>
      </w:r>
      <w:proofErr w:type="spellStart"/>
      <w:r>
        <w:rPr>
          <w:rFonts w:ascii="Calibri" w:hAnsi="Calibri" w:cs="Calibri"/>
          <w:i/>
          <w:iCs/>
        </w:rPr>
        <w:t>Terriern</w:t>
      </w:r>
      <w:proofErr w:type="spellEnd"/>
      <w:r>
        <w:rPr>
          <w:rFonts w:ascii="Calibri" w:hAnsi="Calibri" w:cs="Calibri"/>
        </w:rPr>
        <w:t xml:space="preserve"> (Missoula, 1978), pp. 35–42</w:t>
      </w:r>
    </w:p>
    <w:p w14:paraId="4A268128"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Ostrander, Tina J., ‘Lady Wisdom: The Personification of God’s Wisdom as a Woman’, </w:t>
      </w:r>
      <w:r>
        <w:rPr>
          <w:rFonts w:ascii="Calibri" w:hAnsi="Calibri" w:cs="Calibri"/>
          <w:i/>
          <w:iCs/>
        </w:rPr>
        <w:t>Priscilla Papers</w:t>
      </w:r>
      <w:r>
        <w:rPr>
          <w:rFonts w:ascii="Calibri" w:hAnsi="Calibri" w:cs="Calibri"/>
        </w:rPr>
        <w:t>, 10.2 (1996), 6–8</w:t>
      </w:r>
    </w:p>
    <w:p w14:paraId="4235CA33"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Ruether, Rosemary Radford, </w:t>
      </w:r>
      <w:r>
        <w:rPr>
          <w:rFonts w:ascii="Calibri" w:hAnsi="Calibri" w:cs="Calibri"/>
          <w:i/>
          <w:iCs/>
        </w:rPr>
        <w:t xml:space="preserve">Sexism and God-Talk: Toward a Feminist Theology </w:t>
      </w:r>
      <w:r>
        <w:rPr>
          <w:rFonts w:ascii="Calibri" w:hAnsi="Calibri" w:cs="Calibri"/>
        </w:rPr>
        <w:t>(Boston: Beacon Press, 1983)</w:t>
      </w:r>
    </w:p>
    <w:p w14:paraId="249AEB3C"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Schones, David A., ‘Intertextual Femininity in Proverbs and the Dao de Jing’, in </w:t>
      </w:r>
      <w:r>
        <w:rPr>
          <w:rFonts w:ascii="Calibri" w:hAnsi="Calibri" w:cs="Calibri"/>
          <w:i/>
          <w:iCs/>
        </w:rPr>
        <w:t>The Oxford Handbook of Feminist Approaches to the Hebrew Bible</w:t>
      </w:r>
      <w:r>
        <w:rPr>
          <w:rFonts w:ascii="Calibri" w:hAnsi="Calibri" w:cs="Calibri"/>
        </w:rPr>
        <w:t xml:space="preserve"> (Oxford University Press, 2020), pp. 604–18</w:t>
      </w:r>
    </w:p>
    <w:p w14:paraId="663F1511"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Schroer, Silvia, </w:t>
      </w:r>
      <w:r>
        <w:rPr>
          <w:rFonts w:ascii="Calibri" w:hAnsi="Calibri" w:cs="Calibri"/>
          <w:i/>
          <w:iCs/>
        </w:rPr>
        <w:t xml:space="preserve">Wisdom Has Built Her </w:t>
      </w:r>
      <w:proofErr w:type="gramStart"/>
      <w:r>
        <w:rPr>
          <w:rFonts w:ascii="Calibri" w:hAnsi="Calibri" w:cs="Calibri"/>
          <w:i/>
          <w:iCs/>
        </w:rPr>
        <w:t>House :</w:t>
      </w:r>
      <w:proofErr w:type="gramEnd"/>
      <w:r>
        <w:rPr>
          <w:rFonts w:ascii="Calibri" w:hAnsi="Calibri" w:cs="Calibri"/>
          <w:i/>
          <w:iCs/>
        </w:rPr>
        <w:t xml:space="preserve"> Studies on the Figure of Sophia in the Bible</w:t>
      </w:r>
      <w:r>
        <w:rPr>
          <w:rFonts w:ascii="Calibri" w:hAnsi="Calibri" w:cs="Calibri"/>
        </w:rPr>
        <w:t xml:space="preserve"> (Collegeville, Minn.: Liturgical Press, 2000)</w:t>
      </w:r>
    </w:p>
    <w:p w14:paraId="1D1816D4"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 ‘Wise and Counselling Women in Ancient Israel: Literary and Historical Ideals of the Personified Hokma’, in </w:t>
      </w:r>
      <w:r>
        <w:rPr>
          <w:rFonts w:ascii="Calibri" w:hAnsi="Calibri" w:cs="Calibri"/>
          <w:i/>
          <w:iCs/>
        </w:rPr>
        <w:t>A Feminist Companion to Wisdom Literature</w:t>
      </w:r>
      <w:r>
        <w:rPr>
          <w:rFonts w:ascii="Calibri" w:hAnsi="Calibri" w:cs="Calibri"/>
        </w:rPr>
        <w:t xml:space="preserve"> (Sheffield: Sheffield Academic Press, 1996), pp. 67–84</w:t>
      </w:r>
    </w:p>
    <w:p w14:paraId="40307AD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Schroer, </w:t>
      </w:r>
      <w:proofErr w:type="gramStart"/>
      <w:r>
        <w:rPr>
          <w:rFonts w:ascii="Calibri" w:hAnsi="Calibri" w:cs="Calibri"/>
        </w:rPr>
        <w:t>Silvia ,</w:t>
      </w:r>
      <w:proofErr w:type="gramEnd"/>
      <w:r>
        <w:rPr>
          <w:rFonts w:ascii="Calibri" w:hAnsi="Calibri" w:cs="Calibri"/>
        </w:rPr>
        <w:t xml:space="preserve"> ‘The One Lord and Male Dominance in the Book of Jesus Sirach: The Image of Woman and the Image of Wisdom in a Misogynist Document’, in </w:t>
      </w:r>
      <w:r>
        <w:rPr>
          <w:rFonts w:ascii="Calibri" w:hAnsi="Calibri" w:cs="Calibri"/>
          <w:i/>
          <w:iCs/>
        </w:rPr>
        <w:t>Wisdom Has Built Her House: Studies on the Figure of Sophia in the Bible</w:t>
      </w:r>
      <w:r>
        <w:rPr>
          <w:rFonts w:ascii="Calibri" w:hAnsi="Calibri" w:cs="Calibri"/>
        </w:rPr>
        <w:t xml:space="preserve"> (Minnesota: The Liturgical Press, 2000), pp. 84–97</w:t>
      </w:r>
    </w:p>
    <w:p w14:paraId="1EE549F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Soulen, Richard N, and R Kendall Soulen, </w:t>
      </w:r>
      <w:r>
        <w:rPr>
          <w:rFonts w:ascii="Calibri" w:hAnsi="Calibri" w:cs="Calibri"/>
          <w:i/>
          <w:iCs/>
        </w:rPr>
        <w:t>Handbook of Biblical Criticism</w:t>
      </w:r>
      <w:r>
        <w:rPr>
          <w:rFonts w:ascii="Calibri" w:hAnsi="Calibri" w:cs="Calibri"/>
        </w:rPr>
        <w:t xml:space="preserve"> (Louisville, </w:t>
      </w:r>
      <w:proofErr w:type="gramStart"/>
      <w:r>
        <w:rPr>
          <w:rFonts w:ascii="Calibri" w:hAnsi="Calibri" w:cs="Calibri"/>
        </w:rPr>
        <w:t>Ky ;</w:t>
      </w:r>
      <w:proofErr w:type="gramEnd"/>
      <w:r>
        <w:rPr>
          <w:rFonts w:ascii="Calibri" w:hAnsi="Calibri" w:cs="Calibri"/>
        </w:rPr>
        <w:t xml:space="preserve"> London: Westminster John Knox Press, 2001)</w:t>
      </w:r>
    </w:p>
    <w:p w14:paraId="5D52997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lastRenderedPageBreak/>
        <w:t xml:space="preserve">Upton, Bridget Gilfillan, ‘Feminist Theology as Biblical Hermeneutics’, in </w:t>
      </w:r>
      <w:r>
        <w:rPr>
          <w:rFonts w:ascii="Calibri" w:hAnsi="Calibri" w:cs="Calibri"/>
          <w:i/>
          <w:iCs/>
        </w:rPr>
        <w:t>The Cambridge Companion to Feminist Theology</w:t>
      </w:r>
      <w:r>
        <w:rPr>
          <w:rFonts w:ascii="Calibri" w:hAnsi="Calibri" w:cs="Calibri"/>
        </w:rPr>
        <w:t xml:space="preserve"> (Cambridge: Cambridge University Press, 2002), pp. 97–113</w:t>
      </w:r>
    </w:p>
    <w:p w14:paraId="44D627D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Viviers, Hennie, ‘The “Body” and Lady Wisdom (Proverbs 1-9)’, </w:t>
      </w:r>
      <w:r>
        <w:rPr>
          <w:rFonts w:ascii="Calibri" w:hAnsi="Calibri" w:cs="Calibri"/>
          <w:i/>
          <w:iCs/>
        </w:rPr>
        <w:t>Old Testament Essays</w:t>
      </w:r>
      <w:r>
        <w:rPr>
          <w:rFonts w:ascii="Calibri" w:hAnsi="Calibri" w:cs="Calibri"/>
        </w:rPr>
        <w:t>, 18.3 (2005), 879–90</w:t>
      </w:r>
    </w:p>
    <w:p w14:paraId="66C288F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Whybray, R N, </w:t>
      </w:r>
      <w:r>
        <w:rPr>
          <w:rFonts w:ascii="Calibri" w:hAnsi="Calibri" w:cs="Calibri"/>
          <w:i/>
          <w:iCs/>
        </w:rPr>
        <w:t xml:space="preserve">The Book of </w:t>
      </w:r>
      <w:proofErr w:type="gramStart"/>
      <w:r>
        <w:rPr>
          <w:rFonts w:ascii="Calibri" w:hAnsi="Calibri" w:cs="Calibri"/>
          <w:i/>
          <w:iCs/>
        </w:rPr>
        <w:t>Proverbs :</w:t>
      </w:r>
      <w:proofErr w:type="gramEnd"/>
      <w:r>
        <w:rPr>
          <w:rFonts w:ascii="Calibri" w:hAnsi="Calibri" w:cs="Calibri"/>
          <w:i/>
          <w:iCs/>
        </w:rPr>
        <w:t xml:space="preserve"> A Survey of Modern Study</w:t>
      </w:r>
      <w:r>
        <w:rPr>
          <w:rFonts w:ascii="Calibri" w:hAnsi="Calibri" w:cs="Calibri"/>
        </w:rPr>
        <w:t xml:space="preserve"> (</w:t>
      </w:r>
      <w:proofErr w:type="gramStart"/>
      <w:r>
        <w:rPr>
          <w:rFonts w:ascii="Calibri" w:hAnsi="Calibri" w:cs="Calibri"/>
        </w:rPr>
        <w:t>Leiden ;</w:t>
      </w:r>
      <w:proofErr w:type="gramEnd"/>
      <w:r>
        <w:rPr>
          <w:rFonts w:ascii="Calibri" w:hAnsi="Calibri" w:cs="Calibri"/>
        </w:rPr>
        <w:t xml:space="preserve"> New York: Brill, 1995)</w:t>
      </w:r>
    </w:p>
    <w:p w14:paraId="500D583A"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Yee, Gale A., ‘“I Have Perfumed My Bed with Myrrh”: The Foreign Woman ('</w:t>
      </w:r>
      <w:proofErr w:type="spellStart"/>
      <w:r>
        <w:rPr>
          <w:rFonts w:ascii="Calibri" w:hAnsi="Calibri" w:cs="Calibri"/>
        </w:rPr>
        <w:t>Išša</w:t>
      </w:r>
      <w:proofErr w:type="spellEnd"/>
      <w:r>
        <w:rPr>
          <w:rFonts w:ascii="Calibri" w:hAnsi="Calibri" w:cs="Calibri"/>
        </w:rPr>
        <w:t xml:space="preserve"> </w:t>
      </w:r>
      <w:proofErr w:type="spellStart"/>
      <w:r>
        <w:rPr>
          <w:rFonts w:ascii="Calibri" w:hAnsi="Calibri" w:cs="Calibri"/>
        </w:rPr>
        <w:t>Zārâ</w:t>
      </w:r>
      <w:proofErr w:type="spellEnd"/>
      <w:r>
        <w:rPr>
          <w:rFonts w:ascii="Calibri" w:hAnsi="Calibri" w:cs="Calibri"/>
        </w:rPr>
        <w:t xml:space="preserve">) in Proverbs 1-9’, </w:t>
      </w:r>
      <w:r>
        <w:rPr>
          <w:rFonts w:ascii="Calibri" w:hAnsi="Calibri" w:cs="Calibri"/>
          <w:i/>
          <w:iCs/>
        </w:rPr>
        <w:t>Journal for the Study of the Old Testament</w:t>
      </w:r>
      <w:r>
        <w:rPr>
          <w:rFonts w:ascii="Calibri" w:hAnsi="Calibri" w:cs="Calibri"/>
        </w:rPr>
        <w:t>, 13.43 (1989), 53–68</w:t>
      </w:r>
    </w:p>
    <w:p w14:paraId="2AFE8383"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Yoder, Christine Roy, ‘The Woman of Substance: A Socioeconomic Reading of Proverbs 31:10-31’, </w:t>
      </w:r>
      <w:r>
        <w:rPr>
          <w:rFonts w:ascii="Calibri" w:hAnsi="Calibri" w:cs="Calibri"/>
          <w:i/>
          <w:iCs/>
        </w:rPr>
        <w:t>Journal of Biblical Literature</w:t>
      </w:r>
      <w:r>
        <w:rPr>
          <w:rFonts w:ascii="Calibri" w:hAnsi="Calibri" w:cs="Calibri"/>
        </w:rPr>
        <w:t>, 122.3 (2003), 427–47</w:t>
      </w:r>
    </w:p>
    <w:p w14:paraId="6BCA26C5" w14:textId="77777777" w:rsidR="00156650" w:rsidRDefault="00156650" w:rsidP="00156650">
      <w:pPr>
        <w:pStyle w:val="NormalWeb"/>
        <w:spacing w:before="0" w:beforeAutospacing="0" w:after="240" w:afterAutospacing="0" w:line="360" w:lineRule="auto"/>
        <w:ind w:left="720" w:hanging="720"/>
        <w:rPr>
          <w:rFonts w:ascii="Calibri" w:hAnsi="Calibri" w:cs="Calibri"/>
        </w:rPr>
      </w:pPr>
    </w:p>
    <w:p w14:paraId="677C709A" w14:textId="77777777" w:rsidR="002C16FE" w:rsidRPr="00E94596" w:rsidRDefault="002C16FE" w:rsidP="00711265">
      <w:pPr>
        <w:spacing w:line="360" w:lineRule="auto"/>
        <w:rPr>
          <w:rFonts w:ascii="Calibri" w:hAnsi="Calibri" w:cs="Calibri"/>
          <w:sz w:val="24"/>
          <w:szCs w:val="24"/>
        </w:rPr>
      </w:pPr>
    </w:p>
    <w:p w14:paraId="2BF8BCCE" w14:textId="77777777" w:rsidR="002C16FE" w:rsidRPr="00E94596" w:rsidRDefault="002C16FE" w:rsidP="00711265">
      <w:pPr>
        <w:spacing w:line="360" w:lineRule="auto"/>
        <w:rPr>
          <w:rFonts w:ascii="Calibri" w:hAnsi="Calibri" w:cs="Calibri"/>
          <w:sz w:val="24"/>
          <w:szCs w:val="24"/>
        </w:rPr>
      </w:pPr>
    </w:p>
    <w:p w14:paraId="00700428" w14:textId="77777777" w:rsidR="002C16FE" w:rsidRPr="00E94596" w:rsidRDefault="002C16FE" w:rsidP="00711265">
      <w:pPr>
        <w:spacing w:line="360" w:lineRule="auto"/>
        <w:rPr>
          <w:rFonts w:ascii="Calibri" w:hAnsi="Calibri" w:cs="Calibri"/>
          <w:sz w:val="24"/>
          <w:szCs w:val="24"/>
        </w:rPr>
      </w:pPr>
    </w:p>
    <w:p w14:paraId="645C136C" w14:textId="77777777" w:rsidR="002C16FE" w:rsidRPr="00E94596" w:rsidRDefault="002C16FE" w:rsidP="00711265">
      <w:pPr>
        <w:spacing w:line="360" w:lineRule="auto"/>
        <w:rPr>
          <w:rFonts w:ascii="Calibri" w:hAnsi="Calibri" w:cs="Calibri"/>
          <w:sz w:val="24"/>
          <w:szCs w:val="24"/>
        </w:rPr>
      </w:pPr>
    </w:p>
    <w:p w14:paraId="3B620C79" w14:textId="77777777" w:rsidR="002C16FE" w:rsidRPr="00E94596" w:rsidRDefault="002C16FE" w:rsidP="00711265">
      <w:pPr>
        <w:spacing w:line="360" w:lineRule="auto"/>
        <w:rPr>
          <w:rFonts w:ascii="Calibri" w:hAnsi="Calibri" w:cs="Calibri"/>
          <w:sz w:val="24"/>
          <w:szCs w:val="24"/>
        </w:rPr>
      </w:pPr>
    </w:p>
    <w:p w14:paraId="3B855506" w14:textId="77777777" w:rsidR="002C16FE" w:rsidRPr="00E94596" w:rsidRDefault="002C16FE" w:rsidP="00711265">
      <w:pPr>
        <w:spacing w:line="360" w:lineRule="auto"/>
        <w:rPr>
          <w:rFonts w:ascii="Calibri" w:hAnsi="Calibri" w:cs="Calibri"/>
          <w:sz w:val="24"/>
          <w:szCs w:val="24"/>
        </w:rPr>
      </w:pPr>
    </w:p>
    <w:p w14:paraId="051BA392" w14:textId="77777777" w:rsidR="002C16FE" w:rsidRPr="00E94596" w:rsidRDefault="002C16FE" w:rsidP="00711265">
      <w:pPr>
        <w:spacing w:line="360" w:lineRule="auto"/>
        <w:rPr>
          <w:rFonts w:ascii="Calibri" w:hAnsi="Calibri" w:cs="Calibri"/>
          <w:sz w:val="24"/>
          <w:szCs w:val="24"/>
        </w:rPr>
      </w:pPr>
    </w:p>
    <w:p w14:paraId="105ECA18" w14:textId="77777777" w:rsidR="002C16FE" w:rsidRPr="00E94596" w:rsidRDefault="002C16FE" w:rsidP="00711265">
      <w:pPr>
        <w:spacing w:line="360" w:lineRule="auto"/>
        <w:rPr>
          <w:rFonts w:ascii="Calibri" w:hAnsi="Calibri" w:cs="Calibri"/>
          <w:sz w:val="24"/>
          <w:szCs w:val="24"/>
        </w:rPr>
      </w:pPr>
    </w:p>
    <w:p w14:paraId="1F7BBB16" w14:textId="77777777" w:rsidR="002C16FE" w:rsidRPr="00E94596" w:rsidRDefault="002C16FE" w:rsidP="00711265">
      <w:pPr>
        <w:spacing w:line="360" w:lineRule="auto"/>
        <w:rPr>
          <w:rFonts w:ascii="Calibri" w:hAnsi="Calibri" w:cs="Calibri"/>
          <w:sz w:val="24"/>
          <w:szCs w:val="24"/>
        </w:rPr>
      </w:pPr>
    </w:p>
    <w:p w14:paraId="68C4EF97" w14:textId="77777777" w:rsidR="002C16FE" w:rsidRPr="00E94596" w:rsidRDefault="002C16FE" w:rsidP="00711265">
      <w:pPr>
        <w:spacing w:line="360" w:lineRule="auto"/>
        <w:rPr>
          <w:rFonts w:ascii="Calibri" w:hAnsi="Calibri" w:cs="Calibri"/>
          <w:sz w:val="24"/>
          <w:szCs w:val="24"/>
        </w:rPr>
      </w:pPr>
    </w:p>
    <w:p w14:paraId="66286153" w14:textId="77777777" w:rsidR="002C16FE" w:rsidRPr="00E94596" w:rsidRDefault="002C16FE" w:rsidP="00711265">
      <w:pPr>
        <w:spacing w:line="360" w:lineRule="auto"/>
        <w:rPr>
          <w:rFonts w:ascii="Calibri" w:hAnsi="Calibri" w:cs="Calibri"/>
          <w:sz w:val="24"/>
          <w:szCs w:val="24"/>
        </w:rPr>
      </w:pPr>
    </w:p>
    <w:p w14:paraId="362A9574" w14:textId="77777777" w:rsidR="002C16FE" w:rsidRPr="00E94596" w:rsidRDefault="002C16FE" w:rsidP="00711265">
      <w:pPr>
        <w:spacing w:line="360" w:lineRule="auto"/>
        <w:rPr>
          <w:rFonts w:ascii="Calibri" w:hAnsi="Calibri" w:cs="Calibri"/>
          <w:sz w:val="24"/>
          <w:szCs w:val="24"/>
        </w:rPr>
      </w:pPr>
    </w:p>
    <w:p w14:paraId="1AB456FD" w14:textId="77777777" w:rsidR="002C16FE" w:rsidRPr="00E94596" w:rsidRDefault="002C16FE" w:rsidP="00711265">
      <w:pPr>
        <w:spacing w:line="360" w:lineRule="auto"/>
        <w:rPr>
          <w:rFonts w:ascii="Calibri" w:hAnsi="Calibri" w:cs="Calibri"/>
          <w:sz w:val="24"/>
          <w:szCs w:val="24"/>
        </w:rPr>
      </w:pPr>
    </w:p>
    <w:p w14:paraId="1379E534" w14:textId="77777777" w:rsidR="002C16FE" w:rsidRPr="00E94596" w:rsidRDefault="002C16FE" w:rsidP="00711265">
      <w:pPr>
        <w:spacing w:line="360" w:lineRule="auto"/>
        <w:rPr>
          <w:rFonts w:ascii="Calibri" w:hAnsi="Calibri" w:cs="Calibri"/>
          <w:sz w:val="24"/>
          <w:szCs w:val="24"/>
        </w:rPr>
      </w:pPr>
    </w:p>
    <w:p w14:paraId="71EE14A4" w14:textId="77777777" w:rsidR="00BC74F8" w:rsidRPr="00E94596" w:rsidRDefault="00BC74F8" w:rsidP="00711265">
      <w:pPr>
        <w:spacing w:line="360" w:lineRule="auto"/>
        <w:rPr>
          <w:rFonts w:ascii="Calibri" w:hAnsi="Calibri" w:cs="Calibri"/>
          <w:sz w:val="24"/>
          <w:szCs w:val="24"/>
        </w:rPr>
      </w:pPr>
    </w:p>
    <w:sectPr w:rsidR="00BC74F8" w:rsidRPr="00E945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64CCF" w14:textId="77777777" w:rsidR="00163D22" w:rsidRDefault="00163D22" w:rsidP="00EC1889">
      <w:pPr>
        <w:spacing w:after="0" w:line="240" w:lineRule="auto"/>
      </w:pPr>
      <w:r>
        <w:separator/>
      </w:r>
    </w:p>
  </w:endnote>
  <w:endnote w:type="continuationSeparator" w:id="0">
    <w:p w14:paraId="4DC67CAF" w14:textId="77777777" w:rsidR="00163D22" w:rsidRDefault="00163D22" w:rsidP="00EC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881645"/>
      <w:docPartObj>
        <w:docPartGallery w:val="Page Numbers (Bottom of Page)"/>
        <w:docPartUnique/>
      </w:docPartObj>
    </w:sdtPr>
    <w:sdtEndPr>
      <w:rPr>
        <w:noProof/>
      </w:rPr>
    </w:sdtEndPr>
    <w:sdtContent>
      <w:p w14:paraId="1191AA7E" w14:textId="42E29854" w:rsidR="009100E0" w:rsidRDefault="009100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F259AC" w14:textId="77777777" w:rsidR="009100E0" w:rsidRDefault="00910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75D52" w14:textId="77777777" w:rsidR="00163D22" w:rsidRDefault="00163D22" w:rsidP="00EC1889">
      <w:pPr>
        <w:spacing w:after="0" w:line="240" w:lineRule="auto"/>
      </w:pPr>
      <w:r>
        <w:separator/>
      </w:r>
    </w:p>
  </w:footnote>
  <w:footnote w:type="continuationSeparator" w:id="0">
    <w:p w14:paraId="546D108F" w14:textId="77777777" w:rsidR="00163D22" w:rsidRDefault="00163D22" w:rsidP="00EC1889">
      <w:pPr>
        <w:spacing w:after="0" w:line="240" w:lineRule="auto"/>
      </w:pPr>
      <w:r>
        <w:continuationSeparator/>
      </w:r>
    </w:p>
  </w:footnote>
  <w:footnote w:id="1">
    <w:p w14:paraId="22806CA7" w14:textId="77777777" w:rsidR="0091762C" w:rsidRPr="003C11D3" w:rsidRDefault="0091762C" w:rsidP="0091762C">
      <w:pPr>
        <w:pStyle w:val="FootnoteText"/>
      </w:pPr>
      <w:r>
        <w:rPr>
          <w:rStyle w:val="FootnoteReference"/>
        </w:rPr>
        <w:footnoteRef/>
      </w:r>
      <w:r>
        <w:t xml:space="preserve"> </w:t>
      </w:r>
      <w:r w:rsidRPr="003C11D3">
        <w:rPr>
          <w:rFonts w:ascii="Calibri" w:hAnsi="Calibri" w:cs="Calibri"/>
        </w:rPr>
        <w:t>Within this work personified Wisdom will be referred to as ‘Lady Wisdom’ in line with my thesis that she represents an idealised wife figure in Proverbs and Ben Sira, and that this ideal also includes desires for status and wealth. As ‘Lady’ is used to denote women of higher status or wealth, this title is fitting in conjunction with my assertions and represents her accurately.</w:t>
      </w:r>
    </w:p>
  </w:footnote>
  <w:footnote w:id="2">
    <w:p w14:paraId="0D8EC8A0" w14:textId="3965ABC7" w:rsidR="0091762C" w:rsidRPr="003C11D3" w:rsidRDefault="0091762C" w:rsidP="00730D6F">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Pr="003C11D3">
        <w:rPr>
          <w:rFonts w:ascii="Calibri" w:hAnsi="Calibri" w:cs="Calibri"/>
          <w:sz w:val="20"/>
          <w:szCs w:val="20"/>
        </w:rPr>
        <w:t xml:space="preserve"> </w:t>
      </w:r>
      <w:r w:rsidR="00730D6F" w:rsidRPr="006B6D3D">
        <w:rPr>
          <w:rFonts w:ascii="Calibri" w:eastAsia="Times New Roman" w:hAnsi="Calibri" w:cs="Calibri"/>
          <w:kern w:val="0"/>
          <w:sz w:val="20"/>
          <w:szCs w:val="20"/>
          <w:lang w:eastAsia="en-GB" w:bidi="he-IL"/>
          <w14:ligatures w14:val="none"/>
        </w:rPr>
        <w:t xml:space="preserve">Jeremy Corley, ‘Sirach’, in </w:t>
      </w:r>
      <w:r w:rsidR="00730D6F" w:rsidRPr="006B6D3D">
        <w:rPr>
          <w:rFonts w:ascii="Calibri" w:eastAsia="Times New Roman" w:hAnsi="Calibri" w:cs="Calibri"/>
          <w:i/>
          <w:iCs/>
          <w:kern w:val="0"/>
          <w:sz w:val="20"/>
          <w:szCs w:val="20"/>
          <w:lang w:eastAsia="en-GB" w:bidi="he-IL"/>
          <w14:ligatures w14:val="none"/>
        </w:rPr>
        <w:t>The Oxford Handbook of the Apocrypha</w:t>
      </w:r>
      <w:r w:rsidR="00730D6F" w:rsidRPr="006B6D3D">
        <w:rPr>
          <w:rFonts w:ascii="Calibri" w:eastAsia="Times New Roman" w:hAnsi="Calibri" w:cs="Calibri"/>
          <w:kern w:val="0"/>
          <w:sz w:val="20"/>
          <w:szCs w:val="20"/>
          <w:lang w:eastAsia="en-GB" w:bidi="he-IL"/>
          <w14:ligatures w14:val="none"/>
        </w:rPr>
        <w:t xml:space="preserve"> (Oxford Academic, 2021)</w:t>
      </w:r>
      <w:r w:rsidR="00730D6F" w:rsidRPr="003C11D3">
        <w:rPr>
          <w:rFonts w:ascii="Calibri" w:eastAsia="Times New Roman" w:hAnsi="Calibri" w:cs="Calibri"/>
          <w:kern w:val="0"/>
          <w:sz w:val="20"/>
          <w:szCs w:val="20"/>
          <w:lang w:eastAsia="en-GB" w:bidi="he-IL"/>
          <w14:ligatures w14:val="none"/>
        </w:rPr>
        <w:t>, p. 286.</w:t>
      </w:r>
    </w:p>
  </w:footnote>
  <w:footnote w:id="3">
    <w:p w14:paraId="2DC2BF52" w14:textId="6800E785" w:rsidR="0091762C" w:rsidRPr="003C11D3" w:rsidRDefault="0091762C" w:rsidP="00CA6FD6">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00CA6FD6" w:rsidRPr="003C11D3">
        <w:rPr>
          <w:rFonts w:ascii="Calibri" w:eastAsia="Times New Roman" w:hAnsi="Calibri" w:cs="Calibri"/>
          <w:kern w:val="0"/>
          <w:sz w:val="20"/>
          <w:szCs w:val="20"/>
          <w:lang w:eastAsia="en-GB" w:bidi="he-IL"/>
          <w14:ligatures w14:val="none"/>
        </w:rPr>
        <w:t xml:space="preserve"> Ibid., p. 291. </w:t>
      </w:r>
    </w:p>
  </w:footnote>
  <w:footnote w:id="4">
    <w:p w14:paraId="2FB0F27E" w14:textId="67FB7019" w:rsidR="00C46A6E" w:rsidRPr="003C11D3" w:rsidRDefault="00C46A6E" w:rsidP="00C46A6E">
      <w:pPr>
        <w:spacing w:after="0" w:line="240" w:lineRule="auto"/>
        <w:rPr>
          <w:rFonts w:ascii="Calibri" w:eastAsia="Times New Roman" w:hAnsi="Calibri" w:cs="Calibri"/>
          <w:kern w:val="0"/>
          <w:sz w:val="20"/>
          <w:szCs w:val="20"/>
          <w:lang w:eastAsia="en-GB" w:bidi="he-IL"/>
          <w14:ligatures w14:val="none"/>
        </w:rPr>
      </w:pPr>
      <w:r w:rsidRPr="003C11D3">
        <w:rPr>
          <w:rStyle w:val="FootnoteReference"/>
          <w:sz w:val="20"/>
          <w:szCs w:val="20"/>
        </w:rPr>
        <w:footnoteRef/>
      </w:r>
      <w:r w:rsidRPr="003C11D3">
        <w:rPr>
          <w:sz w:val="20"/>
          <w:szCs w:val="20"/>
        </w:rPr>
        <w:t xml:space="preserve"> </w:t>
      </w:r>
      <w:r w:rsidR="00CA6FD6" w:rsidRPr="003C11D3">
        <w:rPr>
          <w:rFonts w:ascii="Calibri" w:eastAsia="Times New Roman" w:hAnsi="Calibri" w:cs="Calibri"/>
          <w:kern w:val="0"/>
          <w:sz w:val="20"/>
          <w:szCs w:val="20"/>
          <w:lang w:eastAsia="en-GB" w:bidi="he-IL"/>
          <w14:ligatures w14:val="none"/>
        </w:rPr>
        <w:t>Ibid., p. 291.</w:t>
      </w:r>
    </w:p>
  </w:footnote>
  <w:footnote w:id="5">
    <w:p w14:paraId="1555592B" w14:textId="506D2226" w:rsidR="00CC7B5F" w:rsidRPr="003C11D3" w:rsidRDefault="00CC7B5F">
      <w:pPr>
        <w:pStyle w:val="FootnoteText"/>
      </w:pPr>
      <w:r w:rsidRPr="003C11D3">
        <w:rPr>
          <w:rStyle w:val="FootnoteReference"/>
        </w:rPr>
        <w:footnoteRef/>
      </w:r>
      <w:r w:rsidRPr="003C11D3">
        <w:t xml:space="preserve"> </w:t>
      </w:r>
      <w:r w:rsidR="00745142" w:rsidRPr="003C11D3">
        <w:t>D</w:t>
      </w:r>
      <w:r w:rsidRPr="003C11D3">
        <w:rPr>
          <w:rFonts w:ascii="Calibri" w:hAnsi="Calibri" w:cs="Calibri"/>
        </w:rPr>
        <w:t>ating for proverbs is highly divisive and examining arguments for its date of origins is not within the scope of this work.</w:t>
      </w:r>
    </w:p>
  </w:footnote>
  <w:footnote w:id="6">
    <w:p w14:paraId="616D77F2" w14:textId="0E4C4DBB" w:rsidR="0091762C" w:rsidRPr="003C11D3" w:rsidRDefault="0091762C" w:rsidP="003C11D3">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Pr="003C11D3">
        <w:rPr>
          <w:rFonts w:ascii="Calibri" w:hAnsi="Calibri" w:cs="Calibri"/>
          <w:sz w:val="20"/>
          <w:szCs w:val="20"/>
        </w:rPr>
        <w:t xml:space="preserve"> </w:t>
      </w:r>
      <w:r w:rsidR="003C11D3" w:rsidRPr="00AE78D5">
        <w:rPr>
          <w:rFonts w:ascii="Calibri" w:eastAsia="Times New Roman" w:hAnsi="Calibri" w:cs="Calibri"/>
          <w:kern w:val="0"/>
          <w:sz w:val="20"/>
          <w:szCs w:val="20"/>
          <w:lang w:eastAsia="en-GB" w:bidi="he-IL"/>
          <w14:ligatures w14:val="none"/>
        </w:rPr>
        <w:t xml:space="preserve">S.E Gillingham, ‘Postexilic Poetic Traditions in the Writings’, in </w:t>
      </w:r>
      <w:r w:rsidR="003C11D3" w:rsidRPr="00AE78D5">
        <w:rPr>
          <w:rFonts w:ascii="Calibri" w:eastAsia="Times New Roman" w:hAnsi="Calibri" w:cs="Calibri"/>
          <w:i/>
          <w:iCs/>
          <w:kern w:val="0"/>
          <w:sz w:val="20"/>
          <w:szCs w:val="20"/>
          <w:lang w:eastAsia="en-GB" w:bidi="he-IL"/>
          <w14:ligatures w14:val="none"/>
        </w:rPr>
        <w:t>The Oxford Handbook of the Writings of the Hebrew Bible</w:t>
      </w:r>
      <w:r w:rsidR="003C11D3" w:rsidRPr="00AE78D5">
        <w:rPr>
          <w:rFonts w:ascii="Calibri" w:eastAsia="Times New Roman" w:hAnsi="Calibri" w:cs="Calibri"/>
          <w:kern w:val="0"/>
          <w:sz w:val="20"/>
          <w:szCs w:val="20"/>
          <w:lang w:eastAsia="en-GB" w:bidi="he-IL"/>
          <w14:ligatures w14:val="none"/>
        </w:rPr>
        <w:t xml:space="preserve"> (Oxford Academic, 2015), p</w:t>
      </w:r>
      <w:r w:rsidR="003C11D3" w:rsidRPr="003C11D3">
        <w:rPr>
          <w:rFonts w:ascii="Calibri" w:eastAsia="Times New Roman" w:hAnsi="Calibri" w:cs="Calibri"/>
          <w:kern w:val="0"/>
          <w:sz w:val="20"/>
          <w:szCs w:val="20"/>
          <w:lang w:eastAsia="en-GB" w:bidi="he-IL"/>
          <w14:ligatures w14:val="none"/>
        </w:rPr>
        <w:t>. 143.</w:t>
      </w:r>
    </w:p>
  </w:footnote>
  <w:footnote w:id="7">
    <w:p w14:paraId="3FA30211" w14:textId="77777777" w:rsidR="0091762C" w:rsidRPr="00835C2F" w:rsidRDefault="0091762C" w:rsidP="0091762C">
      <w:pPr>
        <w:rPr>
          <w:rFonts w:ascii="Calibri" w:hAnsi="Calibri" w:cs="Calibri"/>
          <w:sz w:val="20"/>
          <w:szCs w:val="20"/>
        </w:rPr>
      </w:pPr>
      <w:r w:rsidRPr="00130AA0">
        <w:rPr>
          <w:rStyle w:val="FootnoteReference"/>
          <w:rFonts w:ascii="Calibri" w:hAnsi="Calibri" w:cs="Calibri"/>
        </w:rPr>
        <w:footnoteRef/>
      </w:r>
      <w:r w:rsidRPr="00130AA0">
        <w:rPr>
          <w:rFonts w:ascii="Calibri" w:hAnsi="Calibri" w:cs="Calibri"/>
        </w:rPr>
        <w:t xml:space="preserve"> </w:t>
      </w:r>
      <w:r w:rsidRPr="00835C2F">
        <w:rPr>
          <w:rFonts w:ascii="Calibri" w:hAnsi="Calibri" w:cs="Calibri"/>
          <w:sz w:val="20"/>
          <w:szCs w:val="20"/>
        </w:rPr>
        <w:t>R.E Murphy, ‘Wisdom – Theses and Hypotheses’ in J.G. Gammie et al. ‘Israelite Wisdom: Theological and Literary Essays in Honour of Samuel Terriern’, (Missoula, 1978), pp. 35-42.</w:t>
      </w:r>
    </w:p>
  </w:footnote>
  <w:footnote w:id="8">
    <w:p w14:paraId="082B9504" w14:textId="17A245CD" w:rsidR="0091762C" w:rsidRPr="00835C2F" w:rsidRDefault="0091762C" w:rsidP="00835C2F">
      <w:pPr>
        <w:spacing w:after="0" w:line="240" w:lineRule="auto"/>
        <w:rPr>
          <w:rFonts w:ascii="Calibri" w:eastAsia="Times New Roman" w:hAnsi="Calibri" w:cs="Calibri"/>
          <w:kern w:val="0"/>
          <w:sz w:val="20"/>
          <w:szCs w:val="20"/>
          <w:lang w:eastAsia="en-GB" w:bidi="he-IL"/>
          <w14:ligatures w14:val="none"/>
        </w:rPr>
      </w:pPr>
      <w:r w:rsidRPr="00835C2F">
        <w:rPr>
          <w:rStyle w:val="FootnoteReference"/>
          <w:rFonts w:ascii="Calibri" w:hAnsi="Calibri" w:cs="Calibri"/>
          <w:sz w:val="20"/>
          <w:szCs w:val="20"/>
        </w:rPr>
        <w:footnoteRef/>
      </w:r>
      <w:r w:rsidRPr="00835C2F">
        <w:rPr>
          <w:rFonts w:ascii="Calibri" w:hAnsi="Calibri" w:cs="Calibri"/>
          <w:sz w:val="20"/>
          <w:szCs w:val="20"/>
        </w:rPr>
        <w:t xml:space="preserve"> </w:t>
      </w:r>
      <w:r w:rsidRPr="00835C2F">
        <w:rPr>
          <w:rFonts w:ascii="Calibri" w:eastAsia="Times New Roman" w:hAnsi="Calibri" w:cs="Calibri"/>
          <w:kern w:val="0"/>
          <w:sz w:val="20"/>
          <w:szCs w:val="20"/>
          <w:lang w:eastAsia="en-GB" w:bidi="he-IL"/>
          <w14:ligatures w14:val="none"/>
        </w:rPr>
        <w:t xml:space="preserve">John S Kloppenborg, ‘Isis and Sophia in the Book of Wisdom’, </w:t>
      </w:r>
      <w:r w:rsidRPr="00835C2F">
        <w:rPr>
          <w:rFonts w:ascii="Calibri" w:eastAsia="Times New Roman" w:hAnsi="Calibri" w:cs="Calibri"/>
          <w:i/>
          <w:iCs/>
          <w:kern w:val="0"/>
          <w:sz w:val="20"/>
          <w:szCs w:val="20"/>
          <w:lang w:eastAsia="en-GB" w:bidi="he-IL"/>
          <w14:ligatures w14:val="none"/>
        </w:rPr>
        <w:t>Harvard Theological Review</w:t>
      </w:r>
      <w:r w:rsidRPr="00835C2F">
        <w:rPr>
          <w:rFonts w:ascii="Calibri" w:eastAsia="Times New Roman" w:hAnsi="Calibri" w:cs="Calibri"/>
          <w:kern w:val="0"/>
          <w:sz w:val="20"/>
          <w:szCs w:val="20"/>
          <w:lang w:eastAsia="en-GB" w:bidi="he-IL"/>
          <w14:ligatures w14:val="none"/>
        </w:rPr>
        <w:t xml:space="preserve">, 75.1 (1982), </w:t>
      </w:r>
      <w:r w:rsidR="0033040C" w:rsidRPr="00835C2F">
        <w:rPr>
          <w:rFonts w:ascii="Calibri" w:eastAsia="Times New Roman" w:hAnsi="Calibri" w:cs="Calibri"/>
          <w:kern w:val="0"/>
          <w:sz w:val="20"/>
          <w:szCs w:val="20"/>
          <w:lang w:eastAsia="en-GB" w:bidi="he-IL"/>
          <w14:ligatures w14:val="none"/>
        </w:rPr>
        <w:t xml:space="preserve">pp. </w:t>
      </w:r>
      <w:r w:rsidRPr="00835C2F">
        <w:rPr>
          <w:rFonts w:ascii="Calibri" w:eastAsia="Times New Roman" w:hAnsi="Calibri" w:cs="Calibri"/>
          <w:kern w:val="0"/>
          <w:sz w:val="20"/>
          <w:szCs w:val="20"/>
          <w:lang w:eastAsia="en-GB" w:bidi="he-IL"/>
          <w14:ligatures w14:val="none"/>
        </w:rPr>
        <w:t>57–84</w:t>
      </w:r>
      <w:r w:rsidR="0033040C" w:rsidRPr="00835C2F">
        <w:rPr>
          <w:rFonts w:ascii="Calibri" w:eastAsia="Times New Roman" w:hAnsi="Calibri" w:cs="Calibri"/>
          <w:kern w:val="0"/>
          <w:sz w:val="20"/>
          <w:szCs w:val="20"/>
          <w:lang w:eastAsia="en-GB" w:bidi="he-IL"/>
          <w14:ligatures w14:val="none"/>
        </w:rPr>
        <w:t xml:space="preserve">. </w:t>
      </w:r>
    </w:p>
  </w:footnote>
  <w:footnote w:id="9">
    <w:p w14:paraId="0B005F65" w14:textId="77777777" w:rsidR="0091762C" w:rsidRPr="00130AA0" w:rsidRDefault="0091762C" w:rsidP="0091762C">
      <w:pPr>
        <w:spacing w:after="0" w:line="240" w:lineRule="auto"/>
        <w:rPr>
          <w:rFonts w:ascii="Calibri" w:eastAsia="Times New Roman" w:hAnsi="Calibri" w:cs="Calibri"/>
          <w:kern w:val="0"/>
          <w:lang w:eastAsia="en-GB" w:bidi="he-IL"/>
          <w14:ligatures w14:val="none"/>
        </w:rPr>
      </w:pPr>
      <w:r w:rsidRPr="00835C2F">
        <w:rPr>
          <w:rStyle w:val="FootnoteReference"/>
          <w:rFonts w:ascii="Calibri" w:hAnsi="Calibri" w:cs="Calibri"/>
          <w:sz w:val="20"/>
          <w:szCs w:val="20"/>
        </w:rPr>
        <w:footnoteRef/>
      </w:r>
      <w:r w:rsidRPr="00835C2F">
        <w:rPr>
          <w:rFonts w:ascii="Calibri" w:hAnsi="Calibri" w:cs="Calibri"/>
          <w:sz w:val="20"/>
          <w:szCs w:val="20"/>
        </w:rPr>
        <w:t xml:space="preserve"> </w:t>
      </w:r>
      <w:r w:rsidRPr="00835C2F">
        <w:rPr>
          <w:rFonts w:ascii="Calibri" w:eastAsia="Times New Roman" w:hAnsi="Calibri" w:cs="Calibri"/>
          <w:kern w:val="0"/>
          <w:sz w:val="20"/>
          <w:szCs w:val="20"/>
          <w:lang w:eastAsia="en-GB" w:bidi="he-IL"/>
          <w14:ligatures w14:val="none"/>
        </w:rPr>
        <w:t xml:space="preserve">Michael D. Coogan, ‘The Goddess Wisdom - “Where Can She Be Found?”: Literary Reflexes of Popular Religion’, in </w:t>
      </w:r>
      <w:r w:rsidRPr="00835C2F">
        <w:rPr>
          <w:rFonts w:ascii="Calibri" w:eastAsia="Times New Roman" w:hAnsi="Calibri" w:cs="Calibri"/>
          <w:i/>
          <w:iCs/>
          <w:kern w:val="0"/>
          <w:sz w:val="20"/>
          <w:szCs w:val="20"/>
          <w:lang w:eastAsia="en-GB" w:bidi="he-IL"/>
          <w14:ligatures w14:val="none"/>
        </w:rPr>
        <w:t>Ki Baruch Hu: Ancient near Eastern, Biblical, and Judaic Studies in Honor of Baruch A. Levine</w:t>
      </w:r>
      <w:r w:rsidRPr="00835C2F">
        <w:rPr>
          <w:rFonts w:ascii="Calibri" w:eastAsia="Times New Roman" w:hAnsi="Calibri" w:cs="Calibri"/>
          <w:kern w:val="0"/>
          <w:sz w:val="20"/>
          <w:szCs w:val="20"/>
          <w:lang w:eastAsia="en-GB" w:bidi="he-IL"/>
          <w14:ligatures w14:val="none"/>
        </w:rPr>
        <w:t xml:space="preserve"> (Penn State Press, 1999), pp. 203–9.</w:t>
      </w:r>
    </w:p>
  </w:footnote>
  <w:footnote w:id="10">
    <w:p w14:paraId="28586E39" w14:textId="01EF384D" w:rsidR="0091762C" w:rsidRPr="00835C2F" w:rsidRDefault="0091762C" w:rsidP="00835C2F">
      <w:pPr>
        <w:spacing w:after="0" w:line="240" w:lineRule="auto"/>
        <w:rPr>
          <w:rFonts w:ascii="Calibri" w:eastAsia="Times New Roman" w:hAnsi="Calibri" w:cs="Calibri"/>
          <w:kern w:val="0"/>
          <w:sz w:val="24"/>
          <w:szCs w:val="24"/>
          <w:lang w:eastAsia="en-GB" w:bidi="he-IL"/>
          <w14:ligatures w14:val="none"/>
        </w:rPr>
      </w:pPr>
      <w:r w:rsidRPr="00130AA0">
        <w:rPr>
          <w:rStyle w:val="FootnoteReference"/>
          <w:rFonts w:ascii="Calibri" w:hAnsi="Calibri" w:cs="Calibri"/>
        </w:rPr>
        <w:footnoteRef/>
      </w:r>
      <w:r w:rsidRPr="00130AA0">
        <w:rPr>
          <w:rFonts w:ascii="Calibri" w:hAnsi="Calibri" w:cs="Calibri"/>
        </w:rPr>
        <w:t xml:space="preserve"> </w:t>
      </w:r>
      <w:r w:rsidR="00835C2F" w:rsidRPr="007071A8">
        <w:rPr>
          <w:rFonts w:ascii="Calibri" w:eastAsia="Times New Roman" w:hAnsi="Calibri" w:cs="Calibri"/>
          <w:kern w:val="0"/>
          <w:sz w:val="20"/>
          <w:szCs w:val="20"/>
          <w:lang w:eastAsia="en-GB" w:bidi="he-IL"/>
          <w14:ligatures w14:val="none"/>
        </w:rPr>
        <w:t xml:space="preserve">Bernhard Lang, </w:t>
      </w:r>
      <w:r w:rsidR="00835C2F" w:rsidRPr="007071A8">
        <w:rPr>
          <w:rFonts w:ascii="Calibri" w:eastAsia="Times New Roman" w:hAnsi="Calibri" w:cs="Calibri"/>
          <w:i/>
          <w:iCs/>
          <w:kern w:val="0"/>
          <w:sz w:val="20"/>
          <w:szCs w:val="20"/>
          <w:lang w:eastAsia="en-GB" w:bidi="he-IL"/>
          <w14:ligatures w14:val="none"/>
        </w:rPr>
        <w:t>Wisdom and the Book of Proverbs</w:t>
      </w:r>
      <w:r w:rsidR="00835C2F" w:rsidRPr="007071A8">
        <w:rPr>
          <w:rFonts w:ascii="Calibri" w:eastAsia="Times New Roman" w:hAnsi="Calibri" w:cs="Calibri"/>
          <w:kern w:val="0"/>
          <w:sz w:val="20"/>
          <w:szCs w:val="20"/>
          <w:lang w:eastAsia="en-GB" w:bidi="he-IL"/>
          <w14:ligatures w14:val="none"/>
        </w:rPr>
        <w:t xml:space="preserve"> (Pilgrim Press, 1986)</w:t>
      </w:r>
      <w:r w:rsidR="00835C2F">
        <w:rPr>
          <w:rFonts w:ascii="Calibri" w:eastAsia="Times New Roman" w:hAnsi="Calibri" w:cs="Calibri"/>
          <w:kern w:val="0"/>
          <w:sz w:val="20"/>
          <w:szCs w:val="20"/>
          <w:lang w:eastAsia="en-GB" w:bidi="he-IL"/>
          <w14:ligatures w14:val="none"/>
        </w:rPr>
        <w:t>.</w:t>
      </w:r>
    </w:p>
  </w:footnote>
  <w:footnote w:id="11">
    <w:p w14:paraId="638953F3" w14:textId="514F94EC" w:rsidR="0091762C" w:rsidRPr="001C5DE4" w:rsidRDefault="0091762C" w:rsidP="001C5DE4">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1C5DE4" w:rsidRPr="00066706">
        <w:rPr>
          <w:rFonts w:ascii="Calibri" w:eastAsia="Times New Roman" w:hAnsi="Calibri" w:cs="Calibri"/>
          <w:kern w:val="0"/>
          <w:sz w:val="20"/>
          <w:szCs w:val="20"/>
          <w:lang w:eastAsia="en-GB" w:bidi="he-IL"/>
          <w14:ligatures w14:val="none"/>
        </w:rPr>
        <w:t xml:space="preserve">Richard N Soulen and R Kendall Soulen, </w:t>
      </w:r>
      <w:r w:rsidR="001C5DE4" w:rsidRPr="00066706">
        <w:rPr>
          <w:rFonts w:ascii="Calibri" w:eastAsia="Times New Roman" w:hAnsi="Calibri" w:cs="Calibri"/>
          <w:i/>
          <w:iCs/>
          <w:kern w:val="0"/>
          <w:sz w:val="20"/>
          <w:szCs w:val="20"/>
          <w:lang w:eastAsia="en-GB" w:bidi="he-IL"/>
          <w14:ligatures w14:val="none"/>
        </w:rPr>
        <w:t>Handbook of Biblical Criticism</w:t>
      </w:r>
      <w:r w:rsidR="001C5DE4" w:rsidRPr="00066706">
        <w:rPr>
          <w:rFonts w:ascii="Calibri" w:eastAsia="Times New Roman" w:hAnsi="Calibri" w:cs="Calibri"/>
          <w:kern w:val="0"/>
          <w:sz w:val="20"/>
          <w:szCs w:val="20"/>
          <w:lang w:eastAsia="en-GB" w:bidi="he-IL"/>
          <w14:ligatures w14:val="none"/>
        </w:rPr>
        <w:t xml:space="preserve"> (Louisville, Ky; London: Westminster John Knox Press, 2001)</w:t>
      </w:r>
      <w:r w:rsidR="001C5DE4">
        <w:rPr>
          <w:rFonts w:ascii="Calibri" w:eastAsia="Times New Roman" w:hAnsi="Calibri" w:cs="Calibri"/>
          <w:kern w:val="0"/>
          <w:sz w:val="20"/>
          <w:szCs w:val="20"/>
          <w:lang w:eastAsia="en-GB" w:bidi="he-IL"/>
          <w14:ligatures w14:val="none"/>
        </w:rPr>
        <w:t xml:space="preserve">, p. 59. </w:t>
      </w:r>
    </w:p>
  </w:footnote>
  <w:footnote w:id="12">
    <w:p w14:paraId="266689EA" w14:textId="3D361267" w:rsidR="0091762C" w:rsidRPr="005A70D5" w:rsidRDefault="0091762C" w:rsidP="005A70D5">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5A70D5" w:rsidRPr="001C567A">
        <w:rPr>
          <w:rFonts w:ascii="Calibri" w:eastAsia="Times New Roman" w:hAnsi="Calibri" w:cs="Calibri"/>
          <w:kern w:val="0"/>
          <w:sz w:val="20"/>
          <w:szCs w:val="20"/>
          <w:lang w:eastAsia="en-GB" w:bidi="he-IL"/>
          <w14:ligatures w14:val="none"/>
        </w:rPr>
        <w:t xml:space="preserve">Bridget Gilfillan Upton, ‘Feminist Theology as Biblical Hermeneutics’, in </w:t>
      </w:r>
      <w:r w:rsidR="005A70D5" w:rsidRPr="001C567A">
        <w:rPr>
          <w:rFonts w:ascii="Calibri" w:eastAsia="Times New Roman" w:hAnsi="Calibri" w:cs="Calibri"/>
          <w:i/>
          <w:iCs/>
          <w:kern w:val="0"/>
          <w:sz w:val="20"/>
          <w:szCs w:val="20"/>
          <w:lang w:eastAsia="en-GB" w:bidi="he-IL"/>
          <w14:ligatures w14:val="none"/>
        </w:rPr>
        <w:t>The Cambridge Companion to Feminist Theology</w:t>
      </w:r>
      <w:r w:rsidR="005A70D5" w:rsidRPr="001C567A">
        <w:rPr>
          <w:rFonts w:ascii="Calibri" w:eastAsia="Times New Roman" w:hAnsi="Calibri" w:cs="Calibri"/>
          <w:kern w:val="0"/>
          <w:sz w:val="20"/>
          <w:szCs w:val="20"/>
          <w:lang w:eastAsia="en-GB" w:bidi="he-IL"/>
          <w14:ligatures w14:val="none"/>
        </w:rPr>
        <w:t xml:space="preserve"> (Cambridge: Cambridge University Press, 2002), p</w:t>
      </w:r>
      <w:r w:rsidR="005A70D5">
        <w:rPr>
          <w:rFonts w:ascii="Calibri" w:eastAsia="Times New Roman" w:hAnsi="Calibri" w:cs="Calibri"/>
          <w:kern w:val="0"/>
          <w:sz w:val="20"/>
          <w:szCs w:val="20"/>
          <w:lang w:eastAsia="en-GB" w:bidi="he-IL"/>
          <w14:ligatures w14:val="none"/>
        </w:rPr>
        <w:t>. 101.</w:t>
      </w:r>
    </w:p>
  </w:footnote>
  <w:footnote w:id="13">
    <w:p w14:paraId="2FEB22F2" w14:textId="2087520F" w:rsidR="00EC1889" w:rsidRPr="001A0ABC" w:rsidRDefault="00EC1889" w:rsidP="001A0ABC">
      <w:pPr>
        <w:rPr>
          <w:rFonts w:ascii="Times New Roman" w:eastAsia="Times New Roman" w:hAnsi="Times New Roman" w:cs="Times New Roman"/>
          <w:kern w:val="0"/>
          <w:sz w:val="24"/>
          <w:szCs w:val="24"/>
          <w:lang w:eastAsia="en-GB" w:bidi="he-IL"/>
          <w14:ligatures w14:val="none"/>
        </w:rPr>
      </w:pPr>
      <w:r w:rsidRPr="00A81CBE">
        <w:rPr>
          <w:rStyle w:val="FootnoteReference"/>
          <w:rFonts w:ascii="Calibri" w:hAnsi="Calibri" w:cs="Calibri"/>
        </w:rPr>
        <w:footnoteRef/>
      </w:r>
      <w:r w:rsidRPr="00A81CBE">
        <w:rPr>
          <w:rFonts w:ascii="Calibri" w:hAnsi="Calibri" w:cs="Calibri"/>
        </w:rPr>
        <w:t xml:space="preserve"> </w:t>
      </w:r>
      <w:r w:rsidR="001A0ABC" w:rsidRPr="001A0ABC">
        <w:rPr>
          <w:rFonts w:ascii="Calibri" w:eastAsia="Times New Roman" w:hAnsi="Calibri" w:cs="Calibri"/>
          <w:kern w:val="0"/>
          <w:sz w:val="20"/>
          <w:szCs w:val="20"/>
          <w:lang w:eastAsia="en-GB" w:bidi="he-IL"/>
          <w14:ligatures w14:val="none"/>
        </w:rPr>
        <w:t xml:space="preserve">Joseph Blenkinsopp, ‘The Household in Ancient Judaism and Early Judaism’, in </w:t>
      </w:r>
      <w:r w:rsidR="001A0ABC" w:rsidRPr="001A0ABC">
        <w:rPr>
          <w:rFonts w:ascii="Calibri" w:eastAsia="Times New Roman" w:hAnsi="Calibri" w:cs="Calibri"/>
          <w:i/>
          <w:iCs/>
          <w:kern w:val="0"/>
          <w:sz w:val="20"/>
          <w:szCs w:val="20"/>
          <w:lang w:eastAsia="en-GB" w:bidi="he-IL"/>
          <w14:ligatures w14:val="none"/>
        </w:rPr>
        <w:t>The Blackwell Companion to the Hebrew Bible</w:t>
      </w:r>
      <w:r w:rsidR="001A0ABC" w:rsidRPr="001A0ABC">
        <w:rPr>
          <w:rFonts w:ascii="Calibri" w:eastAsia="Times New Roman" w:hAnsi="Calibri" w:cs="Calibri"/>
          <w:kern w:val="0"/>
          <w:sz w:val="20"/>
          <w:szCs w:val="20"/>
          <w:lang w:eastAsia="en-GB" w:bidi="he-IL"/>
          <w14:ligatures w14:val="none"/>
        </w:rPr>
        <w:t xml:space="preserve"> (Blackwell Publishing Ltd., 2001),</w:t>
      </w:r>
      <w:r w:rsidRPr="001A0ABC">
        <w:rPr>
          <w:rFonts w:ascii="Calibri" w:hAnsi="Calibri" w:cs="Calibri"/>
          <w:sz w:val="20"/>
          <w:szCs w:val="20"/>
        </w:rPr>
        <w:t xml:space="preserve"> p. 176.</w:t>
      </w:r>
    </w:p>
  </w:footnote>
  <w:footnote w:id="14">
    <w:p w14:paraId="6AA879EC" w14:textId="3F034814" w:rsidR="00EC1889" w:rsidRPr="000D2B39" w:rsidRDefault="00EC1889" w:rsidP="000D2B39">
      <w:pPr>
        <w:rPr>
          <w:rFonts w:ascii="Times New Roman" w:eastAsia="Times New Roman" w:hAnsi="Times New Roman" w:cs="Times New Roman"/>
          <w:kern w:val="0"/>
          <w:sz w:val="24"/>
          <w:szCs w:val="24"/>
          <w:lang w:eastAsia="en-GB" w:bidi="he-IL"/>
          <w14:ligatures w14:val="none"/>
        </w:rPr>
      </w:pPr>
      <w:r w:rsidRPr="00A81CBE">
        <w:rPr>
          <w:rStyle w:val="FootnoteReference"/>
          <w:rFonts w:ascii="Calibri" w:hAnsi="Calibri" w:cs="Calibri"/>
        </w:rPr>
        <w:footnoteRef/>
      </w:r>
      <w:r w:rsidRPr="00A81CBE">
        <w:rPr>
          <w:rFonts w:ascii="Calibri" w:hAnsi="Calibri" w:cs="Calibri"/>
        </w:rPr>
        <w:t xml:space="preserve"> </w:t>
      </w:r>
      <w:r w:rsidR="000D2B39" w:rsidRPr="000D2B39">
        <w:rPr>
          <w:rFonts w:ascii="Calibri" w:eastAsia="Times New Roman" w:hAnsi="Calibri" w:cs="Calibri"/>
          <w:kern w:val="0"/>
          <w:sz w:val="20"/>
          <w:szCs w:val="20"/>
          <w:lang w:eastAsia="en-GB" w:bidi="he-IL"/>
          <w14:ligatures w14:val="none"/>
        </w:rPr>
        <w:t xml:space="preserve">Christine Roy Yoder, ‘The Woman of Substance: A Socioeconomic Reading of Proverbs 31:10-31’, </w:t>
      </w:r>
      <w:r w:rsidR="000D2B39" w:rsidRPr="000D2B39">
        <w:rPr>
          <w:rFonts w:ascii="Calibri" w:eastAsia="Times New Roman" w:hAnsi="Calibri" w:cs="Calibri"/>
          <w:i/>
          <w:iCs/>
          <w:kern w:val="0"/>
          <w:sz w:val="20"/>
          <w:szCs w:val="20"/>
          <w:lang w:eastAsia="en-GB" w:bidi="he-IL"/>
          <w14:ligatures w14:val="none"/>
        </w:rPr>
        <w:t>Journal of Biblical Literature</w:t>
      </w:r>
      <w:r w:rsidR="000D2B39" w:rsidRPr="000D2B39">
        <w:rPr>
          <w:rFonts w:ascii="Calibri" w:eastAsia="Times New Roman" w:hAnsi="Calibri" w:cs="Calibri"/>
          <w:kern w:val="0"/>
          <w:sz w:val="20"/>
          <w:szCs w:val="20"/>
          <w:lang w:eastAsia="en-GB" w:bidi="he-IL"/>
          <w14:ligatures w14:val="none"/>
        </w:rPr>
        <w:t xml:space="preserve">, 122.3 (2003), </w:t>
      </w:r>
      <w:r w:rsidR="000D2B39">
        <w:rPr>
          <w:rFonts w:ascii="Calibri" w:eastAsia="Times New Roman" w:hAnsi="Calibri" w:cs="Calibri"/>
          <w:kern w:val="0"/>
          <w:sz w:val="20"/>
          <w:szCs w:val="20"/>
          <w:lang w:eastAsia="en-GB" w:bidi="he-IL"/>
          <w14:ligatures w14:val="none"/>
        </w:rPr>
        <w:t>p. 433.</w:t>
      </w:r>
    </w:p>
  </w:footnote>
  <w:footnote w:id="15">
    <w:p w14:paraId="5C5A5509" w14:textId="4C532379"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Pr="00A81CBE">
        <w:rPr>
          <w:rFonts w:ascii="Calibri" w:hAnsi="Calibri" w:cs="Calibri"/>
        </w:rPr>
        <w:t xml:space="preserve"> </w:t>
      </w:r>
      <w:r w:rsidR="0087054C">
        <w:rPr>
          <w:rFonts w:ascii="Calibri" w:hAnsi="Calibri" w:cs="Calibri"/>
        </w:rPr>
        <w:t>Ibid.</w:t>
      </w:r>
      <w:r w:rsidRPr="00A81CBE">
        <w:rPr>
          <w:rFonts w:ascii="Calibri" w:hAnsi="Calibri" w:cs="Calibri"/>
        </w:rPr>
        <w:t xml:space="preserve">, </w:t>
      </w:r>
      <w:r w:rsidR="00B64B91">
        <w:rPr>
          <w:rFonts w:ascii="Calibri" w:hAnsi="Calibri" w:cs="Calibri"/>
        </w:rPr>
        <w:t xml:space="preserve">p. </w:t>
      </w:r>
      <w:r w:rsidRPr="00A81CBE">
        <w:rPr>
          <w:rFonts w:ascii="Calibri" w:hAnsi="Calibri" w:cs="Calibri"/>
        </w:rPr>
        <w:t xml:space="preserve">434. </w:t>
      </w:r>
    </w:p>
  </w:footnote>
  <w:footnote w:id="16">
    <w:p w14:paraId="107D0F3E" w14:textId="4139A588"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00736FED">
        <w:rPr>
          <w:rFonts w:ascii="Calibri" w:hAnsi="Calibri" w:cs="Calibri"/>
        </w:rPr>
        <w:t xml:space="preserve"> Ibid.</w:t>
      </w:r>
      <w:r w:rsidRPr="00A81CBE">
        <w:rPr>
          <w:rFonts w:ascii="Calibri" w:hAnsi="Calibri" w:cs="Calibri"/>
        </w:rPr>
        <w:t xml:space="preserve">, </w:t>
      </w:r>
      <w:r w:rsidR="00B64B91">
        <w:rPr>
          <w:rFonts w:ascii="Calibri" w:hAnsi="Calibri" w:cs="Calibri"/>
        </w:rPr>
        <w:t>p. 434.</w:t>
      </w:r>
    </w:p>
  </w:footnote>
  <w:footnote w:id="17">
    <w:p w14:paraId="28BE7040" w14:textId="66E2EA94"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00736FED">
        <w:rPr>
          <w:rFonts w:ascii="Calibri" w:hAnsi="Calibri" w:cs="Calibri"/>
        </w:rPr>
        <w:t xml:space="preserve"> Ibid.</w:t>
      </w:r>
      <w:r w:rsidRPr="00A81CBE">
        <w:rPr>
          <w:rFonts w:ascii="Calibri" w:hAnsi="Calibri" w:cs="Calibri"/>
        </w:rPr>
        <w:t xml:space="preserve">, </w:t>
      </w:r>
      <w:r w:rsidR="00B64B91">
        <w:rPr>
          <w:rFonts w:ascii="Calibri" w:hAnsi="Calibri" w:cs="Calibri"/>
        </w:rPr>
        <w:t>p. 433.</w:t>
      </w:r>
    </w:p>
  </w:footnote>
  <w:footnote w:id="18">
    <w:p w14:paraId="2CE51FF7" w14:textId="69BCB61F" w:rsidR="00EC1889" w:rsidRPr="00476E3C" w:rsidRDefault="00EC1889" w:rsidP="00476E3C">
      <w:pPr>
        <w:spacing w:after="0" w:line="240" w:lineRule="auto"/>
        <w:rPr>
          <w:rFonts w:ascii="Calibri" w:eastAsia="Times New Roman" w:hAnsi="Calibri" w:cs="Calibri"/>
          <w:kern w:val="0"/>
          <w:sz w:val="20"/>
          <w:szCs w:val="20"/>
          <w:lang w:eastAsia="en-GB" w:bidi="he-IL"/>
          <w14:ligatures w14:val="none"/>
        </w:rPr>
      </w:pPr>
      <w:r w:rsidRPr="00A81CBE">
        <w:rPr>
          <w:rStyle w:val="FootnoteReference"/>
          <w:rFonts w:ascii="Calibri" w:hAnsi="Calibri" w:cs="Calibri"/>
        </w:rPr>
        <w:footnoteRef/>
      </w:r>
      <w:r w:rsidR="00736FED">
        <w:rPr>
          <w:rFonts w:ascii="Calibri" w:hAnsi="Calibri" w:cs="Calibri"/>
        </w:rPr>
        <w:t xml:space="preserve"> </w:t>
      </w:r>
      <w:r w:rsidR="00476E3C" w:rsidRPr="0031169F">
        <w:rPr>
          <w:rFonts w:ascii="Calibri" w:eastAsia="Times New Roman" w:hAnsi="Calibri" w:cs="Calibri"/>
          <w:kern w:val="0"/>
          <w:sz w:val="20"/>
          <w:szCs w:val="20"/>
          <w:lang w:eastAsia="en-GB" w:bidi="he-IL"/>
          <w14:ligatures w14:val="none"/>
        </w:rPr>
        <w:t>Yoder,</w:t>
      </w:r>
      <w:r w:rsidRPr="00A81CBE">
        <w:rPr>
          <w:rFonts w:ascii="Calibri" w:hAnsi="Calibri" w:cs="Calibri"/>
        </w:rPr>
        <w:t xml:space="preserve"> </w:t>
      </w:r>
      <w:r w:rsidR="00B64B91">
        <w:rPr>
          <w:rFonts w:ascii="Calibri" w:hAnsi="Calibri" w:cs="Calibri"/>
        </w:rPr>
        <w:t>p. 433.</w:t>
      </w:r>
    </w:p>
  </w:footnote>
  <w:footnote w:id="19">
    <w:p w14:paraId="66D8B66B" w14:textId="11FCC3CE" w:rsidR="00C36035" w:rsidRPr="009A5183" w:rsidRDefault="00C36035" w:rsidP="009A5183">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A5183" w:rsidRPr="006B6D3D">
        <w:rPr>
          <w:rFonts w:ascii="Calibri" w:eastAsia="Times New Roman" w:hAnsi="Calibri" w:cs="Calibri"/>
          <w:kern w:val="0"/>
          <w:sz w:val="20"/>
          <w:szCs w:val="20"/>
          <w:lang w:eastAsia="en-GB" w:bidi="he-IL"/>
          <w14:ligatures w14:val="none"/>
        </w:rPr>
        <w:t xml:space="preserve">Tova Forti, ‘Female Imagery in Wisdom Literature’, in </w:t>
      </w:r>
      <w:r w:rsidR="009A5183" w:rsidRPr="006B6D3D">
        <w:rPr>
          <w:rFonts w:ascii="Calibri" w:eastAsia="Times New Roman" w:hAnsi="Calibri" w:cs="Calibri"/>
          <w:i/>
          <w:iCs/>
          <w:kern w:val="0"/>
          <w:sz w:val="20"/>
          <w:szCs w:val="20"/>
          <w:lang w:eastAsia="en-GB" w:bidi="he-IL"/>
          <w14:ligatures w14:val="none"/>
        </w:rPr>
        <w:t>The Wiley Blackwell Companion to Wisdom Literature</w:t>
      </w:r>
      <w:r w:rsidR="009A5183" w:rsidRPr="006B6D3D">
        <w:rPr>
          <w:rFonts w:ascii="Calibri" w:eastAsia="Times New Roman" w:hAnsi="Calibri" w:cs="Calibri"/>
          <w:kern w:val="0"/>
          <w:sz w:val="20"/>
          <w:szCs w:val="20"/>
          <w:lang w:eastAsia="en-GB" w:bidi="he-IL"/>
          <w14:ligatures w14:val="none"/>
        </w:rPr>
        <w:t xml:space="preserve"> (John Wiley and Sons, 2020), p</w:t>
      </w:r>
      <w:r w:rsidR="009A5183" w:rsidRPr="0031169F">
        <w:rPr>
          <w:rFonts w:ascii="Calibri" w:eastAsia="Times New Roman" w:hAnsi="Calibri" w:cs="Calibri"/>
          <w:kern w:val="0"/>
          <w:sz w:val="20"/>
          <w:szCs w:val="20"/>
          <w:lang w:eastAsia="en-GB" w:bidi="he-IL"/>
          <w14:ligatures w14:val="none"/>
        </w:rPr>
        <w:t>.</w:t>
      </w:r>
      <w:r w:rsidR="009A5183">
        <w:rPr>
          <w:rFonts w:ascii="Calibri" w:eastAsia="Times New Roman" w:hAnsi="Calibri" w:cs="Calibri"/>
          <w:kern w:val="0"/>
          <w:sz w:val="20"/>
          <w:szCs w:val="20"/>
          <w:lang w:eastAsia="en-GB" w:bidi="he-IL"/>
          <w14:ligatures w14:val="none"/>
        </w:rPr>
        <w:t xml:space="preserve"> 185.</w:t>
      </w:r>
    </w:p>
  </w:footnote>
  <w:footnote w:id="20">
    <w:p w14:paraId="6D0822F7" w14:textId="08425A55"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Pr="00A81CBE">
        <w:rPr>
          <w:rFonts w:ascii="Calibri" w:hAnsi="Calibri" w:cs="Calibri"/>
        </w:rPr>
        <w:t xml:space="preserve"> Blenkinsopp, p. 176.</w:t>
      </w:r>
    </w:p>
  </w:footnote>
  <w:footnote w:id="21">
    <w:p w14:paraId="6C324E92" w14:textId="541CA400" w:rsidR="00EC1889" w:rsidRPr="008A77A3" w:rsidRDefault="00EC1889" w:rsidP="008A77A3">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8A77A3" w:rsidRPr="008A77A3">
        <w:rPr>
          <w:rFonts w:ascii="Calibri" w:eastAsia="Times New Roman" w:hAnsi="Calibri" w:cs="Calibri"/>
          <w:kern w:val="0"/>
          <w:sz w:val="20"/>
          <w:szCs w:val="20"/>
          <w:lang w:eastAsia="en-GB" w:bidi="he-IL"/>
          <w14:ligatures w14:val="none"/>
        </w:rPr>
        <w:t xml:space="preserve">Carol Meyers, ‘In the Household and Beyond: The Social World of Israelite Women’, </w:t>
      </w:r>
      <w:r w:rsidR="008A77A3" w:rsidRPr="008A77A3">
        <w:rPr>
          <w:rFonts w:ascii="Calibri" w:eastAsia="Times New Roman" w:hAnsi="Calibri" w:cs="Calibri"/>
          <w:i/>
          <w:iCs/>
          <w:kern w:val="0"/>
          <w:sz w:val="20"/>
          <w:szCs w:val="20"/>
          <w:lang w:eastAsia="en-GB" w:bidi="he-IL"/>
          <w14:ligatures w14:val="none"/>
        </w:rPr>
        <w:t>Studia Theologica</w:t>
      </w:r>
      <w:r w:rsidR="008A77A3" w:rsidRPr="008A77A3">
        <w:rPr>
          <w:rFonts w:ascii="Calibri" w:eastAsia="Times New Roman" w:hAnsi="Calibri" w:cs="Calibri"/>
          <w:kern w:val="0"/>
          <w:sz w:val="20"/>
          <w:szCs w:val="20"/>
          <w:lang w:eastAsia="en-GB" w:bidi="he-IL"/>
          <w14:ligatures w14:val="none"/>
        </w:rPr>
        <w:t xml:space="preserve">, 63.1 (2009), </w:t>
      </w:r>
      <w:r w:rsidRPr="008A77A3">
        <w:rPr>
          <w:sz w:val="18"/>
          <w:szCs w:val="18"/>
        </w:rPr>
        <w:t xml:space="preserve">p. 23. </w:t>
      </w:r>
    </w:p>
  </w:footnote>
  <w:footnote w:id="22">
    <w:p w14:paraId="60FD2628" w14:textId="187F31C8" w:rsidR="00EC1889" w:rsidRPr="008A77A3" w:rsidRDefault="00EC1889" w:rsidP="008A77A3">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8A77A3" w:rsidRPr="008A77A3">
        <w:rPr>
          <w:rFonts w:ascii="Calibri" w:eastAsia="Times New Roman" w:hAnsi="Calibri" w:cs="Calibri"/>
          <w:kern w:val="0"/>
          <w:sz w:val="20"/>
          <w:szCs w:val="20"/>
          <w:lang w:eastAsia="en-GB" w:bidi="he-IL"/>
          <w14:ligatures w14:val="none"/>
        </w:rPr>
        <w:t xml:space="preserve">Tina J. Ostrander, ‘Lady Wisdom: The Personification of God’s Wisdom as a Woman’, </w:t>
      </w:r>
      <w:r w:rsidR="008A77A3" w:rsidRPr="008A77A3">
        <w:rPr>
          <w:rFonts w:ascii="Calibri" w:eastAsia="Times New Roman" w:hAnsi="Calibri" w:cs="Calibri"/>
          <w:i/>
          <w:iCs/>
          <w:kern w:val="0"/>
          <w:sz w:val="20"/>
          <w:szCs w:val="20"/>
          <w:lang w:eastAsia="en-GB" w:bidi="he-IL"/>
          <w14:ligatures w14:val="none"/>
        </w:rPr>
        <w:t>Priscilla Papers</w:t>
      </w:r>
      <w:r w:rsidR="008A77A3" w:rsidRPr="008A77A3">
        <w:rPr>
          <w:rFonts w:ascii="Calibri" w:eastAsia="Times New Roman" w:hAnsi="Calibri" w:cs="Calibri"/>
          <w:kern w:val="0"/>
          <w:sz w:val="20"/>
          <w:szCs w:val="20"/>
          <w:lang w:eastAsia="en-GB" w:bidi="he-IL"/>
          <w14:ligatures w14:val="none"/>
        </w:rPr>
        <w:t xml:space="preserve">, 10.2 (1996), </w:t>
      </w:r>
      <w:r w:rsidRPr="008A77A3">
        <w:rPr>
          <w:sz w:val="18"/>
          <w:szCs w:val="18"/>
        </w:rPr>
        <w:t xml:space="preserve">p. 7. </w:t>
      </w:r>
    </w:p>
  </w:footnote>
  <w:footnote w:id="23">
    <w:p w14:paraId="6AADB4C1" w14:textId="7892B128" w:rsidR="00EC1889" w:rsidRPr="00BF7452" w:rsidRDefault="00EC1889" w:rsidP="00BF7452">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BF7452" w:rsidRPr="00BF7452">
        <w:rPr>
          <w:rFonts w:ascii="Calibri" w:eastAsia="Times New Roman" w:hAnsi="Calibri" w:cs="Calibri"/>
          <w:kern w:val="0"/>
          <w:sz w:val="20"/>
          <w:szCs w:val="20"/>
          <w:lang w:eastAsia="en-GB" w:bidi="he-IL"/>
          <w14:ligatures w14:val="none"/>
        </w:rPr>
        <w:t xml:space="preserve">Claudia V Camp, </w:t>
      </w:r>
      <w:r w:rsidR="00BF7452" w:rsidRPr="00BF7452">
        <w:rPr>
          <w:rFonts w:ascii="Calibri" w:eastAsia="Times New Roman" w:hAnsi="Calibri" w:cs="Calibri"/>
          <w:i/>
          <w:iCs/>
          <w:kern w:val="0"/>
          <w:sz w:val="20"/>
          <w:szCs w:val="20"/>
          <w:lang w:eastAsia="en-GB" w:bidi="he-IL"/>
          <w14:ligatures w14:val="none"/>
        </w:rPr>
        <w:t>Wisdom and the Feminine in the Book of Proverbs</w:t>
      </w:r>
      <w:r w:rsidR="00BF7452" w:rsidRPr="00BF7452">
        <w:rPr>
          <w:rFonts w:ascii="Calibri" w:eastAsia="Times New Roman" w:hAnsi="Calibri" w:cs="Calibri"/>
          <w:kern w:val="0"/>
          <w:sz w:val="20"/>
          <w:szCs w:val="20"/>
          <w:lang w:eastAsia="en-GB" w:bidi="he-IL"/>
          <w14:ligatures w14:val="none"/>
        </w:rPr>
        <w:t xml:space="preserve"> (Decatur, Ga: Almond Press, 1985), p. 95.</w:t>
      </w:r>
    </w:p>
  </w:footnote>
  <w:footnote w:id="24">
    <w:p w14:paraId="24FC435B" w14:textId="4623BF11" w:rsidR="00EC1889" w:rsidRPr="00BF7452" w:rsidRDefault="00EC1889" w:rsidP="00EC1889">
      <w:pPr>
        <w:pStyle w:val="FootnoteText"/>
        <w:rPr>
          <w:rFonts w:ascii="Calibri" w:hAnsi="Calibri" w:cs="Calibri"/>
        </w:rPr>
      </w:pPr>
      <w:r>
        <w:rPr>
          <w:rStyle w:val="FootnoteReference"/>
        </w:rPr>
        <w:footnoteRef/>
      </w:r>
      <w:r>
        <w:t xml:space="preserve"> </w:t>
      </w:r>
      <w:r w:rsidR="00951807">
        <w:rPr>
          <w:rFonts w:ascii="Calibri" w:hAnsi="Calibri" w:cs="Calibri"/>
        </w:rPr>
        <w:t>Ibid., p. 94.</w:t>
      </w:r>
    </w:p>
  </w:footnote>
  <w:footnote w:id="25">
    <w:p w14:paraId="1BD7BA77" w14:textId="4CD0D04C" w:rsidR="008461D0" w:rsidRPr="003F3D3D" w:rsidRDefault="008461D0" w:rsidP="003F3D3D">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Pr="00E275A1">
        <w:rPr>
          <w:rFonts w:ascii="Calibri" w:eastAsia="Times New Roman" w:hAnsi="Calibri" w:cs="Calibri"/>
          <w:kern w:val="0"/>
          <w:sz w:val="20"/>
          <w:szCs w:val="20"/>
          <w:lang w:eastAsia="en-GB" w:bidi="he-IL"/>
          <w14:ligatures w14:val="none"/>
        </w:rPr>
        <w:t xml:space="preserve">Ilan Ṭal, </w:t>
      </w:r>
      <w:r w:rsidRPr="00E275A1">
        <w:rPr>
          <w:rFonts w:ascii="Calibri" w:eastAsia="Times New Roman" w:hAnsi="Calibri" w:cs="Calibri"/>
          <w:i/>
          <w:iCs/>
          <w:kern w:val="0"/>
          <w:sz w:val="20"/>
          <w:szCs w:val="20"/>
          <w:lang w:eastAsia="en-GB" w:bidi="he-IL"/>
          <w14:ligatures w14:val="none"/>
        </w:rPr>
        <w:t>Jewish Women in Greco-Roman Palestine</w:t>
      </w:r>
      <w:r w:rsidRPr="00E275A1">
        <w:rPr>
          <w:rFonts w:ascii="Calibri" w:eastAsia="Times New Roman" w:hAnsi="Calibri" w:cs="Calibri"/>
          <w:kern w:val="0"/>
          <w:sz w:val="20"/>
          <w:szCs w:val="20"/>
          <w:lang w:eastAsia="en-GB" w:bidi="he-IL"/>
          <w14:ligatures w14:val="none"/>
        </w:rPr>
        <w:t xml:space="preserve"> (Peabody, Mass.: Hendrickson Publishers, 1996), p. 58. </w:t>
      </w:r>
    </w:p>
  </w:footnote>
  <w:footnote w:id="26">
    <w:p w14:paraId="4C478EED" w14:textId="58FACB4B" w:rsidR="00145FD7" w:rsidRPr="00E275A1" w:rsidRDefault="00145FD7" w:rsidP="00E275A1">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E275A1" w:rsidRPr="009964A7">
        <w:rPr>
          <w:rFonts w:ascii="Calibri" w:eastAsia="Times New Roman" w:hAnsi="Calibri" w:cs="Calibri"/>
          <w:kern w:val="0"/>
          <w:sz w:val="20"/>
          <w:szCs w:val="20"/>
          <w:lang w:eastAsia="en-GB" w:bidi="he-IL"/>
          <w14:ligatures w14:val="none"/>
        </w:rPr>
        <w:t>Meyers, ‘In the Household and Beyond: The Social World of Israelite Women’</w:t>
      </w:r>
      <w:r w:rsidR="00E275A1" w:rsidRPr="0031169F">
        <w:rPr>
          <w:rFonts w:ascii="Calibri" w:eastAsia="Times New Roman" w:hAnsi="Calibri" w:cs="Calibri"/>
          <w:kern w:val="0"/>
          <w:sz w:val="20"/>
          <w:szCs w:val="20"/>
          <w:lang w:eastAsia="en-GB" w:bidi="he-IL"/>
          <w14:ligatures w14:val="none"/>
        </w:rPr>
        <w:t xml:space="preserve">, p. </w:t>
      </w:r>
      <w:r w:rsidR="00E275A1">
        <w:rPr>
          <w:rFonts w:ascii="Calibri" w:eastAsia="Times New Roman" w:hAnsi="Calibri" w:cs="Calibri"/>
          <w:kern w:val="0"/>
          <w:sz w:val="20"/>
          <w:szCs w:val="20"/>
          <w:lang w:eastAsia="en-GB" w:bidi="he-IL"/>
          <w14:ligatures w14:val="none"/>
        </w:rPr>
        <w:t>22.</w:t>
      </w:r>
    </w:p>
  </w:footnote>
  <w:footnote w:id="27">
    <w:p w14:paraId="1F9A0033" w14:textId="44DF4045" w:rsidR="00531F3C" w:rsidRPr="00E275A1" w:rsidRDefault="00531F3C">
      <w:pPr>
        <w:pStyle w:val="FootnoteText"/>
        <w:rPr>
          <w:rFonts w:ascii="Calibri" w:hAnsi="Calibri" w:cs="Calibri"/>
        </w:rPr>
      </w:pPr>
      <w:r>
        <w:rPr>
          <w:rStyle w:val="FootnoteReference"/>
        </w:rPr>
        <w:footnoteRef/>
      </w:r>
      <w:r>
        <w:t xml:space="preserve"> </w:t>
      </w:r>
      <w:r w:rsidRPr="00E275A1">
        <w:rPr>
          <w:rFonts w:ascii="Calibri" w:hAnsi="Calibri" w:cs="Calibri"/>
        </w:rPr>
        <w:t>Yoder, p. 446.</w:t>
      </w:r>
    </w:p>
  </w:footnote>
  <w:footnote w:id="28">
    <w:p w14:paraId="78C9157A" w14:textId="48859854" w:rsidR="00090D3F" w:rsidRDefault="00090D3F">
      <w:pPr>
        <w:pStyle w:val="FootnoteText"/>
      </w:pPr>
      <w:r w:rsidRPr="00E275A1">
        <w:rPr>
          <w:rStyle w:val="FootnoteReference"/>
          <w:rFonts w:ascii="Calibri" w:hAnsi="Calibri" w:cs="Calibri"/>
        </w:rPr>
        <w:footnoteRef/>
      </w:r>
      <w:r w:rsidRPr="00E275A1">
        <w:rPr>
          <w:rFonts w:ascii="Calibri" w:hAnsi="Calibri" w:cs="Calibri"/>
        </w:rPr>
        <w:t xml:space="preserve"> Yoder, p. 446.</w:t>
      </w:r>
    </w:p>
  </w:footnote>
  <w:footnote w:id="29">
    <w:p w14:paraId="20E09555" w14:textId="5C02ED06" w:rsidR="00EC1889" w:rsidRDefault="00EC1889" w:rsidP="00EC1889">
      <w:pPr>
        <w:pStyle w:val="FootnoteText"/>
      </w:pPr>
      <w:r>
        <w:rPr>
          <w:rStyle w:val="FootnoteReference"/>
        </w:rPr>
        <w:footnoteRef/>
      </w:r>
      <w:r>
        <w:t xml:space="preserve"> </w:t>
      </w:r>
      <w:r w:rsidR="00E275A1">
        <w:rPr>
          <w:rFonts w:ascii="Calibri" w:hAnsi="Calibri" w:cs="Calibri"/>
        </w:rPr>
        <w:t xml:space="preserve">Yoder, </w:t>
      </w:r>
      <w:r w:rsidR="00BF7452" w:rsidRPr="00BF7452">
        <w:rPr>
          <w:rFonts w:ascii="Calibri" w:hAnsi="Calibri" w:cs="Calibri"/>
        </w:rPr>
        <w:t>p. 44</w:t>
      </w:r>
      <w:r w:rsidR="00BF7452">
        <w:rPr>
          <w:rFonts w:ascii="Calibri" w:hAnsi="Calibri" w:cs="Calibri"/>
        </w:rPr>
        <w:t>7.</w:t>
      </w:r>
    </w:p>
  </w:footnote>
  <w:footnote w:id="30">
    <w:p w14:paraId="62CD952D" w14:textId="77777777"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Ostrander, p. 6.</w:t>
      </w:r>
    </w:p>
  </w:footnote>
  <w:footnote w:id="31">
    <w:p w14:paraId="1FB9936E" w14:textId="43027A57" w:rsidR="0014341A" w:rsidRPr="0014341A" w:rsidRDefault="0014341A">
      <w:pPr>
        <w:pStyle w:val="FootnoteText"/>
      </w:pPr>
      <w:r>
        <w:rPr>
          <w:rStyle w:val="FootnoteReference"/>
        </w:rPr>
        <w:footnoteRef/>
      </w:r>
      <w:r>
        <w:t xml:space="preserve"> </w:t>
      </w:r>
      <w:r w:rsidRPr="00E275A1">
        <w:rPr>
          <w:rFonts w:ascii="Calibri" w:hAnsi="Calibri" w:cs="Calibri"/>
        </w:rPr>
        <w:t xml:space="preserve">Camp, </w:t>
      </w:r>
      <w:r w:rsidRPr="00E275A1">
        <w:rPr>
          <w:rFonts w:ascii="Calibri" w:hAnsi="Calibri" w:cs="Calibri"/>
          <w:i/>
          <w:iCs/>
        </w:rPr>
        <w:t xml:space="preserve">Wisdom and the Feminine in the Book of Proverbs, </w:t>
      </w:r>
      <w:r w:rsidRPr="00E275A1">
        <w:rPr>
          <w:rFonts w:ascii="Calibri" w:hAnsi="Calibri" w:cs="Calibri"/>
        </w:rPr>
        <w:t>p. 85.</w:t>
      </w:r>
      <w:r>
        <w:t xml:space="preserve"> </w:t>
      </w:r>
    </w:p>
  </w:footnote>
  <w:footnote w:id="32">
    <w:p w14:paraId="03E0BB24" w14:textId="434A2616"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E275A1">
        <w:rPr>
          <w:rFonts w:ascii="Calibri" w:hAnsi="Calibri" w:cs="Calibri"/>
        </w:rPr>
        <w:t xml:space="preserve">Ibid., </w:t>
      </w:r>
      <w:r w:rsidRPr="0080426A">
        <w:rPr>
          <w:rFonts w:ascii="Calibri" w:hAnsi="Calibri" w:cs="Calibri"/>
        </w:rPr>
        <w:t xml:space="preserve">p. 137. </w:t>
      </w:r>
    </w:p>
  </w:footnote>
  <w:footnote w:id="33">
    <w:p w14:paraId="5F77F4BF" w14:textId="14F42A8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00BF7452">
        <w:rPr>
          <w:rFonts w:ascii="Calibri" w:hAnsi="Calibri" w:cs="Calibri"/>
        </w:rPr>
        <w:t xml:space="preserve"> Ibid.</w:t>
      </w:r>
      <w:r w:rsidR="00BF7452" w:rsidRPr="0080426A">
        <w:rPr>
          <w:rFonts w:ascii="Calibri" w:hAnsi="Calibri" w:cs="Calibri"/>
        </w:rPr>
        <w:t>, p. 13</w:t>
      </w:r>
      <w:r w:rsidR="00BF7452">
        <w:rPr>
          <w:rFonts w:ascii="Calibri" w:hAnsi="Calibri" w:cs="Calibri"/>
        </w:rPr>
        <w:t>8.</w:t>
      </w:r>
      <w:r w:rsidRPr="0080426A">
        <w:rPr>
          <w:rFonts w:ascii="Calibri" w:hAnsi="Calibri" w:cs="Calibri"/>
        </w:rPr>
        <w:t xml:space="preserve"> </w:t>
      </w:r>
    </w:p>
  </w:footnote>
  <w:footnote w:id="34">
    <w:p w14:paraId="17F524B9" w14:textId="7BF84BCE" w:rsidR="00EC1889" w:rsidRDefault="00EC1889" w:rsidP="00EC1889">
      <w:pPr>
        <w:pStyle w:val="FootnoteText"/>
      </w:pPr>
      <w:r w:rsidRPr="0080426A">
        <w:rPr>
          <w:rStyle w:val="FootnoteReference"/>
          <w:rFonts w:ascii="Calibri" w:hAnsi="Calibri" w:cs="Calibri"/>
        </w:rPr>
        <w:footnoteRef/>
      </w:r>
      <w:r w:rsidR="00BF7452">
        <w:rPr>
          <w:rFonts w:ascii="Calibri" w:hAnsi="Calibri" w:cs="Calibri"/>
        </w:rPr>
        <w:t xml:space="preserve"> </w:t>
      </w:r>
      <w:r w:rsidR="00181C02" w:rsidRPr="00E275A1">
        <w:rPr>
          <w:rFonts w:ascii="Calibri" w:hAnsi="Calibri" w:cs="Calibri"/>
        </w:rPr>
        <w:t xml:space="preserve">Camp, </w:t>
      </w:r>
      <w:r w:rsidR="00181C02" w:rsidRPr="00E275A1">
        <w:rPr>
          <w:rFonts w:ascii="Calibri" w:hAnsi="Calibri" w:cs="Calibri"/>
          <w:i/>
          <w:iCs/>
        </w:rPr>
        <w:t xml:space="preserve">Wisdom and the Feminine in the Book of Proverbs, </w:t>
      </w:r>
      <w:r w:rsidR="00181C02" w:rsidRPr="00E275A1">
        <w:rPr>
          <w:rFonts w:ascii="Calibri" w:hAnsi="Calibri" w:cs="Calibri"/>
        </w:rPr>
        <w:t xml:space="preserve">p. </w:t>
      </w:r>
      <w:r w:rsidR="00181C02">
        <w:rPr>
          <w:rFonts w:ascii="Calibri" w:hAnsi="Calibri" w:cs="Calibri"/>
        </w:rPr>
        <w:t xml:space="preserve">138. </w:t>
      </w:r>
    </w:p>
  </w:footnote>
  <w:footnote w:id="35">
    <w:p w14:paraId="328E7ED0" w14:textId="1B947257" w:rsidR="00EC1889" w:rsidRPr="00730A85" w:rsidRDefault="00EC1889" w:rsidP="00730A85">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730A85" w:rsidRPr="00730A85">
        <w:rPr>
          <w:rFonts w:ascii="Calibri" w:eastAsia="Times New Roman" w:hAnsi="Calibri" w:cs="Calibri"/>
          <w:kern w:val="0"/>
          <w:sz w:val="20"/>
          <w:szCs w:val="20"/>
          <w:lang w:eastAsia="en-GB" w:bidi="he-IL"/>
          <w14:ligatures w14:val="none"/>
        </w:rPr>
        <w:t>Judith E Mc</w:t>
      </w:r>
      <w:r w:rsidR="00730A85">
        <w:rPr>
          <w:rFonts w:ascii="Calibri" w:eastAsia="Times New Roman" w:hAnsi="Calibri" w:cs="Calibri"/>
          <w:kern w:val="0"/>
          <w:sz w:val="20"/>
          <w:szCs w:val="20"/>
          <w:lang w:eastAsia="en-GB" w:bidi="he-IL"/>
          <w14:ligatures w14:val="none"/>
        </w:rPr>
        <w:t>K</w:t>
      </w:r>
      <w:r w:rsidR="00730A85" w:rsidRPr="00730A85">
        <w:rPr>
          <w:rFonts w:ascii="Calibri" w:eastAsia="Times New Roman" w:hAnsi="Calibri" w:cs="Calibri"/>
          <w:kern w:val="0"/>
          <w:sz w:val="20"/>
          <w:szCs w:val="20"/>
          <w:lang w:eastAsia="en-GB" w:bidi="he-IL"/>
          <w14:ligatures w14:val="none"/>
        </w:rPr>
        <w:t xml:space="preserve">inlay, </w:t>
      </w:r>
      <w:r w:rsidR="00730A85" w:rsidRPr="00730A85">
        <w:rPr>
          <w:rFonts w:ascii="Calibri" w:eastAsia="Times New Roman" w:hAnsi="Calibri" w:cs="Calibri"/>
          <w:i/>
          <w:iCs/>
          <w:kern w:val="0"/>
          <w:sz w:val="20"/>
          <w:szCs w:val="20"/>
          <w:lang w:eastAsia="en-GB" w:bidi="he-IL"/>
          <w14:ligatures w14:val="none"/>
        </w:rPr>
        <w:t>Gendering Wisdom the Host: Biblical Invitations to Eat and Drink.</w:t>
      </w:r>
      <w:r w:rsidR="00730A85" w:rsidRPr="00730A85">
        <w:rPr>
          <w:rFonts w:ascii="Calibri" w:eastAsia="Times New Roman" w:hAnsi="Calibri" w:cs="Calibri"/>
          <w:kern w:val="0"/>
          <w:sz w:val="20"/>
          <w:szCs w:val="20"/>
          <w:lang w:eastAsia="en-GB" w:bidi="he-IL"/>
          <w14:ligatures w14:val="none"/>
        </w:rPr>
        <w:t xml:space="preserve"> (Sheffield: Sheffield Academic Press, 1996).</w:t>
      </w:r>
    </w:p>
  </w:footnote>
  <w:footnote w:id="36">
    <w:p w14:paraId="1FA3AE7B" w14:textId="6E3E96A2" w:rsidR="00EC1889" w:rsidRPr="00EA5024" w:rsidRDefault="00EC1889" w:rsidP="00EA5024">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EA5024" w:rsidRPr="00EA5024">
        <w:rPr>
          <w:rFonts w:ascii="Calibri" w:eastAsia="Times New Roman" w:hAnsi="Calibri" w:cs="Calibri"/>
          <w:kern w:val="0"/>
          <w:sz w:val="20"/>
          <w:szCs w:val="20"/>
          <w:lang w:eastAsia="en-GB" w:bidi="he-IL"/>
          <w14:ligatures w14:val="none"/>
        </w:rPr>
        <w:t xml:space="preserve">Douglas Estes, </w:t>
      </w:r>
      <w:r w:rsidR="00EA5024" w:rsidRPr="00EA5024">
        <w:rPr>
          <w:rFonts w:ascii="Calibri" w:eastAsia="Times New Roman" w:hAnsi="Calibri" w:cs="Calibri"/>
          <w:i/>
          <w:iCs/>
          <w:kern w:val="0"/>
          <w:sz w:val="20"/>
          <w:szCs w:val="20"/>
          <w:lang w:eastAsia="en-GB" w:bidi="he-IL"/>
          <w14:ligatures w14:val="none"/>
        </w:rPr>
        <w:t>The Tree of Life</w:t>
      </w:r>
      <w:r w:rsidR="00EA5024" w:rsidRPr="00EA5024">
        <w:rPr>
          <w:rFonts w:ascii="Calibri" w:eastAsia="Times New Roman" w:hAnsi="Calibri" w:cs="Calibri"/>
          <w:kern w:val="0"/>
          <w:sz w:val="20"/>
          <w:szCs w:val="20"/>
          <w:lang w:eastAsia="en-GB" w:bidi="he-IL"/>
          <w14:ligatures w14:val="none"/>
        </w:rPr>
        <w:t xml:space="preserve"> (Leiden; Boston: Brill, 2020), p. 1.</w:t>
      </w:r>
    </w:p>
  </w:footnote>
  <w:footnote w:id="37">
    <w:p w14:paraId="65697202" w14:textId="08475CC0" w:rsidR="00EC1889" w:rsidRPr="00E3514C" w:rsidRDefault="00EC1889" w:rsidP="00E3514C">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E3514C" w:rsidRPr="00E3514C">
        <w:rPr>
          <w:rFonts w:ascii="Calibri" w:eastAsia="Times New Roman" w:hAnsi="Calibri" w:cs="Calibri"/>
          <w:kern w:val="0"/>
          <w:sz w:val="20"/>
          <w:szCs w:val="20"/>
          <w:lang w:eastAsia="en-GB" w:bidi="he-IL"/>
          <w14:ligatures w14:val="none"/>
        </w:rPr>
        <w:t xml:space="preserve">William McKane, </w:t>
      </w:r>
      <w:r w:rsidR="00E3514C" w:rsidRPr="00E3514C">
        <w:rPr>
          <w:rFonts w:ascii="Calibri" w:eastAsia="Times New Roman" w:hAnsi="Calibri" w:cs="Calibri"/>
          <w:i/>
          <w:iCs/>
          <w:kern w:val="0"/>
          <w:sz w:val="20"/>
          <w:szCs w:val="20"/>
          <w:lang w:eastAsia="en-GB" w:bidi="he-IL"/>
          <w14:ligatures w14:val="none"/>
        </w:rPr>
        <w:t>Proverbs: A New Approach</w:t>
      </w:r>
      <w:r w:rsidR="00E3514C" w:rsidRPr="00E3514C">
        <w:rPr>
          <w:rFonts w:ascii="Calibri" w:eastAsia="Times New Roman" w:hAnsi="Calibri" w:cs="Calibri"/>
          <w:kern w:val="0"/>
          <w:sz w:val="20"/>
          <w:szCs w:val="20"/>
          <w:lang w:eastAsia="en-GB" w:bidi="he-IL"/>
          <w14:ligatures w14:val="none"/>
        </w:rPr>
        <w:t xml:space="preserve"> (SCM Press, 1980), p. 318-319.</w:t>
      </w:r>
    </w:p>
  </w:footnote>
  <w:footnote w:id="38">
    <w:p w14:paraId="1947A1F4" w14:textId="074652B7" w:rsidR="00EC1889" w:rsidRPr="00A71D1F" w:rsidRDefault="00EC1889" w:rsidP="00A71D1F">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A71D1F" w:rsidRPr="00A71D1F">
        <w:rPr>
          <w:rFonts w:ascii="Calibri" w:eastAsia="Times New Roman" w:hAnsi="Calibri" w:cs="Calibri"/>
          <w:kern w:val="0"/>
          <w:sz w:val="20"/>
          <w:szCs w:val="20"/>
          <w:lang w:eastAsia="en-GB" w:bidi="he-IL"/>
          <w14:ligatures w14:val="none"/>
        </w:rPr>
        <w:t xml:space="preserve">Kathryn Imray, ‘Love Is (Strong As) Death: Reading the Song of Songs through Proverbs 1-9’, </w:t>
      </w:r>
      <w:r w:rsidR="00A71D1F" w:rsidRPr="00A71D1F">
        <w:rPr>
          <w:rFonts w:ascii="Calibri" w:eastAsia="Times New Roman" w:hAnsi="Calibri" w:cs="Calibri"/>
          <w:i/>
          <w:iCs/>
          <w:kern w:val="0"/>
          <w:sz w:val="20"/>
          <w:szCs w:val="20"/>
          <w:lang w:eastAsia="en-GB" w:bidi="he-IL"/>
          <w14:ligatures w14:val="none"/>
        </w:rPr>
        <w:t>The Catholic Biblical Quarterly</w:t>
      </w:r>
      <w:r w:rsidR="00A71D1F" w:rsidRPr="00A71D1F">
        <w:rPr>
          <w:rFonts w:ascii="Calibri" w:eastAsia="Times New Roman" w:hAnsi="Calibri" w:cs="Calibri"/>
          <w:kern w:val="0"/>
          <w:sz w:val="20"/>
          <w:szCs w:val="20"/>
          <w:lang w:eastAsia="en-GB" w:bidi="he-IL"/>
          <w14:ligatures w14:val="none"/>
        </w:rPr>
        <w:t xml:space="preserve">, 73.4 (2013), </w:t>
      </w:r>
      <w:r w:rsidRPr="00B21A68">
        <w:rPr>
          <w:rFonts w:ascii="Calibri" w:hAnsi="Calibri" w:cs="Calibri"/>
          <w:sz w:val="20"/>
          <w:szCs w:val="20"/>
        </w:rPr>
        <w:t xml:space="preserve">p. 661. </w:t>
      </w:r>
    </w:p>
  </w:footnote>
  <w:footnote w:id="39">
    <w:p w14:paraId="6C1CBE57" w14:textId="7661C45F" w:rsidR="00EC1889" w:rsidRPr="00180F1B" w:rsidRDefault="00EC1889" w:rsidP="00EC1889">
      <w:pPr>
        <w:pStyle w:val="FootnoteText"/>
        <w:rPr>
          <w:rFonts w:ascii="Bahnschrift" w:hAnsi="Bahnschrift"/>
        </w:rPr>
      </w:pPr>
      <w:r w:rsidRPr="0080426A">
        <w:rPr>
          <w:rStyle w:val="FootnoteReference"/>
          <w:rFonts w:ascii="Calibri" w:hAnsi="Calibri" w:cs="Calibri"/>
        </w:rPr>
        <w:footnoteRef/>
      </w:r>
      <w:r w:rsidRPr="0080426A">
        <w:rPr>
          <w:rFonts w:ascii="Calibri" w:hAnsi="Calibri" w:cs="Calibri"/>
        </w:rPr>
        <w:t xml:space="preserve"> </w:t>
      </w:r>
      <w:r w:rsidR="00A71D1F">
        <w:rPr>
          <w:rFonts w:ascii="Calibri" w:hAnsi="Calibri" w:cs="Calibri"/>
        </w:rPr>
        <w:t xml:space="preserve">Ibid., </w:t>
      </w:r>
      <w:r w:rsidRPr="0080426A">
        <w:rPr>
          <w:rFonts w:ascii="Calibri" w:hAnsi="Calibri" w:cs="Calibri"/>
        </w:rPr>
        <w:t>p. 661.</w:t>
      </w:r>
      <w:r w:rsidRPr="00180F1B">
        <w:rPr>
          <w:rFonts w:ascii="Bahnschrift" w:hAnsi="Bahnschrift"/>
        </w:rPr>
        <w:t xml:space="preserve"> </w:t>
      </w:r>
    </w:p>
  </w:footnote>
  <w:footnote w:id="40">
    <w:p w14:paraId="25BF125B" w14:textId="182CB8F5" w:rsidR="00EC1889" w:rsidRPr="000D11C0" w:rsidRDefault="00EC1889" w:rsidP="000D11C0">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D11C0" w:rsidRPr="000D11C0">
        <w:rPr>
          <w:rFonts w:ascii="Calibri" w:eastAsia="Times New Roman" w:hAnsi="Calibri" w:cs="Calibri"/>
          <w:kern w:val="0"/>
          <w:sz w:val="20"/>
          <w:szCs w:val="20"/>
          <w:lang w:eastAsia="en-GB" w:bidi="he-IL"/>
          <w14:ligatures w14:val="none"/>
        </w:rPr>
        <w:t xml:space="preserve">Silvia Schroer, ‘The One Lord and Male Dominance in the Book of Jesus Sirach: The Image of Woman and the Image of Wisdom in a Misogynist Document’, in </w:t>
      </w:r>
      <w:r w:rsidR="000D11C0" w:rsidRPr="000D11C0">
        <w:rPr>
          <w:rFonts w:ascii="Calibri" w:eastAsia="Times New Roman" w:hAnsi="Calibri" w:cs="Calibri"/>
          <w:i/>
          <w:iCs/>
          <w:kern w:val="0"/>
          <w:sz w:val="20"/>
          <w:szCs w:val="20"/>
          <w:lang w:eastAsia="en-GB" w:bidi="he-IL"/>
          <w14:ligatures w14:val="none"/>
        </w:rPr>
        <w:t>Wisdom Has Built Her House: Studies on the Figure of Sophia in the Bible</w:t>
      </w:r>
      <w:r w:rsidR="000D11C0" w:rsidRPr="000D11C0">
        <w:rPr>
          <w:rFonts w:ascii="Calibri" w:eastAsia="Times New Roman" w:hAnsi="Calibri" w:cs="Calibri"/>
          <w:kern w:val="0"/>
          <w:sz w:val="20"/>
          <w:szCs w:val="20"/>
          <w:lang w:eastAsia="en-GB" w:bidi="he-IL"/>
          <w14:ligatures w14:val="none"/>
        </w:rPr>
        <w:t xml:space="preserve"> (Minnesota: The Liturgical Press, 2000), </w:t>
      </w:r>
      <w:r w:rsidRPr="00B21A68">
        <w:rPr>
          <w:rFonts w:ascii="Calibri" w:hAnsi="Calibri" w:cs="Calibri"/>
          <w:sz w:val="20"/>
          <w:szCs w:val="20"/>
        </w:rPr>
        <w:t xml:space="preserve">p. 95. </w:t>
      </w:r>
    </w:p>
  </w:footnote>
  <w:footnote w:id="41">
    <w:p w14:paraId="2E30058D" w14:textId="4DBD9600" w:rsidR="00EC1889" w:rsidRPr="00B21A68" w:rsidRDefault="00EC1889" w:rsidP="000D11C0">
      <w:pPr>
        <w:rPr>
          <w:rFonts w:ascii="Times New Roman" w:eastAsia="Times New Roman" w:hAnsi="Times New Roman" w:cs="Times New Roman"/>
          <w:kern w:val="0"/>
          <w:sz w:val="28"/>
          <w:szCs w:val="28"/>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D11C0" w:rsidRPr="000D11C0">
        <w:rPr>
          <w:rFonts w:ascii="Calibri" w:eastAsia="Times New Roman" w:hAnsi="Calibri" w:cs="Calibri"/>
          <w:kern w:val="0"/>
          <w:sz w:val="20"/>
          <w:szCs w:val="20"/>
          <w:lang w:eastAsia="en-GB" w:bidi="he-IL"/>
          <w14:ligatures w14:val="none"/>
        </w:rPr>
        <w:t xml:space="preserve">Michael V Fox, </w:t>
      </w:r>
      <w:r w:rsidR="000D11C0" w:rsidRPr="000D11C0">
        <w:rPr>
          <w:rFonts w:ascii="Calibri" w:eastAsia="Times New Roman" w:hAnsi="Calibri" w:cs="Calibri"/>
          <w:i/>
          <w:iCs/>
          <w:kern w:val="0"/>
          <w:sz w:val="20"/>
          <w:szCs w:val="20"/>
          <w:lang w:eastAsia="en-GB" w:bidi="he-IL"/>
          <w14:ligatures w14:val="none"/>
        </w:rPr>
        <w:t>Proverbs 1-9</w:t>
      </w:r>
      <w:r w:rsidR="000D11C0" w:rsidRPr="000D11C0">
        <w:rPr>
          <w:rFonts w:ascii="Calibri" w:eastAsia="Times New Roman" w:hAnsi="Calibri" w:cs="Calibri"/>
          <w:kern w:val="0"/>
          <w:sz w:val="20"/>
          <w:szCs w:val="20"/>
          <w:lang w:eastAsia="en-GB" w:bidi="he-IL"/>
          <w14:ligatures w14:val="none"/>
        </w:rPr>
        <w:t xml:space="preserve"> (Anchor Bible, 2000), </w:t>
      </w:r>
      <w:r w:rsidRPr="00B21A68">
        <w:rPr>
          <w:rFonts w:ascii="Calibri" w:hAnsi="Calibri" w:cs="Calibri"/>
          <w:sz w:val="20"/>
          <w:szCs w:val="20"/>
        </w:rPr>
        <w:t xml:space="preserve">p. 295. </w:t>
      </w:r>
    </w:p>
  </w:footnote>
  <w:footnote w:id="42">
    <w:p w14:paraId="0351B98F" w14:textId="2C1F65BD" w:rsidR="00EC1889" w:rsidRPr="00031E16" w:rsidRDefault="00EC1889" w:rsidP="00031E16">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31E16" w:rsidRPr="00031E16">
        <w:rPr>
          <w:rFonts w:ascii="Calibri" w:eastAsia="Times New Roman" w:hAnsi="Calibri" w:cs="Calibri"/>
          <w:kern w:val="0"/>
          <w:sz w:val="20"/>
          <w:szCs w:val="20"/>
          <w:lang w:eastAsia="en-GB" w:bidi="he-IL"/>
          <w14:ligatures w14:val="none"/>
        </w:rPr>
        <w:t xml:space="preserve">Forti, </w:t>
      </w:r>
      <w:r w:rsidRPr="00B21A68">
        <w:rPr>
          <w:rFonts w:ascii="Calibri" w:hAnsi="Calibri" w:cs="Calibri"/>
          <w:sz w:val="20"/>
          <w:szCs w:val="20"/>
        </w:rPr>
        <w:t xml:space="preserve">p. 186. </w:t>
      </w:r>
    </w:p>
  </w:footnote>
  <w:footnote w:id="43">
    <w:p w14:paraId="7148536D" w14:textId="32D8C082"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031E16" w:rsidRPr="0080426A">
        <w:rPr>
          <w:rFonts w:ascii="Calibri" w:hAnsi="Calibri" w:cs="Calibri"/>
        </w:rPr>
        <w:t xml:space="preserve">Camp, </w:t>
      </w:r>
      <w:r w:rsidR="00031E16" w:rsidRPr="00BF7452">
        <w:rPr>
          <w:rFonts w:ascii="Calibri" w:hAnsi="Calibri" w:cs="Calibri"/>
          <w:i/>
          <w:iCs/>
        </w:rPr>
        <w:t>Wisdom and the Feminine in the Book of Proverbs</w:t>
      </w:r>
      <w:r w:rsidR="00031E16" w:rsidRPr="0080426A">
        <w:rPr>
          <w:rFonts w:ascii="Calibri" w:hAnsi="Calibri" w:cs="Calibri"/>
        </w:rPr>
        <w:t xml:space="preserve">, </w:t>
      </w:r>
      <w:r w:rsidRPr="0080426A">
        <w:rPr>
          <w:rFonts w:ascii="Calibri" w:hAnsi="Calibri" w:cs="Calibri"/>
        </w:rPr>
        <w:t xml:space="preserve">p. 101. </w:t>
      </w:r>
    </w:p>
  </w:footnote>
  <w:footnote w:id="44">
    <w:p w14:paraId="7EB56A71" w14:textId="25F7F5E2"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031E16">
        <w:rPr>
          <w:rFonts w:ascii="Calibri" w:hAnsi="Calibri" w:cs="Calibri"/>
        </w:rPr>
        <w:t xml:space="preserve">Ibid., </w:t>
      </w:r>
      <w:r w:rsidRPr="0080426A">
        <w:rPr>
          <w:rFonts w:ascii="Calibri" w:hAnsi="Calibri" w:cs="Calibri"/>
        </w:rPr>
        <w:t>p. 111.</w:t>
      </w:r>
    </w:p>
  </w:footnote>
  <w:footnote w:id="45">
    <w:p w14:paraId="10C16CE9" w14:textId="3213504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Schroer, </w:t>
      </w:r>
      <w:r w:rsidR="00B022DE">
        <w:rPr>
          <w:rFonts w:ascii="Calibri" w:hAnsi="Calibri" w:cs="Calibri"/>
        </w:rPr>
        <w:t>‘The One Lord and Male Dominance in the Book of Jesus Sirach</w:t>
      </w:r>
      <w:r w:rsidR="005D0C82">
        <w:rPr>
          <w:rFonts w:ascii="Calibri" w:hAnsi="Calibri" w:cs="Calibri"/>
        </w:rPr>
        <w:t xml:space="preserve">’ </w:t>
      </w:r>
      <w:r w:rsidRPr="0080426A">
        <w:rPr>
          <w:rFonts w:ascii="Calibri" w:hAnsi="Calibri" w:cs="Calibri"/>
        </w:rPr>
        <w:t xml:space="preserve">p. 94. </w:t>
      </w:r>
    </w:p>
  </w:footnote>
  <w:footnote w:id="46">
    <w:p w14:paraId="677BE3DC" w14:textId="03B9BA14" w:rsidR="00EC1889" w:rsidRPr="00180F1B" w:rsidRDefault="00EC1889" w:rsidP="00EC1889">
      <w:pPr>
        <w:pStyle w:val="FootnoteText"/>
        <w:rPr>
          <w:rFonts w:ascii="Bahnschrift" w:hAnsi="Bahnschrift"/>
        </w:rPr>
      </w:pPr>
      <w:r w:rsidRPr="0080426A">
        <w:rPr>
          <w:rStyle w:val="FootnoteReference"/>
          <w:rFonts w:ascii="Calibri" w:hAnsi="Calibri" w:cs="Calibri"/>
        </w:rPr>
        <w:footnoteRef/>
      </w:r>
      <w:r w:rsidRPr="0080426A">
        <w:rPr>
          <w:rFonts w:ascii="Calibri" w:hAnsi="Calibri" w:cs="Calibri"/>
        </w:rPr>
        <w:t xml:space="preserve"> </w:t>
      </w:r>
      <w:r w:rsidR="005D0C82">
        <w:rPr>
          <w:rFonts w:ascii="Calibri" w:hAnsi="Calibri" w:cs="Calibri"/>
        </w:rPr>
        <w:t xml:space="preserve">Ibid., </w:t>
      </w:r>
      <w:r w:rsidRPr="0080426A">
        <w:rPr>
          <w:rFonts w:ascii="Calibri" w:hAnsi="Calibri" w:cs="Calibri"/>
        </w:rPr>
        <w:t>p. 94</w:t>
      </w:r>
      <w:r w:rsidR="005D0C82">
        <w:rPr>
          <w:rFonts w:ascii="Calibri" w:hAnsi="Calibri" w:cs="Calibri"/>
        </w:rPr>
        <w:t>.</w:t>
      </w:r>
    </w:p>
  </w:footnote>
  <w:footnote w:id="47">
    <w:p w14:paraId="16E15820" w14:textId="19E270C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005D0C82">
        <w:rPr>
          <w:rFonts w:ascii="Calibri" w:hAnsi="Calibri" w:cs="Calibri"/>
        </w:rPr>
        <w:t xml:space="preserve"> </w:t>
      </w:r>
      <w:r w:rsidR="00B21A68" w:rsidRPr="0080426A">
        <w:rPr>
          <w:rFonts w:ascii="Calibri" w:hAnsi="Calibri" w:cs="Calibri"/>
        </w:rPr>
        <w:t xml:space="preserve">Schroer, </w:t>
      </w:r>
      <w:r w:rsidR="00B21A68">
        <w:rPr>
          <w:rFonts w:ascii="Calibri" w:hAnsi="Calibri" w:cs="Calibri"/>
        </w:rPr>
        <w:t xml:space="preserve">‘The One Lord and Male Dominance in the Book of Jesus Sirach’ </w:t>
      </w:r>
      <w:r w:rsidR="00B21A68" w:rsidRPr="0080426A">
        <w:rPr>
          <w:rFonts w:ascii="Calibri" w:hAnsi="Calibri" w:cs="Calibri"/>
        </w:rPr>
        <w:t>p. 9</w:t>
      </w:r>
      <w:r w:rsidR="00B21A68">
        <w:rPr>
          <w:rFonts w:ascii="Calibri" w:hAnsi="Calibri" w:cs="Calibri"/>
        </w:rPr>
        <w:t>3.</w:t>
      </w:r>
    </w:p>
  </w:footnote>
  <w:footnote w:id="48">
    <w:p w14:paraId="5DFE7800" w14:textId="362CCE13" w:rsidR="00EC1889" w:rsidRDefault="00EC1889" w:rsidP="00EC1889">
      <w:pPr>
        <w:pStyle w:val="FootnoteText"/>
      </w:pPr>
      <w:r w:rsidRPr="0080426A">
        <w:rPr>
          <w:rStyle w:val="FootnoteReference"/>
          <w:rFonts w:ascii="Calibri" w:hAnsi="Calibri" w:cs="Calibri"/>
        </w:rPr>
        <w:footnoteRef/>
      </w:r>
      <w:r w:rsidRPr="0080426A">
        <w:rPr>
          <w:rFonts w:ascii="Calibri" w:hAnsi="Calibri" w:cs="Calibri"/>
        </w:rPr>
        <w:t xml:space="preserve"> </w:t>
      </w:r>
      <w:r w:rsidR="005D0C82">
        <w:rPr>
          <w:rFonts w:ascii="Calibri" w:hAnsi="Calibri" w:cs="Calibri"/>
        </w:rPr>
        <w:t xml:space="preserve">Ibid., </w:t>
      </w:r>
      <w:r w:rsidRPr="0080426A">
        <w:rPr>
          <w:rFonts w:ascii="Calibri" w:hAnsi="Calibri" w:cs="Calibri"/>
        </w:rPr>
        <w:t>p. 93.</w:t>
      </w:r>
    </w:p>
  </w:footnote>
  <w:footnote w:id="49">
    <w:p w14:paraId="7EE728E9" w14:textId="4125F582" w:rsidR="00A72BA5" w:rsidRPr="008A78A6" w:rsidRDefault="00A72BA5" w:rsidP="008A78A6">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8A78A6" w:rsidRPr="008A78A6">
        <w:rPr>
          <w:rFonts w:ascii="Calibri" w:eastAsia="Times New Roman" w:hAnsi="Calibri" w:cs="Calibri"/>
          <w:kern w:val="0"/>
          <w:sz w:val="20"/>
          <w:szCs w:val="20"/>
          <w:lang w:eastAsia="en-GB" w:bidi="he-IL"/>
          <w14:ligatures w14:val="none"/>
        </w:rPr>
        <w:t xml:space="preserve">Gale A. Yee, ‘“I Have Perfumed My Bed with Myrrh”: The Foreign Woman ('Išša Zārâ) in Proverbs 1-9’, </w:t>
      </w:r>
      <w:r w:rsidR="008A78A6" w:rsidRPr="008A78A6">
        <w:rPr>
          <w:rFonts w:ascii="Calibri" w:eastAsia="Times New Roman" w:hAnsi="Calibri" w:cs="Calibri"/>
          <w:i/>
          <w:iCs/>
          <w:kern w:val="0"/>
          <w:sz w:val="20"/>
          <w:szCs w:val="20"/>
          <w:lang w:eastAsia="en-GB" w:bidi="he-IL"/>
          <w14:ligatures w14:val="none"/>
        </w:rPr>
        <w:t>Journal for the Study of the Old Testament</w:t>
      </w:r>
      <w:r w:rsidR="008A78A6" w:rsidRPr="008A78A6">
        <w:rPr>
          <w:rFonts w:ascii="Calibri" w:eastAsia="Times New Roman" w:hAnsi="Calibri" w:cs="Calibri"/>
          <w:kern w:val="0"/>
          <w:sz w:val="20"/>
          <w:szCs w:val="20"/>
          <w:lang w:eastAsia="en-GB" w:bidi="he-IL"/>
          <w14:ligatures w14:val="none"/>
        </w:rPr>
        <w:t xml:space="preserve">, 13.43 (1989), </w:t>
      </w:r>
      <w:r w:rsidRPr="008A78A6">
        <w:rPr>
          <w:rFonts w:ascii="Calibri" w:hAnsi="Calibri" w:cs="Calibri"/>
          <w:sz w:val="18"/>
          <w:szCs w:val="18"/>
        </w:rPr>
        <w:t xml:space="preserve">p. 53. </w:t>
      </w:r>
    </w:p>
  </w:footnote>
  <w:footnote w:id="50">
    <w:p w14:paraId="05196CB5" w14:textId="53EDA08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976E4D">
        <w:rPr>
          <w:rFonts w:ascii="Calibri" w:hAnsi="Calibri" w:cs="Calibri"/>
        </w:rPr>
        <w:t xml:space="preserve">Ibid., </w:t>
      </w:r>
      <w:r w:rsidRPr="00934400">
        <w:rPr>
          <w:rFonts w:ascii="Calibri" w:hAnsi="Calibri" w:cs="Calibri"/>
        </w:rPr>
        <w:t xml:space="preserve">p. 54. </w:t>
      </w:r>
    </w:p>
  </w:footnote>
  <w:footnote w:id="51">
    <w:p w14:paraId="3B6C0B2F" w14:textId="65DB71A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Forti, p. 181.</w:t>
      </w:r>
    </w:p>
  </w:footnote>
  <w:footnote w:id="52">
    <w:p w14:paraId="3AF5E317" w14:textId="4D1397CF" w:rsidR="00A72BA5" w:rsidRPr="003A1443" w:rsidRDefault="00A72BA5" w:rsidP="003A1443">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3A1443" w:rsidRPr="003A1443">
        <w:rPr>
          <w:rFonts w:ascii="Calibri" w:eastAsia="Times New Roman" w:hAnsi="Calibri" w:cs="Calibri"/>
          <w:kern w:val="0"/>
          <w:sz w:val="20"/>
          <w:szCs w:val="20"/>
          <w:lang w:eastAsia="en-GB" w:bidi="he-IL"/>
          <w14:ligatures w14:val="none"/>
        </w:rPr>
        <w:t xml:space="preserve">R N Whybray, </w:t>
      </w:r>
      <w:r w:rsidR="003A1443" w:rsidRPr="003A1443">
        <w:rPr>
          <w:rFonts w:ascii="Calibri" w:eastAsia="Times New Roman" w:hAnsi="Calibri" w:cs="Calibri"/>
          <w:i/>
          <w:iCs/>
          <w:kern w:val="0"/>
          <w:sz w:val="20"/>
          <w:szCs w:val="20"/>
          <w:lang w:eastAsia="en-GB" w:bidi="he-IL"/>
          <w14:ligatures w14:val="none"/>
        </w:rPr>
        <w:t>The Book of Proverbs : A Survey of Modern Study</w:t>
      </w:r>
      <w:r w:rsidR="003A1443" w:rsidRPr="003A1443">
        <w:rPr>
          <w:rFonts w:ascii="Calibri" w:eastAsia="Times New Roman" w:hAnsi="Calibri" w:cs="Calibri"/>
          <w:kern w:val="0"/>
          <w:sz w:val="20"/>
          <w:szCs w:val="20"/>
          <w:lang w:eastAsia="en-GB" w:bidi="he-IL"/>
          <w14:ligatures w14:val="none"/>
        </w:rPr>
        <w:t xml:space="preserve"> (Leiden ; New York: Brill, 1995), </w:t>
      </w:r>
      <w:r w:rsidRPr="00934400">
        <w:rPr>
          <w:rFonts w:ascii="Calibri" w:eastAsia="Times New Roman" w:hAnsi="Calibri" w:cs="Calibri"/>
          <w:kern w:val="0"/>
          <w:sz w:val="20"/>
          <w:szCs w:val="20"/>
          <w:lang w:eastAsia="en-GB" w:bidi="he-IL"/>
          <w14:ligatures w14:val="none"/>
        </w:rPr>
        <w:t xml:space="preserve">p. 70. </w:t>
      </w:r>
    </w:p>
  </w:footnote>
  <w:footnote w:id="53">
    <w:p w14:paraId="0615BB1B" w14:textId="77777777"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Ostrander, p. 6.</w:t>
      </w:r>
    </w:p>
  </w:footnote>
  <w:footnote w:id="54">
    <w:p w14:paraId="7BBA4D2E" w14:textId="23BB0732" w:rsidR="000E6773" w:rsidRPr="006A6456" w:rsidRDefault="000E6773" w:rsidP="006A6456">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6A6456" w:rsidRPr="00A311B4">
        <w:rPr>
          <w:rFonts w:ascii="Calibri" w:eastAsia="Times New Roman" w:hAnsi="Calibri" w:cs="Calibri"/>
          <w:kern w:val="0"/>
          <w:sz w:val="20"/>
          <w:szCs w:val="20"/>
          <w:lang w:eastAsia="en-GB" w:bidi="he-IL"/>
          <w14:ligatures w14:val="none"/>
        </w:rPr>
        <w:t xml:space="preserve">Hennie Viviers, ‘The “Body” and Lady Wisdom (Proverbs 1-9)’, </w:t>
      </w:r>
      <w:r w:rsidR="006A6456" w:rsidRPr="00A311B4">
        <w:rPr>
          <w:rFonts w:ascii="Calibri" w:eastAsia="Times New Roman" w:hAnsi="Calibri" w:cs="Calibri"/>
          <w:i/>
          <w:iCs/>
          <w:kern w:val="0"/>
          <w:sz w:val="20"/>
          <w:szCs w:val="20"/>
          <w:lang w:eastAsia="en-GB" w:bidi="he-IL"/>
          <w14:ligatures w14:val="none"/>
        </w:rPr>
        <w:t>Old Testament Essays</w:t>
      </w:r>
      <w:r w:rsidR="006A6456" w:rsidRPr="00A311B4">
        <w:rPr>
          <w:rFonts w:ascii="Calibri" w:eastAsia="Times New Roman" w:hAnsi="Calibri" w:cs="Calibri"/>
          <w:kern w:val="0"/>
          <w:sz w:val="20"/>
          <w:szCs w:val="20"/>
          <w:lang w:eastAsia="en-GB" w:bidi="he-IL"/>
          <w14:ligatures w14:val="none"/>
        </w:rPr>
        <w:t xml:space="preserve">, 18.3 (2005), </w:t>
      </w:r>
      <w:r w:rsidRPr="000E6773">
        <w:rPr>
          <w:rFonts w:ascii="Calibri" w:hAnsi="Calibri" w:cs="Calibri"/>
        </w:rPr>
        <w:t>p. 886.</w:t>
      </w:r>
    </w:p>
  </w:footnote>
  <w:footnote w:id="55">
    <w:p w14:paraId="1E54BD02" w14:textId="0BDE76F0" w:rsidR="0069453E" w:rsidRPr="00921314" w:rsidRDefault="0069453E" w:rsidP="00921314">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21314" w:rsidRPr="00E86D28">
        <w:rPr>
          <w:rFonts w:ascii="Calibri" w:eastAsia="Times New Roman" w:hAnsi="Calibri" w:cs="Calibri"/>
          <w:kern w:val="0"/>
          <w:sz w:val="20"/>
          <w:szCs w:val="20"/>
          <w:lang w:eastAsia="en-GB" w:bidi="he-IL"/>
          <w14:ligatures w14:val="none"/>
        </w:rPr>
        <w:t xml:space="preserve">Kathryn Imray, ‘Love Is (Strong As) Death: Reading the Song of Songs through Proverbs 1-9’, </w:t>
      </w:r>
      <w:r w:rsidR="00921314" w:rsidRPr="00E86D28">
        <w:rPr>
          <w:rFonts w:ascii="Calibri" w:eastAsia="Times New Roman" w:hAnsi="Calibri" w:cs="Calibri"/>
          <w:i/>
          <w:iCs/>
          <w:kern w:val="0"/>
          <w:sz w:val="20"/>
          <w:szCs w:val="20"/>
          <w:lang w:eastAsia="en-GB" w:bidi="he-IL"/>
          <w14:ligatures w14:val="none"/>
        </w:rPr>
        <w:t>The Catholic Biblical Quarterly</w:t>
      </w:r>
      <w:r w:rsidR="00921314" w:rsidRPr="00E86D28">
        <w:rPr>
          <w:rFonts w:ascii="Calibri" w:eastAsia="Times New Roman" w:hAnsi="Calibri" w:cs="Calibri"/>
          <w:kern w:val="0"/>
          <w:sz w:val="20"/>
          <w:szCs w:val="20"/>
          <w:lang w:eastAsia="en-GB" w:bidi="he-IL"/>
          <w14:ligatures w14:val="none"/>
        </w:rPr>
        <w:t xml:space="preserve">, 73.4 (2013), </w:t>
      </w:r>
      <w:r w:rsidRPr="0069453E">
        <w:rPr>
          <w:rFonts w:ascii="Calibri" w:hAnsi="Calibri" w:cs="Calibri"/>
        </w:rPr>
        <w:t>p. 649.</w:t>
      </w:r>
    </w:p>
  </w:footnote>
  <w:footnote w:id="56">
    <w:p w14:paraId="2FEB2D82" w14:textId="223D1E5B" w:rsidR="00363BD7" w:rsidRDefault="00363BD7">
      <w:pPr>
        <w:pStyle w:val="FootnoteText"/>
      </w:pPr>
      <w:r>
        <w:rPr>
          <w:rStyle w:val="FootnoteReference"/>
        </w:rPr>
        <w:footnoteRef/>
      </w:r>
      <w:r>
        <w:t xml:space="preserve"> </w:t>
      </w:r>
      <w:r w:rsidR="00483CBC">
        <w:rPr>
          <w:rFonts w:ascii="Calibri" w:hAnsi="Calibri" w:cs="Calibri"/>
        </w:rPr>
        <w:t>Ibid.,</w:t>
      </w:r>
      <w:r w:rsidRPr="00363BD7">
        <w:rPr>
          <w:rFonts w:ascii="Calibri" w:hAnsi="Calibri" w:cs="Calibri"/>
        </w:rPr>
        <w:t xml:space="preserve"> p. 661.</w:t>
      </w:r>
    </w:p>
  </w:footnote>
  <w:footnote w:id="57">
    <w:p w14:paraId="44A00CF1" w14:textId="586572A3"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 </w:t>
      </w:r>
      <w:r w:rsidR="006C5A3E">
        <w:rPr>
          <w:rFonts w:ascii="Calibri" w:hAnsi="Calibri" w:cs="Calibri"/>
        </w:rPr>
        <w:t xml:space="preserve">p. </w:t>
      </w:r>
      <w:r w:rsidRPr="00934400">
        <w:rPr>
          <w:rFonts w:ascii="Calibri" w:hAnsi="Calibri" w:cs="Calibri"/>
        </w:rPr>
        <w:t>302</w:t>
      </w:r>
      <w:r w:rsidR="006C5A3E">
        <w:rPr>
          <w:rFonts w:ascii="Calibri" w:hAnsi="Calibri" w:cs="Calibri"/>
        </w:rPr>
        <w:t>.</w:t>
      </w:r>
    </w:p>
  </w:footnote>
  <w:footnote w:id="58">
    <w:p w14:paraId="4B1D45AD" w14:textId="298ABBA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Imray, </w:t>
      </w:r>
      <w:r w:rsidR="006C5A3E">
        <w:rPr>
          <w:rFonts w:ascii="Calibri" w:hAnsi="Calibri" w:cs="Calibri"/>
        </w:rPr>
        <w:t xml:space="preserve">p. </w:t>
      </w:r>
      <w:r w:rsidRPr="00934400">
        <w:rPr>
          <w:rFonts w:ascii="Calibri" w:hAnsi="Calibri" w:cs="Calibri"/>
        </w:rPr>
        <w:t>649</w:t>
      </w:r>
      <w:r w:rsidR="006C5A3E">
        <w:rPr>
          <w:rFonts w:ascii="Calibri" w:hAnsi="Calibri" w:cs="Calibri"/>
        </w:rPr>
        <w:t>.</w:t>
      </w:r>
    </w:p>
  </w:footnote>
  <w:footnote w:id="59">
    <w:p w14:paraId="3D06ECAB" w14:textId="43F5052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483CBC">
        <w:rPr>
          <w:rFonts w:ascii="Calibri" w:hAnsi="Calibri" w:cs="Calibri"/>
        </w:rPr>
        <w:t xml:space="preserve">Ibid., </w:t>
      </w:r>
      <w:r w:rsidR="002A3661">
        <w:rPr>
          <w:rFonts w:ascii="Calibri" w:hAnsi="Calibri" w:cs="Calibri"/>
        </w:rPr>
        <w:t xml:space="preserve">p. </w:t>
      </w:r>
      <w:r w:rsidRPr="00934400">
        <w:rPr>
          <w:rFonts w:ascii="Calibri" w:hAnsi="Calibri" w:cs="Calibri"/>
        </w:rPr>
        <w:t>649</w:t>
      </w:r>
      <w:r w:rsidR="002A3661">
        <w:rPr>
          <w:rFonts w:ascii="Calibri" w:hAnsi="Calibri" w:cs="Calibri"/>
        </w:rPr>
        <w:t>.</w:t>
      </w:r>
    </w:p>
  </w:footnote>
  <w:footnote w:id="60">
    <w:p w14:paraId="4DB22866" w14:textId="3DCD315C" w:rsidR="00A72BA5" w:rsidRPr="002A3661" w:rsidRDefault="00A72BA5" w:rsidP="002A3661">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2A3661" w:rsidRPr="002A3661">
        <w:rPr>
          <w:rFonts w:ascii="Calibri" w:eastAsia="Times New Roman" w:hAnsi="Calibri" w:cs="Calibri"/>
          <w:kern w:val="0"/>
          <w:sz w:val="20"/>
          <w:szCs w:val="20"/>
          <w:lang w:eastAsia="en-GB" w:bidi="he-IL"/>
          <w14:ligatures w14:val="none"/>
        </w:rPr>
        <w:t xml:space="preserve">Matthew J. Goff, ‘The Personification of Wisdom and Folly as Women in Ancient Judaism’, in </w:t>
      </w:r>
      <w:r w:rsidR="002A3661" w:rsidRPr="002A3661">
        <w:rPr>
          <w:rFonts w:ascii="Calibri" w:eastAsia="Times New Roman" w:hAnsi="Calibri" w:cs="Calibri"/>
          <w:i/>
          <w:iCs/>
          <w:kern w:val="0"/>
          <w:sz w:val="20"/>
          <w:szCs w:val="20"/>
          <w:lang w:eastAsia="en-GB" w:bidi="he-IL"/>
          <w14:ligatures w14:val="none"/>
        </w:rPr>
        <w:t>Religion and Female Body in Ancient Judaism and Its Environments</w:t>
      </w:r>
      <w:r w:rsidR="002A3661" w:rsidRPr="002A3661">
        <w:rPr>
          <w:rFonts w:ascii="Calibri" w:eastAsia="Times New Roman" w:hAnsi="Calibri" w:cs="Calibri"/>
          <w:kern w:val="0"/>
          <w:sz w:val="20"/>
          <w:szCs w:val="20"/>
          <w:lang w:eastAsia="en-GB" w:bidi="he-IL"/>
          <w14:ligatures w14:val="none"/>
        </w:rPr>
        <w:t xml:space="preserve"> (Berlin: De Gruyter, 2015), p. </w:t>
      </w:r>
      <w:r w:rsidRPr="002A3661">
        <w:rPr>
          <w:rFonts w:ascii="Calibri" w:hAnsi="Calibri" w:cs="Calibri"/>
          <w:sz w:val="18"/>
          <w:szCs w:val="18"/>
        </w:rPr>
        <w:t>132</w:t>
      </w:r>
      <w:r w:rsidR="002A3661" w:rsidRPr="002A3661">
        <w:rPr>
          <w:rFonts w:ascii="Calibri" w:hAnsi="Calibri" w:cs="Calibri"/>
          <w:sz w:val="18"/>
          <w:szCs w:val="18"/>
        </w:rPr>
        <w:t>.</w:t>
      </w:r>
    </w:p>
  </w:footnote>
  <w:footnote w:id="61">
    <w:p w14:paraId="46C4A772" w14:textId="7905EA8E"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2A3661">
        <w:rPr>
          <w:rFonts w:ascii="Calibri" w:hAnsi="Calibri" w:cs="Calibri"/>
        </w:rPr>
        <w:t>Ibid., p.</w:t>
      </w:r>
      <w:r w:rsidRPr="00934400">
        <w:rPr>
          <w:rFonts w:ascii="Calibri" w:hAnsi="Calibri" w:cs="Calibri"/>
        </w:rPr>
        <w:t xml:space="preserve"> 132</w:t>
      </w:r>
      <w:r w:rsidR="002A3661">
        <w:rPr>
          <w:rFonts w:ascii="Calibri" w:hAnsi="Calibri" w:cs="Calibri"/>
        </w:rPr>
        <w:t>.</w:t>
      </w:r>
    </w:p>
  </w:footnote>
  <w:footnote w:id="62">
    <w:p w14:paraId="0158AAD1" w14:textId="694551DD" w:rsidR="00A72BA5" w:rsidRPr="00A87BCA" w:rsidRDefault="00A72BA5" w:rsidP="00A87BCA">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A87BCA" w:rsidRPr="00A87BCA">
        <w:rPr>
          <w:rFonts w:ascii="Calibri" w:eastAsia="Times New Roman" w:hAnsi="Calibri" w:cs="Calibri"/>
          <w:kern w:val="0"/>
          <w:sz w:val="20"/>
          <w:szCs w:val="20"/>
          <w:lang w:eastAsia="en-GB" w:bidi="he-IL"/>
          <w14:ligatures w14:val="none"/>
        </w:rPr>
        <w:t>Viviers</w:t>
      </w:r>
      <w:r w:rsidR="00483CBC">
        <w:rPr>
          <w:rFonts w:ascii="Calibri" w:eastAsia="Times New Roman" w:hAnsi="Calibri" w:cs="Calibri"/>
          <w:kern w:val="0"/>
          <w:sz w:val="20"/>
          <w:szCs w:val="20"/>
          <w:lang w:eastAsia="en-GB" w:bidi="he-IL"/>
          <w14:ligatures w14:val="none"/>
        </w:rPr>
        <w:t>,</w:t>
      </w:r>
      <w:r w:rsidR="00A87BCA" w:rsidRPr="00A87BCA">
        <w:rPr>
          <w:rFonts w:ascii="Calibri" w:eastAsia="Times New Roman" w:hAnsi="Calibri" w:cs="Calibri"/>
          <w:kern w:val="0"/>
          <w:sz w:val="20"/>
          <w:szCs w:val="20"/>
          <w:lang w:eastAsia="en-GB" w:bidi="he-IL"/>
          <w14:ligatures w14:val="none"/>
        </w:rPr>
        <w:t xml:space="preserve"> </w:t>
      </w:r>
      <w:r w:rsidR="00A87BCA" w:rsidRPr="00483CBC">
        <w:rPr>
          <w:rFonts w:ascii="Calibri" w:eastAsia="Times New Roman" w:hAnsi="Calibri" w:cs="Calibri"/>
          <w:kern w:val="0"/>
          <w:sz w:val="20"/>
          <w:szCs w:val="20"/>
          <w:lang w:eastAsia="en-GB" w:bidi="he-IL"/>
          <w14:ligatures w14:val="none"/>
        </w:rPr>
        <w:t>p.</w:t>
      </w:r>
      <w:r w:rsidRPr="00483CBC">
        <w:rPr>
          <w:rFonts w:ascii="Calibri" w:hAnsi="Calibri" w:cs="Calibri"/>
          <w:sz w:val="20"/>
          <w:szCs w:val="20"/>
        </w:rPr>
        <w:t xml:space="preserve"> 886</w:t>
      </w:r>
      <w:r w:rsidR="00A87BCA" w:rsidRPr="00483CBC">
        <w:rPr>
          <w:rFonts w:ascii="Calibri" w:hAnsi="Calibri" w:cs="Calibri"/>
          <w:sz w:val="20"/>
          <w:szCs w:val="20"/>
        </w:rPr>
        <w:t>.</w:t>
      </w:r>
    </w:p>
  </w:footnote>
  <w:footnote w:id="63">
    <w:p w14:paraId="419DC4B4" w14:textId="3C05B8F3"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A87BCA">
        <w:rPr>
          <w:rFonts w:ascii="Calibri" w:hAnsi="Calibri" w:cs="Calibri"/>
        </w:rPr>
        <w:t xml:space="preserve"> Ibid.</w:t>
      </w:r>
      <w:r w:rsidRPr="00934400">
        <w:rPr>
          <w:rFonts w:ascii="Calibri" w:hAnsi="Calibri" w:cs="Calibri"/>
        </w:rPr>
        <w:t>,</w:t>
      </w:r>
      <w:r w:rsidR="00A87BCA">
        <w:rPr>
          <w:rFonts w:ascii="Calibri" w:hAnsi="Calibri" w:cs="Calibri"/>
        </w:rPr>
        <w:t xml:space="preserve"> p.</w:t>
      </w:r>
      <w:r w:rsidRPr="00934400">
        <w:rPr>
          <w:rFonts w:ascii="Calibri" w:hAnsi="Calibri" w:cs="Calibri"/>
        </w:rPr>
        <w:t xml:space="preserve"> 886</w:t>
      </w:r>
      <w:r w:rsidR="00A87BCA">
        <w:rPr>
          <w:rFonts w:ascii="Calibri" w:hAnsi="Calibri" w:cs="Calibri"/>
        </w:rPr>
        <w:t>.</w:t>
      </w:r>
    </w:p>
  </w:footnote>
  <w:footnote w:id="64">
    <w:p w14:paraId="5C9010BF" w14:textId="07D6FE0F" w:rsidR="00A72BA5" w:rsidRPr="00B50067" w:rsidRDefault="00A72BA5" w:rsidP="00B50067">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483CBC">
        <w:rPr>
          <w:rFonts w:ascii="Calibri" w:hAnsi="Calibri" w:cs="Calibri"/>
        </w:rPr>
        <w:t xml:space="preserve">Claudia V. </w:t>
      </w:r>
      <w:r w:rsidR="00B50067" w:rsidRPr="00B50067">
        <w:rPr>
          <w:rFonts w:ascii="Calibri" w:eastAsia="Times New Roman" w:hAnsi="Calibri" w:cs="Calibri"/>
          <w:kern w:val="0"/>
          <w:sz w:val="20"/>
          <w:szCs w:val="20"/>
          <w:lang w:eastAsia="en-GB" w:bidi="he-IL"/>
          <w14:ligatures w14:val="none"/>
        </w:rPr>
        <w:t xml:space="preserve">Camp, ‘What’s so Strange about the Strange Woman?’, in </w:t>
      </w:r>
      <w:r w:rsidR="00B50067" w:rsidRPr="00B50067">
        <w:rPr>
          <w:rFonts w:ascii="Calibri" w:eastAsia="Times New Roman" w:hAnsi="Calibri" w:cs="Calibri"/>
          <w:i/>
          <w:iCs/>
          <w:kern w:val="0"/>
          <w:sz w:val="20"/>
          <w:szCs w:val="20"/>
          <w:lang w:eastAsia="en-GB" w:bidi="he-IL"/>
          <w14:ligatures w14:val="none"/>
        </w:rPr>
        <w:t>The Bible and the Politics of Exegesis</w:t>
      </w:r>
      <w:r w:rsidR="00B50067" w:rsidRPr="00B50067">
        <w:rPr>
          <w:rFonts w:ascii="Calibri" w:eastAsia="Times New Roman" w:hAnsi="Calibri" w:cs="Calibri"/>
          <w:kern w:val="0"/>
          <w:sz w:val="20"/>
          <w:szCs w:val="20"/>
          <w:lang w:eastAsia="en-GB" w:bidi="he-IL"/>
          <w14:ligatures w14:val="none"/>
        </w:rPr>
        <w:t xml:space="preserve"> (Cleveland, Ohio: Pilgrim Press, 1991), p. 26.</w:t>
      </w:r>
    </w:p>
  </w:footnote>
  <w:footnote w:id="65">
    <w:p w14:paraId="1DDF4F26" w14:textId="14A01626"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w:t>
      </w:r>
      <w:r w:rsidR="00B50067">
        <w:rPr>
          <w:rFonts w:ascii="Calibri" w:hAnsi="Calibri" w:cs="Calibri"/>
        </w:rPr>
        <w:t>, p.</w:t>
      </w:r>
      <w:r w:rsidRPr="00934400">
        <w:rPr>
          <w:rFonts w:ascii="Calibri" w:hAnsi="Calibri" w:cs="Calibri"/>
        </w:rPr>
        <w:t xml:space="preserve"> 208</w:t>
      </w:r>
      <w:r w:rsidR="00B50067">
        <w:rPr>
          <w:rFonts w:ascii="Calibri" w:hAnsi="Calibri" w:cs="Calibri"/>
        </w:rPr>
        <w:t>.</w:t>
      </w:r>
      <w:r w:rsidRPr="00934400">
        <w:rPr>
          <w:rFonts w:ascii="Calibri" w:hAnsi="Calibri" w:cs="Calibri"/>
        </w:rPr>
        <w:t xml:space="preserve"> </w:t>
      </w:r>
    </w:p>
  </w:footnote>
  <w:footnote w:id="66">
    <w:p w14:paraId="1AEC1D87" w14:textId="7A153407"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Viviers, </w:t>
      </w:r>
      <w:r w:rsidR="00B50067">
        <w:rPr>
          <w:rFonts w:ascii="Calibri" w:hAnsi="Calibri" w:cs="Calibri"/>
        </w:rPr>
        <w:t xml:space="preserve">p. </w:t>
      </w:r>
      <w:r w:rsidRPr="00934400">
        <w:rPr>
          <w:rFonts w:ascii="Calibri" w:hAnsi="Calibri" w:cs="Calibri"/>
        </w:rPr>
        <w:t xml:space="preserve">886. </w:t>
      </w:r>
    </w:p>
  </w:footnote>
  <w:footnote w:id="67">
    <w:p w14:paraId="6F358AC6" w14:textId="552F4E1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 </w:t>
      </w:r>
      <w:r w:rsidR="00B50067">
        <w:rPr>
          <w:rFonts w:ascii="Calibri" w:hAnsi="Calibri" w:cs="Calibri"/>
        </w:rPr>
        <w:t>p.</w:t>
      </w:r>
      <w:r w:rsidRPr="00934400">
        <w:rPr>
          <w:rFonts w:ascii="Calibri" w:hAnsi="Calibri" w:cs="Calibri"/>
        </w:rPr>
        <w:t xml:space="preserve"> 184</w:t>
      </w:r>
      <w:r w:rsidR="00B50067">
        <w:rPr>
          <w:rFonts w:ascii="Calibri" w:hAnsi="Calibri" w:cs="Calibri"/>
        </w:rPr>
        <w:t>.</w:t>
      </w:r>
    </w:p>
  </w:footnote>
  <w:footnote w:id="68">
    <w:p w14:paraId="33CC1D8D" w14:textId="2BE76856" w:rsidR="00B36D69" w:rsidRPr="00483CBC" w:rsidRDefault="00B36D69">
      <w:pPr>
        <w:pStyle w:val="FootnoteText"/>
        <w:rPr>
          <w:rFonts w:ascii="Calibri" w:hAnsi="Calibri" w:cs="Calibri"/>
        </w:rPr>
      </w:pPr>
      <w:r>
        <w:rPr>
          <w:rStyle w:val="FootnoteReference"/>
        </w:rPr>
        <w:footnoteRef/>
      </w:r>
      <w:r>
        <w:t xml:space="preserve"> </w:t>
      </w:r>
      <w:r w:rsidRPr="00483CBC">
        <w:rPr>
          <w:rFonts w:ascii="Calibri" w:hAnsi="Calibri" w:cs="Calibri"/>
        </w:rPr>
        <w:t>Yee, p. 57.</w:t>
      </w:r>
    </w:p>
  </w:footnote>
  <w:footnote w:id="69">
    <w:p w14:paraId="7419B9C0" w14:textId="64D2A7E8" w:rsidR="00A72BA5" w:rsidRPr="00934400" w:rsidRDefault="00A72BA5" w:rsidP="00A72BA5">
      <w:pPr>
        <w:pStyle w:val="FootnoteText"/>
        <w:rPr>
          <w:rFonts w:ascii="Calibri" w:hAnsi="Calibri" w:cs="Calibri"/>
        </w:rPr>
      </w:pPr>
      <w:r w:rsidRPr="00483CBC">
        <w:rPr>
          <w:rStyle w:val="FootnoteReference"/>
          <w:rFonts w:ascii="Calibri" w:hAnsi="Calibri" w:cs="Calibri"/>
        </w:rPr>
        <w:footnoteRef/>
      </w:r>
      <w:r w:rsidR="00483CBC">
        <w:rPr>
          <w:rFonts w:ascii="Calibri" w:hAnsi="Calibri" w:cs="Calibri"/>
        </w:rPr>
        <w:t xml:space="preserve"> Ibid.</w:t>
      </w:r>
      <w:r w:rsidRPr="00483CBC">
        <w:rPr>
          <w:rFonts w:ascii="Calibri" w:hAnsi="Calibri" w:cs="Calibri"/>
        </w:rPr>
        <w:t xml:space="preserve">, </w:t>
      </w:r>
      <w:r w:rsidR="00AA5C5E" w:rsidRPr="00483CBC">
        <w:rPr>
          <w:rFonts w:ascii="Calibri" w:hAnsi="Calibri" w:cs="Calibri"/>
        </w:rPr>
        <w:t xml:space="preserve">p. </w:t>
      </w:r>
      <w:r w:rsidRPr="00483CBC">
        <w:rPr>
          <w:rFonts w:ascii="Calibri" w:hAnsi="Calibri" w:cs="Calibri"/>
        </w:rPr>
        <w:t>57</w:t>
      </w:r>
      <w:r w:rsidR="00AA5C5E" w:rsidRPr="00483CBC">
        <w:rPr>
          <w:rFonts w:ascii="Calibri" w:hAnsi="Calibri" w:cs="Calibri"/>
        </w:rPr>
        <w:t>.</w:t>
      </w:r>
    </w:p>
  </w:footnote>
  <w:footnote w:id="70">
    <w:p w14:paraId="19F7E347" w14:textId="120E9A95"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CB1884">
        <w:rPr>
          <w:rFonts w:ascii="Calibri" w:hAnsi="Calibri" w:cs="Calibri"/>
        </w:rPr>
        <w:t>Ibid.</w:t>
      </w:r>
      <w:r w:rsidRPr="00934400">
        <w:rPr>
          <w:rFonts w:ascii="Calibri" w:hAnsi="Calibri" w:cs="Calibri"/>
        </w:rPr>
        <w:t xml:space="preserve">, </w:t>
      </w:r>
      <w:r w:rsidR="00AA5C5E">
        <w:rPr>
          <w:rFonts w:ascii="Calibri" w:hAnsi="Calibri" w:cs="Calibri"/>
        </w:rPr>
        <w:t>p.</w:t>
      </w:r>
      <w:r w:rsidRPr="00934400">
        <w:rPr>
          <w:rFonts w:ascii="Calibri" w:hAnsi="Calibri" w:cs="Calibri"/>
        </w:rPr>
        <w:t xml:space="preserve"> 58</w:t>
      </w:r>
      <w:r w:rsidR="00AA5C5E">
        <w:rPr>
          <w:rFonts w:ascii="Calibri" w:hAnsi="Calibri" w:cs="Calibri"/>
        </w:rPr>
        <w:t>.</w:t>
      </w:r>
    </w:p>
  </w:footnote>
  <w:footnote w:id="71">
    <w:p w14:paraId="55D6DD41" w14:textId="44E41DB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AA5C5E">
        <w:rPr>
          <w:rFonts w:ascii="Calibri" w:hAnsi="Calibri" w:cs="Calibri"/>
        </w:rPr>
        <w:t>p.</w:t>
      </w:r>
      <w:r w:rsidRPr="00934400">
        <w:rPr>
          <w:rFonts w:ascii="Calibri" w:hAnsi="Calibri" w:cs="Calibri"/>
        </w:rPr>
        <w:t xml:space="preserve"> 62. </w:t>
      </w:r>
    </w:p>
  </w:footnote>
  <w:footnote w:id="72">
    <w:p w14:paraId="2EF2E4E0" w14:textId="161CB39E"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p.</w:t>
      </w:r>
      <w:r w:rsidRPr="00934400">
        <w:rPr>
          <w:rFonts w:ascii="Calibri" w:hAnsi="Calibri" w:cs="Calibri"/>
        </w:rPr>
        <w:t xml:space="preserve"> 63</w:t>
      </w:r>
      <w:r w:rsidR="00CB1884">
        <w:rPr>
          <w:rFonts w:ascii="Calibri" w:hAnsi="Calibri" w:cs="Calibri"/>
        </w:rPr>
        <w:t>.</w:t>
      </w:r>
    </w:p>
  </w:footnote>
  <w:footnote w:id="73">
    <w:p w14:paraId="37432C2F" w14:textId="4327DF48" w:rsidR="00A72BA5" w:rsidRDefault="00A72BA5" w:rsidP="00A72BA5">
      <w:pPr>
        <w:pStyle w:val="FootnoteText"/>
      </w:pPr>
      <w:r w:rsidRPr="00934400">
        <w:rPr>
          <w:rStyle w:val="FootnoteReference"/>
          <w:rFonts w:ascii="Calibri" w:hAnsi="Calibri" w:cs="Calibri"/>
        </w:rPr>
        <w:footnoteRef/>
      </w:r>
      <w:r w:rsidRPr="00934400">
        <w:rPr>
          <w:rFonts w:ascii="Calibri" w:hAnsi="Calibri" w:cs="Calibri"/>
        </w:rPr>
        <w:t xml:space="preserve"> Fox,</w:t>
      </w:r>
      <w:r w:rsidR="00CB1884">
        <w:rPr>
          <w:rFonts w:ascii="Calibri" w:hAnsi="Calibri" w:cs="Calibri"/>
        </w:rPr>
        <w:t xml:space="preserve"> p.</w:t>
      </w:r>
      <w:r w:rsidRPr="00934400">
        <w:rPr>
          <w:rFonts w:ascii="Calibri" w:hAnsi="Calibri" w:cs="Calibri"/>
        </w:rPr>
        <w:t xml:space="preserve"> 208</w:t>
      </w:r>
      <w:r w:rsidR="00CB1884">
        <w:t>.</w:t>
      </w:r>
    </w:p>
  </w:footnote>
  <w:footnote w:id="74">
    <w:p w14:paraId="2702D381" w14:textId="06317876"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301</w:t>
      </w:r>
      <w:r w:rsidR="00CB1884">
        <w:rPr>
          <w:rFonts w:ascii="Calibri" w:hAnsi="Calibri" w:cs="Calibri"/>
        </w:rPr>
        <w:t>.</w:t>
      </w:r>
    </w:p>
  </w:footnote>
  <w:footnote w:id="75">
    <w:p w14:paraId="3278B9D5" w14:textId="20D4D9AF"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301</w:t>
      </w:r>
      <w:r w:rsidR="00CB1884">
        <w:rPr>
          <w:rFonts w:ascii="Calibri" w:hAnsi="Calibri" w:cs="Calibri"/>
        </w:rPr>
        <w:t>.</w:t>
      </w:r>
    </w:p>
  </w:footnote>
  <w:footnote w:id="76">
    <w:p w14:paraId="606A2B3F" w14:textId="726EFBCF" w:rsidR="004F2B73" w:rsidRDefault="004F2B73">
      <w:pPr>
        <w:pStyle w:val="FootnoteText"/>
      </w:pPr>
      <w:r>
        <w:rPr>
          <w:rStyle w:val="FootnoteReference"/>
        </w:rPr>
        <w:footnoteRef/>
      </w:r>
      <w:r>
        <w:t xml:space="preserve"> </w:t>
      </w:r>
      <w:r w:rsidRPr="00017130">
        <w:rPr>
          <w:rFonts w:ascii="Calibri" w:hAnsi="Calibri" w:cs="Calibri"/>
        </w:rPr>
        <w:t>Yee, p. 54.</w:t>
      </w:r>
    </w:p>
  </w:footnote>
  <w:footnote w:id="77">
    <w:p w14:paraId="5C7DDC2C" w14:textId="0D3310BC"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w:t>
      </w:r>
      <w:r w:rsidR="00CB1884">
        <w:rPr>
          <w:rFonts w:ascii="Calibri" w:hAnsi="Calibri" w:cs="Calibri"/>
        </w:rPr>
        <w:t xml:space="preserve"> p.</w:t>
      </w:r>
      <w:r w:rsidRPr="00934400">
        <w:rPr>
          <w:rFonts w:ascii="Calibri" w:hAnsi="Calibri" w:cs="Calibri"/>
        </w:rPr>
        <w:t xml:space="preserve"> 246</w:t>
      </w:r>
      <w:r w:rsidR="00CB1884">
        <w:rPr>
          <w:rFonts w:ascii="Calibri" w:hAnsi="Calibri" w:cs="Calibri"/>
        </w:rPr>
        <w:t>.</w:t>
      </w:r>
    </w:p>
  </w:footnote>
  <w:footnote w:id="78">
    <w:p w14:paraId="63745BE0" w14:textId="4D872E3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246</w:t>
      </w:r>
      <w:r w:rsidR="00CB1884">
        <w:rPr>
          <w:rFonts w:ascii="Calibri" w:hAnsi="Calibri" w:cs="Calibri"/>
        </w:rPr>
        <w:t>.</w:t>
      </w:r>
    </w:p>
  </w:footnote>
  <w:footnote w:id="79">
    <w:p w14:paraId="01F57CB1" w14:textId="46609865"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247</w:t>
      </w:r>
      <w:r w:rsidR="00CB1884">
        <w:rPr>
          <w:rFonts w:ascii="Calibri" w:hAnsi="Calibri" w:cs="Calibri"/>
        </w:rPr>
        <w:t>.</w:t>
      </w:r>
    </w:p>
  </w:footnote>
  <w:footnote w:id="80">
    <w:p w14:paraId="41BD3D63" w14:textId="272EC47B"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Forti, </w:t>
      </w:r>
      <w:r w:rsidR="00CB1884">
        <w:rPr>
          <w:rFonts w:ascii="Calibri" w:hAnsi="Calibri" w:cs="Calibri"/>
        </w:rPr>
        <w:t xml:space="preserve">p. </w:t>
      </w:r>
      <w:r w:rsidRPr="00934400">
        <w:rPr>
          <w:rFonts w:ascii="Calibri" w:hAnsi="Calibri" w:cs="Calibri"/>
        </w:rPr>
        <w:t>179</w:t>
      </w:r>
      <w:r w:rsidR="00CB1884">
        <w:rPr>
          <w:rFonts w:ascii="Calibri" w:hAnsi="Calibri" w:cs="Calibri"/>
        </w:rPr>
        <w:t>.</w:t>
      </w:r>
    </w:p>
  </w:footnote>
  <w:footnote w:id="81">
    <w:p w14:paraId="13E8C374" w14:textId="7B0C885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Viviers, </w:t>
      </w:r>
      <w:r w:rsidR="00CB1884">
        <w:rPr>
          <w:rFonts w:ascii="Calibri" w:hAnsi="Calibri" w:cs="Calibri"/>
        </w:rPr>
        <w:t xml:space="preserve">p. </w:t>
      </w:r>
      <w:r w:rsidRPr="00934400">
        <w:rPr>
          <w:rFonts w:ascii="Calibri" w:hAnsi="Calibri" w:cs="Calibri"/>
        </w:rPr>
        <w:t>885</w:t>
      </w:r>
      <w:r w:rsidR="00CB1884">
        <w:rPr>
          <w:rFonts w:ascii="Calibri" w:hAnsi="Calibri" w:cs="Calibri"/>
        </w:rPr>
        <w:t>.</w:t>
      </w:r>
    </w:p>
  </w:footnote>
  <w:footnote w:id="82">
    <w:p w14:paraId="639F045E" w14:textId="387D435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885</w:t>
      </w:r>
      <w:r w:rsidR="00CB1884">
        <w:rPr>
          <w:rFonts w:ascii="Calibri" w:hAnsi="Calibri" w:cs="Calibri"/>
        </w:rPr>
        <w:t>.</w:t>
      </w:r>
    </w:p>
  </w:footnote>
  <w:footnote w:id="83">
    <w:p w14:paraId="66777212" w14:textId="7135B71B" w:rsidR="00A72BA5" w:rsidRDefault="00A72BA5" w:rsidP="00A72BA5">
      <w:pPr>
        <w:pStyle w:val="FootnoteText"/>
      </w:pPr>
      <w:r w:rsidRPr="00934400">
        <w:rPr>
          <w:rStyle w:val="FootnoteReference"/>
          <w:rFonts w:ascii="Calibri" w:hAnsi="Calibri" w:cs="Calibri"/>
        </w:rPr>
        <w:footnoteRef/>
      </w:r>
      <w:r w:rsidRPr="00934400">
        <w:rPr>
          <w:rFonts w:ascii="Calibri" w:hAnsi="Calibri" w:cs="Calibri"/>
        </w:rPr>
        <w:t xml:space="preserve"> Fox, </w:t>
      </w:r>
      <w:r w:rsidR="00CB1884">
        <w:rPr>
          <w:rFonts w:ascii="Calibri" w:hAnsi="Calibri" w:cs="Calibri"/>
        </w:rPr>
        <w:t>p.</w:t>
      </w:r>
      <w:r w:rsidRPr="00934400">
        <w:rPr>
          <w:rFonts w:ascii="Calibri" w:hAnsi="Calibri" w:cs="Calibri"/>
        </w:rPr>
        <w:t xml:space="preserve"> 297</w:t>
      </w:r>
      <w:r w:rsidR="00CB1884">
        <w:rPr>
          <w:rFonts w:ascii="Calibri" w:hAnsi="Calibri" w:cs="Calibri"/>
        </w:rPr>
        <w:t>.</w:t>
      </w:r>
    </w:p>
  </w:footnote>
  <w:footnote w:id="84">
    <w:p w14:paraId="74DC9AF6" w14:textId="1FFFDE4C"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p. 247-248</w:t>
      </w:r>
      <w:r w:rsidR="00CB1884">
        <w:rPr>
          <w:rFonts w:ascii="Calibri" w:hAnsi="Calibri" w:cs="Calibri"/>
        </w:rPr>
        <w:t>.</w:t>
      </w:r>
    </w:p>
  </w:footnote>
  <w:footnote w:id="85">
    <w:p w14:paraId="4E31BDA9" w14:textId="4E7A6AD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p. 244. </w:t>
      </w:r>
    </w:p>
  </w:footnote>
  <w:footnote w:id="86">
    <w:p w14:paraId="7FC42F7F" w14:textId="1133D960" w:rsidR="00C25867" w:rsidRPr="00017130" w:rsidRDefault="00C25867">
      <w:pPr>
        <w:pStyle w:val="FootnoteText"/>
        <w:rPr>
          <w:rFonts w:ascii="Calibri" w:hAnsi="Calibri" w:cs="Calibri"/>
        </w:rPr>
      </w:pPr>
      <w:r>
        <w:rPr>
          <w:rStyle w:val="FootnoteReference"/>
        </w:rPr>
        <w:footnoteRef/>
      </w:r>
      <w:r>
        <w:t xml:space="preserve"> </w:t>
      </w:r>
      <w:r w:rsidRPr="00017130">
        <w:rPr>
          <w:rFonts w:ascii="Calibri" w:hAnsi="Calibri" w:cs="Calibri"/>
        </w:rPr>
        <w:t>The sexual implications of the Hebrew word, ‘</w:t>
      </w:r>
      <w:proofErr w:type="spellStart"/>
      <w:r w:rsidRPr="00017130">
        <w:rPr>
          <w:rFonts w:ascii="Calibri" w:hAnsi="Calibri" w:cs="Calibri"/>
        </w:rPr>
        <w:t>petah</w:t>
      </w:r>
      <w:proofErr w:type="spellEnd"/>
      <w:r w:rsidRPr="00017130">
        <w:rPr>
          <w:rFonts w:ascii="Calibri" w:hAnsi="Calibri" w:cs="Calibri"/>
        </w:rPr>
        <w:t>’ were referenced earlier in chapter two.</w:t>
      </w:r>
    </w:p>
  </w:footnote>
  <w:footnote w:id="87">
    <w:p w14:paraId="456074A3" w14:textId="47ECA96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w:t>
      </w:r>
      <w:r w:rsidR="00017130">
        <w:rPr>
          <w:rFonts w:ascii="Calibri" w:hAnsi="Calibri" w:cs="Calibri"/>
        </w:rPr>
        <w:t>Fox,</w:t>
      </w:r>
      <w:r w:rsidRPr="00934400">
        <w:rPr>
          <w:rFonts w:ascii="Calibri" w:hAnsi="Calibri" w:cs="Calibri"/>
        </w:rPr>
        <w:t xml:space="preserve"> p. 194. </w:t>
      </w:r>
    </w:p>
  </w:footnote>
  <w:footnote w:id="88">
    <w:p w14:paraId="206778FE" w14:textId="051B3D4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w:t>
      </w:r>
      <w:r w:rsidR="00017130">
        <w:rPr>
          <w:rFonts w:ascii="Calibri" w:hAnsi="Calibri" w:cs="Calibri"/>
        </w:rPr>
        <w:t xml:space="preserve">Fox, </w:t>
      </w:r>
      <w:r w:rsidRPr="00934400">
        <w:rPr>
          <w:rFonts w:ascii="Calibri" w:hAnsi="Calibri" w:cs="Calibri"/>
        </w:rPr>
        <w:t>p. 195.</w:t>
      </w:r>
    </w:p>
  </w:footnote>
  <w:footnote w:id="89">
    <w:p w14:paraId="3C9971B4" w14:textId="78515C74" w:rsidR="00A72BA5" w:rsidRDefault="00A72BA5" w:rsidP="00A72BA5">
      <w:pPr>
        <w:pStyle w:val="FootnoteText"/>
      </w:pPr>
      <w:r w:rsidRPr="00934400">
        <w:rPr>
          <w:rStyle w:val="FootnoteReference"/>
          <w:rFonts w:ascii="Calibri" w:hAnsi="Calibri" w:cs="Calibri"/>
        </w:rPr>
        <w:footnoteRef/>
      </w:r>
      <w:r w:rsidR="00017130">
        <w:rPr>
          <w:rFonts w:ascii="Calibri" w:hAnsi="Calibri" w:cs="Calibri"/>
        </w:rPr>
        <w:t xml:space="preserve"> Fox</w:t>
      </w:r>
      <w:r w:rsidR="00CB1884">
        <w:rPr>
          <w:rFonts w:ascii="Calibri" w:hAnsi="Calibri" w:cs="Calibri"/>
        </w:rPr>
        <w:t>.</w:t>
      </w:r>
      <w:r w:rsidRPr="00934400">
        <w:rPr>
          <w:rFonts w:ascii="Calibri" w:hAnsi="Calibri" w:cs="Calibri"/>
        </w:rPr>
        <w:t>, p. 194.</w:t>
      </w:r>
    </w:p>
  </w:footnote>
  <w:footnote w:id="90">
    <w:p w14:paraId="465AC5B2" w14:textId="7D1F963B" w:rsidR="002C16FE" w:rsidRPr="00017130" w:rsidRDefault="002C16FE" w:rsidP="002C16FE">
      <w:pPr>
        <w:pStyle w:val="FootnoteText"/>
        <w:rPr>
          <w:rFonts w:ascii="Calibri" w:hAnsi="Calibri" w:cs="Calibri"/>
        </w:rPr>
      </w:pPr>
      <w:r>
        <w:rPr>
          <w:rStyle w:val="FootnoteReference"/>
        </w:rPr>
        <w:footnoteRef/>
      </w:r>
      <w:r>
        <w:t xml:space="preserve"> </w:t>
      </w:r>
      <w:r w:rsidRPr="00017130">
        <w:rPr>
          <w:rFonts w:ascii="Calibri" w:hAnsi="Calibri" w:cs="Calibri"/>
        </w:rPr>
        <w:t>Soulen</w:t>
      </w:r>
      <w:r w:rsidR="00017130" w:rsidRPr="00017130">
        <w:rPr>
          <w:rFonts w:ascii="Calibri" w:hAnsi="Calibri" w:cs="Calibri"/>
        </w:rPr>
        <w:t xml:space="preserve"> and Soulen, p. </w:t>
      </w:r>
      <w:r w:rsidRPr="00017130">
        <w:rPr>
          <w:rFonts w:ascii="Calibri" w:hAnsi="Calibri" w:cs="Calibri"/>
        </w:rPr>
        <w:t>5</w:t>
      </w:r>
      <w:r w:rsidR="00017130" w:rsidRPr="00017130">
        <w:rPr>
          <w:rFonts w:ascii="Calibri" w:hAnsi="Calibri" w:cs="Calibri"/>
        </w:rPr>
        <w:t>8.</w:t>
      </w:r>
    </w:p>
  </w:footnote>
  <w:footnote w:id="91">
    <w:p w14:paraId="235F1449" w14:textId="5607A6AA" w:rsidR="002C16FE" w:rsidRDefault="002C16FE" w:rsidP="002C16FE">
      <w:pPr>
        <w:pStyle w:val="FootnoteText"/>
      </w:pPr>
      <w:r w:rsidRPr="00017130">
        <w:rPr>
          <w:rStyle w:val="FootnoteReference"/>
          <w:rFonts w:ascii="Calibri" w:hAnsi="Calibri" w:cs="Calibri"/>
        </w:rPr>
        <w:footnoteRef/>
      </w:r>
      <w:r w:rsidRPr="00017130">
        <w:rPr>
          <w:rFonts w:ascii="Calibri" w:hAnsi="Calibri" w:cs="Calibri"/>
        </w:rPr>
        <w:t xml:space="preserve"> Ostrander, p. 7.</w:t>
      </w:r>
    </w:p>
  </w:footnote>
  <w:footnote w:id="92">
    <w:p w14:paraId="1199E719" w14:textId="788F9441" w:rsidR="002C16FE" w:rsidRPr="00017130" w:rsidRDefault="002C16FE" w:rsidP="002C16FE">
      <w:pPr>
        <w:pStyle w:val="FootnoteText"/>
        <w:rPr>
          <w:rFonts w:ascii="Calibri" w:hAnsi="Calibri" w:cs="Calibri"/>
        </w:rPr>
      </w:pPr>
      <w:r>
        <w:rPr>
          <w:rStyle w:val="FootnoteReference"/>
        </w:rPr>
        <w:footnoteRef/>
      </w:r>
      <w:r>
        <w:t xml:space="preserve"> </w:t>
      </w:r>
      <w:r w:rsidR="00017130" w:rsidRPr="00017130">
        <w:rPr>
          <w:rFonts w:ascii="Calibri" w:hAnsi="Calibri" w:cs="Calibri"/>
        </w:rPr>
        <w:t xml:space="preserve">Viviers, p. 879. </w:t>
      </w:r>
    </w:p>
  </w:footnote>
  <w:footnote w:id="93">
    <w:p w14:paraId="584374DC" w14:textId="75FF5576" w:rsidR="002C16FE" w:rsidRPr="00017130" w:rsidRDefault="002C16FE" w:rsidP="002C16FE">
      <w:pPr>
        <w:pStyle w:val="FootnoteText"/>
        <w:rPr>
          <w:rFonts w:ascii="Calibri" w:hAnsi="Calibri" w:cs="Calibri"/>
        </w:rPr>
      </w:pPr>
      <w:r w:rsidRPr="00017130">
        <w:rPr>
          <w:rStyle w:val="FootnoteReference"/>
          <w:rFonts w:ascii="Calibri" w:hAnsi="Calibri" w:cs="Calibri"/>
        </w:rPr>
        <w:footnoteRef/>
      </w:r>
      <w:r w:rsidR="00017130" w:rsidRPr="00017130">
        <w:rPr>
          <w:rFonts w:ascii="Calibri" w:hAnsi="Calibri" w:cs="Calibri"/>
        </w:rPr>
        <w:t xml:space="preserve"> Ibid.</w:t>
      </w:r>
      <w:r w:rsidRPr="00017130">
        <w:rPr>
          <w:rFonts w:ascii="Calibri" w:hAnsi="Calibri" w:cs="Calibri"/>
        </w:rPr>
        <w:t>, p. 885.</w:t>
      </w:r>
    </w:p>
  </w:footnote>
  <w:footnote w:id="94">
    <w:p w14:paraId="2EE70067" w14:textId="135F1ED8" w:rsidR="002C16FE" w:rsidRDefault="002C16FE" w:rsidP="002C16FE">
      <w:pPr>
        <w:pStyle w:val="FootnoteText"/>
      </w:pPr>
      <w:r w:rsidRPr="00017130">
        <w:rPr>
          <w:rStyle w:val="FootnoteReference"/>
          <w:rFonts w:ascii="Calibri" w:hAnsi="Calibri" w:cs="Calibri"/>
        </w:rPr>
        <w:footnoteRef/>
      </w:r>
      <w:r w:rsidRPr="00017130">
        <w:rPr>
          <w:rFonts w:ascii="Calibri" w:hAnsi="Calibri" w:cs="Calibri"/>
        </w:rPr>
        <w:t xml:space="preserve"> </w:t>
      </w:r>
      <w:r w:rsidR="00017130" w:rsidRPr="00017130">
        <w:rPr>
          <w:rFonts w:ascii="Calibri" w:hAnsi="Calibri" w:cs="Calibri"/>
        </w:rPr>
        <w:t>Ibid.</w:t>
      </w:r>
      <w:r w:rsidRPr="00017130">
        <w:rPr>
          <w:rFonts w:ascii="Calibri" w:hAnsi="Calibri" w:cs="Calibri"/>
        </w:rPr>
        <w:t>, p. 879.</w:t>
      </w:r>
      <w:r>
        <w:t xml:space="preserve"> </w:t>
      </w:r>
    </w:p>
  </w:footnote>
  <w:footnote w:id="95">
    <w:p w14:paraId="6F073925" w14:textId="69F7CB0D" w:rsidR="002C16FE" w:rsidRPr="00463282" w:rsidRDefault="002C16FE" w:rsidP="00463282">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463282" w:rsidRPr="00433500">
        <w:rPr>
          <w:rFonts w:ascii="Calibri" w:eastAsia="Times New Roman" w:hAnsi="Calibri" w:cs="Calibri"/>
          <w:kern w:val="0"/>
          <w:sz w:val="20"/>
          <w:szCs w:val="20"/>
          <w:lang w:eastAsia="en-GB" w:bidi="he-IL"/>
          <w14:ligatures w14:val="none"/>
        </w:rPr>
        <w:t xml:space="preserve">David A. Schones, ‘Intertextual Femininity in Proverbs and the Dao de Jing’, in </w:t>
      </w:r>
      <w:r w:rsidR="00463282" w:rsidRPr="00433500">
        <w:rPr>
          <w:rFonts w:ascii="Calibri" w:eastAsia="Times New Roman" w:hAnsi="Calibri" w:cs="Calibri"/>
          <w:i/>
          <w:iCs/>
          <w:kern w:val="0"/>
          <w:sz w:val="20"/>
          <w:szCs w:val="20"/>
          <w:lang w:eastAsia="en-GB" w:bidi="he-IL"/>
          <w14:ligatures w14:val="none"/>
        </w:rPr>
        <w:t>The Oxford Handbook of Feminist Approaches to the Hebrew Bible</w:t>
      </w:r>
      <w:r w:rsidR="00463282" w:rsidRPr="00433500">
        <w:rPr>
          <w:rFonts w:ascii="Calibri" w:eastAsia="Times New Roman" w:hAnsi="Calibri" w:cs="Calibri"/>
          <w:kern w:val="0"/>
          <w:sz w:val="20"/>
          <w:szCs w:val="20"/>
          <w:lang w:eastAsia="en-GB" w:bidi="he-IL"/>
          <w14:ligatures w14:val="none"/>
        </w:rPr>
        <w:t xml:space="preserve"> (Oxford University Press, 2020), p</w:t>
      </w:r>
      <w:r w:rsidR="00463282">
        <w:rPr>
          <w:rFonts w:ascii="Calibri" w:eastAsia="Times New Roman" w:hAnsi="Calibri" w:cs="Calibri"/>
          <w:kern w:val="0"/>
          <w:sz w:val="20"/>
          <w:szCs w:val="20"/>
          <w:lang w:eastAsia="en-GB" w:bidi="he-IL"/>
          <w14:ligatures w14:val="none"/>
        </w:rPr>
        <w:t>. 613.</w:t>
      </w:r>
    </w:p>
  </w:footnote>
  <w:footnote w:id="96">
    <w:p w14:paraId="03283675" w14:textId="739040A8" w:rsidR="002C16FE" w:rsidRDefault="002C16FE" w:rsidP="002C16FE">
      <w:pPr>
        <w:pStyle w:val="FootnoteText"/>
      </w:pPr>
      <w:r>
        <w:rPr>
          <w:rStyle w:val="FootnoteReference"/>
        </w:rPr>
        <w:footnoteRef/>
      </w:r>
      <w:r>
        <w:t xml:space="preserve"> </w:t>
      </w:r>
      <w:r w:rsidR="00463282" w:rsidRPr="00463282">
        <w:rPr>
          <w:rFonts w:ascii="Calibri" w:hAnsi="Calibri" w:cs="Calibri"/>
        </w:rPr>
        <w:t>Ibid., 615.</w:t>
      </w:r>
    </w:p>
  </w:footnote>
  <w:footnote w:id="97">
    <w:p w14:paraId="38BDDD47" w14:textId="5862AF84" w:rsidR="002C16FE" w:rsidRPr="00981E21" w:rsidRDefault="002C16FE" w:rsidP="00981E21">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81E21" w:rsidRPr="006166B4">
        <w:rPr>
          <w:rFonts w:ascii="Calibri" w:eastAsia="Times New Roman" w:hAnsi="Calibri" w:cs="Calibri"/>
          <w:kern w:val="0"/>
          <w:sz w:val="20"/>
          <w:szCs w:val="20"/>
          <w:lang w:eastAsia="en-GB" w:bidi="he-IL"/>
          <w14:ligatures w14:val="none"/>
        </w:rPr>
        <w:t xml:space="preserve">Lisa Allen-McLaurin, ‘Overcoming the Violence of “Virtuous” Womanhood: Liberating Women from the Proverbs 31 Paradigm’, </w:t>
      </w:r>
      <w:r w:rsidR="00981E21" w:rsidRPr="006166B4">
        <w:rPr>
          <w:rFonts w:ascii="Calibri" w:eastAsia="Times New Roman" w:hAnsi="Calibri" w:cs="Calibri"/>
          <w:i/>
          <w:iCs/>
          <w:kern w:val="0"/>
          <w:sz w:val="20"/>
          <w:szCs w:val="20"/>
          <w:lang w:eastAsia="en-GB" w:bidi="he-IL"/>
          <w14:ligatures w14:val="none"/>
        </w:rPr>
        <w:t>Religions</w:t>
      </w:r>
      <w:r w:rsidR="00981E21" w:rsidRPr="006166B4">
        <w:rPr>
          <w:rFonts w:ascii="Calibri" w:eastAsia="Times New Roman" w:hAnsi="Calibri" w:cs="Calibri"/>
          <w:kern w:val="0"/>
          <w:sz w:val="20"/>
          <w:szCs w:val="20"/>
          <w:lang w:eastAsia="en-GB" w:bidi="he-IL"/>
          <w14:ligatures w14:val="none"/>
        </w:rPr>
        <w:t xml:space="preserve">, 14.1028 (2023), </w:t>
      </w:r>
      <w:r w:rsidR="00981E21">
        <w:rPr>
          <w:rFonts w:ascii="Calibri" w:eastAsia="Times New Roman" w:hAnsi="Calibri" w:cs="Calibri"/>
          <w:kern w:val="0"/>
          <w:sz w:val="20"/>
          <w:szCs w:val="20"/>
          <w:lang w:eastAsia="en-GB" w:bidi="he-IL"/>
          <w14:ligatures w14:val="none"/>
        </w:rPr>
        <w:t>p. 9.</w:t>
      </w:r>
    </w:p>
  </w:footnote>
  <w:footnote w:id="98">
    <w:p w14:paraId="66DEBE2A" w14:textId="0D08BAAD" w:rsidR="002C16FE" w:rsidRPr="00981E21" w:rsidRDefault="002C16FE" w:rsidP="002C16FE">
      <w:pPr>
        <w:pStyle w:val="FootnoteText"/>
        <w:rPr>
          <w:rFonts w:ascii="Calibri" w:hAnsi="Calibri" w:cs="Calibri"/>
        </w:rPr>
      </w:pPr>
      <w:r>
        <w:rPr>
          <w:rStyle w:val="FootnoteReference"/>
        </w:rPr>
        <w:footnoteRef/>
      </w:r>
      <w:r>
        <w:t xml:space="preserve"> </w:t>
      </w:r>
      <w:r w:rsidR="00981E21" w:rsidRPr="00981E21">
        <w:rPr>
          <w:rFonts w:ascii="Calibri" w:hAnsi="Calibri" w:cs="Calibri"/>
        </w:rPr>
        <w:t>Ibid., p. 9-10.</w:t>
      </w:r>
    </w:p>
  </w:footnote>
  <w:footnote w:id="99">
    <w:p w14:paraId="0A324C25" w14:textId="48D417C7" w:rsidR="002C16FE" w:rsidRDefault="002C16FE" w:rsidP="002C16FE">
      <w:pPr>
        <w:pStyle w:val="FootnoteText"/>
      </w:pPr>
      <w:r w:rsidRPr="00981E21">
        <w:rPr>
          <w:rStyle w:val="FootnoteReference"/>
          <w:rFonts w:ascii="Calibri" w:hAnsi="Calibri" w:cs="Calibri"/>
        </w:rPr>
        <w:footnoteRef/>
      </w:r>
      <w:r w:rsidR="00981E21" w:rsidRPr="00981E21">
        <w:rPr>
          <w:rFonts w:ascii="Calibri" w:hAnsi="Calibri" w:cs="Calibri"/>
        </w:rPr>
        <w:t xml:space="preserve"> Ibid.</w:t>
      </w:r>
      <w:r w:rsidRPr="00981E21">
        <w:rPr>
          <w:rFonts w:ascii="Calibri" w:hAnsi="Calibri" w:cs="Calibri"/>
        </w:rPr>
        <w:t>, p. 9.</w:t>
      </w:r>
      <w:r>
        <w:t xml:space="preserve"> </w:t>
      </w:r>
    </w:p>
  </w:footnote>
  <w:footnote w:id="100">
    <w:p w14:paraId="7CFD4248" w14:textId="7E078522" w:rsidR="002C16FE" w:rsidRDefault="002C16FE" w:rsidP="002C16FE">
      <w:pPr>
        <w:pStyle w:val="FootnoteText"/>
      </w:pPr>
      <w:r>
        <w:rPr>
          <w:rStyle w:val="FootnoteReference"/>
        </w:rPr>
        <w:footnoteRef/>
      </w:r>
      <w:r>
        <w:t xml:space="preserve"> </w:t>
      </w:r>
      <w:r w:rsidR="00910D7A" w:rsidRPr="00D26CE6">
        <w:rPr>
          <w:rFonts w:ascii="Calibri" w:eastAsia="Times New Roman" w:hAnsi="Calibri" w:cs="Calibri"/>
          <w:kern w:val="0"/>
          <w:lang w:eastAsia="en-GB" w:bidi="he-IL"/>
          <w14:ligatures w14:val="none"/>
        </w:rPr>
        <w:t xml:space="preserve">Camp, </w:t>
      </w:r>
      <w:r w:rsidR="00910D7A" w:rsidRPr="00D26CE6">
        <w:rPr>
          <w:rFonts w:ascii="Calibri" w:eastAsia="Times New Roman" w:hAnsi="Calibri" w:cs="Calibri"/>
          <w:i/>
          <w:iCs/>
          <w:kern w:val="0"/>
          <w:lang w:eastAsia="en-GB" w:bidi="he-IL"/>
          <w14:ligatures w14:val="none"/>
        </w:rPr>
        <w:t>Wisdom and the Feminine in the Book of Proverbs</w:t>
      </w:r>
      <w:r w:rsidR="00910D7A" w:rsidRPr="0031169F">
        <w:rPr>
          <w:rFonts w:ascii="Calibri" w:eastAsia="Times New Roman" w:hAnsi="Calibri" w:cs="Calibri"/>
          <w:i/>
          <w:iCs/>
          <w:kern w:val="0"/>
          <w:lang w:eastAsia="en-GB" w:bidi="he-IL"/>
          <w14:ligatures w14:val="none"/>
        </w:rPr>
        <w:t xml:space="preserve">, </w:t>
      </w:r>
      <w:r w:rsidR="00910D7A" w:rsidRPr="0031169F">
        <w:rPr>
          <w:rFonts w:ascii="Calibri" w:eastAsia="Times New Roman" w:hAnsi="Calibri" w:cs="Calibri"/>
          <w:kern w:val="0"/>
          <w:lang w:eastAsia="en-GB" w:bidi="he-IL"/>
          <w14:ligatures w14:val="none"/>
        </w:rPr>
        <w:t>p.</w:t>
      </w:r>
      <w:r w:rsidR="00910D7A">
        <w:rPr>
          <w:rFonts w:ascii="Calibri" w:eastAsia="Times New Roman" w:hAnsi="Calibri" w:cs="Calibri"/>
          <w:kern w:val="0"/>
          <w:lang w:eastAsia="en-GB" w:bidi="he-IL"/>
          <w14:ligatures w14:val="none"/>
        </w:rPr>
        <w:t xml:space="preserve"> 88.</w:t>
      </w:r>
    </w:p>
  </w:footnote>
  <w:footnote w:id="101">
    <w:p w14:paraId="1AE4C483" w14:textId="6DF8E56B" w:rsidR="002C16FE" w:rsidRPr="009E02EF" w:rsidRDefault="002C16FE" w:rsidP="009E02EF">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9E02EF" w:rsidRPr="00312178">
        <w:rPr>
          <w:rFonts w:ascii="Calibri" w:eastAsia="Times New Roman" w:hAnsi="Calibri" w:cs="Calibri"/>
          <w:kern w:val="0"/>
          <w:sz w:val="20"/>
          <w:szCs w:val="20"/>
          <w:lang w:eastAsia="en-GB" w:bidi="he-IL"/>
          <w14:ligatures w14:val="none"/>
        </w:rPr>
        <w:t xml:space="preserve">Carol L Meyers, </w:t>
      </w:r>
      <w:r w:rsidR="009E02EF" w:rsidRPr="00312178">
        <w:rPr>
          <w:rFonts w:ascii="Calibri" w:eastAsia="Times New Roman" w:hAnsi="Calibri" w:cs="Calibri"/>
          <w:i/>
          <w:iCs/>
          <w:kern w:val="0"/>
          <w:sz w:val="20"/>
          <w:szCs w:val="20"/>
          <w:lang w:eastAsia="en-GB" w:bidi="he-IL"/>
          <w14:ligatures w14:val="none"/>
        </w:rPr>
        <w:t>Rediscovering Eve: Ancient Israelite Women in Context</w:t>
      </w:r>
      <w:r w:rsidR="009E02EF" w:rsidRPr="00312178">
        <w:rPr>
          <w:rFonts w:ascii="Calibri" w:eastAsia="Times New Roman" w:hAnsi="Calibri" w:cs="Calibri"/>
          <w:kern w:val="0"/>
          <w:sz w:val="20"/>
          <w:szCs w:val="20"/>
          <w:lang w:eastAsia="en-GB" w:bidi="he-IL"/>
          <w14:ligatures w14:val="none"/>
        </w:rPr>
        <w:t xml:space="preserve"> (Oxford; New York: Oxford University Press, 2013)</w:t>
      </w:r>
      <w:r w:rsidR="009E02EF">
        <w:rPr>
          <w:rFonts w:ascii="Calibri" w:eastAsia="Times New Roman" w:hAnsi="Calibri" w:cs="Calibri"/>
          <w:kern w:val="0"/>
          <w:sz w:val="20"/>
          <w:szCs w:val="20"/>
          <w:lang w:eastAsia="en-GB" w:bidi="he-IL"/>
          <w14:ligatures w14:val="none"/>
        </w:rPr>
        <w:t xml:space="preserve">, p. 138. </w:t>
      </w:r>
    </w:p>
  </w:footnote>
  <w:footnote w:id="102">
    <w:p w14:paraId="55538EE9" w14:textId="6838088D" w:rsidR="002C16FE" w:rsidRDefault="002C16FE" w:rsidP="002C16FE">
      <w:pPr>
        <w:pStyle w:val="FootnoteText"/>
      </w:pPr>
      <w:r>
        <w:rPr>
          <w:rStyle w:val="FootnoteReference"/>
        </w:rPr>
        <w:footnoteRef/>
      </w:r>
      <w:r>
        <w:t xml:space="preserve"> </w:t>
      </w:r>
      <w:r w:rsidR="009E02EF" w:rsidRPr="009E02EF">
        <w:rPr>
          <w:rFonts w:ascii="Calibri" w:hAnsi="Calibri" w:cs="Calibri"/>
        </w:rPr>
        <w:t>Ibid., p. 138.</w:t>
      </w:r>
    </w:p>
  </w:footnote>
  <w:footnote w:id="103">
    <w:p w14:paraId="019E58C4" w14:textId="0A9CBF81" w:rsidR="002C16FE" w:rsidRPr="001B57D8" w:rsidRDefault="002C16FE" w:rsidP="001B57D8">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1B57D8">
        <w:rPr>
          <w:rFonts w:ascii="Calibri" w:eastAsia="Times New Roman" w:hAnsi="Calibri" w:cs="Calibri"/>
          <w:kern w:val="0"/>
          <w:sz w:val="20"/>
          <w:szCs w:val="20"/>
          <w:lang w:eastAsia="en-GB" w:bidi="he-IL"/>
          <w14:ligatures w14:val="none"/>
        </w:rPr>
        <w:t xml:space="preserve">Meyers, </w:t>
      </w:r>
      <w:r w:rsidR="001B57D8">
        <w:rPr>
          <w:rFonts w:ascii="Calibri" w:eastAsia="Times New Roman" w:hAnsi="Calibri" w:cs="Calibri"/>
          <w:i/>
          <w:iCs/>
          <w:kern w:val="0"/>
          <w:sz w:val="20"/>
          <w:szCs w:val="20"/>
          <w:lang w:eastAsia="en-GB" w:bidi="he-IL"/>
          <w14:ligatures w14:val="none"/>
        </w:rPr>
        <w:t xml:space="preserve">Rediscovering Eve, </w:t>
      </w:r>
      <w:r w:rsidR="001B57D8">
        <w:rPr>
          <w:rFonts w:ascii="Calibri" w:eastAsia="Times New Roman" w:hAnsi="Calibri" w:cs="Calibri"/>
          <w:kern w:val="0"/>
          <w:sz w:val="20"/>
          <w:szCs w:val="20"/>
          <w:lang w:eastAsia="en-GB" w:bidi="he-IL"/>
          <w14:ligatures w14:val="none"/>
        </w:rPr>
        <w:t>p. 139.</w:t>
      </w:r>
    </w:p>
  </w:footnote>
  <w:footnote w:id="104">
    <w:p w14:paraId="0A27A0C1" w14:textId="0FE11FBA" w:rsidR="002C16FE" w:rsidRPr="009579F2" w:rsidRDefault="002C16FE" w:rsidP="009579F2">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579F2" w:rsidRPr="00D26CE6">
        <w:rPr>
          <w:rFonts w:ascii="Calibri" w:eastAsia="Times New Roman" w:hAnsi="Calibri" w:cs="Calibri"/>
          <w:kern w:val="0"/>
          <w:sz w:val="20"/>
          <w:szCs w:val="20"/>
          <w:lang w:eastAsia="en-GB" w:bidi="he-IL"/>
          <w14:ligatures w14:val="none"/>
        </w:rPr>
        <w:t xml:space="preserve">Camp, </w:t>
      </w:r>
      <w:r w:rsidR="009579F2" w:rsidRPr="00D26CE6">
        <w:rPr>
          <w:rFonts w:ascii="Calibri" w:eastAsia="Times New Roman" w:hAnsi="Calibri" w:cs="Calibri"/>
          <w:i/>
          <w:iCs/>
          <w:kern w:val="0"/>
          <w:sz w:val="20"/>
          <w:szCs w:val="20"/>
          <w:lang w:eastAsia="en-GB" w:bidi="he-IL"/>
          <w14:ligatures w14:val="none"/>
        </w:rPr>
        <w:t>Wisdom and the Feminine in the Book of Proverbs</w:t>
      </w:r>
      <w:r w:rsidR="009579F2" w:rsidRPr="0031169F">
        <w:rPr>
          <w:rFonts w:ascii="Calibri" w:eastAsia="Times New Roman" w:hAnsi="Calibri" w:cs="Calibri"/>
          <w:i/>
          <w:iCs/>
          <w:kern w:val="0"/>
          <w:sz w:val="20"/>
          <w:szCs w:val="20"/>
          <w:lang w:eastAsia="en-GB" w:bidi="he-IL"/>
          <w14:ligatures w14:val="none"/>
        </w:rPr>
        <w:t xml:space="preserve">, </w:t>
      </w:r>
      <w:r w:rsidR="009579F2" w:rsidRPr="0031169F">
        <w:rPr>
          <w:rFonts w:ascii="Calibri" w:eastAsia="Times New Roman" w:hAnsi="Calibri" w:cs="Calibri"/>
          <w:kern w:val="0"/>
          <w:sz w:val="20"/>
          <w:szCs w:val="20"/>
          <w:lang w:eastAsia="en-GB" w:bidi="he-IL"/>
          <w14:ligatures w14:val="none"/>
        </w:rPr>
        <w:t xml:space="preserve">p. </w:t>
      </w:r>
      <w:r w:rsidR="009579F2">
        <w:rPr>
          <w:rFonts w:ascii="Calibri" w:eastAsia="Times New Roman" w:hAnsi="Calibri" w:cs="Calibri"/>
          <w:kern w:val="0"/>
          <w:sz w:val="20"/>
          <w:szCs w:val="20"/>
          <w:lang w:eastAsia="en-GB" w:bidi="he-IL"/>
          <w14:ligatures w14:val="none"/>
        </w:rPr>
        <w:t>87.</w:t>
      </w:r>
    </w:p>
  </w:footnote>
  <w:footnote w:id="105">
    <w:p w14:paraId="2D4EB6DD" w14:textId="2DECFEFB" w:rsidR="002C16FE" w:rsidRPr="00762726" w:rsidRDefault="002C16FE" w:rsidP="00762726">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762726" w:rsidRPr="0031169F">
        <w:rPr>
          <w:rFonts w:ascii="Calibri" w:eastAsia="Times New Roman" w:hAnsi="Calibri" w:cs="Calibri"/>
          <w:kern w:val="0"/>
          <w:sz w:val="20"/>
          <w:szCs w:val="20"/>
          <w:lang w:eastAsia="en-GB" w:bidi="he-IL"/>
          <w14:ligatures w14:val="none"/>
        </w:rPr>
        <w:t xml:space="preserve">Ibid., p. </w:t>
      </w:r>
      <w:r w:rsidR="00762726">
        <w:rPr>
          <w:rFonts w:ascii="Calibri" w:eastAsia="Times New Roman" w:hAnsi="Calibri" w:cs="Calibri"/>
          <w:kern w:val="0"/>
          <w:sz w:val="20"/>
          <w:szCs w:val="20"/>
          <w:lang w:eastAsia="en-GB" w:bidi="he-IL"/>
          <w14:ligatures w14:val="none"/>
        </w:rPr>
        <w:t xml:space="preserve">90. </w:t>
      </w:r>
    </w:p>
  </w:footnote>
  <w:footnote w:id="106">
    <w:p w14:paraId="3FC9F498" w14:textId="23DA6CA9" w:rsidR="002C16FE" w:rsidRPr="00081E19" w:rsidRDefault="002C16FE" w:rsidP="00081E19">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081E19" w:rsidRPr="00433500">
        <w:rPr>
          <w:rFonts w:ascii="Calibri" w:eastAsia="Times New Roman" w:hAnsi="Calibri" w:cs="Calibri"/>
          <w:kern w:val="0"/>
          <w:sz w:val="20"/>
          <w:szCs w:val="20"/>
          <w:lang w:eastAsia="en-GB" w:bidi="he-IL"/>
          <w14:ligatures w14:val="none"/>
        </w:rPr>
        <w:t>Schones</w:t>
      </w:r>
      <w:r w:rsidR="00081E19">
        <w:rPr>
          <w:rFonts w:ascii="Calibri" w:eastAsia="Times New Roman" w:hAnsi="Calibri" w:cs="Calibri"/>
          <w:kern w:val="0"/>
          <w:sz w:val="20"/>
          <w:szCs w:val="20"/>
          <w:lang w:eastAsia="en-GB" w:bidi="he-IL"/>
          <w14:ligatures w14:val="none"/>
        </w:rPr>
        <w:t>, p. 614.</w:t>
      </w:r>
    </w:p>
  </w:footnote>
  <w:footnote w:id="107">
    <w:p w14:paraId="41B9452C" w14:textId="77D4E606" w:rsidR="002C16FE" w:rsidRPr="00081E19" w:rsidRDefault="002C16FE" w:rsidP="002C16FE">
      <w:pPr>
        <w:pStyle w:val="FootnoteText"/>
        <w:rPr>
          <w:rFonts w:ascii="Calibri" w:hAnsi="Calibri" w:cs="Calibri"/>
        </w:rPr>
      </w:pPr>
      <w:r w:rsidRPr="00081E19">
        <w:rPr>
          <w:rStyle w:val="FootnoteReference"/>
          <w:rFonts w:ascii="Calibri" w:hAnsi="Calibri" w:cs="Calibri"/>
        </w:rPr>
        <w:footnoteRef/>
      </w:r>
      <w:r w:rsidRPr="00081E19">
        <w:rPr>
          <w:rFonts w:ascii="Calibri" w:hAnsi="Calibri" w:cs="Calibri"/>
        </w:rPr>
        <w:t xml:space="preserve"> </w:t>
      </w:r>
      <w:r w:rsidR="00081E19" w:rsidRPr="00081E19">
        <w:rPr>
          <w:rFonts w:ascii="Calibri" w:hAnsi="Calibri" w:cs="Calibri"/>
        </w:rPr>
        <w:t>Ibid., p. 614.</w:t>
      </w:r>
    </w:p>
  </w:footnote>
  <w:footnote w:id="108">
    <w:p w14:paraId="7B9F71F6" w14:textId="1663B130" w:rsidR="002C16FE" w:rsidRDefault="002C16FE" w:rsidP="002C16FE">
      <w:pPr>
        <w:pStyle w:val="FootnoteText"/>
      </w:pPr>
      <w:r w:rsidRPr="00081E19">
        <w:rPr>
          <w:rStyle w:val="FootnoteReference"/>
          <w:rFonts w:ascii="Calibri" w:hAnsi="Calibri" w:cs="Calibri"/>
        </w:rPr>
        <w:footnoteRef/>
      </w:r>
      <w:r w:rsidRPr="00081E19">
        <w:rPr>
          <w:rFonts w:ascii="Calibri" w:hAnsi="Calibri" w:cs="Calibri"/>
        </w:rPr>
        <w:t xml:space="preserve"> </w:t>
      </w:r>
      <w:r w:rsidR="00081E19" w:rsidRPr="00081E19">
        <w:rPr>
          <w:rFonts w:ascii="Calibri" w:hAnsi="Calibri" w:cs="Calibri"/>
        </w:rPr>
        <w:t>Ibid., p. 617.</w:t>
      </w:r>
    </w:p>
  </w:footnote>
  <w:footnote w:id="109">
    <w:p w14:paraId="2EE3E76D" w14:textId="50947EF4" w:rsidR="002C16FE" w:rsidRPr="00BF7C79" w:rsidRDefault="002C16FE" w:rsidP="00BF7C79">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BF7C79" w:rsidRPr="000C6C1E">
        <w:rPr>
          <w:rFonts w:ascii="Calibri" w:eastAsia="Times New Roman" w:hAnsi="Calibri" w:cs="Calibri"/>
          <w:kern w:val="0"/>
          <w:sz w:val="20"/>
          <w:szCs w:val="20"/>
          <w:lang w:eastAsia="en-GB" w:bidi="he-IL"/>
          <w14:ligatures w14:val="none"/>
        </w:rPr>
        <w:t xml:space="preserve">Rotem </w:t>
      </w:r>
      <w:proofErr w:type="spellStart"/>
      <w:r w:rsidR="00BF7C79" w:rsidRPr="000C6C1E">
        <w:rPr>
          <w:rFonts w:ascii="Calibri" w:eastAsia="Times New Roman" w:hAnsi="Calibri" w:cs="Calibri"/>
          <w:kern w:val="0"/>
          <w:sz w:val="20"/>
          <w:szCs w:val="20"/>
          <w:lang w:eastAsia="en-GB" w:bidi="he-IL"/>
          <w14:ligatures w14:val="none"/>
        </w:rPr>
        <w:t>Kahalon</w:t>
      </w:r>
      <w:proofErr w:type="spellEnd"/>
      <w:r w:rsidR="00BF7C79" w:rsidRPr="000C6C1E">
        <w:rPr>
          <w:rFonts w:ascii="Calibri" w:eastAsia="Times New Roman" w:hAnsi="Calibri" w:cs="Calibri"/>
          <w:kern w:val="0"/>
          <w:sz w:val="20"/>
          <w:szCs w:val="20"/>
          <w:lang w:eastAsia="en-GB" w:bidi="he-IL"/>
          <w14:ligatures w14:val="none"/>
        </w:rPr>
        <w:t xml:space="preserve"> and others, ‘The Madonna-Whore Dichotomy Is Associated with Patriarchy Endorsement: Evidence from Israel, the United States, and Germany’, </w:t>
      </w:r>
      <w:r w:rsidR="00BF7C79" w:rsidRPr="000C6C1E">
        <w:rPr>
          <w:rFonts w:ascii="Calibri" w:eastAsia="Times New Roman" w:hAnsi="Calibri" w:cs="Calibri"/>
          <w:i/>
          <w:iCs/>
          <w:kern w:val="0"/>
          <w:sz w:val="20"/>
          <w:szCs w:val="20"/>
          <w:lang w:eastAsia="en-GB" w:bidi="he-IL"/>
          <w14:ligatures w14:val="none"/>
        </w:rPr>
        <w:t>Psychology of Women Quarterly</w:t>
      </w:r>
      <w:r w:rsidR="00BF7C79" w:rsidRPr="000C6C1E">
        <w:rPr>
          <w:rFonts w:ascii="Calibri" w:eastAsia="Times New Roman" w:hAnsi="Calibri" w:cs="Calibri"/>
          <w:kern w:val="0"/>
          <w:sz w:val="20"/>
          <w:szCs w:val="20"/>
          <w:lang w:eastAsia="en-GB" w:bidi="he-IL"/>
          <w14:ligatures w14:val="none"/>
        </w:rPr>
        <w:t xml:space="preserve">, 43.3 (2019), </w:t>
      </w:r>
      <w:r w:rsidR="00BF7C79" w:rsidRPr="0031169F">
        <w:rPr>
          <w:rFonts w:ascii="Calibri" w:eastAsia="Times New Roman" w:hAnsi="Calibri" w:cs="Calibri"/>
          <w:kern w:val="0"/>
          <w:sz w:val="20"/>
          <w:szCs w:val="20"/>
          <w:lang w:eastAsia="en-GB" w:bidi="he-IL"/>
          <w14:ligatures w14:val="none"/>
        </w:rPr>
        <w:t xml:space="preserve">p. </w:t>
      </w:r>
      <w:r w:rsidR="00BF7C79">
        <w:rPr>
          <w:rFonts w:ascii="Calibri" w:eastAsia="Times New Roman" w:hAnsi="Calibri" w:cs="Calibri"/>
          <w:kern w:val="0"/>
          <w:sz w:val="20"/>
          <w:szCs w:val="20"/>
          <w:lang w:eastAsia="en-GB" w:bidi="he-IL"/>
          <w14:ligatures w14:val="none"/>
        </w:rPr>
        <w:t>348.</w:t>
      </w:r>
    </w:p>
  </w:footnote>
  <w:footnote w:id="110">
    <w:p w14:paraId="7831FA37" w14:textId="72F9521A" w:rsidR="002C16FE" w:rsidRPr="008A4CC5" w:rsidRDefault="002C16FE" w:rsidP="008A4CC5">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8A4CC5" w:rsidRPr="0031169F">
        <w:rPr>
          <w:rFonts w:ascii="Calibri" w:eastAsia="Times New Roman" w:hAnsi="Calibri" w:cs="Calibri"/>
          <w:kern w:val="0"/>
          <w:sz w:val="20"/>
          <w:szCs w:val="20"/>
          <w:lang w:eastAsia="en-GB" w:bidi="he-IL"/>
          <w14:ligatures w14:val="none"/>
        </w:rPr>
        <w:t xml:space="preserve">Ibid., p. </w:t>
      </w:r>
      <w:r w:rsidR="008A4CC5">
        <w:rPr>
          <w:rFonts w:ascii="Calibri" w:eastAsia="Times New Roman" w:hAnsi="Calibri" w:cs="Calibri"/>
          <w:kern w:val="0"/>
          <w:sz w:val="20"/>
          <w:szCs w:val="20"/>
          <w:lang w:eastAsia="en-GB" w:bidi="he-IL"/>
          <w14:ligatures w14:val="none"/>
        </w:rPr>
        <w:t xml:space="preserve">359. </w:t>
      </w:r>
    </w:p>
  </w:footnote>
  <w:footnote w:id="111">
    <w:p w14:paraId="305903F9" w14:textId="77777777" w:rsidR="002C16FE" w:rsidRDefault="002C16FE" w:rsidP="002C16FE">
      <w:pPr>
        <w:pStyle w:val="FootnoteText"/>
      </w:pPr>
      <w:r>
        <w:rPr>
          <w:rStyle w:val="FootnoteReference"/>
        </w:rPr>
        <w:footnoteRef/>
      </w:r>
      <w:r>
        <w:t xml:space="preserve"> </w:t>
      </w:r>
      <w:r w:rsidRPr="008A4CC5">
        <w:rPr>
          <w:rFonts w:ascii="Calibri" w:hAnsi="Calibri" w:cs="Calibri"/>
        </w:rPr>
        <w:t>Allen-McLaurin, p. 8.</w:t>
      </w:r>
    </w:p>
  </w:footnote>
  <w:footnote w:id="112">
    <w:p w14:paraId="61FA21D3" w14:textId="21A3ED79" w:rsidR="002C16FE" w:rsidRPr="008A4CC5" w:rsidRDefault="002C16FE" w:rsidP="002C16FE">
      <w:pPr>
        <w:pStyle w:val="FootnoteText"/>
        <w:rPr>
          <w:rFonts w:ascii="Calibri" w:hAnsi="Calibri" w:cs="Calibri"/>
        </w:rPr>
      </w:pPr>
      <w:r>
        <w:rPr>
          <w:rStyle w:val="FootnoteReference"/>
        </w:rPr>
        <w:footnoteRef/>
      </w:r>
      <w:r>
        <w:t xml:space="preserve"> </w:t>
      </w:r>
      <w:r w:rsidR="008A4CC5" w:rsidRPr="008A4CC5">
        <w:rPr>
          <w:rFonts w:ascii="Calibri" w:hAnsi="Calibri" w:cs="Calibri"/>
        </w:rPr>
        <w:t>Ibid., p. 3.</w:t>
      </w:r>
    </w:p>
  </w:footnote>
  <w:footnote w:id="113">
    <w:p w14:paraId="53F08899" w14:textId="4FBD5C85" w:rsidR="002C16FE" w:rsidRDefault="002C16FE" w:rsidP="002C16FE">
      <w:pPr>
        <w:pStyle w:val="FootnoteText"/>
      </w:pPr>
      <w:r w:rsidRPr="008A4CC5">
        <w:rPr>
          <w:rStyle w:val="FootnoteReference"/>
          <w:rFonts w:ascii="Calibri" w:hAnsi="Calibri" w:cs="Calibri"/>
        </w:rPr>
        <w:footnoteRef/>
      </w:r>
      <w:r w:rsidRPr="008A4CC5">
        <w:rPr>
          <w:rFonts w:ascii="Calibri" w:hAnsi="Calibri" w:cs="Calibri"/>
        </w:rPr>
        <w:t xml:space="preserve"> </w:t>
      </w:r>
      <w:r w:rsidR="008A4CC5" w:rsidRPr="008A4CC5">
        <w:rPr>
          <w:rFonts w:ascii="Calibri" w:hAnsi="Calibri" w:cs="Calibri"/>
        </w:rPr>
        <w:t>Ibid., p. 8.</w:t>
      </w:r>
    </w:p>
  </w:footnote>
  <w:footnote w:id="114">
    <w:p w14:paraId="4DB53377" w14:textId="77777777" w:rsidR="002C16FE" w:rsidRPr="008A4CC5" w:rsidRDefault="002C16FE" w:rsidP="002C16FE">
      <w:pPr>
        <w:pStyle w:val="FootnoteText"/>
        <w:rPr>
          <w:rFonts w:ascii="Calibri" w:hAnsi="Calibri" w:cs="Calibri"/>
        </w:rPr>
      </w:pPr>
      <w:r>
        <w:rPr>
          <w:rStyle w:val="FootnoteReference"/>
        </w:rPr>
        <w:footnoteRef/>
      </w:r>
      <w:r>
        <w:t xml:space="preserve"> </w:t>
      </w:r>
      <w:r w:rsidRPr="008A4CC5">
        <w:rPr>
          <w:rFonts w:ascii="Calibri" w:hAnsi="Calibri" w:cs="Calibri"/>
        </w:rPr>
        <w:t>Viviers, p. 888.</w:t>
      </w:r>
    </w:p>
  </w:footnote>
  <w:footnote w:id="115">
    <w:p w14:paraId="3B844CEC" w14:textId="0773F196" w:rsidR="002C16FE" w:rsidRDefault="002C16FE" w:rsidP="002C16FE">
      <w:pPr>
        <w:pStyle w:val="FootnoteText"/>
      </w:pPr>
      <w:r w:rsidRPr="008A4CC5">
        <w:rPr>
          <w:rStyle w:val="FootnoteReference"/>
          <w:rFonts w:ascii="Calibri" w:hAnsi="Calibri" w:cs="Calibri"/>
        </w:rPr>
        <w:footnoteRef/>
      </w:r>
      <w:r w:rsidRPr="008A4CC5">
        <w:rPr>
          <w:rFonts w:ascii="Calibri" w:hAnsi="Calibri" w:cs="Calibri"/>
        </w:rPr>
        <w:t xml:space="preserve"> Schones, p. 617.</w:t>
      </w:r>
      <w:r>
        <w:t xml:space="preserve"> </w:t>
      </w:r>
    </w:p>
  </w:footnote>
  <w:footnote w:id="116">
    <w:p w14:paraId="5D87DAC4" w14:textId="0EB55935" w:rsidR="002C16FE" w:rsidRDefault="002C16FE" w:rsidP="002C16FE">
      <w:pPr>
        <w:pStyle w:val="FootnoteText"/>
      </w:pPr>
      <w:r>
        <w:rPr>
          <w:rStyle w:val="FootnoteReference"/>
        </w:rPr>
        <w:footnoteRef/>
      </w:r>
      <w:r>
        <w:t xml:space="preserve"> </w:t>
      </w:r>
      <w:r w:rsidR="008A4CC5" w:rsidRPr="008A4CC5">
        <w:rPr>
          <w:rFonts w:ascii="Calibri" w:hAnsi="Calibri" w:cs="Calibri"/>
        </w:rPr>
        <w:t>Schones, p. 617.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D14B7"/>
    <w:multiLevelType w:val="hybridMultilevel"/>
    <w:tmpl w:val="F072D924"/>
    <w:lvl w:ilvl="0" w:tplc="BE94A4CE">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514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I3NrQ0sjQ0sDQ2NjVR0lEKTi0uzszPAykwNKwFACSApTAtAAAA"/>
  </w:docVars>
  <w:rsids>
    <w:rsidRoot w:val="00601EF6"/>
    <w:rsid w:val="0000188A"/>
    <w:rsid w:val="00001C6A"/>
    <w:rsid w:val="00002577"/>
    <w:rsid w:val="00004453"/>
    <w:rsid w:val="00012FFF"/>
    <w:rsid w:val="00013527"/>
    <w:rsid w:val="00013829"/>
    <w:rsid w:val="00017130"/>
    <w:rsid w:val="00031E16"/>
    <w:rsid w:val="00052649"/>
    <w:rsid w:val="00057CE5"/>
    <w:rsid w:val="0006109D"/>
    <w:rsid w:val="00077983"/>
    <w:rsid w:val="00081E19"/>
    <w:rsid w:val="00090D3F"/>
    <w:rsid w:val="00090F0A"/>
    <w:rsid w:val="000A46CA"/>
    <w:rsid w:val="000A5B64"/>
    <w:rsid w:val="000B3E1C"/>
    <w:rsid w:val="000C3C91"/>
    <w:rsid w:val="000C60E2"/>
    <w:rsid w:val="000C7947"/>
    <w:rsid w:val="000D11C0"/>
    <w:rsid w:val="000D2B39"/>
    <w:rsid w:val="000D5467"/>
    <w:rsid w:val="000E6773"/>
    <w:rsid w:val="000F3EFB"/>
    <w:rsid w:val="001014C6"/>
    <w:rsid w:val="00117872"/>
    <w:rsid w:val="00123A8B"/>
    <w:rsid w:val="00124AA4"/>
    <w:rsid w:val="001320B1"/>
    <w:rsid w:val="0014341A"/>
    <w:rsid w:val="0014350C"/>
    <w:rsid w:val="00145FD7"/>
    <w:rsid w:val="00155113"/>
    <w:rsid w:val="00156650"/>
    <w:rsid w:val="00163D22"/>
    <w:rsid w:val="00166153"/>
    <w:rsid w:val="00172293"/>
    <w:rsid w:val="00181C02"/>
    <w:rsid w:val="001A0ABC"/>
    <w:rsid w:val="001A249E"/>
    <w:rsid w:val="001A6621"/>
    <w:rsid w:val="001B11F8"/>
    <w:rsid w:val="001B57D8"/>
    <w:rsid w:val="001C1F5F"/>
    <w:rsid w:val="001C3E03"/>
    <w:rsid w:val="001C5DE4"/>
    <w:rsid w:val="001D61A0"/>
    <w:rsid w:val="001E4C0D"/>
    <w:rsid w:val="001F1419"/>
    <w:rsid w:val="001F4FD8"/>
    <w:rsid w:val="00210375"/>
    <w:rsid w:val="002122E0"/>
    <w:rsid w:val="00223120"/>
    <w:rsid w:val="0022380B"/>
    <w:rsid w:val="00231D65"/>
    <w:rsid w:val="00234781"/>
    <w:rsid w:val="00254AD6"/>
    <w:rsid w:val="0025618D"/>
    <w:rsid w:val="002661BA"/>
    <w:rsid w:val="00267847"/>
    <w:rsid w:val="002A3661"/>
    <w:rsid w:val="002C07D0"/>
    <w:rsid w:val="002C16FE"/>
    <w:rsid w:val="002E0DDA"/>
    <w:rsid w:val="002E3636"/>
    <w:rsid w:val="002E4921"/>
    <w:rsid w:val="00300C73"/>
    <w:rsid w:val="00305D8F"/>
    <w:rsid w:val="00310BE0"/>
    <w:rsid w:val="003115A8"/>
    <w:rsid w:val="0031411B"/>
    <w:rsid w:val="00324C80"/>
    <w:rsid w:val="0033040C"/>
    <w:rsid w:val="003405BF"/>
    <w:rsid w:val="003440CA"/>
    <w:rsid w:val="00344B09"/>
    <w:rsid w:val="0035690F"/>
    <w:rsid w:val="003626CC"/>
    <w:rsid w:val="00363B1F"/>
    <w:rsid w:val="00363BD7"/>
    <w:rsid w:val="00364AEE"/>
    <w:rsid w:val="0036611C"/>
    <w:rsid w:val="00367EA6"/>
    <w:rsid w:val="0037218C"/>
    <w:rsid w:val="00374B32"/>
    <w:rsid w:val="0037656C"/>
    <w:rsid w:val="00382940"/>
    <w:rsid w:val="00385C4C"/>
    <w:rsid w:val="003906F2"/>
    <w:rsid w:val="003A1443"/>
    <w:rsid w:val="003A3649"/>
    <w:rsid w:val="003C11D3"/>
    <w:rsid w:val="003C7583"/>
    <w:rsid w:val="003D1A42"/>
    <w:rsid w:val="003F1833"/>
    <w:rsid w:val="003F2B84"/>
    <w:rsid w:val="003F382B"/>
    <w:rsid w:val="003F3D3D"/>
    <w:rsid w:val="004007A8"/>
    <w:rsid w:val="00406599"/>
    <w:rsid w:val="00412CE9"/>
    <w:rsid w:val="00417073"/>
    <w:rsid w:val="00432136"/>
    <w:rsid w:val="004364A0"/>
    <w:rsid w:val="004408DB"/>
    <w:rsid w:val="00451BFE"/>
    <w:rsid w:val="00463282"/>
    <w:rsid w:val="00467F06"/>
    <w:rsid w:val="00470932"/>
    <w:rsid w:val="00476E3C"/>
    <w:rsid w:val="00483CBC"/>
    <w:rsid w:val="0048505F"/>
    <w:rsid w:val="00493E42"/>
    <w:rsid w:val="004B142B"/>
    <w:rsid w:val="004C554F"/>
    <w:rsid w:val="004C586F"/>
    <w:rsid w:val="004C6D12"/>
    <w:rsid w:val="004C76E0"/>
    <w:rsid w:val="004D3376"/>
    <w:rsid w:val="004D41B2"/>
    <w:rsid w:val="004D4CC3"/>
    <w:rsid w:val="004E1029"/>
    <w:rsid w:val="004E57F4"/>
    <w:rsid w:val="004F2B73"/>
    <w:rsid w:val="004F6A05"/>
    <w:rsid w:val="00501F3A"/>
    <w:rsid w:val="00511456"/>
    <w:rsid w:val="00522316"/>
    <w:rsid w:val="00531F3C"/>
    <w:rsid w:val="005974EE"/>
    <w:rsid w:val="005A70D5"/>
    <w:rsid w:val="005A762E"/>
    <w:rsid w:val="005C3E5D"/>
    <w:rsid w:val="005D0C82"/>
    <w:rsid w:val="005F31BA"/>
    <w:rsid w:val="005F460C"/>
    <w:rsid w:val="005F62C5"/>
    <w:rsid w:val="00601EF6"/>
    <w:rsid w:val="00605635"/>
    <w:rsid w:val="006100C4"/>
    <w:rsid w:val="0061674B"/>
    <w:rsid w:val="00622631"/>
    <w:rsid w:val="0062491D"/>
    <w:rsid w:val="00652A34"/>
    <w:rsid w:val="00654E15"/>
    <w:rsid w:val="00655E66"/>
    <w:rsid w:val="006629C8"/>
    <w:rsid w:val="00693486"/>
    <w:rsid w:val="0069453E"/>
    <w:rsid w:val="006A48CA"/>
    <w:rsid w:val="006A6456"/>
    <w:rsid w:val="006B02E8"/>
    <w:rsid w:val="006B7515"/>
    <w:rsid w:val="006C5A3E"/>
    <w:rsid w:val="006D2EF6"/>
    <w:rsid w:val="006E3043"/>
    <w:rsid w:val="006E3CEC"/>
    <w:rsid w:val="006E6F3D"/>
    <w:rsid w:val="006F01D5"/>
    <w:rsid w:val="006F66A1"/>
    <w:rsid w:val="00702A4C"/>
    <w:rsid w:val="00711265"/>
    <w:rsid w:val="00713A9F"/>
    <w:rsid w:val="00716277"/>
    <w:rsid w:val="007271D8"/>
    <w:rsid w:val="00730A85"/>
    <w:rsid w:val="00730D6F"/>
    <w:rsid w:val="00736FED"/>
    <w:rsid w:val="00737358"/>
    <w:rsid w:val="00745142"/>
    <w:rsid w:val="00760C2F"/>
    <w:rsid w:val="00762726"/>
    <w:rsid w:val="007676D2"/>
    <w:rsid w:val="00772D13"/>
    <w:rsid w:val="00785A90"/>
    <w:rsid w:val="007918BD"/>
    <w:rsid w:val="007933DD"/>
    <w:rsid w:val="007A6D19"/>
    <w:rsid w:val="007B34B4"/>
    <w:rsid w:val="007B44D2"/>
    <w:rsid w:val="007E6E5E"/>
    <w:rsid w:val="007F1777"/>
    <w:rsid w:val="007F49F9"/>
    <w:rsid w:val="007F4E45"/>
    <w:rsid w:val="007F72F6"/>
    <w:rsid w:val="008032FF"/>
    <w:rsid w:val="00803828"/>
    <w:rsid w:val="0081030B"/>
    <w:rsid w:val="00835C2F"/>
    <w:rsid w:val="00837745"/>
    <w:rsid w:val="00841A9A"/>
    <w:rsid w:val="00842018"/>
    <w:rsid w:val="00842063"/>
    <w:rsid w:val="008461D0"/>
    <w:rsid w:val="0085155F"/>
    <w:rsid w:val="00867040"/>
    <w:rsid w:val="0087054C"/>
    <w:rsid w:val="00880742"/>
    <w:rsid w:val="00885262"/>
    <w:rsid w:val="00892341"/>
    <w:rsid w:val="0089602C"/>
    <w:rsid w:val="00896BAF"/>
    <w:rsid w:val="008A1C67"/>
    <w:rsid w:val="008A4CC5"/>
    <w:rsid w:val="008A5777"/>
    <w:rsid w:val="008A77A3"/>
    <w:rsid w:val="008A78A6"/>
    <w:rsid w:val="008B316A"/>
    <w:rsid w:val="008C0EDB"/>
    <w:rsid w:val="008C2DC1"/>
    <w:rsid w:val="008D1CF0"/>
    <w:rsid w:val="008D39CF"/>
    <w:rsid w:val="008E2967"/>
    <w:rsid w:val="008E3B89"/>
    <w:rsid w:val="008F1E13"/>
    <w:rsid w:val="008F2072"/>
    <w:rsid w:val="00902A3E"/>
    <w:rsid w:val="00902A96"/>
    <w:rsid w:val="009100E0"/>
    <w:rsid w:val="00910D7A"/>
    <w:rsid w:val="00912D2B"/>
    <w:rsid w:val="0091762C"/>
    <w:rsid w:val="00920D43"/>
    <w:rsid w:val="00921314"/>
    <w:rsid w:val="00921A1D"/>
    <w:rsid w:val="0093093E"/>
    <w:rsid w:val="00931FBC"/>
    <w:rsid w:val="0093410C"/>
    <w:rsid w:val="009353F0"/>
    <w:rsid w:val="009360CA"/>
    <w:rsid w:val="00942DD1"/>
    <w:rsid w:val="009503DA"/>
    <w:rsid w:val="00951807"/>
    <w:rsid w:val="0095556C"/>
    <w:rsid w:val="009567BA"/>
    <w:rsid w:val="009579F2"/>
    <w:rsid w:val="00965D64"/>
    <w:rsid w:val="00971711"/>
    <w:rsid w:val="009748C0"/>
    <w:rsid w:val="00976E4D"/>
    <w:rsid w:val="00981E21"/>
    <w:rsid w:val="00984E47"/>
    <w:rsid w:val="00986AC9"/>
    <w:rsid w:val="00994607"/>
    <w:rsid w:val="009973D7"/>
    <w:rsid w:val="009A27EB"/>
    <w:rsid w:val="009A4F93"/>
    <w:rsid w:val="009A5183"/>
    <w:rsid w:val="009A6D7B"/>
    <w:rsid w:val="009B1827"/>
    <w:rsid w:val="009B2398"/>
    <w:rsid w:val="009B5917"/>
    <w:rsid w:val="009E02EF"/>
    <w:rsid w:val="009F4CC1"/>
    <w:rsid w:val="00A03351"/>
    <w:rsid w:val="00A05E20"/>
    <w:rsid w:val="00A07B13"/>
    <w:rsid w:val="00A17C65"/>
    <w:rsid w:val="00A332DC"/>
    <w:rsid w:val="00A4371F"/>
    <w:rsid w:val="00A477B5"/>
    <w:rsid w:val="00A50E98"/>
    <w:rsid w:val="00A54051"/>
    <w:rsid w:val="00A5424B"/>
    <w:rsid w:val="00A56B03"/>
    <w:rsid w:val="00A63203"/>
    <w:rsid w:val="00A71D1F"/>
    <w:rsid w:val="00A72BA5"/>
    <w:rsid w:val="00A76260"/>
    <w:rsid w:val="00A830F7"/>
    <w:rsid w:val="00A84A20"/>
    <w:rsid w:val="00A84ACA"/>
    <w:rsid w:val="00A86E48"/>
    <w:rsid w:val="00A87BCA"/>
    <w:rsid w:val="00AA15C9"/>
    <w:rsid w:val="00AA5C5E"/>
    <w:rsid w:val="00AD5198"/>
    <w:rsid w:val="00AF4BE2"/>
    <w:rsid w:val="00AF6A23"/>
    <w:rsid w:val="00AF710E"/>
    <w:rsid w:val="00B01A79"/>
    <w:rsid w:val="00B022DE"/>
    <w:rsid w:val="00B07B3A"/>
    <w:rsid w:val="00B11DD1"/>
    <w:rsid w:val="00B16F71"/>
    <w:rsid w:val="00B21A68"/>
    <w:rsid w:val="00B3651B"/>
    <w:rsid w:val="00B36D69"/>
    <w:rsid w:val="00B46FE8"/>
    <w:rsid w:val="00B47FE1"/>
    <w:rsid w:val="00B50067"/>
    <w:rsid w:val="00B52EF0"/>
    <w:rsid w:val="00B64B91"/>
    <w:rsid w:val="00B77FE5"/>
    <w:rsid w:val="00B80531"/>
    <w:rsid w:val="00B80EAF"/>
    <w:rsid w:val="00B85149"/>
    <w:rsid w:val="00B90914"/>
    <w:rsid w:val="00B937E8"/>
    <w:rsid w:val="00BB498D"/>
    <w:rsid w:val="00BC74F8"/>
    <w:rsid w:val="00BF7452"/>
    <w:rsid w:val="00BF7C79"/>
    <w:rsid w:val="00C01DBC"/>
    <w:rsid w:val="00C10117"/>
    <w:rsid w:val="00C140A6"/>
    <w:rsid w:val="00C225BE"/>
    <w:rsid w:val="00C25867"/>
    <w:rsid w:val="00C27B22"/>
    <w:rsid w:val="00C36035"/>
    <w:rsid w:val="00C3617E"/>
    <w:rsid w:val="00C4076C"/>
    <w:rsid w:val="00C46A6E"/>
    <w:rsid w:val="00C50903"/>
    <w:rsid w:val="00C85255"/>
    <w:rsid w:val="00C86FF0"/>
    <w:rsid w:val="00C91726"/>
    <w:rsid w:val="00C9279B"/>
    <w:rsid w:val="00CA2182"/>
    <w:rsid w:val="00CA3737"/>
    <w:rsid w:val="00CA6FD6"/>
    <w:rsid w:val="00CB1884"/>
    <w:rsid w:val="00CB1952"/>
    <w:rsid w:val="00CB5380"/>
    <w:rsid w:val="00CC11BF"/>
    <w:rsid w:val="00CC7B5F"/>
    <w:rsid w:val="00CC7CAE"/>
    <w:rsid w:val="00CD4822"/>
    <w:rsid w:val="00CE3284"/>
    <w:rsid w:val="00D121BA"/>
    <w:rsid w:val="00D129B0"/>
    <w:rsid w:val="00D2672C"/>
    <w:rsid w:val="00D43ABC"/>
    <w:rsid w:val="00D50950"/>
    <w:rsid w:val="00D620A0"/>
    <w:rsid w:val="00DA5FF1"/>
    <w:rsid w:val="00DA6CC2"/>
    <w:rsid w:val="00DC1AC4"/>
    <w:rsid w:val="00DC413E"/>
    <w:rsid w:val="00DD1582"/>
    <w:rsid w:val="00DE2DB3"/>
    <w:rsid w:val="00DF654F"/>
    <w:rsid w:val="00E21A05"/>
    <w:rsid w:val="00E275A1"/>
    <w:rsid w:val="00E33D4E"/>
    <w:rsid w:val="00E3514C"/>
    <w:rsid w:val="00E43ECA"/>
    <w:rsid w:val="00E61250"/>
    <w:rsid w:val="00E613B6"/>
    <w:rsid w:val="00E6153D"/>
    <w:rsid w:val="00E6263C"/>
    <w:rsid w:val="00E67EEB"/>
    <w:rsid w:val="00E8248A"/>
    <w:rsid w:val="00E87120"/>
    <w:rsid w:val="00E94596"/>
    <w:rsid w:val="00E951B0"/>
    <w:rsid w:val="00EA08BC"/>
    <w:rsid w:val="00EA3465"/>
    <w:rsid w:val="00EA5024"/>
    <w:rsid w:val="00EC1889"/>
    <w:rsid w:val="00EC206E"/>
    <w:rsid w:val="00EC55A8"/>
    <w:rsid w:val="00ED6813"/>
    <w:rsid w:val="00F14DC3"/>
    <w:rsid w:val="00F20F73"/>
    <w:rsid w:val="00F3077A"/>
    <w:rsid w:val="00F31F73"/>
    <w:rsid w:val="00F3616F"/>
    <w:rsid w:val="00F54860"/>
    <w:rsid w:val="00F56814"/>
    <w:rsid w:val="00F57CE9"/>
    <w:rsid w:val="00F60814"/>
    <w:rsid w:val="00F61A49"/>
    <w:rsid w:val="00F6359E"/>
    <w:rsid w:val="00F71CA3"/>
    <w:rsid w:val="00F76B9B"/>
    <w:rsid w:val="00F8018B"/>
    <w:rsid w:val="00F808E5"/>
    <w:rsid w:val="00F83537"/>
    <w:rsid w:val="00F83D89"/>
    <w:rsid w:val="00F8468E"/>
    <w:rsid w:val="00F9284D"/>
    <w:rsid w:val="00F94765"/>
    <w:rsid w:val="00F961D8"/>
    <w:rsid w:val="00FB0BF3"/>
    <w:rsid w:val="00FB0E94"/>
    <w:rsid w:val="00FF60C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489A8"/>
  <w15:chartTrackingRefBased/>
  <w15:docId w15:val="{5DA8109E-9E88-4F6B-82D0-69735592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DC1"/>
  </w:style>
  <w:style w:type="paragraph" w:styleId="Heading1">
    <w:name w:val="heading 1"/>
    <w:basedOn w:val="Normal"/>
    <w:next w:val="Normal"/>
    <w:link w:val="Heading1Char"/>
    <w:uiPriority w:val="9"/>
    <w:qFormat/>
    <w:rsid w:val="00601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EF6"/>
    <w:rPr>
      <w:rFonts w:eastAsiaTheme="majorEastAsia" w:cstheme="majorBidi"/>
      <w:color w:val="272727" w:themeColor="text1" w:themeTint="D8"/>
    </w:rPr>
  </w:style>
  <w:style w:type="paragraph" w:styleId="Title">
    <w:name w:val="Title"/>
    <w:basedOn w:val="Normal"/>
    <w:next w:val="Normal"/>
    <w:link w:val="TitleChar"/>
    <w:uiPriority w:val="10"/>
    <w:qFormat/>
    <w:rsid w:val="00601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EF6"/>
    <w:pPr>
      <w:spacing w:before="160"/>
      <w:jc w:val="center"/>
    </w:pPr>
    <w:rPr>
      <w:i/>
      <w:iCs/>
      <w:color w:val="404040" w:themeColor="text1" w:themeTint="BF"/>
    </w:rPr>
  </w:style>
  <w:style w:type="character" w:customStyle="1" w:styleId="QuoteChar">
    <w:name w:val="Quote Char"/>
    <w:basedOn w:val="DefaultParagraphFont"/>
    <w:link w:val="Quote"/>
    <w:uiPriority w:val="29"/>
    <w:rsid w:val="00601EF6"/>
    <w:rPr>
      <w:i/>
      <w:iCs/>
      <w:color w:val="404040" w:themeColor="text1" w:themeTint="BF"/>
    </w:rPr>
  </w:style>
  <w:style w:type="paragraph" w:styleId="ListParagraph">
    <w:name w:val="List Paragraph"/>
    <w:basedOn w:val="Normal"/>
    <w:uiPriority w:val="34"/>
    <w:qFormat/>
    <w:rsid w:val="00601EF6"/>
    <w:pPr>
      <w:ind w:left="720"/>
      <w:contextualSpacing/>
    </w:pPr>
  </w:style>
  <w:style w:type="character" w:styleId="IntenseEmphasis">
    <w:name w:val="Intense Emphasis"/>
    <w:basedOn w:val="DefaultParagraphFont"/>
    <w:uiPriority w:val="21"/>
    <w:qFormat/>
    <w:rsid w:val="00601EF6"/>
    <w:rPr>
      <w:i/>
      <w:iCs/>
      <w:color w:val="0F4761" w:themeColor="accent1" w:themeShade="BF"/>
    </w:rPr>
  </w:style>
  <w:style w:type="paragraph" w:styleId="IntenseQuote">
    <w:name w:val="Intense Quote"/>
    <w:basedOn w:val="Normal"/>
    <w:next w:val="Normal"/>
    <w:link w:val="IntenseQuoteChar"/>
    <w:uiPriority w:val="30"/>
    <w:qFormat/>
    <w:rsid w:val="00601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EF6"/>
    <w:rPr>
      <w:i/>
      <w:iCs/>
      <w:color w:val="0F4761" w:themeColor="accent1" w:themeShade="BF"/>
    </w:rPr>
  </w:style>
  <w:style w:type="character" w:styleId="IntenseReference">
    <w:name w:val="Intense Reference"/>
    <w:basedOn w:val="DefaultParagraphFont"/>
    <w:uiPriority w:val="32"/>
    <w:qFormat/>
    <w:rsid w:val="00601EF6"/>
    <w:rPr>
      <w:b/>
      <w:bCs/>
      <w:smallCaps/>
      <w:color w:val="0F4761" w:themeColor="accent1" w:themeShade="BF"/>
      <w:spacing w:val="5"/>
    </w:rPr>
  </w:style>
  <w:style w:type="paragraph" w:styleId="FootnoteText">
    <w:name w:val="footnote text"/>
    <w:basedOn w:val="Normal"/>
    <w:link w:val="FootnoteTextChar"/>
    <w:uiPriority w:val="99"/>
    <w:semiHidden/>
    <w:unhideWhenUsed/>
    <w:rsid w:val="00EC18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1889"/>
    <w:rPr>
      <w:sz w:val="20"/>
      <w:szCs w:val="20"/>
    </w:rPr>
  </w:style>
  <w:style w:type="character" w:styleId="FootnoteReference">
    <w:name w:val="footnote reference"/>
    <w:basedOn w:val="DefaultParagraphFont"/>
    <w:uiPriority w:val="99"/>
    <w:semiHidden/>
    <w:unhideWhenUsed/>
    <w:rsid w:val="00EC1889"/>
    <w:rPr>
      <w:vertAlign w:val="superscript"/>
    </w:rPr>
  </w:style>
  <w:style w:type="paragraph" w:styleId="TOCHeading">
    <w:name w:val="TOC Heading"/>
    <w:basedOn w:val="Heading1"/>
    <w:next w:val="Normal"/>
    <w:uiPriority w:val="39"/>
    <w:unhideWhenUsed/>
    <w:qFormat/>
    <w:rsid w:val="002E492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E492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E492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E4921"/>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2E4921"/>
    <w:rPr>
      <w:color w:val="467886" w:themeColor="hyperlink"/>
      <w:u w:val="single"/>
    </w:rPr>
  </w:style>
  <w:style w:type="paragraph" w:styleId="Header">
    <w:name w:val="header"/>
    <w:basedOn w:val="Normal"/>
    <w:link w:val="HeaderChar"/>
    <w:uiPriority w:val="99"/>
    <w:unhideWhenUsed/>
    <w:rsid w:val="00793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3DD"/>
  </w:style>
  <w:style w:type="paragraph" w:styleId="Footer">
    <w:name w:val="footer"/>
    <w:basedOn w:val="Normal"/>
    <w:link w:val="FooterChar"/>
    <w:uiPriority w:val="99"/>
    <w:unhideWhenUsed/>
    <w:rsid w:val="00793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3DD"/>
  </w:style>
  <w:style w:type="paragraph" w:styleId="NormalWeb">
    <w:name w:val="Normal (Web)"/>
    <w:basedOn w:val="Normal"/>
    <w:uiPriority w:val="99"/>
    <w:semiHidden/>
    <w:unhideWhenUsed/>
    <w:rsid w:val="00156650"/>
    <w:pPr>
      <w:spacing w:before="100" w:beforeAutospacing="1" w:after="100" w:afterAutospacing="1" w:line="240" w:lineRule="auto"/>
    </w:pPr>
    <w:rPr>
      <w:rFonts w:ascii="Times New Roman" w:eastAsia="Times New Roman" w:hAnsi="Times New Roman" w:cs="Times New Roman"/>
      <w:kern w:val="0"/>
      <w:sz w:val="24"/>
      <w:szCs w:val="24"/>
      <w:lang w:eastAsia="en-GB"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46690">
      <w:bodyDiv w:val="1"/>
      <w:marLeft w:val="0"/>
      <w:marRight w:val="0"/>
      <w:marTop w:val="0"/>
      <w:marBottom w:val="0"/>
      <w:divBdr>
        <w:top w:val="none" w:sz="0" w:space="0" w:color="auto"/>
        <w:left w:val="none" w:sz="0" w:space="0" w:color="auto"/>
        <w:bottom w:val="none" w:sz="0" w:space="0" w:color="auto"/>
        <w:right w:val="none" w:sz="0" w:space="0" w:color="auto"/>
      </w:divBdr>
    </w:div>
    <w:div w:id="225726434">
      <w:bodyDiv w:val="1"/>
      <w:marLeft w:val="0"/>
      <w:marRight w:val="0"/>
      <w:marTop w:val="0"/>
      <w:marBottom w:val="0"/>
      <w:divBdr>
        <w:top w:val="none" w:sz="0" w:space="0" w:color="auto"/>
        <w:left w:val="none" w:sz="0" w:space="0" w:color="auto"/>
        <w:bottom w:val="none" w:sz="0" w:space="0" w:color="auto"/>
        <w:right w:val="none" w:sz="0" w:space="0" w:color="auto"/>
      </w:divBdr>
    </w:div>
    <w:div w:id="236868989">
      <w:bodyDiv w:val="1"/>
      <w:marLeft w:val="0"/>
      <w:marRight w:val="0"/>
      <w:marTop w:val="0"/>
      <w:marBottom w:val="0"/>
      <w:divBdr>
        <w:top w:val="none" w:sz="0" w:space="0" w:color="auto"/>
        <w:left w:val="none" w:sz="0" w:space="0" w:color="auto"/>
        <w:bottom w:val="none" w:sz="0" w:space="0" w:color="auto"/>
        <w:right w:val="none" w:sz="0" w:space="0" w:color="auto"/>
      </w:divBdr>
      <w:divsChild>
        <w:div w:id="419110130">
          <w:marLeft w:val="-720"/>
          <w:marRight w:val="0"/>
          <w:marTop w:val="0"/>
          <w:marBottom w:val="0"/>
          <w:divBdr>
            <w:top w:val="none" w:sz="0" w:space="0" w:color="auto"/>
            <w:left w:val="none" w:sz="0" w:space="0" w:color="auto"/>
            <w:bottom w:val="none" w:sz="0" w:space="0" w:color="auto"/>
            <w:right w:val="none" w:sz="0" w:space="0" w:color="auto"/>
          </w:divBdr>
        </w:div>
      </w:divsChild>
    </w:div>
    <w:div w:id="375812620">
      <w:bodyDiv w:val="1"/>
      <w:marLeft w:val="0"/>
      <w:marRight w:val="0"/>
      <w:marTop w:val="0"/>
      <w:marBottom w:val="0"/>
      <w:divBdr>
        <w:top w:val="none" w:sz="0" w:space="0" w:color="auto"/>
        <w:left w:val="none" w:sz="0" w:space="0" w:color="auto"/>
        <w:bottom w:val="none" w:sz="0" w:space="0" w:color="auto"/>
        <w:right w:val="none" w:sz="0" w:space="0" w:color="auto"/>
      </w:divBdr>
    </w:div>
    <w:div w:id="447436925">
      <w:bodyDiv w:val="1"/>
      <w:marLeft w:val="0"/>
      <w:marRight w:val="0"/>
      <w:marTop w:val="0"/>
      <w:marBottom w:val="0"/>
      <w:divBdr>
        <w:top w:val="none" w:sz="0" w:space="0" w:color="auto"/>
        <w:left w:val="none" w:sz="0" w:space="0" w:color="auto"/>
        <w:bottom w:val="none" w:sz="0" w:space="0" w:color="auto"/>
        <w:right w:val="none" w:sz="0" w:space="0" w:color="auto"/>
      </w:divBdr>
    </w:div>
    <w:div w:id="746222401">
      <w:bodyDiv w:val="1"/>
      <w:marLeft w:val="0"/>
      <w:marRight w:val="0"/>
      <w:marTop w:val="0"/>
      <w:marBottom w:val="0"/>
      <w:divBdr>
        <w:top w:val="none" w:sz="0" w:space="0" w:color="auto"/>
        <w:left w:val="none" w:sz="0" w:space="0" w:color="auto"/>
        <w:bottom w:val="none" w:sz="0" w:space="0" w:color="auto"/>
        <w:right w:val="none" w:sz="0" w:space="0" w:color="auto"/>
      </w:divBdr>
    </w:div>
    <w:div w:id="791557206">
      <w:bodyDiv w:val="1"/>
      <w:marLeft w:val="0"/>
      <w:marRight w:val="0"/>
      <w:marTop w:val="0"/>
      <w:marBottom w:val="0"/>
      <w:divBdr>
        <w:top w:val="none" w:sz="0" w:space="0" w:color="auto"/>
        <w:left w:val="none" w:sz="0" w:space="0" w:color="auto"/>
        <w:bottom w:val="none" w:sz="0" w:space="0" w:color="auto"/>
        <w:right w:val="none" w:sz="0" w:space="0" w:color="auto"/>
      </w:divBdr>
      <w:divsChild>
        <w:div w:id="799956439">
          <w:marLeft w:val="-720"/>
          <w:marRight w:val="0"/>
          <w:marTop w:val="0"/>
          <w:marBottom w:val="0"/>
          <w:divBdr>
            <w:top w:val="none" w:sz="0" w:space="0" w:color="auto"/>
            <w:left w:val="none" w:sz="0" w:space="0" w:color="auto"/>
            <w:bottom w:val="none" w:sz="0" w:space="0" w:color="auto"/>
            <w:right w:val="none" w:sz="0" w:space="0" w:color="auto"/>
          </w:divBdr>
        </w:div>
      </w:divsChild>
    </w:div>
    <w:div w:id="845288499">
      <w:bodyDiv w:val="1"/>
      <w:marLeft w:val="0"/>
      <w:marRight w:val="0"/>
      <w:marTop w:val="0"/>
      <w:marBottom w:val="0"/>
      <w:divBdr>
        <w:top w:val="none" w:sz="0" w:space="0" w:color="auto"/>
        <w:left w:val="none" w:sz="0" w:space="0" w:color="auto"/>
        <w:bottom w:val="none" w:sz="0" w:space="0" w:color="auto"/>
        <w:right w:val="none" w:sz="0" w:space="0" w:color="auto"/>
      </w:divBdr>
    </w:div>
    <w:div w:id="845438394">
      <w:bodyDiv w:val="1"/>
      <w:marLeft w:val="0"/>
      <w:marRight w:val="0"/>
      <w:marTop w:val="0"/>
      <w:marBottom w:val="0"/>
      <w:divBdr>
        <w:top w:val="none" w:sz="0" w:space="0" w:color="auto"/>
        <w:left w:val="none" w:sz="0" w:space="0" w:color="auto"/>
        <w:bottom w:val="none" w:sz="0" w:space="0" w:color="auto"/>
        <w:right w:val="none" w:sz="0" w:space="0" w:color="auto"/>
      </w:divBdr>
    </w:div>
    <w:div w:id="864564465">
      <w:bodyDiv w:val="1"/>
      <w:marLeft w:val="0"/>
      <w:marRight w:val="0"/>
      <w:marTop w:val="0"/>
      <w:marBottom w:val="0"/>
      <w:divBdr>
        <w:top w:val="none" w:sz="0" w:space="0" w:color="auto"/>
        <w:left w:val="none" w:sz="0" w:space="0" w:color="auto"/>
        <w:bottom w:val="none" w:sz="0" w:space="0" w:color="auto"/>
        <w:right w:val="none" w:sz="0" w:space="0" w:color="auto"/>
      </w:divBdr>
    </w:div>
    <w:div w:id="1071275510">
      <w:bodyDiv w:val="1"/>
      <w:marLeft w:val="0"/>
      <w:marRight w:val="0"/>
      <w:marTop w:val="0"/>
      <w:marBottom w:val="0"/>
      <w:divBdr>
        <w:top w:val="none" w:sz="0" w:space="0" w:color="auto"/>
        <w:left w:val="none" w:sz="0" w:space="0" w:color="auto"/>
        <w:bottom w:val="none" w:sz="0" w:space="0" w:color="auto"/>
        <w:right w:val="none" w:sz="0" w:space="0" w:color="auto"/>
      </w:divBdr>
    </w:div>
    <w:div w:id="1160850820">
      <w:bodyDiv w:val="1"/>
      <w:marLeft w:val="0"/>
      <w:marRight w:val="0"/>
      <w:marTop w:val="0"/>
      <w:marBottom w:val="0"/>
      <w:divBdr>
        <w:top w:val="none" w:sz="0" w:space="0" w:color="auto"/>
        <w:left w:val="none" w:sz="0" w:space="0" w:color="auto"/>
        <w:bottom w:val="none" w:sz="0" w:space="0" w:color="auto"/>
        <w:right w:val="none" w:sz="0" w:space="0" w:color="auto"/>
      </w:divBdr>
    </w:div>
    <w:div w:id="1231887644">
      <w:bodyDiv w:val="1"/>
      <w:marLeft w:val="0"/>
      <w:marRight w:val="0"/>
      <w:marTop w:val="0"/>
      <w:marBottom w:val="0"/>
      <w:divBdr>
        <w:top w:val="none" w:sz="0" w:space="0" w:color="auto"/>
        <w:left w:val="none" w:sz="0" w:space="0" w:color="auto"/>
        <w:bottom w:val="none" w:sz="0" w:space="0" w:color="auto"/>
        <w:right w:val="none" w:sz="0" w:space="0" w:color="auto"/>
      </w:divBdr>
    </w:div>
    <w:div w:id="1291666756">
      <w:bodyDiv w:val="1"/>
      <w:marLeft w:val="0"/>
      <w:marRight w:val="0"/>
      <w:marTop w:val="0"/>
      <w:marBottom w:val="0"/>
      <w:divBdr>
        <w:top w:val="none" w:sz="0" w:space="0" w:color="auto"/>
        <w:left w:val="none" w:sz="0" w:space="0" w:color="auto"/>
        <w:bottom w:val="none" w:sz="0" w:space="0" w:color="auto"/>
        <w:right w:val="none" w:sz="0" w:space="0" w:color="auto"/>
      </w:divBdr>
    </w:div>
    <w:div w:id="1339890694">
      <w:bodyDiv w:val="1"/>
      <w:marLeft w:val="0"/>
      <w:marRight w:val="0"/>
      <w:marTop w:val="0"/>
      <w:marBottom w:val="0"/>
      <w:divBdr>
        <w:top w:val="none" w:sz="0" w:space="0" w:color="auto"/>
        <w:left w:val="none" w:sz="0" w:space="0" w:color="auto"/>
        <w:bottom w:val="none" w:sz="0" w:space="0" w:color="auto"/>
        <w:right w:val="none" w:sz="0" w:space="0" w:color="auto"/>
      </w:divBdr>
    </w:div>
    <w:div w:id="1475365103">
      <w:bodyDiv w:val="1"/>
      <w:marLeft w:val="0"/>
      <w:marRight w:val="0"/>
      <w:marTop w:val="0"/>
      <w:marBottom w:val="0"/>
      <w:divBdr>
        <w:top w:val="none" w:sz="0" w:space="0" w:color="auto"/>
        <w:left w:val="none" w:sz="0" w:space="0" w:color="auto"/>
        <w:bottom w:val="none" w:sz="0" w:space="0" w:color="auto"/>
        <w:right w:val="none" w:sz="0" w:space="0" w:color="auto"/>
      </w:divBdr>
    </w:div>
    <w:div w:id="1599220090">
      <w:bodyDiv w:val="1"/>
      <w:marLeft w:val="0"/>
      <w:marRight w:val="0"/>
      <w:marTop w:val="0"/>
      <w:marBottom w:val="0"/>
      <w:divBdr>
        <w:top w:val="none" w:sz="0" w:space="0" w:color="auto"/>
        <w:left w:val="none" w:sz="0" w:space="0" w:color="auto"/>
        <w:bottom w:val="none" w:sz="0" w:space="0" w:color="auto"/>
        <w:right w:val="none" w:sz="0" w:space="0" w:color="auto"/>
      </w:divBdr>
    </w:div>
    <w:div w:id="1816530866">
      <w:bodyDiv w:val="1"/>
      <w:marLeft w:val="0"/>
      <w:marRight w:val="0"/>
      <w:marTop w:val="0"/>
      <w:marBottom w:val="0"/>
      <w:divBdr>
        <w:top w:val="none" w:sz="0" w:space="0" w:color="auto"/>
        <w:left w:val="none" w:sz="0" w:space="0" w:color="auto"/>
        <w:bottom w:val="none" w:sz="0" w:space="0" w:color="auto"/>
        <w:right w:val="none" w:sz="0" w:space="0" w:color="auto"/>
      </w:divBdr>
    </w:div>
    <w:div w:id="1825730659">
      <w:bodyDiv w:val="1"/>
      <w:marLeft w:val="0"/>
      <w:marRight w:val="0"/>
      <w:marTop w:val="0"/>
      <w:marBottom w:val="0"/>
      <w:divBdr>
        <w:top w:val="none" w:sz="0" w:space="0" w:color="auto"/>
        <w:left w:val="none" w:sz="0" w:space="0" w:color="auto"/>
        <w:bottom w:val="none" w:sz="0" w:space="0" w:color="auto"/>
        <w:right w:val="none" w:sz="0" w:space="0" w:color="auto"/>
      </w:divBdr>
    </w:div>
    <w:div w:id="1973752703">
      <w:bodyDiv w:val="1"/>
      <w:marLeft w:val="0"/>
      <w:marRight w:val="0"/>
      <w:marTop w:val="0"/>
      <w:marBottom w:val="0"/>
      <w:divBdr>
        <w:top w:val="none" w:sz="0" w:space="0" w:color="auto"/>
        <w:left w:val="none" w:sz="0" w:space="0" w:color="auto"/>
        <w:bottom w:val="none" w:sz="0" w:space="0" w:color="auto"/>
        <w:right w:val="none" w:sz="0" w:space="0" w:color="auto"/>
      </w:divBdr>
    </w:div>
    <w:div w:id="21302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27E50-1CFA-48B2-A604-96ADCD64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43</Pages>
  <Words>12218</Words>
  <Characters>63173</Characters>
  <Application>Microsoft Office Word</Application>
  <DocSecurity>0</DocSecurity>
  <Lines>1089</Lines>
  <Paragraphs>193</Paragraphs>
  <ScaleCrop>false</ScaleCrop>
  <Company/>
  <LinksUpToDate>false</LinksUpToDate>
  <CharactersWithSpaces>75198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369</cp:revision>
  <cp:lastPrinted>2025-04-18T12:34:00Z</cp:lastPrinted>
  <dcterms:created xsi:type="dcterms:W3CDTF">2025-01-30T17:32:00Z</dcterms:created>
  <dcterms:modified xsi:type="dcterms:W3CDTF">2025-04-30T11:43:00Z</dcterms:modified>
</cp:coreProperties>
</file>