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3E1" w:rsidRPr="00731099" w:rsidRDefault="00135B51" w:rsidP="004B13E1">
      <w:pPr>
        <w:spacing w:before="0" w:beforeAutospacing="0" w:after="160" w:afterAutospacing="0" w:line="259" w:lineRule="auto"/>
        <w:jc w:val="center"/>
        <w:rPr>
          <w:rFonts w:ascii="Arial" w:hAnsi="Arial" w:cs="Arial"/>
        </w:rPr>
      </w:pPr>
      <w:r w:rsidRPr="00731099">
        <w:rPr>
          <w:rFonts w:ascii="Arial" w:hAnsi="Arial" w:cs="Arial"/>
          <w:lang w:eastAsia="en-GB"/>
        </w:rPr>
        <w:drawing>
          <wp:inline distT="0" distB="0" distL="0" distR="0">
            <wp:extent cx="3171825" cy="1162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71825" cy="1162050"/>
                    </a:xfrm>
                    <a:prstGeom prst="rect">
                      <a:avLst/>
                    </a:prstGeom>
                  </pic:spPr>
                </pic:pic>
              </a:graphicData>
            </a:graphic>
          </wp:inline>
        </w:drawing>
      </w:r>
    </w:p>
    <w:p w:rsidR="004B13E1" w:rsidRPr="00731099" w:rsidRDefault="004B13E1" w:rsidP="004B13E1">
      <w:pPr>
        <w:spacing w:before="0" w:beforeAutospacing="0" w:after="160" w:afterAutospacing="0" w:line="259" w:lineRule="auto"/>
        <w:jc w:val="center"/>
        <w:rPr>
          <w:rFonts w:ascii="Arial" w:hAnsi="Arial" w:cs="Arial"/>
        </w:rPr>
      </w:pPr>
    </w:p>
    <w:p w:rsidR="004B13E1" w:rsidRPr="00731099" w:rsidRDefault="00135B51" w:rsidP="004B13E1">
      <w:pPr>
        <w:spacing w:before="0" w:beforeAutospacing="0" w:after="160" w:afterAutospacing="0" w:line="259" w:lineRule="auto"/>
        <w:jc w:val="center"/>
        <w:rPr>
          <w:rFonts w:ascii="Arial" w:hAnsi="Arial" w:cs="Arial"/>
        </w:rPr>
      </w:pPr>
      <w:r w:rsidRPr="00731099">
        <w:rPr>
          <w:rFonts w:ascii="Arial" w:hAnsi="Arial" w:cs="Arial"/>
          <w:b/>
        </w:rPr>
        <w:t>Student Name:</w:t>
      </w:r>
      <w:r w:rsidRPr="00731099">
        <w:rPr>
          <w:rFonts w:ascii="Arial" w:hAnsi="Arial" w:cs="Arial"/>
        </w:rPr>
        <w:t xml:space="preserve"> Berthe Mukendi</w:t>
      </w:r>
    </w:p>
    <w:p w:rsidR="004B13E1" w:rsidRPr="00731099" w:rsidRDefault="00135B51" w:rsidP="004B13E1">
      <w:pPr>
        <w:spacing w:before="0" w:beforeAutospacing="0" w:after="160" w:afterAutospacing="0" w:line="259" w:lineRule="auto"/>
        <w:jc w:val="center"/>
        <w:rPr>
          <w:rFonts w:ascii="Arial" w:hAnsi="Arial" w:cs="Arial"/>
          <w:b/>
        </w:rPr>
      </w:pPr>
      <w:r w:rsidRPr="00731099">
        <w:rPr>
          <w:rFonts w:ascii="Arial" w:hAnsi="Arial" w:cs="Arial"/>
          <w:b/>
        </w:rPr>
        <w:t>Student Number:</w:t>
      </w:r>
    </w:p>
    <w:p w:rsidR="004B13E1" w:rsidRPr="00731099" w:rsidRDefault="004B13E1" w:rsidP="004B13E1">
      <w:pPr>
        <w:spacing w:before="0" w:beforeAutospacing="0" w:after="160" w:afterAutospacing="0" w:line="259" w:lineRule="auto"/>
        <w:jc w:val="center"/>
        <w:rPr>
          <w:rFonts w:ascii="Arial" w:hAnsi="Arial" w:cs="Arial"/>
        </w:rPr>
      </w:pPr>
    </w:p>
    <w:p w:rsidR="004B13E1" w:rsidRPr="00731099" w:rsidRDefault="00135B51" w:rsidP="004B13E1">
      <w:pPr>
        <w:spacing w:before="0" w:beforeAutospacing="0" w:after="160" w:afterAutospacing="0" w:line="259" w:lineRule="auto"/>
        <w:jc w:val="center"/>
        <w:rPr>
          <w:rFonts w:ascii="Arial" w:hAnsi="Arial" w:cs="Arial"/>
        </w:rPr>
      </w:pPr>
      <w:r w:rsidRPr="00731099">
        <w:rPr>
          <w:rFonts w:ascii="Arial" w:hAnsi="Arial" w:cs="Arial"/>
          <w:b/>
        </w:rPr>
        <w:t>Module Code:</w:t>
      </w:r>
      <w:r w:rsidRPr="00731099">
        <w:rPr>
          <w:rFonts w:ascii="Arial" w:hAnsi="Arial" w:cs="Arial"/>
        </w:rPr>
        <w:t xml:space="preserve"> LCHS4010</w:t>
      </w:r>
    </w:p>
    <w:p w:rsidR="004B13E1" w:rsidRPr="00731099" w:rsidRDefault="00135B51" w:rsidP="004B13E1">
      <w:pPr>
        <w:spacing w:before="0" w:beforeAutospacing="0" w:after="160" w:afterAutospacing="0" w:line="259" w:lineRule="auto"/>
        <w:jc w:val="center"/>
        <w:rPr>
          <w:rFonts w:ascii="Arial" w:hAnsi="Arial" w:cs="Arial"/>
        </w:rPr>
      </w:pPr>
      <w:r w:rsidRPr="00731099">
        <w:rPr>
          <w:rFonts w:ascii="Arial" w:hAnsi="Arial" w:cs="Arial"/>
          <w:b/>
        </w:rPr>
        <w:t>Module Title:</w:t>
      </w:r>
      <w:r w:rsidRPr="00731099">
        <w:rPr>
          <w:rFonts w:ascii="Arial" w:hAnsi="Arial" w:cs="Arial"/>
        </w:rPr>
        <w:t xml:space="preserve"> Psychology in Health and Social Care</w:t>
      </w:r>
    </w:p>
    <w:p w:rsidR="004B13E1" w:rsidRPr="00731099" w:rsidRDefault="004B13E1" w:rsidP="004B13E1">
      <w:pPr>
        <w:spacing w:before="0" w:beforeAutospacing="0" w:after="160" w:afterAutospacing="0" w:line="259" w:lineRule="auto"/>
        <w:jc w:val="center"/>
        <w:rPr>
          <w:rFonts w:ascii="Arial" w:hAnsi="Arial" w:cs="Arial"/>
        </w:rPr>
      </w:pPr>
    </w:p>
    <w:p w:rsidR="004B13E1" w:rsidRPr="00731099" w:rsidRDefault="00135B51" w:rsidP="004B13E1">
      <w:pPr>
        <w:spacing w:before="0" w:beforeAutospacing="0" w:after="160" w:afterAutospacing="0" w:line="259" w:lineRule="auto"/>
        <w:jc w:val="center"/>
        <w:rPr>
          <w:rFonts w:ascii="Arial" w:hAnsi="Arial" w:cs="Arial"/>
        </w:rPr>
      </w:pPr>
      <w:r w:rsidRPr="00731099">
        <w:rPr>
          <w:rFonts w:ascii="Arial" w:hAnsi="Arial" w:cs="Arial"/>
        </w:rPr>
        <w:t>Lecturer name:</w:t>
      </w:r>
    </w:p>
    <w:p w:rsidR="004B13E1" w:rsidRPr="00731099" w:rsidRDefault="00135B51" w:rsidP="004B13E1">
      <w:pPr>
        <w:pStyle w:val="Title"/>
        <w:rPr>
          <w:rFonts w:ascii="Arial" w:hAnsi="Arial" w:cs="Arial"/>
        </w:rPr>
      </w:pPr>
      <w:r w:rsidRPr="00731099">
        <w:rPr>
          <w:rFonts w:ascii="Arial" w:hAnsi="Arial" w:cs="Arial"/>
        </w:rPr>
        <w:t xml:space="preserve">Assignment title: Assignment 2: Written Task </w:t>
      </w:r>
      <w:r w:rsidRPr="00731099">
        <w:rPr>
          <w:rFonts w:ascii="Arial" w:hAnsi="Arial" w:cs="Arial"/>
        </w:rPr>
        <w:br w:type="page"/>
      </w:r>
    </w:p>
    <w:sdt>
      <w:sdtPr>
        <w:rPr>
          <w:rFonts w:ascii="Arial" w:hAnsi="Arial" w:cs="Arial"/>
          <w:b/>
          <w:sz w:val="28"/>
        </w:rPr>
        <w:id w:val="-1171338013"/>
        <w:docPartObj>
          <w:docPartGallery w:val="Table of Contents"/>
          <w:docPartUnique/>
        </w:docPartObj>
      </w:sdtPr>
      <w:sdtEndPr>
        <w:rPr>
          <w:bCs/>
          <w:sz w:val="24"/>
        </w:rPr>
      </w:sdtEndPr>
      <w:sdtContent>
        <w:p w:rsidR="004B13E1" w:rsidRPr="00731099" w:rsidRDefault="00135B51" w:rsidP="004B13E1">
          <w:pPr>
            <w:spacing w:before="0" w:beforeAutospacing="0" w:after="0" w:afterAutospacing="0"/>
            <w:jc w:val="center"/>
            <w:rPr>
              <w:rFonts w:ascii="Arial" w:hAnsi="Arial" w:cs="Arial"/>
              <w:b/>
              <w:sz w:val="28"/>
            </w:rPr>
          </w:pPr>
          <w:r w:rsidRPr="00731099">
            <w:rPr>
              <w:rFonts w:ascii="Arial" w:hAnsi="Arial" w:cs="Arial"/>
              <w:b/>
              <w:sz w:val="28"/>
            </w:rPr>
            <w:t>Table of Contents</w:t>
          </w:r>
        </w:p>
        <w:p w:rsidR="004B13E1" w:rsidRPr="00731099" w:rsidRDefault="00135B51" w:rsidP="004B13E1">
          <w:pPr>
            <w:pStyle w:val="TOC1"/>
            <w:tabs>
              <w:tab w:val="right" w:leader="dot" w:pos="9016"/>
            </w:tabs>
            <w:spacing w:before="0" w:beforeAutospacing="0" w:after="0" w:afterAutospacing="0"/>
            <w:rPr>
              <w:rFonts w:ascii="Arial" w:hAnsi="Arial" w:cs="Arial"/>
              <w:sz w:val="22"/>
            </w:rPr>
          </w:pPr>
          <w:r w:rsidRPr="00731099">
            <w:rPr>
              <w:rFonts w:ascii="Arial" w:hAnsi="Arial" w:cs="Arial"/>
              <w:sz w:val="22"/>
            </w:rPr>
            <w:fldChar w:fldCharType="begin"/>
          </w:r>
          <w:r w:rsidRPr="00731099">
            <w:rPr>
              <w:rFonts w:ascii="Arial" w:hAnsi="Arial" w:cs="Arial"/>
              <w:sz w:val="22"/>
            </w:rPr>
            <w:instrText xml:space="preserve"> TOC \o "1-3" \h \z \u </w:instrText>
          </w:r>
          <w:r w:rsidRPr="00731099">
            <w:rPr>
              <w:rFonts w:ascii="Arial" w:hAnsi="Arial" w:cs="Arial"/>
              <w:sz w:val="22"/>
            </w:rPr>
            <w:fldChar w:fldCharType="separate"/>
          </w:r>
          <w:hyperlink w:anchor="_Toc215647059" w:history="1">
            <w:r w:rsidRPr="00731099">
              <w:rPr>
                <w:rStyle w:val="Hyperlink"/>
                <w:rFonts w:ascii="Arial" w:hAnsi="Arial" w:cs="Arial"/>
                <w:sz w:val="22"/>
              </w:rPr>
              <w:t>1. Introduction</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_Toc215647059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3</w:t>
            </w:r>
            <w:r w:rsidRPr="00731099">
              <w:rPr>
                <w:rFonts w:ascii="Arial" w:hAnsi="Arial" w:cs="Arial"/>
                <w:webHidden/>
                <w:sz w:val="22"/>
              </w:rPr>
              <w:fldChar w:fldCharType="end"/>
            </w:r>
          </w:hyperlink>
        </w:p>
        <w:p w:rsidR="004B13E1" w:rsidRPr="00731099" w:rsidRDefault="00135B51" w:rsidP="004B13E1">
          <w:pPr>
            <w:pStyle w:val="TOC1"/>
            <w:tabs>
              <w:tab w:val="right" w:leader="dot" w:pos="9016"/>
            </w:tabs>
            <w:spacing w:before="0" w:beforeAutospacing="0" w:after="0" w:afterAutospacing="0"/>
            <w:rPr>
              <w:rFonts w:ascii="Arial" w:hAnsi="Arial" w:cs="Arial"/>
              <w:sz w:val="22"/>
            </w:rPr>
          </w:pPr>
          <w:hyperlink w:anchor="_Toc215647060" w:history="1">
            <w:r w:rsidRPr="00731099">
              <w:rPr>
                <w:rStyle w:val="Hyperlink"/>
                <w:rFonts w:ascii="Arial" w:hAnsi="Arial" w:cs="Arial"/>
                <w:sz w:val="22"/>
              </w:rPr>
              <w:t>2. Detailed Overview of Two Theories</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_Toc215647060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3</w:t>
            </w:r>
            <w:r w:rsidRPr="00731099">
              <w:rPr>
                <w:rFonts w:ascii="Arial" w:hAnsi="Arial" w:cs="Arial"/>
                <w:webHidden/>
                <w:sz w:val="22"/>
              </w:rPr>
              <w:fldChar w:fldCharType="end"/>
            </w:r>
          </w:hyperlink>
        </w:p>
        <w:p w:rsidR="004B13E1" w:rsidRPr="00731099" w:rsidRDefault="00135B51" w:rsidP="004B13E1">
          <w:pPr>
            <w:pStyle w:val="TOC2"/>
            <w:tabs>
              <w:tab w:val="right" w:leader="dot" w:pos="9016"/>
            </w:tabs>
            <w:spacing w:before="0" w:beforeAutospacing="0" w:after="0" w:afterAutospacing="0"/>
            <w:rPr>
              <w:rFonts w:ascii="Arial" w:hAnsi="Arial" w:cs="Arial"/>
              <w:sz w:val="22"/>
            </w:rPr>
          </w:pPr>
          <w:hyperlink w:anchor="_Toc215647061" w:history="1">
            <w:r w:rsidRPr="00731099">
              <w:rPr>
                <w:rStyle w:val="Hyperlink"/>
                <w:rFonts w:ascii="Arial" w:hAnsi="Arial" w:cs="Arial"/>
                <w:sz w:val="22"/>
              </w:rPr>
              <w:t>2.1 Erikson’s Psychosocial Development Theory</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_Toc215647061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3</w:t>
            </w:r>
            <w:r w:rsidRPr="00731099">
              <w:rPr>
                <w:rFonts w:ascii="Arial" w:hAnsi="Arial" w:cs="Arial"/>
                <w:webHidden/>
                <w:sz w:val="22"/>
              </w:rPr>
              <w:fldChar w:fldCharType="end"/>
            </w:r>
          </w:hyperlink>
        </w:p>
        <w:p w:rsidR="004B13E1" w:rsidRPr="00731099" w:rsidRDefault="00135B51" w:rsidP="004B13E1">
          <w:pPr>
            <w:pStyle w:val="TOC2"/>
            <w:tabs>
              <w:tab w:val="right" w:leader="dot" w:pos="9016"/>
            </w:tabs>
            <w:spacing w:before="0" w:beforeAutospacing="0" w:after="0" w:afterAutospacing="0"/>
            <w:rPr>
              <w:rFonts w:ascii="Arial" w:hAnsi="Arial" w:cs="Arial"/>
              <w:sz w:val="22"/>
            </w:rPr>
          </w:pPr>
          <w:hyperlink w:anchor="_Toc215647062" w:history="1">
            <w:r w:rsidRPr="00731099">
              <w:rPr>
                <w:rStyle w:val="Hyperlink"/>
                <w:rFonts w:ascii="Arial" w:hAnsi="Arial" w:cs="Arial"/>
                <w:sz w:val="22"/>
              </w:rPr>
              <w:t>2.2 Vygotsky’s sociocultural theory</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_Toc215647062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4</w:t>
            </w:r>
            <w:r w:rsidRPr="00731099">
              <w:rPr>
                <w:rFonts w:ascii="Arial" w:hAnsi="Arial" w:cs="Arial"/>
                <w:webHidden/>
                <w:sz w:val="22"/>
              </w:rPr>
              <w:fldChar w:fldCharType="end"/>
            </w:r>
          </w:hyperlink>
        </w:p>
        <w:p w:rsidR="004B13E1" w:rsidRPr="00731099" w:rsidRDefault="00135B51" w:rsidP="004B13E1">
          <w:pPr>
            <w:pStyle w:val="TOC1"/>
            <w:tabs>
              <w:tab w:val="right" w:leader="dot" w:pos="9016"/>
            </w:tabs>
            <w:spacing w:before="0" w:beforeAutospacing="0" w:after="0" w:afterAutospacing="0"/>
            <w:rPr>
              <w:rFonts w:ascii="Arial" w:hAnsi="Arial" w:cs="Arial"/>
              <w:sz w:val="22"/>
            </w:rPr>
          </w:pPr>
          <w:hyperlink w:anchor="_Toc215647063" w:history="1">
            <w:r w:rsidRPr="00731099">
              <w:rPr>
                <w:rStyle w:val="Hyperlink"/>
                <w:rFonts w:ascii="Arial" w:hAnsi="Arial" w:cs="Arial"/>
                <w:sz w:val="22"/>
              </w:rPr>
              <w:t>3. Application in the Health and Social Care context</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_Toc215647063 </w:instrText>
            </w:r>
            <w:r w:rsidRPr="00731099">
              <w:rPr>
                <w:rFonts w:ascii="Arial" w:hAnsi="Arial" w:cs="Arial"/>
                <w:webHidden/>
                <w:sz w:val="22"/>
              </w:rPr>
              <w:instrText xml:space="preserve">\h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5</w:t>
            </w:r>
            <w:r w:rsidRPr="00731099">
              <w:rPr>
                <w:rFonts w:ascii="Arial" w:hAnsi="Arial" w:cs="Arial"/>
                <w:webHidden/>
                <w:sz w:val="22"/>
              </w:rPr>
              <w:fldChar w:fldCharType="end"/>
            </w:r>
          </w:hyperlink>
        </w:p>
        <w:p w:rsidR="004B13E1" w:rsidRPr="00731099" w:rsidRDefault="00135B51" w:rsidP="004B13E1">
          <w:pPr>
            <w:pStyle w:val="TOC2"/>
            <w:tabs>
              <w:tab w:val="right" w:leader="dot" w:pos="9016"/>
            </w:tabs>
            <w:spacing w:before="0" w:beforeAutospacing="0" w:after="0" w:afterAutospacing="0"/>
            <w:rPr>
              <w:rFonts w:ascii="Arial" w:hAnsi="Arial" w:cs="Arial"/>
              <w:sz w:val="22"/>
            </w:rPr>
          </w:pPr>
          <w:hyperlink w:anchor="_Toc215647064" w:history="1">
            <w:r w:rsidRPr="00731099">
              <w:rPr>
                <w:rStyle w:val="Hyperlink"/>
                <w:rFonts w:ascii="Arial" w:hAnsi="Arial" w:cs="Arial"/>
                <w:sz w:val="22"/>
              </w:rPr>
              <w:t>3.1 Application of psychological theories to the Devonshire Dementia Care Home</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_Toc215647064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5</w:t>
            </w:r>
            <w:r w:rsidRPr="00731099">
              <w:rPr>
                <w:rFonts w:ascii="Arial" w:hAnsi="Arial" w:cs="Arial"/>
                <w:webHidden/>
                <w:sz w:val="22"/>
              </w:rPr>
              <w:fldChar w:fldCharType="end"/>
            </w:r>
          </w:hyperlink>
        </w:p>
        <w:p w:rsidR="004B13E1" w:rsidRPr="00731099" w:rsidRDefault="00135B51" w:rsidP="004B13E1">
          <w:pPr>
            <w:pStyle w:val="TOC2"/>
            <w:tabs>
              <w:tab w:val="right" w:leader="dot" w:pos="9016"/>
            </w:tabs>
            <w:spacing w:before="0" w:beforeAutospacing="0" w:after="0" w:afterAutospacing="0"/>
            <w:rPr>
              <w:rFonts w:ascii="Arial" w:hAnsi="Arial" w:cs="Arial"/>
              <w:sz w:val="22"/>
            </w:rPr>
          </w:pPr>
          <w:hyperlink w:anchor="_Toc215647065" w:history="1">
            <w:r w:rsidRPr="00731099">
              <w:rPr>
                <w:rStyle w:val="Hyperlink"/>
                <w:rFonts w:ascii="Arial" w:hAnsi="Arial" w:cs="Arial"/>
                <w:sz w:val="22"/>
              </w:rPr>
              <w:t>3.2 Application of the theories in addressing the psychological and behavioural challenges</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_Toc215647065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5</w:t>
            </w:r>
            <w:r w:rsidRPr="00731099">
              <w:rPr>
                <w:rFonts w:ascii="Arial" w:hAnsi="Arial" w:cs="Arial"/>
                <w:webHidden/>
                <w:sz w:val="22"/>
              </w:rPr>
              <w:fldChar w:fldCharType="end"/>
            </w:r>
          </w:hyperlink>
        </w:p>
        <w:p w:rsidR="004B13E1" w:rsidRPr="00731099" w:rsidRDefault="00135B51" w:rsidP="004B13E1">
          <w:pPr>
            <w:pStyle w:val="TOC2"/>
            <w:tabs>
              <w:tab w:val="right" w:leader="dot" w:pos="9016"/>
            </w:tabs>
            <w:spacing w:before="0" w:beforeAutospacing="0" w:after="0" w:afterAutospacing="0"/>
            <w:rPr>
              <w:rFonts w:ascii="Arial" w:hAnsi="Arial" w:cs="Arial"/>
              <w:sz w:val="22"/>
            </w:rPr>
          </w:pPr>
          <w:hyperlink w:anchor="_Toc215647066" w:history="1">
            <w:r w:rsidRPr="00731099">
              <w:rPr>
                <w:rStyle w:val="Hyperlink"/>
                <w:rFonts w:ascii="Arial" w:hAnsi="Arial" w:cs="Arial"/>
                <w:sz w:val="22"/>
              </w:rPr>
              <w:t>3.3 Relevant examples in support</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_Toc215647066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6</w:t>
            </w:r>
            <w:r w:rsidRPr="00731099">
              <w:rPr>
                <w:rFonts w:ascii="Arial" w:hAnsi="Arial" w:cs="Arial"/>
                <w:webHidden/>
                <w:sz w:val="22"/>
              </w:rPr>
              <w:fldChar w:fldCharType="end"/>
            </w:r>
          </w:hyperlink>
        </w:p>
        <w:p w:rsidR="004B13E1" w:rsidRPr="00731099" w:rsidRDefault="00135B51" w:rsidP="004B13E1">
          <w:pPr>
            <w:pStyle w:val="TOC1"/>
            <w:tabs>
              <w:tab w:val="right" w:leader="dot" w:pos="9016"/>
            </w:tabs>
            <w:spacing w:before="0" w:beforeAutospacing="0" w:after="0" w:afterAutospacing="0"/>
            <w:rPr>
              <w:rFonts w:ascii="Arial" w:hAnsi="Arial" w:cs="Arial"/>
              <w:sz w:val="22"/>
            </w:rPr>
          </w:pPr>
          <w:hyperlink w:anchor="_Toc215647067" w:history="1">
            <w:r w:rsidRPr="00731099">
              <w:rPr>
                <w:rStyle w:val="Hyperlink"/>
                <w:rFonts w:ascii="Arial" w:hAnsi="Arial" w:cs="Arial"/>
                <w:sz w:val="22"/>
              </w:rPr>
              <w:t>4. Conclusion</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w:instrText>
            </w:r>
            <w:r w:rsidRPr="00731099">
              <w:rPr>
                <w:rFonts w:ascii="Arial" w:hAnsi="Arial" w:cs="Arial"/>
                <w:webHidden/>
                <w:sz w:val="22"/>
              </w:rPr>
              <w:instrText xml:space="preserve">7067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7</w:t>
            </w:r>
            <w:r w:rsidRPr="00731099">
              <w:rPr>
                <w:rFonts w:ascii="Arial" w:hAnsi="Arial" w:cs="Arial"/>
                <w:webHidden/>
                <w:sz w:val="22"/>
              </w:rPr>
              <w:fldChar w:fldCharType="end"/>
            </w:r>
          </w:hyperlink>
        </w:p>
        <w:p w:rsidR="004B13E1" w:rsidRPr="00731099" w:rsidRDefault="00135B51" w:rsidP="004B13E1">
          <w:pPr>
            <w:pStyle w:val="TOC1"/>
            <w:tabs>
              <w:tab w:val="right" w:leader="dot" w:pos="9016"/>
            </w:tabs>
            <w:spacing w:before="0" w:beforeAutospacing="0" w:after="0" w:afterAutospacing="0"/>
            <w:rPr>
              <w:rFonts w:ascii="Arial" w:hAnsi="Arial" w:cs="Arial"/>
              <w:sz w:val="22"/>
            </w:rPr>
          </w:pPr>
          <w:hyperlink w:anchor="_Toc215647068" w:history="1">
            <w:r w:rsidRPr="00731099">
              <w:rPr>
                <w:rStyle w:val="Hyperlink"/>
                <w:rFonts w:ascii="Arial" w:hAnsi="Arial" w:cs="Arial"/>
                <w:sz w:val="22"/>
              </w:rPr>
              <w:t>References</w:t>
            </w:r>
            <w:r w:rsidRPr="00731099">
              <w:rPr>
                <w:rFonts w:ascii="Arial" w:hAnsi="Arial" w:cs="Arial"/>
                <w:webHidden/>
                <w:sz w:val="22"/>
              </w:rPr>
              <w:tab/>
            </w:r>
            <w:r w:rsidRPr="00731099">
              <w:rPr>
                <w:rFonts w:ascii="Arial" w:hAnsi="Arial" w:cs="Arial"/>
                <w:webHidden/>
                <w:sz w:val="22"/>
              </w:rPr>
              <w:fldChar w:fldCharType="begin"/>
            </w:r>
            <w:r w:rsidRPr="00731099">
              <w:rPr>
                <w:rFonts w:ascii="Arial" w:hAnsi="Arial" w:cs="Arial"/>
                <w:webHidden/>
                <w:sz w:val="22"/>
              </w:rPr>
              <w:instrText xml:space="preserve"> PAGEREF _Toc215647068 \h </w:instrText>
            </w:r>
            <w:r w:rsidRPr="00731099">
              <w:rPr>
                <w:rFonts w:ascii="Arial" w:hAnsi="Arial" w:cs="Arial"/>
                <w:webHidden/>
                <w:sz w:val="22"/>
              </w:rPr>
            </w:r>
            <w:r w:rsidRPr="00731099">
              <w:rPr>
                <w:rFonts w:ascii="Arial" w:hAnsi="Arial" w:cs="Arial"/>
                <w:webHidden/>
                <w:sz w:val="22"/>
              </w:rPr>
              <w:fldChar w:fldCharType="separate"/>
            </w:r>
            <w:r w:rsidRPr="00731099">
              <w:rPr>
                <w:rFonts w:ascii="Arial" w:hAnsi="Arial" w:cs="Arial"/>
                <w:webHidden/>
                <w:sz w:val="22"/>
              </w:rPr>
              <w:t>8</w:t>
            </w:r>
            <w:r w:rsidRPr="00731099">
              <w:rPr>
                <w:rFonts w:ascii="Arial" w:hAnsi="Arial" w:cs="Arial"/>
                <w:webHidden/>
                <w:sz w:val="22"/>
              </w:rPr>
              <w:fldChar w:fldCharType="end"/>
            </w:r>
          </w:hyperlink>
        </w:p>
        <w:p w:rsidR="004B13E1" w:rsidRPr="00731099" w:rsidRDefault="00135B51" w:rsidP="004B13E1">
          <w:pPr>
            <w:spacing w:before="0" w:beforeAutospacing="0" w:after="0" w:afterAutospacing="0"/>
            <w:rPr>
              <w:rFonts w:ascii="Arial" w:hAnsi="Arial" w:cs="Arial"/>
            </w:rPr>
          </w:pPr>
          <w:r w:rsidRPr="00731099">
            <w:rPr>
              <w:rFonts w:ascii="Arial" w:hAnsi="Arial" w:cs="Arial"/>
              <w:b/>
              <w:bCs/>
              <w:sz w:val="22"/>
            </w:rPr>
            <w:fldChar w:fldCharType="end"/>
          </w:r>
        </w:p>
      </w:sdtContent>
    </w:sdt>
    <w:p w:rsidR="004B13E1" w:rsidRPr="00731099" w:rsidRDefault="00135B51">
      <w:pPr>
        <w:spacing w:before="0" w:beforeAutospacing="0" w:after="160" w:afterAutospacing="0" w:line="259" w:lineRule="auto"/>
        <w:jc w:val="left"/>
        <w:rPr>
          <w:rFonts w:ascii="Arial" w:hAnsi="Arial" w:cs="Arial"/>
        </w:rPr>
      </w:pPr>
      <w:r w:rsidRPr="00731099">
        <w:rPr>
          <w:rFonts w:ascii="Arial" w:hAnsi="Arial" w:cs="Arial"/>
        </w:rPr>
        <w:br w:type="page"/>
      </w:r>
    </w:p>
    <w:p w:rsidR="004B13E1" w:rsidRPr="00731099" w:rsidRDefault="00135B51" w:rsidP="004B13E1">
      <w:pPr>
        <w:pStyle w:val="Heading1"/>
        <w:rPr>
          <w:rFonts w:ascii="Arial" w:hAnsi="Arial" w:cs="Arial"/>
        </w:rPr>
      </w:pPr>
      <w:bookmarkStart w:id="0" w:name="_Toc215647059"/>
      <w:r w:rsidRPr="00731099">
        <w:rPr>
          <w:rFonts w:ascii="Arial" w:hAnsi="Arial" w:cs="Arial"/>
        </w:rPr>
        <w:t>1. Introduction</w:t>
      </w:r>
      <w:bookmarkEnd w:id="0"/>
    </w:p>
    <w:p w:rsidR="004B13E1" w:rsidRPr="00731099" w:rsidRDefault="00135B51" w:rsidP="004B13E1">
      <w:pPr>
        <w:rPr>
          <w:rFonts w:ascii="Arial" w:hAnsi="Arial" w:cs="Arial"/>
          <w:sz w:val="22"/>
        </w:rPr>
      </w:pPr>
      <w:r w:rsidRPr="00731099">
        <w:rPr>
          <w:rFonts w:ascii="Arial" w:hAnsi="Arial" w:cs="Arial"/>
          <w:sz w:val="22"/>
        </w:rPr>
        <w:t xml:space="preserve">The report </w:t>
      </w:r>
      <w:r w:rsidRPr="00731099">
        <w:rPr>
          <w:rFonts w:ascii="Arial" w:hAnsi="Arial" w:cs="Arial"/>
          <w:sz w:val="22"/>
        </w:rPr>
        <w:t>shall explore the explanation of ageing, identity and behavioural change as discussed in the psychological theories in dementia care. It will describe the way in which Erikson's Psychosocial Development Theory and Vygotsky's Sociocultural Theory will be us</w:t>
      </w:r>
      <w:r w:rsidRPr="00731099">
        <w:rPr>
          <w:rFonts w:ascii="Arial" w:hAnsi="Arial" w:cs="Arial"/>
          <w:sz w:val="22"/>
        </w:rPr>
        <w:t xml:space="preserve">ed to explain the cognitive deterioration and affective demands in adult individuals more than 65. The aim of the report is to investigate the ways in which the theories will guide the practice in dementia services. The ways these ideas will be applicable </w:t>
      </w:r>
      <w:r w:rsidRPr="00731099">
        <w:rPr>
          <w:rFonts w:ascii="Arial" w:hAnsi="Arial" w:cs="Arial"/>
          <w:sz w:val="22"/>
        </w:rPr>
        <w:t>in Devonshire Dementia Care Home will then be discussed.</w:t>
      </w:r>
    </w:p>
    <w:p w:rsidR="004B13E1" w:rsidRPr="00731099" w:rsidRDefault="00135B51" w:rsidP="004B13E1">
      <w:pPr>
        <w:pStyle w:val="Heading1"/>
        <w:rPr>
          <w:rFonts w:ascii="Arial" w:hAnsi="Arial" w:cs="Arial"/>
        </w:rPr>
      </w:pPr>
      <w:bookmarkStart w:id="1" w:name="_Toc215647060"/>
      <w:r w:rsidRPr="00731099">
        <w:rPr>
          <w:rFonts w:ascii="Arial" w:hAnsi="Arial" w:cs="Arial"/>
        </w:rPr>
        <w:t>2. Detailed Overview of Two Theories</w:t>
      </w:r>
      <w:bookmarkEnd w:id="1"/>
    </w:p>
    <w:p w:rsidR="004B13E1" w:rsidRPr="00731099" w:rsidRDefault="00135B51" w:rsidP="004B13E1">
      <w:pPr>
        <w:pStyle w:val="Heading2"/>
        <w:rPr>
          <w:rFonts w:ascii="Arial" w:hAnsi="Arial" w:cs="Arial"/>
        </w:rPr>
      </w:pPr>
      <w:bookmarkStart w:id="2" w:name="_Toc215647061"/>
      <w:r w:rsidRPr="00731099">
        <w:rPr>
          <w:rFonts w:ascii="Arial" w:hAnsi="Arial" w:cs="Arial"/>
        </w:rPr>
        <w:t>2.1 Erikson’s Psychosocial Development Theory</w:t>
      </w:r>
      <w:bookmarkEnd w:id="2"/>
    </w:p>
    <w:p w:rsidR="004B13E1" w:rsidRPr="00731099" w:rsidRDefault="00135B51" w:rsidP="004B13E1">
      <w:pPr>
        <w:rPr>
          <w:rFonts w:ascii="Arial" w:hAnsi="Arial" w:cs="Arial"/>
          <w:sz w:val="22"/>
        </w:rPr>
      </w:pPr>
      <w:r w:rsidRPr="00731099">
        <w:rPr>
          <w:rFonts w:ascii="Arial" w:hAnsi="Arial" w:cs="Arial"/>
          <w:sz w:val="22"/>
        </w:rPr>
        <w:t xml:space="preserve">The theory emphasises processes of continued negotiation by the adults in terms of identity, meaning, and stability </w:t>
      </w:r>
      <w:r w:rsidRPr="00731099">
        <w:rPr>
          <w:rFonts w:ascii="Arial" w:hAnsi="Arial" w:cs="Arial"/>
          <w:sz w:val="22"/>
        </w:rPr>
        <w:t>of emotions in later stages of life. It has been evidenced that the UK is experiencing an increasing number of individuals, with 11 million individuals who have reached the age of 65 and above (ONS, 2022). Therefore, an increasing number of individuals are</w:t>
      </w:r>
      <w:r w:rsidRPr="00731099">
        <w:rPr>
          <w:rFonts w:ascii="Arial" w:hAnsi="Arial" w:cs="Arial"/>
          <w:sz w:val="22"/>
        </w:rPr>
        <w:t xml:space="preserve"> facing these psychosocial tasks. The Generativity versus Stagnation stage is the area that determines how the individual's older attitudes maintain purposeful relationships and routines. Nonetheless, dementia interrupts generative roles continuity, which </w:t>
      </w:r>
      <w:r w:rsidRPr="00731099">
        <w:rPr>
          <w:rFonts w:ascii="Arial" w:hAnsi="Arial" w:cs="Arial"/>
          <w:sz w:val="22"/>
        </w:rPr>
        <w:t xml:space="preserve">exposes one to emotional vulnerability and reliance on structured support. This level thus proves to be relevant towards the realisation of diminished confidence and evolving self-concept among older residents (Li </w:t>
      </w:r>
      <w:r w:rsidRPr="00731099">
        <w:rPr>
          <w:rFonts w:ascii="Arial" w:hAnsi="Arial" w:cs="Arial"/>
          <w:i/>
          <w:iCs/>
          <w:sz w:val="22"/>
        </w:rPr>
        <w:t>et al.</w:t>
      </w:r>
      <w:r w:rsidRPr="00731099">
        <w:rPr>
          <w:rFonts w:ascii="Arial" w:hAnsi="Arial" w:cs="Arial"/>
          <w:sz w:val="22"/>
        </w:rPr>
        <w:t xml:space="preserve">, 2023). The theory is very useful, </w:t>
      </w:r>
      <w:r w:rsidRPr="00731099">
        <w:rPr>
          <w:rFonts w:ascii="Arial" w:hAnsi="Arial" w:cs="Arial"/>
          <w:sz w:val="22"/>
        </w:rPr>
        <w:t>but it becomes limited in cases where reflectivity is inhibited due to cognitive loss.</w:t>
      </w:r>
    </w:p>
    <w:p w:rsidR="004B13E1" w:rsidRPr="00731099" w:rsidRDefault="00135B51" w:rsidP="004B13E1">
      <w:pPr>
        <w:rPr>
          <w:rFonts w:ascii="Arial" w:hAnsi="Arial" w:cs="Arial"/>
          <w:sz w:val="22"/>
        </w:rPr>
      </w:pPr>
      <w:r w:rsidRPr="00731099">
        <w:rPr>
          <w:rFonts w:ascii="Arial" w:hAnsi="Arial" w:cs="Arial"/>
          <w:sz w:val="22"/>
        </w:rPr>
        <w:t>The next level of Integrity versus Despair is on the review, acceptance and emotional reconciliation during older age. As it has been proven, the CQC also records high r</w:t>
      </w:r>
      <w:r w:rsidRPr="00731099">
        <w:rPr>
          <w:rFonts w:ascii="Arial" w:hAnsi="Arial" w:cs="Arial"/>
          <w:sz w:val="22"/>
        </w:rPr>
        <w:t xml:space="preserve">ates of cognitive impairment among adults in residential support, and this increases concerns regarding despair, regret, and lack of autonomy (CQC, 2024). The stability of relationships helps old people to be more upright, yet dementia causes memory-based </w:t>
      </w:r>
      <w:r w:rsidRPr="00731099">
        <w:rPr>
          <w:rFonts w:ascii="Arial" w:hAnsi="Arial" w:cs="Arial"/>
          <w:sz w:val="22"/>
        </w:rPr>
        <w:t>reflection and heightens distress when undergoing the routines they have never undertaken. Nevertheless, the positive interpersonal settings enable the residents to enjoy dignity and security despite the limited autobiographical memory (Abdelghany, Mahmoud</w:t>
      </w:r>
      <w:r w:rsidRPr="00731099">
        <w:rPr>
          <w:rFonts w:ascii="Arial" w:hAnsi="Arial" w:cs="Arial"/>
          <w:sz w:val="22"/>
        </w:rPr>
        <w:t xml:space="preserve"> Adly, 2025). The theory thus offers an excellent basis for explaining emotional trends in care facilities, though it requires a keen adaptation approach due to the nature of dementia, where linear psychological growth is limited.</w:t>
      </w:r>
    </w:p>
    <w:p w:rsidR="004B13E1" w:rsidRPr="00731099" w:rsidRDefault="00135B51" w:rsidP="004B13E1">
      <w:pPr>
        <w:pStyle w:val="Heading2"/>
        <w:rPr>
          <w:rFonts w:ascii="Arial" w:hAnsi="Arial" w:cs="Arial"/>
        </w:rPr>
      </w:pPr>
      <w:bookmarkStart w:id="3" w:name="_Toc215647062"/>
      <w:r w:rsidRPr="00731099">
        <w:rPr>
          <w:rFonts w:ascii="Arial" w:hAnsi="Arial" w:cs="Arial"/>
        </w:rPr>
        <w:t>2.2 Vygotsky’s sociocultu</w:t>
      </w:r>
      <w:r w:rsidRPr="00731099">
        <w:rPr>
          <w:rFonts w:ascii="Arial" w:hAnsi="Arial" w:cs="Arial"/>
        </w:rPr>
        <w:t>ral theory</w:t>
      </w:r>
      <w:bookmarkEnd w:id="3"/>
    </w:p>
    <w:p w:rsidR="004B13E1" w:rsidRPr="00731099" w:rsidRDefault="00135B51" w:rsidP="004B13E1">
      <w:pPr>
        <w:rPr>
          <w:rFonts w:ascii="Arial" w:hAnsi="Arial" w:cs="Arial"/>
          <w:sz w:val="22"/>
        </w:rPr>
      </w:pPr>
      <w:r w:rsidRPr="00731099">
        <w:rPr>
          <w:rFonts w:ascii="Arial" w:hAnsi="Arial" w:cs="Arial"/>
          <w:sz w:val="22"/>
        </w:rPr>
        <w:t xml:space="preserve">The theory focuses on the development of thinking, behaviour and coping in the process of social interaction and common cultural practices. It is proven that the UK has 5.8 million unpaid carers, the majority of whom deal with older adults with </w:t>
      </w:r>
      <w:r w:rsidRPr="00731099">
        <w:rPr>
          <w:rFonts w:ascii="Arial" w:hAnsi="Arial" w:cs="Arial"/>
          <w:sz w:val="22"/>
        </w:rPr>
        <w:t xml:space="preserve">mental impairment, which validates the importance of socially mediated development by Vygotsky (Carers UK, 2023). Guided participation helps older adults to maintain communication and independence, and dementia impairs their internalisation of new skills. </w:t>
      </w:r>
      <w:r w:rsidRPr="00731099">
        <w:rPr>
          <w:rFonts w:ascii="Arial" w:hAnsi="Arial" w:cs="Arial"/>
          <w:sz w:val="22"/>
        </w:rPr>
        <w:t>Nevertheless, organisational relations in nursing homes promote purposeful interaction with routines, discussions, and decision-making. These processes assist in stimulating cognitions, but they need stable environments since they lead to anxiety and behav</w:t>
      </w:r>
      <w:r w:rsidRPr="00731099">
        <w:rPr>
          <w:rFonts w:ascii="Arial" w:hAnsi="Arial" w:cs="Arial"/>
          <w:sz w:val="22"/>
        </w:rPr>
        <w:t xml:space="preserve">iour disturbance when the communication is irregular (Jopowicz </w:t>
      </w:r>
      <w:r w:rsidRPr="00731099">
        <w:rPr>
          <w:rFonts w:ascii="Arial" w:hAnsi="Arial" w:cs="Arial"/>
          <w:i/>
          <w:iCs/>
          <w:sz w:val="22"/>
        </w:rPr>
        <w:t xml:space="preserve">et al., </w:t>
      </w:r>
      <w:r w:rsidRPr="00731099">
        <w:rPr>
          <w:rFonts w:ascii="Arial" w:hAnsi="Arial" w:cs="Arial"/>
          <w:sz w:val="22"/>
        </w:rPr>
        <w:t>2022). The theory, therefore, provides an excellent focus regarding the social basis of ageing, but the reliance on cognitive functioning presents shortcomings.</w:t>
      </w:r>
    </w:p>
    <w:p w:rsidR="004B13E1" w:rsidRPr="00731099" w:rsidRDefault="00135B51" w:rsidP="004B13E1">
      <w:pPr>
        <w:rPr>
          <w:rFonts w:ascii="Arial" w:hAnsi="Arial" w:cs="Arial"/>
          <w:sz w:val="22"/>
        </w:rPr>
      </w:pPr>
      <w:r w:rsidRPr="00731099">
        <w:rPr>
          <w:rFonts w:ascii="Arial" w:hAnsi="Arial" w:cs="Arial"/>
          <w:sz w:val="22"/>
        </w:rPr>
        <w:t>The Zone of Proximal Dev</w:t>
      </w:r>
      <w:r w:rsidRPr="00731099">
        <w:rPr>
          <w:rFonts w:ascii="Arial" w:hAnsi="Arial" w:cs="Arial"/>
          <w:sz w:val="22"/>
        </w:rPr>
        <w:t>elopment concept explains that even at the point of deterioration on independent completion, older adults can still do things through skilled assistance. With testament being that support needs among dementia residents are high on the CQC records, the rele</w:t>
      </w:r>
      <w:r w:rsidRPr="00731099">
        <w:rPr>
          <w:rFonts w:ascii="Arial" w:hAnsi="Arial" w:cs="Arial"/>
          <w:sz w:val="22"/>
        </w:rPr>
        <w:t xml:space="preserve">vance of scaffolded assistance is proven (Kindell </w:t>
      </w:r>
      <w:r w:rsidRPr="00731099">
        <w:rPr>
          <w:rFonts w:ascii="Arial" w:hAnsi="Arial" w:cs="Arial"/>
          <w:i/>
          <w:iCs/>
          <w:sz w:val="22"/>
        </w:rPr>
        <w:t>et al.</w:t>
      </w:r>
      <w:r w:rsidRPr="00731099">
        <w:rPr>
          <w:rFonts w:ascii="Arial" w:hAnsi="Arial" w:cs="Arial"/>
          <w:sz w:val="22"/>
        </w:rPr>
        <w:t xml:space="preserve">, 2025). The staff members play the role of mediator when assisting the residents to keep up with the daily routine or engaging in the sensory activities, but over time, the efficiency of scaffolding </w:t>
      </w:r>
      <w:r w:rsidRPr="00731099">
        <w:rPr>
          <w:rFonts w:ascii="Arial" w:hAnsi="Arial" w:cs="Arial"/>
          <w:sz w:val="22"/>
        </w:rPr>
        <w:t>is diminished due to the rapid cognitive impairment. Emotional control is improved through the use of cultural instruments</w:t>
      </w:r>
      <w:r w:rsidR="00250B97">
        <w:rPr>
          <w:rFonts w:ascii="Arial" w:hAnsi="Arial" w:cs="Arial"/>
          <w:sz w:val="22"/>
        </w:rPr>
        <w:t>.</w:t>
      </w:r>
      <w:r w:rsidRPr="00731099">
        <w:rPr>
          <w:rFonts w:ascii="Arial" w:hAnsi="Arial" w:cs="Arial"/>
          <w:sz w:val="22"/>
        </w:rPr>
        <w:t xml:space="preserve"> </w:t>
      </w:r>
      <w:r w:rsidR="00250B97">
        <w:rPr>
          <w:rFonts w:ascii="Arial" w:hAnsi="Arial" w:cs="Arial"/>
          <w:sz w:val="22"/>
        </w:rPr>
        <w:t>These include</w:t>
      </w:r>
      <w:r w:rsidRPr="00731099">
        <w:rPr>
          <w:rFonts w:ascii="Arial" w:hAnsi="Arial" w:cs="Arial"/>
          <w:sz w:val="22"/>
        </w:rPr>
        <w:t xml:space="preserve"> </w:t>
      </w:r>
      <w:r w:rsidR="00250B97">
        <w:rPr>
          <w:rFonts w:ascii="Arial" w:hAnsi="Arial" w:cs="Arial"/>
          <w:sz w:val="22"/>
        </w:rPr>
        <w:t xml:space="preserve">memory cues, language, but the key issues that the dementia patients face are related to the effects and the behavioural change due to the recognition problem </w:t>
      </w:r>
      <w:r w:rsidRPr="00731099">
        <w:rPr>
          <w:rFonts w:ascii="Arial" w:hAnsi="Arial" w:cs="Arial"/>
          <w:sz w:val="22"/>
        </w:rPr>
        <w:t xml:space="preserve">(Jiménez-Palomares </w:t>
      </w:r>
      <w:r w:rsidRPr="00731099">
        <w:rPr>
          <w:rFonts w:ascii="Arial" w:hAnsi="Arial" w:cs="Arial"/>
          <w:i/>
          <w:iCs/>
          <w:sz w:val="22"/>
        </w:rPr>
        <w:t>et al.</w:t>
      </w:r>
      <w:r w:rsidRPr="00731099">
        <w:rPr>
          <w:rFonts w:ascii="Arial" w:hAnsi="Arial" w:cs="Arial"/>
          <w:sz w:val="22"/>
        </w:rPr>
        <w:t>, 2024). The theory also adopts the significance of social context towards maintaining wellbeing, but it needs adaptation where memory loss constraints collaborative learning. This establish</w:t>
      </w:r>
      <w:r w:rsidRPr="00731099">
        <w:rPr>
          <w:rFonts w:ascii="Arial" w:hAnsi="Arial" w:cs="Arial"/>
          <w:sz w:val="22"/>
        </w:rPr>
        <w:t>es the necessity of adaptive mechanisms that put emphasis on emotional safety as opposed to cognitive growth.</w:t>
      </w:r>
    </w:p>
    <w:p w:rsidR="004B13E1" w:rsidRPr="00731099" w:rsidRDefault="00135B51" w:rsidP="004B13E1">
      <w:pPr>
        <w:pStyle w:val="Heading1"/>
        <w:rPr>
          <w:rFonts w:ascii="Arial" w:hAnsi="Arial" w:cs="Arial"/>
        </w:rPr>
      </w:pPr>
      <w:bookmarkStart w:id="4" w:name="_Toc215647063"/>
      <w:r w:rsidRPr="00731099">
        <w:rPr>
          <w:rFonts w:ascii="Arial" w:hAnsi="Arial" w:cs="Arial"/>
        </w:rPr>
        <w:t>3. Application in the Health and Social Care context</w:t>
      </w:r>
      <w:bookmarkEnd w:id="4"/>
    </w:p>
    <w:p w:rsidR="004B13E1" w:rsidRPr="00731099" w:rsidRDefault="00135B51" w:rsidP="004B13E1">
      <w:pPr>
        <w:pStyle w:val="Heading2"/>
        <w:rPr>
          <w:rFonts w:ascii="Arial" w:hAnsi="Arial" w:cs="Arial"/>
        </w:rPr>
      </w:pPr>
      <w:bookmarkStart w:id="5" w:name="_Toc215647064"/>
      <w:r w:rsidRPr="00731099">
        <w:rPr>
          <w:rFonts w:ascii="Arial" w:hAnsi="Arial" w:cs="Arial"/>
        </w:rPr>
        <w:t>3.1 Application of Psychological Theories to the Devonshire Dementia Care Home</w:t>
      </w:r>
      <w:bookmarkEnd w:id="5"/>
    </w:p>
    <w:p w:rsidR="004B13E1" w:rsidRPr="00731099" w:rsidRDefault="00135B51" w:rsidP="004B13E1">
      <w:pPr>
        <w:rPr>
          <w:rFonts w:ascii="Arial" w:hAnsi="Arial" w:cs="Arial"/>
          <w:sz w:val="22"/>
        </w:rPr>
      </w:pPr>
      <w:r w:rsidRPr="00731099">
        <w:rPr>
          <w:rFonts w:ascii="Arial" w:hAnsi="Arial" w:cs="Arial"/>
          <w:sz w:val="22"/>
        </w:rPr>
        <w:t xml:space="preserve">According to </w:t>
      </w:r>
      <w:r w:rsidRPr="00731099">
        <w:rPr>
          <w:rFonts w:ascii="Arial" w:hAnsi="Arial" w:cs="Arial"/>
          <w:sz w:val="22"/>
        </w:rPr>
        <w:t xml:space="preserve">Erikson's theory, older adults with dementia need life-review and dignity in their lives. The Devonshire Dementia Care Home has a population of up to 33 individuals in the residential category, where 31 individuals are reported to have been present on the </w:t>
      </w:r>
      <w:r w:rsidRPr="00731099">
        <w:rPr>
          <w:rFonts w:ascii="Arial" w:hAnsi="Arial" w:cs="Arial"/>
          <w:sz w:val="22"/>
        </w:rPr>
        <w:t>last comprehensive inspection (Devonshire Dementia Care Home, 2025). This numerical ability produces narrowed individualised actions that facilitate reminiscence and maintain the purpose in spite of the fact that dementia breaks the continuity of autobiogr</w:t>
      </w:r>
      <w:r w:rsidRPr="00731099">
        <w:rPr>
          <w:rFonts w:ascii="Arial" w:hAnsi="Arial" w:cs="Arial"/>
          <w:sz w:val="22"/>
        </w:rPr>
        <w:t xml:space="preserve">aphical recall and renders the life review strategy. Facilitation of meaningful roles by the staff can hence promote the idea of integrity even when affected by cognitive loss, but the staffing provision is at times a limiting factor in ensuring the staff </w:t>
      </w:r>
      <w:r w:rsidRPr="00731099">
        <w:rPr>
          <w:rFonts w:ascii="Arial" w:hAnsi="Arial" w:cs="Arial"/>
          <w:sz w:val="22"/>
        </w:rPr>
        <w:t>have the chance to experience extended one-to-one reflections.</w:t>
      </w:r>
    </w:p>
    <w:p w:rsidR="004B13E1" w:rsidRPr="00731099" w:rsidRDefault="00135B51" w:rsidP="004B13E1">
      <w:pPr>
        <w:rPr>
          <w:rFonts w:ascii="Arial" w:hAnsi="Arial" w:cs="Arial"/>
          <w:sz w:val="22"/>
        </w:rPr>
      </w:pPr>
      <w:r w:rsidRPr="00731099">
        <w:rPr>
          <w:rFonts w:ascii="Arial" w:hAnsi="Arial" w:cs="Arial"/>
          <w:sz w:val="22"/>
        </w:rPr>
        <w:t xml:space="preserve">At the centre of the theory proffered by Vygotsky is the social mediation and scaffolding technique to aid the ongoing capacities. The home has a day centre and offers 24-hour care, which also </w:t>
      </w:r>
      <w:r w:rsidRPr="00731099">
        <w:rPr>
          <w:rFonts w:ascii="Arial" w:hAnsi="Arial" w:cs="Arial"/>
          <w:sz w:val="22"/>
        </w:rPr>
        <w:t>forms frequent opportunities for guided participation, as well as routine-based scaffolding (Patel and Weisbrode, 2025). These structured interactions enable the staff to engage with the help of cultural tools, memory prompts and familiar objects to optimi</w:t>
      </w:r>
      <w:r w:rsidRPr="00731099">
        <w:rPr>
          <w:rFonts w:ascii="Arial" w:hAnsi="Arial" w:cs="Arial"/>
          <w:sz w:val="22"/>
        </w:rPr>
        <w:t>se the engagement; however, as cognitive decline progresses, learning transfer benefits may require more and more repetitive scaffolds. These two theories are combined in a manner that suggests a balanced approach to emotional reconciliation and social med</w:t>
      </w:r>
      <w:r w:rsidRPr="00731099">
        <w:rPr>
          <w:rFonts w:ascii="Arial" w:hAnsi="Arial" w:cs="Arial"/>
          <w:sz w:val="22"/>
        </w:rPr>
        <w:t xml:space="preserve">iated capability facilitation with acknowledgement of restrictions by advanced dementia. </w:t>
      </w:r>
    </w:p>
    <w:p w:rsidR="004B13E1" w:rsidRPr="00731099" w:rsidRDefault="00135B51" w:rsidP="004B13E1">
      <w:pPr>
        <w:pStyle w:val="Heading2"/>
        <w:rPr>
          <w:rFonts w:ascii="Arial" w:hAnsi="Arial" w:cs="Arial"/>
        </w:rPr>
      </w:pPr>
      <w:bookmarkStart w:id="6" w:name="_Toc215647065"/>
      <w:r w:rsidRPr="00731099">
        <w:rPr>
          <w:rFonts w:ascii="Arial" w:hAnsi="Arial" w:cs="Arial"/>
        </w:rPr>
        <w:t>3.2 Application of the theories in addressing the psychological and behavioural challenges</w:t>
      </w:r>
      <w:bookmarkEnd w:id="6"/>
      <w:r w:rsidRPr="00731099">
        <w:rPr>
          <w:rFonts w:ascii="Arial" w:hAnsi="Arial" w:cs="Arial"/>
        </w:rPr>
        <w:t> </w:t>
      </w:r>
    </w:p>
    <w:p w:rsidR="004B13E1" w:rsidRPr="00731099" w:rsidRDefault="00135B51" w:rsidP="004B13E1">
      <w:pPr>
        <w:rPr>
          <w:rFonts w:ascii="Arial" w:hAnsi="Arial" w:cs="Arial"/>
          <w:sz w:val="22"/>
        </w:rPr>
      </w:pPr>
      <w:r w:rsidRPr="00731099">
        <w:rPr>
          <w:rFonts w:ascii="Arial" w:hAnsi="Arial" w:cs="Arial"/>
          <w:sz w:val="22"/>
        </w:rPr>
        <w:t>The interventions of despair, withdrawal and loss of identity among dement</w:t>
      </w:r>
      <w:r w:rsidRPr="00731099">
        <w:rPr>
          <w:rFonts w:ascii="Arial" w:hAnsi="Arial" w:cs="Arial"/>
          <w:sz w:val="22"/>
        </w:rPr>
        <w:t xml:space="preserve">ia residents are guided by Erikson. According to the CQC inspection, the service focuses on dementia and treats adults aged 65 and above, which justifies the adoption of reminiscence groups and life-story work in the regular care management process (Patel </w:t>
      </w:r>
      <w:r w:rsidRPr="00731099">
        <w:rPr>
          <w:rFonts w:ascii="Arial" w:hAnsi="Arial" w:cs="Arial"/>
          <w:sz w:val="22"/>
        </w:rPr>
        <w:t>and Weisbrode, 2025). Such treatments can frequently lead to a decrease in agitation and/or recognition improvement, although fluctuating memory affects long-term consolidation and, in some cases, results in distress when remembering arises erratically. Pr</w:t>
      </w:r>
      <w:r w:rsidRPr="00731099">
        <w:rPr>
          <w:rFonts w:ascii="Arial" w:hAnsi="Arial" w:cs="Arial"/>
          <w:sz w:val="22"/>
        </w:rPr>
        <w:t>ofessionals are thus required to harmonise life review and present-centred validation strategies to prioritise dignity at minimum re-traumatisation.</w:t>
      </w:r>
    </w:p>
    <w:p w:rsidR="004B13E1" w:rsidRPr="00731099" w:rsidRDefault="00135B51" w:rsidP="004B13E1">
      <w:pPr>
        <w:rPr>
          <w:rFonts w:ascii="Arial" w:hAnsi="Arial" w:cs="Arial"/>
          <w:sz w:val="22"/>
        </w:rPr>
      </w:pPr>
      <w:r w:rsidRPr="00731099">
        <w:rPr>
          <w:rFonts w:ascii="Arial" w:hAnsi="Arial" w:cs="Arial"/>
          <w:sz w:val="22"/>
        </w:rPr>
        <w:t>Vygotsky's approach goes through communication loss and task dependency by using routines of scaffolding an</w:t>
      </w:r>
      <w:r w:rsidRPr="00731099">
        <w:rPr>
          <w:rFonts w:ascii="Arial" w:hAnsi="Arial" w:cs="Arial"/>
          <w:sz w:val="22"/>
        </w:rPr>
        <w:t>d guided participation. The long experience of the Devonshire home and the provision of day centre scaffoldings enable activity-based scaffoldings that enable day-to-day living activities and social activities of the residents (Devonshire Dementia Care Hom</w:t>
      </w:r>
      <w:r w:rsidRPr="00731099">
        <w:rPr>
          <w:rFonts w:ascii="Arial" w:hAnsi="Arial" w:cs="Arial"/>
          <w:sz w:val="22"/>
        </w:rPr>
        <w:t>e, 2025). Scaffolding can enhance the performance of tasks and minimise behavioural disruption, although rapid cognitive deterioration can make certain scaffolds ineffective and burden staff. Improved cues include simplified prompts, multisensory cues, and</w:t>
      </w:r>
      <w:r w:rsidRPr="00731099">
        <w:rPr>
          <w:rFonts w:ascii="Arial" w:hAnsi="Arial" w:cs="Arial"/>
          <w:sz w:val="22"/>
        </w:rPr>
        <w:t xml:space="preserve"> staff continuity, which are considered practical strategies that can ensure the relational memory and reduce the confusion at the moment of transition. </w:t>
      </w:r>
    </w:p>
    <w:p w:rsidR="004B13E1" w:rsidRPr="00731099" w:rsidRDefault="00135B51" w:rsidP="004B13E1">
      <w:pPr>
        <w:pStyle w:val="Heading2"/>
        <w:rPr>
          <w:rFonts w:ascii="Arial" w:hAnsi="Arial" w:cs="Arial"/>
        </w:rPr>
      </w:pPr>
      <w:bookmarkStart w:id="7" w:name="_Toc215647066"/>
      <w:r w:rsidRPr="00731099">
        <w:rPr>
          <w:rFonts w:ascii="Arial" w:hAnsi="Arial" w:cs="Arial"/>
        </w:rPr>
        <w:t>3.3 Relevant examples in support</w:t>
      </w:r>
      <w:bookmarkEnd w:id="7"/>
      <w:r w:rsidRPr="00731099">
        <w:rPr>
          <w:rFonts w:ascii="Arial" w:hAnsi="Arial" w:cs="Arial"/>
        </w:rPr>
        <w:t> </w:t>
      </w:r>
    </w:p>
    <w:p w:rsidR="004B13E1" w:rsidRPr="00731099" w:rsidRDefault="00135B51" w:rsidP="004B13E1">
      <w:pPr>
        <w:rPr>
          <w:rFonts w:ascii="Arial" w:hAnsi="Arial" w:cs="Arial"/>
          <w:sz w:val="22"/>
        </w:rPr>
      </w:pPr>
      <w:r w:rsidRPr="00731099">
        <w:rPr>
          <w:rFonts w:ascii="Arial" w:hAnsi="Arial" w:cs="Arial"/>
          <w:sz w:val="22"/>
        </w:rPr>
        <w:t>One of the feasible Eriksonian interventions that can stimulate memo</w:t>
      </w:r>
      <w:r w:rsidRPr="00731099">
        <w:rPr>
          <w:rFonts w:ascii="Arial" w:hAnsi="Arial" w:cs="Arial"/>
          <w:sz w:val="22"/>
        </w:rPr>
        <w:t>ry and meaning is the use of photos and music-based groups during the weekly life-story sessions. Devonshire Care Home has been running specialist dementia programmes for more than 30 years, which has allowed the use of the same reminiscence materials on a</w:t>
      </w:r>
      <w:r w:rsidRPr="00731099">
        <w:rPr>
          <w:rFonts w:ascii="Arial" w:hAnsi="Arial" w:cs="Arial"/>
          <w:sz w:val="22"/>
        </w:rPr>
        <w:t xml:space="preserve"> regular basis and practised facilitation (Birmingham City Council, 2025). These teams tend to augment societal communication and lower depressive articulations, though unforeseen memory blanknesses can precipitate a state of frustration in demand of preva</w:t>
      </w:r>
      <w:r w:rsidRPr="00731099">
        <w:rPr>
          <w:rFonts w:ascii="Arial" w:hAnsi="Arial" w:cs="Arial"/>
          <w:sz w:val="22"/>
        </w:rPr>
        <w:t>iling validation and emotional subjugation. Life-story work combined with daily significant accomplishments thus offers the continuity of emotions and upholds dignity among the residents of varying recall.</w:t>
      </w:r>
    </w:p>
    <w:p w:rsidR="004B13E1" w:rsidRPr="00731099" w:rsidRDefault="00135B51" w:rsidP="004B13E1">
      <w:pPr>
        <w:rPr>
          <w:rFonts w:ascii="Arial" w:hAnsi="Arial" w:cs="Arial"/>
          <w:sz w:val="22"/>
        </w:rPr>
      </w:pPr>
      <w:r w:rsidRPr="00731099">
        <w:rPr>
          <w:rFonts w:ascii="Arial" w:hAnsi="Arial" w:cs="Arial"/>
          <w:sz w:val="22"/>
        </w:rPr>
        <w:t>One of the Vygotskian examples is a graded dressin</w:t>
      </w:r>
      <w:r w:rsidRPr="00731099">
        <w:rPr>
          <w:rFonts w:ascii="Arial" w:hAnsi="Arial" w:cs="Arial"/>
          <w:sz w:val="22"/>
        </w:rPr>
        <w:t>g routine in which a staff member depends on the scaffolded verbal and physical prompts. The 24-hour staffing model of the home allows repetition of the guided practice in secure and familiar environments that strengthen habitual routines (Devonshire Care,</w:t>
      </w:r>
      <w:r w:rsidRPr="00731099">
        <w:rPr>
          <w:rFonts w:ascii="Arial" w:hAnsi="Arial" w:cs="Arial"/>
          <w:sz w:val="22"/>
        </w:rPr>
        <w:t xml:space="preserve"> 2025). This approach usually minimises resistance in the course of personal care and facilitates retained independence, though progressive loss may require more intrusive support and risk dependency. Educating the employees on culturally recognisable cues</w:t>
      </w:r>
      <w:r w:rsidRPr="00731099">
        <w:rPr>
          <w:rFonts w:ascii="Arial" w:hAnsi="Arial" w:cs="Arial"/>
          <w:sz w:val="22"/>
        </w:rPr>
        <w:t xml:space="preserve"> and the application of graduated prompts will consequently streamline scaffold effectiveness and contain care requirements. </w:t>
      </w:r>
    </w:p>
    <w:p w:rsidR="004B13E1" w:rsidRPr="00731099" w:rsidRDefault="00135B51" w:rsidP="004B13E1">
      <w:pPr>
        <w:pStyle w:val="Heading1"/>
        <w:rPr>
          <w:rFonts w:ascii="Arial" w:hAnsi="Arial" w:cs="Arial"/>
        </w:rPr>
      </w:pPr>
      <w:bookmarkStart w:id="8" w:name="_Toc215647067"/>
      <w:r w:rsidRPr="00731099">
        <w:rPr>
          <w:rFonts w:ascii="Arial" w:hAnsi="Arial" w:cs="Arial"/>
        </w:rPr>
        <w:t>4. Conclusion</w:t>
      </w:r>
      <w:bookmarkEnd w:id="8"/>
    </w:p>
    <w:p w:rsidR="004B13E1" w:rsidRPr="00731099" w:rsidRDefault="00135B51" w:rsidP="004B13E1">
      <w:pPr>
        <w:rPr>
          <w:rFonts w:ascii="Arial" w:hAnsi="Arial" w:cs="Arial"/>
          <w:sz w:val="22"/>
        </w:rPr>
      </w:pPr>
      <w:r w:rsidRPr="00731099">
        <w:rPr>
          <w:rFonts w:ascii="Arial" w:hAnsi="Arial" w:cs="Arial"/>
          <w:sz w:val="22"/>
        </w:rPr>
        <w:t>However, the conclusion of the report states that the two theories are useful in understanding ageing, the developme</w:t>
      </w:r>
      <w:r w:rsidRPr="00731099">
        <w:rPr>
          <w:rFonts w:ascii="Arial" w:hAnsi="Arial" w:cs="Arial"/>
          <w:sz w:val="22"/>
        </w:rPr>
        <w:t>nt of dementia and behavioural change. The theory of Erikson draws attention to emotional needs that are associated with identity, purpose, and dignity, whereas the theory by Vygotsky explains the role of social interaction and directed assistance in defin</w:t>
      </w:r>
      <w:r w:rsidRPr="00731099">
        <w:rPr>
          <w:rFonts w:ascii="Arial" w:hAnsi="Arial" w:cs="Arial"/>
          <w:sz w:val="22"/>
        </w:rPr>
        <w:t>ing everyday functioning. The results of the analysis indicate that the combined application reinforces person-centred care and increases psychological stability among adults aged above 65. It is further noted that the two theories need to be adjusted to s</w:t>
      </w:r>
      <w:r w:rsidRPr="00731099">
        <w:rPr>
          <w:rFonts w:ascii="Arial" w:hAnsi="Arial" w:cs="Arial"/>
          <w:sz w:val="22"/>
        </w:rPr>
        <w:t>uit cognitive decline by professionals to provide compassionate, consistent, and socially based dementia care.</w:t>
      </w:r>
    </w:p>
    <w:p w:rsidR="004B13E1" w:rsidRPr="00731099" w:rsidRDefault="00135B51">
      <w:pPr>
        <w:spacing w:before="0" w:beforeAutospacing="0" w:after="160" w:afterAutospacing="0" w:line="259" w:lineRule="auto"/>
        <w:jc w:val="left"/>
        <w:rPr>
          <w:rFonts w:ascii="Arial" w:hAnsi="Arial" w:cs="Arial"/>
        </w:rPr>
      </w:pPr>
      <w:r w:rsidRPr="00731099">
        <w:rPr>
          <w:rFonts w:ascii="Arial" w:hAnsi="Arial" w:cs="Arial"/>
        </w:rPr>
        <w:br w:type="page"/>
      </w:r>
    </w:p>
    <w:p w:rsidR="004B13E1" w:rsidRPr="00731099" w:rsidRDefault="00135B51" w:rsidP="004B13E1">
      <w:pPr>
        <w:pStyle w:val="Heading1"/>
        <w:rPr>
          <w:rFonts w:ascii="Arial" w:hAnsi="Arial" w:cs="Arial"/>
        </w:rPr>
      </w:pPr>
      <w:bookmarkStart w:id="9" w:name="_Toc215647068"/>
      <w:r w:rsidRPr="00731099">
        <w:rPr>
          <w:rFonts w:ascii="Arial" w:hAnsi="Arial" w:cs="Arial"/>
        </w:rPr>
        <w:t>References</w:t>
      </w:r>
      <w:bookmarkEnd w:id="9"/>
    </w:p>
    <w:p w:rsidR="004B13E1" w:rsidRPr="00731099" w:rsidRDefault="00135B51" w:rsidP="004B13E1">
      <w:pPr>
        <w:rPr>
          <w:rFonts w:ascii="Arial" w:hAnsi="Arial" w:cs="Arial"/>
          <w:sz w:val="22"/>
        </w:rPr>
      </w:pPr>
      <w:r w:rsidRPr="00731099">
        <w:rPr>
          <w:rFonts w:ascii="Arial" w:hAnsi="Arial" w:cs="Arial"/>
          <w:sz w:val="22"/>
        </w:rPr>
        <w:t xml:space="preserve">Abdelghany, Mahmoud Adly (2025) ‘The Role of Nursing in Enhancing Quality of Life for Individuals with Dementia’, </w:t>
      </w:r>
      <w:r w:rsidRPr="00731099">
        <w:rPr>
          <w:rFonts w:ascii="Arial" w:hAnsi="Arial" w:cs="Arial"/>
          <w:i/>
          <w:iCs/>
          <w:sz w:val="22"/>
        </w:rPr>
        <w:t>Theseus.fi</w:t>
      </w:r>
      <w:r w:rsidRPr="00731099">
        <w:rPr>
          <w:rFonts w:ascii="Arial" w:hAnsi="Arial" w:cs="Arial"/>
          <w:sz w:val="22"/>
        </w:rPr>
        <w:t xml:space="preserve"> [Preprint]. Available at: http://www.theseus.fi/handle/10024/898828.</w:t>
      </w:r>
    </w:p>
    <w:p w:rsidR="004B13E1" w:rsidRPr="00731099" w:rsidRDefault="00135B51" w:rsidP="004B13E1">
      <w:pPr>
        <w:rPr>
          <w:rFonts w:ascii="Arial" w:hAnsi="Arial" w:cs="Arial"/>
          <w:sz w:val="22"/>
        </w:rPr>
      </w:pPr>
      <w:r w:rsidRPr="00731099">
        <w:rPr>
          <w:rFonts w:ascii="Arial" w:hAnsi="Arial" w:cs="Arial"/>
          <w:sz w:val="22"/>
        </w:rPr>
        <w:t xml:space="preserve">Birmingham City Council (2025) </w:t>
      </w:r>
      <w:r w:rsidRPr="00731099">
        <w:rPr>
          <w:rFonts w:ascii="Arial" w:hAnsi="Arial" w:cs="Arial"/>
          <w:i/>
          <w:iCs/>
          <w:sz w:val="22"/>
        </w:rPr>
        <w:t>Dementia community resources | Living with dementia | Birmingham City Council</w:t>
      </w:r>
      <w:r w:rsidRPr="00731099">
        <w:rPr>
          <w:rFonts w:ascii="Arial" w:hAnsi="Arial" w:cs="Arial"/>
          <w:sz w:val="22"/>
        </w:rPr>
        <w:t xml:space="preserve">, </w:t>
      </w:r>
      <w:r w:rsidRPr="00731099">
        <w:rPr>
          <w:rFonts w:ascii="Arial" w:hAnsi="Arial" w:cs="Arial"/>
          <w:i/>
          <w:iCs/>
          <w:sz w:val="22"/>
        </w:rPr>
        <w:t>Birmingham.gov.uk</w:t>
      </w:r>
      <w:r w:rsidRPr="00731099">
        <w:rPr>
          <w:rFonts w:ascii="Arial" w:hAnsi="Arial" w:cs="Arial"/>
          <w:sz w:val="22"/>
        </w:rPr>
        <w:t>. Available at: https://www.birmingham.gov.uk/info/50319/de</w:t>
      </w:r>
      <w:r w:rsidRPr="00731099">
        <w:rPr>
          <w:rFonts w:ascii="Arial" w:hAnsi="Arial" w:cs="Arial"/>
          <w:sz w:val="22"/>
        </w:rPr>
        <w:t>mentia/2861/living_with_dementia/4 (Accessed: 3 December 2025).</w:t>
      </w:r>
    </w:p>
    <w:p w:rsidR="004B13E1" w:rsidRPr="00731099" w:rsidRDefault="00135B51" w:rsidP="004B13E1">
      <w:pPr>
        <w:rPr>
          <w:rFonts w:ascii="Arial" w:hAnsi="Arial" w:cs="Arial"/>
          <w:sz w:val="22"/>
        </w:rPr>
      </w:pPr>
      <w:r w:rsidRPr="00731099">
        <w:rPr>
          <w:rFonts w:ascii="Arial" w:hAnsi="Arial" w:cs="Arial"/>
          <w:sz w:val="22"/>
        </w:rPr>
        <w:t xml:space="preserve">Carers UK (2023) </w:t>
      </w:r>
      <w:r w:rsidRPr="00731099">
        <w:rPr>
          <w:rFonts w:ascii="Arial" w:hAnsi="Arial" w:cs="Arial"/>
          <w:i/>
          <w:iCs/>
          <w:sz w:val="22"/>
        </w:rPr>
        <w:t>Key facts and figures</w:t>
      </w:r>
      <w:r w:rsidRPr="00731099">
        <w:rPr>
          <w:rFonts w:ascii="Arial" w:hAnsi="Arial" w:cs="Arial"/>
          <w:sz w:val="22"/>
        </w:rPr>
        <w:t xml:space="preserve">, </w:t>
      </w:r>
      <w:r w:rsidRPr="00731099">
        <w:rPr>
          <w:rFonts w:ascii="Arial" w:hAnsi="Arial" w:cs="Arial"/>
          <w:i/>
          <w:iCs/>
          <w:sz w:val="22"/>
        </w:rPr>
        <w:t>Carers UK</w:t>
      </w:r>
      <w:r w:rsidRPr="00731099">
        <w:rPr>
          <w:rFonts w:ascii="Arial" w:hAnsi="Arial" w:cs="Arial"/>
          <w:sz w:val="22"/>
        </w:rPr>
        <w:t>. Available at: https://www.carersuk.org/policy-and-research/key-facts-and-figures/ (Accessed: 3 December 2025).</w:t>
      </w:r>
    </w:p>
    <w:p w:rsidR="004B13E1" w:rsidRPr="00731099" w:rsidRDefault="00135B51" w:rsidP="004B13E1">
      <w:pPr>
        <w:rPr>
          <w:rFonts w:ascii="Arial" w:hAnsi="Arial" w:cs="Arial"/>
          <w:sz w:val="22"/>
        </w:rPr>
      </w:pPr>
      <w:r w:rsidRPr="00731099">
        <w:rPr>
          <w:rFonts w:ascii="Arial" w:hAnsi="Arial" w:cs="Arial"/>
          <w:sz w:val="22"/>
        </w:rPr>
        <w:t xml:space="preserve">CQC (2024) </w:t>
      </w:r>
      <w:r w:rsidRPr="00731099">
        <w:rPr>
          <w:rFonts w:ascii="Arial" w:hAnsi="Arial" w:cs="Arial"/>
          <w:i/>
          <w:iCs/>
          <w:sz w:val="22"/>
        </w:rPr>
        <w:t>People with dementi</w:t>
      </w:r>
      <w:r w:rsidRPr="00731099">
        <w:rPr>
          <w:rFonts w:ascii="Arial" w:hAnsi="Arial" w:cs="Arial"/>
          <w:i/>
          <w:iCs/>
          <w:sz w:val="22"/>
        </w:rPr>
        <w:t>a - Care Quality Commission</w:t>
      </w:r>
      <w:r w:rsidRPr="00731099">
        <w:rPr>
          <w:rFonts w:ascii="Arial" w:hAnsi="Arial" w:cs="Arial"/>
          <w:sz w:val="22"/>
        </w:rPr>
        <w:t xml:space="preserve">, </w:t>
      </w:r>
      <w:r w:rsidRPr="00731099">
        <w:rPr>
          <w:rFonts w:ascii="Arial" w:hAnsi="Arial" w:cs="Arial"/>
          <w:i/>
          <w:iCs/>
          <w:sz w:val="22"/>
        </w:rPr>
        <w:t>Cqc.org.uk</w:t>
      </w:r>
      <w:r w:rsidRPr="00731099">
        <w:rPr>
          <w:rFonts w:ascii="Arial" w:hAnsi="Arial" w:cs="Arial"/>
          <w:sz w:val="22"/>
        </w:rPr>
        <w:t>. Available at: https://www.cqc.org.uk/publications/major-report/state-care/2024-2025/focus/dementia (Accessed: 3 December 2025).</w:t>
      </w:r>
    </w:p>
    <w:p w:rsidR="004B13E1" w:rsidRPr="00731099" w:rsidRDefault="00135B51" w:rsidP="004B13E1">
      <w:pPr>
        <w:rPr>
          <w:rFonts w:ascii="Arial" w:hAnsi="Arial" w:cs="Arial"/>
          <w:sz w:val="22"/>
        </w:rPr>
      </w:pPr>
      <w:r w:rsidRPr="00731099">
        <w:rPr>
          <w:rFonts w:ascii="Arial" w:hAnsi="Arial" w:cs="Arial"/>
          <w:sz w:val="22"/>
        </w:rPr>
        <w:t xml:space="preserve">Devonshire Care (2025) </w:t>
      </w:r>
      <w:r w:rsidRPr="00731099">
        <w:rPr>
          <w:rFonts w:ascii="Arial" w:hAnsi="Arial" w:cs="Arial"/>
          <w:i/>
          <w:iCs/>
          <w:sz w:val="22"/>
        </w:rPr>
        <w:t>Services Archive - Devonshire Care</w:t>
      </w:r>
      <w:r w:rsidRPr="00731099">
        <w:rPr>
          <w:rFonts w:ascii="Arial" w:hAnsi="Arial" w:cs="Arial"/>
          <w:sz w:val="22"/>
        </w:rPr>
        <w:t xml:space="preserve">, </w:t>
      </w:r>
      <w:r w:rsidRPr="00731099">
        <w:rPr>
          <w:rFonts w:ascii="Arial" w:hAnsi="Arial" w:cs="Arial"/>
          <w:i/>
          <w:iCs/>
          <w:sz w:val="22"/>
        </w:rPr>
        <w:t>Devonshire Care</w:t>
      </w:r>
      <w:r w:rsidRPr="00731099">
        <w:rPr>
          <w:rFonts w:ascii="Arial" w:hAnsi="Arial" w:cs="Arial"/>
          <w:sz w:val="22"/>
        </w:rPr>
        <w:t>. Available a</w:t>
      </w:r>
      <w:r w:rsidRPr="00731099">
        <w:rPr>
          <w:rFonts w:ascii="Arial" w:hAnsi="Arial" w:cs="Arial"/>
          <w:sz w:val="22"/>
        </w:rPr>
        <w:t>t: https://devonshire.care/?post_type=wf-services&amp;utm_source=chatgpt.com (Accessed: 3 December 2025).</w:t>
      </w:r>
    </w:p>
    <w:p w:rsidR="004B13E1" w:rsidRPr="00731099" w:rsidRDefault="00135B51" w:rsidP="004B13E1">
      <w:pPr>
        <w:rPr>
          <w:rFonts w:ascii="Arial" w:hAnsi="Arial" w:cs="Arial"/>
          <w:sz w:val="22"/>
        </w:rPr>
      </w:pPr>
      <w:r w:rsidRPr="00731099">
        <w:rPr>
          <w:rFonts w:ascii="Arial" w:hAnsi="Arial" w:cs="Arial"/>
          <w:sz w:val="22"/>
        </w:rPr>
        <w:t xml:space="preserve">Devonshire Dementia Care Home (2025) </w:t>
      </w:r>
      <w:r w:rsidRPr="00731099">
        <w:rPr>
          <w:rFonts w:ascii="Arial" w:hAnsi="Arial" w:cs="Arial"/>
          <w:i/>
          <w:iCs/>
          <w:sz w:val="22"/>
        </w:rPr>
        <w:t>Dementia Care Home and Day Centre, Dementia Residential Home, New Malden, Surrey, UK</w:t>
      </w:r>
      <w:r w:rsidRPr="00731099">
        <w:rPr>
          <w:rFonts w:ascii="Arial" w:hAnsi="Arial" w:cs="Arial"/>
          <w:sz w:val="22"/>
        </w:rPr>
        <w:t xml:space="preserve">, </w:t>
      </w:r>
      <w:r w:rsidRPr="00731099">
        <w:rPr>
          <w:rFonts w:ascii="Arial" w:hAnsi="Arial" w:cs="Arial"/>
          <w:i/>
          <w:iCs/>
          <w:sz w:val="22"/>
        </w:rPr>
        <w:t>Devonshiredementia.com</w:t>
      </w:r>
      <w:r w:rsidRPr="00731099">
        <w:rPr>
          <w:rFonts w:ascii="Arial" w:hAnsi="Arial" w:cs="Arial"/>
          <w:sz w:val="22"/>
        </w:rPr>
        <w:t>. Availab</w:t>
      </w:r>
      <w:r w:rsidRPr="00731099">
        <w:rPr>
          <w:rFonts w:ascii="Arial" w:hAnsi="Arial" w:cs="Arial"/>
          <w:sz w:val="22"/>
        </w:rPr>
        <w:t>le at: https://www.devonshiredementiacare.com/ (Accessed: 3 December 2025).</w:t>
      </w:r>
    </w:p>
    <w:p w:rsidR="004B13E1" w:rsidRPr="00731099" w:rsidRDefault="00135B51" w:rsidP="004B13E1">
      <w:pPr>
        <w:rPr>
          <w:rFonts w:ascii="Arial" w:hAnsi="Arial" w:cs="Arial"/>
          <w:sz w:val="22"/>
        </w:rPr>
      </w:pPr>
      <w:r w:rsidRPr="00731099">
        <w:rPr>
          <w:rFonts w:ascii="Arial" w:hAnsi="Arial" w:cs="Arial"/>
          <w:sz w:val="22"/>
        </w:rPr>
        <w:t>Jiménez-Palomares, M., Garrido-Ardila, E.M., Chávez-Bravo, E., Torres-Piles, S.T., González-Sánchez, B., Rodríguez-Mansilla, M.J., De Toro-García, Á. and Rodríguez-Mansilla, J. (20</w:t>
      </w:r>
      <w:r w:rsidRPr="00731099">
        <w:rPr>
          <w:rFonts w:ascii="Arial" w:hAnsi="Arial" w:cs="Arial"/>
          <w:sz w:val="22"/>
        </w:rPr>
        <w:t xml:space="preserve">24) 'Benefits of Music Therapy in the Cognitive Impairments of Alzheimer-Type Dementia: A Systematic Review', </w:t>
      </w:r>
      <w:r w:rsidRPr="00731099">
        <w:rPr>
          <w:rFonts w:ascii="Arial" w:hAnsi="Arial" w:cs="Arial"/>
          <w:i/>
          <w:iCs/>
          <w:sz w:val="22"/>
        </w:rPr>
        <w:t>Journal of Clinical Medicine</w:t>
      </w:r>
      <w:r w:rsidRPr="00731099">
        <w:rPr>
          <w:rFonts w:ascii="Arial" w:hAnsi="Arial" w:cs="Arial"/>
          <w:sz w:val="22"/>
        </w:rPr>
        <w:t>, 13(7), p. 2042. Available at: https://doi.org/10.3390/jcm13072042.</w:t>
      </w:r>
    </w:p>
    <w:p w:rsidR="004B13E1" w:rsidRPr="00731099" w:rsidRDefault="00135B51" w:rsidP="004B13E1">
      <w:pPr>
        <w:rPr>
          <w:rFonts w:ascii="Arial" w:hAnsi="Arial" w:cs="Arial"/>
          <w:sz w:val="22"/>
        </w:rPr>
      </w:pPr>
      <w:r w:rsidRPr="00731099">
        <w:rPr>
          <w:rFonts w:ascii="Arial" w:hAnsi="Arial" w:cs="Arial"/>
          <w:sz w:val="22"/>
        </w:rPr>
        <w:t>Jopowicz, A., Wiśniowska, J. and Tarnacka, B. (20</w:t>
      </w:r>
      <w:r w:rsidRPr="00731099">
        <w:rPr>
          <w:rFonts w:ascii="Arial" w:hAnsi="Arial" w:cs="Arial"/>
          <w:sz w:val="22"/>
        </w:rPr>
        <w:t xml:space="preserve">22) ‘Cognitive and Physical Intervention in Metals’ Dysfunction and Neurodegeneration’, </w:t>
      </w:r>
      <w:r w:rsidRPr="00731099">
        <w:rPr>
          <w:rFonts w:ascii="Arial" w:hAnsi="Arial" w:cs="Arial"/>
          <w:i/>
          <w:iCs/>
          <w:sz w:val="22"/>
        </w:rPr>
        <w:t>Brain Sciences</w:t>
      </w:r>
      <w:r w:rsidRPr="00731099">
        <w:rPr>
          <w:rFonts w:ascii="Arial" w:hAnsi="Arial" w:cs="Arial"/>
          <w:sz w:val="22"/>
        </w:rPr>
        <w:t>, 12(3), p. 345. Available at: https://doi.org/10.3390/brainsci12030345.</w:t>
      </w:r>
    </w:p>
    <w:p w:rsidR="004B13E1" w:rsidRPr="00731099" w:rsidRDefault="00135B51" w:rsidP="004B13E1">
      <w:pPr>
        <w:rPr>
          <w:rFonts w:ascii="Arial" w:hAnsi="Arial" w:cs="Arial"/>
          <w:sz w:val="22"/>
        </w:rPr>
      </w:pPr>
      <w:r w:rsidRPr="00731099">
        <w:rPr>
          <w:rFonts w:ascii="Arial" w:hAnsi="Arial" w:cs="Arial"/>
          <w:sz w:val="22"/>
        </w:rPr>
        <w:t>Kindell, J.A., Harman, K., Maguire-Rosier, K., Polonyi, R., Thompson, J. and Kead</w:t>
      </w:r>
      <w:r w:rsidRPr="00731099">
        <w:rPr>
          <w:rFonts w:ascii="Arial" w:hAnsi="Arial" w:cs="Arial"/>
          <w:sz w:val="22"/>
        </w:rPr>
        <w:t xml:space="preserve">y, J.D. (2025) ‘Exploring the everyday care practices of healthcare support workers when working with people with dementia admitted to National Health Service hospital wards in the United Kingdom: a qualitative systematic review of the literature’, </w:t>
      </w:r>
      <w:r w:rsidRPr="00731099">
        <w:rPr>
          <w:rFonts w:ascii="Arial" w:hAnsi="Arial" w:cs="Arial"/>
          <w:i/>
          <w:iCs/>
          <w:sz w:val="22"/>
        </w:rPr>
        <w:t>Aging &amp;</w:t>
      </w:r>
      <w:r w:rsidRPr="00731099">
        <w:rPr>
          <w:rFonts w:ascii="Arial" w:hAnsi="Arial" w:cs="Arial"/>
          <w:i/>
          <w:iCs/>
          <w:sz w:val="22"/>
        </w:rPr>
        <w:t xml:space="preserve"> Mental Health</w:t>
      </w:r>
      <w:r w:rsidRPr="00731099">
        <w:rPr>
          <w:rFonts w:ascii="Arial" w:hAnsi="Arial" w:cs="Arial"/>
          <w:sz w:val="22"/>
        </w:rPr>
        <w:t>, pp. 1–13. Available at: https://doi.org/10.1080/13607863.2024.2447319.</w:t>
      </w:r>
    </w:p>
    <w:p w:rsidR="004B13E1" w:rsidRPr="00731099" w:rsidRDefault="00135B51" w:rsidP="004B13E1">
      <w:pPr>
        <w:rPr>
          <w:rFonts w:ascii="Arial" w:hAnsi="Arial" w:cs="Arial"/>
          <w:sz w:val="22"/>
        </w:rPr>
      </w:pPr>
      <w:r w:rsidRPr="00731099">
        <w:rPr>
          <w:rFonts w:ascii="Arial" w:hAnsi="Arial" w:cs="Arial"/>
          <w:sz w:val="22"/>
        </w:rPr>
        <w:t>Li, M., Xu, Q., Han, X., Jiang, Y., Ya, R. and Li, J. (2023) ‘A cross-sectional historical study on the changes in self-esteem among Chinese adolescents from 1996 to 201</w:t>
      </w:r>
      <w:r w:rsidRPr="00731099">
        <w:rPr>
          <w:rFonts w:ascii="Arial" w:hAnsi="Arial" w:cs="Arial"/>
          <w:sz w:val="22"/>
        </w:rPr>
        <w:t xml:space="preserve">9’, </w:t>
      </w:r>
      <w:r w:rsidRPr="00731099">
        <w:rPr>
          <w:rFonts w:ascii="Arial" w:hAnsi="Arial" w:cs="Arial"/>
          <w:i/>
          <w:iCs/>
          <w:sz w:val="22"/>
        </w:rPr>
        <w:t>Frontiers in Psychology</w:t>
      </w:r>
      <w:r w:rsidRPr="00731099">
        <w:rPr>
          <w:rFonts w:ascii="Arial" w:hAnsi="Arial" w:cs="Arial"/>
          <w:sz w:val="22"/>
        </w:rPr>
        <w:t>, 14. Available at: https://doi.org/10.3389/fpsyg.2023.1280041.</w:t>
      </w:r>
    </w:p>
    <w:p w:rsidR="004B13E1" w:rsidRPr="00731099" w:rsidRDefault="00135B51" w:rsidP="004B13E1">
      <w:pPr>
        <w:rPr>
          <w:rFonts w:ascii="Arial" w:hAnsi="Arial" w:cs="Arial"/>
          <w:sz w:val="22"/>
        </w:rPr>
      </w:pPr>
      <w:r w:rsidRPr="00731099">
        <w:rPr>
          <w:rFonts w:ascii="Arial" w:hAnsi="Arial" w:cs="Arial"/>
          <w:sz w:val="22"/>
        </w:rPr>
        <w:t xml:space="preserve">ONS (2022) </w:t>
      </w:r>
      <w:r w:rsidRPr="00731099">
        <w:rPr>
          <w:rFonts w:ascii="Arial" w:hAnsi="Arial" w:cs="Arial"/>
          <w:i/>
          <w:iCs/>
          <w:sz w:val="22"/>
        </w:rPr>
        <w:t>Voices of our ageing population - Office for National Statistics</w:t>
      </w:r>
      <w:r w:rsidRPr="00731099">
        <w:rPr>
          <w:rFonts w:ascii="Arial" w:hAnsi="Arial" w:cs="Arial"/>
          <w:sz w:val="22"/>
        </w:rPr>
        <w:t xml:space="preserve">, </w:t>
      </w:r>
      <w:r w:rsidRPr="00731099">
        <w:rPr>
          <w:rFonts w:ascii="Arial" w:hAnsi="Arial" w:cs="Arial"/>
          <w:i/>
          <w:iCs/>
          <w:sz w:val="22"/>
        </w:rPr>
        <w:t>www.ons.gov.uk</w:t>
      </w:r>
      <w:r w:rsidRPr="00731099">
        <w:rPr>
          <w:rFonts w:ascii="Arial" w:hAnsi="Arial" w:cs="Arial"/>
          <w:sz w:val="22"/>
        </w:rPr>
        <w:t xml:space="preserve">. Available at: </w:t>
      </w:r>
      <w:r w:rsidRPr="00731099">
        <w:rPr>
          <w:rFonts w:ascii="Arial" w:hAnsi="Arial" w:cs="Arial"/>
          <w:sz w:val="22"/>
        </w:rPr>
        <w:t>https://www.ons.gov.uk/peoplepopulationandcommunity/birthsdeathsandmarriages/ageing/articles/voicesofourageingpopulation/livinglongerlives (Accessed: 3 December 2025).</w:t>
      </w:r>
    </w:p>
    <w:p w:rsidR="00675A42" w:rsidRPr="00731099" w:rsidRDefault="00135B51">
      <w:pPr>
        <w:rPr>
          <w:rFonts w:ascii="Arial" w:hAnsi="Arial" w:cs="Arial"/>
          <w:sz w:val="22"/>
        </w:rPr>
      </w:pPr>
      <w:r w:rsidRPr="00731099">
        <w:rPr>
          <w:rFonts w:ascii="Arial" w:hAnsi="Arial" w:cs="Arial"/>
          <w:sz w:val="22"/>
        </w:rPr>
        <w:t xml:space="preserve">Patel, K.K. and Weisbrode, K. (2025) </w:t>
      </w:r>
      <w:r w:rsidRPr="00731099">
        <w:rPr>
          <w:rFonts w:ascii="Arial" w:hAnsi="Arial" w:cs="Arial"/>
          <w:i/>
          <w:iCs/>
          <w:sz w:val="22"/>
        </w:rPr>
        <w:t xml:space="preserve">European Integration and the Atlantic Community in </w:t>
      </w:r>
      <w:r w:rsidRPr="00731099">
        <w:rPr>
          <w:rFonts w:ascii="Arial" w:hAnsi="Arial" w:cs="Arial"/>
          <w:i/>
          <w:iCs/>
          <w:sz w:val="22"/>
        </w:rPr>
        <w:t>the 1980s</w:t>
      </w:r>
      <w:r w:rsidRPr="00731099">
        <w:rPr>
          <w:rFonts w:ascii="Arial" w:hAnsi="Arial" w:cs="Arial"/>
          <w:sz w:val="22"/>
        </w:rPr>
        <w:t xml:space="preserve">, </w:t>
      </w:r>
      <w:r w:rsidRPr="00731099">
        <w:rPr>
          <w:rFonts w:ascii="Arial" w:hAnsi="Arial" w:cs="Arial"/>
          <w:i/>
          <w:iCs/>
          <w:sz w:val="22"/>
        </w:rPr>
        <w:t>CQC</w:t>
      </w:r>
      <w:r w:rsidRPr="00731099">
        <w:rPr>
          <w:rFonts w:ascii="Arial" w:hAnsi="Arial" w:cs="Arial"/>
          <w:sz w:val="22"/>
        </w:rPr>
        <w:t>. Available at: https://www.cqc.org.uk/location/1-107289210/reports (Accessed: 3 December 2025).</w:t>
      </w:r>
    </w:p>
    <w:sectPr w:rsidR="00675A42" w:rsidRPr="00731099" w:rsidSect="00433F8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B51" w:rsidRDefault="00135B51" w:rsidP="00433F8A">
      <w:pPr>
        <w:spacing w:before="0" w:after="0" w:line="240" w:lineRule="auto"/>
      </w:pPr>
      <w:r>
        <w:separator/>
      </w:r>
    </w:p>
  </w:endnote>
  <w:endnote w:type="continuationSeparator" w:id="0">
    <w:p w:rsidR="00135B51" w:rsidRDefault="00135B51" w:rsidP="00433F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F8A" w:rsidRDefault="00433F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sz w:val="18"/>
      </w:rPr>
      <w:id w:val="-1134637317"/>
      <w:docPartObj>
        <w:docPartGallery w:val="Page Numbers (Bottom of Page)"/>
        <w:docPartUnique/>
      </w:docPartObj>
    </w:sdtPr>
    <w:sdtEndPr>
      <w:rPr>
        <w:rFonts w:ascii="Arial" w:hAnsi="Arial" w:cs="Arial"/>
        <w:noProof/>
        <w:color w:val="7F7F7F" w:themeColor="background1" w:themeShade="7F"/>
        <w:spacing w:val="60"/>
      </w:rPr>
    </w:sdtEndPr>
    <w:sdtContent>
      <w:bookmarkStart w:id="10" w:name="_GoBack" w:displacedByCustomXml="prev"/>
      <w:p w:rsidR="00433F8A" w:rsidRPr="00433F8A" w:rsidRDefault="00433F8A">
        <w:pPr>
          <w:pStyle w:val="Footer"/>
          <w:pBdr>
            <w:top w:val="single" w:sz="4" w:space="1" w:color="D9D9D9" w:themeColor="background1" w:themeShade="D9"/>
          </w:pBdr>
          <w:jc w:val="right"/>
          <w:rPr>
            <w:rFonts w:ascii="Arial" w:hAnsi="Arial" w:cs="Arial"/>
            <w:sz w:val="18"/>
          </w:rPr>
        </w:pPr>
        <w:r w:rsidRPr="00433F8A">
          <w:rPr>
            <w:rFonts w:ascii="Arial" w:hAnsi="Arial" w:cs="Arial"/>
            <w:noProof w:val="0"/>
            <w:sz w:val="18"/>
          </w:rPr>
          <w:fldChar w:fldCharType="begin"/>
        </w:r>
        <w:r w:rsidRPr="00433F8A">
          <w:rPr>
            <w:rFonts w:ascii="Arial" w:hAnsi="Arial" w:cs="Arial"/>
            <w:sz w:val="18"/>
          </w:rPr>
          <w:instrText xml:space="preserve"> PAGE   \* MERGEFORMAT </w:instrText>
        </w:r>
        <w:r w:rsidRPr="00433F8A">
          <w:rPr>
            <w:rFonts w:ascii="Arial" w:hAnsi="Arial" w:cs="Arial"/>
            <w:noProof w:val="0"/>
            <w:sz w:val="18"/>
          </w:rPr>
          <w:fldChar w:fldCharType="separate"/>
        </w:r>
        <w:r>
          <w:rPr>
            <w:rFonts w:ascii="Arial" w:hAnsi="Arial" w:cs="Arial"/>
            <w:sz w:val="18"/>
          </w:rPr>
          <w:t>1</w:t>
        </w:r>
        <w:r w:rsidRPr="00433F8A">
          <w:rPr>
            <w:rFonts w:ascii="Arial" w:hAnsi="Arial" w:cs="Arial"/>
            <w:sz w:val="18"/>
          </w:rPr>
          <w:fldChar w:fldCharType="end"/>
        </w:r>
        <w:r w:rsidRPr="00433F8A">
          <w:rPr>
            <w:rFonts w:ascii="Arial" w:hAnsi="Arial" w:cs="Arial"/>
            <w:sz w:val="18"/>
          </w:rPr>
          <w:t xml:space="preserve"> | </w:t>
        </w:r>
        <w:r w:rsidRPr="00433F8A">
          <w:rPr>
            <w:rFonts w:ascii="Arial" w:hAnsi="Arial" w:cs="Arial"/>
            <w:color w:val="7F7F7F" w:themeColor="background1" w:themeShade="7F"/>
            <w:spacing w:val="60"/>
            <w:sz w:val="18"/>
          </w:rPr>
          <w:t>Page</w:t>
        </w:r>
      </w:p>
    </w:sdtContent>
  </w:sdt>
  <w:bookmarkEnd w:id="10"/>
  <w:p w:rsidR="00433F8A" w:rsidRDefault="00433F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F8A" w:rsidRDefault="00433F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B51" w:rsidRDefault="00135B51" w:rsidP="00433F8A">
      <w:pPr>
        <w:spacing w:before="0" w:after="0" w:line="240" w:lineRule="auto"/>
      </w:pPr>
      <w:r>
        <w:separator/>
      </w:r>
    </w:p>
  </w:footnote>
  <w:footnote w:type="continuationSeparator" w:id="0">
    <w:p w:rsidR="00135B51" w:rsidRDefault="00135B51" w:rsidP="00433F8A">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F8A" w:rsidRDefault="00433F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F8A" w:rsidRDefault="00433F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3F8A" w:rsidRDefault="00433F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3E1"/>
    <w:rsid w:val="00135B51"/>
    <w:rsid w:val="00250B97"/>
    <w:rsid w:val="003469B6"/>
    <w:rsid w:val="00433F8A"/>
    <w:rsid w:val="004B13E1"/>
    <w:rsid w:val="00675A42"/>
    <w:rsid w:val="00731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6F8FA7B0-59B0-4CE5-A2BE-B432E4B97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9B6"/>
    <w:pPr>
      <w:spacing w:before="100" w:beforeAutospacing="1" w:after="100" w:afterAutospacing="1"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3469B6"/>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3469B6"/>
    <w:pPr>
      <w:keepNext/>
      <w:keepLines/>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9B6"/>
    <w:rPr>
      <w:rFonts w:ascii="Times New Roman" w:eastAsiaTheme="majorEastAsia" w:hAnsi="Times New Roman" w:cstheme="majorBidi"/>
      <w:b/>
      <w:noProof/>
      <w:color w:val="000000" w:themeColor="text1"/>
      <w:sz w:val="28"/>
      <w:szCs w:val="32"/>
    </w:rPr>
  </w:style>
  <w:style w:type="character" w:customStyle="1" w:styleId="Heading2Char">
    <w:name w:val="Heading 2 Char"/>
    <w:basedOn w:val="DefaultParagraphFont"/>
    <w:link w:val="Heading2"/>
    <w:uiPriority w:val="9"/>
    <w:rsid w:val="003469B6"/>
    <w:rPr>
      <w:rFonts w:ascii="Times New Roman" w:eastAsiaTheme="majorEastAsia" w:hAnsi="Times New Roman" w:cstheme="majorBidi"/>
      <w:b/>
      <w:noProof/>
      <w:color w:val="000000" w:themeColor="text1"/>
      <w:sz w:val="26"/>
      <w:szCs w:val="26"/>
    </w:rPr>
  </w:style>
  <w:style w:type="paragraph" w:styleId="Title">
    <w:name w:val="Title"/>
    <w:basedOn w:val="Normal"/>
    <w:next w:val="Normal"/>
    <w:link w:val="TitleChar"/>
    <w:autoRedefine/>
    <w:uiPriority w:val="10"/>
    <w:qFormat/>
    <w:rsid w:val="004B13E1"/>
    <w:pPr>
      <w:pBdr>
        <w:bottom w:val="single" w:sz="4" w:space="1" w:color="auto"/>
      </w:pBdr>
      <w:contextualSpacing/>
      <w:jc w:val="center"/>
    </w:pPr>
    <w:rPr>
      <w:rFonts w:eastAsiaTheme="majorEastAsia" w:cstheme="majorBidi"/>
      <w:b/>
      <w:color w:val="000000" w:themeColor="text1"/>
      <w:spacing w:val="-10"/>
      <w:kern w:val="28"/>
      <w:sz w:val="40"/>
      <w:szCs w:val="56"/>
    </w:rPr>
  </w:style>
  <w:style w:type="character" w:customStyle="1" w:styleId="TitleChar">
    <w:name w:val="Title Char"/>
    <w:basedOn w:val="DefaultParagraphFont"/>
    <w:link w:val="Title"/>
    <w:uiPriority w:val="10"/>
    <w:rsid w:val="004B13E1"/>
    <w:rPr>
      <w:rFonts w:ascii="Times New Roman" w:eastAsiaTheme="majorEastAsia" w:hAnsi="Times New Roman" w:cstheme="majorBidi"/>
      <w:b/>
      <w:noProof/>
      <w:color w:val="000000" w:themeColor="text1"/>
      <w:spacing w:val="-10"/>
      <w:kern w:val="28"/>
      <w:sz w:val="40"/>
      <w:szCs w:val="56"/>
    </w:rPr>
  </w:style>
  <w:style w:type="paragraph" w:styleId="TOCHeading">
    <w:name w:val="TOC Heading"/>
    <w:basedOn w:val="Heading1"/>
    <w:next w:val="Normal"/>
    <w:uiPriority w:val="39"/>
    <w:unhideWhenUsed/>
    <w:qFormat/>
    <w:rsid w:val="004B13E1"/>
    <w:pPr>
      <w:spacing w:before="240" w:beforeAutospacing="0" w:after="0" w:afterAutospacing="0" w:line="259" w:lineRule="auto"/>
      <w:jc w:val="left"/>
      <w:outlineLvl w:val="9"/>
    </w:pPr>
    <w:rPr>
      <w:rFonts w:asciiTheme="majorHAnsi" w:hAnsiTheme="majorHAnsi"/>
      <w:b w:val="0"/>
      <w:noProof w:val="0"/>
      <w:color w:val="2E74B5" w:themeColor="accent1" w:themeShade="BF"/>
      <w:sz w:val="32"/>
      <w:lang w:val="en-US"/>
    </w:rPr>
  </w:style>
  <w:style w:type="paragraph" w:styleId="TOC1">
    <w:name w:val="toc 1"/>
    <w:basedOn w:val="Normal"/>
    <w:next w:val="Normal"/>
    <w:autoRedefine/>
    <w:uiPriority w:val="39"/>
    <w:unhideWhenUsed/>
    <w:rsid w:val="004B13E1"/>
  </w:style>
  <w:style w:type="paragraph" w:styleId="TOC2">
    <w:name w:val="toc 2"/>
    <w:basedOn w:val="Normal"/>
    <w:next w:val="Normal"/>
    <w:autoRedefine/>
    <w:uiPriority w:val="39"/>
    <w:unhideWhenUsed/>
    <w:rsid w:val="004B13E1"/>
    <w:pPr>
      <w:ind w:left="240"/>
    </w:pPr>
  </w:style>
  <w:style w:type="character" w:styleId="Hyperlink">
    <w:name w:val="Hyperlink"/>
    <w:basedOn w:val="DefaultParagraphFont"/>
    <w:uiPriority w:val="99"/>
    <w:unhideWhenUsed/>
    <w:rsid w:val="004B13E1"/>
    <w:rPr>
      <w:color w:val="0563C1" w:themeColor="hyperlink"/>
      <w:u w:val="single"/>
    </w:rPr>
  </w:style>
  <w:style w:type="paragraph" w:styleId="Header">
    <w:name w:val="header"/>
    <w:basedOn w:val="Normal"/>
    <w:link w:val="HeaderChar"/>
    <w:uiPriority w:val="99"/>
    <w:unhideWhenUsed/>
    <w:rsid w:val="00433F8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33F8A"/>
    <w:rPr>
      <w:rFonts w:ascii="Times New Roman" w:hAnsi="Times New Roman"/>
      <w:noProof/>
      <w:sz w:val="24"/>
    </w:rPr>
  </w:style>
  <w:style w:type="paragraph" w:styleId="Footer">
    <w:name w:val="footer"/>
    <w:basedOn w:val="Normal"/>
    <w:link w:val="FooterChar"/>
    <w:uiPriority w:val="99"/>
    <w:unhideWhenUsed/>
    <w:rsid w:val="00433F8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33F8A"/>
    <w:rPr>
      <w:rFonts w:ascii="Times New Roman" w:hAnsi="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9D9E1-CA39-4C54-9CA1-A165A37B4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2191</Words>
  <Characters>12492</Characters>
  <Application>Microsoft Office Word</Application>
  <DocSecurity>0</DocSecurity>
  <Lines>104</Lines>
  <Paragraphs>29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1. Introduction</vt:lpstr>
      <vt:lpstr>2. Detailed Overview of Two Theories</vt:lpstr>
      <vt:lpstr>    2.1 Erikson’s Psychosocial Development Theory</vt:lpstr>
      <vt:lpstr>    2.2 Vygotsky’s sociocultural theory</vt:lpstr>
      <vt:lpstr>3. Application in the Health and Social Care context</vt:lpstr>
      <vt:lpstr>    3.1 Application of psychological theories to the Devonshire Dementia Care Home</vt:lpstr>
      <vt:lpstr>    3.2 Application of the theories in addressing the psychological and behavioural </vt:lpstr>
      <vt:lpstr>    3.3 Relevant examples in support </vt:lpstr>
      <vt:lpstr>4. Conclusion</vt:lpstr>
      <vt:lpstr>References</vt:lpstr>
    </vt:vector>
  </TitlesOfParts>
  <Company/>
  <LinksUpToDate>false</LinksUpToDate>
  <CharactersWithSpaces>14654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User10</dc:creator>
  <cp:lastModifiedBy>User10</cp:lastModifiedBy>
  <cp:revision>3</cp:revision>
  <dcterms:created xsi:type="dcterms:W3CDTF">2025-12-03T04:06:00Z</dcterms:created>
  <dcterms:modified xsi:type="dcterms:W3CDTF">2025-12-03T08:15:00Z</dcterms:modified>
</cp:coreProperties>
</file>