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647E3" w14:textId="77777777" w:rsidR="00007EA1" w:rsidRDefault="00007EA1" w:rsidP="00E54CC4">
      <w:pPr>
        <w:shd w:val="clear" w:color="auto" w:fill="FFFFFF"/>
        <w:spacing w:after="0" w:line="360" w:lineRule="auto"/>
        <w:outlineLvl w:val="0"/>
        <w:rPr>
          <w:rFonts w:ascii="Times New Roman" w:eastAsia="Times New Roman" w:hAnsi="Times New Roman" w:cs="Times New Roman"/>
          <w:b/>
          <w:color w:val="0F1115"/>
          <w:kern w:val="36"/>
          <w:sz w:val="24"/>
          <w:szCs w:val="24"/>
          <w:lang w:eastAsia="en-GB"/>
        </w:rPr>
      </w:pPr>
      <w:bookmarkStart w:id="0" w:name="_Toc237110902"/>
    </w:p>
    <w:p w14:paraId="58F3B0B7" w14:textId="77777777" w:rsidR="00007EA1" w:rsidRDefault="00007EA1" w:rsidP="00E54CC4">
      <w:pPr>
        <w:shd w:val="clear" w:color="auto" w:fill="FFFFFF"/>
        <w:spacing w:after="0" w:line="360" w:lineRule="auto"/>
        <w:outlineLvl w:val="0"/>
        <w:rPr>
          <w:rFonts w:ascii="Times New Roman" w:eastAsia="Times New Roman" w:hAnsi="Times New Roman" w:cs="Times New Roman"/>
          <w:b/>
          <w:color w:val="0F1115"/>
          <w:kern w:val="36"/>
          <w:sz w:val="24"/>
          <w:szCs w:val="24"/>
          <w:lang w:eastAsia="en-GB"/>
        </w:rPr>
      </w:pPr>
    </w:p>
    <w:p w14:paraId="03A8B65C" w14:textId="77777777" w:rsidR="00007EA1" w:rsidRDefault="00007EA1" w:rsidP="00E54CC4">
      <w:pPr>
        <w:shd w:val="clear" w:color="auto" w:fill="FFFFFF"/>
        <w:spacing w:after="0" w:line="360" w:lineRule="auto"/>
        <w:outlineLvl w:val="0"/>
        <w:rPr>
          <w:rFonts w:ascii="Times New Roman" w:eastAsia="Times New Roman" w:hAnsi="Times New Roman" w:cs="Times New Roman"/>
          <w:b/>
          <w:color w:val="0F1115"/>
          <w:kern w:val="36"/>
          <w:sz w:val="24"/>
          <w:szCs w:val="24"/>
          <w:lang w:eastAsia="en-GB"/>
        </w:rPr>
      </w:pPr>
    </w:p>
    <w:p w14:paraId="1C66E012" w14:textId="77777777" w:rsidR="00007EA1" w:rsidRDefault="00007EA1" w:rsidP="00E54CC4">
      <w:pPr>
        <w:shd w:val="clear" w:color="auto" w:fill="FFFFFF"/>
        <w:spacing w:after="0" w:line="360" w:lineRule="auto"/>
        <w:outlineLvl w:val="0"/>
        <w:rPr>
          <w:rFonts w:ascii="Times New Roman" w:eastAsia="Times New Roman" w:hAnsi="Times New Roman" w:cs="Times New Roman"/>
          <w:b/>
          <w:color w:val="0F1115"/>
          <w:kern w:val="36"/>
          <w:sz w:val="24"/>
          <w:szCs w:val="24"/>
          <w:lang w:eastAsia="en-GB"/>
        </w:rPr>
      </w:pPr>
    </w:p>
    <w:p w14:paraId="1B67BCAD" w14:textId="2354F06D" w:rsidR="00007EA1" w:rsidRDefault="00007EA1" w:rsidP="00E54CC4">
      <w:pPr>
        <w:shd w:val="clear" w:color="auto" w:fill="FFFFFF"/>
        <w:spacing w:after="0" w:line="360" w:lineRule="auto"/>
        <w:outlineLvl w:val="0"/>
        <w:rPr>
          <w:rFonts w:ascii="Times New Roman" w:eastAsia="Times New Roman" w:hAnsi="Times New Roman" w:cs="Times New Roman"/>
          <w:b/>
          <w:color w:val="0F1115"/>
          <w:kern w:val="36"/>
          <w:sz w:val="24"/>
          <w:szCs w:val="24"/>
          <w:lang w:eastAsia="en-GB"/>
        </w:rPr>
      </w:pPr>
      <w:r>
        <w:rPr>
          <w:noProof/>
        </w:rPr>
        <w:drawing>
          <wp:inline distT="0" distB="0" distL="0" distR="0" wp14:anchorId="5DE6DCBD" wp14:editId="6B0A6A4D">
            <wp:extent cx="3514725" cy="2857500"/>
            <wp:effectExtent l="0" t="0" r="9525" b="0"/>
            <wp:docPr id="1082563359" name="Picture 1" descr="University of Wales Trinity Saint David: Ranking, Courses, Fe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Ranking, Courses, Fee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4725" cy="2857500"/>
                    </a:xfrm>
                    <a:prstGeom prst="rect">
                      <a:avLst/>
                    </a:prstGeom>
                    <a:noFill/>
                    <a:ln>
                      <a:noFill/>
                    </a:ln>
                  </pic:spPr>
                </pic:pic>
              </a:graphicData>
            </a:graphic>
          </wp:inline>
        </w:drawing>
      </w:r>
    </w:p>
    <w:p w14:paraId="142B264A" w14:textId="77777777" w:rsidR="00007EA1" w:rsidRDefault="00007EA1" w:rsidP="00E54CC4">
      <w:pPr>
        <w:shd w:val="clear" w:color="auto" w:fill="FFFFFF"/>
        <w:spacing w:after="0" w:line="360" w:lineRule="auto"/>
        <w:outlineLvl w:val="0"/>
        <w:rPr>
          <w:rFonts w:ascii="Times New Roman" w:eastAsia="Times New Roman" w:hAnsi="Times New Roman" w:cs="Times New Roman"/>
          <w:b/>
          <w:color w:val="0F1115"/>
          <w:kern w:val="36"/>
          <w:sz w:val="24"/>
          <w:szCs w:val="24"/>
          <w:lang w:eastAsia="en-GB"/>
        </w:rPr>
      </w:pPr>
    </w:p>
    <w:p w14:paraId="082DB621" w14:textId="77777777" w:rsidR="00007EA1" w:rsidRDefault="00007EA1" w:rsidP="00E54CC4">
      <w:pPr>
        <w:shd w:val="clear" w:color="auto" w:fill="FFFFFF"/>
        <w:spacing w:after="0" w:line="360" w:lineRule="auto"/>
        <w:outlineLvl w:val="0"/>
        <w:rPr>
          <w:rFonts w:ascii="Times New Roman" w:eastAsia="Times New Roman" w:hAnsi="Times New Roman" w:cs="Times New Roman"/>
          <w:b/>
          <w:color w:val="0F1115"/>
          <w:kern w:val="36"/>
          <w:sz w:val="24"/>
          <w:szCs w:val="24"/>
          <w:lang w:eastAsia="en-GB"/>
        </w:rPr>
      </w:pPr>
    </w:p>
    <w:p w14:paraId="03DA42D2" w14:textId="77777777" w:rsidR="00007EA1" w:rsidRDefault="00007EA1" w:rsidP="00E54CC4">
      <w:pPr>
        <w:shd w:val="clear" w:color="auto" w:fill="FFFFFF"/>
        <w:spacing w:after="0" w:line="360" w:lineRule="auto"/>
        <w:outlineLvl w:val="0"/>
        <w:rPr>
          <w:rFonts w:ascii="Times New Roman" w:eastAsia="Times New Roman" w:hAnsi="Times New Roman" w:cs="Times New Roman"/>
          <w:b/>
          <w:color w:val="0F1115"/>
          <w:kern w:val="36"/>
          <w:sz w:val="24"/>
          <w:szCs w:val="24"/>
          <w:lang w:eastAsia="en-GB"/>
        </w:rPr>
      </w:pPr>
    </w:p>
    <w:p w14:paraId="70171D37" w14:textId="6DBF292D" w:rsidR="00007EA1" w:rsidRDefault="00973D5F" w:rsidP="00E54CC4">
      <w:pPr>
        <w:shd w:val="clear" w:color="auto" w:fill="FFFFFF"/>
        <w:spacing w:after="0" w:line="360" w:lineRule="auto"/>
        <w:outlineLvl w:val="0"/>
        <w:rPr>
          <w:rFonts w:ascii="Times New Roman" w:eastAsia="Times New Roman" w:hAnsi="Times New Roman" w:cs="Times New Roman"/>
          <w:b/>
          <w:color w:val="0F1115"/>
          <w:kern w:val="36"/>
          <w:sz w:val="24"/>
          <w:szCs w:val="24"/>
          <w:lang w:eastAsia="en-GB"/>
        </w:rPr>
      </w:pPr>
      <w:r w:rsidRPr="00973D5F">
        <w:rPr>
          <w:rFonts w:ascii="Times New Roman" w:eastAsia="Times New Roman" w:hAnsi="Times New Roman" w:cs="Times New Roman"/>
          <w:b/>
          <w:color w:val="0F1115"/>
          <w:kern w:val="36"/>
          <w:sz w:val="24"/>
          <w:szCs w:val="24"/>
          <w:lang w:eastAsia="en-GB"/>
        </w:rPr>
        <w:t>BMHP6029-Psychopathological Classifications and Provisions.</w:t>
      </w:r>
    </w:p>
    <w:p w14:paraId="414B122F" w14:textId="77777777" w:rsidR="00007EA1" w:rsidRPr="00007EA1" w:rsidRDefault="00007EA1" w:rsidP="00007EA1">
      <w:pPr>
        <w:spacing w:line="278" w:lineRule="auto"/>
        <w:jc w:val="left"/>
        <w:outlineLvl w:val="9"/>
        <w:rPr>
          <w:rFonts w:ascii="Times New Roman" w:eastAsia="Times New Roman" w:hAnsi="Times New Roman" w:cs="Times New Roman"/>
          <w:b/>
          <w:color w:val="0F1115"/>
          <w:kern w:val="36"/>
          <w:sz w:val="24"/>
          <w:szCs w:val="24"/>
          <w:lang w:eastAsia="en-GB"/>
        </w:rPr>
      </w:pPr>
      <w:r w:rsidRPr="00007EA1">
        <w:rPr>
          <w:rFonts w:ascii="Times New Roman" w:eastAsia="Times New Roman" w:hAnsi="Times New Roman" w:cs="Times New Roman"/>
          <w:b/>
          <w:color w:val="0F1115"/>
          <w:kern w:val="36"/>
          <w:sz w:val="24"/>
          <w:szCs w:val="24"/>
          <w:lang w:val="en-US" w:eastAsia="en-GB"/>
        </w:rPr>
        <w:t>Student Name: Charity Amihere</w:t>
      </w:r>
    </w:p>
    <w:p w14:paraId="78055B94" w14:textId="77777777" w:rsidR="00007EA1" w:rsidRPr="00007EA1" w:rsidRDefault="00007EA1" w:rsidP="00007EA1">
      <w:pPr>
        <w:spacing w:line="278" w:lineRule="auto"/>
        <w:jc w:val="left"/>
        <w:outlineLvl w:val="9"/>
        <w:rPr>
          <w:rFonts w:ascii="Times New Roman" w:eastAsia="Times New Roman" w:hAnsi="Times New Roman" w:cs="Times New Roman"/>
          <w:b/>
          <w:color w:val="0F1115"/>
          <w:kern w:val="36"/>
          <w:sz w:val="24"/>
          <w:szCs w:val="24"/>
          <w:lang w:eastAsia="en-GB"/>
        </w:rPr>
      </w:pPr>
      <w:r w:rsidRPr="00007EA1">
        <w:rPr>
          <w:rFonts w:ascii="Times New Roman" w:eastAsia="Times New Roman" w:hAnsi="Times New Roman" w:cs="Times New Roman"/>
          <w:b/>
          <w:color w:val="0F1115"/>
          <w:kern w:val="36"/>
          <w:sz w:val="24"/>
          <w:szCs w:val="24"/>
          <w:lang w:val="en-US" w:eastAsia="en-GB"/>
        </w:rPr>
        <w:t>Student Number:2336795</w:t>
      </w:r>
    </w:p>
    <w:p w14:paraId="306FB8E6" w14:textId="654D93DB" w:rsidR="00F80D06" w:rsidRPr="00F80D06" w:rsidRDefault="00F80D06" w:rsidP="00F80D06">
      <w:pPr>
        <w:pStyle w:val="NoSpacing"/>
        <w:spacing w:line="360" w:lineRule="auto"/>
        <w:rPr>
          <w:rStyle w:val="Strong"/>
          <w:rFonts w:ascii="Arial" w:hAnsi="Arial"/>
          <w:b/>
          <w:bCs w:val="0"/>
          <w:color w:val="1D2125"/>
          <w:sz w:val="22"/>
        </w:rPr>
      </w:pPr>
      <w:r w:rsidRPr="00895E01">
        <w:rPr>
          <w:rFonts w:ascii="Arial" w:hAnsi="Arial"/>
          <w:bCs/>
          <w:sz w:val="22"/>
        </w:rPr>
        <w:t xml:space="preserve">Component </w:t>
      </w:r>
      <w:r>
        <w:rPr>
          <w:rFonts w:ascii="Arial" w:hAnsi="Arial"/>
          <w:bCs/>
          <w:sz w:val="22"/>
        </w:rPr>
        <w:t>2</w:t>
      </w:r>
      <w:r w:rsidRPr="00895E01">
        <w:rPr>
          <w:rFonts w:ascii="Arial" w:hAnsi="Arial"/>
          <w:bCs/>
          <w:sz w:val="22"/>
        </w:rPr>
        <w:t>: Written Report</w:t>
      </w:r>
    </w:p>
    <w:p w14:paraId="7761DE90" w14:textId="01BC6F5A" w:rsidR="00007EA1" w:rsidRDefault="00F80D06" w:rsidP="00F80D06">
      <w:pPr>
        <w:spacing w:line="278" w:lineRule="auto"/>
        <w:jc w:val="left"/>
        <w:outlineLvl w:val="9"/>
        <w:rPr>
          <w:rFonts w:ascii="Times New Roman" w:eastAsia="Times New Roman" w:hAnsi="Times New Roman" w:cs="Times New Roman"/>
          <w:b/>
          <w:color w:val="0F1115"/>
          <w:kern w:val="36"/>
          <w:sz w:val="24"/>
          <w:szCs w:val="24"/>
          <w:lang w:eastAsia="en-GB"/>
        </w:rPr>
      </w:pPr>
      <w:r w:rsidRPr="00895E01">
        <w:rPr>
          <w:rStyle w:val="Strong"/>
          <w:color w:val="1D2125"/>
          <w:szCs w:val="22"/>
        </w:rPr>
        <w:t>Lecturer’s name:</w:t>
      </w:r>
      <w:r>
        <w:rPr>
          <w:rStyle w:val="Strong"/>
          <w:color w:val="1D2125"/>
          <w:szCs w:val="22"/>
        </w:rPr>
        <w:t xml:space="preserve"> </w:t>
      </w:r>
      <w:r w:rsidR="00973D5F">
        <w:rPr>
          <w:rStyle w:val="Strong"/>
          <w:color w:val="1D2125"/>
          <w:szCs w:val="22"/>
        </w:rPr>
        <w:t>Bianca</w:t>
      </w:r>
      <w:r w:rsidR="00007EA1">
        <w:rPr>
          <w:rFonts w:ascii="Times New Roman" w:eastAsia="Times New Roman" w:hAnsi="Times New Roman" w:cs="Times New Roman"/>
          <w:b/>
          <w:color w:val="0F1115"/>
          <w:kern w:val="36"/>
          <w:sz w:val="24"/>
          <w:szCs w:val="24"/>
          <w:lang w:eastAsia="en-GB"/>
        </w:rPr>
        <w:br w:type="page"/>
      </w:r>
    </w:p>
    <w:p w14:paraId="5DEF2107" w14:textId="2BD07694" w:rsidR="00E54CC4" w:rsidRPr="00C745D7" w:rsidRDefault="00E54CC4" w:rsidP="00E54CC4">
      <w:pPr>
        <w:shd w:val="clear" w:color="auto" w:fill="FFFFFF"/>
        <w:spacing w:after="0" w:line="360" w:lineRule="auto"/>
        <w:outlineLvl w:val="0"/>
        <w:rPr>
          <w:rFonts w:ascii="Times New Roman" w:eastAsia="Times New Roman" w:hAnsi="Times New Roman" w:cs="Times New Roman"/>
          <w:b/>
          <w:color w:val="0F1115"/>
          <w:kern w:val="36"/>
          <w:sz w:val="24"/>
          <w:szCs w:val="24"/>
          <w:lang w:eastAsia="en-GB"/>
        </w:rPr>
      </w:pPr>
      <w:r w:rsidRPr="00C745D7">
        <w:rPr>
          <w:rFonts w:ascii="Times New Roman" w:eastAsia="Times New Roman" w:hAnsi="Times New Roman" w:cs="Times New Roman"/>
          <w:b/>
          <w:color w:val="0F1115"/>
          <w:kern w:val="36"/>
          <w:sz w:val="24"/>
          <w:szCs w:val="24"/>
          <w:lang w:eastAsia="en-GB"/>
        </w:rPr>
        <w:lastRenderedPageBreak/>
        <w:t>Generalised Anxiety Disorder (GAD): A Critical Examination of Classification, Treatment, and the Challenge of Parity</w:t>
      </w:r>
      <w:bookmarkEnd w:id="0"/>
    </w:p>
    <w:p w14:paraId="554DFC22" w14:textId="77777777" w:rsidR="00C745D7" w:rsidRDefault="00C745D7">
      <w:pPr>
        <w:spacing w:line="278" w:lineRule="auto"/>
        <w:jc w:val="left"/>
        <w:outlineLvl w:val="9"/>
        <w:rPr>
          <w:rFonts w:ascii="Times New Roman" w:eastAsia="Times New Roman" w:hAnsi="Times New Roman" w:cs="Times New Roman"/>
          <w:sz w:val="24"/>
          <w:szCs w:val="24"/>
          <w:lang w:eastAsia="en-GB"/>
        </w:rPr>
      </w:pPr>
    </w:p>
    <w:sdt>
      <w:sdtPr>
        <w:rPr>
          <w:rFonts w:ascii="Arial" w:eastAsia="Aptos" w:hAnsi="Arial" w:cs="Arial"/>
          <w:b w:val="0"/>
          <w:color w:val="auto"/>
          <w:kern w:val="2"/>
          <w:sz w:val="22"/>
          <w:lang w:val="en-GB"/>
        </w:rPr>
        <w:id w:val="2092885086"/>
        <w:docPartObj>
          <w:docPartGallery w:val="Table of Contents"/>
          <w:docPartUnique/>
        </w:docPartObj>
      </w:sdtPr>
      <w:sdtEndPr>
        <w:rPr>
          <w:rFonts w:ascii="Times New Roman" w:hAnsi="Times New Roman" w:cs="Times New Roman"/>
          <w:bCs w:val="0"/>
          <w:noProof/>
          <w:sz w:val="24"/>
          <w:szCs w:val="24"/>
        </w:rPr>
      </w:sdtEndPr>
      <w:sdtContent>
        <w:p w14:paraId="591B11A3" w14:textId="244E95E3" w:rsidR="00C745D7" w:rsidRPr="00706A1C" w:rsidRDefault="00C745D7" w:rsidP="00706A1C">
          <w:pPr>
            <w:pStyle w:val="TOCHeading"/>
            <w:spacing w:before="0" w:line="360" w:lineRule="auto"/>
            <w:rPr>
              <w:rFonts w:ascii="Times New Roman" w:hAnsi="Times New Roman" w:cs="Times New Roman"/>
              <w:color w:val="auto"/>
              <w:sz w:val="24"/>
              <w:szCs w:val="24"/>
            </w:rPr>
          </w:pPr>
          <w:r w:rsidRPr="00706A1C">
            <w:rPr>
              <w:rFonts w:ascii="Times New Roman" w:hAnsi="Times New Roman" w:cs="Times New Roman"/>
              <w:color w:val="auto"/>
              <w:sz w:val="24"/>
              <w:szCs w:val="24"/>
            </w:rPr>
            <w:t>Table of Contents</w:t>
          </w:r>
        </w:p>
        <w:p w14:paraId="190C7ABE" w14:textId="54BED6AE" w:rsidR="00706A1C" w:rsidRPr="00706A1C" w:rsidRDefault="00C745D7" w:rsidP="00706A1C">
          <w:pPr>
            <w:pStyle w:val="TOC1"/>
            <w:tabs>
              <w:tab w:val="right" w:leader="dot" w:pos="9016"/>
            </w:tabs>
            <w:spacing w:before="0" w:line="360" w:lineRule="auto"/>
            <w:rPr>
              <w:rFonts w:ascii="Times New Roman" w:eastAsiaTheme="minorEastAsia" w:hAnsi="Times New Roman" w:cs="Times New Roman"/>
              <w:b w:val="0"/>
              <w:bCs w:val="0"/>
              <w:caps w:val="0"/>
              <w:noProof/>
              <w:sz w:val="24"/>
              <w:szCs w:val="24"/>
              <w:u w:val="none"/>
              <w:lang w:eastAsia="en-GB"/>
              <w14:ligatures w14:val="standardContextual"/>
            </w:rPr>
          </w:pPr>
          <w:r w:rsidRPr="00706A1C">
            <w:rPr>
              <w:rFonts w:ascii="Times New Roman" w:hAnsi="Times New Roman" w:cs="Times New Roman"/>
              <w:b w:val="0"/>
              <w:bCs w:val="0"/>
              <w:sz w:val="24"/>
              <w:szCs w:val="24"/>
            </w:rPr>
            <w:fldChar w:fldCharType="begin"/>
          </w:r>
          <w:r w:rsidRPr="00706A1C">
            <w:rPr>
              <w:rFonts w:ascii="Times New Roman" w:hAnsi="Times New Roman" w:cs="Times New Roman"/>
              <w:sz w:val="24"/>
              <w:szCs w:val="24"/>
            </w:rPr>
            <w:instrText xml:space="preserve"> TOC \o "1-3" \h \z \u </w:instrText>
          </w:r>
          <w:r w:rsidRPr="00706A1C">
            <w:rPr>
              <w:rFonts w:ascii="Times New Roman" w:hAnsi="Times New Roman" w:cs="Times New Roman"/>
              <w:b w:val="0"/>
              <w:bCs w:val="0"/>
              <w:sz w:val="24"/>
              <w:szCs w:val="24"/>
            </w:rPr>
            <w:fldChar w:fldCharType="separate"/>
          </w:r>
          <w:hyperlink w:anchor="_Toc237110902" w:history="1">
            <w:r w:rsidR="00706A1C" w:rsidRPr="00706A1C">
              <w:rPr>
                <w:rStyle w:val="Hyperlink"/>
                <w:rFonts w:ascii="Times New Roman" w:eastAsia="Times New Roman" w:hAnsi="Times New Roman" w:cs="Times New Roman"/>
                <w:noProof/>
                <w:kern w:val="36"/>
                <w:sz w:val="24"/>
                <w:szCs w:val="24"/>
                <w:lang w:eastAsia="en-GB"/>
              </w:rPr>
              <w:t>Generalised Anxiety Disorder (GAD): A Critical Examination of Classification, Treatment, and the Challenge of Parity</w:t>
            </w:r>
            <w:r w:rsidR="00706A1C" w:rsidRPr="00706A1C">
              <w:rPr>
                <w:rFonts w:ascii="Times New Roman" w:hAnsi="Times New Roman" w:cs="Times New Roman"/>
                <w:noProof/>
                <w:webHidden/>
                <w:sz w:val="24"/>
                <w:szCs w:val="24"/>
              </w:rPr>
              <w:tab/>
            </w:r>
            <w:r w:rsidR="00706A1C" w:rsidRPr="00706A1C">
              <w:rPr>
                <w:rFonts w:ascii="Times New Roman" w:hAnsi="Times New Roman" w:cs="Times New Roman"/>
                <w:noProof/>
                <w:webHidden/>
                <w:sz w:val="24"/>
                <w:szCs w:val="24"/>
              </w:rPr>
              <w:fldChar w:fldCharType="begin"/>
            </w:r>
            <w:r w:rsidR="00706A1C" w:rsidRPr="00706A1C">
              <w:rPr>
                <w:rFonts w:ascii="Times New Roman" w:hAnsi="Times New Roman" w:cs="Times New Roman"/>
                <w:noProof/>
                <w:webHidden/>
                <w:sz w:val="24"/>
                <w:szCs w:val="24"/>
              </w:rPr>
              <w:instrText xml:space="preserve"> PAGEREF _Toc237110902 \h </w:instrText>
            </w:r>
            <w:r w:rsidR="00706A1C" w:rsidRPr="00706A1C">
              <w:rPr>
                <w:rFonts w:ascii="Times New Roman" w:hAnsi="Times New Roman" w:cs="Times New Roman"/>
                <w:noProof/>
                <w:webHidden/>
                <w:sz w:val="24"/>
                <w:szCs w:val="24"/>
              </w:rPr>
            </w:r>
            <w:r w:rsidR="00706A1C" w:rsidRPr="00706A1C">
              <w:rPr>
                <w:rFonts w:ascii="Times New Roman" w:hAnsi="Times New Roman" w:cs="Times New Roman"/>
                <w:noProof/>
                <w:webHidden/>
                <w:sz w:val="24"/>
                <w:szCs w:val="24"/>
              </w:rPr>
              <w:fldChar w:fldCharType="separate"/>
            </w:r>
            <w:r w:rsidR="00706A1C" w:rsidRPr="00706A1C">
              <w:rPr>
                <w:rFonts w:ascii="Times New Roman" w:hAnsi="Times New Roman" w:cs="Times New Roman"/>
                <w:noProof/>
                <w:webHidden/>
                <w:sz w:val="24"/>
                <w:szCs w:val="24"/>
              </w:rPr>
              <w:t>1</w:t>
            </w:r>
            <w:r w:rsidR="00706A1C" w:rsidRPr="00706A1C">
              <w:rPr>
                <w:rFonts w:ascii="Times New Roman" w:hAnsi="Times New Roman" w:cs="Times New Roman"/>
                <w:noProof/>
                <w:webHidden/>
                <w:sz w:val="24"/>
                <w:szCs w:val="24"/>
              </w:rPr>
              <w:fldChar w:fldCharType="end"/>
            </w:r>
          </w:hyperlink>
          <w:r w:rsidR="00F80D06">
            <w:t xml:space="preserve"> </w:t>
          </w:r>
        </w:p>
        <w:p w14:paraId="0ECD810D" w14:textId="01706BD2"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03" w:history="1">
            <w:r w:rsidRPr="00706A1C">
              <w:rPr>
                <w:rStyle w:val="Hyperlink"/>
                <w:rFonts w:ascii="Times New Roman" w:eastAsia="Times New Roman" w:hAnsi="Times New Roman" w:cs="Times New Roman"/>
                <w:noProof/>
                <w:sz w:val="24"/>
                <w:szCs w:val="24"/>
                <w:lang w:eastAsia="en-GB"/>
              </w:rPr>
              <w:t>1.0 Introduction</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_Toc237110903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2</w:t>
            </w:r>
            <w:r w:rsidRPr="00706A1C">
              <w:rPr>
                <w:rFonts w:ascii="Times New Roman" w:hAnsi="Times New Roman" w:cs="Times New Roman"/>
                <w:noProof/>
                <w:webHidden/>
                <w:sz w:val="24"/>
                <w:szCs w:val="24"/>
              </w:rPr>
              <w:fldChar w:fldCharType="end"/>
            </w:r>
          </w:hyperlink>
        </w:p>
        <w:p w14:paraId="7CDC81C5" w14:textId="7BD56A27"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04" w:history="1">
            <w:r w:rsidRPr="00706A1C">
              <w:rPr>
                <w:rStyle w:val="Hyperlink"/>
                <w:rFonts w:ascii="Times New Roman" w:eastAsia="Times New Roman" w:hAnsi="Times New Roman" w:cs="Times New Roman"/>
                <w:noProof/>
                <w:sz w:val="24"/>
                <w:szCs w:val="24"/>
                <w:lang w:eastAsia="en-GB"/>
              </w:rPr>
              <w:t>2.0 Classification and Diagnosis in ICD-11: A Critical Analysis</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_Toc237110904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2</w:t>
            </w:r>
            <w:r w:rsidRPr="00706A1C">
              <w:rPr>
                <w:rFonts w:ascii="Times New Roman" w:hAnsi="Times New Roman" w:cs="Times New Roman"/>
                <w:noProof/>
                <w:webHidden/>
                <w:sz w:val="24"/>
                <w:szCs w:val="24"/>
              </w:rPr>
              <w:fldChar w:fldCharType="end"/>
            </w:r>
          </w:hyperlink>
        </w:p>
        <w:p w14:paraId="326B6FA8" w14:textId="1AAAF925"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05" w:history="1">
            <w:r w:rsidRPr="00706A1C">
              <w:rPr>
                <w:rStyle w:val="Hyperlink"/>
                <w:rFonts w:ascii="Times New Roman" w:eastAsia="Times New Roman" w:hAnsi="Times New Roman" w:cs="Times New Roman"/>
                <w:noProof/>
                <w:sz w:val="24"/>
                <w:szCs w:val="24"/>
                <w:lang w:eastAsia="en-GB"/>
              </w:rPr>
              <w:t>2.1 Diagnostic Criteria and Clinical Features</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_Toc237110905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2</w:t>
            </w:r>
            <w:r w:rsidRPr="00706A1C">
              <w:rPr>
                <w:rFonts w:ascii="Times New Roman" w:hAnsi="Times New Roman" w:cs="Times New Roman"/>
                <w:noProof/>
                <w:webHidden/>
                <w:sz w:val="24"/>
                <w:szCs w:val="24"/>
              </w:rPr>
              <w:fldChar w:fldCharType="end"/>
            </w:r>
          </w:hyperlink>
        </w:p>
        <w:p w14:paraId="5EA75B11" w14:textId="1B3BC053" w:rsidR="00706A1C" w:rsidRPr="00706A1C" w:rsidRDefault="00706A1C" w:rsidP="00706A1C">
          <w:pPr>
            <w:pStyle w:val="TOC3"/>
            <w:tabs>
              <w:tab w:val="right" w:leader="dot" w:pos="9016"/>
            </w:tabs>
            <w:spacing w:line="360" w:lineRule="auto"/>
            <w:rPr>
              <w:rFonts w:ascii="Times New Roman" w:eastAsiaTheme="minorEastAsia" w:hAnsi="Times New Roman" w:cs="Times New Roman"/>
              <w:smallCaps w:val="0"/>
              <w:noProof/>
              <w:sz w:val="24"/>
              <w:szCs w:val="24"/>
              <w:lang w:eastAsia="en-GB"/>
              <w14:ligatures w14:val="standardContextual"/>
            </w:rPr>
          </w:pPr>
          <w:hyperlink w:anchor="_Toc237110906" w:history="1">
            <w:r w:rsidRPr="00706A1C">
              <w:rPr>
                <w:rStyle w:val="Hyperlink"/>
                <w:rFonts w:ascii="Times New Roman" w:eastAsia="Times New Roman" w:hAnsi="Times New Roman" w:cs="Times New Roman"/>
                <w:b/>
                <w:noProof/>
                <w:kern w:val="0"/>
                <w:sz w:val="24"/>
                <w:szCs w:val="24"/>
                <w:lang w:eastAsia="en-GB"/>
              </w:rPr>
              <w:t>2.2 Language and Conceptual Framework</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_Toc237110906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2</w:t>
            </w:r>
            <w:r w:rsidRPr="00706A1C">
              <w:rPr>
                <w:rFonts w:ascii="Times New Roman" w:hAnsi="Times New Roman" w:cs="Times New Roman"/>
                <w:noProof/>
                <w:webHidden/>
                <w:sz w:val="24"/>
                <w:szCs w:val="24"/>
              </w:rPr>
              <w:fldChar w:fldCharType="end"/>
            </w:r>
          </w:hyperlink>
        </w:p>
        <w:p w14:paraId="555D8F9D" w14:textId="6F24F202"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07" w:history="1">
            <w:r w:rsidRPr="00706A1C">
              <w:rPr>
                <w:rStyle w:val="Hyperlink"/>
                <w:rFonts w:ascii="Times New Roman" w:eastAsia="Times New Roman" w:hAnsi="Times New Roman" w:cs="Times New Roman"/>
                <w:noProof/>
                <w:sz w:val="24"/>
                <w:szCs w:val="24"/>
                <w:lang w:eastAsia="en-GB"/>
              </w:rPr>
              <w:t>2.3 Limitations of the Categorical Model</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_Toc237110907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3</w:t>
            </w:r>
            <w:r w:rsidRPr="00706A1C">
              <w:rPr>
                <w:rFonts w:ascii="Times New Roman" w:hAnsi="Times New Roman" w:cs="Times New Roman"/>
                <w:noProof/>
                <w:webHidden/>
                <w:sz w:val="24"/>
                <w:szCs w:val="24"/>
              </w:rPr>
              <w:fldChar w:fldCharType="end"/>
            </w:r>
          </w:hyperlink>
        </w:p>
        <w:p w14:paraId="015B5E38" w14:textId="7F978A09"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08" w:history="1">
            <w:r w:rsidRPr="00706A1C">
              <w:rPr>
                <w:rStyle w:val="Hyperlink"/>
                <w:rFonts w:ascii="Times New Roman" w:eastAsia="Times New Roman" w:hAnsi="Times New Roman" w:cs="Times New Roman"/>
                <w:noProof/>
                <w:sz w:val="24"/>
                <w:szCs w:val="24"/>
                <w:lang w:eastAsia="en-GB"/>
              </w:rPr>
              <w:t>3.0 Treatment and Rehabilitation: Evaluating Current Approaches</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_Toc237110908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3</w:t>
            </w:r>
            <w:r w:rsidRPr="00706A1C">
              <w:rPr>
                <w:rFonts w:ascii="Times New Roman" w:hAnsi="Times New Roman" w:cs="Times New Roman"/>
                <w:noProof/>
                <w:webHidden/>
                <w:sz w:val="24"/>
                <w:szCs w:val="24"/>
              </w:rPr>
              <w:fldChar w:fldCharType="end"/>
            </w:r>
          </w:hyperlink>
        </w:p>
        <w:p w14:paraId="293A3834" w14:textId="16939542"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09" w:history="1">
            <w:r w:rsidRPr="00706A1C">
              <w:rPr>
                <w:rStyle w:val="Hyperlink"/>
                <w:rFonts w:ascii="Times New Roman" w:eastAsia="Times New Roman" w:hAnsi="Times New Roman" w:cs="Times New Roman"/>
                <w:noProof/>
                <w:sz w:val="24"/>
                <w:szCs w:val="24"/>
                <w:lang w:eastAsia="en-GB"/>
              </w:rPr>
              <w:t>3.1 The Stepped-Care Model and Its Limitations</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_Toc237110909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3</w:t>
            </w:r>
            <w:r w:rsidRPr="00706A1C">
              <w:rPr>
                <w:rFonts w:ascii="Times New Roman" w:hAnsi="Times New Roman" w:cs="Times New Roman"/>
                <w:noProof/>
                <w:webHidden/>
                <w:sz w:val="24"/>
                <w:szCs w:val="24"/>
              </w:rPr>
              <w:fldChar w:fldCharType="end"/>
            </w:r>
          </w:hyperlink>
        </w:p>
        <w:p w14:paraId="398ADCAA" w14:textId="269E0BD0"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10" w:history="1">
            <w:r w:rsidRPr="00706A1C">
              <w:rPr>
                <w:rStyle w:val="Hyperlink"/>
                <w:rFonts w:ascii="Times New Roman" w:eastAsia="Times New Roman" w:hAnsi="Times New Roman" w:cs="Times New Roman"/>
                <w:noProof/>
                <w:sz w:val="24"/>
                <w:szCs w:val="24"/>
                <w:lang w:eastAsia="en-GB"/>
              </w:rPr>
              <w:t>3.2 Effectiveness and Limitations of Interventions</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_Toc237110910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4</w:t>
            </w:r>
            <w:r w:rsidRPr="00706A1C">
              <w:rPr>
                <w:rFonts w:ascii="Times New Roman" w:hAnsi="Times New Roman" w:cs="Times New Roman"/>
                <w:noProof/>
                <w:webHidden/>
                <w:sz w:val="24"/>
                <w:szCs w:val="24"/>
              </w:rPr>
              <w:fldChar w:fldCharType="end"/>
            </w:r>
          </w:hyperlink>
        </w:p>
        <w:p w14:paraId="1F402676" w14:textId="37FC75DE"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11" w:history="1">
            <w:r w:rsidRPr="00706A1C">
              <w:rPr>
                <w:rStyle w:val="Hyperlink"/>
                <w:rFonts w:ascii="Times New Roman" w:eastAsia="Times New Roman" w:hAnsi="Times New Roman" w:cs="Times New Roman"/>
                <w:noProof/>
                <w:sz w:val="24"/>
                <w:szCs w:val="24"/>
                <w:lang w:eastAsia="en-GB"/>
              </w:rPr>
              <w:t>3.3 Rehabilitation and the Social Model of Disability</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_Toc237110911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4</w:t>
            </w:r>
            <w:r w:rsidRPr="00706A1C">
              <w:rPr>
                <w:rFonts w:ascii="Times New Roman" w:hAnsi="Times New Roman" w:cs="Times New Roman"/>
                <w:noProof/>
                <w:webHidden/>
                <w:sz w:val="24"/>
                <w:szCs w:val="24"/>
              </w:rPr>
              <w:fldChar w:fldCharType="end"/>
            </w:r>
          </w:hyperlink>
        </w:p>
        <w:p w14:paraId="7B103DAD" w14:textId="73D0E864"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12" w:history="1">
            <w:r w:rsidRPr="00706A1C">
              <w:rPr>
                <w:rStyle w:val="Hyperlink"/>
                <w:rFonts w:ascii="Times New Roman" w:eastAsia="Times New Roman" w:hAnsi="Times New Roman" w:cs="Times New Roman"/>
                <w:noProof/>
                <w:sz w:val="24"/>
                <w:szCs w:val="24"/>
                <w:lang w:eastAsia="en-GB"/>
              </w:rPr>
              <w:t>4.0 Current Debates and Emerging Issues</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_Toc237110912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4</w:t>
            </w:r>
            <w:r w:rsidRPr="00706A1C">
              <w:rPr>
                <w:rFonts w:ascii="Times New Roman" w:hAnsi="Times New Roman" w:cs="Times New Roman"/>
                <w:noProof/>
                <w:webHidden/>
                <w:sz w:val="24"/>
                <w:szCs w:val="24"/>
              </w:rPr>
              <w:fldChar w:fldCharType="end"/>
            </w:r>
          </w:hyperlink>
        </w:p>
        <w:p w14:paraId="391B1A9F" w14:textId="5F101AFF"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13" w:history="1">
            <w:r w:rsidRPr="00706A1C">
              <w:rPr>
                <w:rStyle w:val="Hyperlink"/>
                <w:rFonts w:ascii="Times New Roman" w:eastAsia="Times New Roman" w:hAnsi="Times New Roman" w:cs="Times New Roman"/>
                <w:noProof/>
                <w:sz w:val="24"/>
                <w:szCs w:val="24"/>
                <w:lang w:eastAsia="en-GB"/>
              </w:rPr>
              <w:t>4.1 Neurodivergence and Reclassification Debates</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_Toc237110913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4</w:t>
            </w:r>
            <w:r w:rsidRPr="00706A1C">
              <w:rPr>
                <w:rFonts w:ascii="Times New Roman" w:hAnsi="Times New Roman" w:cs="Times New Roman"/>
                <w:noProof/>
                <w:webHidden/>
                <w:sz w:val="24"/>
                <w:szCs w:val="24"/>
              </w:rPr>
              <w:fldChar w:fldCharType="end"/>
            </w:r>
          </w:hyperlink>
        </w:p>
        <w:p w14:paraId="5FD91A81" w14:textId="7E4CAF34"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14" w:history="1">
            <w:r w:rsidRPr="00706A1C">
              <w:rPr>
                <w:rStyle w:val="Hyperlink"/>
                <w:rFonts w:ascii="Times New Roman" w:eastAsia="Times New Roman" w:hAnsi="Times New Roman" w:cs="Times New Roman"/>
                <w:noProof/>
                <w:sz w:val="24"/>
                <w:szCs w:val="24"/>
                <w:lang w:eastAsia="en-GB"/>
              </w:rPr>
              <w:t>4.2 Structural Inequalities and Systemic Failure</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_Toc237110914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5</w:t>
            </w:r>
            <w:r w:rsidRPr="00706A1C">
              <w:rPr>
                <w:rFonts w:ascii="Times New Roman" w:hAnsi="Times New Roman" w:cs="Times New Roman"/>
                <w:noProof/>
                <w:webHidden/>
                <w:sz w:val="24"/>
                <w:szCs w:val="24"/>
              </w:rPr>
              <w:fldChar w:fldCharType="end"/>
            </w:r>
          </w:hyperlink>
        </w:p>
        <w:p w14:paraId="26DAB16A" w14:textId="603CAF7C"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15" w:history="1">
            <w:r w:rsidRPr="00706A1C">
              <w:rPr>
                <w:rStyle w:val="Hyperlink"/>
                <w:rFonts w:ascii="Times New Roman" w:eastAsia="Times New Roman" w:hAnsi="Times New Roman" w:cs="Times New Roman"/>
                <w:noProof/>
                <w:sz w:val="24"/>
                <w:szCs w:val="24"/>
                <w:lang w:eastAsia="en-GB"/>
              </w:rPr>
              <w:t>4.3 The Challenge of Parity of Esteem</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_Toc237110915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5</w:t>
            </w:r>
            <w:r w:rsidRPr="00706A1C">
              <w:rPr>
                <w:rFonts w:ascii="Times New Roman" w:hAnsi="Times New Roman" w:cs="Times New Roman"/>
                <w:noProof/>
                <w:webHidden/>
                <w:sz w:val="24"/>
                <w:szCs w:val="24"/>
              </w:rPr>
              <w:fldChar w:fldCharType="end"/>
            </w:r>
          </w:hyperlink>
        </w:p>
        <w:p w14:paraId="2ED4EE39" w14:textId="0F22037E"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16" w:history="1">
            <w:r w:rsidRPr="00706A1C">
              <w:rPr>
                <w:rStyle w:val="Hyperlink"/>
                <w:rFonts w:ascii="Times New Roman" w:eastAsia="Times New Roman" w:hAnsi="Times New Roman" w:cs="Times New Roman"/>
                <w:noProof/>
                <w:sz w:val="24"/>
                <w:szCs w:val="24"/>
                <w:lang w:eastAsia="en-GB"/>
              </w:rPr>
              <w:t>5.0 Recommendations</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_Toc237110916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5</w:t>
            </w:r>
            <w:r w:rsidRPr="00706A1C">
              <w:rPr>
                <w:rFonts w:ascii="Times New Roman" w:hAnsi="Times New Roman" w:cs="Times New Roman"/>
                <w:noProof/>
                <w:webHidden/>
                <w:sz w:val="24"/>
                <w:szCs w:val="24"/>
              </w:rPr>
              <w:fldChar w:fldCharType="end"/>
            </w:r>
          </w:hyperlink>
        </w:p>
        <w:p w14:paraId="39C3DBD2" w14:textId="608A8591"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17" w:history="1">
            <w:r w:rsidRPr="00706A1C">
              <w:rPr>
                <w:rStyle w:val="Hyperlink"/>
                <w:rFonts w:ascii="Times New Roman" w:eastAsia="Times New Roman" w:hAnsi="Times New Roman" w:cs="Times New Roman"/>
                <w:noProof/>
                <w:sz w:val="24"/>
                <w:szCs w:val="24"/>
                <w:lang w:eastAsia="en-GB"/>
              </w:rPr>
              <w:t>6.0 Conclusion</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_Toc237110917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6</w:t>
            </w:r>
            <w:r w:rsidRPr="00706A1C">
              <w:rPr>
                <w:rFonts w:ascii="Times New Roman" w:hAnsi="Times New Roman" w:cs="Times New Roman"/>
                <w:noProof/>
                <w:webHidden/>
                <w:sz w:val="24"/>
                <w:szCs w:val="24"/>
              </w:rPr>
              <w:fldChar w:fldCharType="end"/>
            </w:r>
          </w:hyperlink>
        </w:p>
        <w:p w14:paraId="29D4DC56" w14:textId="67A107D6" w:rsidR="00706A1C" w:rsidRPr="00706A1C" w:rsidRDefault="00706A1C" w:rsidP="00706A1C">
          <w:pPr>
            <w:pStyle w:val="TOC2"/>
            <w:tabs>
              <w:tab w:val="right" w:leader="dot" w:pos="9016"/>
            </w:tabs>
            <w:spacing w:line="360" w:lineRule="auto"/>
            <w:rPr>
              <w:rFonts w:ascii="Times New Roman" w:eastAsiaTheme="minorEastAsia" w:hAnsi="Times New Roman" w:cs="Times New Roman"/>
              <w:b w:val="0"/>
              <w:bCs w:val="0"/>
              <w:smallCaps w:val="0"/>
              <w:noProof/>
              <w:sz w:val="24"/>
              <w:szCs w:val="24"/>
              <w:lang w:eastAsia="en-GB"/>
              <w14:ligatures w14:val="standardContextual"/>
            </w:rPr>
          </w:pPr>
          <w:hyperlink w:anchor="_Toc237110918" w:history="1">
            <w:r w:rsidRPr="00706A1C">
              <w:rPr>
                <w:rStyle w:val="Hyperlink"/>
                <w:rFonts w:ascii="Times New Roman" w:hAnsi="Times New Roman" w:cs="Times New Roman"/>
                <w:noProof/>
                <w:sz w:val="24"/>
                <w:szCs w:val="24"/>
              </w:rPr>
              <w:t>References</w:t>
            </w:r>
            <w:r w:rsidRPr="00706A1C">
              <w:rPr>
                <w:rFonts w:ascii="Times New Roman" w:hAnsi="Times New Roman" w:cs="Times New Roman"/>
                <w:noProof/>
                <w:webHidden/>
                <w:sz w:val="24"/>
                <w:szCs w:val="24"/>
              </w:rPr>
              <w:tab/>
            </w:r>
            <w:r w:rsidRPr="00706A1C">
              <w:rPr>
                <w:rFonts w:ascii="Times New Roman" w:hAnsi="Times New Roman" w:cs="Times New Roman"/>
                <w:noProof/>
                <w:webHidden/>
                <w:sz w:val="24"/>
                <w:szCs w:val="24"/>
              </w:rPr>
              <w:fldChar w:fldCharType="begin"/>
            </w:r>
            <w:r w:rsidRPr="00706A1C">
              <w:rPr>
                <w:rFonts w:ascii="Times New Roman" w:hAnsi="Times New Roman" w:cs="Times New Roman"/>
                <w:noProof/>
                <w:webHidden/>
                <w:sz w:val="24"/>
                <w:szCs w:val="24"/>
              </w:rPr>
              <w:instrText xml:space="preserve"> PAGEREF _Toc237110918 \h </w:instrText>
            </w:r>
            <w:r w:rsidRPr="00706A1C">
              <w:rPr>
                <w:rFonts w:ascii="Times New Roman" w:hAnsi="Times New Roman" w:cs="Times New Roman"/>
                <w:noProof/>
                <w:webHidden/>
                <w:sz w:val="24"/>
                <w:szCs w:val="24"/>
              </w:rPr>
            </w:r>
            <w:r w:rsidRPr="00706A1C">
              <w:rPr>
                <w:rFonts w:ascii="Times New Roman" w:hAnsi="Times New Roman" w:cs="Times New Roman"/>
                <w:noProof/>
                <w:webHidden/>
                <w:sz w:val="24"/>
                <w:szCs w:val="24"/>
              </w:rPr>
              <w:fldChar w:fldCharType="separate"/>
            </w:r>
            <w:r w:rsidRPr="00706A1C">
              <w:rPr>
                <w:rFonts w:ascii="Times New Roman" w:hAnsi="Times New Roman" w:cs="Times New Roman"/>
                <w:noProof/>
                <w:webHidden/>
                <w:sz w:val="24"/>
                <w:szCs w:val="24"/>
              </w:rPr>
              <w:t>7</w:t>
            </w:r>
            <w:r w:rsidRPr="00706A1C">
              <w:rPr>
                <w:rFonts w:ascii="Times New Roman" w:hAnsi="Times New Roman" w:cs="Times New Roman"/>
                <w:noProof/>
                <w:webHidden/>
                <w:sz w:val="24"/>
                <w:szCs w:val="24"/>
              </w:rPr>
              <w:fldChar w:fldCharType="end"/>
            </w:r>
          </w:hyperlink>
        </w:p>
        <w:p w14:paraId="7E8076F9" w14:textId="661588EF" w:rsidR="00C745D7" w:rsidRPr="00706A1C" w:rsidRDefault="00C745D7" w:rsidP="00706A1C">
          <w:pPr>
            <w:spacing w:line="360" w:lineRule="auto"/>
            <w:rPr>
              <w:rFonts w:ascii="Times New Roman" w:hAnsi="Times New Roman" w:cs="Times New Roman"/>
              <w:sz w:val="24"/>
              <w:szCs w:val="24"/>
            </w:rPr>
          </w:pPr>
          <w:r w:rsidRPr="00706A1C">
            <w:rPr>
              <w:rFonts w:ascii="Times New Roman" w:hAnsi="Times New Roman" w:cs="Times New Roman"/>
              <w:b/>
              <w:bCs w:val="0"/>
              <w:noProof/>
              <w:sz w:val="24"/>
              <w:szCs w:val="24"/>
            </w:rPr>
            <w:fldChar w:fldCharType="end"/>
          </w:r>
        </w:p>
      </w:sdtContent>
    </w:sdt>
    <w:p w14:paraId="49F08257" w14:textId="2C55092E" w:rsidR="00C745D7" w:rsidRPr="00706A1C" w:rsidRDefault="00C745D7" w:rsidP="00706A1C">
      <w:pPr>
        <w:spacing w:line="360" w:lineRule="auto"/>
        <w:jc w:val="left"/>
        <w:outlineLvl w:val="9"/>
        <w:rPr>
          <w:rFonts w:ascii="Times New Roman" w:eastAsia="Times New Roman" w:hAnsi="Times New Roman" w:cs="Times New Roman"/>
          <w:sz w:val="24"/>
          <w:szCs w:val="24"/>
          <w:lang w:eastAsia="en-GB"/>
        </w:rPr>
      </w:pPr>
      <w:r w:rsidRPr="00706A1C">
        <w:rPr>
          <w:rFonts w:ascii="Times New Roman" w:eastAsia="Times New Roman" w:hAnsi="Times New Roman" w:cs="Times New Roman"/>
          <w:sz w:val="24"/>
          <w:szCs w:val="24"/>
          <w:lang w:eastAsia="en-GB"/>
        </w:rPr>
        <w:br w:type="page"/>
      </w:r>
    </w:p>
    <w:p w14:paraId="39D2E76E" w14:textId="4D8CF3C2" w:rsidR="00E54CC4" w:rsidRPr="00C745D7" w:rsidRDefault="00E54CC4" w:rsidP="00706A1C">
      <w:pPr>
        <w:pStyle w:val="Heading2"/>
        <w:rPr>
          <w:rFonts w:eastAsia="Times New Roman"/>
          <w:lang w:eastAsia="en-GB"/>
        </w:rPr>
      </w:pPr>
      <w:bookmarkStart w:id="1" w:name="_Toc237110903"/>
      <w:r w:rsidRPr="00C745D7">
        <w:rPr>
          <w:rFonts w:eastAsia="Times New Roman"/>
          <w:lang w:eastAsia="en-GB"/>
        </w:rPr>
        <w:lastRenderedPageBreak/>
        <w:t>1.0 Introduction</w:t>
      </w:r>
      <w:bookmarkEnd w:id="1"/>
    </w:p>
    <w:p w14:paraId="5E1C2848" w14:textId="77777777" w:rsidR="00C745D7" w:rsidRPr="00C745D7" w:rsidRDefault="00C745D7" w:rsidP="00C745D7">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Cs w:val="0"/>
          <w:color w:val="0F1115"/>
          <w:kern w:val="0"/>
          <w:sz w:val="24"/>
          <w:szCs w:val="24"/>
          <w:lang w:eastAsia="en-GB"/>
        </w:rPr>
        <w:t>The ICD-11 code for Generalised Anxiety Disorder (GAD) is 6B00. The mental disorder is one of the most common illnesses affecting the population, with 6% of people having developed GAD at some point in their lives. The disease has a greater affinity for female patients and mostly affects females (World Health Organization, 2022). The defining feature of GAD is the chronic experience of worrying and anxiety with regard to daily occurrences. It clearly illustrates the interactions between biological disposition, emotions and cognition, and social variables considered important by modern approaches to studying mental diseases.</w:t>
      </w:r>
    </w:p>
    <w:p w14:paraId="6B05314A" w14:textId="79F50EF0" w:rsidR="00E54CC4" w:rsidRPr="00C745D7" w:rsidRDefault="00C745D7" w:rsidP="00C745D7">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Cs w:val="0"/>
          <w:color w:val="0F1115"/>
          <w:kern w:val="0"/>
          <w:sz w:val="24"/>
          <w:szCs w:val="24"/>
          <w:lang w:eastAsia="en-GB"/>
        </w:rPr>
        <w:t>This paper will provide a discussion of GAD within ICD-11 classification, as well as an analysis of current service provision for the diagnosis and treatment of GAD. Debates on these matters are also going to be discussed. The key thesis of the work is that despite the useful classification and rhetoric of equal treatment of mental and physical disorders provided by ICD-11, there is a range of limitations connected with service and classification.</w:t>
      </w:r>
    </w:p>
    <w:p w14:paraId="4140C4EA" w14:textId="4292B572" w:rsidR="00E54CC4" w:rsidRPr="00C745D7" w:rsidRDefault="00E54CC4" w:rsidP="00706A1C">
      <w:pPr>
        <w:pStyle w:val="Heading2"/>
        <w:rPr>
          <w:rFonts w:eastAsia="Times New Roman"/>
          <w:lang w:eastAsia="en-GB"/>
        </w:rPr>
      </w:pPr>
      <w:bookmarkStart w:id="2" w:name="_Toc237110904"/>
      <w:r w:rsidRPr="00C745D7">
        <w:rPr>
          <w:rFonts w:eastAsia="Times New Roman"/>
          <w:lang w:eastAsia="en-GB"/>
        </w:rPr>
        <w:t>2.0 Classification and Diagnosis in ICD-11: A Critical Analysis</w:t>
      </w:r>
      <w:bookmarkEnd w:id="2"/>
    </w:p>
    <w:p w14:paraId="6CCF2789" w14:textId="77777777" w:rsidR="00E54CC4" w:rsidRPr="00C745D7" w:rsidRDefault="00E54CC4" w:rsidP="00706A1C">
      <w:pPr>
        <w:pStyle w:val="Heading2"/>
        <w:rPr>
          <w:rFonts w:eastAsia="Times New Roman"/>
          <w:lang w:eastAsia="en-GB"/>
        </w:rPr>
      </w:pPr>
      <w:bookmarkStart w:id="3" w:name="_Toc237110905"/>
      <w:r w:rsidRPr="00C745D7">
        <w:rPr>
          <w:rFonts w:eastAsia="Times New Roman"/>
          <w:lang w:eastAsia="en-GB"/>
        </w:rPr>
        <w:t>2.1 Diagnostic Criteria and Clinical Features</w:t>
      </w:r>
      <w:bookmarkEnd w:id="3"/>
    </w:p>
    <w:p w14:paraId="622CAD80" w14:textId="6B6229BC" w:rsidR="00E54CC4" w:rsidRPr="00C745D7" w:rsidRDefault="00C745D7" w:rsidP="00E54CC4">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Cs w:val="0"/>
          <w:color w:val="0F1115"/>
          <w:kern w:val="0"/>
          <w:sz w:val="24"/>
          <w:szCs w:val="24"/>
          <w:lang w:eastAsia="en-GB"/>
        </w:rPr>
        <w:t>GAD is under the classification of "Disorders Involving Anxiety or Fear" (6B00) in ICD-11. GAD is diagnosed based on the presence of an ongoing pattern of chronic worries and anxiety in various spheres of life including occupational issues, general physical health and well-being, and worries regarding the patient’s family obligations and financial status (WHO, 2022). Typical manifestations of GAD include restlessness, easy fatiguability, problems with concentration, irritability, muscular tension or pain, and sleep disturbances such as insomnia (WHO, 2022). In GAD patients, all aforementioned symptoms have to persist for more than six months causing considerable distress or disability. It is crucial to draw a line between GAD and Panic Disorder (6B01) which implies repeated episodes of unexpectable panic attacks (WHO, 2022). Though people suffering from GAD can sometimes experience panic attacks, those should always be seen as related to the patient's specific concerns rather than being part of GAD.</w:t>
      </w:r>
    </w:p>
    <w:p w14:paraId="6708F591" w14:textId="77777777" w:rsidR="00E54CC4" w:rsidRPr="00C745D7" w:rsidRDefault="00E54CC4" w:rsidP="00E54CC4">
      <w:pPr>
        <w:shd w:val="clear" w:color="auto" w:fill="FFFFFF"/>
        <w:spacing w:after="0" w:line="360" w:lineRule="auto"/>
        <w:rPr>
          <w:rFonts w:ascii="Times New Roman" w:eastAsia="Times New Roman" w:hAnsi="Times New Roman" w:cs="Times New Roman"/>
          <w:b/>
          <w:color w:val="0F1115"/>
          <w:kern w:val="0"/>
          <w:sz w:val="24"/>
          <w:szCs w:val="24"/>
          <w:lang w:eastAsia="en-GB"/>
        </w:rPr>
      </w:pPr>
      <w:bookmarkStart w:id="4" w:name="_Toc237110906"/>
      <w:r w:rsidRPr="00C745D7">
        <w:rPr>
          <w:rFonts w:ascii="Times New Roman" w:eastAsia="Times New Roman" w:hAnsi="Times New Roman" w:cs="Times New Roman"/>
          <w:b/>
          <w:color w:val="0F1115"/>
          <w:kern w:val="0"/>
          <w:sz w:val="24"/>
          <w:szCs w:val="24"/>
          <w:lang w:eastAsia="en-GB"/>
        </w:rPr>
        <w:t>2.2 Language and Conceptual Framework</w:t>
      </w:r>
      <w:bookmarkEnd w:id="4"/>
    </w:p>
    <w:p w14:paraId="3909CE00" w14:textId="6A79610C" w:rsidR="00C745D7" w:rsidRPr="00C745D7" w:rsidRDefault="00C745D7" w:rsidP="00C745D7">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Cs w:val="0"/>
          <w:color w:val="0F1115"/>
          <w:kern w:val="0"/>
          <w:sz w:val="24"/>
          <w:szCs w:val="24"/>
          <w:lang w:eastAsia="en-GB"/>
        </w:rPr>
        <w:t xml:space="preserve">It is important to note that such a definition of "disorder" from the point of view of ICD-11 is not only an epistemological problem but also poses many practical challenges. Indeed, from the perspective of the biopsychosocial model by Engel, according to which any pathology should be viewed from biological, psychological, and socio-environmental perspectives, GAD is indeed considered a legitimate illness that requires treatment. However, the very use of this category to refer to such phenomena can contribute to pathologizing otherwise typical reactions and experiences associated with life circumstances. Nevertheless, it is also possible to note that </w:t>
      </w:r>
      <w:r w:rsidRPr="00C745D7">
        <w:rPr>
          <w:rFonts w:ascii="Times New Roman" w:eastAsia="Times New Roman" w:hAnsi="Times New Roman" w:cs="Times New Roman"/>
          <w:bCs w:val="0"/>
          <w:color w:val="0F1115"/>
          <w:kern w:val="0"/>
          <w:sz w:val="24"/>
          <w:szCs w:val="24"/>
          <w:lang w:eastAsia="en-GB"/>
        </w:rPr>
        <w:lastRenderedPageBreak/>
        <w:t>considering anxiety a medical problem makes its treatment more accessible and understandable for a patient. However, this approach also has the disadvantage that may ignore the impact of external and environmental factors on anxiety as a psychological phenomenon.</w:t>
      </w:r>
    </w:p>
    <w:p w14:paraId="5DC1B55C" w14:textId="0C3BBAC9" w:rsidR="00E54CC4" w:rsidRPr="00C745D7" w:rsidRDefault="00C745D7" w:rsidP="00C745D7">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Cs w:val="0"/>
          <w:color w:val="0F1115"/>
          <w:kern w:val="0"/>
          <w:sz w:val="24"/>
          <w:szCs w:val="24"/>
          <w:lang w:eastAsia="en-GB"/>
        </w:rPr>
        <w:t>In opposition to the traditional medical perspective described above, the paradigm of neurodiversity approaches neurodevelopmental conditions as such that occur naturally due to differences in human brains' functioning and, therefore, can be considered neurodivergence. Under this approach, anxiety is not necessarily related to a malfunction of a person's brain. Rather, its cause is in the fact that a person's brain structure (neurotype) is not compatible with the environment he or she lives in. This idea is backed by the evidence of the role of external factors in triggering anxious experience in autistic individuals (Neilson &amp; Bond, 2023).</w:t>
      </w:r>
    </w:p>
    <w:p w14:paraId="6B5763A9" w14:textId="77777777" w:rsidR="00E54CC4" w:rsidRPr="00C745D7" w:rsidRDefault="00E54CC4" w:rsidP="00706A1C">
      <w:pPr>
        <w:pStyle w:val="Heading2"/>
        <w:rPr>
          <w:rFonts w:eastAsia="Times New Roman"/>
          <w:lang w:eastAsia="en-GB"/>
        </w:rPr>
      </w:pPr>
      <w:bookmarkStart w:id="5" w:name="_Toc237110907"/>
      <w:r w:rsidRPr="00C745D7">
        <w:rPr>
          <w:rFonts w:eastAsia="Times New Roman"/>
          <w:lang w:eastAsia="en-GB"/>
        </w:rPr>
        <w:t>2.3 Limitations of the Categorical Model</w:t>
      </w:r>
      <w:bookmarkEnd w:id="5"/>
    </w:p>
    <w:p w14:paraId="1297310D" w14:textId="3FF87759" w:rsidR="00E54CC4" w:rsidRPr="00C745D7" w:rsidRDefault="00F308D1" w:rsidP="00F308D1">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Cs w:val="0"/>
          <w:color w:val="0F1115"/>
          <w:kern w:val="0"/>
          <w:sz w:val="24"/>
          <w:szCs w:val="24"/>
          <w:lang w:eastAsia="en-GB"/>
        </w:rPr>
        <w:t>Though practical, the category-oriented diagnosis of anxiety in the ICD-11 is challenged because it fails to account for the dimensional nature of the problem. There is a likelihood of cases going untreated if many people exhibit anxiety without meeting the criteria for its diagnosis. The fact that GAD has high comorbidity rates with major depressive disorder, panic disorder, and substance abuse raises a question whether these disorders are unique or whether they stem from similar vulnerabilities (Nutt and Baldwin, 2017). Additionally, the critique of neurodiversity posits that anxiety in the neurodivergent population might be qualitatively different and requires reconceptualization. Studies reveal discrepancies between how children, youth, and parents understand the concept of anxiety.</w:t>
      </w:r>
    </w:p>
    <w:p w14:paraId="4D416D5A" w14:textId="3022A57F" w:rsidR="00E54CC4" w:rsidRPr="00C745D7" w:rsidRDefault="00E54CC4" w:rsidP="00706A1C">
      <w:pPr>
        <w:pStyle w:val="Heading2"/>
        <w:rPr>
          <w:rFonts w:eastAsia="Times New Roman"/>
          <w:lang w:eastAsia="en-GB"/>
        </w:rPr>
      </w:pPr>
      <w:bookmarkStart w:id="6" w:name="_Toc237110908"/>
      <w:r w:rsidRPr="00C745D7">
        <w:rPr>
          <w:rFonts w:eastAsia="Times New Roman"/>
          <w:lang w:eastAsia="en-GB"/>
        </w:rPr>
        <w:t>3.</w:t>
      </w:r>
      <w:r w:rsidR="00F308D1" w:rsidRPr="00C745D7">
        <w:rPr>
          <w:rFonts w:eastAsia="Times New Roman"/>
          <w:lang w:eastAsia="en-GB"/>
        </w:rPr>
        <w:t>0</w:t>
      </w:r>
      <w:r w:rsidRPr="00C745D7">
        <w:rPr>
          <w:rFonts w:eastAsia="Times New Roman"/>
          <w:lang w:eastAsia="en-GB"/>
        </w:rPr>
        <w:t xml:space="preserve"> Treatment and Rehabilitation: Evaluating Current Approaches</w:t>
      </w:r>
      <w:bookmarkEnd w:id="6"/>
    </w:p>
    <w:p w14:paraId="620D0749" w14:textId="77777777" w:rsidR="00E54CC4" w:rsidRPr="00C745D7" w:rsidRDefault="00E54CC4" w:rsidP="00706A1C">
      <w:pPr>
        <w:pStyle w:val="Heading2"/>
        <w:rPr>
          <w:rFonts w:eastAsia="Times New Roman"/>
          <w:lang w:eastAsia="en-GB"/>
        </w:rPr>
      </w:pPr>
      <w:bookmarkStart w:id="7" w:name="_Toc237110909"/>
      <w:r w:rsidRPr="00C745D7">
        <w:rPr>
          <w:rFonts w:eastAsia="Times New Roman"/>
          <w:lang w:eastAsia="en-GB"/>
        </w:rPr>
        <w:t>3.1 The Stepped-Care Model and Its Limitations</w:t>
      </w:r>
      <w:bookmarkEnd w:id="7"/>
    </w:p>
    <w:p w14:paraId="7B79FC4F" w14:textId="77777777" w:rsidR="00A05087" w:rsidRDefault="00A05087" w:rsidP="00A05087">
      <w:pPr>
        <w:pStyle w:val="Normal1"/>
      </w:pPr>
      <w:r>
        <w:t>It is important to note that such a definition of "disorder" from the point of view of ICD-11 is not only an epistemological problem but also poses many practical challenges. Indeed, from the perspective of the biopsychosocial model by Engel, according to which any pathology should be viewed from biological, psychological, and socio-environmental perspectives, GAD is indeed considered a legitimate illness that requires treatment. However, the very use of this category to refer to such phenomena can contribute to pathologizing otherwise typical reactions and experiences associated with life circumstances. Nevertheless, it is also possible to note that considering anxiety a medical problem makes its treatment more accessible and understandable for a patient. However, this approach also has the disadvantage that may ignore the impact of external and environmental factors on anxiety as a psychological phenomenon.</w:t>
      </w:r>
    </w:p>
    <w:p w14:paraId="4E6D061B" w14:textId="45B07A88" w:rsidR="00F308D1" w:rsidRPr="00C745D7" w:rsidRDefault="00A05087" w:rsidP="00A05087">
      <w:pPr>
        <w:pStyle w:val="Normal1"/>
      </w:pPr>
      <w:r>
        <w:t xml:space="preserve">In opposition to the traditional medical perspective described above, the paradigm of neurodiversity approaches neurodevelopmental conditions as such that occur naturally due to differences in human brains' functioning and, therefore, can be considered neurodivergence. </w:t>
      </w:r>
      <w:r>
        <w:lastRenderedPageBreak/>
        <w:t>Under this approach, anxiety is not necessarily related to a malfunction of a person's brain. Rather, its cause is in the fact that a person's brain structure (neurotype) is not compatible with the environment he or she lives in. This idea is backed by the evidence of the role of external factors in triggering anxious experience in autistic individuals (Neilson &amp; Bond, 2023).</w:t>
      </w:r>
    </w:p>
    <w:p w14:paraId="503CE3C8" w14:textId="044B0E37" w:rsidR="00E54CC4" w:rsidRPr="00C745D7" w:rsidRDefault="00E54CC4" w:rsidP="00706A1C">
      <w:pPr>
        <w:pStyle w:val="Heading2"/>
        <w:rPr>
          <w:rFonts w:eastAsia="Times New Roman"/>
          <w:lang w:eastAsia="en-GB"/>
        </w:rPr>
      </w:pPr>
      <w:bookmarkStart w:id="8" w:name="_Toc237110910"/>
      <w:r w:rsidRPr="00C745D7">
        <w:rPr>
          <w:rFonts w:eastAsia="Times New Roman"/>
          <w:lang w:eastAsia="en-GB"/>
        </w:rPr>
        <w:t>3.2 Effectiveness and Limitations of Interventions</w:t>
      </w:r>
      <w:bookmarkEnd w:id="8"/>
    </w:p>
    <w:p w14:paraId="4AFB418D" w14:textId="297BA954" w:rsidR="00E54CC4" w:rsidRPr="00C745D7" w:rsidRDefault="00717010" w:rsidP="00717010">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Cs w:val="0"/>
          <w:color w:val="0F1115"/>
          <w:kern w:val="0"/>
          <w:sz w:val="24"/>
          <w:szCs w:val="24"/>
          <w:lang w:eastAsia="en-GB"/>
        </w:rPr>
        <w:t xml:space="preserve">Despite its proven effectiveness in reducing symptoms and minimizing recurrence rates, the gold-standard therapeutic approach used to treat GAD is cognitive </w:t>
      </w:r>
      <w:proofErr w:type="spellStart"/>
      <w:r w:rsidRPr="00C745D7">
        <w:rPr>
          <w:rFonts w:ascii="Times New Roman" w:eastAsia="Times New Roman" w:hAnsi="Times New Roman" w:cs="Times New Roman"/>
          <w:bCs w:val="0"/>
          <w:color w:val="0F1115"/>
          <w:kern w:val="0"/>
          <w:sz w:val="24"/>
          <w:szCs w:val="24"/>
          <w:lang w:eastAsia="en-GB"/>
        </w:rPr>
        <w:t>behavioral</w:t>
      </w:r>
      <w:proofErr w:type="spellEnd"/>
      <w:r w:rsidRPr="00C745D7">
        <w:rPr>
          <w:rFonts w:ascii="Times New Roman" w:eastAsia="Times New Roman" w:hAnsi="Times New Roman" w:cs="Times New Roman"/>
          <w:bCs w:val="0"/>
          <w:color w:val="0F1115"/>
          <w:kern w:val="0"/>
          <w:sz w:val="24"/>
          <w:szCs w:val="24"/>
          <w:lang w:eastAsia="en-GB"/>
        </w:rPr>
        <w:t xml:space="preserve"> therapy (CBT) (NICE, 2019). However, the real-world effectiveness of such an approach is compromised by problems related to accessibility and the lengthy waiting lists which cause delays in receiving appropriate care. Another problem of the use of CBT can be in its failure to address certain contextual factors contributing to the maintenance of anxiety experienced by people who suffer from socioeconomic discrimination or deprivation. Despite the benefits of pharmacotherapy in many cases, the approach still has some shortcomings, for instance, the negative side effects, withdrawal difficulties, and simplification involved in "the chemical imbalance narrative". Such difficulties are addressed in the BAP treatment guidelines that recommend careful assessment of the risk/benefit ratios (Baldwin et al., 2014).</w:t>
      </w:r>
    </w:p>
    <w:p w14:paraId="240EAC85" w14:textId="77777777" w:rsidR="00E54CC4" w:rsidRPr="00C745D7" w:rsidRDefault="00E54CC4" w:rsidP="00706A1C">
      <w:pPr>
        <w:pStyle w:val="Heading2"/>
        <w:rPr>
          <w:rFonts w:eastAsia="Times New Roman"/>
          <w:lang w:eastAsia="en-GB"/>
        </w:rPr>
      </w:pPr>
      <w:bookmarkStart w:id="9" w:name="_Toc237110911"/>
      <w:r w:rsidRPr="00C745D7">
        <w:rPr>
          <w:rFonts w:eastAsia="Times New Roman"/>
          <w:lang w:eastAsia="en-GB"/>
        </w:rPr>
        <w:t>3.3 Rehabilitation and the Social Model of Disability</w:t>
      </w:r>
      <w:bookmarkEnd w:id="9"/>
    </w:p>
    <w:p w14:paraId="61FD2C2D" w14:textId="75D158AB" w:rsidR="00E54CC4" w:rsidRPr="00C745D7" w:rsidRDefault="00717010" w:rsidP="00717010">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Cs w:val="0"/>
          <w:color w:val="0F1115"/>
          <w:kern w:val="0"/>
          <w:sz w:val="24"/>
          <w:szCs w:val="24"/>
          <w:lang w:eastAsia="en-GB"/>
        </w:rPr>
        <w:t xml:space="preserve">Despite ICD-11 emphasizing functionality in its diagnoses, rehabilitation needs further development. Although Community Mental Health Frameworks demand comprehensive intervention (accommodation, work, social integration), their implementation lacks sufficient funding and health/social care system fragmentation (Royal College of Psychiatrists, 2025). The neurodiversity paradigm provides another approach which emphasizes accommodation and prevention in contrast to pathologization and deficiency (Neilson, 2023). According to Neilson (2023), ACT, which emphasizes compassionate acceptance and valued living without any symptom relief, may be efficient for </w:t>
      </w:r>
      <w:proofErr w:type="spellStart"/>
      <w:r w:rsidRPr="00C745D7">
        <w:rPr>
          <w:rFonts w:ascii="Times New Roman" w:eastAsia="Times New Roman" w:hAnsi="Times New Roman" w:cs="Times New Roman"/>
          <w:bCs w:val="0"/>
          <w:color w:val="0F1115"/>
          <w:kern w:val="0"/>
          <w:sz w:val="24"/>
          <w:szCs w:val="24"/>
          <w:lang w:eastAsia="en-GB"/>
        </w:rPr>
        <w:t>neurodivergents</w:t>
      </w:r>
      <w:proofErr w:type="spellEnd"/>
      <w:r w:rsidRPr="00C745D7">
        <w:rPr>
          <w:rFonts w:ascii="Times New Roman" w:eastAsia="Times New Roman" w:hAnsi="Times New Roman" w:cs="Times New Roman"/>
          <w:bCs w:val="0"/>
          <w:color w:val="0F1115"/>
          <w:kern w:val="0"/>
          <w:sz w:val="24"/>
          <w:szCs w:val="24"/>
          <w:lang w:eastAsia="en-GB"/>
        </w:rPr>
        <w:t>, implying that psychological flexibility can emerge after social security (Neilson, 2023).</w:t>
      </w:r>
    </w:p>
    <w:p w14:paraId="4894AD96" w14:textId="49CF451D" w:rsidR="00E54CC4" w:rsidRPr="00C745D7" w:rsidRDefault="00E54CC4" w:rsidP="00706A1C">
      <w:pPr>
        <w:pStyle w:val="Heading2"/>
        <w:rPr>
          <w:rFonts w:eastAsia="Times New Roman"/>
          <w:lang w:eastAsia="en-GB"/>
        </w:rPr>
      </w:pPr>
      <w:bookmarkStart w:id="10" w:name="_Toc237110912"/>
      <w:r w:rsidRPr="00C745D7">
        <w:rPr>
          <w:rFonts w:eastAsia="Times New Roman"/>
          <w:lang w:eastAsia="en-GB"/>
        </w:rPr>
        <w:t>4.</w:t>
      </w:r>
      <w:r w:rsidR="00717010" w:rsidRPr="00C745D7">
        <w:rPr>
          <w:rFonts w:eastAsia="Times New Roman"/>
          <w:lang w:eastAsia="en-GB"/>
        </w:rPr>
        <w:t>0</w:t>
      </w:r>
      <w:r w:rsidRPr="00C745D7">
        <w:rPr>
          <w:rFonts w:eastAsia="Times New Roman"/>
          <w:lang w:eastAsia="en-GB"/>
        </w:rPr>
        <w:t xml:space="preserve"> Current Debates and Emerging Issues</w:t>
      </w:r>
      <w:bookmarkEnd w:id="10"/>
    </w:p>
    <w:p w14:paraId="0AD43B45" w14:textId="77777777" w:rsidR="00E54CC4" w:rsidRPr="00C745D7" w:rsidRDefault="00E54CC4" w:rsidP="00706A1C">
      <w:pPr>
        <w:pStyle w:val="Heading2"/>
        <w:rPr>
          <w:rFonts w:eastAsia="Times New Roman"/>
          <w:lang w:eastAsia="en-GB"/>
        </w:rPr>
      </w:pPr>
      <w:bookmarkStart w:id="11" w:name="_Toc237110913"/>
      <w:r w:rsidRPr="00C745D7">
        <w:rPr>
          <w:rFonts w:eastAsia="Times New Roman"/>
          <w:lang w:eastAsia="en-GB"/>
        </w:rPr>
        <w:t>4.1 Neurodivergence and Reclassification Debates</w:t>
      </w:r>
      <w:bookmarkEnd w:id="11"/>
    </w:p>
    <w:p w14:paraId="0AF28F80" w14:textId="12136FFA" w:rsidR="00E54CC4" w:rsidRPr="00C745D7" w:rsidRDefault="00717010" w:rsidP="00717010">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Cs w:val="0"/>
          <w:color w:val="0F1115"/>
          <w:kern w:val="0"/>
          <w:sz w:val="24"/>
          <w:szCs w:val="24"/>
          <w:lang w:eastAsia="en-GB"/>
        </w:rPr>
        <w:t xml:space="preserve">The neurodiversity framework challenges the underlying principles in the definition of GAD. Should the conditions of ADHD and autism be considered naturally occurring forms of cognitive variation, then the higher levels of anxiety amongst these individuals could possibly represent a mismatch in the environment and not an additional comorbid condition (Neilson and Bond, 2023). This would imply significant changes in terms of reclassification and the need for a whole new terminology when discussing the problem of anxiety in neurodivergent people, as well as the necessary interventions to address it and consider the aspects of the </w:t>
      </w:r>
      <w:r w:rsidRPr="00C745D7">
        <w:rPr>
          <w:rFonts w:ascii="Times New Roman" w:eastAsia="Times New Roman" w:hAnsi="Times New Roman" w:cs="Times New Roman"/>
          <w:bCs w:val="0"/>
          <w:color w:val="0F1115"/>
          <w:kern w:val="0"/>
          <w:sz w:val="24"/>
          <w:szCs w:val="24"/>
          <w:lang w:eastAsia="en-GB"/>
        </w:rPr>
        <w:lastRenderedPageBreak/>
        <w:t>environment. Various studies among children and adolescents who suffer from autism demonstrate that living in a neurotypical world can be a significant source of anxiety and require assistance based on experience (Neilson and Bond, 2023).</w:t>
      </w:r>
    </w:p>
    <w:p w14:paraId="1677D547" w14:textId="77777777" w:rsidR="00E54CC4" w:rsidRPr="00C745D7" w:rsidRDefault="00E54CC4" w:rsidP="00706A1C">
      <w:pPr>
        <w:pStyle w:val="Heading2"/>
        <w:rPr>
          <w:rFonts w:eastAsia="Times New Roman"/>
          <w:lang w:eastAsia="en-GB"/>
        </w:rPr>
      </w:pPr>
      <w:bookmarkStart w:id="12" w:name="_Toc237110914"/>
      <w:r w:rsidRPr="00C745D7">
        <w:rPr>
          <w:rFonts w:eastAsia="Times New Roman"/>
          <w:lang w:eastAsia="en-GB"/>
        </w:rPr>
        <w:t>4.2 Structural Inequalities and Systemic Failure</w:t>
      </w:r>
      <w:bookmarkEnd w:id="12"/>
    </w:p>
    <w:p w14:paraId="73C6FEB9" w14:textId="32540722" w:rsidR="00E54CC4" w:rsidRPr="00C745D7" w:rsidRDefault="00C745D7" w:rsidP="00C745D7">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Cs w:val="0"/>
          <w:color w:val="0F1115"/>
          <w:kern w:val="0"/>
          <w:sz w:val="24"/>
          <w:szCs w:val="24"/>
          <w:lang w:eastAsia="en-GB"/>
        </w:rPr>
        <w:t>Persisting structural inequalities make the diagnosis of GAD and its management difficult as well. Individuals of Black and Minority Ethnicity are subject to higher levels of detention under the Mental Health Act; the process is said to be “a racist and racialized experience,” which occurs due to the system’s inherent racial discrimination (Solanki et al., 2023). Four times more Blacks have been admitted into inpatient detention than White individuals (Solanki et al., 2023). Factors hindering access to healthcare services among BAME people include community stigma, language barriers, and poor culture awareness among clinicians (University of Warwick, 2026). A £500,000 initiative in Warwick will be aimed at reducing the problem (Warwick, 2026). There are disparities in geographic distribution as well, where the expenditures on mental healthcare vary between £354 and £181 on average across Integrated Care Boards (Royal College of Psychiatrists, 2025). Prevalence of serious mental disorders is much higher in poorer areas such as Blackpool (1.6%) compared to rich ones (0.6%) (Royal College of Psychiatrists, 2025). It shows the effect of social factors contributing to the development of serious mental illness.</w:t>
      </w:r>
    </w:p>
    <w:p w14:paraId="3426F54C" w14:textId="77777777" w:rsidR="00E54CC4" w:rsidRPr="00C745D7" w:rsidRDefault="00E54CC4" w:rsidP="00706A1C">
      <w:pPr>
        <w:pStyle w:val="Heading2"/>
        <w:rPr>
          <w:rFonts w:eastAsia="Times New Roman"/>
          <w:lang w:eastAsia="en-GB"/>
        </w:rPr>
      </w:pPr>
      <w:bookmarkStart w:id="13" w:name="_Toc237110915"/>
      <w:r w:rsidRPr="00C745D7">
        <w:rPr>
          <w:rFonts w:eastAsia="Times New Roman"/>
          <w:lang w:eastAsia="en-GB"/>
        </w:rPr>
        <w:t>4.3 The Challenge of Parity of Esteem</w:t>
      </w:r>
      <w:bookmarkEnd w:id="13"/>
    </w:p>
    <w:p w14:paraId="559D2246" w14:textId="1A1DAA2E" w:rsidR="00E54CC4" w:rsidRPr="00C745D7" w:rsidRDefault="00C745D7" w:rsidP="00C745D7">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Cs w:val="0"/>
          <w:color w:val="0F1115"/>
          <w:kern w:val="0"/>
          <w:sz w:val="24"/>
          <w:szCs w:val="24"/>
          <w:lang w:eastAsia="en-GB"/>
        </w:rPr>
        <w:t>However, ten years after its passing, it is believed that much more needs to be done to ensure parity of esteem (Mind, 2025). The consequences transcend health into the economic realm, where poor mental health is seen to cost England up to £300 billion yearly, nearly twice the size of the NHS budget due to direct health costs, indirect productivity loss, and societal damages caused by poor well-being (Mind, 2025). Thornicroft et al. (2022) highlight the continued presence of stigma and discrimination in the care of mental illnesses, leaving people with GAD vulnerable to medical gaslighting.</w:t>
      </w:r>
    </w:p>
    <w:p w14:paraId="0838C414" w14:textId="7F166D4A" w:rsidR="00E54CC4" w:rsidRPr="00C745D7" w:rsidRDefault="00E54CC4" w:rsidP="00706A1C">
      <w:pPr>
        <w:pStyle w:val="Heading2"/>
        <w:rPr>
          <w:rFonts w:eastAsia="Times New Roman"/>
          <w:lang w:eastAsia="en-GB"/>
        </w:rPr>
      </w:pPr>
      <w:bookmarkStart w:id="14" w:name="_Toc237110916"/>
      <w:r w:rsidRPr="00C745D7">
        <w:rPr>
          <w:rFonts w:eastAsia="Times New Roman"/>
          <w:lang w:eastAsia="en-GB"/>
        </w:rPr>
        <w:t>5.</w:t>
      </w:r>
      <w:r w:rsidR="00C745D7" w:rsidRPr="00C745D7">
        <w:rPr>
          <w:rFonts w:eastAsia="Times New Roman"/>
          <w:lang w:eastAsia="en-GB"/>
        </w:rPr>
        <w:t>0</w:t>
      </w:r>
      <w:r w:rsidRPr="00C745D7">
        <w:rPr>
          <w:rFonts w:eastAsia="Times New Roman"/>
          <w:lang w:eastAsia="en-GB"/>
        </w:rPr>
        <w:t xml:space="preserve"> Recommendations</w:t>
      </w:r>
      <w:bookmarkEnd w:id="14"/>
    </w:p>
    <w:p w14:paraId="35F6217F" w14:textId="707B3841" w:rsidR="00C745D7" w:rsidRPr="00C745D7" w:rsidRDefault="00C745D7" w:rsidP="00C745D7">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Cs w:val="0"/>
          <w:color w:val="0F1115"/>
          <w:kern w:val="0"/>
          <w:sz w:val="24"/>
          <w:szCs w:val="24"/>
          <w:lang w:eastAsia="en-GB"/>
        </w:rPr>
        <w:t>Based on the critical analysis above, the following recommendations can now be made:</w:t>
      </w:r>
    </w:p>
    <w:p w14:paraId="616015CE" w14:textId="02134A53" w:rsidR="00C745D7" w:rsidRPr="00C745D7" w:rsidRDefault="00C745D7" w:rsidP="00C745D7">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
          <w:color w:val="0F1115"/>
          <w:kern w:val="0"/>
          <w:sz w:val="24"/>
          <w:szCs w:val="24"/>
          <w:lang w:eastAsia="en-GB"/>
        </w:rPr>
        <w:t>1. Increase funding for mental health:</w:t>
      </w:r>
      <w:r w:rsidRPr="00C745D7">
        <w:rPr>
          <w:rFonts w:ascii="Times New Roman" w:eastAsia="Times New Roman" w:hAnsi="Times New Roman" w:cs="Times New Roman"/>
          <w:bCs w:val="0"/>
          <w:color w:val="0F1115"/>
          <w:kern w:val="0"/>
          <w:sz w:val="24"/>
          <w:szCs w:val="24"/>
          <w:lang w:eastAsia="en-GB"/>
        </w:rPr>
        <w:t xml:space="preserve"> Funding for mental health must increase, taking into account its disease burden percentage to meet the requirement for parity of esteem legislatively promised. Parliament amendments aimed at ring-fencing mental health funding need to be properly implemented (Parliamentary Petition, 2026).</w:t>
      </w:r>
    </w:p>
    <w:p w14:paraId="09FEA8D8" w14:textId="7AF7B25F" w:rsidR="00C745D7" w:rsidRPr="00C745D7" w:rsidRDefault="00C745D7" w:rsidP="00C745D7">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
          <w:color w:val="0F1115"/>
          <w:kern w:val="0"/>
          <w:sz w:val="24"/>
          <w:szCs w:val="24"/>
          <w:lang w:eastAsia="en-GB"/>
        </w:rPr>
        <w:t>2. Review classification systems:</w:t>
      </w:r>
      <w:r w:rsidRPr="00C745D7">
        <w:rPr>
          <w:rFonts w:ascii="Times New Roman" w:eastAsia="Times New Roman" w:hAnsi="Times New Roman" w:cs="Times New Roman"/>
          <w:bCs w:val="0"/>
          <w:color w:val="0F1115"/>
          <w:kern w:val="0"/>
          <w:sz w:val="24"/>
          <w:szCs w:val="24"/>
          <w:lang w:eastAsia="en-GB"/>
        </w:rPr>
        <w:t xml:space="preserve"> The ICD-11 must include a dimensional approach capable of capturing the continuous nature of anxiety conditions and taking into account the impact of </w:t>
      </w:r>
      <w:r w:rsidRPr="00C745D7">
        <w:rPr>
          <w:rFonts w:ascii="Times New Roman" w:eastAsia="Times New Roman" w:hAnsi="Times New Roman" w:cs="Times New Roman"/>
          <w:bCs w:val="0"/>
          <w:color w:val="0F1115"/>
          <w:kern w:val="0"/>
          <w:sz w:val="24"/>
          <w:szCs w:val="24"/>
          <w:lang w:eastAsia="en-GB"/>
        </w:rPr>
        <w:lastRenderedPageBreak/>
        <w:t>the environment that creates distress in neurodivergent people. Instruments of assessment must be revised to capture anxiety in neurodivergent people (Neilson and Bond, 2023).</w:t>
      </w:r>
    </w:p>
    <w:p w14:paraId="612986E4" w14:textId="0B82D988" w:rsidR="00C745D7" w:rsidRPr="00C745D7" w:rsidRDefault="00C745D7" w:rsidP="00C745D7">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
          <w:color w:val="0F1115"/>
          <w:kern w:val="0"/>
          <w:sz w:val="24"/>
          <w:szCs w:val="24"/>
          <w:lang w:eastAsia="en-GB"/>
        </w:rPr>
        <w:t>3. Combat structural inequalities:</w:t>
      </w:r>
      <w:r w:rsidRPr="00C745D7">
        <w:rPr>
          <w:rFonts w:ascii="Times New Roman" w:eastAsia="Times New Roman" w:hAnsi="Times New Roman" w:cs="Times New Roman"/>
          <w:bCs w:val="0"/>
          <w:color w:val="0F1115"/>
          <w:kern w:val="0"/>
          <w:sz w:val="24"/>
          <w:szCs w:val="24"/>
          <w:lang w:eastAsia="en-GB"/>
        </w:rPr>
        <w:t xml:space="preserve"> It is necessary to implement policy changes aimed at addressing systemic racism, as well as addressing poverty and inequality in areas like housing, education, work and social services. Changes must be made in the Mental Health Act, reflecting the excessive detention of ethnic minorities (Solanki et al., 2023).</w:t>
      </w:r>
    </w:p>
    <w:p w14:paraId="634F454A" w14:textId="35DFE2FD" w:rsidR="00C745D7" w:rsidRPr="00C745D7" w:rsidRDefault="00C745D7" w:rsidP="00C745D7">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
          <w:color w:val="0F1115"/>
          <w:kern w:val="0"/>
          <w:sz w:val="24"/>
          <w:szCs w:val="24"/>
          <w:lang w:eastAsia="en-GB"/>
        </w:rPr>
        <w:t>4. Develop digital and community interventions:</w:t>
      </w:r>
      <w:r w:rsidRPr="00C745D7">
        <w:rPr>
          <w:rFonts w:ascii="Times New Roman" w:eastAsia="Times New Roman" w:hAnsi="Times New Roman" w:cs="Times New Roman"/>
          <w:bCs w:val="0"/>
          <w:color w:val="0F1115"/>
          <w:kern w:val="0"/>
          <w:sz w:val="24"/>
          <w:szCs w:val="24"/>
          <w:lang w:eastAsia="en-GB"/>
        </w:rPr>
        <w:t xml:space="preserve"> More funding should be directed to develop digital solutions and early interventions that will be community-focused in order to improve access to mental health and reduce waiting times. The community mental health framework should be properly introduced and have 24-hour provision (Royal College of Psychiatrists, 2025).</w:t>
      </w:r>
    </w:p>
    <w:p w14:paraId="4B95CEC1" w14:textId="3A9EFB61" w:rsidR="00E54CC4" w:rsidRPr="00C745D7" w:rsidRDefault="00C745D7" w:rsidP="00C745D7">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
          <w:color w:val="0F1115"/>
          <w:kern w:val="0"/>
          <w:sz w:val="24"/>
          <w:szCs w:val="24"/>
          <w:lang w:eastAsia="en-GB"/>
        </w:rPr>
        <w:t>5. Develop neurodivergent interventions:</w:t>
      </w:r>
      <w:r w:rsidRPr="00C745D7">
        <w:rPr>
          <w:rFonts w:ascii="Times New Roman" w:eastAsia="Times New Roman" w:hAnsi="Times New Roman" w:cs="Times New Roman"/>
          <w:bCs w:val="0"/>
          <w:color w:val="0F1115"/>
          <w:kern w:val="0"/>
          <w:sz w:val="24"/>
          <w:szCs w:val="24"/>
          <w:lang w:eastAsia="en-GB"/>
        </w:rPr>
        <w:t xml:space="preserve"> Trainings in mental health must include perspectives of neurodivergent patients, and more focus should be put on providing ACT therapies for them an approach based on values of acceptance and valued living (Neilson, 2023).</w:t>
      </w:r>
    </w:p>
    <w:p w14:paraId="4D298EC4" w14:textId="2BD5B976" w:rsidR="00E54CC4" w:rsidRPr="00C745D7" w:rsidRDefault="00E54CC4" w:rsidP="00706A1C">
      <w:pPr>
        <w:pStyle w:val="Heading2"/>
        <w:rPr>
          <w:rFonts w:eastAsia="Times New Roman"/>
          <w:lang w:eastAsia="en-GB"/>
        </w:rPr>
      </w:pPr>
      <w:bookmarkStart w:id="15" w:name="_Toc237110917"/>
      <w:r w:rsidRPr="00C745D7">
        <w:rPr>
          <w:rFonts w:eastAsia="Times New Roman"/>
          <w:lang w:eastAsia="en-GB"/>
        </w:rPr>
        <w:t>6.</w:t>
      </w:r>
      <w:r w:rsidR="00C745D7" w:rsidRPr="00C745D7">
        <w:rPr>
          <w:rFonts w:eastAsia="Times New Roman"/>
          <w:lang w:eastAsia="en-GB"/>
        </w:rPr>
        <w:t>0</w:t>
      </w:r>
      <w:r w:rsidRPr="00C745D7">
        <w:rPr>
          <w:rFonts w:eastAsia="Times New Roman"/>
          <w:lang w:eastAsia="en-GB"/>
        </w:rPr>
        <w:t xml:space="preserve"> Conclusion</w:t>
      </w:r>
      <w:bookmarkEnd w:id="15"/>
    </w:p>
    <w:p w14:paraId="1080DC08" w14:textId="125F1204" w:rsidR="00C745D7" w:rsidRPr="00C745D7" w:rsidRDefault="00C745D7" w:rsidP="00C745D7">
      <w:pPr>
        <w:spacing w:after="0" w:line="360" w:lineRule="auto"/>
        <w:outlineLvl w:val="9"/>
        <w:rPr>
          <w:rFonts w:ascii="Times New Roman" w:hAnsi="Times New Roman" w:cs="Times New Roman"/>
          <w:color w:val="222222"/>
          <w:sz w:val="24"/>
          <w:szCs w:val="24"/>
          <w:shd w:val="clear" w:color="auto" w:fill="FFFFFF"/>
        </w:rPr>
      </w:pPr>
      <w:r w:rsidRPr="00C745D7">
        <w:rPr>
          <w:rFonts w:ascii="Times New Roman" w:eastAsia="Times New Roman" w:hAnsi="Times New Roman" w:cs="Times New Roman"/>
          <w:bCs w:val="0"/>
          <w:color w:val="0F1115"/>
          <w:kern w:val="0"/>
          <w:sz w:val="24"/>
          <w:szCs w:val="24"/>
          <w:lang w:eastAsia="en-GB"/>
        </w:rPr>
        <w:t>There have been many changes in knowledge about GAD and methods for managing it throughout history, ranging from custody and condemnation through bio-psycho-social models. The ICD-11 classification system is highly useful in this respect, but its categorizing approach and terminology have certain built-in limitations. The neurodiversity paradigm constitutes a valid challenge, where anxiety can be understood as possible proof of disharmony with the surrounding world rather than mere manifestation of some disorder inside oneself. Structural inequalities, insufficient funding, and the failure to implement the principle of parity of esteem keep getting in the way of efficient treatment. According to the Royal College of Psychiatrists (2025), however, solutions are quite obvious, yet there should be political will and sufficient resources for them to be put into practice. The course of GAD treatment depends on constant commitment to funding, de-stigmatization, and the awareness of connections between mental health and the social environment of people.</w:t>
      </w:r>
      <w:r w:rsidRPr="00C745D7">
        <w:rPr>
          <w:rFonts w:ascii="Times New Roman" w:hAnsi="Times New Roman" w:cs="Times New Roman"/>
          <w:color w:val="222222"/>
          <w:sz w:val="24"/>
          <w:szCs w:val="24"/>
          <w:shd w:val="clear" w:color="auto" w:fill="FFFFFF"/>
        </w:rPr>
        <w:br w:type="page"/>
      </w:r>
    </w:p>
    <w:p w14:paraId="7B291241" w14:textId="77777777" w:rsidR="00706A1C" w:rsidRPr="00706A1C" w:rsidRDefault="00706A1C" w:rsidP="00706A1C">
      <w:pPr>
        <w:pStyle w:val="Heading2"/>
      </w:pPr>
      <w:bookmarkStart w:id="16" w:name="_Toc237110918"/>
      <w:r w:rsidRPr="00706A1C">
        <w:lastRenderedPageBreak/>
        <w:t>References</w:t>
      </w:r>
      <w:bookmarkEnd w:id="16"/>
    </w:p>
    <w:p w14:paraId="6E1F1AB5"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hAnsi="Times New Roman" w:cs="Times New Roman"/>
          <w:color w:val="222222"/>
          <w:sz w:val="24"/>
          <w:szCs w:val="24"/>
          <w:shd w:val="clear" w:color="auto" w:fill="FFFFFF"/>
        </w:rPr>
        <w:t xml:space="preserve">Baldwin, D.S., Anderson, I.M., Nutt, D.J., </w:t>
      </w:r>
      <w:proofErr w:type="spellStart"/>
      <w:r w:rsidRPr="00C745D7">
        <w:rPr>
          <w:rFonts w:ascii="Times New Roman" w:hAnsi="Times New Roman" w:cs="Times New Roman"/>
          <w:color w:val="222222"/>
          <w:sz w:val="24"/>
          <w:szCs w:val="24"/>
          <w:shd w:val="clear" w:color="auto" w:fill="FFFFFF"/>
        </w:rPr>
        <w:t>Allgulander</w:t>
      </w:r>
      <w:proofErr w:type="spellEnd"/>
      <w:r w:rsidRPr="00C745D7">
        <w:rPr>
          <w:rFonts w:ascii="Times New Roman" w:hAnsi="Times New Roman" w:cs="Times New Roman"/>
          <w:color w:val="222222"/>
          <w:sz w:val="24"/>
          <w:szCs w:val="24"/>
          <w:shd w:val="clear" w:color="auto" w:fill="FFFFFF"/>
        </w:rPr>
        <w:t xml:space="preserve">, C., Bandelow, B., den Boer, J.A., Christmas, D.M., Davies, S., Fineberg, N., </w:t>
      </w:r>
      <w:proofErr w:type="spellStart"/>
      <w:r w:rsidRPr="00C745D7">
        <w:rPr>
          <w:rFonts w:ascii="Times New Roman" w:hAnsi="Times New Roman" w:cs="Times New Roman"/>
          <w:color w:val="222222"/>
          <w:sz w:val="24"/>
          <w:szCs w:val="24"/>
          <w:shd w:val="clear" w:color="auto" w:fill="FFFFFF"/>
        </w:rPr>
        <w:t>Lidbetter</w:t>
      </w:r>
      <w:proofErr w:type="spellEnd"/>
      <w:r w:rsidRPr="00C745D7">
        <w:rPr>
          <w:rFonts w:ascii="Times New Roman" w:hAnsi="Times New Roman" w:cs="Times New Roman"/>
          <w:color w:val="222222"/>
          <w:sz w:val="24"/>
          <w:szCs w:val="24"/>
          <w:shd w:val="clear" w:color="auto" w:fill="FFFFFF"/>
        </w:rPr>
        <w:t>, N. and Malizia, A., 2014. Evidence-based pharmacological treatment of anxiety disorders, post-traumatic stress disorder and obsessive-compulsive disorder: a revision of the 2005 guidelines from the British Association for Psychopharmacology. </w:t>
      </w:r>
      <w:r w:rsidRPr="00C745D7">
        <w:rPr>
          <w:rFonts w:ascii="Times New Roman" w:hAnsi="Times New Roman" w:cs="Times New Roman"/>
          <w:i/>
          <w:iCs/>
          <w:color w:val="222222"/>
          <w:sz w:val="24"/>
          <w:szCs w:val="24"/>
          <w:shd w:val="clear" w:color="auto" w:fill="FFFFFF"/>
        </w:rPr>
        <w:t>Journal of Psychopharmacology</w:t>
      </w:r>
      <w:r w:rsidRPr="00C745D7">
        <w:rPr>
          <w:rFonts w:ascii="Times New Roman" w:hAnsi="Times New Roman" w:cs="Times New Roman"/>
          <w:color w:val="222222"/>
          <w:sz w:val="24"/>
          <w:szCs w:val="24"/>
          <w:shd w:val="clear" w:color="auto" w:fill="FFFFFF"/>
        </w:rPr>
        <w:t>, </w:t>
      </w:r>
      <w:r w:rsidRPr="00C745D7">
        <w:rPr>
          <w:rFonts w:ascii="Times New Roman" w:hAnsi="Times New Roman" w:cs="Times New Roman"/>
          <w:i/>
          <w:iCs/>
          <w:color w:val="222222"/>
          <w:sz w:val="24"/>
          <w:szCs w:val="24"/>
          <w:shd w:val="clear" w:color="auto" w:fill="FFFFFF"/>
        </w:rPr>
        <w:t>28</w:t>
      </w:r>
      <w:r w:rsidRPr="00C745D7">
        <w:rPr>
          <w:rFonts w:ascii="Times New Roman" w:hAnsi="Times New Roman" w:cs="Times New Roman"/>
          <w:color w:val="222222"/>
          <w:sz w:val="24"/>
          <w:szCs w:val="24"/>
          <w:shd w:val="clear" w:color="auto" w:fill="FFFFFF"/>
        </w:rPr>
        <w:t>(5), pp.403-439.</w:t>
      </w:r>
    </w:p>
    <w:p w14:paraId="3A5080B9"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hAnsi="Times New Roman" w:cs="Times New Roman"/>
          <w:color w:val="222222"/>
          <w:sz w:val="24"/>
          <w:szCs w:val="24"/>
          <w:shd w:val="clear" w:color="auto" w:fill="FFFFFF"/>
        </w:rPr>
        <w:t>Bland, P., 2011. Improving recognition of generalised anxiety disorder. </w:t>
      </w:r>
      <w:r w:rsidRPr="00C745D7">
        <w:rPr>
          <w:rFonts w:ascii="Times New Roman" w:hAnsi="Times New Roman" w:cs="Times New Roman"/>
          <w:i/>
          <w:iCs/>
          <w:color w:val="222222"/>
          <w:sz w:val="24"/>
          <w:szCs w:val="24"/>
          <w:shd w:val="clear" w:color="auto" w:fill="FFFFFF"/>
        </w:rPr>
        <w:t>The Practitioner</w:t>
      </w:r>
      <w:r w:rsidRPr="00C745D7">
        <w:rPr>
          <w:rFonts w:ascii="Times New Roman" w:hAnsi="Times New Roman" w:cs="Times New Roman"/>
          <w:color w:val="222222"/>
          <w:sz w:val="24"/>
          <w:szCs w:val="24"/>
          <w:shd w:val="clear" w:color="auto" w:fill="FFFFFF"/>
        </w:rPr>
        <w:t>, </w:t>
      </w:r>
      <w:r w:rsidRPr="00C745D7">
        <w:rPr>
          <w:rFonts w:ascii="Times New Roman" w:hAnsi="Times New Roman" w:cs="Times New Roman"/>
          <w:i/>
          <w:iCs/>
          <w:color w:val="222222"/>
          <w:sz w:val="24"/>
          <w:szCs w:val="24"/>
          <w:shd w:val="clear" w:color="auto" w:fill="FFFFFF"/>
        </w:rPr>
        <w:t>255</w:t>
      </w:r>
      <w:r w:rsidRPr="00C745D7">
        <w:rPr>
          <w:rFonts w:ascii="Times New Roman" w:hAnsi="Times New Roman" w:cs="Times New Roman"/>
          <w:color w:val="222222"/>
          <w:sz w:val="24"/>
          <w:szCs w:val="24"/>
          <w:shd w:val="clear" w:color="auto" w:fill="FFFFFF"/>
        </w:rPr>
        <w:t>(1738), pp.25-8.</w:t>
      </w:r>
    </w:p>
    <w:p w14:paraId="3D67137F"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hAnsi="Times New Roman" w:cs="Times New Roman"/>
          <w:color w:val="222222"/>
          <w:sz w:val="24"/>
          <w:szCs w:val="24"/>
          <w:shd w:val="clear" w:color="auto" w:fill="FFFFFF"/>
        </w:rPr>
        <w:t>Engel, G.L., 1977. The need for a new medical model: a challenge for biomedicine. </w:t>
      </w:r>
      <w:r w:rsidRPr="00C745D7">
        <w:rPr>
          <w:rFonts w:ascii="Times New Roman" w:hAnsi="Times New Roman" w:cs="Times New Roman"/>
          <w:i/>
          <w:iCs/>
          <w:color w:val="222222"/>
          <w:sz w:val="24"/>
          <w:szCs w:val="24"/>
          <w:shd w:val="clear" w:color="auto" w:fill="FFFFFF"/>
        </w:rPr>
        <w:t>Science</w:t>
      </w:r>
      <w:r w:rsidRPr="00C745D7">
        <w:rPr>
          <w:rFonts w:ascii="Times New Roman" w:hAnsi="Times New Roman" w:cs="Times New Roman"/>
          <w:color w:val="222222"/>
          <w:sz w:val="24"/>
          <w:szCs w:val="24"/>
          <w:shd w:val="clear" w:color="auto" w:fill="FFFFFF"/>
        </w:rPr>
        <w:t>, </w:t>
      </w:r>
      <w:r w:rsidRPr="00C745D7">
        <w:rPr>
          <w:rFonts w:ascii="Times New Roman" w:hAnsi="Times New Roman" w:cs="Times New Roman"/>
          <w:i/>
          <w:iCs/>
          <w:color w:val="222222"/>
          <w:sz w:val="24"/>
          <w:szCs w:val="24"/>
          <w:shd w:val="clear" w:color="auto" w:fill="FFFFFF"/>
        </w:rPr>
        <w:t>196</w:t>
      </w:r>
      <w:r w:rsidRPr="00C745D7">
        <w:rPr>
          <w:rFonts w:ascii="Times New Roman" w:hAnsi="Times New Roman" w:cs="Times New Roman"/>
          <w:color w:val="222222"/>
          <w:sz w:val="24"/>
          <w:szCs w:val="24"/>
          <w:shd w:val="clear" w:color="auto" w:fill="FFFFFF"/>
        </w:rPr>
        <w:t>(4286), pp.129-136.</w:t>
      </w:r>
    </w:p>
    <w:p w14:paraId="3663C442"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proofErr w:type="spellStart"/>
      <w:r w:rsidRPr="00C745D7">
        <w:rPr>
          <w:rFonts w:ascii="Times New Roman" w:hAnsi="Times New Roman" w:cs="Times New Roman"/>
          <w:color w:val="222222"/>
          <w:sz w:val="24"/>
          <w:szCs w:val="24"/>
          <w:shd w:val="clear" w:color="auto" w:fill="FFFFFF"/>
        </w:rPr>
        <w:t>Guaiana</w:t>
      </w:r>
      <w:proofErr w:type="spellEnd"/>
      <w:r w:rsidRPr="00C745D7">
        <w:rPr>
          <w:rFonts w:ascii="Times New Roman" w:hAnsi="Times New Roman" w:cs="Times New Roman"/>
          <w:color w:val="222222"/>
          <w:sz w:val="24"/>
          <w:szCs w:val="24"/>
          <w:shd w:val="clear" w:color="auto" w:fill="FFFFFF"/>
        </w:rPr>
        <w:t>, G. and Davies, S.J., 2025. Pharmacological management of panic disorder. </w:t>
      </w:r>
      <w:proofErr w:type="spellStart"/>
      <w:r w:rsidRPr="00C745D7">
        <w:rPr>
          <w:rFonts w:ascii="Times New Roman" w:hAnsi="Times New Roman" w:cs="Times New Roman"/>
          <w:i/>
          <w:iCs/>
          <w:color w:val="222222"/>
          <w:sz w:val="24"/>
          <w:szCs w:val="24"/>
          <w:shd w:val="clear" w:color="auto" w:fill="FFFFFF"/>
        </w:rPr>
        <w:t>BJPsych</w:t>
      </w:r>
      <w:proofErr w:type="spellEnd"/>
      <w:r w:rsidRPr="00C745D7">
        <w:rPr>
          <w:rFonts w:ascii="Times New Roman" w:hAnsi="Times New Roman" w:cs="Times New Roman"/>
          <w:i/>
          <w:iCs/>
          <w:color w:val="222222"/>
          <w:sz w:val="24"/>
          <w:szCs w:val="24"/>
          <w:shd w:val="clear" w:color="auto" w:fill="FFFFFF"/>
        </w:rPr>
        <w:t xml:space="preserve"> Advances</w:t>
      </w:r>
      <w:r w:rsidRPr="00C745D7">
        <w:rPr>
          <w:rFonts w:ascii="Times New Roman" w:hAnsi="Times New Roman" w:cs="Times New Roman"/>
          <w:color w:val="222222"/>
          <w:sz w:val="24"/>
          <w:szCs w:val="24"/>
          <w:shd w:val="clear" w:color="auto" w:fill="FFFFFF"/>
        </w:rPr>
        <w:t>, pp.1-10.</w:t>
      </w:r>
      <w:r w:rsidRPr="00C745D7">
        <w:rPr>
          <w:rFonts w:ascii="Times New Roman" w:eastAsia="Times New Roman" w:hAnsi="Times New Roman" w:cs="Times New Roman"/>
          <w:bCs w:val="0"/>
          <w:color w:val="0F1115"/>
          <w:kern w:val="0"/>
          <w:sz w:val="24"/>
          <w:szCs w:val="24"/>
          <w:lang w:eastAsia="en-GB"/>
        </w:rPr>
        <w:t xml:space="preserve"> </w:t>
      </w:r>
    </w:p>
    <w:p w14:paraId="2C6CD8A4"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hAnsi="Times New Roman" w:cs="Times New Roman"/>
          <w:color w:val="222222"/>
          <w:sz w:val="24"/>
          <w:szCs w:val="24"/>
          <w:shd w:val="clear" w:color="auto" w:fill="FFFFFF"/>
        </w:rPr>
        <w:t xml:space="preserve">Macnamara, J., 2025. Creating “Our” </w:t>
      </w:r>
      <w:proofErr w:type="gramStart"/>
      <w:r w:rsidRPr="00C745D7">
        <w:rPr>
          <w:rFonts w:ascii="Times New Roman" w:hAnsi="Times New Roman" w:cs="Times New Roman"/>
          <w:color w:val="222222"/>
          <w:sz w:val="24"/>
          <w:szCs w:val="24"/>
          <w:shd w:val="clear" w:color="auto" w:fill="FFFFFF"/>
        </w:rPr>
        <w:t>NHS.</w:t>
      </w:r>
      <w:r w:rsidRPr="00C745D7">
        <w:rPr>
          <w:rFonts w:ascii="Times New Roman" w:eastAsia="Times New Roman" w:hAnsi="Times New Roman" w:cs="Times New Roman"/>
          <w:bCs w:val="0"/>
          <w:color w:val="0F1115"/>
          <w:kern w:val="0"/>
          <w:sz w:val="24"/>
          <w:szCs w:val="24"/>
          <w:lang w:eastAsia="en-GB"/>
        </w:rPr>
        <w:t>.</w:t>
      </w:r>
      <w:proofErr w:type="gramEnd"/>
    </w:p>
    <w:p w14:paraId="66BFDC0D"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hAnsi="Times New Roman" w:cs="Times New Roman"/>
          <w:color w:val="222222"/>
          <w:sz w:val="24"/>
          <w:szCs w:val="24"/>
          <w:shd w:val="clear" w:color="auto" w:fill="FFFFFF"/>
        </w:rPr>
        <w:t>Maron, E. and Nutt, D., 2017. Biological markers of generalized anxiety disorder. </w:t>
      </w:r>
      <w:r w:rsidRPr="00C745D7">
        <w:rPr>
          <w:rFonts w:ascii="Times New Roman" w:hAnsi="Times New Roman" w:cs="Times New Roman"/>
          <w:i/>
          <w:iCs/>
          <w:color w:val="222222"/>
          <w:sz w:val="24"/>
          <w:szCs w:val="24"/>
          <w:shd w:val="clear" w:color="auto" w:fill="FFFFFF"/>
        </w:rPr>
        <w:t>Dialogues in clinical neuroscience</w:t>
      </w:r>
      <w:r w:rsidRPr="00C745D7">
        <w:rPr>
          <w:rFonts w:ascii="Times New Roman" w:hAnsi="Times New Roman" w:cs="Times New Roman"/>
          <w:color w:val="222222"/>
          <w:sz w:val="24"/>
          <w:szCs w:val="24"/>
          <w:shd w:val="clear" w:color="auto" w:fill="FFFFFF"/>
        </w:rPr>
        <w:t>, </w:t>
      </w:r>
      <w:r w:rsidRPr="00C745D7">
        <w:rPr>
          <w:rFonts w:ascii="Times New Roman" w:hAnsi="Times New Roman" w:cs="Times New Roman"/>
          <w:i/>
          <w:iCs/>
          <w:color w:val="222222"/>
          <w:sz w:val="24"/>
          <w:szCs w:val="24"/>
          <w:shd w:val="clear" w:color="auto" w:fill="FFFFFF"/>
        </w:rPr>
        <w:t>19</w:t>
      </w:r>
      <w:r w:rsidRPr="00C745D7">
        <w:rPr>
          <w:rFonts w:ascii="Times New Roman" w:hAnsi="Times New Roman" w:cs="Times New Roman"/>
          <w:color w:val="222222"/>
          <w:sz w:val="24"/>
          <w:szCs w:val="24"/>
          <w:shd w:val="clear" w:color="auto" w:fill="FFFFFF"/>
        </w:rPr>
        <w:t>(2), pp.147-158.</w:t>
      </w:r>
    </w:p>
    <w:p w14:paraId="6969BBB5"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hAnsi="Times New Roman" w:cs="Times New Roman"/>
          <w:color w:val="222222"/>
          <w:sz w:val="24"/>
          <w:szCs w:val="24"/>
          <w:shd w:val="clear" w:color="auto" w:fill="FFFFFF"/>
        </w:rPr>
        <w:t>Millard, C. and Wessely, S., 2014. Parity of esteem between mental and physical health. </w:t>
      </w:r>
      <w:proofErr w:type="spellStart"/>
      <w:r w:rsidRPr="00C745D7">
        <w:rPr>
          <w:rFonts w:ascii="Times New Roman" w:hAnsi="Times New Roman" w:cs="Times New Roman"/>
          <w:i/>
          <w:iCs/>
          <w:color w:val="222222"/>
          <w:sz w:val="24"/>
          <w:szCs w:val="24"/>
          <w:shd w:val="clear" w:color="auto" w:fill="FFFFFF"/>
        </w:rPr>
        <w:t>Bmj</w:t>
      </w:r>
      <w:proofErr w:type="spellEnd"/>
      <w:r w:rsidRPr="00C745D7">
        <w:rPr>
          <w:rFonts w:ascii="Times New Roman" w:hAnsi="Times New Roman" w:cs="Times New Roman"/>
          <w:color w:val="222222"/>
          <w:sz w:val="24"/>
          <w:szCs w:val="24"/>
          <w:shd w:val="clear" w:color="auto" w:fill="FFFFFF"/>
        </w:rPr>
        <w:t>, </w:t>
      </w:r>
      <w:proofErr w:type="gramStart"/>
      <w:r w:rsidRPr="00C745D7">
        <w:rPr>
          <w:rFonts w:ascii="Times New Roman" w:hAnsi="Times New Roman" w:cs="Times New Roman"/>
          <w:i/>
          <w:iCs/>
          <w:color w:val="222222"/>
          <w:sz w:val="24"/>
          <w:szCs w:val="24"/>
          <w:shd w:val="clear" w:color="auto" w:fill="FFFFFF"/>
        </w:rPr>
        <w:t>349</w:t>
      </w:r>
      <w:r w:rsidRPr="00C745D7">
        <w:rPr>
          <w:rFonts w:ascii="Times New Roman" w:hAnsi="Times New Roman" w:cs="Times New Roman"/>
          <w:color w:val="222222"/>
          <w:sz w:val="24"/>
          <w:szCs w:val="24"/>
          <w:shd w:val="clear" w:color="auto" w:fill="FFFFFF"/>
        </w:rPr>
        <w:t>.</w:t>
      </w:r>
      <w:r w:rsidRPr="00C745D7">
        <w:rPr>
          <w:rFonts w:ascii="Times New Roman" w:eastAsia="Times New Roman" w:hAnsi="Times New Roman" w:cs="Times New Roman"/>
          <w:bCs w:val="0"/>
          <w:color w:val="0F1115"/>
          <w:kern w:val="0"/>
          <w:sz w:val="24"/>
          <w:szCs w:val="24"/>
          <w:lang w:eastAsia="en-GB"/>
        </w:rPr>
        <w:t>.</w:t>
      </w:r>
      <w:proofErr w:type="gramEnd"/>
      <w:r w:rsidRPr="00C745D7">
        <w:rPr>
          <w:rFonts w:ascii="Times New Roman" w:eastAsia="Times New Roman" w:hAnsi="Times New Roman" w:cs="Times New Roman"/>
          <w:bCs w:val="0"/>
          <w:color w:val="0F1115"/>
          <w:kern w:val="0"/>
          <w:sz w:val="24"/>
          <w:szCs w:val="24"/>
          <w:lang w:eastAsia="en-GB"/>
        </w:rPr>
        <w:t xml:space="preserve"> </w:t>
      </w:r>
    </w:p>
    <w:p w14:paraId="1852F88E"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hAnsi="Times New Roman" w:cs="Times New Roman"/>
          <w:color w:val="222222"/>
          <w:sz w:val="24"/>
          <w:szCs w:val="24"/>
          <w:shd w:val="clear" w:color="auto" w:fill="FFFFFF"/>
        </w:rPr>
        <w:t>Neilson, C. and Bond, C., 2023. The experience of anxiety for autistic children and young people: A thematic synthesis review. </w:t>
      </w:r>
      <w:r w:rsidRPr="00C745D7">
        <w:rPr>
          <w:rFonts w:ascii="Times New Roman" w:hAnsi="Times New Roman" w:cs="Times New Roman"/>
          <w:i/>
          <w:iCs/>
          <w:color w:val="222222"/>
          <w:sz w:val="24"/>
          <w:szCs w:val="24"/>
          <w:shd w:val="clear" w:color="auto" w:fill="FFFFFF"/>
        </w:rPr>
        <w:t>Research in Autism Spectrum Disorders</w:t>
      </w:r>
      <w:r w:rsidRPr="00C745D7">
        <w:rPr>
          <w:rFonts w:ascii="Times New Roman" w:hAnsi="Times New Roman" w:cs="Times New Roman"/>
          <w:color w:val="222222"/>
          <w:sz w:val="24"/>
          <w:szCs w:val="24"/>
          <w:shd w:val="clear" w:color="auto" w:fill="FFFFFF"/>
        </w:rPr>
        <w:t>, </w:t>
      </w:r>
      <w:r w:rsidRPr="00C745D7">
        <w:rPr>
          <w:rFonts w:ascii="Times New Roman" w:hAnsi="Times New Roman" w:cs="Times New Roman"/>
          <w:i/>
          <w:iCs/>
          <w:color w:val="222222"/>
          <w:sz w:val="24"/>
          <w:szCs w:val="24"/>
          <w:shd w:val="clear" w:color="auto" w:fill="FFFFFF"/>
        </w:rPr>
        <w:t>109</w:t>
      </w:r>
      <w:r w:rsidRPr="00C745D7">
        <w:rPr>
          <w:rFonts w:ascii="Times New Roman" w:hAnsi="Times New Roman" w:cs="Times New Roman"/>
          <w:color w:val="222222"/>
          <w:sz w:val="24"/>
          <w:szCs w:val="24"/>
          <w:shd w:val="clear" w:color="auto" w:fill="FFFFFF"/>
        </w:rPr>
        <w:t>, p.102274.</w:t>
      </w:r>
    </w:p>
    <w:p w14:paraId="42162558"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hAnsi="Times New Roman" w:cs="Times New Roman"/>
          <w:color w:val="222222"/>
          <w:sz w:val="24"/>
          <w:szCs w:val="24"/>
          <w:shd w:val="clear" w:color="auto" w:fill="FFFFFF"/>
        </w:rPr>
        <w:t>Neilson, C.N., 2023. </w:t>
      </w:r>
      <w:r w:rsidRPr="00C745D7">
        <w:rPr>
          <w:rFonts w:ascii="Times New Roman" w:hAnsi="Times New Roman" w:cs="Times New Roman"/>
          <w:i/>
          <w:iCs/>
          <w:color w:val="222222"/>
          <w:sz w:val="24"/>
          <w:szCs w:val="24"/>
          <w:shd w:val="clear" w:color="auto" w:fill="FFFFFF"/>
        </w:rPr>
        <w:t>Autism Anxiety and Extended School Nonattendance: Understanding the Lived Experience of Children and Young People Through a Neurodiversity Lens</w:t>
      </w:r>
      <w:r w:rsidRPr="00C745D7">
        <w:rPr>
          <w:rFonts w:ascii="Times New Roman" w:hAnsi="Times New Roman" w:cs="Times New Roman"/>
          <w:color w:val="222222"/>
          <w:sz w:val="24"/>
          <w:szCs w:val="24"/>
          <w:shd w:val="clear" w:color="auto" w:fill="FFFFFF"/>
        </w:rPr>
        <w:t> (Doctoral dissertation, The University of Manchester (United Kingdom)</w:t>
      </w:r>
    </w:p>
    <w:p w14:paraId="66A37EED"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proofErr w:type="spellStart"/>
      <w:r w:rsidRPr="00C745D7">
        <w:rPr>
          <w:rFonts w:ascii="Times New Roman" w:hAnsi="Times New Roman" w:cs="Times New Roman"/>
          <w:color w:val="222222"/>
          <w:sz w:val="24"/>
          <w:szCs w:val="24"/>
          <w:shd w:val="clear" w:color="auto" w:fill="FFFFFF"/>
        </w:rPr>
        <w:t>Przesmycka</w:t>
      </w:r>
      <w:proofErr w:type="spellEnd"/>
      <w:r w:rsidRPr="00C745D7">
        <w:rPr>
          <w:rFonts w:ascii="Times New Roman" w:hAnsi="Times New Roman" w:cs="Times New Roman"/>
          <w:color w:val="222222"/>
          <w:sz w:val="24"/>
          <w:szCs w:val="24"/>
          <w:shd w:val="clear" w:color="auto" w:fill="FFFFFF"/>
        </w:rPr>
        <w:t xml:space="preserve">, N., Strojny, R., Jakubiak, N. and </w:t>
      </w:r>
      <w:proofErr w:type="spellStart"/>
      <w:r w:rsidRPr="00C745D7">
        <w:rPr>
          <w:rFonts w:ascii="Times New Roman" w:hAnsi="Times New Roman" w:cs="Times New Roman"/>
          <w:color w:val="222222"/>
          <w:sz w:val="24"/>
          <w:szCs w:val="24"/>
          <w:shd w:val="clear" w:color="auto" w:fill="FFFFFF"/>
        </w:rPr>
        <w:t>Abrihan</w:t>
      </w:r>
      <w:proofErr w:type="spellEnd"/>
      <w:r w:rsidRPr="00C745D7">
        <w:rPr>
          <w:rFonts w:ascii="Times New Roman" w:hAnsi="Times New Roman" w:cs="Times New Roman"/>
          <w:color w:val="222222"/>
          <w:sz w:val="24"/>
          <w:szCs w:val="24"/>
          <w:shd w:val="clear" w:color="auto" w:fill="FFFFFF"/>
        </w:rPr>
        <w:t>, C., 2026. PROSPECTS FOR REVITALIZING PSYCHIATRIC HOSPITAL SITES AS AN EXAMPLE OF SUSTAINABLE DEVELOPMENT OF DEGRADED AREAS. </w:t>
      </w:r>
      <w:r w:rsidRPr="00C745D7">
        <w:rPr>
          <w:rFonts w:ascii="Times New Roman" w:hAnsi="Times New Roman" w:cs="Times New Roman"/>
          <w:i/>
          <w:iCs/>
          <w:color w:val="222222"/>
          <w:sz w:val="24"/>
          <w:szCs w:val="24"/>
          <w:shd w:val="clear" w:color="auto" w:fill="FFFFFF"/>
        </w:rPr>
        <w:t>International Journal of Conservation Science</w:t>
      </w:r>
      <w:r w:rsidRPr="00C745D7">
        <w:rPr>
          <w:rFonts w:ascii="Times New Roman" w:hAnsi="Times New Roman" w:cs="Times New Roman"/>
          <w:color w:val="222222"/>
          <w:sz w:val="24"/>
          <w:szCs w:val="24"/>
          <w:shd w:val="clear" w:color="auto" w:fill="FFFFFF"/>
        </w:rPr>
        <w:t>, </w:t>
      </w:r>
      <w:r w:rsidRPr="00C745D7">
        <w:rPr>
          <w:rFonts w:ascii="Times New Roman" w:hAnsi="Times New Roman" w:cs="Times New Roman"/>
          <w:i/>
          <w:iCs/>
          <w:color w:val="222222"/>
          <w:sz w:val="24"/>
          <w:szCs w:val="24"/>
          <w:shd w:val="clear" w:color="auto" w:fill="FFFFFF"/>
        </w:rPr>
        <w:t>17</w:t>
      </w:r>
      <w:r w:rsidRPr="00C745D7">
        <w:rPr>
          <w:rFonts w:ascii="Times New Roman" w:hAnsi="Times New Roman" w:cs="Times New Roman"/>
          <w:color w:val="222222"/>
          <w:sz w:val="24"/>
          <w:szCs w:val="24"/>
          <w:shd w:val="clear" w:color="auto" w:fill="FFFFFF"/>
        </w:rPr>
        <w:t>(1), pp.201-228.</w:t>
      </w:r>
    </w:p>
    <w:p w14:paraId="294941C3" w14:textId="77777777" w:rsidR="00706A1C" w:rsidRPr="00C745D7" w:rsidRDefault="00706A1C" w:rsidP="00E54CC4">
      <w:pPr>
        <w:shd w:val="clear" w:color="auto" w:fill="FFFFFF"/>
        <w:spacing w:before="240" w:after="0" w:line="360" w:lineRule="auto"/>
        <w:outlineLvl w:val="9"/>
        <w:rPr>
          <w:rFonts w:ascii="Times New Roman" w:hAnsi="Times New Roman" w:cs="Times New Roman"/>
          <w:sz w:val="24"/>
          <w:szCs w:val="24"/>
        </w:rPr>
      </w:pPr>
      <w:r w:rsidRPr="00C745D7">
        <w:rPr>
          <w:rFonts w:ascii="Times New Roman" w:hAnsi="Times New Roman" w:cs="Times New Roman"/>
          <w:color w:val="222222"/>
          <w:sz w:val="24"/>
          <w:szCs w:val="24"/>
          <w:shd w:val="clear" w:color="auto" w:fill="FFFFFF"/>
        </w:rPr>
        <w:t xml:space="preserve">Shevlin, M., Hyland, P., Butter, S., McBride, O., Hartman, T.K., </w:t>
      </w:r>
      <w:proofErr w:type="spellStart"/>
      <w:r w:rsidRPr="00C745D7">
        <w:rPr>
          <w:rFonts w:ascii="Times New Roman" w:hAnsi="Times New Roman" w:cs="Times New Roman"/>
          <w:color w:val="222222"/>
          <w:sz w:val="24"/>
          <w:szCs w:val="24"/>
          <w:shd w:val="clear" w:color="auto" w:fill="FFFFFF"/>
        </w:rPr>
        <w:t>Karatzias</w:t>
      </w:r>
      <w:proofErr w:type="spellEnd"/>
      <w:r w:rsidRPr="00C745D7">
        <w:rPr>
          <w:rFonts w:ascii="Times New Roman" w:hAnsi="Times New Roman" w:cs="Times New Roman"/>
          <w:color w:val="222222"/>
          <w:sz w:val="24"/>
          <w:szCs w:val="24"/>
          <w:shd w:val="clear" w:color="auto" w:fill="FFFFFF"/>
        </w:rPr>
        <w:t xml:space="preserve">, T. and Bentall, R.P., 2023. The development and initial validation of self‐report measures of ICD‐11 depressive </w:t>
      </w:r>
      <w:r w:rsidRPr="00C745D7">
        <w:rPr>
          <w:rFonts w:ascii="Times New Roman" w:hAnsi="Times New Roman" w:cs="Times New Roman"/>
          <w:color w:val="222222"/>
          <w:sz w:val="24"/>
          <w:szCs w:val="24"/>
          <w:shd w:val="clear" w:color="auto" w:fill="FFFFFF"/>
        </w:rPr>
        <w:lastRenderedPageBreak/>
        <w:t>episode and generalized anxiety disorder: The International Depression Questionnaire (IDQ) and the International Anxiety Questionnaire (IAQ). </w:t>
      </w:r>
      <w:r w:rsidRPr="00C745D7">
        <w:rPr>
          <w:rFonts w:ascii="Times New Roman" w:hAnsi="Times New Roman" w:cs="Times New Roman"/>
          <w:i/>
          <w:iCs/>
          <w:color w:val="222222"/>
          <w:sz w:val="24"/>
          <w:szCs w:val="24"/>
          <w:shd w:val="clear" w:color="auto" w:fill="FFFFFF"/>
        </w:rPr>
        <w:t>Journal of Clinical Psychology</w:t>
      </w:r>
      <w:r w:rsidRPr="00C745D7">
        <w:rPr>
          <w:rFonts w:ascii="Times New Roman" w:hAnsi="Times New Roman" w:cs="Times New Roman"/>
          <w:color w:val="222222"/>
          <w:sz w:val="24"/>
          <w:szCs w:val="24"/>
          <w:shd w:val="clear" w:color="auto" w:fill="FFFFFF"/>
        </w:rPr>
        <w:t>, </w:t>
      </w:r>
      <w:r w:rsidRPr="00C745D7">
        <w:rPr>
          <w:rFonts w:ascii="Times New Roman" w:hAnsi="Times New Roman" w:cs="Times New Roman"/>
          <w:i/>
          <w:iCs/>
          <w:color w:val="222222"/>
          <w:sz w:val="24"/>
          <w:szCs w:val="24"/>
          <w:shd w:val="clear" w:color="auto" w:fill="FFFFFF"/>
        </w:rPr>
        <w:t>79</w:t>
      </w:r>
      <w:r w:rsidRPr="00C745D7">
        <w:rPr>
          <w:rFonts w:ascii="Times New Roman" w:hAnsi="Times New Roman" w:cs="Times New Roman"/>
          <w:color w:val="222222"/>
          <w:sz w:val="24"/>
          <w:szCs w:val="24"/>
          <w:shd w:val="clear" w:color="auto" w:fill="FFFFFF"/>
        </w:rPr>
        <w:t>(3), pp.854-870.</w:t>
      </w:r>
    </w:p>
    <w:p w14:paraId="7A6C8C62"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eastAsia="Times New Roman" w:hAnsi="Times New Roman" w:cs="Times New Roman"/>
          <w:bCs w:val="0"/>
          <w:color w:val="0F1115"/>
          <w:kern w:val="0"/>
          <w:sz w:val="24"/>
          <w:szCs w:val="24"/>
          <w:lang w:eastAsia="en-GB"/>
        </w:rPr>
        <w:t>Shorter, E. (1997) </w:t>
      </w:r>
      <w:r w:rsidRPr="00C745D7">
        <w:rPr>
          <w:rFonts w:ascii="Times New Roman" w:eastAsia="Times New Roman" w:hAnsi="Times New Roman" w:cs="Times New Roman"/>
          <w:bCs w:val="0"/>
          <w:i/>
          <w:iCs/>
          <w:color w:val="0F1115"/>
          <w:kern w:val="0"/>
          <w:sz w:val="24"/>
          <w:szCs w:val="24"/>
          <w:lang w:eastAsia="en-GB"/>
        </w:rPr>
        <w:t>A History of Psychiatry</w:t>
      </w:r>
      <w:r w:rsidRPr="00C745D7">
        <w:rPr>
          <w:rFonts w:ascii="Times New Roman" w:eastAsia="Times New Roman" w:hAnsi="Times New Roman" w:cs="Times New Roman"/>
          <w:bCs w:val="0"/>
          <w:color w:val="0F1115"/>
          <w:kern w:val="0"/>
          <w:sz w:val="24"/>
          <w:szCs w:val="24"/>
          <w:lang w:eastAsia="en-GB"/>
        </w:rPr>
        <w:t>. New York: John Wiley &amp; Sons.</w:t>
      </w:r>
    </w:p>
    <w:p w14:paraId="315294CC"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hAnsi="Times New Roman" w:cs="Times New Roman"/>
          <w:color w:val="222222"/>
          <w:sz w:val="24"/>
          <w:szCs w:val="24"/>
          <w:shd w:val="clear" w:color="auto" w:fill="FFFFFF"/>
        </w:rPr>
        <w:t>Solanki, J., Wood, L. and McPherson, S., 2023. Experiences of adults from a Black ethnic background detained as inpatients under the Mental Health Act (1983). </w:t>
      </w:r>
      <w:r w:rsidRPr="00C745D7">
        <w:rPr>
          <w:rFonts w:ascii="Times New Roman" w:hAnsi="Times New Roman" w:cs="Times New Roman"/>
          <w:i/>
          <w:iCs/>
          <w:color w:val="222222"/>
          <w:sz w:val="24"/>
          <w:szCs w:val="24"/>
          <w:shd w:val="clear" w:color="auto" w:fill="FFFFFF"/>
        </w:rPr>
        <w:t>Psychiatric rehabilitation journal</w:t>
      </w:r>
      <w:r w:rsidRPr="00C745D7">
        <w:rPr>
          <w:rFonts w:ascii="Times New Roman" w:hAnsi="Times New Roman" w:cs="Times New Roman"/>
          <w:color w:val="222222"/>
          <w:sz w:val="24"/>
          <w:szCs w:val="24"/>
          <w:shd w:val="clear" w:color="auto" w:fill="FFFFFF"/>
        </w:rPr>
        <w:t>, </w:t>
      </w:r>
      <w:r w:rsidRPr="00C745D7">
        <w:rPr>
          <w:rFonts w:ascii="Times New Roman" w:hAnsi="Times New Roman" w:cs="Times New Roman"/>
          <w:i/>
          <w:iCs/>
          <w:color w:val="222222"/>
          <w:sz w:val="24"/>
          <w:szCs w:val="24"/>
          <w:shd w:val="clear" w:color="auto" w:fill="FFFFFF"/>
        </w:rPr>
        <w:t>46</w:t>
      </w:r>
      <w:r w:rsidRPr="00C745D7">
        <w:rPr>
          <w:rFonts w:ascii="Times New Roman" w:hAnsi="Times New Roman" w:cs="Times New Roman"/>
          <w:color w:val="222222"/>
          <w:sz w:val="24"/>
          <w:szCs w:val="24"/>
          <w:shd w:val="clear" w:color="auto" w:fill="FFFFFF"/>
        </w:rPr>
        <w:t>(1), p.14</w:t>
      </w:r>
      <w:r w:rsidRPr="00C745D7">
        <w:rPr>
          <w:rFonts w:ascii="Times New Roman" w:eastAsia="Times New Roman" w:hAnsi="Times New Roman" w:cs="Times New Roman"/>
          <w:bCs w:val="0"/>
          <w:color w:val="0F1115"/>
          <w:kern w:val="0"/>
          <w:sz w:val="24"/>
          <w:szCs w:val="24"/>
          <w:lang w:eastAsia="en-GB"/>
        </w:rPr>
        <w:t>.</w:t>
      </w:r>
    </w:p>
    <w:p w14:paraId="48232010"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proofErr w:type="spellStart"/>
      <w:r w:rsidRPr="00C745D7">
        <w:rPr>
          <w:rFonts w:ascii="Times New Roman" w:hAnsi="Times New Roman" w:cs="Times New Roman"/>
          <w:color w:val="222222"/>
          <w:sz w:val="24"/>
          <w:szCs w:val="24"/>
          <w:shd w:val="clear" w:color="auto" w:fill="FFFFFF"/>
        </w:rPr>
        <w:t>Thorlu</w:t>
      </w:r>
      <w:proofErr w:type="spellEnd"/>
      <w:r w:rsidRPr="00C745D7">
        <w:rPr>
          <w:rFonts w:ascii="Times New Roman" w:hAnsi="Times New Roman" w:cs="Times New Roman"/>
          <w:color w:val="222222"/>
          <w:sz w:val="24"/>
          <w:szCs w:val="24"/>
          <w:shd w:val="clear" w:color="auto" w:fill="FFFFFF"/>
        </w:rPr>
        <w:t>-Bangura, Z., Poole, L., Sood, H., Khan, N., Stevenson, F., Khunti, K., Gill, P., Sajid, M., Hanif, W., Bhala, N. and Modha, S., 2023. Digital health, cardiometabolic disease and ethnicity: an analysis of United Kingdom government policies from 2010 to 2022. </w:t>
      </w:r>
      <w:r w:rsidRPr="00C745D7">
        <w:rPr>
          <w:rFonts w:ascii="Times New Roman" w:hAnsi="Times New Roman" w:cs="Times New Roman"/>
          <w:i/>
          <w:iCs/>
          <w:color w:val="222222"/>
          <w:sz w:val="24"/>
          <w:szCs w:val="24"/>
          <w:shd w:val="clear" w:color="auto" w:fill="FFFFFF"/>
        </w:rPr>
        <w:t>Journal of public health policy</w:t>
      </w:r>
      <w:r w:rsidRPr="00C745D7">
        <w:rPr>
          <w:rFonts w:ascii="Times New Roman" w:hAnsi="Times New Roman" w:cs="Times New Roman"/>
          <w:color w:val="222222"/>
          <w:sz w:val="24"/>
          <w:szCs w:val="24"/>
          <w:shd w:val="clear" w:color="auto" w:fill="FFFFFF"/>
        </w:rPr>
        <w:t>, </w:t>
      </w:r>
      <w:r w:rsidRPr="00C745D7">
        <w:rPr>
          <w:rFonts w:ascii="Times New Roman" w:hAnsi="Times New Roman" w:cs="Times New Roman"/>
          <w:i/>
          <w:iCs/>
          <w:color w:val="222222"/>
          <w:sz w:val="24"/>
          <w:szCs w:val="24"/>
          <w:shd w:val="clear" w:color="auto" w:fill="FFFFFF"/>
        </w:rPr>
        <w:t>44</w:t>
      </w:r>
      <w:r w:rsidRPr="00C745D7">
        <w:rPr>
          <w:rFonts w:ascii="Times New Roman" w:hAnsi="Times New Roman" w:cs="Times New Roman"/>
          <w:color w:val="222222"/>
          <w:sz w:val="24"/>
          <w:szCs w:val="24"/>
          <w:shd w:val="clear" w:color="auto" w:fill="FFFFFF"/>
        </w:rPr>
        <w:t>(2), p.179.</w:t>
      </w:r>
    </w:p>
    <w:p w14:paraId="0691EA5F"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hAnsi="Times New Roman" w:cs="Times New Roman"/>
          <w:color w:val="222222"/>
          <w:sz w:val="24"/>
          <w:szCs w:val="24"/>
          <w:shd w:val="clear" w:color="auto" w:fill="FFFFFF"/>
        </w:rPr>
        <w:t xml:space="preserve">Thornicroft, G., Sunkel, C., Aliev, A.A., Baker, S., Brohan, E., El </w:t>
      </w:r>
      <w:proofErr w:type="spellStart"/>
      <w:r w:rsidRPr="00C745D7">
        <w:rPr>
          <w:rFonts w:ascii="Times New Roman" w:hAnsi="Times New Roman" w:cs="Times New Roman"/>
          <w:color w:val="222222"/>
          <w:sz w:val="24"/>
          <w:szCs w:val="24"/>
          <w:shd w:val="clear" w:color="auto" w:fill="FFFFFF"/>
        </w:rPr>
        <w:t>Chammay</w:t>
      </w:r>
      <w:proofErr w:type="spellEnd"/>
      <w:r w:rsidRPr="00C745D7">
        <w:rPr>
          <w:rFonts w:ascii="Times New Roman" w:hAnsi="Times New Roman" w:cs="Times New Roman"/>
          <w:color w:val="222222"/>
          <w:sz w:val="24"/>
          <w:szCs w:val="24"/>
          <w:shd w:val="clear" w:color="auto" w:fill="FFFFFF"/>
        </w:rPr>
        <w:t>, R., Davies, K., Demissie, M., Duncan, J., Fekadu, W. and Gronholm, P.C., 2022. The Lancet Commission on ending stigma and discrimination in mental health. </w:t>
      </w:r>
      <w:r w:rsidRPr="00C745D7">
        <w:rPr>
          <w:rFonts w:ascii="Times New Roman" w:hAnsi="Times New Roman" w:cs="Times New Roman"/>
          <w:i/>
          <w:iCs/>
          <w:color w:val="222222"/>
          <w:sz w:val="24"/>
          <w:szCs w:val="24"/>
          <w:shd w:val="clear" w:color="auto" w:fill="FFFFFF"/>
        </w:rPr>
        <w:t>The Lancet</w:t>
      </w:r>
      <w:r w:rsidRPr="00C745D7">
        <w:rPr>
          <w:rFonts w:ascii="Times New Roman" w:hAnsi="Times New Roman" w:cs="Times New Roman"/>
          <w:color w:val="222222"/>
          <w:sz w:val="24"/>
          <w:szCs w:val="24"/>
          <w:shd w:val="clear" w:color="auto" w:fill="FFFFFF"/>
        </w:rPr>
        <w:t>, </w:t>
      </w:r>
      <w:r w:rsidRPr="00C745D7">
        <w:rPr>
          <w:rFonts w:ascii="Times New Roman" w:hAnsi="Times New Roman" w:cs="Times New Roman"/>
          <w:i/>
          <w:iCs/>
          <w:color w:val="222222"/>
          <w:sz w:val="24"/>
          <w:szCs w:val="24"/>
          <w:shd w:val="clear" w:color="auto" w:fill="FFFFFF"/>
        </w:rPr>
        <w:t>400</w:t>
      </w:r>
      <w:r w:rsidRPr="00C745D7">
        <w:rPr>
          <w:rFonts w:ascii="Times New Roman" w:hAnsi="Times New Roman" w:cs="Times New Roman"/>
          <w:color w:val="222222"/>
          <w:sz w:val="24"/>
          <w:szCs w:val="24"/>
          <w:shd w:val="clear" w:color="auto" w:fill="FFFFFF"/>
        </w:rPr>
        <w:t>(10361), pp.1438-1480.</w:t>
      </w:r>
    </w:p>
    <w:p w14:paraId="26D8E8D9" w14:textId="77777777" w:rsidR="00706A1C" w:rsidRPr="00C745D7" w:rsidRDefault="00706A1C" w:rsidP="00E54CC4">
      <w:pPr>
        <w:shd w:val="clear" w:color="auto" w:fill="FFFFFF"/>
        <w:spacing w:before="240" w:after="0" w:line="360" w:lineRule="auto"/>
        <w:outlineLvl w:val="9"/>
        <w:rPr>
          <w:rFonts w:ascii="Times New Roman" w:eastAsia="Times New Roman" w:hAnsi="Times New Roman" w:cs="Times New Roman"/>
          <w:bCs w:val="0"/>
          <w:color w:val="0F1115"/>
          <w:kern w:val="0"/>
          <w:sz w:val="24"/>
          <w:szCs w:val="24"/>
          <w:lang w:eastAsia="en-GB"/>
        </w:rPr>
      </w:pPr>
      <w:r w:rsidRPr="00C745D7">
        <w:rPr>
          <w:rFonts w:ascii="Times New Roman" w:hAnsi="Times New Roman" w:cs="Times New Roman"/>
          <w:color w:val="222222"/>
          <w:sz w:val="24"/>
          <w:szCs w:val="24"/>
          <w:shd w:val="clear" w:color="auto" w:fill="FFFFFF"/>
        </w:rPr>
        <w:t>Williams, M., Wooster, L., Taylor, M., Tully, J. and Whiting, D., 2026. Community forensic mental health services in England: mapping provision, structure and function. </w:t>
      </w:r>
      <w:proofErr w:type="spellStart"/>
      <w:r w:rsidRPr="00C745D7">
        <w:rPr>
          <w:rFonts w:ascii="Times New Roman" w:hAnsi="Times New Roman" w:cs="Times New Roman"/>
          <w:i/>
          <w:iCs/>
          <w:color w:val="222222"/>
          <w:sz w:val="24"/>
          <w:szCs w:val="24"/>
          <w:shd w:val="clear" w:color="auto" w:fill="FFFFFF"/>
        </w:rPr>
        <w:t>BJPsych</w:t>
      </w:r>
      <w:proofErr w:type="spellEnd"/>
      <w:r w:rsidRPr="00C745D7">
        <w:rPr>
          <w:rFonts w:ascii="Times New Roman" w:hAnsi="Times New Roman" w:cs="Times New Roman"/>
          <w:i/>
          <w:iCs/>
          <w:color w:val="222222"/>
          <w:sz w:val="24"/>
          <w:szCs w:val="24"/>
          <w:shd w:val="clear" w:color="auto" w:fill="FFFFFF"/>
        </w:rPr>
        <w:t xml:space="preserve"> Bulletin</w:t>
      </w:r>
      <w:r w:rsidRPr="00C745D7">
        <w:rPr>
          <w:rFonts w:ascii="Times New Roman" w:hAnsi="Times New Roman" w:cs="Times New Roman"/>
          <w:color w:val="222222"/>
          <w:sz w:val="24"/>
          <w:szCs w:val="24"/>
          <w:shd w:val="clear" w:color="auto" w:fill="FFFFFF"/>
        </w:rPr>
        <w:t>, pp.1-7.</w:t>
      </w:r>
    </w:p>
    <w:sectPr w:rsidR="00706A1C" w:rsidRPr="00C745D7">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FE17F" w14:textId="77777777" w:rsidR="00376EBC" w:rsidRDefault="00376EBC" w:rsidP="00706A1C">
      <w:pPr>
        <w:spacing w:after="0"/>
      </w:pPr>
      <w:r>
        <w:separator/>
      </w:r>
    </w:p>
  </w:endnote>
  <w:endnote w:type="continuationSeparator" w:id="0">
    <w:p w14:paraId="312477BC" w14:textId="77777777" w:rsidR="00376EBC" w:rsidRDefault="00376EBC" w:rsidP="00706A1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1182035"/>
      <w:docPartObj>
        <w:docPartGallery w:val="Page Numbers (Bottom of Page)"/>
        <w:docPartUnique/>
      </w:docPartObj>
    </w:sdtPr>
    <w:sdtContent>
      <w:p w14:paraId="797EA2AF" w14:textId="0738B576" w:rsidR="00706A1C" w:rsidRDefault="00706A1C" w:rsidP="00DE13E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A20703C" w14:textId="77777777" w:rsidR="00706A1C" w:rsidRDefault="00706A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1331390"/>
      <w:docPartObj>
        <w:docPartGallery w:val="Page Numbers (Bottom of Page)"/>
        <w:docPartUnique/>
      </w:docPartObj>
    </w:sdtPr>
    <w:sdtContent>
      <w:p w14:paraId="6B2DB6FF" w14:textId="13526FF7" w:rsidR="00706A1C" w:rsidRDefault="00706A1C" w:rsidP="00DE13E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F5864B" w14:textId="77777777" w:rsidR="00706A1C" w:rsidRDefault="00706A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EF0AC" w14:textId="77777777" w:rsidR="00376EBC" w:rsidRDefault="00376EBC" w:rsidP="00706A1C">
      <w:pPr>
        <w:spacing w:after="0"/>
      </w:pPr>
      <w:r>
        <w:separator/>
      </w:r>
    </w:p>
  </w:footnote>
  <w:footnote w:type="continuationSeparator" w:id="0">
    <w:p w14:paraId="1E98F81C" w14:textId="77777777" w:rsidR="00376EBC" w:rsidRDefault="00376EBC" w:rsidP="00706A1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19"/>
    <w:multiLevelType w:val="multilevel"/>
    <w:tmpl w:val="5FC228AE"/>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937713954">
    <w:abstractNumId w:val="1"/>
  </w:num>
  <w:num w:numId="2" w16cid:durableId="866720286">
    <w:abstractNumId w:val="0"/>
  </w:num>
  <w:num w:numId="3" w16cid:durableId="403723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2AF"/>
    <w:rsid w:val="00007EA1"/>
    <w:rsid w:val="000352EC"/>
    <w:rsid w:val="00036F57"/>
    <w:rsid w:val="000551B2"/>
    <w:rsid w:val="000A0253"/>
    <w:rsid w:val="000B19CD"/>
    <w:rsid w:val="001D3EE3"/>
    <w:rsid w:val="001F2FB1"/>
    <w:rsid w:val="00240ADD"/>
    <w:rsid w:val="00262C8B"/>
    <w:rsid w:val="002F62AF"/>
    <w:rsid w:val="002F7B3D"/>
    <w:rsid w:val="0030436B"/>
    <w:rsid w:val="003177D3"/>
    <w:rsid w:val="003378DB"/>
    <w:rsid w:val="00376EBC"/>
    <w:rsid w:val="00400855"/>
    <w:rsid w:val="004418D7"/>
    <w:rsid w:val="00466ABE"/>
    <w:rsid w:val="00485C78"/>
    <w:rsid w:val="004D51B4"/>
    <w:rsid w:val="004E3AC7"/>
    <w:rsid w:val="004F1E66"/>
    <w:rsid w:val="0050653C"/>
    <w:rsid w:val="00516B20"/>
    <w:rsid w:val="00543543"/>
    <w:rsid w:val="00554572"/>
    <w:rsid w:val="00557DB1"/>
    <w:rsid w:val="005703D7"/>
    <w:rsid w:val="0057146C"/>
    <w:rsid w:val="00577B8D"/>
    <w:rsid w:val="0060377D"/>
    <w:rsid w:val="00665B90"/>
    <w:rsid w:val="00681B16"/>
    <w:rsid w:val="00697D2F"/>
    <w:rsid w:val="006A3604"/>
    <w:rsid w:val="00706A1C"/>
    <w:rsid w:val="00717010"/>
    <w:rsid w:val="007370B6"/>
    <w:rsid w:val="007A0CE6"/>
    <w:rsid w:val="00807D66"/>
    <w:rsid w:val="0081561E"/>
    <w:rsid w:val="00820059"/>
    <w:rsid w:val="00835FB8"/>
    <w:rsid w:val="008B0FC8"/>
    <w:rsid w:val="008C761D"/>
    <w:rsid w:val="008D2731"/>
    <w:rsid w:val="00933A37"/>
    <w:rsid w:val="00973D5F"/>
    <w:rsid w:val="009E7DEA"/>
    <w:rsid w:val="00A05087"/>
    <w:rsid w:val="00A4313D"/>
    <w:rsid w:val="00A64EEC"/>
    <w:rsid w:val="00B97CAF"/>
    <w:rsid w:val="00BE7828"/>
    <w:rsid w:val="00C24E47"/>
    <w:rsid w:val="00C46641"/>
    <w:rsid w:val="00C55F19"/>
    <w:rsid w:val="00C745D7"/>
    <w:rsid w:val="00CA497C"/>
    <w:rsid w:val="00CC0C0F"/>
    <w:rsid w:val="00D00CCF"/>
    <w:rsid w:val="00D719F9"/>
    <w:rsid w:val="00DB4328"/>
    <w:rsid w:val="00DD310B"/>
    <w:rsid w:val="00DF07EB"/>
    <w:rsid w:val="00DF2CCC"/>
    <w:rsid w:val="00E44A99"/>
    <w:rsid w:val="00E54CC4"/>
    <w:rsid w:val="00E5516F"/>
    <w:rsid w:val="00E831C1"/>
    <w:rsid w:val="00E96661"/>
    <w:rsid w:val="00EA1E07"/>
    <w:rsid w:val="00EC44CB"/>
    <w:rsid w:val="00F00C2E"/>
    <w:rsid w:val="00F25F0B"/>
    <w:rsid w:val="00F308D1"/>
    <w:rsid w:val="00F80D06"/>
    <w:rsid w:val="00FA5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36D20"/>
  <w15:chartTrackingRefBased/>
  <w15:docId w15:val="{F0B036B5-66C7-BA41-9BAA-8FE7B7559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ptos"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FB1"/>
    <w:pPr>
      <w:spacing w:line="240" w:lineRule="auto"/>
      <w:jc w:val="both"/>
      <w:outlineLvl w:val="2"/>
    </w:pPr>
    <w:rPr>
      <w:rFonts w:ascii="Arial" w:hAnsi="Arial" w:cs="Arial"/>
      <w:bCs/>
      <w:sz w:val="22"/>
      <w:szCs w:val="28"/>
      <w14:ligatures w14:val="none"/>
    </w:rPr>
  </w:style>
  <w:style w:type="paragraph" w:styleId="Heading1">
    <w:name w:val="heading 1"/>
    <w:basedOn w:val="Normal"/>
    <w:link w:val="Heading1Char"/>
    <w:autoRedefine/>
    <w:uiPriority w:val="9"/>
    <w:qFormat/>
    <w:rsid w:val="00D719F9"/>
    <w:pPr>
      <w:spacing w:before="600" w:beforeAutospacing="1" w:after="600" w:afterAutospacing="1"/>
      <w:jc w:val="center"/>
      <w:outlineLvl w:val="0"/>
    </w:pPr>
    <w:rPr>
      <w:rFonts w:ascii="Times New Roman" w:eastAsia="Times New Roman" w:hAnsi="Times New Roman" w:cs="Times New Roman"/>
      <w:b/>
      <w:kern w:val="36"/>
      <w:sz w:val="24"/>
      <w:szCs w:val="48"/>
      <w:lang w:eastAsia="en-GB"/>
      <w14:ligatures w14:val="standardContextual"/>
    </w:rPr>
  </w:style>
  <w:style w:type="paragraph" w:styleId="Heading2">
    <w:name w:val="heading 2"/>
    <w:basedOn w:val="Normal"/>
    <w:next w:val="Normal"/>
    <w:link w:val="Heading2Char"/>
    <w:autoRedefine/>
    <w:uiPriority w:val="9"/>
    <w:unhideWhenUsed/>
    <w:qFormat/>
    <w:rsid w:val="00706A1C"/>
    <w:pPr>
      <w:keepNext/>
      <w:keepLines/>
      <w:shd w:val="clear" w:color="auto" w:fill="FFFFFF"/>
      <w:spacing w:after="0"/>
      <w:outlineLvl w:val="1"/>
    </w:pPr>
    <w:rPr>
      <w:rFonts w:ascii="Times New Roman" w:eastAsiaTheme="majorEastAsia" w:hAnsi="Times New Roman" w:cs="Segoe UI"/>
      <w:b/>
      <w:bCs w:val="0"/>
      <w:sz w:val="24"/>
      <w:szCs w:val="33"/>
      <w14:ligatures w14:val="standardContextual"/>
    </w:rPr>
  </w:style>
  <w:style w:type="paragraph" w:styleId="Heading3">
    <w:name w:val="heading 3"/>
    <w:basedOn w:val="Normal"/>
    <w:next w:val="Normal"/>
    <w:link w:val="Heading3Char"/>
    <w:autoRedefine/>
    <w:uiPriority w:val="9"/>
    <w:unhideWhenUsed/>
    <w:qFormat/>
    <w:rsid w:val="008B0FC8"/>
    <w:pPr>
      <w:keepNext/>
      <w:spacing w:after="0"/>
    </w:pPr>
    <w:rPr>
      <w:rFonts w:ascii="Times New Roman" w:hAnsi="Times New Roman" w:cstheme="minorBidi"/>
      <w:b/>
      <w:sz w:val="24"/>
      <w:szCs w:val="26"/>
      <w:lang w:eastAsia="zh-CN"/>
      <w14:ligatures w14:val="standardContextual"/>
    </w:rPr>
  </w:style>
  <w:style w:type="paragraph" w:styleId="Heading4">
    <w:name w:val="heading 4"/>
    <w:basedOn w:val="Normal"/>
    <w:next w:val="Normal"/>
    <w:link w:val="Heading4Char"/>
    <w:uiPriority w:val="9"/>
    <w:semiHidden/>
    <w:unhideWhenUsed/>
    <w:qFormat/>
    <w:rsid w:val="002F62A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F62A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F62A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F62A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F62A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F62A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autoRedefine/>
    <w:qFormat/>
    <w:rsid w:val="00C745D7"/>
    <w:pPr>
      <w:spacing w:after="0" w:line="360" w:lineRule="auto"/>
      <w:jc w:val="both"/>
    </w:pPr>
    <w:rPr>
      <w:rFonts w:ascii="Times New Roman" w:eastAsia="Calibri" w:hAnsi="Times New Roman" w:cs="Calibri"/>
      <w:bCs/>
      <w:kern w:val="0"/>
      <w:szCs w:val="22"/>
      <w:lang w:val="en-US"/>
      <w14:ligatures w14:val="none"/>
    </w:rPr>
  </w:style>
  <w:style w:type="character" w:customStyle="1" w:styleId="Heading1Char">
    <w:name w:val="Heading 1 Char"/>
    <w:basedOn w:val="DefaultParagraphFont"/>
    <w:link w:val="Heading1"/>
    <w:uiPriority w:val="9"/>
    <w:rsid w:val="00D719F9"/>
    <w:rPr>
      <w:rFonts w:ascii="Times New Roman" w:eastAsia="Times New Roman" w:hAnsi="Times New Roman" w:cs="Times New Roman"/>
      <w:b/>
      <w:bCs/>
      <w:kern w:val="36"/>
      <w:szCs w:val="48"/>
      <w:lang w:eastAsia="en-GB"/>
    </w:rPr>
  </w:style>
  <w:style w:type="character" w:customStyle="1" w:styleId="Heading2Char">
    <w:name w:val="Heading 2 Char"/>
    <w:basedOn w:val="DefaultParagraphFont"/>
    <w:link w:val="Heading2"/>
    <w:uiPriority w:val="9"/>
    <w:rsid w:val="00706A1C"/>
    <w:rPr>
      <w:rFonts w:ascii="Times New Roman" w:eastAsiaTheme="majorEastAsia" w:hAnsi="Times New Roman" w:cs="Segoe UI"/>
      <w:b/>
      <w:szCs w:val="33"/>
      <w:shd w:val="clear" w:color="auto" w:fill="FFFFFF"/>
    </w:rPr>
  </w:style>
  <w:style w:type="character" w:customStyle="1" w:styleId="Heading3Char">
    <w:name w:val="Heading 3 Char"/>
    <w:link w:val="Heading3"/>
    <w:uiPriority w:val="9"/>
    <w:rsid w:val="008B0FC8"/>
    <w:rPr>
      <w:rFonts w:ascii="Times New Roman" w:hAnsi="Times New Roman"/>
      <w:b/>
      <w:bCs/>
      <w:szCs w:val="26"/>
      <w:lang w:eastAsia="zh-CN"/>
    </w:rPr>
  </w:style>
  <w:style w:type="paragraph" w:styleId="NormalWeb">
    <w:name w:val="Normal (Web)"/>
    <w:basedOn w:val="Normal"/>
    <w:uiPriority w:val="99"/>
    <w:semiHidden/>
    <w:unhideWhenUsed/>
    <w:rsid w:val="00BE7828"/>
    <w:rPr>
      <w:rFonts w:cs="Times New Roman"/>
    </w:rPr>
  </w:style>
  <w:style w:type="paragraph" w:styleId="BodyText">
    <w:name w:val="Body Text"/>
    <w:basedOn w:val="Normal"/>
    <w:link w:val="BodyTextChar"/>
    <w:uiPriority w:val="99"/>
    <w:semiHidden/>
    <w:unhideWhenUsed/>
    <w:rsid w:val="00F25F0B"/>
    <w:pPr>
      <w:spacing w:after="120"/>
    </w:pPr>
  </w:style>
  <w:style w:type="character" w:customStyle="1" w:styleId="BodyTextChar">
    <w:name w:val="Body Text Char"/>
    <w:basedOn w:val="DefaultParagraphFont"/>
    <w:link w:val="BodyText"/>
    <w:uiPriority w:val="99"/>
    <w:semiHidden/>
    <w:rsid w:val="00F25F0B"/>
  </w:style>
  <w:style w:type="paragraph" w:styleId="Title">
    <w:name w:val="Title"/>
    <w:basedOn w:val="Heading1"/>
    <w:next w:val="Normal"/>
    <w:link w:val="TitleChar"/>
    <w:autoRedefine/>
    <w:uiPriority w:val="10"/>
    <w:qFormat/>
    <w:rsid w:val="00D00CCF"/>
  </w:style>
  <w:style w:type="character" w:customStyle="1" w:styleId="TitleChar">
    <w:name w:val="Title Char"/>
    <w:basedOn w:val="DefaultParagraphFont"/>
    <w:link w:val="Title"/>
    <w:uiPriority w:val="10"/>
    <w:rsid w:val="00D00CCF"/>
    <w:rPr>
      <w:rFonts w:ascii="Times New Roman" w:eastAsia="Calibri" w:hAnsi="Times New Roman" w:cs="Calibri"/>
      <w:b/>
      <w:kern w:val="0"/>
      <w14:ligatures w14:val="none"/>
    </w:rPr>
  </w:style>
  <w:style w:type="paragraph" w:styleId="NoSpacing">
    <w:name w:val="No Spacing"/>
    <w:link w:val="NoSpacingChar"/>
    <w:autoRedefine/>
    <w:uiPriority w:val="1"/>
    <w:qFormat/>
    <w:rsid w:val="006A3604"/>
    <w:pPr>
      <w:spacing w:after="0" w:line="240" w:lineRule="auto"/>
      <w:jc w:val="both"/>
    </w:pPr>
    <w:rPr>
      <w:rFonts w:ascii="Times New Roman" w:eastAsiaTheme="minorEastAsia" w:hAnsi="Times New Roman"/>
      <w:b/>
      <w:kern w:val="0"/>
      <w:szCs w:val="22"/>
      <w:lang w:val="en-US" w:eastAsia="zh-CN"/>
      <w14:ligatures w14:val="none"/>
    </w:rPr>
  </w:style>
  <w:style w:type="character" w:customStyle="1" w:styleId="NoSpacingChar">
    <w:name w:val="No Spacing Char"/>
    <w:basedOn w:val="DefaultParagraphFont"/>
    <w:link w:val="NoSpacing"/>
    <w:uiPriority w:val="1"/>
    <w:rsid w:val="006A3604"/>
    <w:rPr>
      <w:rFonts w:ascii="Times New Roman" w:eastAsiaTheme="minorEastAsia" w:hAnsi="Times New Roman"/>
      <w:b/>
      <w:kern w:val="0"/>
      <w:szCs w:val="22"/>
      <w:lang w:val="en-US" w:eastAsia="zh-CN"/>
      <w14:ligatures w14:val="none"/>
    </w:rPr>
  </w:style>
  <w:style w:type="character" w:customStyle="1" w:styleId="Heading4Char">
    <w:name w:val="Heading 4 Char"/>
    <w:basedOn w:val="DefaultParagraphFont"/>
    <w:link w:val="Heading4"/>
    <w:uiPriority w:val="9"/>
    <w:semiHidden/>
    <w:rsid w:val="002F62AF"/>
    <w:rPr>
      <w:rFonts w:eastAsiaTheme="majorEastAsia" w:cstheme="majorBidi"/>
      <w:bCs/>
      <w:i/>
      <w:iCs/>
      <w:color w:val="0F4761" w:themeColor="accent1" w:themeShade="BF"/>
      <w:sz w:val="22"/>
      <w:szCs w:val="28"/>
      <w14:ligatures w14:val="none"/>
    </w:rPr>
  </w:style>
  <w:style w:type="character" w:customStyle="1" w:styleId="Heading5Char">
    <w:name w:val="Heading 5 Char"/>
    <w:basedOn w:val="DefaultParagraphFont"/>
    <w:link w:val="Heading5"/>
    <w:uiPriority w:val="9"/>
    <w:semiHidden/>
    <w:rsid w:val="002F62AF"/>
    <w:rPr>
      <w:rFonts w:eastAsiaTheme="majorEastAsia" w:cstheme="majorBidi"/>
      <w:bCs/>
      <w:color w:val="0F4761" w:themeColor="accent1" w:themeShade="BF"/>
      <w:sz w:val="22"/>
      <w:szCs w:val="28"/>
      <w14:ligatures w14:val="none"/>
    </w:rPr>
  </w:style>
  <w:style w:type="character" w:customStyle="1" w:styleId="Heading6Char">
    <w:name w:val="Heading 6 Char"/>
    <w:basedOn w:val="DefaultParagraphFont"/>
    <w:link w:val="Heading6"/>
    <w:uiPriority w:val="9"/>
    <w:semiHidden/>
    <w:rsid w:val="002F62AF"/>
    <w:rPr>
      <w:rFonts w:eastAsiaTheme="majorEastAsia" w:cstheme="majorBidi"/>
      <w:bCs/>
      <w:i/>
      <w:iCs/>
      <w:color w:val="595959" w:themeColor="text1" w:themeTint="A6"/>
      <w:sz w:val="22"/>
      <w:szCs w:val="28"/>
      <w14:ligatures w14:val="none"/>
    </w:rPr>
  </w:style>
  <w:style w:type="character" w:customStyle="1" w:styleId="Heading7Char">
    <w:name w:val="Heading 7 Char"/>
    <w:basedOn w:val="DefaultParagraphFont"/>
    <w:link w:val="Heading7"/>
    <w:uiPriority w:val="9"/>
    <w:semiHidden/>
    <w:rsid w:val="002F62AF"/>
    <w:rPr>
      <w:rFonts w:eastAsiaTheme="majorEastAsia" w:cstheme="majorBidi"/>
      <w:bCs/>
      <w:color w:val="595959" w:themeColor="text1" w:themeTint="A6"/>
      <w:sz w:val="22"/>
      <w:szCs w:val="28"/>
      <w14:ligatures w14:val="none"/>
    </w:rPr>
  </w:style>
  <w:style w:type="character" w:customStyle="1" w:styleId="Heading8Char">
    <w:name w:val="Heading 8 Char"/>
    <w:basedOn w:val="DefaultParagraphFont"/>
    <w:link w:val="Heading8"/>
    <w:uiPriority w:val="9"/>
    <w:semiHidden/>
    <w:rsid w:val="002F62AF"/>
    <w:rPr>
      <w:rFonts w:eastAsiaTheme="majorEastAsia" w:cstheme="majorBidi"/>
      <w:bCs/>
      <w:i/>
      <w:iCs/>
      <w:color w:val="272727" w:themeColor="text1" w:themeTint="D8"/>
      <w:sz w:val="22"/>
      <w:szCs w:val="28"/>
      <w14:ligatures w14:val="none"/>
    </w:rPr>
  </w:style>
  <w:style w:type="character" w:customStyle="1" w:styleId="Heading9Char">
    <w:name w:val="Heading 9 Char"/>
    <w:basedOn w:val="DefaultParagraphFont"/>
    <w:link w:val="Heading9"/>
    <w:uiPriority w:val="9"/>
    <w:semiHidden/>
    <w:rsid w:val="002F62AF"/>
    <w:rPr>
      <w:rFonts w:eastAsiaTheme="majorEastAsia" w:cstheme="majorBidi"/>
      <w:bCs/>
      <w:color w:val="272727" w:themeColor="text1" w:themeTint="D8"/>
      <w:sz w:val="22"/>
      <w:szCs w:val="28"/>
      <w14:ligatures w14:val="none"/>
    </w:rPr>
  </w:style>
  <w:style w:type="paragraph" w:styleId="Subtitle">
    <w:name w:val="Subtitle"/>
    <w:basedOn w:val="Normal"/>
    <w:next w:val="Normal"/>
    <w:link w:val="SubtitleChar"/>
    <w:uiPriority w:val="11"/>
    <w:qFormat/>
    <w:rsid w:val="002F62AF"/>
    <w:pPr>
      <w:numPr>
        <w:ilvl w:val="1"/>
      </w:numPr>
    </w:pPr>
    <w:rPr>
      <w:rFonts w:asciiTheme="minorHAnsi" w:eastAsiaTheme="majorEastAsia" w:hAnsiTheme="minorHAnsi" w:cstheme="majorBidi"/>
      <w:color w:val="595959" w:themeColor="text1" w:themeTint="A6"/>
      <w:spacing w:val="15"/>
      <w:sz w:val="28"/>
    </w:rPr>
  </w:style>
  <w:style w:type="character" w:customStyle="1" w:styleId="SubtitleChar">
    <w:name w:val="Subtitle Char"/>
    <w:basedOn w:val="DefaultParagraphFont"/>
    <w:link w:val="Subtitle"/>
    <w:uiPriority w:val="11"/>
    <w:rsid w:val="002F62AF"/>
    <w:rPr>
      <w:rFonts w:eastAsiaTheme="majorEastAsia" w:cstheme="majorBidi"/>
      <w:bCs/>
      <w:color w:val="595959" w:themeColor="text1" w:themeTint="A6"/>
      <w:spacing w:val="15"/>
      <w:sz w:val="28"/>
      <w:szCs w:val="28"/>
      <w14:ligatures w14:val="none"/>
    </w:rPr>
  </w:style>
  <w:style w:type="paragraph" w:styleId="Quote">
    <w:name w:val="Quote"/>
    <w:basedOn w:val="Normal"/>
    <w:next w:val="Normal"/>
    <w:link w:val="QuoteChar"/>
    <w:uiPriority w:val="29"/>
    <w:qFormat/>
    <w:rsid w:val="002F62AF"/>
    <w:pPr>
      <w:spacing w:before="160"/>
      <w:jc w:val="center"/>
    </w:pPr>
    <w:rPr>
      <w:i/>
      <w:iCs/>
      <w:color w:val="404040" w:themeColor="text1" w:themeTint="BF"/>
    </w:rPr>
  </w:style>
  <w:style w:type="character" w:customStyle="1" w:styleId="QuoteChar">
    <w:name w:val="Quote Char"/>
    <w:basedOn w:val="DefaultParagraphFont"/>
    <w:link w:val="Quote"/>
    <w:uiPriority w:val="29"/>
    <w:rsid w:val="002F62AF"/>
    <w:rPr>
      <w:rFonts w:ascii="Arial" w:hAnsi="Arial" w:cs="Arial"/>
      <w:bCs/>
      <w:i/>
      <w:iCs/>
      <w:color w:val="404040" w:themeColor="text1" w:themeTint="BF"/>
      <w:sz w:val="22"/>
      <w:szCs w:val="28"/>
      <w14:ligatures w14:val="none"/>
    </w:rPr>
  </w:style>
  <w:style w:type="paragraph" w:styleId="ListParagraph">
    <w:name w:val="List Paragraph"/>
    <w:basedOn w:val="Normal"/>
    <w:uiPriority w:val="34"/>
    <w:qFormat/>
    <w:rsid w:val="002F62AF"/>
    <w:pPr>
      <w:ind w:left="720"/>
      <w:contextualSpacing/>
    </w:pPr>
  </w:style>
  <w:style w:type="character" w:styleId="IntenseEmphasis">
    <w:name w:val="Intense Emphasis"/>
    <w:basedOn w:val="DefaultParagraphFont"/>
    <w:uiPriority w:val="21"/>
    <w:qFormat/>
    <w:rsid w:val="002F62AF"/>
    <w:rPr>
      <w:i/>
      <w:iCs/>
      <w:color w:val="0F4761" w:themeColor="accent1" w:themeShade="BF"/>
    </w:rPr>
  </w:style>
  <w:style w:type="paragraph" w:styleId="IntenseQuote">
    <w:name w:val="Intense Quote"/>
    <w:basedOn w:val="Normal"/>
    <w:next w:val="Normal"/>
    <w:link w:val="IntenseQuoteChar"/>
    <w:uiPriority w:val="30"/>
    <w:qFormat/>
    <w:rsid w:val="002F62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62AF"/>
    <w:rPr>
      <w:rFonts w:ascii="Arial" w:hAnsi="Arial" w:cs="Arial"/>
      <w:bCs/>
      <w:i/>
      <w:iCs/>
      <w:color w:val="0F4761" w:themeColor="accent1" w:themeShade="BF"/>
      <w:sz w:val="22"/>
      <w:szCs w:val="28"/>
      <w14:ligatures w14:val="none"/>
    </w:rPr>
  </w:style>
  <w:style w:type="character" w:styleId="IntenseReference">
    <w:name w:val="Intense Reference"/>
    <w:basedOn w:val="DefaultParagraphFont"/>
    <w:uiPriority w:val="32"/>
    <w:qFormat/>
    <w:rsid w:val="002F62AF"/>
    <w:rPr>
      <w:b/>
      <w:bCs/>
      <w:smallCaps/>
      <w:color w:val="0F4761" w:themeColor="accent1" w:themeShade="BF"/>
      <w:spacing w:val="5"/>
    </w:rPr>
  </w:style>
  <w:style w:type="paragraph" w:customStyle="1" w:styleId="ds-markdown-paragraph">
    <w:name w:val="ds-markdown-paragraph"/>
    <w:basedOn w:val="Normal"/>
    <w:rsid w:val="002F62AF"/>
    <w:pPr>
      <w:spacing w:before="100" w:beforeAutospacing="1" w:after="100" w:afterAutospacing="1"/>
      <w:jc w:val="left"/>
      <w:outlineLvl w:val="9"/>
    </w:pPr>
    <w:rPr>
      <w:rFonts w:ascii="Times New Roman" w:eastAsia="Times New Roman" w:hAnsi="Times New Roman" w:cs="Times New Roman"/>
      <w:bCs w:val="0"/>
      <w:kern w:val="0"/>
      <w:sz w:val="24"/>
      <w:szCs w:val="24"/>
      <w:lang w:eastAsia="en-GB"/>
    </w:rPr>
  </w:style>
  <w:style w:type="character" w:styleId="Emphasis">
    <w:name w:val="Emphasis"/>
    <w:basedOn w:val="DefaultParagraphFont"/>
    <w:uiPriority w:val="20"/>
    <w:qFormat/>
    <w:rsid w:val="002F62AF"/>
    <w:rPr>
      <w:i/>
      <w:iCs/>
    </w:rPr>
  </w:style>
  <w:style w:type="character" w:styleId="Hyperlink">
    <w:name w:val="Hyperlink"/>
    <w:basedOn w:val="DefaultParagraphFont"/>
    <w:uiPriority w:val="99"/>
    <w:unhideWhenUsed/>
    <w:rsid w:val="002F62AF"/>
    <w:rPr>
      <w:color w:val="0000FF"/>
      <w:u w:val="single"/>
    </w:rPr>
  </w:style>
  <w:style w:type="character" w:styleId="Strong">
    <w:name w:val="Strong"/>
    <w:basedOn w:val="DefaultParagraphFont"/>
    <w:uiPriority w:val="22"/>
    <w:qFormat/>
    <w:rsid w:val="00E54CC4"/>
    <w:rPr>
      <w:b/>
      <w:bCs/>
    </w:rPr>
  </w:style>
  <w:style w:type="paragraph" w:styleId="TOCHeading">
    <w:name w:val="TOC Heading"/>
    <w:basedOn w:val="Heading1"/>
    <w:next w:val="Normal"/>
    <w:uiPriority w:val="39"/>
    <w:unhideWhenUsed/>
    <w:qFormat/>
    <w:rsid w:val="00C745D7"/>
    <w:pPr>
      <w:keepNext/>
      <w:keepLines/>
      <w:spacing w:before="480" w:beforeAutospacing="0" w:after="0" w:afterAutospacing="0" w:line="276" w:lineRule="auto"/>
      <w:jc w:val="left"/>
      <w:outlineLvl w:val="9"/>
    </w:pPr>
    <w:rPr>
      <w:rFonts w:asciiTheme="majorHAnsi" w:eastAsiaTheme="majorEastAsia" w:hAnsiTheme="majorHAnsi" w:cstheme="majorBidi"/>
      <w:color w:val="0F4761" w:themeColor="accent1" w:themeShade="BF"/>
      <w:kern w:val="0"/>
      <w:sz w:val="28"/>
      <w:szCs w:val="28"/>
      <w:lang w:val="en-US" w:eastAsia="en-US"/>
      <w14:ligatures w14:val="none"/>
    </w:rPr>
  </w:style>
  <w:style w:type="paragraph" w:styleId="TOC1">
    <w:name w:val="toc 1"/>
    <w:basedOn w:val="Normal"/>
    <w:next w:val="Normal"/>
    <w:autoRedefine/>
    <w:uiPriority w:val="39"/>
    <w:unhideWhenUsed/>
    <w:rsid w:val="00C745D7"/>
    <w:pPr>
      <w:spacing w:before="360" w:after="360"/>
      <w:jc w:val="left"/>
    </w:pPr>
    <w:rPr>
      <w:rFonts w:asciiTheme="minorHAnsi" w:hAnsiTheme="minorHAnsi"/>
      <w:b/>
      <w:caps/>
      <w:szCs w:val="22"/>
      <w:u w:val="single"/>
    </w:rPr>
  </w:style>
  <w:style w:type="paragraph" w:styleId="TOC2">
    <w:name w:val="toc 2"/>
    <w:basedOn w:val="Normal"/>
    <w:next w:val="Normal"/>
    <w:autoRedefine/>
    <w:uiPriority w:val="39"/>
    <w:unhideWhenUsed/>
    <w:rsid w:val="00C745D7"/>
    <w:pPr>
      <w:spacing w:after="0"/>
      <w:jc w:val="left"/>
    </w:pPr>
    <w:rPr>
      <w:rFonts w:asciiTheme="minorHAnsi" w:hAnsiTheme="minorHAnsi"/>
      <w:b/>
      <w:smallCaps/>
      <w:szCs w:val="22"/>
    </w:rPr>
  </w:style>
  <w:style w:type="paragraph" w:styleId="TOC3">
    <w:name w:val="toc 3"/>
    <w:basedOn w:val="Normal"/>
    <w:next w:val="Normal"/>
    <w:autoRedefine/>
    <w:uiPriority w:val="39"/>
    <w:unhideWhenUsed/>
    <w:rsid w:val="00C745D7"/>
    <w:pPr>
      <w:spacing w:after="0"/>
      <w:jc w:val="left"/>
    </w:pPr>
    <w:rPr>
      <w:rFonts w:asciiTheme="minorHAnsi" w:hAnsiTheme="minorHAnsi"/>
      <w:bCs w:val="0"/>
      <w:smallCaps/>
      <w:szCs w:val="22"/>
    </w:rPr>
  </w:style>
  <w:style w:type="paragraph" w:styleId="TOC4">
    <w:name w:val="toc 4"/>
    <w:basedOn w:val="Normal"/>
    <w:next w:val="Normal"/>
    <w:autoRedefine/>
    <w:uiPriority w:val="39"/>
    <w:semiHidden/>
    <w:unhideWhenUsed/>
    <w:rsid w:val="00C745D7"/>
    <w:pPr>
      <w:spacing w:after="0"/>
      <w:jc w:val="left"/>
    </w:pPr>
    <w:rPr>
      <w:rFonts w:asciiTheme="minorHAnsi" w:hAnsiTheme="minorHAnsi"/>
      <w:bCs w:val="0"/>
      <w:szCs w:val="22"/>
    </w:rPr>
  </w:style>
  <w:style w:type="paragraph" w:styleId="TOC5">
    <w:name w:val="toc 5"/>
    <w:basedOn w:val="Normal"/>
    <w:next w:val="Normal"/>
    <w:autoRedefine/>
    <w:uiPriority w:val="39"/>
    <w:semiHidden/>
    <w:unhideWhenUsed/>
    <w:rsid w:val="00C745D7"/>
    <w:pPr>
      <w:spacing w:after="0"/>
      <w:jc w:val="left"/>
    </w:pPr>
    <w:rPr>
      <w:rFonts w:asciiTheme="minorHAnsi" w:hAnsiTheme="minorHAnsi"/>
      <w:bCs w:val="0"/>
      <w:szCs w:val="22"/>
    </w:rPr>
  </w:style>
  <w:style w:type="paragraph" w:styleId="TOC6">
    <w:name w:val="toc 6"/>
    <w:basedOn w:val="Normal"/>
    <w:next w:val="Normal"/>
    <w:autoRedefine/>
    <w:uiPriority w:val="39"/>
    <w:semiHidden/>
    <w:unhideWhenUsed/>
    <w:rsid w:val="00C745D7"/>
    <w:pPr>
      <w:spacing w:after="0"/>
      <w:jc w:val="left"/>
    </w:pPr>
    <w:rPr>
      <w:rFonts w:asciiTheme="minorHAnsi" w:hAnsiTheme="minorHAnsi"/>
      <w:bCs w:val="0"/>
      <w:szCs w:val="22"/>
    </w:rPr>
  </w:style>
  <w:style w:type="paragraph" w:styleId="TOC7">
    <w:name w:val="toc 7"/>
    <w:basedOn w:val="Normal"/>
    <w:next w:val="Normal"/>
    <w:autoRedefine/>
    <w:uiPriority w:val="39"/>
    <w:semiHidden/>
    <w:unhideWhenUsed/>
    <w:rsid w:val="00C745D7"/>
    <w:pPr>
      <w:spacing w:after="0"/>
      <w:jc w:val="left"/>
    </w:pPr>
    <w:rPr>
      <w:rFonts w:asciiTheme="minorHAnsi" w:hAnsiTheme="minorHAnsi"/>
      <w:bCs w:val="0"/>
      <w:szCs w:val="22"/>
    </w:rPr>
  </w:style>
  <w:style w:type="paragraph" w:styleId="TOC8">
    <w:name w:val="toc 8"/>
    <w:basedOn w:val="Normal"/>
    <w:next w:val="Normal"/>
    <w:autoRedefine/>
    <w:uiPriority w:val="39"/>
    <w:semiHidden/>
    <w:unhideWhenUsed/>
    <w:rsid w:val="00C745D7"/>
    <w:pPr>
      <w:spacing w:after="0"/>
      <w:jc w:val="left"/>
    </w:pPr>
    <w:rPr>
      <w:rFonts w:asciiTheme="minorHAnsi" w:hAnsiTheme="minorHAnsi"/>
      <w:bCs w:val="0"/>
      <w:szCs w:val="22"/>
    </w:rPr>
  </w:style>
  <w:style w:type="paragraph" w:styleId="TOC9">
    <w:name w:val="toc 9"/>
    <w:basedOn w:val="Normal"/>
    <w:next w:val="Normal"/>
    <w:autoRedefine/>
    <w:uiPriority w:val="39"/>
    <w:semiHidden/>
    <w:unhideWhenUsed/>
    <w:rsid w:val="00C745D7"/>
    <w:pPr>
      <w:spacing w:after="0"/>
      <w:jc w:val="left"/>
    </w:pPr>
    <w:rPr>
      <w:rFonts w:asciiTheme="minorHAnsi" w:hAnsiTheme="minorHAnsi"/>
      <w:bCs w:val="0"/>
      <w:szCs w:val="22"/>
    </w:rPr>
  </w:style>
  <w:style w:type="paragraph" w:styleId="Footer">
    <w:name w:val="footer"/>
    <w:basedOn w:val="Normal"/>
    <w:link w:val="FooterChar"/>
    <w:uiPriority w:val="99"/>
    <w:unhideWhenUsed/>
    <w:rsid w:val="00706A1C"/>
    <w:pPr>
      <w:tabs>
        <w:tab w:val="center" w:pos="4513"/>
        <w:tab w:val="right" w:pos="9026"/>
      </w:tabs>
      <w:spacing w:after="0"/>
    </w:pPr>
  </w:style>
  <w:style w:type="character" w:customStyle="1" w:styleId="FooterChar">
    <w:name w:val="Footer Char"/>
    <w:basedOn w:val="DefaultParagraphFont"/>
    <w:link w:val="Footer"/>
    <w:uiPriority w:val="99"/>
    <w:rsid w:val="00706A1C"/>
    <w:rPr>
      <w:rFonts w:ascii="Arial" w:hAnsi="Arial" w:cs="Arial"/>
      <w:bCs/>
      <w:sz w:val="22"/>
      <w:szCs w:val="28"/>
      <w14:ligatures w14:val="none"/>
    </w:rPr>
  </w:style>
  <w:style w:type="character" w:styleId="PageNumber">
    <w:name w:val="page number"/>
    <w:basedOn w:val="DefaultParagraphFont"/>
    <w:uiPriority w:val="99"/>
    <w:semiHidden/>
    <w:unhideWhenUsed/>
    <w:rsid w:val="00706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EE635-5F16-5B47-B40A-2565B6947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2879</Words>
  <Characters>16414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oduniyi</dc:creator>
  <cp:keywords/>
  <dc:description/>
  <cp:lastModifiedBy>Charity Amihere (2336795)</cp:lastModifiedBy>
  <cp:revision>2</cp:revision>
  <dcterms:created xsi:type="dcterms:W3CDTF">2026-08-10T12:32:00Z</dcterms:created>
  <dcterms:modified xsi:type="dcterms:W3CDTF">2026-08-10T12:32:00Z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743633bc-fdaf-4242-a405-18a2b8d54eea</vt:lpwstr>
  </property>
</Properties>
</file>