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AD4E2" w14:textId="77777777" w:rsidR="00142201" w:rsidRDefault="00142201" w:rsidP="00142201">
      <w:pPr>
        <w:jc w:val="center"/>
        <w:rPr>
          <w:rFonts w:eastAsia="Times New Roman" w:cs="Times New Roman"/>
          <w:b/>
          <w:sz w:val="32"/>
          <w:szCs w:val="32"/>
        </w:rPr>
      </w:pPr>
    </w:p>
    <w:p w14:paraId="271ADD61" w14:textId="77777777" w:rsidR="00142201" w:rsidRDefault="00142201" w:rsidP="00142201">
      <w:pPr>
        <w:jc w:val="center"/>
        <w:rPr>
          <w:rFonts w:eastAsia="Times New Roman" w:cs="Times New Roman"/>
          <w:b/>
          <w:sz w:val="32"/>
          <w:szCs w:val="32"/>
        </w:rPr>
      </w:pPr>
    </w:p>
    <w:p w14:paraId="6C9CDEFC" w14:textId="77777777" w:rsidR="00142201" w:rsidRDefault="00142201" w:rsidP="00142201">
      <w:pPr>
        <w:jc w:val="center"/>
        <w:rPr>
          <w:rFonts w:eastAsia="Times New Roman" w:cs="Times New Roman"/>
          <w:b/>
          <w:sz w:val="32"/>
          <w:szCs w:val="32"/>
        </w:rPr>
      </w:pPr>
    </w:p>
    <w:p w14:paraId="3C15F9AC" w14:textId="77777777" w:rsidR="00142201" w:rsidRDefault="00142201" w:rsidP="00142201">
      <w:pPr>
        <w:jc w:val="center"/>
        <w:rPr>
          <w:rFonts w:eastAsia="Times New Roman" w:cs="Times New Roman"/>
          <w:b/>
          <w:sz w:val="32"/>
          <w:szCs w:val="32"/>
        </w:rPr>
      </w:pPr>
    </w:p>
    <w:p w14:paraId="5E36A282" w14:textId="77777777" w:rsidR="00142201" w:rsidRDefault="00142201" w:rsidP="00142201">
      <w:pPr>
        <w:jc w:val="center"/>
        <w:rPr>
          <w:rFonts w:eastAsia="Times New Roman" w:cs="Times New Roman"/>
          <w:b/>
          <w:sz w:val="32"/>
          <w:szCs w:val="32"/>
        </w:rPr>
      </w:pPr>
    </w:p>
    <w:p w14:paraId="3FA37986" w14:textId="321802F8" w:rsidR="00142201" w:rsidRPr="00142201" w:rsidRDefault="00142201" w:rsidP="00142201">
      <w:pPr>
        <w:jc w:val="center"/>
        <w:rPr>
          <w:rFonts w:eastAsia="Times New Roman" w:cs="Times New Roman"/>
          <w:b/>
          <w:sz w:val="32"/>
          <w:szCs w:val="32"/>
        </w:rPr>
      </w:pPr>
      <w:r w:rsidRPr="00142201">
        <w:rPr>
          <w:rFonts w:eastAsia="Times New Roman" w:cs="Times New Roman"/>
          <w:b/>
          <w:sz w:val="32"/>
          <w:szCs w:val="32"/>
        </w:rPr>
        <w:t>Module Name:</w:t>
      </w:r>
      <w:r w:rsidRPr="00142201">
        <w:rPr>
          <w:sz w:val="32"/>
          <w:szCs w:val="28"/>
        </w:rPr>
        <w:t xml:space="preserve"> </w:t>
      </w:r>
      <w:r w:rsidRPr="00142201">
        <w:rPr>
          <w:rFonts w:eastAsia="Times New Roman" w:cs="Times New Roman"/>
          <w:b/>
          <w:sz w:val="32"/>
          <w:szCs w:val="32"/>
        </w:rPr>
        <w:t>Legal Process</w:t>
      </w:r>
    </w:p>
    <w:p w14:paraId="74A2437C" w14:textId="7B6496EC" w:rsidR="00142201" w:rsidRDefault="00142201" w:rsidP="00142201">
      <w:pPr>
        <w:jc w:val="center"/>
        <w:rPr>
          <w:rFonts w:eastAsia="Times New Roman" w:cs="Times New Roman"/>
          <w:b/>
          <w:sz w:val="32"/>
          <w:szCs w:val="32"/>
        </w:rPr>
      </w:pPr>
      <w:r w:rsidRPr="00142201">
        <w:rPr>
          <w:rFonts w:eastAsia="Times New Roman" w:cs="Times New Roman"/>
          <w:b/>
          <w:sz w:val="32"/>
          <w:szCs w:val="32"/>
        </w:rPr>
        <w:t>Module Code:</w:t>
      </w:r>
      <w:r w:rsidRPr="00142201">
        <w:rPr>
          <w:sz w:val="32"/>
          <w:szCs w:val="28"/>
        </w:rPr>
        <w:t xml:space="preserve"> </w:t>
      </w:r>
      <w:r w:rsidRPr="00142201">
        <w:rPr>
          <w:rFonts w:eastAsia="Times New Roman" w:cs="Times New Roman"/>
          <w:b/>
          <w:sz w:val="32"/>
          <w:szCs w:val="32"/>
        </w:rPr>
        <w:t>BMLW4006</w:t>
      </w:r>
    </w:p>
    <w:p w14:paraId="28888E05" w14:textId="10689F57" w:rsidR="00F402D8" w:rsidRPr="00142201" w:rsidRDefault="00F402D8" w:rsidP="00142201">
      <w:pPr>
        <w:jc w:val="center"/>
        <w:rPr>
          <w:rFonts w:eastAsia="Times New Roman" w:cs="Times New Roman"/>
          <w:b/>
          <w:sz w:val="32"/>
          <w:szCs w:val="32"/>
        </w:rPr>
      </w:pPr>
      <w:r>
        <w:rPr>
          <w:rFonts w:eastAsia="Times New Roman" w:cs="Times New Roman"/>
          <w:b/>
          <w:sz w:val="32"/>
          <w:szCs w:val="32"/>
        </w:rPr>
        <w:t xml:space="preserve">Module Leader: </w:t>
      </w:r>
      <w:r w:rsidRPr="00F402D8">
        <w:rPr>
          <w:rFonts w:eastAsia="Times New Roman" w:cs="Times New Roman"/>
          <w:b/>
          <w:sz w:val="32"/>
          <w:szCs w:val="32"/>
        </w:rPr>
        <w:t>Zita Draper</w:t>
      </w:r>
    </w:p>
    <w:p w14:paraId="2CDF08D3" w14:textId="16A66F4F" w:rsidR="00142201" w:rsidRPr="00142201" w:rsidRDefault="00142201" w:rsidP="00142201">
      <w:pPr>
        <w:jc w:val="center"/>
        <w:rPr>
          <w:rFonts w:eastAsia="Times New Roman" w:cs="Times New Roman"/>
          <w:b/>
          <w:sz w:val="32"/>
          <w:szCs w:val="32"/>
        </w:rPr>
      </w:pPr>
      <w:r w:rsidRPr="00142201">
        <w:rPr>
          <w:rFonts w:eastAsia="Times New Roman" w:cs="Times New Roman"/>
          <w:b/>
          <w:sz w:val="32"/>
          <w:szCs w:val="32"/>
        </w:rPr>
        <w:t>Student Name:</w:t>
      </w:r>
      <w:r w:rsidRPr="00142201">
        <w:rPr>
          <w:sz w:val="32"/>
          <w:szCs w:val="28"/>
        </w:rPr>
        <w:t xml:space="preserve"> </w:t>
      </w:r>
      <w:r w:rsidRPr="00142201">
        <w:rPr>
          <w:rFonts w:eastAsia="Times New Roman" w:cs="Times New Roman"/>
          <w:b/>
          <w:sz w:val="32"/>
          <w:szCs w:val="32"/>
        </w:rPr>
        <w:t>Maria Daniela Dan</w:t>
      </w:r>
    </w:p>
    <w:p w14:paraId="27B63256" w14:textId="64EE229D" w:rsidR="00142201" w:rsidRPr="00142201" w:rsidRDefault="00142201" w:rsidP="00142201">
      <w:pPr>
        <w:jc w:val="center"/>
        <w:rPr>
          <w:rFonts w:eastAsia="Times New Roman" w:cs="Times New Roman"/>
          <w:b/>
          <w:sz w:val="32"/>
          <w:szCs w:val="32"/>
        </w:rPr>
      </w:pPr>
      <w:r w:rsidRPr="00142201">
        <w:rPr>
          <w:rFonts w:eastAsia="Times New Roman" w:cs="Times New Roman"/>
          <w:b/>
          <w:sz w:val="32"/>
          <w:szCs w:val="32"/>
        </w:rPr>
        <w:t>Student ID:</w:t>
      </w:r>
      <w:r w:rsidR="00BE3BB4">
        <w:rPr>
          <w:rFonts w:eastAsia="Times New Roman" w:cs="Times New Roman"/>
          <w:b/>
          <w:sz w:val="32"/>
          <w:szCs w:val="32"/>
        </w:rPr>
        <w:t>2323942</w:t>
      </w:r>
    </w:p>
    <w:p w14:paraId="047B3083" w14:textId="15FD0BB1" w:rsidR="00142201" w:rsidRDefault="00142201">
      <w:pPr>
        <w:rPr>
          <w:rFonts w:eastAsia="Times New Roman" w:cs="Times New Roman"/>
          <w:b/>
          <w:szCs w:val="24"/>
        </w:rPr>
      </w:pPr>
      <w:r>
        <w:rPr>
          <w:rFonts w:eastAsia="Times New Roman" w:cs="Times New Roman"/>
          <w:b/>
          <w:szCs w:val="24"/>
        </w:rPr>
        <w:br w:type="page"/>
      </w:r>
    </w:p>
    <w:p w14:paraId="00000001" w14:textId="322D073B" w:rsidR="003236EC" w:rsidRDefault="00000000" w:rsidP="00CD43E5">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0000002" w14:textId="1282889E" w:rsidR="003236EC"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 is a special system of a country that maintains numerous rules and regulations. Every </w:t>
      </w:r>
      <w:r w:rsidR="008C48BE">
        <w:rPr>
          <w:rFonts w:ascii="Times New Roman" w:eastAsia="Times New Roman" w:hAnsi="Times New Roman" w:cs="Times New Roman"/>
          <w:sz w:val="24"/>
          <w:szCs w:val="24"/>
        </w:rPr>
        <w:t>citizen of a country</w:t>
      </w:r>
      <w:r>
        <w:rPr>
          <w:rFonts w:ascii="Times New Roman" w:eastAsia="Times New Roman" w:hAnsi="Times New Roman" w:cs="Times New Roman"/>
          <w:sz w:val="24"/>
          <w:szCs w:val="24"/>
        </w:rPr>
        <w:t xml:space="preserve"> must follow s</w:t>
      </w:r>
      <w:r w:rsidR="008C48BE">
        <w:rPr>
          <w:rFonts w:ascii="Times New Roman" w:eastAsia="Times New Roman" w:hAnsi="Times New Roman" w:cs="Times New Roman"/>
          <w:sz w:val="24"/>
          <w:szCs w:val="24"/>
        </w:rPr>
        <w:t>ome</w:t>
      </w:r>
      <w:r>
        <w:rPr>
          <w:rFonts w:ascii="Times New Roman" w:eastAsia="Times New Roman" w:hAnsi="Times New Roman" w:cs="Times New Roman"/>
          <w:sz w:val="24"/>
          <w:szCs w:val="24"/>
        </w:rPr>
        <w:t xml:space="preserve"> legal practices</w:t>
      </w:r>
      <w:r w:rsidR="008C48BE">
        <w:rPr>
          <w:rFonts w:ascii="Times New Roman" w:eastAsia="Times New Roman" w:hAnsi="Times New Roman" w:cs="Times New Roman"/>
          <w:sz w:val="24"/>
          <w:szCs w:val="24"/>
        </w:rPr>
        <w:t xml:space="preserve"> and protocols</w:t>
      </w:r>
      <w:r>
        <w:rPr>
          <w:rFonts w:ascii="Times New Roman" w:eastAsia="Times New Roman" w:hAnsi="Times New Roman" w:cs="Times New Roman"/>
          <w:sz w:val="24"/>
          <w:szCs w:val="24"/>
        </w:rPr>
        <w:t>. It indicates basic constitutional rights along with prospects for making informed decisions</w:t>
      </w:r>
      <w:r w:rsidR="00863756">
        <w:rPr>
          <w:rFonts w:ascii="Times New Roman" w:eastAsia="Times New Roman" w:hAnsi="Times New Roman" w:cs="Times New Roman"/>
          <w:sz w:val="24"/>
          <w:szCs w:val="24"/>
        </w:rPr>
        <w:t xml:space="preserve"> (</w:t>
      </w:r>
      <w:r w:rsidR="00863756" w:rsidRPr="00822DD3">
        <w:rPr>
          <w:rFonts w:ascii="Times New Roman" w:hAnsi="Times New Roman" w:cs="Times New Roman"/>
          <w:color w:val="222222"/>
          <w:sz w:val="24"/>
          <w:szCs w:val="24"/>
          <w:shd w:val="clear" w:color="auto" w:fill="FFFFFF"/>
        </w:rPr>
        <w:t>Craig and De Búrca, 2020</w:t>
      </w:r>
      <w:r w:rsidR="0086375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following essay will depict various knowledge and understanding of such legal proceedings and legislations. It would observe and examine the conceptual legal methods through precedent as well as statutes. The concept of a UK executive will be discussed at the beginning of the essay. Following that the power theory will be depicted here. Further, the way the executive is held to account, some benefits and drawbacks along with reform suggestions will be mentioned. </w:t>
      </w:r>
    </w:p>
    <w:p w14:paraId="5D8BFC41" w14:textId="77777777" w:rsidR="00DE1A2A" w:rsidRDefault="00DE1A2A">
      <w:pPr>
        <w:spacing w:line="276" w:lineRule="auto"/>
        <w:jc w:val="left"/>
        <w:rPr>
          <w:rFonts w:eastAsia="Times New Roman" w:cs="Times New Roman"/>
          <w:b/>
          <w:szCs w:val="24"/>
        </w:rPr>
      </w:pPr>
      <w:r>
        <w:rPr>
          <w:rFonts w:eastAsia="Times New Roman" w:cs="Times New Roman"/>
          <w:b/>
          <w:szCs w:val="24"/>
        </w:rPr>
        <w:br w:type="page"/>
      </w:r>
    </w:p>
    <w:p w14:paraId="00000003" w14:textId="053F0413" w:rsidR="003236EC" w:rsidRDefault="00000000" w:rsidP="00CD43E5">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Discussion</w:t>
      </w:r>
    </w:p>
    <w:p w14:paraId="00000004" w14:textId="2F2AFC0F" w:rsidR="003236EC"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executive indicates to the government which is mainly responsible for making any kind of informative decisions as well as maintaining different kinds of rules and regulations. The House of Commons is a vital aspect of the UK executive. They have been generally invited to shape the government. The Prime Minister, Cabinet and numerous junior ministers together form the parliament. Those are typically selected through the winning party. The most valuable person of that party is the Prime minister generally referred to as the leader of the system. The prime minister has a special power to choose other members and is also accountable for regulating the policies and decisions</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Craig and De Búrca, 2020</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In addition to this, the working principles of the civil service department and other government sectors have also been controlled by the Prime minister. The House of Lords also comes under the UK executive. Executives have been considered as the top workers of the government. Their main tasks include checking various operations, monetary systems and generic procedures of an organisation or business. They operate the most vital part of the government regulatory bodies and are often known as the most motivational people</w:t>
      </w:r>
      <w:r w:rsidR="00CD43E5">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822024008"/>
          <w:citation/>
        </w:sdtPr>
        <w:sdtContent>
          <w:r w:rsidR="00CD43E5">
            <w:rPr>
              <w:rFonts w:ascii="Times New Roman" w:eastAsia="Times New Roman" w:hAnsi="Times New Roman" w:cs="Times New Roman"/>
              <w:sz w:val="24"/>
              <w:szCs w:val="24"/>
            </w:rPr>
            <w:fldChar w:fldCharType="begin"/>
          </w:r>
          <w:r w:rsidR="00CD43E5">
            <w:rPr>
              <w:rFonts w:ascii="Times New Roman" w:eastAsia="Times New Roman" w:hAnsi="Times New Roman" w:cs="Times New Roman"/>
              <w:sz w:val="24"/>
              <w:szCs w:val="24"/>
              <w:lang w:val="en-US"/>
            </w:rPr>
            <w:instrText xml:space="preserve"> CITATION con241 \l 1033 </w:instrText>
          </w:r>
          <w:r w:rsidR="00CD43E5">
            <w:rPr>
              <w:rFonts w:ascii="Times New Roman" w:eastAsia="Times New Roman" w:hAnsi="Times New Roman" w:cs="Times New Roman"/>
              <w:sz w:val="24"/>
              <w:szCs w:val="24"/>
            </w:rPr>
            <w:fldChar w:fldCharType="separate"/>
          </w:r>
          <w:r w:rsidR="00CD43E5" w:rsidRPr="00CD43E5">
            <w:rPr>
              <w:rFonts w:ascii="Times New Roman" w:eastAsia="Times New Roman" w:hAnsi="Times New Roman" w:cs="Times New Roman"/>
              <w:noProof/>
              <w:sz w:val="24"/>
              <w:szCs w:val="24"/>
              <w:lang w:val="en-US"/>
            </w:rPr>
            <w:t>(consoc, 2024)</w:t>
          </w:r>
          <w:r w:rsidR="00CD43E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05" w14:textId="40E79B7A" w:rsidR="003236EC"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Separation of power refers to the power of the government which is used to maintain the operations of different government branches. For instance, the power of the federal government has been utilised in the executive, legislative and judicial sections. The notion of 'separation of power' within the UK works in a slightly distinct way compared to other nations. In the United Kingdom, the practice of separation of power has been classified through the fusion of authority as well as checking and balancing systems. The 'executive branch', 'legislative branch', 'judicial branch', 'parliamentary scrutiny' and 'traditions and convention' are examples of those branches. The executive branch which is the most vital part of the UK government has been controlled by the Prime minister along with the Monarch</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Sánchez-Monedero</w:t>
      </w:r>
      <w:r w:rsidR="00200AA2">
        <w:rPr>
          <w:rFonts w:ascii="Times New Roman" w:hAnsi="Times New Roman" w:cs="Times New Roman"/>
          <w:color w:val="222222"/>
          <w:sz w:val="24"/>
          <w:szCs w:val="24"/>
          <w:shd w:val="clear" w:color="auto" w:fill="FFFFFF"/>
        </w:rPr>
        <w:t xml:space="preserve"> </w:t>
      </w:r>
      <w:r w:rsidR="00200AA2">
        <w:rPr>
          <w:rFonts w:ascii="Times New Roman" w:hAnsi="Times New Roman" w:cs="Times New Roman"/>
          <w:i/>
          <w:iCs/>
          <w:color w:val="222222"/>
          <w:sz w:val="24"/>
          <w:szCs w:val="24"/>
          <w:shd w:val="clear" w:color="auto" w:fill="FFFFFF"/>
        </w:rPr>
        <w:t xml:space="preserve">et al., </w:t>
      </w:r>
      <w:r w:rsidR="00200AA2">
        <w:rPr>
          <w:rFonts w:ascii="Times New Roman" w:hAnsi="Times New Roman" w:cs="Times New Roman"/>
          <w:color w:val="222222"/>
          <w:sz w:val="24"/>
          <w:szCs w:val="24"/>
          <w:shd w:val="clear" w:color="auto" w:fill="FFFFFF"/>
        </w:rPr>
        <w:t>2020</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head of the government is known as Prime Minister whereas, the head of the state of the state is known </w:t>
      </w:r>
      <w:r>
        <w:rPr>
          <w:rFonts w:ascii="Times New Roman" w:eastAsia="Times New Roman" w:hAnsi="Times New Roman" w:cs="Times New Roman"/>
          <w:sz w:val="24"/>
          <w:szCs w:val="24"/>
        </w:rPr>
        <w:lastRenderedPageBreak/>
        <w:t>as the Monarch. The executive branch has been accountable for applying along with regulating the laws, maintaining public affairs as well as representing the nation towards the globe. A Prime Minister has lots of power including nominating ministers, suggesting innovative policies along with making informed decisions. Parliament follows the scrutiny method very strictly for handling different regulations of the executive branch. Parliament members could ask numerous queries towards the government minister, discuss several policies, suggest adjustments along with using a voting system for essential matters. The committees of the parliament play a vital role in analysing the government working process, determining inquiries and maintaining the government system. According to the power theory, the procedure of holding the UK executive depends upon several unique arrangements. Parliamentary democracy offers a daily evaluation of accountability for maintaining the UK executive</w:t>
      </w:r>
      <w:r w:rsidR="00CD43E5">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3239484"/>
          <w:citation/>
        </w:sdtPr>
        <w:sdtContent>
          <w:r w:rsidR="00CD43E5">
            <w:rPr>
              <w:rFonts w:ascii="Times New Roman" w:eastAsia="Times New Roman" w:hAnsi="Times New Roman" w:cs="Times New Roman"/>
              <w:sz w:val="24"/>
              <w:szCs w:val="24"/>
            </w:rPr>
            <w:fldChar w:fldCharType="begin"/>
          </w:r>
          <w:r w:rsidR="00CD43E5">
            <w:rPr>
              <w:rFonts w:ascii="Times New Roman" w:eastAsia="Times New Roman" w:hAnsi="Times New Roman" w:cs="Times New Roman"/>
              <w:sz w:val="24"/>
              <w:szCs w:val="24"/>
              <w:lang w:val="en-US"/>
            </w:rPr>
            <w:instrText xml:space="preserve"> CITATION uol23 \l 1033 </w:instrText>
          </w:r>
          <w:r w:rsidR="00CD43E5">
            <w:rPr>
              <w:rFonts w:ascii="Times New Roman" w:eastAsia="Times New Roman" w:hAnsi="Times New Roman" w:cs="Times New Roman"/>
              <w:sz w:val="24"/>
              <w:szCs w:val="24"/>
            </w:rPr>
            <w:fldChar w:fldCharType="separate"/>
          </w:r>
          <w:r w:rsidR="00CD43E5" w:rsidRPr="00CD43E5">
            <w:rPr>
              <w:rFonts w:ascii="Times New Roman" w:eastAsia="Times New Roman" w:hAnsi="Times New Roman" w:cs="Times New Roman"/>
              <w:noProof/>
              <w:sz w:val="24"/>
              <w:szCs w:val="24"/>
              <w:lang w:val="en-US"/>
            </w:rPr>
            <w:t>(uollb, 2023)</w:t>
          </w:r>
          <w:r w:rsidR="00CD43E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06" w14:textId="50FC7F16" w:rsidR="003236EC"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Parliament is mainly responsible for holding the executive to account via querying, debating as well as selecting committees. A few policies and actions are also important for such decisions. For maintaining such accounts scrutiny plays a crucial role and it should be transparent. Parliamentary debate along with questions keeps the government system one step ahead. Scrutiny must influence as well as suggest the government to follow all the variations. The roles and responsibilities of the Parliament have been mainly separated into two different sections. One of them is known as 'The House of Commons' whereas the other one is known as 'House of Lords. Those two government regulatory bodies have distinct roles and responsibilities in the case of holding the government</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Farrow</w:t>
      </w:r>
      <w:r w:rsidR="00200AA2">
        <w:rPr>
          <w:rFonts w:ascii="Times New Roman" w:hAnsi="Times New Roman" w:cs="Times New Roman"/>
          <w:color w:val="222222"/>
          <w:sz w:val="24"/>
          <w:szCs w:val="24"/>
          <w:shd w:val="clear" w:color="auto" w:fill="FFFFFF"/>
        </w:rPr>
        <w:t>, 2020</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roles are mainly maintained by different policies, actions as well as legislation suggested by government executives. The 'House of Commons' is considered the second-largest political party that shapes the government system. They have been provided time in the direction of holding the executive via the Prime Minister's queries as well as other ministers' queries. These meetings </w:t>
      </w:r>
      <w:r>
        <w:rPr>
          <w:rFonts w:ascii="Times New Roman" w:eastAsia="Times New Roman" w:hAnsi="Times New Roman" w:cs="Times New Roman"/>
          <w:sz w:val="24"/>
          <w:szCs w:val="24"/>
        </w:rPr>
        <w:lastRenderedPageBreak/>
        <w:t>authorise direct scrutiny of executive members in the time of legislative policy procedures along with other ongoing actions. Furthermore, numerous 'Departmental Select Committees' are formed by them with the help of a government branch like foreign policies or agriculture. On the other hand, the 'House of Lords also has similar capabilities within their committees. However, the main strength of them is situated between their political impartiality. The possibility of having non-government members inside the House of Lords is high. The members of the system have not been forced to give their vote due to such impartiality. It reforms a superior environment of greater scrutiny on the government as well as merging with non-government members. This indicates that the executive of the government must recheck and rethink the policies for keeping these safe</w:t>
      </w:r>
      <w:r w:rsidR="00CD43E5">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3721468"/>
          <w:citation/>
        </w:sdtPr>
        <w:sdtContent>
          <w:r w:rsidR="00CD43E5">
            <w:rPr>
              <w:rFonts w:ascii="Times New Roman" w:eastAsia="Times New Roman" w:hAnsi="Times New Roman" w:cs="Times New Roman"/>
              <w:sz w:val="24"/>
              <w:szCs w:val="24"/>
            </w:rPr>
            <w:fldChar w:fldCharType="begin"/>
          </w:r>
          <w:r w:rsidR="00CD43E5">
            <w:rPr>
              <w:rFonts w:ascii="Times New Roman" w:eastAsia="Times New Roman" w:hAnsi="Times New Roman" w:cs="Times New Roman"/>
              <w:sz w:val="24"/>
              <w:szCs w:val="24"/>
              <w:lang w:val="en-US"/>
            </w:rPr>
            <w:instrText xml:space="preserve"> CITATION par24 \l 1033 </w:instrText>
          </w:r>
          <w:r w:rsidR="00CD43E5">
            <w:rPr>
              <w:rFonts w:ascii="Times New Roman" w:eastAsia="Times New Roman" w:hAnsi="Times New Roman" w:cs="Times New Roman"/>
              <w:sz w:val="24"/>
              <w:szCs w:val="24"/>
            </w:rPr>
            <w:fldChar w:fldCharType="separate"/>
          </w:r>
          <w:r w:rsidR="00CD43E5" w:rsidRPr="00CD43E5">
            <w:rPr>
              <w:rFonts w:ascii="Times New Roman" w:eastAsia="Times New Roman" w:hAnsi="Times New Roman" w:cs="Times New Roman"/>
              <w:noProof/>
              <w:sz w:val="24"/>
              <w:szCs w:val="24"/>
              <w:lang w:val="en-US"/>
            </w:rPr>
            <w:t>(parliament, 2024)</w:t>
          </w:r>
          <w:r w:rsidR="00CD43E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07" w14:textId="115428FF" w:rsidR="003236EC"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executive captures a huge power inside the UK system. Most legislation has been established towards the Parliament via the government. The government suggests an annual cost for maintaining all different processes inside it. They are also responsible for making a wide range of policies via superior decisions within different sections like transportation systems, healthcare systems as well as educational systems. Such policies have been frequently performed via secondary legislation. The executive also has some other strengths that are known as 'Prerogative powers'. These powers have been mainly controlled by the theory of Monarch. They could be utilised without getting consent from the Parliament. Such powers include controlling foreign policies, conducting diplomacy as well as granting honours. Such powers are frequently controversial as there have been limited constraints on their utilisation via the executive</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Horseman</w:t>
      </w:r>
      <w:r w:rsidR="00200AA2">
        <w:rPr>
          <w:rFonts w:ascii="Times New Roman" w:hAnsi="Times New Roman" w:cs="Times New Roman"/>
          <w:color w:val="222222"/>
          <w:sz w:val="24"/>
          <w:szCs w:val="24"/>
          <w:shd w:val="clear" w:color="auto" w:fill="FFFFFF"/>
        </w:rPr>
        <w:t xml:space="preserve"> </w:t>
      </w:r>
      <w:r w:rsidR="00200AA2">
        <w:rPr>
          <w:rFonts w:ascii="Times New Roman" w:hAnsi="Times New Roman" w:cs="Times New Roman"/>
          <w:i/>
          <w:iCs/>
          <w:color w:val="222222"/>
          <w:sz w:val="24"/>
          <w:szCs w:val="24"/>
          <w:shd w:val="clear" w:color="auto" w:fill="FFFFFF"/>
        </w:rPr>
        <w:t xml:space="preserve">et al., </w:t>
      </w:r>
      <w:r w:rsidR="00200AA2">
        <w:rPr>
          <w:rFonts w:ascii="Times New Roman" w:hAnsi="Times New Roman" w:cs="Times New Roman"/>
          <w:color w:val="222222"/>
          <w:sz w:val="24"/>
          <w:szCs w:val="24"/>
          <w:shd w:val="clear" w:color="auto" w:fill="FFFFFF"/>
        </w:rPr>
        <w:t>2020</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current scrutiny assessments about EU business might be executed via taking benefits of the government principles that are proposed for inviting the Common Ministers to take questions through the second chamber committee. The House of Commons has several arrangements, however, this should turn out to be a normal principle for the ministers of the Commons to come before the suggested Committee. The </w:t>
      </w:r>
      <w:r>
        <w:rPr>
          <w:rFonts w:ascii="Times New Roman" w:eastAsia="Times New Roman" w:hAnsi="Times New Roman" w:cs="Times New Roman"/>
          <w:sz w:val="24"/>
          <w:szCs w:val="24"/>
        </w:rPr>
        <w:lastRenderedPageBreak/>
        <w:t>principle will support the scrutiny arrangements regulated via the 'Common Scrutiny Committee'. Some huge disadvantages have been observed inside the system. However, there must be some public meeting towards any kind of formal confirmation via the 'Committee of Parliament'. There is also the possibility of severe risks which can be declined by other members. Parliament Committee also has no right to change their decision for any kind of responsible minister. A high level of satisfactory balance is required there for maintaining the situation which can be possible by the appropriate committee in numerous ways. However, no such distinct role could be noticed inside the second chamber within the location</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Mavin</w:t>
      </w:r>
      <w:r w:rsidR="00200AA2">
        <w:rPr>
          <w:rFonts w:ascii="Times New Roman" w:hAnsi="Times New Roman" w:cs="Times New Roman"/>
          <w:color w:val="222222"/>
          <w:sz w:val="24"/>
          <w:szCs w:val="24"/>
          <w:shd w:val="clear" w:color="auto" w:fill="FFFFFF"/>
        </w:rPr>
        <w:t xml:space="preserve"> </w:t>
      </w:r>
      <w:r w:rsidR="00200AA2">
        <w:rPr>
          <w:rFonts w:ascii="Times New Roman" w:hAnsi="Times New Roman" w:cs="Times New Roman"/>
          <w:i/>
          <w:iCs/>
          <w:color w:val="222222"/>
          <w:sz w:val="24"/>
          <w:szCs w:val="24"/>
          <w:shd w:val="clear" w:color="auto" w:fill="FFFFFF"/>
        </w:rPr>
        <w:t xml:space="preserve">et al., </w:t>
      </w:r>
      <w:r w:rsidR="00200AA2">
        <w:rPr>
          <w:rFonts w:ascii="Times New Roman" w:hAnsi="Times New Roman" w:cs="Times New Roman"/>
          <w:color w:val="222222"/>
          <w:sz w:val="24"/>
          <w:szCs w:val="24"/>
          <w:shd w:val="clear" w:color="auto" w:fill="FFFFFF"/>
        </w:rPr>
        <w:t>2023</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08" w14:textId="0AE8A552" w:rsidR="003236EC"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law commission has used up several times in the direction of generating numerous plans for potential locations of law reform. The main purpose of this is to ensure the law fairly by making it easy and cost-effective through conducting numerous research as well as meetings within a particular location of law. Finally, the recommendation is also required to provide towards the parliament in which enhancements have been needed</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Wegrich</w:t>
      </w:r>
      <w:r w:rsidR="00200AA2">
        <w:rPr>
          <w:rFonts w:ascii="Times New Roman" w:hAnsi="Times New Roman" w:cs="Times New Roman"/>
          <w:color w:val="222222"/>
          <w:sz w:val="24"/>
          <w:szCs w:val="24"/>
          <w:shd w:val="clear" w:color="auto" w:fill="FFFFFF"/>
        </w:rPr>
        <w:t>, 2021</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Legal reform has been the procedure of examining present laws along with recommending and performing variations within the legal infrastructure. Their common purpose is to boost justice as well as effectiveness. Again, scrutiny has been another vital part which can be used in reform suggestions. It generally ensures that government regulatory bodies stay transparent, open to all as well as accountable. As a consequence, it will enhance public policy and different services. With the help of scrutiny government regulatory bodies can easily make informed decisions which are very clear along with being accessible towards every person in the country. Such a decision-making process assists enormously in reform suggestions</w:t>
      </w:r>
      <w:r w:rsidR="00200AA2">
        <w:rPr>
          <w:rFonts w:ascii="Times New Roman" w:eastAsia="Times New Roman" w:hAnsi="Times New Roman" w:cs="Times New Roman"/>
          <w:sz w:val="24"/>
          <w:szCs w:val="24"/>
        </w:rPr>
        <w:t xml:space="preserve"> (</w:t>
      </w:r>
      <w:r w:rsidR="00200AA2" w:rsidRPr="00822DD3">
        <w:rPr>
          <w:rFonts w:ascii="Times New Roman" w:hAnsi="Times New Roman" w:cs="Times New Roman"/>
          <w:color w:val="222222"/>
          <w:sz w:val="24"/>
          <w:szCs w:val="24"/>
          <w:shd w:val="clear" w:color="auto" w:fill="FFFFFF"/>
        </w:rPr>
        <w:t>GiRaRd</w:t>
      </w:r>
      <w:r w:rsidR="00200AA2">
        <w:rPr>
          <w:rFonts w:ascii="Times New Roman" w:hAnsi="Times New Roman" w:cs="Times New Roman"/>
          <w:color w:val="222222"/>
          <w:sz w:val="24"/>
          <w:szCs w:val="24"/>
          <w:shd w:val="clear" w:color="auto" w:fill="FFFFFF"/>
        </w:rPr>
        <w:t>, 2022</w:t>
      </w:r>
      <w:r w:rsidR="00200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2146B60D" w14:textId="77777777" w:rsidR="00DE1A2A" w:rsidRDefault="00DE1A2A">
      <w:pPr>
        <w:spacing w:line="276" w:lineRule="auto"/>
        <w:jc w:val="left"/>
        <w:rPr>
          <w:rFonts w:eastAsia="Times New Roman" w:cs="Times New Roman"/>
          <w:b/>
          <w:szCs w:val="24"/>
        </w:rPr>
      </w:pPr>
      <w:r>
        <w:rPr>
          <w:rFonts w:eastAsia="Times New Roman" w:cs="Times New Roman"/>
          <w:b/>
          <w:szCs w:val="24"/>
        </w:rPr>
        <w:br w:type="page"/>
      </w:r>
    </w:p>
    <w:p w14:paraId="00000009" w14:textId="5E594206" w:rsidR="003236EC" w:rsidRDefault="00000000" w:rsidP="00CD43E5">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Conclusion </w:t>
      </w:r>
    </w:p>
    <w:p w14:paraId="0000000A" w14:textId="7EDA5FEF" w:rsidR="00200AA2" w:rsidRDefault="00000000" w:rsidP="00CD43E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 consists of numerous legal practices which play an essential role in maintaining the behaviour and attitude of every person. The following essay has demonstrated numerous concepts of UK executive and their responsibilities. Therefore, </w:t>
      </w:r>
      <w:r w:rsidR="003F7308">
        <w:rPr>
          <w:rFonts w:ascii="Times New Roman" w:eastAsia="Times New Roman" w:hAnsi="Times New Roman" w:cs="Times New Roman"/>
          <w:sz w:val="24"/>
          <w:szCs w:val="24"/>
        </w:rPr>
        <w:t>the essay</w:t>
      </w:r>
      <w:r>
        <w:rPr>
          <w:rFonts w:ascii="Times New Roman" w:eastAsia="Times New Roman" w:hAnsi="Times New Roman" w:cs="Times New Roman"/>
          <w:sz w:val="24"/>
          <w:szCs w:val="24"/>
        </w:rPr>
        <w:t xml:space="preserve"> has illustrated the 'Separation of power theory' and its importance. Moreover, the process of holding to account by executives is showcased in this essay. In addition to this, the benefits as well as the drawbacks of such an account are highlighted here. The essay has depicted the significance of the scrutiny method and its working principles for making a superior government. Finally, it has explained the reform suggestions at the end of the essay.</w:t>
      </w:r>
    </w:p>
    <w:p w14:paraId="42A0DF51" w14:textId="77777777" w:rsidR="00200AA2" w:rsidRDefault="00200AA2">
      <w:pPr>
        <w:spacing w:line="276" w:lineRule="auto"/>
        <w:jc w:val="left"/>
        <w:rPr>
          <w:rFonts w:eastAsia="Times New Roman" w:cs="Times New Roman"/>
          <w:szCs w:val="24"/>
        </w:rPr>
      </w:pPr>
      <w:r>
        <w:rPr>
          <w:rFonts w:eastAsia="Times New Roman" w:cs="Times New Roman"/>
          <w:szCs w:val="24"/>
        </w:rPr>
        <w:br w:type="page"/>
      </w:r>
    </w:p>
    <w:p w14:paraId="17C5E646" w14:textId="4A72B981" w:rsidR="003236EC" w:rsidRPr="00200AA2" w:rsidRDefault="00200AA2" w:rsidP="00CD43E5">
      <w:pPr>
        <w:pStyle w:val="Normal1"/>
        <w:spacing w:line="480" w:lineRule="auto"/>
        <w:jc w:val="both"/>
        <w:rPr>
          <w:rFonts w:ascii="Times New Roman" w:eastAsia="Times New Roman" w:hAnsi="Times New Roman" w:cs="Times New Roman"/>
          <w:b/>
          <w:bCs/>
          <w:sz w:val="24"/>
          <w:szCs w:val="24"/>
        </w:rPr>
      </w:pPr>
      <w:r w:rsidRPr="00200AA2">
        <w:rPr>
          <w:rFonts w:ascii="Times New Roman" w:eastAsia="Times New Roman" w:hAnsi="Times New Roman" w:cs="Times New Roman"/>
          <w:b/>
          <w:bCs/>
          <w:sz w:val="24"/>
          <w:szCs w:val="24"/>
        </w:rPr>
        <w:lastRenderedPageBreak/>
        <w:t>References</w:t>
      </w:r>
    </w:p>
    <w:p w14:paraId="162AF473" w14:textId="77777777" w:rsidR="00200AA2" w:rsidRPr="00200AA2" w:rsidRDefault="00200AA2" w:rsidP="00200AA2">
      <w:pPr>
        <w:pStyle w:val="Bibliography"/>
        <w:rPr>
          <w:noProof/>
          <w:szCs w:val="24"/>
        </w:rPr>
      </w:pPr>
      <w:r w:rsidRPr="00200AA2">
        <w:rPr>
          <w:noProof/>
        </w:rPr>
        <w:t xml:space="preserve">consoc, (2024). </w:t>
      </w:r>
      <w:r w:rsidRPr="00200AA2">
        <w:rPr>
          <w:i/>
          <w:iCs/>
          <w:noProof/>
        </w:rPr>
        <w:t xml:space="preserve">The executive. </w:t>
      </w:r>
      <w:r w:rsidRPr="00200AA2">
        <w:rPr>
          <w:noProof/>
        </w:rPr>
        <w:t xml:space="preserve">[Online] Available at: </w:t>
      </w:r>
      <w:hyperlink r:id="rId7" w:anchor="executive" w:history="1">
        <w:r w:rsidRPr="00200AA2">
          <w:rPr>
            <w:rStyle w:val="Hyperlink"/>
            <w:noProof/>
            <w:color w:val="auto"/>
            <w:u w:val="none"/>
          </w:rPr>
          <w:t>https://consoc.org.uk/the-constitution-explained/the-executive/#executive</w:t>
        </w:r>
      </w:hyperlink>
      <w:r w:rsidRPr="00200AA2">
        <w:rPr>
          <w:noProof/>
        </w:rPr>
        <w:t xml:space="preserve"> [Accessed 15 February 2024].</w:t>
      </w:r>
    </w:p>
    <w:p w14:paraId="08F0A3BE" w14:textId="77777777" w:rsidR="00200AA2" w:rsidRPr="00822DD3" w:rsidRDefault="00200AA2" w:rsidP="00200AA2">
      <w:pPr>
        <w:rPr>
          <w:rFonts w:cs="Times New Roman"/>
          <w:color w:val="222222"/>
          <w:szCs w:val="24"/>
          <w:shd w:val="clear" w:color="auto" w:fill="FFFFFF"/>
        </w:rPr>
      </w:pPr>
      <w:r w:rsidRPr="00822DD3">
        <w:rPr>
          <w:rFonts w:cs="Times New Roman"/>
          <w:color w:val="222222"/>
          <w:szCs w:val="24"/>
          <w:shd w:val="clear" w:color="auto" w:fill="FFFFFF"/>
        </w:rPr>
        <w:t xml:space="preserve">Craig, P. and De Búrca, G., </w:t>
      </w:r>
      <w:r>
        <w:rPr>
          <w:rFonts w:cs="Times New Roman"/>
          <w:color w:val="222222"/>
          <w:szCs w:val="24"/>
          <w:shd w:val="clear" w:color="auto" w:fill="FFFFFF"/>
        </w:rPr>
        <w:t>(</w:t>
      </w:r>
      <w:r w:rsidRPr="00822DD3">
        <w:rPr>
          <w:rFonts w:cs="Times New Roman"/>
          <w:color w:val="222222"/>
          <w:szCs w:val="24"/>
          <w:shd w:val="clear" w:color="auto" w:fill="FFFFFF"/>
        </w:rPr>
        <w:t>2020</w:t>
      </w:r>
      <w:r>
        <w:rPr>
          <w:rFonts w:cs="Times New Roman"/>
          <w:color w:val="222222"/>
          <w:szCs w:val="24"/>
          <w:shd w:val="clear" w:color="auto" w:fill="FFFFFF"/>
        </w:rPr>
        <w:t>)</w:t>
      </w:r>
      <w:r w:rsidRPr="00822DD3">
        <w:rPr>
          <w:rFonts w:cs="Times New Roman"/>
          <w:color w:val="222222"/>
          <w:szCs w:val="24"/>
          <w:shd w:val="clear" w:color="auto" w:fill="FFFFFF"/>
        </w:rPr>
        <w:t>. </w:t>
      </w:r>
      <w:r w:rsidRPr="00822DD3">
        <w:rPr>
          <w:rFonts w:cs="Times New Roman"/>
          <w:i/>
          <w:iCs/>
          <w:color w:val="222222"/>
          <w:szCs w:val="24"/>
          <w:shd w:val="clear" w:color="auto" w:fill="FFFFFF"/>
        </w:rPr>
        <w:t>EU Law: Text, Cases, and Materials UK Version</w:t>
      </w:r>
      <w:r w:rsidRPr="00822DD3">
        <w:rPr>
          <w:rFonts w:cs="Times New Roman"/>
          <w:color w:val="222222"/>
          <w:szCs w:val="24"/>
          <w:shd w:val="clear" w:color="auto" w:fill="FFFFFF"/>
        </w:rPr>
        <w:t>. Oxford University Press, USA.</w:t>
      </w:r>
    </w:p>
    <w:p w14:paraId="12C659D6" w14:textId="77777777" w:rsidR="00200AA2" w:rsidRPr="00822DD3" w:rsidRDefault="00200AA2" w:rsidP="00200AA2">
      <w:pPr>
        <w:rPr>
          <w:rFonts w:cs="Times New Roman"/>
          <w:color w:val="222222"/>
          <w:szCs w:val="24"/>
          <w:shd w:val="clear" w:color="auto" w:fill="FFFFFF"/>
        </w:rPr>
      </w:pPr>
      <w:r w:rsidRPr="00822DD3">
        <w:rPr>
          <w:rFonts w:cs="Times New Roman"/>
          <w:color w:val="222222"/>
          <w:szCs w:val="24"/>
          <w:shd w:val="clear" w:color="auto" w:fill="FFFFFF"/>
        </w:rPr>
        <w:t xml:space="preserve">Farrow, K., </w:t>
      </w:r>
      <w:r>
        <w:rPr>
          <w:rFonts w:cs="Times New Roman"/>
          <w:color w:val="222222"/>
          <w:szCs w:val="24"/>
          <w:shd w:val="clear" w:color="auto" w:fill="FFFFFF"/>
        </w:rPr>
        <w:t>(</w:t>
      </w:r>
      <w:r w:rsidRPr="00822DD3">
        <w:rPr>
          <w:rFonts w:cs="Times New Roman"/>
          <w:color w:val="222222"/>
          <w:szCs w:val="24"/>
          <w:shd w:val="clear" w:color="auto" w:fill="FFFFFF"/>
        </w:rPr>
        <w:t>2020</w:t>
      </w:r>
      <w:r>
        <w:rPr>
          <w:rFonts w:cs="Times New Roman"/>
          <w:color w:val="222222"/>
          <w:szCs w:val="24"/>
          <w:shd w:val="clear" w:color="auto" w:fill="FFFFFF"/>
        </w:rPr>
        <w:t>)</w:t>
      </w:r>
      <w:r w:rsidRPr="00822DD3">
        <w:rPr>
          <w:rFonts w:cs="Times New Roman"/>
          <w:color w:val="222222"/>
          <w:szCs w:val="24"/>
          <w:shd w:val="clear" w:color="auto" w:fill="FFFFFF"/>
        </w:rPr>
        <w:t>. Policing the pandemic in the UK using the principles of procedural justice. </w:t>
      </w:r>
      <w:r w:rsidRPr="00822DD3">
        <w:rPr>
          <w:rFonts w:cs="Times New Roman"/>
          <w:i/>
          <w:iCs/>
          <w:color w:val="222222"/>
          <w:szCs w:val="24"/>
          <w:shd w:val="clear" w:color="auto" w:fill="FFFFFF"/>
        </w:rPr>
        <w:t>Policing: a journal of policy and practice</w:t>
      </w:r>
      <w:r w:rsidRPr="00822DD3">
        <w:rPr>
          <w:rFonts w:cs="Times New Roman"/>
          <w:color w:val="222222"/>
          <w:szCs w:val="24"/>
          <w:shd w:val="clear" w:color="auto" w:fill="FFFFFF"/>
        </w:rPr>
        <w:t>, </w:t>
      </w:r>
      <w:r w:rsidRPr="00822DD3">
        <w:rPr>
          <w:rFonts w:cs="Times New Roman"/>
          <w:i/>
          <w:iCs/>
          <w:color w:val="222222"/>
          <w:szCs w:val="24"/>
          <w:shd w:val="clear" w:color="auto" w:fill="FFFFFF"/>
        </w:rPr>
        <w:t>14</w:t>
      </w:r>
      <w:r w:rsidRPr="00822DD3">
        <w:rPr>
          <w:rFonts w:cs="Times New Roman"/>
          <w:color w:val="222222"/>
          <w:szCs w:val="24"/>
          <w:shd w:val="clear" w:color="auto" w:fill="FFFFFF"/>
        </w:rPr>
        <w:t>(3), pp.587-592.</w:t>
      </w:r>
    </w:p>
    <w:p w14:paraId="5E7127DA" w14:textId="77777777" w:rsidR="00200AA2" w:rsidRPr="00822DD3" w:rsidRDefault="00200AA2" w:rsidP="00200AA2">
      <w:pPr>
        <w:rPr>
          <w:rFonts w:cs="Times New Roman"/>
          <w:color w:val="222222"/>
          <w:szCs w:val="24"/>
          <w:shd w:val="clear" w:color="auto" w:fill="FFFFFF"/>
        </w:rPr>
      </w:pPr>
      <w:r w:rsidRPr="00822DD3">
        <w:rPr>
          <w:rFonts w:cs="Times New Roman"/>
          <w:color w:val="222222"/>
          <w:szCs w:val="24"/>
          <w:shd w:val="clear" w:color="auto" w:fill="FFFFFF"/>
        </w:rPr>
        <w:t xml:space="preserve">GiRaRd, R., </w:t>
      </w:r>
      <w:r>
        <w:rPr>
          <w:rFonts w:cs="Times New Roman"/>
          <w:color w:val="222222"/>
          <w:szCs w:val="24"/>
          <w:shd w:val="clear" w:color="auto" w:fill="FFFFFF"/>
        </w:rPr>
        <w:t>(</w:t>
      </w:r>
      <w:r w:rsidRPr="00822DD3">
        <w:rPr>
          <w:rFonts w:cs="Times New Roman"/>
          <w:color w:val="222222"/>
          <w:szCs w:val="24"/>
          <w:shd w:val="clear" w:color="auto" w:fill="FFFFFF"/>
        </w:rPr>
        <w:t>2022</w:t>
      </w:r>
      <w:r>
        <w:rPr>
          <w:rFonts w:cs="Times New Roman"/>
          <w:color w:val="222222"/>
          <w:szCs w:val="24"/>
          <w:shd w:val="clear" w:color="auto" w:fill="FFFFFF"/>
        </w:rPr>
        <w:t>)</w:t>
      </w:r>
      <w:r w:rsidRPr="00822DD3">
        <w:rPr>
          <w:rFonts w:cs="Times New Roman"/>
          <w:color w:val="222222"/>
          <w:szCs w:val="24"/>
          <w:shd w:val="clear" w:color="auto" w:fill="FFFFFF"/>
        </w:rPr>
        <w:t>. Populism, Executive Power, and" Constitutional Impatience": Courts as Institutional Stabilisers in the United Kingdom. </w:t>
      </w:r>
      <w:r w:rsidRPr="00822DD3">
        <w:rPr>
          <w:rFonts w:cs="Times New Roman"/>
          <w:i/>
          <w:iCs/>
          <w:color w:val="222222"/>
          <w:szCs w:val="24"/>
          <w:shd w:val="clear" w:color="auto" w:fill="FFFFFF"/>
        </w:rPr>
        <w:t>Const. Stud.</w:t>
      </w:r>
      <w:r w:rsidRPr="00822DD3">
        <w:rPr>
          <w:rFonts w:cs="Times New Roman"/>
          <w:color w:val="222222"/>
          <w:szCs w:val="24"/>
          <w:shd w:val="clear" w:color="auto" w:fill="FFFFFF"/>
        </w:rPr>
        <w:t>, </w:t>
      </w:r>
      <w:r w:rsidRPr="00822DD3">
        <w:rPr>
          <w:rFonts w:cs="Times New Roman"/>
          <w:i/>
          <w:iCs/>
          <w:color w:val="222222"/>
          <w:szCs w:val="24"/>
          <w:shd w:val="clear" w:color="auto" w:fill="FFFFFF"/>
        </w:rPr>
        <w:t>8</w:t>
      </w:r>
      <w:r w:rsidRPr="00822DD3">
        <w:rPr>
          <w:rFonts w:cs="Times New Roman"/>
          <w:color w:val="222222"/>
          <w:szCs w:val="24"/>
          <w:shd w:val="clear" w:color="auto" w:fill="FFFFFF"/>
        </w:rPr>
        <w:t>, p.35.</w:t>
      </w:r>
    </w:p>
    <w:p w14:paraId="3612D07B" w14:textId="77777777" w:rsidR="00200AA2" w:rsidRPr="00822DD3" w:rsidRDefault="00200AA2" w:rsidP="00200AA2">
      <w:pPr>
        <w:rPr>
          <w:rFonts w:cs="Times New Roman"/>
          <w:color w:val="222222"/>
          <w:szCs w:val="24"/>
          <w:shd w:val="clear" w:color="auto" w:fill="FFFFFF"/>
        </w:rPr>
      </w:pPr>
      <w:r w:rsidRPr="00822DD3">
        <w:rPr>
          <w:rFonts w:cs="Times New Roman"/>
          <w:color w:val="222222"/>
          <w:szCs w:val="24"/>
          <w:shd w:val="clear" w:color="auto" w:fill="FFFFFF"/>
        </w:rPr>
        <w:t xml:space="preserve">Horseman, Z., Hamilton, S., Noble, H., Jones, A., Rafferty, A.M., Holloway, A., Reid, J., Harris, R., Smith, P. and Kelly, D., </w:t>
      </w:r>
      <w:r>
        <w:rPr>
          <w:rFonts w:cs="Times New Roman"/>
          <w:color w:val="222222"/>
          <w:szCs w:val="24"/>
          <w:shd w:val="clear" w:color="auto" w:fill="FFFFFF"/>
        </w:rPr>
        <w:t>(</w:t>
      </w:r>
      <w:r w:rsidRPr="00822DD3">
        <w:rPr>
          <w:rFonts w:cs="Times New Roman"/>
          <w:color w:val="222222"/>
          <w:szCs w:val="24"/>
          <w:shd w:val="clear" w:color="auto" w:fill="FFFFFF"/>
        </w:rPr>
        <w:t>2020</w:t>
      </w:r>
      <w:r>
        <w:rPr>
          <w:rFonts w:cs="Times New Roman"/>
          <w:color w:val="222222"/>
          <w:szCs w:val="24"/>
          <w:shd w:val="clear" w:color="auto" w:fill="FFFFFF"/>
        </w:rPr>
        <w:t>)</w:t>
      </w:r>
      <w:r w:rsidRPr="00822DD3">
        <w:rPr>
          <w:rFonts w:cs="Times New Roman"/>
          <w:color w:val="222222"/>
          <w:szCs w:val="24"/>
          <w:shd w:val="clear" w:color="auto" w:fill="FFFFFF"/>
        </w:rPr>
        <w:t>. Identifying the challenges and opportunities of the executive nurse director role in the UK: a scoping review. </w:t>
      </w:r>
      <w:r w:rsidRPr="00822DD3">
        <w:rPr>
          <w:rFonts w:cs="Times New Roman"/>
          <w:i/>
          <w:iCs/>
          <w:color w:val="222222"/>
          <w:szCs w:val="24"/>
          <w:shd w:val="clear" w:color="auto" w:fill="FFFFFF"/>
        </w:rPr>
        <w:t>Nursing Management</w:t>
      </w:r>
      <w:r w:rsidRPr="00822DD3">
        <w:rPr>
          <w:rFonts w:cs="Times New Roman"/>
          <w:color w:val="222222"/>
          <w:szCs w:val="24"/>
          <w:shd w:val="clear" w:color="auto" w:fill="FFFFFF"/>
        </w:rPr>
        <w:t>, </w:t>
      </w:r>
      <w:r w:rsidRPr="00822DD3">
        <w:rPr>
          <w:rFonts w:cs="Times New Roman"/>
          <w:i/>
          <w:iCs/>
          <w:color w:val="222222"/>
          <w:szCs w:val="24"/>
          <w:shd w:val="clear" w:color="auto" w:fill="FFFFFF"/>
        </w:rPr>
        <w:t>27</w:t>
      </w:r>
      <w:r w:rsidRPr="00822DD3">
        <w:rPr>
          <w:rFonts w:cs="Times New Roman"/>
          <w:color w:val="222222"/>
          <w:szCs w:val="24"/>
          <w:shd w:val="clear" w:color="auto" w:fill="FFFFFF"/>
        </w:rPr>
        <w:t>(6).</w:t>
      </w:r>
    </w:p>
    <w:p w14:paraId="0AD4C2F2" w14:textId="77777777" w:rsidR="00200AA2" w:rsidRPr="00822DD3" w:rsidRDefault="00200AA2" w:rsidP="00200AA2">
      <w:pPr>
        <w:rPr>
          <w:rFonts w:cs="Times New Roman"/>
          <w:color w:val="222222"/>
          <w:szCs w:val="24"/>
          <w:shd w:val="clear" w:color="auto" w:fill="FFFFFF"/>
        </w:rPr>
      </w:pPr>
      <w:r w:rsidRPr="00822DD3">
        <w:rPr>
          <w:rFonts w:cs="Times New Roman"/>
          <w:color w:val="222222"/>
          <w:szCs w:val="24"/>
          <w:shd w:val="clear" w:color="auto" w:fill="FFFFFF"/>
        </w:rPr>
        <w:t xml:space="preserve">Mavin, S., James, J., Patterson, N., Stabler, A. and Corlett, S., </w:t>
      </w:r>
      <w:r>
        <w:rPr>
          <w:rFonts w:cs="Times New Roman"/>
          <w:color w:val="222222"/>
          <w:szCs w:val="24"/>
          <w:shd w:val="clear" w:color="auto" w:fill="FFFFFF"/>
        </w:rPr>
        <w:t>(</w:t>
      </w:r>
      <w:r w:rsidRPr="00822DD3">
        <w:rPr>
          <w:rFonts w:cs="Times New Roman"/>
          <w:color w:val="222222"/>
          <w:szCs w:val="24"/>
          <w:shd w:val="clear" w:color="auto" w:fill="FFFFFF"/>
        </w:rPr>
        <w:t>2023</w:t>
      </w:r>
      <w:r>
        <w:rPr>
          <w:rFonts w:cs="Times New Roman"/>
          <w:color w:val="222222"/>
          <w:szCs w:val="24"/>
          <w:shd w:val="clear" w:color="auto" w:fill="FFFFFF"/>
        </w:rPr>
        <w:t>)</w:t>
      </w:r>
      <w:r w:rsidRPr="00822DD3">
        <w:rPr>
          <w:rFonts w:cs="Times New Roman"/>
          <w:color w:val="222222"/>
          <w:szCs w:val="24"/>
          <w:shd w:val="clear" w:color="auto" w:fill="FFFFFF"/>
        </w:rPr>
        <w:t>. Flipping the normative: Developing and delivering a critical pedagogy for executive education in a UK business school. </w:t>
      </w:r>
      <w:r w:rsidRPr="00822DD3">
        <w:rPr>
          <w:rFonts w:cs="Times New Roman"/>
          <w:i/>
          <w:iCs/>
          <w:color w:val="222222"/>
          <w:szCs w:val="24"/>
          <w:shd w:val="clear" w:color="auto" w:fill="FFFFFF"/>
        </w:rPr>
        <w:t>Management Learning</w:t>
      </w:r>
      <w:r w:rsidRPr="00822DD3">
        <w:rPr>
          <w:rFonts w:cs="Times New Roman"/>
          <w:color w:val="222222"/>
          <w:szCs w:val="24"/>
          <w:shd w:val="clear" w:color="auto" w:fill="FFFFFF"/>
        </w:rPr>
        <w:t>, p.13505076231162717.</w:t>
      </w:r>
    </w:p>
    <w:p w14:paraId="1F47839A" w14:textId="77777777" w:rsidR="00200AA2" w:rsidRPr="00200AA2" w:rsidRDefault="00200AA2" w:rsidP="00200AA2">
      <w:pPr>
        <w:pStyle w:val="Bibliography"/>
        <w:rPr>
          <w:noProof/>
        </w:rPr>
      </w:pPr>
      <w:r w:rsidRPr="00200AA2">
        <w:rPr>
          <w:noProof/>
        </w:rPr>
        <w:t xml:space="preserve">parliament, (2024). </w:t>
      </w:r>
      <w:r w:rsidRPr="00200AA2">
        <w:rPr>
          <w:i/>
          <w:iCs/>
          <w:noProof/>
        </w:rPr>
        <w:t xml:space="preserve">Chapter 2: Holding the Executive to Account. </w:t>
      </w:r>
      <w:r w:rsidRPr="00200AA2">
        <w:rPr>
          <w:noProof/>
        </w:rPr>
        <w:t xml:space="preserve">[Online] Available at: </w:t>
      </w:r>
      <w:hyperlink r:id="rId8" w:history="1">
        <w:r w:rsidRPr="00200AA2">
          <w:rPr>
            <w:rStyle w:val="Hyperlink"/>
            <w:noProof/>
            <w:color w:val="auto"/>
            <w:u w:val="none"/>
          </w:rPr>
          <w:t>https://publications.parliament.uk/pa/ld201012/ldselect/ldspeak/136/13605.htm</w:t>
        </w:r>
      </w:hyperlink>
      <w:r w:rsidRPr="00200AA2">
        <w:rPr>
          <w:noProof/>
        </w:rPr>
        <w:t xml:space="preserve"> [Accessed 15 February 2024].</w:t>
      </w:r>
    </w:p>
    <w:p w14:paraId="15905B94" w14:textId="77777777" w:rsidR="00200AA2" w:rsidRPr="00822DD3" w:rsidRDefault="00200AA2" w:rsidP="00200AA2">
      <w:pPr>
        <w:rPr>
          <w:rFonts w:cs="Times New Roman"/>
          <w:color w:val="222222"/>
          <w:szCs w:val="24"/>
          <w:shd w:val="clear" w:color="auto" w:fill="FFFFFF"/>
        </w:rPr>
      </w:pPr>
      <w:r w:rsidRPr="00822DD3">
        <w:rPr>
          <w:rFonts w:cs="Times New Roman"/>
          <w:color w:val="222222"/>
          <w:szCs w:val="24"/>
          <w:shd w:val="clear" w:color="auto" w:fill="FFFFFF"/>
        </w:rPr>
        <w:t xml:space="preserve">Sánchez-Monedero, J., Dencik, L. and Edwards, L., </w:t>
      </w:r>
      <w:r>
        <w:rPr>
          <w:rFonts w:cs="Times New Roman"/>
          <w:color w:val="222222"/>
          <w:szCs w:val="24"/>
          <w:shd w:val="clear" w:color="auto" w:fill="FFFFFF"/>
        </w:rPr>
        <w:t>(</w:t>
      </w:r>
      <w:r w:rsidRPr="00822DD3">
        <w:rPr>
          <w:rFonts w:cs="Times New Roman"/>
          <w:color w:val="222222"/>
          <w:szCs w:val="24"/>
          <w:shd w:val="clear" w:color="auto" w:fill="FFFFFF"/>
        </w:rPr>
        <w:t>2020</w:t>
      </w:r>
      <w:r>
        <w:rPr>
          <w:rFonts w:cs="Times New Roman"/>
          <w:color w:val="222222"/>
          <w:szCs w:val="24"/>
          <w:shd w:val="clear" w:color="auto" w:fill="FFFFFF"/>
        </w:rPr>
        <w:t>)</w:t>
      </w:r>
      <w:r w:rsidRPr="00822DD3">
        <w:rPr>
          <w:rFonts w:cs="Times New Roman"/>
          <w:color w:val="222222"/>
          <w:szCs w:val="24"/>
          <w:shd w:val="clear" w:color="auto" w:fill="FFFFFF"/>
        </w:rPr>
        <w:t>, January. What does it mean to'solve'the problem of discrimination in hiring? Social, technical and legal perspectives from the UK on automated hiring systems. In </w:t>
      </w:r>
      <w:r w:rsidRPr="00822DD3">
        <w:rPr>
          <w:rFonts w:cs="Times New Roman"/>
          <w:i/>
          <w:iCs/>
          <w:color w:val="222222"/>
          <w:szCs w:val="24"/>
          <w:shd w:val="clear" w:color="auto" w:fill="FFFFFF"/>
        </w:rPr>
        <w:t>Proceedings of the 2020 conference on fairness, accountability, and transparency</w:t>
      </w:r>
      <w:r w:rsidRPr="00822DD3">
        <w:rPr>
          <w:rFonts w:cs="Times New Roman"/>
          <w:color w:val="222222"/>
          <w:szCs w:val="24"/>
          <w:shd w:val="clear" w:color="auto" w:fill="FFFFFF"/>
        </w:rPr>
        <w:t> (pp. 458-468).</w:t>
      </w:r>
    </w:p>
    <w:p w14:paraId="5E15EBD2" w14:textId="77777777" w:rsidR="00200AA2" w:rsidRDefault="00200AA2" w:rsidP="00200AA2">
      <w:pPr>
        <w:pStyle w:val="Bibliography"/>
        <w:rPr>
          <w:noProof/>
        </w:rPr>
      </w:pPr>
      <w:r w:rsidRPr="00200AA2">
        <w:rPr>
          <w:noProof/>
        </w:rPr>
        <w:t xml:space="preserve">uollb, (2023). </w:t>
      </w:r>
      <w:r w:rsidRPr="00200AA2">
        <w:rPr>
          <w:i/>
          <w:iCs/>
          <w:noProof/>
        </w:rPr>
        <w:t xml:space="preserve">Separation of Powers in United Kingdom. </w:t>
      </w:r>
      <w:r w:rsidRPr="00200AA2">
        <w:rPr>
          <w:noProof/>
        </w:rPr>
        <w:t xml:space="preserve">[Online] Available at: </w:t>
      </w:r>
      <w:hyperlink r:id="rId9" w:history="1">
        <w:r w:rsidRPr="00200AA2">
          <w:rPr>
            <w:rStyle w:val="Hyperlink"/>
            <w:noProof/>
            <w:color w:val="auto"/>
            <w:u w:val="none"/>
          </w:rPr>
          <w:t>https://uollb.com/blog/english-common-law/separation-of-powers-in-united-kingdom</w:t>
        </w:r>
      </w:hyperlink>
      <w:r w:rsidRPr="00200AA2">
        <w:rPr>
          <w:noProof/>
        </w:rPr>
        <w:t xml:space="preserve"> [Accessed 15 February 2024].</w:t>
      </w:r>
    </w:p>
    <w:p w14:paraId="0A04B3D4" w14:textId="77777777" w:rsidR="00200AA2" w:rsidRPr="00822DD3" w:rsidRDefault="00200AA2" w:rsidP="00200AA2">
      <w:pPr>
        <w:rPr>
          <w:rFonts w:cs="Times New Roman"/>
          <w:sz w:val="28"/>
          <w:szCs w:val="28"/>
        </w:rPr>
      </w:pPr>
      <w:r w:rsidRPr="00822DD3">
        <w:rPr>
          <w:rFonts w:cs="Times New Roman"/>
          <w:color w:val="222222"/>
          <w:szCs w:val="24"/>
          <w:shd w:val="clear" w:color="auto" w:fill="FFFFFF"/>
        </w:rPr>
        <w:lastRenderedPageBreak/>
        <w:t xml:space="preserve">Wegrich, K., </w:t>
      </w:r>
      <w:r>
        <w:rPr>
          <w:rFonts w:cs="Times New Roman"/>
          <w:color w:val="222222"/>
          <w:szCs w:val="24"/>
          <w:shd w:val="clear" w:color="auto" w:fill="FFFFFF"/>
        </w:rPr>
        <w:t>(</w:t>
      </w:r>
      <w:r w:rsidRPr="00822DD3">
        <w:rPr>
          <w:rFonts w:cs="Times New Roman"/>
          <w:color w:val="222222"/>
          <w:szCs w:val="24"/>
          <w:shd w:val="clear" w:color="auto" w:fill="FFFFFF"/>
        </w:rPr>
        <w:t>2021</w:t>
      </w:r>
      <w:r>
        <w:rPr>
          <w:rFonts w:cs="Times New Roman"/>
          <w:color w:val="222222"/>
          <w:szCs w:val="24"/>
          <w:shd w:val="clear" w:color="auto" w:fill="FFFFFF"/>
        </w:rPr>
        <w:t>)</w:t>
      </w:r>
      <w:r w:rsidRPr="00822DD3">
        <w:rPr>
          <w:rFonts w:cs="Times New Roman"/>
          <w:color w:val="222222"/>
          <w:szCs w:val="24"/>
          <w:shd w:val="clear" w:color="auto" w:fill="FFFFFF"/>
        </w:rPr>
        <w:t>. Varieties of executive styles. In </w:t>
      </w:r>
      <w:r w:rsidRPr="00822DD3">
        <w:rPr>
          <w:rFonts w:cs="Times New Roman"/>
          <w:i/>
          <w:iCs/>
          <w:color w:val="222222"/>
          <w:szCs w:val="24"/>
          <w:shd w:val="clear" w:color="auto" w:fill="FFFFFF"/>
        </w:rPr>
        <w:t>The Routledge handbook of policy styles</w:t>
      </w:r>
      <w:r w:rsidRPr="00822DD3">
        <w:rPr>
          <w:rFonts w:cs="Times New Roman"/>
          <w:color w:val="222222"/>
          <w:szCs w:val="24"/>
          <w:shd w:val="clear" w:color="auto" w:fill="FFFFFF"/>
        </w:rPr>
        <w:t> (pp. 328-339). Routledge.</w:t>
      </w:r>
    </w:p>
    <w:p w14:paraId="7C298A92" w14:textId="77777777" w:rsidR="00200AA2" w:rsidRPr="00200AA2" w:rsidRDefault="00200AA2" w:rsidP="00200AA2"/>
    <w:p w14:paraId="530B40CA" w14:textId="37140ABE" w:rsidR="00200AA2" w:rsidRDefault="00200AA2" w:rsidP="00200AA2"/>
    <w:p w14:paraId="3EB2EE72" w14:textId="77777777" w:rsidR="00200AA2" w:rsidRDefault="00200AA2" w:rsidP="00CD43E5">
      <w:pPr>
        <w:pStyle w:val="Normal1"/>
        <w:spacing w:line="480" w:lineRule="auto"/>
        <w:jc w:val="both"/>
        <w:rPr>
          <w:rFonts w:ascii="Times New Roman" w:eastAsia="Times New Roman" w:hAnsi="Times New Roman" w:cs="Times New Roman"/>
          <w:sz w:val="24"/>
          <w:szCs w:val="24"/>
        </w:rPr>
      </w:pPr>
    </w:p>
    <w:sectPr w:rsidR="00200AA2" w:rsidSect="00C75C25">
      <w:headerReference w:type="default" r:id="rId10"/>
      <w:footerReference w:type="default" r:id="rId11"/>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02186" w14:textId="77777777" w:rsidR="00C75C25" w:rsidRDefault="00C75C25" w:rsidP="00142201">
      <w:pPr>
        <w:spacing w:line="240" w:lineRule="auto"/>
      </w:pPr>
      <w:r>
        <w:separator/>
      </w:r>
    </w:p>
  </w:endnote>
  <w:endnote w:type="continuationSeparator" w:id="0">
    <w:p w14:paraId="3134210F" w14:textId="77777777" w:rsidR="00C75C25" w:rsidRDefault="00C75C25" w:rsidP="001422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103929"/>
      <w:docPartObj>
        <w:docPartGallery w:val="Page Numbers (Bottom of Page)"/>
        <w:docPartUnique/>
      </w:docPartObj>
    </w:sdtPr>
    <w:sdtContent>
      <w:sdt>
        <w:sdtPr>
          <w:id w:val="-1769616900"/>
          <w:docPartObj>
            <w:docPartGallery w:val="Page Numbers (Top of Page)"/>
            <w:docPartUnique/>
          </w:docPartObj>
        </w:sdtPr>
        <w:sdtContent>
          <w:p w14:paraId="64CC6B51" w14:textId="0E3D829C" w:rsidR="00142201" w:rsidRDefault="0014220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FCF2D99" w14:textId="77777777" w:rsidR="00142201" w:rsidRDefault="00142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6B5AF" w14:textId="77777777" w:rsidR="00C75C25" w:rsidRDefault="00C75C25" w:rsidP="00142201">
      <w:pPr>
        <w:spacing w:line="240" w:lineRule="auto"/>
      </w:pPr>
      <w:r>
        <w:separator/>
      </w:r>
    </w:p>
  </w:footnote>
  <w:footnote w:type="continuationSeparator" w:id="0">
    <w:p w14:paraId="350C19A9" w14:textId="77777777" w:rsidR="00C75C25" w:rsidRDefault="00C75C25" w:rsidP="001422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1C1AF" w14:textId="6B6A79C9" w:rsidR="00142201" w:rsidRDefault="00142201" w:rsidP="00142201">
    <w:pPr>
      <w:jc w:val="right"/>
    </w:pPr>
    <w:r w:rsidRPr="00142201">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6EC"/>
    <w:rsid w:val="00142201"/>
    <w:rsid w:val="001C0285"/>
    <w:rsid w:val="00200AA2"/>
    <w:rsid w:val="003236EC"/>
    <w:rsid w:val="003F7308"/>
    <w:rsid w:val="004F06C5"/>
    <w:rsid w:val="00525283"/>
    <w:rsid w:val="006C1C3B"/>
    <w:rsid w:val="00863756"/>
    <w:rsid w:val="008C48BE"/>
    <w:rsid w:val="00B7732B"/>
    <w:rsid w:val="00BE3BB4"/>
    <w:rsid w:val="00C75C25"/>
    <w:rsid w:val="00CD43E5"/>
    <w:rsid w:val="00DE1A2A"/>
    <w:rsid w:val="00E426A2"/>
    <w:rsid w:val="00F3168F"/>
    <w:rsid w:val="00F402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F6645"/>
  <w15:docId w15:val="{5B84B6CC-FA0E-4B45-9C10-A1628E974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201"/>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42201"/>
    <w:pPr>
      <w:tabs>
        <w:tab w:val="center" w:pos="4680"/>
        <w:tab w:val="right" w:pos="9360"/>
      </w:tabs>
      <w:spacing w:line="240" w:lineRule="auto"/>
    </w:pPr>
  </w:style>
  <w:style w:type="character" w:customStyle="1" w:styleId="HeaderChar">
    <w:name w:val="Header Char"/>
    <w:basedOn w:val="DefaultParagraphFont"/>
    <w:link w:val="Header"/>
    <w:uiPriority w:val="99"/>
    <w:rsid w:val="00142201"/>
    <w:rPr>
      <w:rFonts w:ascii="Times New Roman" w:hAnsi="Times New Roman"/>
      <w:sz w:val="24"/>
    </w:rPr>
  </w:style>
  <w:style w:type="paragraph" w:styleId="Footer">
    <w:name w:val="footer"/>
    <w:basedOn w:val="Normal"/>
    <w:link w:val="FooterChar"/>
    <w:uiPriority w:val="99"/>
    <w:unhideWhenUsed/>
    <w:rsid w:val="00142201"/>
    <w:pPr>
      <w:tabs>
        <w:tab w:val="center" w:pos="4680"/>
        <w:tab w:val="right" w:pos="9360"/>
      </w:tabs>
      <w:spacing w:line="240" w:lineRule="auto"/>
    </w:pPr>
  </w:style>
  <w:style w:type="character" w:customStyle="1" w:styleId="FooterChar">
    <w:name w:val="Footer Char"/>
    <w:basedOn w:val="DefaultParagraphFont"/>
    <w:link w:val="Footer"/>
    <w:uiPriority w:val="99"/>
    <w:rsid w:val="00142201"/>
    <w:rPr>
      <w:rFonts w:ascii="Times New Roman" w:hAnsi="Times New Roman"/>
      <w:sz w:val="24"/>
    </w:rPr>
  </w:style>
  <w:style w:type="character" w:customStyle="1" w:styleId="Heading1Char">
    <w:name w:val="Heading 1 Char"/>
    <w:basedOn w:val="DefaultParagraphFont"/>
    <w:link w:val="Heading1"/>
    <w:uiPriority w:val="9"/>
    <w:rsid w:val="00200AA2"/>
    <w:rPr>
      <w:sz w:val="40"/>
      <w:szCs w:val="40"/>
    </w:rPr>
  </w:style>
  <w:style w:type="paragraph" w:styleId="Bibliography">
    <w:name w:val="Bibliography"/>
    <w:basedOn w:val="Normal"/>
    <w:next w:val="Normal"/>
    <w:uiPriority w:val="37"/>
    <w:unhideWhenUsed/>
    <w:rsid w:val="00200AA2"/>
  </w:style>
  <w:style w:type="character" w:styleId="Hyperlink">
    <w:name w:val="Hyperlink"/>
    <w:basedOn w:val="DefaultParagraphFont"/>
    <w:uiPriority w:val="99"/>
    <w:unhideWhenUsed/>
    <w:rsid w:val="00200AA2"/>
    <w:rPr>
      <w:color w:val="0000FF" w:themeColor="hyperlink"/>
      <w:u w:val="single"/>
    </w:rPr>
  </w:style>
  <w:style w:type="character" w:styleId="UnresolvedMention">
    <w:name w:val="Unresolved Mention"/>
    <w:basedOn w:val="DefaultParagraphFont"/>
    <w:uiPriority w:val="99"/>
    <w:semiHidden/>
    <w:unhideWhenUsed/>
    <w:rsid w:val="00200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40778">
      <w:bodyDiv w:val="1"/>
      <w:marLeft w:val="0"/>
      <w:marRight w:val="0"/>
      <w:marTop w:val="0"/>
      <w:marBottom w:val="0"/>
      <w:divBdr>
        <w:top w:val="none" w:sz="0" w:space="0" w:color="auto"/>
        <w:left w:val="none" w:sz="0" w:space="0" w:color="auto"/>
        <w:bottom w:val="none" w:sz="0" w:space="0" w:color="auto"/>
        <w:right w:val="none" w:sz="0" w:space="0" w:color="auto"/>
      </w:divBdr>
    </w:div>
    <w:div w:id="494688490">
      <w:bodyDiv w:val="1"/>
      <w:marLeft w:val="0"/>
      <w:marRight w:val="0"/>
      <w:marTop w:val="0"/>
      <w:marBottom w:val="0"/>
      <w:divBdr>
        <w:top w:val="none" w:sz="0" w:space="0" w:color="auto"/>
        <w:left w:val="none" w:sz="0" w:space="0" w:color="auto"/>
        <w:bottom w:val="none" w:sz="0" w:space="0" w:color="auto"/>
        <w:right w:val="none" w:sz="0" w:space="0" w:color="auto"/>
      </w:divBdr>
    </w:div>
    <w:div w:id="1908417719">
      <w:bodyDiv w:val="1"/>
      <w:marLeft w:val="0"/>
      <w:marRight w:val="0"/>
      <w:marTop w:val="0"/>
      <w:marBottom w:val="0"/>
      <w:divBdr>
        <w:top w:val="none" w:sz="0" w:space="0" w:color="auto"/>
        <w:left w:val="none" w:sz="0" w:space="0" w:color="auto"/>
        <w:bottom w:val="none" w:sz="0" w:space="0" w:color="auto"/>
        <w:right w:val="none" w:sz="0" w:space="0" w:color="auto"/>
      </w:divBdr>
    </w:div>
    <w:div w:id="20162973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201012/ldselect/ldspeak/136/13605.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nsoc.org.uk/the-constitution-explained/the-executiv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uollb.com/blog/english-common-law/separation-of-powers-in-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con241</b:Tag>
    <b:SourceType>InternetSite</b:SourceType>
    <b:Guid>{FC817C63-F72C-468C-8A55-E8C4A0846C0B}</b:Guid>
    <b:Author>
      <b:Author>
        <b:Corporate>consoc</b:Corporate>
      </b:Author>
    </b:Author>
    <b:Title>The executive</b:Title>
    <b:Year>2024</b:Year>
    <b:YearAccessed>2024</b:YearAccessed>
    <b:MonthAccessed>February</b:MonthAccessed>
    <b:DayAccessed>15</b:DayAccessed>
    <b:URL>https://consoc.org.uk/the-constitution-explained/the-executive/#executive</b:URL>
    <b:RefOrder>1</b:RefOrder>
  </b:Source>
  <b:Source>
    <b:Tag>uol23</b:Tag>
    <b:SourceType>InternetSite</b:SourceType>
    <b:Guid>{1DC33B34-493C-4EC1-998B-1CDA095C47FF}</b:Guid>
    <b:Author>
      <b:Author>
        <b:Corporate>uollb</b:Corporate>
      </b:Author>
    </b:Author>
    <b:Title>Separation of Powers in United Kingdom</b:Title>
    <b:Year>2023</b:Year>
    <b:YearAccessed>2024</b:YearAccessed>
    <b:MonthAccessed>February</b:MonthAccessed>
    <b:DayAccessed>15</b:DayAccessed>
    <b:URL>https://uollb.com/blog/english-common-law/separation-of-powers-in-united-kingdom</b:URL>
    <b:RefOrder>2</b:RefOrder>
  </b:Source>
  <b:Source>
    <b:Tag>par24</b:Tag>
    <b:SourceType>InternetSite</b:SourceType>
    <b:Guid>{5C7575EC-80EA-4AEC-BF2F-81EA37D8D2EF}</b:Guid>
    <b:Author>
      <b:Author>
        <b:Corporate>parliament</b:Corporate>
      </b:Author>
    </b:Author>
    <b:Title>Chapter 2: Holding the Executive to Account</b:Title>
    <b:Year>2024</b:Year>
    <b:YearAccessed>2024</b:YearAccessed>
    <b:MonthAccessed>February</b:MonthAccessed>
    <b:DayAccessed>15</b:DayAccessed>
    <b:URL>https://publications.parliament.uk/pa/ld201012/ldselect/ldspeak/136/13605.htm</b:URL>
    <b:RefOrder>3</b:RefOrder>
  </b:Source>
</b:Sources>
</file>

<file path=customXml/itemProps1.xml><?xml version="1.0" encoding="utf-8"?>
<ds:datastoreItem xmlns:ds="http://schemas.openxmlformats.org/officeDocument/2006/customXml" ds:itemID="{09B771A1-7C15-44D0-8E81-90581F0B4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Daniela Dan (2323942)</cp:lastModifiedBy>
  <cp:revision>42</cp:revision>
  <dcterms:created xsi:type="dcterms:W3CDTF">2024-02-21T08:59:00Z</dcterms:created>
  <dcterms:modified xsi:type="dcterms:W3CDTF">2024-03-14T16:40:00Z</dcterms:modified>
</cp:coreProperties>
</file>