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D3240B" w14:textId="77777777" w:rsidR="00DB2D80" w:rsidRDefault="00DB2D80" w:rsidP="00DB2D80">
      <w:pPr>
        <w:spacing w:line="360" w:lineRule="auto"/>
        <w:jc w:val="center"/>
      </w:pPr>
      <w:r>
        <w:rPr>
          <w:noProof/>
        </w:rPr>
        <w:drawing>
          <wp:inline distT="0" distB="0" distL="0" distR="0" wp14:anchorId="128151E7" wp14:editId="062FC2F8">
            <wp:extent cx="1524000" cy="6826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4000" cy="682625"/>
                    </a:xfrm>
                    <a:prstGeom prst="rect">
                      <a:avLst/>
                    </a:prstGeom>
                    <a:noFill/>
                  </pic:spPr>
                </pic:pic>
              </a:graphicData>
            </a:graphic>
          </wp:inline>
        </w:drawing>
      </w:r>
    </w:p>
    <w:p w14:paraId="7D1AA344" w14:textId="77777777" w:rsidR="00DB2D80" w:rsidRPr="00B43F3E" w:rsidRDefault="00DB2D80" w:rsidP="00DB2D80">
      <w:pPr>
        <w:spacing w:line="360" w:lineRule="auto"/>
        <w:jc w:val="center"/>
        <w:rPr>
          <w:b/>
          <w:sz w:val="32"/>
        </w:rPr>
      </w:pPr>
      <w:r w:rsidRPr="00B43F3E">
        <w:rPr>
          <w:b/>
          <w:sz w:val="32"/>
        </w:rPr>
        <w:t>Essay</w:t>
      </w:r>
    </w:p>
    <w:p w14:paraId="01F66FC7" w14:textId="77777777" w:rsidR="00DB2D80" w:rsidRPr="00B43F3E" w:rsidRDefault="00DB2D80" w:rsidP="00DB2D80">
      <w:pPr>
        <w:spacing w:line="360" w:lineRule="auto"/>
        <w:jc w:val="center"/>
        <w:rPr>
          <w:b/>
          <w:sz w:val="32"/>
        </w:rPr>
      </w:pPr>
      <w:r w:rsidRPr="00B43F3E">
        <w:rPr>
          <w:b/>
          <w:sz w:val="32"/>
        </w:rPr>
        <w:t>on</w:t>
      </w:r>
    </w:p>
    <w:p w14:paraId="662AD35F" w14:textId="77777777" w:rsidR="00DB2D80" w:rsidRDefault="00DB2D80" w:rsidP="00DB2D80">
      <w:pPr>
        <w:spacing w:line="360" w:lineRule="auto"/>
        <w:jc w:val="center"/>
      </w:pPr>
    </w:p>
    <w:p w14:paraId="13FBD88E" w14:textId="77777777" w:rsidR="00DB2D80" w:rsidRDefault="00DB2D80" w:rsidP="00DB2D80">
      <w:pPr>
        <w:spacing w:line="360" w:lineRule="auto"/>
        <w:jc w:val="center"/>
        <w:rPr>
          <w:b/>
          <w:i/>
          <w:sz w:val="28"/>
        </w:rPr>
      </w:pPr>
      <w:r w:rsidRPr="00DB2D80">
        <w:rPr>
          <w:b/>
          <w:i/>
          <w:sz w:val="28"/>
        </w:rPr>
        <w:t>Corporate Social Responsibility in Promoting Sustainability: A Case Study of InterContinental Hotels Group (IHG)</w:t>
      </w:r>
    </w:p>
    <w:p w14:paraId="3FAF7F6D" w14:textId="77777777" w:rsidR="00DB2D80" w:rsidRPr="00B43F3E" w:rsidRDefault="00DB2D80" w:rsidP="00DB2D80">
      <w:pPr>
        <w:spacing w:line="360" w:lineRule="auto"/>
        <w:jc w:val="center"/>
        <w:rPr>
          <w:b/>
          <w:sz w:val="32"/>
        </w:rPr>
      </w:pPr>
      <w:r w:rsidRPr="00B43F3E">
        <w:rPr>
          <w:b/>
          <w:sz w:val="32"/>
        </w:rPr>
        <w:t>Assessment 1: Essay</w:t>
      </w:r>
    </w:p>
    <w:p w14:paraId="4AB84925" w14:textId="77777777" w:rsidR="00DB2D80" w:rsidRPr="00B43F3E" w:rsidRDefault="00DB2D80" w:rsidP="00DB2D80">
      <w:pPr>
        <w:spacing w:line="360" w:lineRule="auto"/>
        <w:jc w:val="center"/>
        <w:rPr>
          <w:b/>
          <w:sz w:val="32"/>
        </w:rPr>
      </w:pPr>
      <w:r w:rsidRPr="00B43F3E">
        <w:rPr>
          <w:b/>
          <w:sz w:val="32"/>
        </w:rPr>
        <w:t>BMIH5006</w:t>
      </w:r>
    </w:p>
    <w:p w14:paraId="1ADAF466" w14:textId="77777777" w:rsidR="00DB2D80" w:rsidRPr="00B43F3E" w:rsidRDefault="00DB2D80" w:rsidP="00DB2D80">
      <w:pPr>
        <w:spacing w:line="360" w:lineRule="auto"/>
        <w:jc w:val="center"/>
        <w:rPr>
          <w:b/>
          <w:sz w:val="32"/>
        </w:rPr>
      </w:pPr>
      <w:r w:rsidRPr="00B43F3E">
        <w:rPr>
          <w:b/>
          <w:sz w:val="32"/>
        </w:rPr>
        <w:t>Sustainable Hospitality &amp; Tourism</w:t>
      </w:r>
    </w:p>
    <w:p w14:paraId="5CDEAC5E" w14:textId="77777777" w:rsidR="00DB2D80" w:rsidRPr="00B43F3E" w:rsidRDefault="00DB2D80" w:rsidP="00DB2D80">
      <w:pPr>
        <w:spacing w:line="360" w:lineRule="auto"/>
        <w:jc w:val="center"/>
        <w:rPr>
          <w:b/>
          <w:sz w:val="32"/>
        </w:rPr>
      </w:pPr>
      <w:r w:rsidRPr="00B43F3E">
        <w:rPr>
          <w:b/>
          <w:sz w:val="32"/>
        </w:rPr>
        <w:t>Management</w:t>
      </w:r>
    </w:p>
    <w:p w14:paraId="65877EA5" w14:textId="77777777" w:rsidR="00DB2D80" w:rsidRPr="00B43F3E" w:rsidRDefault="00DB2D80" w:rsidP="00DB2D80">
      <w:pPr>
        <w:spacing w:line="360" w:lineRule="auto"/>
        <w:jc w:val="center"/>
        <w:rPr>
          <w:b/>
          <w:sz w:val="32"/>
        </w:rPr>
      </w:pPr>
      <w:r w:rsidRPr="00B43F3E">
        <w:rPr>
          <w:b/>
          <w:sz w:val="32"/>
        </w:rPr>
        <w:t>LEVEL 5</w:t>
      </w:r>
    </w:p>
    <w:p w14:paraId="1A125A62" w14:textId="3711515A" w:rsidR="00DB2D80" w:rsidRPr="00B43F3E" w:rsidRDefault="003D6DD3" w:rsidP="00DB2D80">
      <w:pPr>
        <w:spacing w:line="360" w:lineRule="auto"/>
        <w:jc w:val="center"/>
        <w:rPr>
          <w:b/>
          <w:sz w:val="32"/>
        </w:rPr>
      </w:pPr>
      <w:r>
        <w:rPr>
          <w:b/>
          <w:sz w:val="32"/>
        </w:rPr>
        <w:t>Lecturer Name:</w:t>
      </w:r>
      <w:r w:rsidR="002A1AB9">
        <w:rPr>
          <w:b/>
          <w:sz w:val="32"/>
        </w:rPr>
        <w:t>Giulia Chifari</w:t>
      </w:r>
    </w:p>
    <w:p w14:paraId="4D221E4B" w14:textId="43C13478" w:rsidR="00DB2D80" w:rsidRPr="00B43F3E" w:rsidRDefault="00DB2D80" w:rsidP="00DB2D80">
      <w:pPr>
        <w:spacing w:line="360" w:lineRule="auto"/>
        <w:jc w:val="center"/>
        <w:rPr>
          <w:b/>
          <w:sz w:val="32"/>
        </w:rPr>
      </w:pPr>
      <w:r w:rsidRPr="00B43F3E">
        <w:rPr>
          <w:b/>
          <w:sz w:val="32"/>
        </w:rPr>
        <w:t>Student Name:</w:t>
      </w:r>
      <w:r w:rsidR="001D59A9">
        <w:rPr>
          <w:b/>
          <w:sz w:val="32"/>
        </w:rPr>
        <w:t xml:space="preserve">Julian Gjoka </w:t>
      </w:r>
    </w:p>
    <w:p w14:paraId="30F10208" w14:textId="1FD1AF60" w:rsidR="00DB2D80" w:rsidRPr="00B43F3E" w:rsidRDefault="00DB2D80" w:rsidP="00DB2D80">
      <w:pPr>
        <w:spacing w:line="360" w:lineRule="auto"/>
        <w:jc w:val="center"/>
        <w:rPr>
          <w:b/>
          <w:sz w:val="32"/>
        </w:rPr>
      </w:pPr>
      <w:r w:rsidRPr="00B43F3E">
        <w:rPr>
          <w:b/>
          <w:sz w:val="32"/>
        </w:rPr>
        <w:t>Student ID:</w:t>
      </w:r>
      <w:r w:rsidR="00DB7AD3">
        <w:rPr>
          <w:b/>
          <w:sz w:val="32"/>
        </w:rPr>
        <w:t>223</w:t>
      </w:r>
      <w:r w:rsidR="009E0255">
        <w:rPr>
          <w:b/>
          <w:sz w:val="32"/>
        </w:rPr>
        <w:t>0507</w:t>
      </w:r>
    </w:p>
    <w:p w14:paraId="28E7BE21" w14:textId="77777777" w:rsidR="00DB2D80" w:rsidRPr="00B43F3E" w:rsidRDefault="00DB2D80" w:rsidP="00DB2D80">
      <w:pPr>
        <w:spacing w:line="360" w:lineRule="auto"/>
        <w:jc w:val="center"/>
        <w:rPr>
          <w:b/>
          <w:sz w:val="32"/>
        </w:rPr>
      </w:pPr>
    </w:p>
    <w:p w14:paraId="5D75CDEE" w14:textId="65DF7591" w:rsidR="00DB2D80" w:rsidRDefault="00DB2D80" w:rsidP="001D59A9">
      <w:pPr>
        <w:spacing w:line="360" w:lineRule="auto"/>
        <w:rPr>
          <w:b/>
          <w:sz w:val="32"/>
        </w:rPr>
      </w:pPr>
    </w:p>
    <w:p w14:paraId="2889372E" w14:textId="77777777" w:rsidR="003D6039" w:rsidRDefault="003D6039" w:rsidP="00DB2D80">
      <w:pPr>
        <w:spacing w:line="360" w:lineRule="auto"/>
        <w:jc w:val="center"/>
        <w:rPr>
          <w:b/>
          <w:sz w:val="32"/>
        </w:rPr>
      </w:pPr>
    </w:p>
    <w:p w14:paraId="06836E4F" w14:textId="77777777" w:rsidR="003D6039" w:rsidRDefault="003D6039" w:rsidP="00DB2D80">
      <w:pPr>
        <w:spacing w:line="360" w:lineRule="auto"/>
        <w:jc w:val="center"/>
        <w:rPr>
          <w:b/>
          <w:sz w:val="32"/>
        </w:rPr>
      </w:pPr>
    </w:p>
    <w:p w14:paraId="0B2FBF9D" w14:textId="77777777" w:rsidR="003D6039" w:rsidRDefault="003D6039" w:rsidP="00DB2D80">
      <w:pPr>
        <w:spacing w:line="360" w:lineRule="auto"/>
        <w:jc w:val="center"/>
        <w:rPr>
          <w:b/>
          <w:sz w:val="32"/>
        </w:rPr>
      </w:pPr>
      <w:r>
        <w:rPr>
          <w:b/>
          <w:sz w:val="32"/>
        </w:rPr>
        <w:t>AI Acknowledgement Statement</w:t>
      </w:r>
    </w:p>
    <w:p w14:paraId="41D692F2" w14:textId="77777777" w:rsidR="003D6039" w:rsidRDefault="003D6039" w:rsidP="00DB2D80">
      <w:pPr>
        <w:spacing w:line="360" w:lineRule="auto"/>
        <w:jc w:val="center"/>
        <w:rPr>
          <w:b/>
          <w:sz w:val="32"/>
        </w:rPr>
      </w:pPr>
    </w:p>
    <w:p w14:paraId="5FD02E7F" w14:textId="77777777" w:rsidR="003D6039" w:rsidRDefault="003D6039" w:rsidP="00DB2D80">
      <w:pPr>
        <w:spacing w:line="360" w:lineRule="auto"/>
        <w:jc w:val="center"/>
        <w:rPr>
          <w:b/>
          <w:sz w:val="32"/>
        </w:rPr>
      </w:pPr>
    </w:p>
    <w:p w14:paraId="50949D25" w14:textId="77777777" w:rsidR="003D6039" w:rsidRDefault="003D6039" w:rsidP="00DB2D80">
      <w:pPr>
        <w:spacing w:line="360" w:lineRule="auto"/>
        <w:jc w:val="center"/>
        <w:rPr>
          <w:b/>
          <w:sz w:val="32"/>
        </w:rPr>
      </w:pPr>
    </w:p>
    <w:p w14:paraId="705D7A91" w14:textId="77777777" w:rsidR="003D6039" w:rsidRDefault="003D6039" w:rsidP="00DB2D80">
      <w:pPr>
        <w:spacing w:line="360" w:lineRule="auto"/>
        <w:jc w:val="center"/>
        <w:rPr>
          <w:b/>
          <w:sz w:val="32"/>
        </w:rPr>
      </w:pPr>
      <w:r>
        <w:rPr>
          <w:b/>
          <w:sz w:val="32"/>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4D33FC9E" w14:textId="77777777" w:rsidR="003D6039" w:rsidRDefault="003D6039" w:rsidP="00DB2D80">
      <w:pPr>
        <w:spacing w:line="360" w:lineRule="auto"/>
        <w:jc w:val="center"/>
        <w:rPr>
          <w:b/>
          <w:sz w:val="32"/>
        </w:rPr>
      </w:pPr>
    </w:p>
    <w:p w14:paraId="5E6F2179" w14:textId="77777777" w:rsidR="003D6039" w:rsidRDefault="003D6039" w:rsidP="00DB2D80">
      <w:pPr>
        <w:spacing w:line="360" w:lineRule="auto"/>
        <w:jc w:val="center"/>
        <w:rPr>
          <w:b/>
          <w:sz w:val="32"/>
        </w:rPr>
      </w:pPr>
    </w:p>
    <w:p w14:paraId="0B6A0A6A" w14:textId="77777777" w:rsidR="005B41A6" w:rsidRDefault="005B41A6" w:rsidP="00DB2D80">
      <w:pPr>
        <w:spacing w:line="360" w:lineRule="auto"/>
        <w:jc w:val="center"/>
        <w:rPr>
          <w:b/>
          <w:sz w:val="32"/>
        </w:rPr>
      </w:pPr>
    </w:p>
    <w:p w14:paraId="7E1E4E02" w14:textId="77777777" w:rsidR="005B41A6" w:rsidRDefault="005B41A6" w:rsidP="00DB2D80">
      <w:pPr>
        <w:spacing w:line="360" w:lineRule="auto"/>
        <w:jc w:val="center"/>
        <w:rPr>
          <w:b/>
          <w:sz w:val="32"/>
        </w:rPr>
      </w:pPr>
    </w:p>
    <w:p w14:paraId="6BA3AA32" w14:textId="77777777" w:rsidR="00D37113" w:rsidRPr="00BF3227" w:rsidRDefault="00BF3227" w:rsidP="00BF3227">
      <w:pPr>
        <w:spacing w:line="360" w:lineRule="auto"/>
        <w:jc w:val="center"/>
        <w:rPr>
          <w:b/>
          <w:i/>
          <w:sz w:val="28"/>
        </w:rPr>
      </w:pPr>
      <w:r w:rsidRPr="00DB2D80">
        <w:rPr>
          <w:b/>
          <w:i/>
          <w:sz w:val="28"/>
        </w:rPr>
        <w:t>Corporate Social Responsibility in Promoting Sustainability: A Case Study of InterContinental Hotels Group (IHG)</w:t>
      </w:r>
    </w:p>
    <w:p w14:paraId="00C52998" w14:textId="77777777" w:rsidR="00A927C5" w:rsidRDefault="00A927C5" w:rsidP="00A927C5">
      <w:pPr>
        <w:spacing w:line="360" w:lineRule="auto"/>
        <w:jc w:val="both"/>
      </w:pPr>
      <w:r>
        <w:t>Corporate social responsibility (CSR) is a business approach that contributes to sustainable development by delivering economic, social, and environmental benefits to all stakeholders. Requiring organizations in the hospitality sector, CSR is pivotal to encouraging sustainable environmental practices and fostering social inclusivity while advancing local community economies. The case study chosen for this essay is InterContinental Hotels Group (</w:t>
      </w:r>
      <w:r w:rsidR="00B558E4">
        <w:t>IHG). IHG, a global hotel brand</w:t>
      </w:r>
      <w:r>
        <w:t>, has developed the IHG Corporate Responsibility Str</w:t>
      </w:r>
      <w:r w:rsidR="00B558E4">
        <w:t>ategy – A Better Tomorrow 2025.</w:t>
      </w:r>
      <w:r>
        <w:t xml:space="preserve"> It aims to drive its ambition to help create Positive, True Hospitality experiences for every single guest while tackling some of the world's most pressing issues. This essay will evaluate some of the impacts CSR can have on sustainability from a critical view of IHG´s CSR initiatives, prioritizing environmental commitment stewardship community efforts and responsible labour forces</w:t>
      </w:r>
      <w:r w:rsidR="00B558E4" w:rsidRPr="00B558E4">
        <w:t xml:space="preserve"> (Roxas, Rivera and Gutierrez, 2018)</w:t>
      </w:r>
      <w:r>
        <w:t>. They will also discuss the influence of CSR policies and practices on employee performance in an intricate, competitive setting like hospitality, the challenges that come with it, and potential opportunities. The essay uses this analysis to demonstrate how CSR can contribute towards a more sustainable future in the hospitality industry and the community landscape.</w:t>
      </w:r>
    </w:p>
    <w:p w14:paraId="26D94F36" w14:textId="77777777" w:rsidR="00A927C5" w:rsidRDefault="00A927C5" w:rsidP="00A927C5">
      <w:pPr>
        <w:spacing w:line="360" w:lineRule="auto"/>
        <w:jc w:val="both"/>
      </w:pPr>
      <w:r>
        <w:t>Adopting a new CSR approach, InterContinental Hotels Group (IHG) has launched "Journey to Tomorrow," an all-encompassing 10-year strategic initiative designed to transform how it responds and makes positive contributions in societies for decades. This plan is organized under the headings of people, communities and planet</w:t>
      </w:r>
      <w:r w:rsidR="00B558E4" w:rsidRPr="00B558E4">
        <w:t xml:space="preserve"> (IHG, 2024)</w:t>
      </w:r>
      <w:r>
        <w:t>. These are areas directly connected to IHG's mission of contributing to global social, environmental and economic well-being through its activities. This holistic approach enables IHG to optimize its operational efficiency and drive real action around the most important sustainability issues</w:t>
      </w:r>
      <w:r w:rsidR="00B558E4" w:rsidRPr="00B558E4">
        <w:t xml:space="preserve"> (Olorunsola, 2020)</w:t>
      </w:r>
      <w:r>
        <w:t>.</w:t>
      </w:r>
    </w:p>
    <w:p w14:paraId="79C09DC9" w14:textId="77777777" w:rsidR="00A927C5" w:rsidRDefault="00A927C5" w:rsidP="00A927C5">
      <w:pPr>
        <w:spacing w:line="360" w:lineRule="auto"/>
        <w:jc w:val="both"/>
      </w:pPr>
      <w:r>
        <w:t>People First IHG launched several people-focused initiatives to safeguard employee well-being, diversity and inclusion. Promoting goodwill by ensuring equal treatment, opportunities for employment and a healthy work environment for employees makes the contingency theory match with good corporate social responsibility practices in IHG. This is in line with broader industry trends that the positive effects of employee engagement and satisfaction on CSR are seen as central factors, increasing companies' culture and operational efficiency (Sloan et al., 2017). This emphasis on employee engagement is essential for sustainable success in hospitality since personnel are crucial agents of delivering quality and sustainability (Inkson &amp; Minnaert 2018).</w:t>
      </w:r>
    </w:p>
    <w:p w14:paraId="6D72252F" w14:textId="77777777" w:rsidR="00A927C5" w:rsidRDefault="00A927C5" w:rsidP="00A927C5">
      <w:pPr>
        <w:spacing w:line="360" w:lineRule="auto"/>
        <w:jc w:val="both"/>
      </w:pPr>
      <w:r>
        <w:t>This represents IHG's commitment to supporting local economies through sustainable measures and encouraging responsible tourism</w:t>
      </w:r>
      <w:r w:rsidR="00AA2CC0" w:rsidRPr="00AA2CC0">
        <w:t xml:space="preserve"> (Peeters, Çakmak and Guiver, 2024)</w:t>
      </w:r>
      <w:r>
        <w:t>. This coverage may include arrangements with local suppliers, charitable programs and disaster relief efforts. In this vein, benefiting communities and promoting sustainable tourism is more than just giving the dollar; it is about building resilience and contributing to a positive gain for local stakeholders (Haski-Leventhal 2018). In the age of smart consumers, who are tuned into and act based on their travel choices to be mindful of the social outcomes associated with them (Cooper 2021), it is crucial to use a community-centred method.</w:t>
      </w:r>
    </w:p>
    <w:p w14:paraId="4F097994" w14:textId="77777777" w:rsidR="00A927C5" w:rsidRDefault="00A927C5" w:rsidP="00A927C5">
      <w:pPr>
        <w:spacing w:line="360" w:lineRule="auto"/>
        <w:jc w:val="both"/>
      </w:pPr>
      <w:r>
        <w:t>The Journey to Tomorrow is a new plan from IHG that places environmental sustainability at its heart. The company is committed to using energy-efficient technology to minimize water use, waste, and carbon footprint. Through IHG's Green Engage system, hotels can measure and report their environmental performance Immersion Gaming Chairs so that they remain accountable (Sloan et al., 2017). These actions are in concert with international sustainable tourism initiatives that urge hotels to adopt practices of sustainability so as to at least partially blame local factors that caused environmental harm (Korstanje et al., 2020). In this case, the CSR strategy of IHG is a good example of how large-scale hospitality brands can include sustainability in their operations by considering people, communities and the planet (Edgell 2020).</w:t>
      </w:r>
    </w:p>
    <w:p w14:paraId="398A0632" w14:textId="77777777" w:rsidR="00A927C5" w:rsidRDefault="00A927C5" w:rsidP="00A927C5">
      <w:pPr>
        <w:spacing w:line="360" w:lineRule="auto"/>
        <w:jc w:val="both"/>
      </w:pPr>
      <w:r>
        <w:t>The Intercontinental Hotels Group (IHG) has also engineered the implementation of various Corporate Social Responsibility Initiatives to promote sustainability, especially its environmental stewardship and community engagement programs, which are considered strategies related to CSR and some employee well-being. Green Engage IHG also commits to maximizing sustainability impacts across its operations, ensuring an integrated approach that combines the energy and carbon/cost reduction benefits gained with meeting or exceeding stakeholder expectations for sustainable hotel operations</w:t>
      </w:r>
      <w:r w:rsidR="00B558E4" w:rsidRPr="00B558E4">
        <w:t xml:space="preserve"> (Kairatkyzy and Kozhakova, 2023)</w:t>
      </w:r>
      <w:r>
        <w:t>. It is an effort to track and control energy, water and waste across all its hotels to decarbonize hospitality. Green Engage system reduces carbon &amp; energy emissions across IHG in alignment with global standards for sustainability. In addition to supporting environmental compliance, this system improves resource conservation by reducing wasted materials (Sloan Legrand &amp; Chen 2017). IHG's willingness to reduce the operating risks created by climate change helps identify such initiatives and maximize stakeholder financial value (Haski-Leventhal, 2018). Such measures exemplify the company's proactive stance of 'walk the walk' against its strategy of discussing sustainable tourism (Inkson and Minnaert, 2018).</w:t>
      </w:r>
    </w:p>
    <w:p w14:paraId="7F1C876C" w14:textId="77777777" w:rsidR="00A927C5" w:rsidRDefault="00A927C5" w:rsidP="00A927C5">
      <w:pPr>
        <w:spacing w:line="360" w:lineRule="auto"/>
        <w:jc w:val="both"/>
      </w:pPr>
      <w:r>
        <w:t>Additionally, IHG offers a robust community engagement-focused CSR approach. In addition, the company also takes due care of its local societies by engaging in partnerships and humanitarian activities and saving relief efforts during a catastrophe. This includes hallmark programs such as the IHG Academy, which delivers training and jobs for local people to ensure they have the skills and knowledge needed to work in hospitality. This step does aid in local workforce augmentation but also ensures sustainable tourism and involves the community with the overall economic gains of the hospitality sector (Cooper, 2021). In addition, IHG gives support as part of community initiatives, which not only allude to socio-cultural sustainability for supporting cultural heritage and sustainable local practices through the participation or collaboration with related institutions to help improve long-term relationships, favouring positive exposure to both parties (Edgell, 2020).</w:t>
      </w:r>
    </w:p>
    <w:p w14:paraId="04844395" w14:textId="77777777" w:rsidR="00A927C5" w:rsidRDefault="00A927C5" w:rsidP="00A927C5">
      <w:pPr>
        <w:spacing w:line="360" w:lineRule="auto"/>
        <w:jc w:val="both"/>
      </w:pPr>
      <w:r>
        <w:t>Actively supporting employee engagement is the fourth pillar of IHG´s CSR strategy. It is the commitment of the company to offer decent pay, quality working conditions and personal opportunities for growth. IHG drives employee loyalty and satisfaction by building an atmosphere that supports a sense of belonging, which leads to better service quality and operational performance (Jauhari, 2021). In addition, IHG can enhance its image as a socially responsible company by creating true diversity and equal opportunities in the workplace, which sits well with sustainability goals being achieved (Wickham et al. 2021). The emphasis on employee well-being is in line with the wider trend in hospitality to incorporate social sustainability into CSR strategies (Korstanje, George and Nedelea 2020). These efforts from IHG show how CSR can play an important role in sustainability and deliver value to the business, as well as towards supporting environmental protection for local communities and staff.</w:t>
      </w:r>
    </w:p>
    <w:p w14:paraId="61215CA8" w14:textId="77777777" w:rsidR="00A927C5" w:rsidRDefault="00A927C5" w:rsidP="00A927C5">
      <w:pPr>
        <w:spacing w:line="360" w:lineRule="auto"/>
        <w:jc w:val="both"/>
      </w:pPr>
      <w:r>
        <w:t>IHG’s CSR strategy goes beyond environmental stewardship, community engagement and employee well-being to cover bro</w:t>
      </w:r>
      <w:r w:rsidR="00B558E4">
        <w:t>ader sustainability challenges and opportunities</w:t>
      </w:r>
      <w:r>
        <w:t xml:space="preserve"> in the global hospitality industry. With climate change and resource depletion at an all-time critical level, the hospitality industry faces greater pressure than ever to introduce sustainable practices that meet or exceed regulations and make tangible contributions towards international environmental objectives</w:t>
      </w:r>
      <w:r w:rsidR="00B558E4" w:rsidRPr="00B558E4">
        <w:t xml:space="preserve"> (Voegeli, 2021)</w:t>
      </w:r>
      <w:r>
        <w:t>. The Green Engage system from IHG is very valuable in that context, as it offers a tangible and mandatory tool that allows hotels to measure their environmental performance. Using data-informed insights allows properties to understand where they are wasting resources and take action towards long-term sustainability (Sloan, Legrand &amp; Chen 2017).</w:t>
      </w:r>
    </w:p>
    <w:p w14:paraId="57EC7557" w14:textId="77777777" w:rsidR="00A927C5" w:rsidRDefault="00A927C5" w:rsidP="00A927C5">
      <w:pPr>
        <w:spacing w:line="360" w:lineRule="auto"/>
        <w:jc w:val="both"/>
      </w:pPr>
      <w:r>
        <w:t>In addition to this, IHG works closely on community involvement outside of just giving money or disaster relief efforts. The company is committed to sustainable tourism and will actively support what, in turn, supports the local economy or ecosystem. By partnering with local suppliers and promoting sustainable tourism experiences, IHG ensures that travel benefits are designed to enhance, not deplete, natural resources. It corresponds with triple-bottom-line sustainability whereby the integration of environmental, social and economic outcomes is balanced (Haski-Leventhal 2018). It strengthens the bonds between hotels and host communities, enhances IHG's corporate image, supports local cultural diversity, and secures ecological services (Inkson &amp; Minnaert 2018).</w:t>
      </w:r>
    </w:p>
    <w:p w14:paraId="255E826B" w14:textId="77777777" w:rsidR="00A927C5" w:rsidRDefault="00A927C5" w:rsidP="00A927C5">
      <w:pPr>
        <w:spacing w:line="360" w:lineRule="auto"/>
        <w:jc w:val="both"/>
      </w:pPr>
      <w:r>
        <w:t>Introducing Corporate Social Responsibility (CSR) into a hospitality environment, especially one with an extensive global presence like InterContinental Hotels Group (IHG), brings its hurdles. The changing nature of the industry is part of what makes this so difficult. Due to the volatile nature of tourism trends, economic climates and customer characteristics in general, it is more challenging for a firm to ensure that all of its locations will remain able to adhere to its CSR efforts at every moment (Inkson; Minnaert 2018). For example, the operational environments in which IHG operates differ widely, so stakeholder requirements vary. As a result, it isn't easy to develop a one-size-fits-all CSR strategy.</w:t>
      </w:r>
    </w:p>
    <w:p w14:paraId="35BE075B" w14:textId="77777777" w:rsidR="00A927C5" w:rsidRDefault="00A927C5" w:rsidP="00A927C5">
      <w:pPr>
        <w:spacing w:line="360" w:lineRule="auto"/>
        <w:jc w:val="both"/>
      </w:pPr>
      <w:r>
        <w:t>However, a major reason is that regulatory frameworks must be uniform between countries. Many parts of the world have different environmental, labour and community legal regulations. As a global operator, IHG battles to find energy- and water-conservation solutions that best balance its sustainability goals against local laws in each market. This result causes oft-unevenCSR-initiative rollout, where certain regions have more mature sustainability developments than others (Sloan et al., 2017).</w:t>
      </w:r>
    </w:p>
    <w:p w14:paraId="562D08A5" w14:textId="77777777" w:rsidR="00A927C5" w:rsidRDefault="00A927C5" w:rsidP="00A927C5">
      <w:pPr>
        <w:spacing w:line="360" w:lineRule="auto"/>
        <w:jc w:val="both"/>
      </w:pPr>
      <w:r>
        <w:t>They also have financial limitations, which stop these organizations from completely utilizing CSR practices. Such new technology, whether for carbon reduction or waste management systems, could be a serious investment</w:t>
      </w:r>
      <w:r w:rsidR="0002358E" w:rsidRPr="0002358E">
        <w:t xml:space="preserve"> (Fernandes, 2021)</w:t>
      </w:r>
      <w:r>
        <w:t>. A common cost pushed to hotels like IHG is contingent on staff training in sustainable practices—yet another expense that poses a greater burden, especially for markets where profit margins are only above zero (Haski-Leventhal, 2018). There is the issue of initial outlay hindering buy-in from stakeholders, who baulk at short-term inconvenience for long-term gain.</w:t>
      </w:r>
    </w:p>
    <w:p w14:paraId="18B192F0" w14:textId="77777777" w:rsidR="00A927C5" w:rsidRDefault="00A927C5" w:rsidP="00A927C5">
      <w:pPr>
        <w:spacing w:line="360" w:lineRule="auto"/>
        <w:jc w:val="both"/>
      </w:pPr>
      <w:r>
        <w:t>In essence, IHG's problems in embedding CSR into its businesses are complicated due to economic constraints, certificate inconsistencies, and the need to establish additional layers and appropriate complications encountered by a powerful market. Such challenges must be addressed with the dual principle of local adaptability and global sustainability goals (Cooper, 2021).</w:t>
      </w:r>
    </w:p>
    <w:p w14:paraId="6F5EB15D" w14:textId="77777777" w:rsidR="00A927C5" w:rsidRDefault="00A927C5" w:rsidP="00A927C5">
      <w:pPr>
        <w:spacing w:line="360" w:lineRule="auto"/>
        <w:jc w:val="both"/>
      </w:pPr>
      <w:r>
        <w:t>The more IHG works at the intersection of CSR and core business, the greater its opportunity to change what we expect from a hotel company. Change is needed, and renewable energy integration will be a solution. IHG can also cut back on its carbon emissions by going solar, wind, and other sustainable energy routes, which helps IHG address global sustainability goals to maintain competitiveness (Sloan et al. 2017). This enhances operational efficiency and aligns with a segm</w:t>
      </w:r>
      <w:r w:rsidR="0002358E">
        <w:t>ent that is increasing in size</w:t>
      </w:r>
      <w:r>
        <w:t xml:space="preserve"> eco-conscious travellers.</w:t>
      </w:r>
    </w:p>
    <w:p w14:paraId="1EC7351F" w14:textId="77777777" w:rsidR="00A927C5" w:rsidRDefault="00A927C5" w:rsidP="00A927C5">
      <w:pPr>
        <w:spacing w:line="360" w:lineRule="auto"/>
        <w:jc w:val="both"/>
      </w:pPr>
      <w:r>
        <w:t>It can also be in waste management, with the IHG leading by reducing our production of waste through actions like banishing single-use plastics and improving recycling programs. Many global hotels are already going down this path, and IHG could draw on these examples to help reduce its environmental footprint." Waste management supports environmental sustainability for IHG and strengthens its relationship with environmentally concerned consumers by enhancing brand loyalty (Haski-Leventhal, 2018).</w:t>
      </w:r>
    </w:p>
    <w:p w14:paraId="5B4DB529" w14:textId="77777777" w:rsidR="00A927C5" w:rsidRDefault="00A927C5" w:rsidP="00A927C5">
      <w:pPr>
        <w:spacing w:line="360" w:lineRule="auto"/>
        <w:jc w:val="both"/>
      </w:pPr>
      <w:r>
        <w:t>Regarding CSR strategies, IHG can further excel in sustainable tourism. In working with local communities and offering sustainable tourism, IHG can cultivate mutually beneficial relationships between the brand and each local economy (Wickham et al., 2021). In addition, they could provide greater CSR impact in regions with limited sustainability infrastructure by partnering with governmental and non-governmental organizations (Edgell, 2020). Enterprise: These partnerships might assist IHG in inculcating green building technologies and sustainable practices, catering to local as well as international standards of sustainability in their business (Management Association, 2018).</w:t>
      </w:r>
    </w:p>
    <w:p w14:paraId="4F2BCA00" w14:textId="77777777" w:rsidR="00A927C5" w:rsidRDefault="0002358E" w:rsidP="00A927C5">
      <w:pPr>
        <w:spacing w:line="360" w:lineRule="auto"/>
        <w:jc w:val="both"/>
      </w:pPr>
      <w:r>
        <w:t>Finally</w:t>
      </w:r>
      <w:r w:rsidR="00A927C5">
        <w:t>, while tremendous opportunities lie ahead of IHG in terms of renewable energy/ waste management/sustainable tourism, these breakthroughs are gradually challenging the existing CSR standards and making the journey more fast-forward for the hospitality sector. If they ignore such shift conformation or come out as a leading example, they will lose out on their sustainability voyage</w:t>
      </w:r>
      <w:r w:rsidRPr="0002358E">
        <w:t xml:space="preserve"> (Font et al., 2021)</w:t>
      </w:r>
      <w:r w:rsidR="00A927C5">
        <w:t>. Taking advantage of these moments can allow IHG to prioritize both global environmental challenges and look at the local economic opportunities that will create a more sustainable hospitality industry in future years.</w:t>
      </w:r>
    </w:p>
    <w:p w14:paraId="5DF12F40" w14:textId="77777777" w:rsidR="003737EC" w:rsidRPr="003737EC" w:rsidRDefault="00A927C5" w:rsidP="00A927C5">
      <w:pPr>
        <w:spacing w:line="360" w:lineRule="auto"/>
        <w:jc w:val="both"/>
      </w:pPr>
      <w:r>
        <w:t>Ultimately, Corporate Social Responsibility (CSR) is crucial in ensuring sustainability within the hospitality industry. For example, the InterContinental Hotels Group (IHG) models this well; at IHG, its priorities include environmental stewardship, community outreach, and employee health proactivity. These activities mirror a conscientious strategy in creating responsible business actions parallel to the sustainability paradigms reported by Sloan and others. 2017) focuses primarily on the operational efficiency side of reducing environmental impact. Yet, regulatory differences from one region to the next and fiscal pressures tied to environmentally friendly operations remain bottom-line challenges. Although some uncertainty remains, the current global health crisis has created an unprecedented opportunity for sustainable growth in IHG´s CSR strategy that can transcend even deeper within its core business by following similar footsteps of transformative shifts seen among key players in the tourism sector. The ongoing CSR payoff boosts IHG's corporate reputation and creates value for the environment, communities, and in-house staff. By addressing the gap of challenges and receiving new territories for innovation, IHG and other hospitality providers can take upper guarantee vis-à-vis sustainable practices in general, contributing to a much better future.</w:t>
      </w:r>
    </w:p>
    <w:p w14:paraId="08AE8E82" w14:textId="77777777" w:rsidR="003737EC" w:rsidRPr="003737EC" w:rsidRDefault="003737EC" w:rsidP="003737EC">
      <w:pPr>
        <w:spacing w:line="360" w:lineRule="auto"/>
        <w:jc w:val="both"/>
      </w:pPr>
    </w:p>
    <w:p w14:paraId="2B9DC60D" w14:textId="77777777" w:rsidR="005B41A6" w:rsidRPr="005B41A6" w:rsidRDefault="005B41A6" w:rsidP="005B41A6">
      <w:pPr>
        <w:spacing w:line="360" w:lineRule="auto"/>
        <w:jc w:val="both"/>
      </w:pPr>
    </w:p>
    <w:p w14:paraId="5EC3BCBC" w14:textId="77777777" w:rsidR="005B41A6" w:rsidRDefault="005B41A6" w:rsidP="005B41A6"/>
    <w:p w14:paraId="162C543D" w14:textId="77777777" w:rsidR="00BF3227" w:rsidRDefault="00BF3227" w:rsidP="00BF3227">
      <w:pPr>
        <w:spacing w:line="360" w:lineRule="auto"/>
      </w:pPr>
    </w:p>
    <w:p w14:paraId="3DA856C4" w14:textId="77777777" w:rsidR="00BF3227" w:rsidRDefault="00BF3227" w:rsidP="00BF3227">
      <w:pPr>
        <w:spacing w:line="360" w:lineRule="auto"/>
      </w:pPr>
    </w:p>
    <w:p w14:paraId="7E15764A" w14:textId="77777777" w:rsidR="00BF3227" w:rsidRDefault="00BF3227" w:rsidP="00BF3227">
      <w:pPr>
        <w:spacing w:line="360" w:lineRule="auto"/>
      </w:pPr>
    </w:p>
    <w:p w14:paraId="1867F3F7" w14:textId="77777777" w:rsidR="00BF3227" w:rsidRDefault="00BF3227" w:rsidP="00BF3227">
      <w:pPr>
        <w:spacing w:line="360" w:lineRule="auto"/>
      </w:pPr>
    </w:p>
    <w:p w14:paraId="6707009A" w14:textId="77777777" w:rsidR="00BF3227" w:rsidRDefault="00BF3227" w:rsidP="00BF3227">
      <w:pPr>
        <w:spacing w:line="360" w:lineRule="auto"/>
      </w:pPr>
    </w:p>
    <w:p w14:paraId="12AF04CA" w14:textId="77777777" w:rsidR="00BF3227" w:rsidRDefault="00BF3227" w:rsidP="00BF3227">
      <w:pPr>
        <w:spacing w:line="360" w:lineRule="auto"/>
      </w:pPr>
    </w:p>
    <w:p w14:paraId="5F5781FD" w14:textId="77777777" w:rsidR="00BF3227" w:rsidRDefault="00BF3227" w:rsidP="00BF3227">
      <w:pPr>
        <w:spacing w:line="360" w:lineRule="auto"/>
      </w:pPr>
    </w:p>
    <w:p w14:paraId="3B22A120" w14:textId="77777777" w:rsidR="00BF3227" w:rsidRDefault="00BF3227" w:rsidP="00BF3227">
      <w:pPr>
        <w:spacing w:line="360" w:lineRule="auto"/>
      </w:pPr>
    </w:p>
    <w:p w14:paraId="3A8C16C7" w14:textId="77777777" w:rsidR="00BF3227" w:rsidRDefault="00BF3227" w:rsidP="00BF3227">
      <w:pPr>
        <w:spacing w:line="360" w:lineRule="auto"/>
      </w:pPr>
    </w:p>
    <w:p w14:paraId="2B529514" w14:textId="77777777" w:rsidR="00BF3227" w:rsidRDefault="00BF3227" w:rsidP="00BF3227">
      <w:pPr>
        <w:spacing w:line="360" w:lineRule="auto"/>
      </w:pPr>
    </w:p>
    <w:p w14:paraId="1A2DF05E" w14:textId="77777777" w:rsidR="00BF3227" w:rsidRDefault="00BF3227" w:rsidP="00BF3227">
      <w:pPr>
        <w:spacing w:line="360" w:lineRule="auto"/>
      </w:pPr>
    </w:p>
    <w:p w14:paraId="6F6B004A" w14:textId="77777777" w:rsidR="00BF3227" w:rsidRDefault="00BF3227" w:rsidP="00BF3227">
      <w:pPr>
        <w:spacing w:line="360" w:lineRule="auto"/>
      </w:pPr>
    </w:p>
    <w:p w14:paraId="76F71549" w14:textId="77777777" w:rsidR="00BF3227" w:rsidRDefault="00BF3227" w:rsidP="00BF3227">
      <w:pPr>
        <w:spacing w:line="360" w:lineRule="auto"/>
      </w:pPr>
    </w:p>
    <w:p w14:paraId="7FF87BD7" w14:textId="77777777" w:rsidR="00BF3227" w:rsidRDefault="00BF3227" w:rsidP="00BF3227">
      <w:pPr>
        <w:spacing w:line="360" w:lineRule="auto"/>
      </w:pPr>
    </w:p>
    <w:p w14:paraId="7AB3DDB7" w14:textId="77777777" w:rsidR="00BF3227" w:rsidRDefault="00BF3227" w:rsidP="00BF3227">
      <w:pPr>
        <w:spacing w:line="360" w:lineRule="auto"/>
      </w:pPr>
    </w:p>
    <w:p w14:paraId="614DA3FF" w14:textId="77777777" w:rsidR="00BF3227" w:rsidRPr="00BF3227" w:rsidRDefault="00BF3227" w:rsidP="00BF3227">
      <w:pPr>
        <w:spacing w:line="360" w:lineRule="auto"/>
        <w:rPr>
          <w:b/>
        </w:rPr>
      </w:pPr>
      <w:r w:rsidRPr="00BF3227">
        <w:rPr>
          <w:b/>
        </w:rPr>
        <w:t>Reference List:</w:t>
      </w:r>
    </w:p>
    <w:p w14:paraId="7A996AD7" w14:textId="77777777" w:rsidR="001D20F2" w:rsidRPr="00BF3227" w:rsidRDefault="001D20F2" w:rsidP="001D20F2">
      <w:pPr>
        <w:spacing w:line="360" w:lineRule="auto"/>
      </w:pPr>
      <w:r w:rsidRPr="00BF3227">
        <w:t xml:space="preserve">Batabyal, A. (2018) </w:t>
      </w:r>
      <w:r w:rsidRPr="00B558E4">
        <w:rPr>
          <w:i/>
          <w:iCs/>
        </w:rPr>
        <w:t>Managing sustainable tourism resources</w:t>
      </w:r>
      <w:r w:rsidRPr="00BF3227">
        <w:t>. IGI Global.</w:t>
      </w:r>
    </w:p>
    <w:p w14:paraId="6AA4A7F3" w14:textId="77777777" w:rsidR="001D20F2" w:rsidRDefault="001D20F2" w:rsidP="00B558E4">
      <w:pPr>
        <w:spacing w:line="360" w:lineRule="auto"/>
      </w:pPr>
      <w:r w:rsidRPr="00BF3227">
        <w:t xml:space="preserve">Costa, C. and Costa, C. (2022) </w:t>
      </w:r>
      <w:r w:rsidRPr="00B558E4">
        <w:rPr>
          <w:i/>
          <w:iCs/>
        </w:rPr>
        <w:t>Sustainability and competitiveness in the hospitality industry</w:t>
      </w:r>
      <w:r w:rsidRPr="00BF3227">
        <w:t>. Business Science Reference.</w:t>
      </w:r>
    </w:p>
    <w:p w14:paraId="49CBFA0E" w14:textId="77777777" w:rsidR="00BF3227" w:rsidRPr="00BF3227" w:rsidRDefault="00BF3227" w:rsidP="00B558E4">
      <w:pPr>
        <w:spacing w:line="360" w:lineRule="auto"/>
      </w:pPr>
      <w:r w:rsidRPr="00BF3227">
        <w:t xml:space="preserve">Cooper, C. (2021) </w:t>
      </w:r>
      <w:r w:rsidRPr="00B558E4">
        <w:rPr>
          <w:i/>
          <w:iCs/>
        </w:rPr>
        <w:t>Essentials of tourism</w:t>
      </w:r>
      <w:r w:rsidRPr="00BF3227">
        <w:t>. 3rd edn. London: SAGE.</w:t>
      </w:r>
    </w:p>
    <w:p w14:paraId="3144D0B1" w14:textId="77777777" w:rsidR="00BF3227" w:rsidRPr="00BF3227" w:rsidRDefault="00BF3227" w:rsidP="00B558E4">
      <w:pPr>
        <w:spacing w:line="360" w:lineRule="auto"/>
      </w:pPr>
      <w:r w:rsidRPr="00BF3227">
        <w:t xml:space="preserve">Edgell, D. L. (2020) </w:t>
      </w:r>
      <w:r w:rsidRPr="00B558E4">
        <w:rPr>
          <w:i/>
          <w:iCs/>
        </w:rPr>
        <w:t>Managing sustainable tourism: a legacy for the future</w:t>
      </w:r>
      <w:r w:rsidRPr="00BF3227">
        <w:t>. 3rd edn. London: Routledge.</w:t>
      </w:r>
    </w:p>
    <w:p w14:paraId="3806D577" w14:textId="77777777" w:rsidR="00FF2569" w:rsidRPr="00FF2569" w:rsidRDefault="001D20F2" w:rsidP="00FF2569">
      <w:pPr>
        <w:spacing w:line="360" w:lineRule="auto"/>
      </w:pPr>
      <w:r>
        <w:t>Fernandes, F. (2021)</w:t>
      </w:r>
      <w:r w:rsidR="00FF2569" w:rsidRPr="00FF2569">
        <w:t> </w:t>
      </w:r>
      <w:r w:rsidR="00FF2569" w:rsidRPr="00FF2569">
        <w:rPr>
          <w:i/>
          <w:iCs/>
        </w:rPr>
        <w:t>Intercontinental Hotels Group - Time to Check-In - ProQuest</w:t>
      </w:r>
      <w:r w:rsidR="00FF2569" w:rsidRPr="00FF2569">
        <w:t>. [online] Available at: https://www.proquest.com/openview/5c61b3410b66a714c863c054e647c987/1?pq-origsite=gscholar&amp;cbl=2026366&amp;diss=y.</w:t>
      </w:r>
      <w:r w:rsidRPr="001D20F2">
        <w:t xml:space="preserve"> [Accessed 14 Oct. 2024]</w:t>
      </w:r>
    </w:p>
    <w:p w14:paraId="793814C9" w14:textId="77777777" w:rsidR="00FF2569" w:rsidRPr="00FF2569" w:rsidRDefault="00FF2569" w:rsidP="00FF2569">
      <w:pPr>
        <w:spacing w:line="360" w:lineRule="auto"/>
      </w:pPr>
      <w:r w:rsidRPr="00FF2569">
        <w:t xml:space="preserve">Font, X., English, R., Gkritzali, </w:t>
      </w:r>
      <w:r w:rsidR="001D20F2">
        <w:t>A. and Tian, W. (Stella) (2021)</w:t>
      </w:r>
      <w:r w:rsidRPr="00FF2569">
        <w:t xml:space="preserve"> Value co-creation in sustainable tourism: A service-dominant logic approach. </w:t>
      </w:r>
      <w:r w:rsidRPr="00FF2569">
        <w:rPr>
          <w:i/>
          <w:iCs/>
        </w:rPr>
        <w:t>Tourism Management</w:t>
      </w:r>
      <w:r w:rsidRPr="00FF2569">
        <w:t>, 82, p.104200. doi:https://doi.org/10.1016/j.tourman.2020.104200.</w:t>
      </w:r>
    </w:p>
    <w:p w14:paraId="77826C0F" w14:textId="77777777" w:rsidR="001D20F2" w:rsidRDefault="001D20F2" w:rsidP="00FF2569">
      <w:pPr>
        <w:spacing w:line="360" w:lineRule="auto"/>
      </w:pPr>
      <w:r w:rsidRPr="00BF3227">
        <w:t xml:space="preserve">Haski-Leventhal, D. (2018) </w:t>
      </w:r>
      <w:r w:rsidRPr="00B558E4">
        <w:rPr>
          <w:i/>
          <w:iCs/>
        </w:rPr>
        <w:t>Strategic corporate social responsibility: tools &amp; theories for responsible management</w:t>
      </w:r>
      <w:r w:rsidRPr="00BF3227">
        <w:t>. London: SAGE.</w:t>
      </w:r>
    </w:p>
    <w:p w14:paraId="61788431" w14:textId="77777777" w:rsidR="001D20F2" w:rsidRDefault="001D20F2" w:rsidP="00FF2569">
      <w:pPr>
        <w:spacing w:line="360" w:lineRule="auto"/>
      </w:pPr>
      <w:r w:rsidRPr="00BF3227">
        <w:t xml:space="preserve">Inkson, C. and Minnaert, L. (2018) </w:t>
      </w:r>
      <w:r w:rsidRPr="00B558E4">
        <w:rPr>
          <w:i/>
          <w:iCs/>
        </w:rPr>
        <w:t>Tourism management: an introduction</w:t>
      </w:r>
      <w:r w:rsidRPr="00BF3227">
        <w:t>. 2nd edn. London: SAGE.</w:t>
      </w:r>
    </w:p>
    <w:p w14:paraId="677438AB" w14:textId="77777777" w:rsidR="00FF2569" w:rsidRPr="00FF2569" w:rsidRDefault="00FF2569" w:rsidP="00FF2569">
      <w:pPr>
        <w:spacing w:line="360" w:lineRule="auto"/>
      </w:pPr>
      <w:r w:rsidRPr="00FF2569">
        <w:t>IHG. (2024) </w:t>
      </w:r>
      <w:r w:rsidRPr="00FF2569">
        <w:rPr>
          <w:i/>
          <w:iCs/>
        </w:rPr>
        <w:t>IHG Hotels &amp; Resorts</w:t>
      </w:r>
      <w:r w:rsidRPr="00FF2569">
        <w:t>. [online] Available at: https://www.ihg.com/hotels/gb/en/reservation?fromRedirect=true&amp;qSrt=sAV&amp;setPMCookies=true&amp;dp=true&amp;gclid=Cj0KCQjwgrO4BhC2ARIsAKQ7zUlgKY1Q0lww9RZaFyBj2Br_IbDkeScyyVvqj-ArZGiXYoIQO4XYWFAaAsHWEALw_wcB&amp;cm_mmc=PDSEA-_-G_F-IMEA_FS-SWA_H-IMEA_HS-SWA_6C_BSF_EXM_CORE-IHG_EN&amp;srb_u=1 [Accessed 14 Oct. 2024].</w:t>
      </w:r>
    </w:p>
    <w:p w14:paraId="70AEF566" w14:textId="77777777" w:rsidR="001D20F2" w:rsidRPr="00BF3227" w:rsidRDefault="001D20F2" w:rsidP="001D20F2">
      <w:pPr>
        <w:spacing w:line="360" w:lineRule="auto"/>
      </w:pPr>
      <w:r w:rsidRPr="00BF3227">
        <w:t xml:space="preserve">Jauhari, V. (2021) </w:t>
      </w:r>
      <w:r w:rsidRPr="00B558E4">
        <w:rPr>
          <w:i/>
          <w:iCs/>
        </w:rPr>
        <w:t>Managing sustainability in the hospitality and tourism industry: paradigms and directions for the future</w:t>
      </w:r>
      <w:r w:rsidRPr="00BF3227">
        <w:t>. 9th edn. Oakville: Apple Academic Press Inc.</w:t>
      </w:r>
    </w:p>
    <w:p w14:paraId="03093EDF" w14:textId="77777777" w:rsidR="001D20F2" w:rsidRDefault="001D20F2" w:rsidP="00B558E4">
      <w:pPr>
        <w:spacing w:line="360" w:lineRule="auto"/>
      </w:pPr>
      <w:r w:rsidRPr="00BF3227">
        <w:t xml:space="preserve">Korstanje, M. E., George, B. and Nedelea, A. (2020) </w:t>
      </w:r>
      <w:r w:rsidRPr="00B558E4">
        <w:rPr>
          <w:i/>
          <w:iCs/>
        </w:rPr>
        <w:t>Strategies for promoting sustainable hospitality and tourism services</w:t>
      </w:r>
      <w:r w:rsidRPr="00BF3227">
        <w:t>. IGI Global.</w:t>
      </w:r>
    </w:p>
    <w:p w14:paraId="14BDAB62" w14:textId="77777777" w:rsidR="00FF2569" w:rsidRDefault="00FF2569" w:rsidP="00B558E4">
      <w:pPr>
        <w:spacing w:line="360" w:lineRule="auto"/>
      </w:pPr>
      <w:r w:rsidRPr="00FF2569">
        <w:t>Kairatky</w:t>
      </w:r>
      <w:r w:rsidR="001D20F2">
        <w:t>zy, N. and Kozhakova, D. (2023)</w:t>
      </w:r>
      <w:r w:rsidRPr="00FF2569">
        <w:t xml:space="preserve"> Waste management in the hospitality industry in Astana. A comparison of three companies and recommendations to maintain ecologically responsible business. </w:t>
      </w:r>
      <w:r w:rsidRPr="00FF2569">
        <w:rPr>
          <w:i/>
          <w:iCs/>
        </w:rPr>
        <w:t>repository.kazguu.kz</w:t>
      </w:r>
      <w:r w:rsidRPr="00FF2569">
        <w:t>. [online] Available at: http://repository.kazguu.kz/handle/123456789/1844.</w:t>
      </w:r>
      <w:r w:rsidR="001D20F2" w:rsidRPr="001D20F2">
        <w:t xml:space="preserve"> [Accessed 14 Oct. 2024]</w:t>
      </w:r>
    </w:p>
    <w:p w14:paraId="4B649530" w14:textId="77777777" w:rsidR="00BF3227" w:rsidRPr="00BF3227" w:rsidRDefault="00BF3227" w:rsidP="00B558E4">
      <w:pPr>
        <w:spacing w:line="360" w:lineRule="auto"/>
      </w:pPr>
      <w:r w:rsidRPr="00BF3227">
        <w:t xml:space="preserve">Management Association (2018) </w:t>
      </w:r>
      <w:r w:rsidRPr="00B558E4">
        <w:rPr>
          <w:i/>
          <w:iCs/>
        </w:rPr>
        <w:t>Sustainable tourism</w:t>
      </w:r>
      <w:r w:rsidRPr="00BF3227">
        <w:t>. IGI Global.</w:t>
      </w:r>
    </w:p>
    <w:p w14:paraId="6CBC20F6" w14:textId="77777777" w:rsidR="001D20F2" w:rsidRPr="001D20F2" w:rsidRDefault="001D20F2" w:rsidP="001D20F2">
      <w:pPr>
        <w:spacing w:line="360" w:lineRule="auto"/>
      </w:pPr>
      <w:r w:rsidRPr="001D20F2">
        <w:t>Olorunsola, V.O. (2020) Green Practices: The Experiences of Guests in EcoCentric Hotels in the UK. </w:t>
      </w:r>
      <w:r w:rsidRPr="001D20F2">
        <w:rPr>
          <w:i/>
          <w:iCs/>
        </w:rPr>
        <w:t>Emu.edu.tr</w:t>
      </w:r>
      <w:r w:rsidRPr="001D20F2">
        <w:t>. [online] doi:http://hdl.handle.net/11129/5708.</w:t>
      </w:r>
    </w:p>
    <w:p w14:paraId="084964FF" w14:textId="77777777" w:rsidR="001D20F2" w:rsidRPr="001D20F2" w:rsidRDefault="001D20F2" w:rsidP="001D20F2">
      <w:pPr>
        <w:spacing w:line="360" w:lineRule="auto"/>
      </w:pPr>
      <w:r w:rsidRPr="001D20F2">
        <w:t>Peeters, P., Çakmak, E. and Guiver, J. (2024) Current issues in tourism: Mitigating climate change in sustainable tourism research. </w:t>
      </w:r>
      <w:r w:rsidRPr="001D20F2">
        <w:rPr>
          <w:i/>
          <w:iCs/>
        </w:rPr>
        <w:t>Tourism Management</w:t>
      </w:r>
      <w:r w:rsidRPr="001D20F2">
        <w:t>, [online] 100(0261-5177), p.104820. doi:https://doi.org/10.1016/j.tourman.2023.104820.</w:t>
      </w:r>
    </w:p>
    <w:p w14:paraId="02B44635" w14:textId="77777777" w:rsidR="001D20F2" w:rsidRPr="001D20F2" w:rsidRDefault="001D20F2" w:rsidP="001D20F2">
      <w:pPr>
        <w:spacing w:line="360" w:lineRule="auto"/>
      </w:pPr>
      <w:r w:rsidRPr="001D20F2">
        <w:t>Roxas, F.M.Y., Rivera, J.P.R. and Gutierrez, E.L.M. (2018) Framework for creating sustainable tourism using systems thinking. </w:t>
      </w:r>
      <w:r w:rsidRPr="001D20F2">
        <w:rPr>
          <w:i/>
          <w:iCs/>
        </w:rPr>
        <w:t>Current Issues in Tourism</w:t>
      </w:r>
      <w:r w:rsidRPr="001D20F2">
        <w:t>, 23(3), pp.280–296. doi:https://doi.org/10.1080/13683500.2018.1534805.</w:t>
      </w:r>
    </w:p>
    <w:p w14:paraId="58F6223D" w14:textId="77777777" w:rsidR="00BF3227" w:rsidRPr="00BF3227" w:rsidRDefault="00BF3227" w:rsidP="00B558E4">
      <w:pPr>
        <w:spacing w:line="360" w:lineRule="auto"/>
      </w:pPr>
      <w:r w:rsidRPr="00BF3227">
        <w:t xml:space="preserve">Sloan, P., Legrand, W. and Chen, J. S. (2017) </w:t>
      </w:r>
      <w:r w:rsidRPr="00B558E4">
        <w:rPr>
          <w:i/>
          <w:iCs/>
        </w:rPr>
        <w:t>Sustainability in the hospitality industry: principles of sustainable operations</w:t>
      </w:r>
      <w:r w:rsidRPr="00BF3227">
        <w:t>. 3rd edn. London: Butterworth-Heinemann.</w:t>
      </w:r>
    </w:p>
    <w:p w14:paraId="758C66D6" w14:textId="77777777" w:rsidR="00BF3227" w:rsidRPr="00BF3227" w:rsidRDefault="00BF3227" w:rsidP="00B558E4">
      <w:pPr>
        <w:spacing w:line="360" w:lineRule="auto"/>
      </w:pPr>
      <w:r w:rsidRPr="00BF3227">
        <w:t>Sustainable tourism: breakthroughs in research and practice (2019) IGI Global.</w:t>
      </w:r>
    </w:p>
    <w:p w14:paraId="26520712" w14:textId="77777777" w:rsidR="001D20F2" w:rsidRDefault="001D20F2" w:rsidP="00B558E4">
      <w:pPr>
        <w:spacing w:line="360" w:lineRule="auto"/>
      </w:pPr>
      <w:r w:rsidRPr="001D20F2">
        <w:t>Voegeli, C. (2021) </w:t>
      </w:r>
      <w:r w:rsidRPr="001D20F2">
        <w:rPr>
          <w:i/>
          <w:iCs/>
        </w:rPr>
        <w:t>A Case Study of Knowledge Management Practices at the Intercontinental Hotels’ Group</w:t>
      </w:r>
      <w:r w:rsidRPr="001D20F2">
        <w:t>. [online] papers.ssrn.com. Available at: https://papers.ssrn.com/sol3/papers.cfm?abstract_id=3819409.</w:t>
      </w:r>
      <w:r w:rsidR="00596BD4" w:rsidRPr="00596BD4">
        <w:t xml:space="preserve"> [Accessed 14 Oct. 2024]</w:t>
      </w:r>
    </w:p>
    <w:p w14:paraId="33E60399" w14:textId="77777777" w:rsidR="00BF3227" w:rsidRPr="00BF3227" w:rsidRDefault="00BF3227" w:rsidP="00B558E4">
      <w:pPr>
        <w:spacing w:line="360" w:lineRule="auto"/>
      </w:pPr>
      <w:r w:rsidRPr="00BF3227">
        <w:t xml:space="preserve">Wickham, T., Donnelly, T. and French, L. (2021) ‘Strategic sustainability management in the event sector’, </w:t>
      </w:r>
      <w:r w:rsidRPr="00B558E4">
        <w:rPr>
          <w:i/>
          <w:iCs/>
        </w:rPr>
        <w:t>Event Management</w:t>
      </w:r>
      <w:r w:rsidRPr="00BF3227">
        <w:t>, 25(3), pp. 279–296.</w:t>
      </w:r>
    </w:p>
    <w:p w14:paraId="1A24D80E" w14:textId="77777777" w:rsidR="00BF3227" w:rsidRPr="00B43F3E" w:rsidRDefault="00BF3227" w:rsidP="00B558E4"/>
    <w:sectPr w:rsidR="00BF3227" w:rsidRPr="00B43F3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99799B" w14:textId="77777777" w:rsidR="00796A22" w:rsidRDefault="00796A22" w:rsidP="00DB2D80">
      <w:pPr>
        <w:spacing w:after="0" w:line="240" w:lineRule="auto"/>
      </w:pPr>
      <w:r>
        <w:separator/>
      </w:r>
    </w:p>
  </w:endnote>
  <w:endnote w:type="continuationSeparator" w:id="0">
    <w:p w14:paraId="433FC55F" w14:textId="77777777" w:rsidR="00796A22" w:rsidRDefault="00796A22" w:rsidP="00DB2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7435946"/>
      <w:docPartObj>
        <w:docPartGallery w:val="Page Numbers (Bottom of Page)"/>
        <w:docPartUnique/>
      </w:docPartObj>
    </w:sdtPr>
    <w:sdtEndPr>
      <w:rPr>
        <w:noProof/>
      </w:rPr>
    </w:sdtEndPr>
    <w:sdtContent>
      <w:p w14:paraId="58139E35" w14:textId="77777777" w:rsidR="00DB2D80" w:rsidRDefault="00DB2D80">
        <w:pPr>
          <w:pStyle w:val="Footer"/>
          <w:jc w:val="right"/>
        </w:pPr>
        <w:r>
          <w:fldChar w:fldCharType="begin"/>
        </w:r>
        <w:r>
          <w:instrText xml:space="preserve"> PAGE   \* MERGEFORMAT </w:instrText>
        </w:r>
        <w:r>
          <w:fldChar w:fldCharType="separate"/>
        </w:r>
        <w:r w:rsidR="00596BD4">
          <w:rPr>
            <w:noProof/>
          </w:rPr>
          <w:t>10</w:t>
        </w:r>
        <w:r>
          <w:rPr>
            <w:noProof/>
          </w:rPr>
          <w:fldChar w:fldCharType="end"/>
        </w:r>
      </w:p>
    </w:sdtContent>
  </w:sdt>
  <w:p w14:paraId="03A94195" w14:textId="77777777" w:rsidR="00DB2D80" w:rsidRDefault="00DB2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03D681" w14:textId="77777777" w:rsidR="00796A22" w:rsidRDefault="00796A22" w:rsidP="00DB2D80">
      <w:pPr>
        <w:spacing w:after="0" w:line="240" w:lineRule="auto"/>
      </w:pPr>
      <w:r>
        <w:separator/>
      </w:r>
    </w:p>
  </w:footnote>
  <w:footnote w:type="continuationSeparator" w:id="0">
    <w:p w14:paraId="6E5CB3A9" w14:textId="77777777" w:rsidR="00796A22" w:rsidRDefault="00796A22" w:rsidP="00DB2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712DF2"/>
    <w:multiLevelType w:val="hybridMultilevel"/>
    <w:tmpl w:val="CAB4E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6973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1AF"/>
    <w:rsid w:val="0002358E"/>
    <w:rsid w:val="001D20F2"/>
    <w:rsid w:val="001D59A9"/>
    <w:rsid w:val="002A1AB9"/>
    <w:rsid w:val="003737EC"/>
    <w:rsid w:val="003D6039"/>
    <w:rsid w:val="003D6DD3"/>
    <w:rsid w:val="00596BD4"/>
    <w:rsid w:val="005B41A6"/>
    <w:rsid w:val="00623DE2"/>
    <w:rsid w:val="006F5370"/>
    <w:rsid w:val="00703B22"/>
    <w:rsid w:val="00735854"/>
    <w:rsid w:val="00796A22"/>
    <w:rsid w:val="009A66AC"/>
    <w:rsid w:val="009E0255"/>
    <w:rsid w:val="00A927C5"/>
    <w:rsid w:val="00AA2CC0"/>
    <w:rsid w:val="00B558E4"/>
    <w:rsid w:val="00BF3227"/>
    <w:rsid w:val="00CD51AF"/>
    <w:rsid w:val="00D37113"/>
    <w:rsid w:val="00DB2D80"/>
    <w:rsid w:val="00DB7AD3"/>
    <w:rsid w:val="00DE5AE9"/>
    <w:rsid w:val="00FF2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B0F92"/>
  <w15:chartTrackingRefBased/>
  <w15:docId w15:val="{53AD1DBF-800A-4B72-9FEC-ADCEBA20E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227"/>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D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D80"/>
    <w:rPr>
      <w:rFonts w:ascii="Arial" w:hAnsi="Arial"/>
      <w:sz w:val="24"/>
    </w:rPr>
  </w:style>
  <w:style w:type="paragraph" w:styleId="Footer">
    <w:name w:val="footer"/>
    <w:basedOn w:val="Normal"/>
    <w:link w:val="FooterChar"/>
    <w:uiPriority w:val="99"/>
    <w:unhideWhenUsed/>
    <w:rsid w:val="00DB2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D80"/>
    <w:rPr>
      <w:rFonts w:ascii="Arial" w:hAnsi="Arial"/>
      <w:sz w:val="24"/>
    </w:rPr>
  </w:style>
  <w:style w:type="paragraph" w:styleId="ListParagraph">
    <w:name w:val="List Paragraph"/>
    <w:basedOn w:val="Normal"/>
    <w:uiPriority w:val="34"/>
    <w:qFormat/>
    <w:rsid w:val="00B558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876660">
      <w:bodyDiv w:val="1"/>
      <w:marLeft w:val="0"/>
      <w:marRight w:val="0"/>
      <w:marTop w:val="0"/>
      <w:marBottom w:val="0"/>
      <w:divBdr>
        <w:top w:val="none" w:sz="0" w:space="0" w:color="auto"/>
        <w:left w:val="none" w:sz="0" w:space="0" w:color="auto"/>
        <w:bottom w:val="none" w:sz="0" w:space="0" w:color="auto"/>
        <w:right w:val="none" w:sz="0" w:space="0" w:color="auto"/>
      </w:divBdr>
    </w:div>
    <w:div w:id="572739405">
      <w:bodyDiv w:val="1"/>
      <w:marLeft w:val="0"/>
      <w:marRight w:val="0"/>
      <w:marTop w:val="0"/>
      <w:marBottom w:val="0"/>
      <w:divBdr>
        <w:top w:val="none" w:sz="0" w:space="0" w:color="auto"/>
        <w:left w:val="none" w:sz="0" w:space="0" w:color="auto"/>
        <w:bottom w:val="none" w:sz="0" w:space="0" w:color="auto"/>
        <w:right w:val="none" w:sz="0" w:space="0" w:color="auto"/>
      </w:divBdr>
    </w:div>
    <w:div w:id="678965590">
      <w:bodyDiv w:val="1"/>
      <w:marLeft w:val="0"/>
      <w:marRight w:val="0"/>
      <w:marTop w:val="0"/>
      <w:marBottom w:val="0"/>
      <w:divBdr>
        <w:top w:val="none" w:sz="0" w:space="0" w:color="auto"/>
        <w:left w:val="none" w:sz="0" w:space="0" w:color="auto"/>
        <w:bottom w:val="none" w:sz="0" w:space="0" w:color="auto"/>
        <w:right w:val="none" w:sz="0" w:space="0" w:color="auto"/>
      </w:divBdr>
    </w:div>
    <w:div w:id="725641348">
      <w:bodyDiv w:val="1"/>
      <w:marLeft w:val="0"/>
      <w:marRight w:val="0"/>
      <w:marTop w:val="0"/>
      <w:marBottom w:val="0"/>
      <w:divBdr>
        <w:top w:val="none" w:sz="0" w:space="0" w:color="auto"/>
        <w:left w:val="none" w:sz="0" w:space="0" w:color="auto"/>
        <w:bottom w:val="none" w:sz="0" w:space="0" w:color="auto"/>
        <w:right w:val="none" w:sz="0" w:space="0" w:color="auto"/>
      </w:divBdr>
    </w:div>
    <w:div w:id="926764613">
      <w:bodyDiv w:val="1"/>
      <w:marLeft w:val="0"/>
      <w:marRight w:val="0"/>
      <w:marTop w:val="0"/>
      <w:marBottom w:val="0"/>
      <w:divBdr>
        <w:top w:val="none" w:sz="0" w:space="0" w:color="auto"/>
        <w:left w:val="none" w:sz="0" w:space="0" w:color="auto"/>
        <w:bottom w:val="none" w:sz="0" w:space="0" w:color="auto"/>
        <w:right w:val="none" w:sz="0" w:space="0" w:color="auto"/>
      </w:divBdr>
    </w:div>
    <w:div w:id="986473363">
      <w:bodyDiv w:val="1"/>
      <w:marLeft w:val="0"/>
      <w:marRight w:val="0"/>
      <w:marTop w:val="0"/>
      <w:marBottom w:val="0"/>
      <w:divBdr>
        <w:top w:val="none" w:sz="0" w:space="0" w:color="auto"/>
        <w:left w:val="none" w:sz="0" w:space="0" w:color="auto"/>
        <w:bottom w:val="none" w:sz="0" w:space="0" w:color="auto"/>
        <w:right w:val="none" w:sz="0" w:space="0" w:color="auto"/>
      </w:divBdr>
    </w:div>
    <w:div w:id="1106458934">
      <w:bodyDiv w:val="1"/>
      <w:marLeft w:val="0"/>
      <w:marRight w:val="0"/>
      <w:marTop w:val="0"/>
      <w:marBottom w:val="0"/>
      <w:divBdr>
        <w:top w:val="none" w:sz="0" w:space="0" w:color="auto"/>
        <w:left w:val="none" w:sz="0" w:space="0" w:color="auto"/>
        <w:bottom w:val="none" w:sz="0" w:space="0" w:color="auto"/>
        <w:right w:val="none" w:sz="0" w:space="0" w:color="auto"/>
      </w:divBdr>
    </w:div>
    <w:div w:id="1320160356">
      <w:bodyDiv w:val="1"/>
      <w:marLeft w:val="0"/>
      <w:marRight w:val="0"/>
      <w:marTop w:val="0"/>
      <w:marBottom w:val="0"/>
      <w:divBdr>
        <w:top w:val="none" w:sz="0" w:space="0" w:color="auto"/>
        <w:left w:val="none" w:sz="0" w:space="0" w:color="auto"/>
        <w:bottom w:val="none" w:sz="0" w:space="0" w:color="auto"/>
        <w:right w:val="none" w:sz="0" w:space="0" w:color="auto"/>
      </w:divBdr>
    </w:div>
    <w:div w:id="1416853168">
      <w:bodyDiv w:val="1"/>
      <w:marLeft w:val="0"/>
      <w:marRight w:val="0"/>
      <w:marTop w:val="0"/>
      <w:marBottom w:val="0"/>
      <w:divBdr>
        <w:top w:val="none" w:sz="0" w:space="0" w:color="auto"/>
        <w:left w:val="none" w:sz="0" w:space="0" w:color="auto"/>
        <w:bottom w:val="none" w:sz="0" w:space="0" w:color="auto"/>
        <w:right w:val="none" w:sz="0" w:space="0" w:color="auto"/>
      </w:divBdr>
    </w:div>
    <w:div w:id="1476529372">
      <w:bodyDiv w:val="1"/>
      <w:marLeft w:val="0"/>
      <w:marRight w:val="0"/>
      <w:marTop w:val="0"/>
      <w:marBottom w:val="0"/>
      <w:divBdr>
        <w:top w:val="none" w:sz="0" w:space="0" w:color="auto"/>
        <w:left w:val="none" w:sz="0" w:space="0" w:color="auto"/>
        <w:bottom w:val="none" w:sz="0" w:space="0" w:color="auto"/>
        <w:right w:val="none" w:sz="0" w:space="0" w:color="auto"/>
      </w:divBdr>
    </w:div>
    <w:div w:id="1527862456">
      <w:bodyDiv w:val="1"/>
      <w:marLeft w:val="0"/>
      <w:marRight w:val="0"/>
      <w:marTop w:val="0"/>
      <w:marBottom w:val="0"/>
      <w:divBdr>
        <w:top w:val="none" w:sz="0" w:space="0" w:color="auto"/>
        <w:left w:val="none" w:sz="0" w:space="0" w:color="auto"/>
        <w:bottom w:val="none" w:sz="0" w:space="0" w:color="auto"/>
        <w:right w:val="none" w:sz="0" w:space="0" w:color="auto"/>
      </w:divBdr>
    </w:div>
    <w:div w:id="190278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2869</Words>
  <Characters>16358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Alexandra Gjoka (2224325)</cp:lastModifiedBy>
  <cp:revision>2</cp:revision>
  <dcterms:created xsi:type="dcterms:W3CDTF">2024-10-21T19:05:00Z</dcterms:created>
  <dcterms:modified xsi:type="dcterms:W3CDTF">2024-10-21T19:05:00Z</dcterms:modified>
</cp:coreProperties>
</file>