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C3E94" w14:textId="6962F6CF" w:rsidR="00611ECC" w:rsidRDefault="00661825" w:rsidP="00661825">
      <w:pPr>
        <w:jc w:val="center"/>
        <w:rPr>
          <w:sz w:val="32"/>
          <w:szCs w:val="32"/>
        </w:rPr>
      </w:pPr>
      <w:r>
        <w:rPr>
          <w:sz w:val="32"/>
          <w:szCs w:val="32"/>
        </w:rPr>
        <w:t>Second Non-Assessed Assignment Catullus 64.</w:t>
      </w:r>
    </w:p>
    <w:p w14:paraId="3ADB7006" w14:textId="14A34462" w:rsidR="00661825" w:rsidRDefault="00661825" w:rsidP="00661825">
      <w:pPr>
        <w:jc w:val="center"/>
        <w:rPr>
          <w:sz w:val="32"/>
          <w:szCs w:val="32"/>
        </w:rPr>
      </w:pPr>
      <w:r>
        <w:rPr>
          <w:sz w:val="32"/>
          <w:szCs w:val="32"/>
        </w:rPr>
        <w:t>Translation: 64. 254-266;  Commentary: 64. 186-201</w:t>
      </w:r>
    </w:p>
    <w:p w14:paraId="56832DA1" w14:textId="58DA7579" w:rsidR="00661825" w:rsidRDefault="003C6DF5" w:rsidP="00661825">
      <w:pPr>
        <w:rPr>
          <w:sz w:val="24"/>
          <w:szCs w:val="24"/>
        </w:rPr>
      </w:pPr>
      <w:r>
        <w:rPr>
          <w:sz w:val="24"/>
          <w:szCs w:val="24"/>
        </w:rPr>
        <w:t>..who then, busy here and there</w:t>
      </w:r>
      <w:r w:rsidR="009200F2">
        <w:rPr>
          <w:sz w:val="24"/>
          <w:szCs w:val="24"/>
        </w:rPr>
        <w:t>,</w:t>
      </w:r>
      <w:r>
        <w:rPr>
          <w:sz w:val="24"/>
          <w:szCs w:val="24"/>
        </w:rPr>
        <w:t xml:space="preserve"> were raging with frenzied mind, while ‘Evoe’ they cried tumultuously, ‘Evoe!’ shaking their heads.</w:t>
      </w:r>
    </w:p>
    <w:p w14:paraId="08B1B91F" w14:textId="53F320CF" w:rsidR="003C6DF5" w:rsidRDefault="003C6DF5" w:rsidP="00661825">
      <w:pPr>
        <w:rPr>
          <w:sz w:val="24"/>
          <w:szCs w:val="24"/>
        </w:rPr>
      </w:pPr>
      <w:r>
        <w:rPr>
          <w:sz w:val="24"/>
          <w:szCs w:val="24"/>
        </w:rPr>
        <w:t xml:space="preserve">  Some of them were shaking thyrsi with shrouded points, some tossing about the limbs from a heifer torn apart, some were encircling themselves with twisted snakes, some were thronging in worship (of) the ritual objects concealed in their deep </w:t>
      </w:r>
      <w:r w:rsidR="006A159B">
        <w:rPr>
          <w:sz w:val="24"/>
          <w:szCs w:val="24"/>
        </w:rPr>
        <w:t>baskets, rituals which the profane desire in vain to hear; other women beat drums with uplifted palms or raised gentle tinklings with cymbals of rounded bronze. Many were blowing horns with harsh-sounding drone and the foreign pipe was wailing with its stressing song.</w:t>
      </w:r>
    </w:p>
    <w:p w14:paraId="313E8077" w14:textId="0ECDF19A" w:rsidR="006A159B" w:rsidRDefault="006A159B" w:rsidP="00661825">
      <w:pPr>
        <w:rPr>
          <w:sz w:val="24"/>
          <w:szCs w:val="24"/>
        </w:rPr>
      </w:pPr>
      <w:r>
        <w:rPr>
          <w:sz w:val="24"/>
          <w:szCs w:val="24"/>
        </w:rPr>
        <w:t xml:space="preserve"> With such figures the tapestry was vividly adorned and in its embrace was covering the bed with its cloth.</w:t>
      </w:r>
    </w:p>
    <w:p w14:paraId="689FB49F" w14:textId="51E12C33" w:rsidR="00237312" w:rsidRDefault="00237312" w:rsidP="00661825">
      <w:pPr>
        <w:rPr>
          <w:sz w:val="24"/>
          <w:szCs w:val="24"/>
        </w:rPr>
      </w:pPr>
    </w:p>
    <w:p w14:paraId="60845ABD" w14:textId="5C20ECB8" w:rsidR="006D7FA3" w:rsidRPr="006D7FA3" w:rsidRDefault="00237312" w:rsidP="00661825">
      <w:pPr>
        <w:rPr>
          <w:i/>
          <w:iCs/>
          <w:sz w:val="24"/>
          <w:szCs w:val="24"/>
        </w:rPr>
      </w:pPr>
      <w:r>
        <w:rPr>
          <w:sz w:val="24"/>
          <w:szCs w:val="24"/>
        </w:rPr>
        <w:t xml:space="preserve">  </w:t>
      </w:r>
      <w:r w:rsidR="005E39DF">
        <w:rPr>
          <w:sz w:val="24"/>
          <w:szCs w:val="24"/>
        </w:rPr>
        <w:t>This</w:t>
      </w:r>
      <w:r>
        <w:rPr>
          <w:sz w:val="24"/>
          <w:szCs w:val="24"/>
        </w:rPr>
        <w:t xml:space="preserve"> section begins with Ariadne answering the questions she had asked from line 177ff</w:t>
      </w:r>
      <w:r w:rsidR="005E39DF">
        <w:rPr>
          <w:sz w:val="24"/>
          <w:szCs w:val="24"/>
        </w:rPr>
        <w:t>:</w:t>
      </w:r>
      <w:r>
        <w:rPr>
          <w:sz w:val="24"/>
          <w:szCs w:val="24"/>
        </w:rPr>
        <w:t xml:space="preserve"> </w:t>
      </w:r>
      <w:r>
        <w:rPr>
          <w:i/>
          <w:iCs/>
          <w:sz w:val="24"/>
          <w:szCs w:val="24"/>
        </w:rPr>
        <w:t xml:space="preserve">nulla fugae ratio, nulla spes </w:t>
      </w:r>
      <w:r>
        <w:rPr>
          <w:sz w:val="24"/>
          <w:szCs w:val="24"/>
        </w:rPr>
        <w:t>(no means of flight..no hope).  She (in contrast to Theseus) has no way out, no escape from the labyrinth.</w:t>
      </w:r>
      <w:r>
        <w:rPr>
          <w:rStyle w:val="FootnoteReference"/>
          <w:sz w:val="24"/>
          <w:szCs w:val="24"/>
        </w:rPr>
        <w:footnoteReference w:id="1"/>
      </w:r>
      <w:r>
        <w:rPr>
          <w:sz w:val="24"/>
          <w:szCs w:val="24"/>
        </w:rPr>
        <w:t xml:space="preserve"> Her situation compares with Medea’s </w:t>
      </w:r>
      <w:r w:rsidR="00485CB4">
        <w:rPr>
          <w:sz w:val="24"/>
          <w:szCs w:val="24"/>
        </w:rPr>
        <w:t xml:space="preserve">when </w:t>
      </w:r>
      <w:r w:rsidR="00631754">
        <w:rPr>
          <w:sz w:val="24"/>
          <w:szCs w:val="24"/>
        </w:rPr>
        <w:t xml:space="preserve">faced with exile once Jason has deserted her but, as Armstrong states, it is more desperate, more poignant: Ariadne is already in exile and not merely facing the possibility. There is no plan she can engineer to rectify the situation, no revenge she can personally work against the man who abandoned her, </w:t>
      </w:r>
      <w:r w:rsidR="00485CB4">
        <w:rPr>
          <w:sz w:val="24"/>
          <w:szCs w:val="24"/>
        </w:rPr>
        <w:t xml:space="preserve">and </w:t>
      </w:r>
      <w:r w:rsidR="00631754">
        <w:rPr>
          <w:sz w:val="24"/>
          <w:szCs w:val="24"/>
        </w:rPr>
        <w:t>no escape from the silence of desertion nor, as she sees, from certain death</w:t>
      </w:r>
      <w:r w:rsidR="006D7FA3">
        <w:rPr>
          <w:sz w:val="24"/>
          <w:szCs w:val="24"/>
        </w:rPr>
        <w:t>,</w:t>
      </w:r>
      <w:r w:rsidR="00631754">
        <w:rPr>
          <w:rStyle w:val="FootnoteReference"/>
          <w:sz w:val="24"/>
          <w:szCs w:val="24"/>
        </w:rPr>
        <w:footnoteReference w:id="2"/>
      </w:r>
      <w:r w:rsidR="00631754">
        <w:rPr>
          <w:sz w:val="24"/>
          <w:szCs w:val="24"/>
        </w:rPr>
        <w:t xml:space="preserve"> </w:t>
      </w:r>
      <w:r w:rsidR="006D7FA3">
        <w:rPr>
          <w:i/>
          <w:iCs/>
          <w:sz w:val="24"/>
          <w:szCs w:val="24"/>
        </w:rPr>
        <w:t xml:space="preserve">ostentant omnia letum. </w:t>
      </w:r>
      <w:r w:rsidR="006D7FA3">
        <w:rPr>
          <w:sz w:val="24"/>
          <w:szCs w:val="24"/>
        </w:rPr>
        <w:t xml:space="preserve">The fact that </w:t>
      </w:r>
      <w:r w:rsidR="006D7FA3">
        <w:rPr>
          <w:i/>
          <w:iCs/>
          <w:sz w:val="24"/>
          <w:szCs w:val="24"/>
        </w:rPr>
        <w:t xml:space="preserve">letum </w:t>
      </w:r>
      <w:r w:rsidR="006D7FA3">
        <w:rPr>
          <w:sz w:val="24"/>
          <w:szCs w:val="24"/>
        </w:rPr>
        <w:t xml:space="preserve">is the final word gives it emphasis.  There are echoes in Virgil here: </w:t>
      </w:r>
      <w:r w:rsidR="006D7FA3">
        <w:rPr>
          <w:i/>
          <w:iCs/>
          <w:sz w:val="24"/>
          <w:szCs w:val="24"/>
        </w:rPr>
        <w:t>praesentemque viris intentant omnia mortem.</w:t>
      </w:r>
    </w:p>
    <w:p w14:paraId="466984B5" w14:textId="212F95FC" w:rsidR="00237312" w:rsidRDefault="00631754" w:rsidP="00661825">
      <w:pPr>
        <w:rPr>
          <w:i/>
          <w:iCs/>
          <w:sz w:val="24"/>
          <w:szCs w:val="24"/>
        </w:rPr>
      </w:pPr>
      <w:r>
        <w:rPr>
          <w:sz w:val="24"/>
          <w:szCs w:val="24"/>
        </w:rPr>
        <w:t xml:space="preserve"> </w:t>
      </w:r>
      <w:r>
        <w:rPr>
          <w:i/>
          <w:iCs/>
          <w:sz w:val="24"/>
          <w:szCs w:val="24"/>
        </w:rPr>
        <w:t xml:space="preserve">Omnia muta </w:t>
      </w:r>
      <w:r>
        <w:rPr>
          <w:sz w:val="24"/>
          <w:szCs w:val="24"/>
        </w:rPr>
        <w:t>The idea of possible listeners is mooted in lines 164-8 but Ariadne is the only thing on the island that is not silent.</w:t>
      </w:r>
      <w:r>
        <w:rPr>
          <w:rStyle w:val="FootnoteReference"/>
          <w:sz w:val="24"/>
          <w:szCs w:val="24"/>
        </w:rPr>
        <w:footnoteReference w:id="3"/>
      </w:r>
      <w:r>
        <w:rPr>
          <w:sz w:val="24"/>
          <w:szCs w:val="24"/>
        </w:rPr>
        <w:t xml:space="preserve"> </w:t>
      </w:r>
      <w:r w:rsidR="006D7FA3">
        <w:rPr>
          <w:sz w:val="24"/>
          <w:szCs w:val="24"/>
        </w:rPr>
        <w:t xml:space="preserve">It is this enforced, desperate captivity that compelled Ariadne to curse Theseus. </w:t>
      </w:r>
      <w:r>
        <w:rPr>
          <w:sz w:val="24"/>
          <w:szCs w:val="24"/>
        </w:rPr>
        <w:t>Yet, there is a certain irony to this</w:t>
      </w:r>
      <w:r w:rsidR="006D7FA3">
        <w:rPr>
          <w:sz w:val="24"/>
          <w:szCs w:val="24"/>
        </w:rPr>
        <w:t xml:space="preserve"> enveloping silence,</w:t>
      </w:r>
      <w:r>
        <w:rPr>
          <w:sz w:val="24"/>
          <w:szCs w:val="24"/>
        </w:rPr>
        <w:t xml:space="preserve"> given that we know what is coming: Bacchus and his entourage make a great din (lines 254-264) </w:t>
      </w:r>
      <w:r>
        <w:rPr>
          <w:i/>
          <w:iCs/>
          <w:sz w:val="24"/>
          <w:szCs w:val="24"/>
        </w:rPr>
        <w:t>qui tum alacres passim lymphata mente furebant euhoe bacchantes, euhoe capita inflectentes..</w:t>
      </w:r>
      <w:r w:rsidR="006D7FA3">
        <w:rPr>
          <w:i/>
          <w:iCs/>
          <w:sz w:val="24"/>
          <w:szCs w:val="24"/>
        </w:rPr>
        <w:t xml:space="preserve"> </w:t>
      </w:r>
    </w:p>
    <w:p w14:paraId="39999C5F" w14:textId="32296D20" w:rsidR="006D7FA3" w:rsidRDefault="006D7FA3" w:rsidP="00661825">
      <w:pPr>
        <w:rPr>
          <w:sz w:val="24"/>
          <w:szCs w:val="24"/>
        </w:rPr>
      </w:pPr>
      <w:r>
        <w:rPr>
          <w:i/>
          <w:iCs/>
          <w:sz w:val="24"/>
          <w:szCs w:val="24"/>
        </w:rPr>
        <w:t xml:space="preserve"> </w:t>
      </w:r>
      <w:r w:rsidRPr="006D7FA3">
        <w:rPr>
          <w:sz w:val="24"/>
          <w:szCs w:val="24"/>
        </w:rPr>
        <w:t>Lines 188-201 provide what Quinn terms ‘a marked rise in the quality of the rhetoric</w:t>
      </w:r>
      <w:r>
        <w:rPr>
          <w:sz w:val="24"/>
          <w:szCs w:val="24"/>
        </w:rPr>
        <w:t>,’</w:t>
      </w:r>
      <w:r>
        <w:rPr>
          <w:rStyle w:val="FootnoteReference"/>
          <w:sz w:val="24"/>
          <w:szCs w:val="24"/>
        </w:rPr>
        <w:footnoteReference w:id="4"/>
      </w:r>
      <w:r>
        <w:rPr>
          <w:sz w:val="24"/>
          <w:szCs w:val="24"/>
        </w:rPr>
        <w:t>in that the final curse has a degree of urgency and purpose which was lacking in earlier sections of the speech</w:t>
      </w:r>
      <w:r w:rsidR="003F3419">
        <w:rPr>
          <w:sz w:val="24"/>
          <w:szCs w:val="24"/>
        </w:rPr>
        <w:t xml:space="preserve">. Ariadne </w:t>
      </w:r>
      <w:r w:rsidR="005E39DF">
        <w:rPr>
          <w:sz w:val="24"/>
          <w:szCs w:val="24"/>
        </w:rPr>
        <w:t xml:space="preserve">now </w:t>
      </w:r>
      <w:r w:rsidR="003F3419">
        <w:rPr>
          <w:sz w:val="24"/>
          <w:szCs w:val="24"/>
        </w:rPr>
        <w:t xml:space="preserve">believes confidently that she is </w:t>
      </w:r>
      <w:r w:rsidR="005E39DF">
        <w:rPr>
          <w:sz w:val="24"/>
          <w:szCs w:val="24"/>
        </w:rPr>
        <w:t>being</w:t>
      </w:r>
      <w:r w:rsidR="003F3419">
        <w:rPr>
          <w:sz w:val="24"/>
          <w:szCs w:val="24"/>
        </w:rPr>
        <w:t xml:space="preserve"> heard, and consequently appeals with renewed vigour to the gods to secure the vengeance for her ill-treatment. Trimble sees</w:t>
      </w:r>
      <w:r w:rsidR="00C168CB">
        <w:rPr>
          <w:sz w:val="24"/>
          <w:szCs w:val="24"/>
        </w:rPr>
        <w:t>,</w:t>
      </w:r>
      <w:r w:rsidR="003F3419">
        <w:rPr>
          <w:sz w:val="24"/>
          <w:szCs w:val="24"/>
        </w:rPr>
        <w:t xml:space="preserve"> in the order of words and ideas</w:t>
      </w:r>
      <w:r w:rsidR="00C168CB">
        <w:rPr>
          <w:sz w:val="24"/>
          <w:szCs w:val="24"/>
        </w:rPr>
        <w:t>,</w:t>
      </w:r>
      <w:r w:rsidR="003F3419">
        <w:rPr>
          <w:sz w:val="24"/>
          <w:szCs w:val="24"/>
        </w:rPr>
        <w:t xml:space="preserve"> Ariadne’s view of the relationships among the main characters and concepts involved: herself, the Furies, Theseus; her suffering, Theseus’ </w:t>
      </w:r>
      <w:r w:rsidR="00C168CB">
        <w:rPr>
          <w:sz w:val="24"/>
          <w:szCs w:val="24"/>
        </w:rPr>
        <w:t>abandonment</w:t>
      </w:r>
      <w:r w:rsidR="003F3419">
        <w:rPr>
          <w:sz w:val="24"/>
          <w:szCs w:val="24"/>
        </w:rPr>
        <w:t xml:space="preserve"> of her</w:t>
      </w:r>
      <w:r w:rsidR="00C168CB">
        <w:rPr>
          <w:sz w:val="24"/>
          <w:szCs w:val="24"/>
        </w:rPr>
        <w:t xml:space="preserve"> and the Furies’ punishment of him. These come together in the final four lines (198-202), forming an effective conclusion to the curse and </w:t>
      </w:r>
      <w:r w:rsidR="00C168CB">
        <w:rPr>
          <w:sz w:val="24"/>
          <w:szCs w:val="24"/>
        </w:rPr>
        <w:lastRenderedPageBreak/>
        <w:t>thus to the speech in its entirety.</w:t>
      </w:r>
      <w:r w:rsidR="00C168CB">
        <w:rPr>
          <w:rStyle w:val="FootnoteReference"/>
          <w:sz w:val="24"/>
          <w:szCs w:val="24"/>
        </w:rPr>
        <w:footnoteReference w:id="5"/>
      </w:r>
      <w:r w:rsidR="00C168CB">
        <w:rPr>
          <w:sz w:val="24"/>
          <w:szCs w:val="24"/>
        </w:rPr>
        <w:t xml:space="preserve"> Similar such summoning of the goddesses is seen in Medea’s imprecations at the conclusion of her speech to Jason in Apollonius. </w:t>
      </w:r>
      <w:r w:rsidR="00C168CB">
        <w:rPr>
          <w:i/>
          <w:iCs/>
          <w:sz w:val="24"/>
          <w:szCs w:val="24"/>
        </w:rPr>
        <w:t xml:space="preserve">Argonautica </w:t>
      </w:r>
      <w:r w:rsidR="00C168CB">
        <w:rPr>
          <w:sz w:val="24"/>
          <w:szCs w:val="24"/>
        </w:rPr>
        <w:t>IV 384-90</w:t>
      </w:r>
      <w:r w:rsidR="00EF5764">
        <w:rPr>
          <w:sz w:val="24"/>
          <w:szCs w:val="24"/>
        </w:rPr>
        <w:t xml:space="preserve">, where the goddesses are described and invited to take notice of the speaker’s sufferings before being asked to mete out vengeance. </w:t>
      </w:r>
    </w:p>
    <w:p w14:paraId="4B94D93C" w14:textId="7A99281C" w:rsidR="00687968" w:rsidRDefault="00687968" w:rsidP="00661825">
      <w:pPr>
        <w:rPr>
          <w:sz w:val="24"/>
          <w:szCs w:val="24"/>
        </w:rPr>
      </w:pPr>
      <w:r>
        <w:rPr>
          <w:sz w:val="24"/>
          <w:szCs w:val="24"/>
        </w:rPr>
        <w:t xml:space="preserve">  The Furies were associated </w:t>
      </w:r>
      <w:r w:rsidR="00E76EBE">
        <w:rPr>
          <w:sz w:val="24"/>
          <w:szCs w:val="24"/>
        </w:rPr>
        <w:t xml:space="preserve">with </w:t>
      </w:r>
      <w:r>
        <w:rPr>
          <w:sz w:val="24"/>
          <w:szCs w:val="24"/>
        </w:rPr>
        <w:t>the punishment of various crimes</w:t>
      </w:r>
      <w:r w:rsidR="00E76EBE">
        <w:rPr>
          <w:sz w:val="24"/>
          <w:szCs w:val="24"/>
        </w:rPr>
        <w:t>.</w:t>
      </w:r>
      <w:r>
        <w:rPr>
          <w:sz w:val="24"/>
          <w:szCs w:val="24"/>
        </w:rPr>
        <w:t xml:space="preserve"> As Trimble states, they </w:t>
      </w:r>
      <w:r w:rsidR="00E76EBE">
        <w:rPr>
          <w:sz w:val="24"/>
          <w:szCs w:val="24"/>
        </w:rPr>
        <w:t>relate to</w:t>
      </w:r>
      <w:r>
        <w:rPr>
          <w:sz w:val="24"/>
          <w:szCs w:val="24"/>
        </w:rPr>
        <w:t xml:space="preserve"> oaths and the punishment of perjury. Their concern with the violation of family bonds  (kin-murder, adultery) is relevant here given that Ariadne considers Theseus </w:t>
      </w:r>
      <w:r w:rsidR="005E39DF">
        <w:rPr>
          <w:sz w:val="24"/>
          <w:szCs w:val="24"/>
        </w:rPr>
        <w:t xml:space="preserve">as her </w:t>
      </w:r>
      <w:r>
        <w:rPr>
          <w:sz w:val="24"/>
          <w:szCs w:val="24"/>
        </w:rPr>
        <w:t xml:space="preserve"> promised husband. Primarily however, the relevant crime is murder</w:t>
      </w:r>
      <w:r w:rsidR="005E39DF">
        <w:rPr>
          <w:sz w:val="24"/>
          <w:szCs w:val="24"/>
        </w:rPr>
        <w:t>, with the</w:t>
      </w:r>
      <w:r>
        <w:rPr>
          <w:sz w:val="24"/>
          <w:szCs w:val="24"/>
        </w:rPr>
        <w:t xml:space="preserve"> curse </w:t>
      </w:r>
      <w:r w:rsidR="005E39DF">
        <w:rPr>
          <w:sz w:val="24"/>
          <w:szCs w:val="24"/>
        </w:rPr>
        <w:t xml:space="preserve">resulting </w:t>
      </w:r>
      <w:r>
        <w:rPr>
          <w:sz w:val="24"/>
          <w:szCs w:val="24"/>
        </w:rPr>
        <w:t xml:space="preserve"> from Ariadne’s conclusion that she is about to die</w:t>
      </w:r>
      <w:r w:rsidR="005E39DF">
        <w:rPr>
          <w:sz w:val="24"/>
          <w:szCs w:val="24"/>
        </w:rPr>
        <w:t>. She believes</w:t>
      </w:r>
      <w:r>
        <w:rPr>
          <w:sz w:val="24"/>
          <w:szCs w:val="24"/>
        </w:rPr>
        <w:t xml:space="preserve"> convincingly </w:t>
      </w:r>
      <w:r w:rsidR="005E39DF">
        <w:rPr>
          <w:sz w:val="24"/>
          <w:szCs w:val="24"/>
        </w:rPr>
        <w:t xml:space="preserve">(lines200-1) </w:t>
      </w:r>
      <w:r>
        <w:rPr>
          <w:sz w:val="24"/>
          <w:szCs w:val="24"/>
        </w:rPr>
        <w:t xml:space="preserve"> </w:t>
      </w:r>
      <w:r w:rsidR="002C699E">
        <w:rPr>
          <w:sz w:val="24"/>
          <w:szCs w:val="24"/>
        </w:rPr>
        <w:t xml:space="preserve">that </w:t>
      </w:r>
      <w:r>
        <w:rPr>
          <w:sz w:val="24"/>
          <w:szCs w:val="24"/>
        </w:rPr>
        <w:t xml:space="preserve">Theseus </w:t>
      </w:r>
      <w:r w:rsidR="002C699E">
        <w:rPr>
          <w:sz w:val="24"/>
          <w:szCs w:val="24"/>
        </w:rPr>
        <w:t>is</w:t>
      </w:r>
      <w:r>
        <w:rPr>
          <w:sz w:val="24"/>
          <w:szCs w:val="24"/>
        </w:rPr>
        <w:t xml:space="preserve"> guilty of murdering her</w:t>
      </w:r>
      <w:r w:rsidR="002C699E">
        <w:rPr>
          <w:sz w:val="24"/>
          <w:szCs w:val="24"/>
        </w:rPr>
        <w:t>. Typically, the dying or the ghosts of the dead call upon the Furies for vengeance on their murderers</w:t>
      </w:r>
      <w:r w:rsidR="00E76EBE">
        <w:rPr>
          <w:sz w:val="24"/>
          <w:szCs w:val="24"/>
        </w:rPr>
        <w:t>,</w:t>
      </w:r>
      <w:r w:rsidR="002C699E">
        <w:rPr>
          <w:sz w:val="24"/>
          <w:szCs w:val="24"/>
        </w:rPr>
        <w:t xml:space="preserve"> and sometimes a dying person threatens to return as a Fury.</w:t>
      </w:r>
      <w:r w:rsidR="002C699E">
        <w:rPr>
          <w:rStyle w:val="FootnoteReference"/>
          <w:sz w:val="24"/>
          <w:szCs w:val="24"/>
        </w:rPr>
        <w:footnoteReference w:id="6"/>
      </w:r>
    </w:p>
    <w:p w14:paraId="72A5177E" w14:textId="4882AF6C" w:rsidR="005F3C51" w:rsidRDefault="005F3C51" w:rsidP="00661825">
      <w:pPr>
        <w:rPr>
          <w:sz w:val="24"/>
          <w:szCs w:val="24"/>
        </w:rPr>
      </w:pPr>
      <w:r>
        <w:rPr>
          <w:sz w:val="24"/>
          <w:szCs w:val="24"/>
        </w:rPr>
        <w:t xml:space="preserve">  </w:t>
      </w:r>
      <w:r>
        <w:rPr>
          <w:i/>
          <w:iCs/>
          <w:sz w:val="24"/>
          <w:szCs w:val="24"/>
        </w:rPr>
        <w:t xml:space="preserve">non tamen ante </w:t>
      </w:r>
      <w:r>
        <w:rPr>
          <w:sz w:val="24"/>
          <w:szCs w:val="24"/>
        </w:rPr>
        <w:t xml:space="preserve">(line 188) marks a renewed energy and Ariadne’s unwillingness to permit the </w:t>
      </w:r>
      <w:r>
        <w:rPr>
          <w:i/>
          <w:iCs/>
          <w:sz w:val="24"/>
          <w:szCs w:val="24"/>
        </w:rPr>
        <w:t xml:space="preserve">letum </w:t>
      </w:r>
      <w:r>
        <w:rPr>
          <w:sz w:val="24"/>
          <w:szCs w:val="24"/>
        </w:rPr>
        <w:t xml:space="preserve">go unavenged. She asserts that her eyes would not </w:t>
      </w:r>
      <w:r>
        <w:rPr>
          <w:i/>
          <w:iCs/>
          <w:sz w:val="24"/>
          <w:szCs w:val="24"/>
        </w:rPr>
        <w:t xml:space="preserve">languescent </w:t>
      </w:r>
      <w:r w:rsidR="00341536">
        <w:rPr>
          <w:sz w:val="24"/>
          <w:szCs w:val="24"/>
        </w:rPr>
        <w:t xml:space="preserve">(grow physically weak) </w:t>
      </w:r>
      <w:r>
        <w:rPr>
          <w:sz w:val="24"/>
          <w:szCs w:val="24"/>
        </w:rPr>
        <w:t xml:space="preserve">in death, nor </w:t>
      </w:r>
      <w:r>
        <w:rPr>
          <w:i/>
          <w:iCs/>
          <w:sz w:val="24"/>
          <w:szCs w:val="24"/>
        </w:rPr>
        <w:t xml:space="preserve">prius </w:t>
      </w:r>
      <w:r w:rsidR="00341536">
        <w:rPr>
          <w:i/>
          <w:iCs/>
          <w:sz w:val="24"/>
          <w:szCs w:val="24"/>
        </w:rPr>
        <w:t xml:space="preserve">a fesso secedent corpore sensus </w:t>
      </w:r>
      <w:r w:rsidR="00341536">
        <w:rPr>
          <w:sz w:val="24"/>
          <w:szCs w:val="24"/>
        </w:rPr>
        <w:t>(the sense fail from my wearied body)</w:t>
      </w:r>
      <w:r>
        <w:rPr>
          <w:sz w:val="24"/>
          <w:szCs w:val="24"/>
        </w:rPr>
        <w:t xml:space="preserve"> until this has been brought about.</w:t>
      </w:r>
      <w:r w:rsidR="00341536">
        <w:rPr>
          <w:sz w:val="24"/>
          <w:szCs w:val="24"/>
        </w:rPr>
        <w:t xml:space="preserve"> Ellis terms </w:t>
      </w:r>
      <w:r w:rsidR="00341536">
        <w:rPr>
          <w:i/>
          <w:iCs/>
          <w:sz w:val="24"/>
          <w:szCs w:val="24"/>
        </w:rPr>
        <w:t xml:space="preserve">fesso </w:t>
      </w:r>
      <w:r w:rsidR="00341536">
        <w:rPr>
          <w:sz w:val="24"/>
          <w:szCs w:val="24"/>
        </w:rPr>
        <w:t>‘warn out with grief’.</w:t>
      </w:r>
      <w:r w:rsidR="00341536">
        <w:rPr>
          <w:rStyle w:val="FootnoteReference"/>
          <w:sz w:val="24"/>
          <w:szCs w:val="24"/>
        </w:rPr>
        <w:footnoteReference w:id="7"/>
      </w:r>
      <w:r>
        <w:rPr>
          <w:sz w:val="24"/>
          <w:szCs w:val="24"/>
        </w:rPr>
        <w:t xml:space="preserve"> </w:t>
      </w:r>
      <w:r w:rsidR="00341536">
        <w:rPr>
          <w:sz w:val="24"/>
          <w:szCs w:val="24"/>
        </w:rPr>
        <w:t>Death is expressed in two images: the eyes drooping</w:t>
      </w:r>
      <w:r w:rsidR="00E76EBE">
        <w:rPr>
          <w:sz w:val="24"/>
          <w:szCs w:val="24"/>
        </w:rPr>
        <w:t>,</w:t>
      </w:r>
      <w:r w:rsidR="00341536">
        <w:rPr>
          <w:sz w:val="24"/>
          <w:szCs w:val="24"/>
        </w:rPr>
        <w:t xml:space="preserve"> and the senses leaving the body, the second of which Godwin states is evocative of Lucretius’ view of the </w:t>
      </w:r>
      <w:r w:rsidR="00341536">
        <w:rPr>
          <w:i/>
          <w:iCs/>
          <w:sz w:val="24"/>
          <w:szCs w:val="24"/>
        </w:rPr>
        <w:t xml:space="preserve">anima </w:t>
      </w:r>
      <w:r w:rsidR="00341536">
        <w:rPr>
          <w:sz w:val="24"/>
          <w:szCs w:val="24"/>
        </w:rPr>
        <w:t xml:space="preserve">or the Homeric </w:t>
      </w:r>
      <w:r w:rsidR="00341536">
        <w:rPr>
          <w:sz w:val="24"/>
          <w:szCs w:val="24"/>
          <w:lang w:val="el-GR"/>
        </w:rPr>
        <w:t>ψυχή</w:t>
      </w:r>
      <w:r w:rsidR="00341536">
        <w:rPr>
          <w:sz w:val="24"/>
          <w:szCs w:val="24"/>
        </w:rPr>
        <w:t>, as linking the senses together (nervous system), whereby sleep is a temporary</w:t>
      </w:r>
      <w:r w:rsidR="00E76EBE">
        <w:rPr>
          <w:sz w:val="24"/>
          <w:szCs w:val="24"/>
        </w:rPr>
        <w:t>,</w:t>
      </w:r>
      <w:r w:rsidR="00341536">
        <w:rPr>
          <w:sz w:val="24"/>
          <w:szCs w:val="24"/>
        </w:rPr>
        <w:t xml:space="preserve"> and death a permanent disconnection of the channels of sensation.</w:t>
      </w:r>
      <w:r w:rsidR="00341536">
        <w:rPr>
          <w:rStyle w:val="FootnoteReference"/>
          <w:sz w:val="24"/>
          <w:szCs w:val="24"/>
        </w:rPr>
        <w:footnoteReference w:id="8"/>
      </w:r>
      <w:r w:rsidR="00341536">
        <w:rPr>
          <w:sz w:val="24"/>
          <w:szCs w:val="24"/>
        </w:rPr>
        <w:t xml:space="preserve"> </w:t>
      </w:r>
    </w:p>
    <w:p w14:paraId="3DCDDA12" w14:textId="2C4ECD4B" w:rsidR="006D7FA3" w:rsidRDefault="00341536" w:rsidP="00661825">
      <w:pPr>
        <w:rPr>
          <w:i/>
          <w:iCs/>
          <w:sz w:val="24"/>
          <w:szCs w:val="24"/>
        </w:rPr>
      </w:pPr>
      <w:r>
        <w:rPr>
          <w:i/>
          <w:iCs/>
          <w:sz w:val="24"/>
          <w:szCs w:val="24"/>
        </w:rPr>
        <w:t xml:space="preserve">Multam </w:t>
      </w:r>
      <w:r>
        <w:rPr>
          <w:sz w:val="24"/>
          <w:szCs w:val="24"/>
        </w:rPr>
        <w:t xml:space="preserve"> (line 190) This was strictly speaking a fine, applied to various penalties</w:t>
      </w:r>
      <w:r w:rsidR="0047643F">
        <w:rPr>
          <w:sz w:val="24"/>
          <w:szCs w:val="24"/>
        </w:rPr>
        <w:t xml:space="preserve"> (</w:t>
      </w:r>
      <w:r w:rsidR="0047643F">
        <w:rPr>
          <w:i/>
          <w:iCs/>
          <w:sz w:val="24"/>
          <w:szCs w:val="24"/>
        </w:rPr>
        <w:t>poena</w:t>
      </w:r>
      <w:r w:rsidR="000D298A">
        <w:rPr>
          <w:i/>
          <w:iCs/>
          <w:sz w:val="24"/>
          <w:szCs w:val="24"/>
        </w:rPr>
        <w:t>s</w:t>
      </w:r>
      <w:r w:rsidR="0047643F">
        <w:rPr>
          <w:sz w:val="24"/>
          <w:szCs w:val="24"/>
        </w:rPr>
        <w:t xml:space="preserve">) which might involve loss of property (livestock, later money). </w:t>
      </w:r>
      <w:r w:rsidR="000D298A">
        <w:rPr>
          <w:sz w:val="24"/>
          <w:szCs w:val="24"/>
        </w:rPr>
        <w:t xml:space="preserve">Quinn suggests that the word is </w:t>
      </w:r>
      <w:r w:rsidR="00E76EBE">
        <w:rPr>
          <w:sz w:val="24"/>
          <w:szCs w:val="24"/>
        </w:rPr>
        <w:t xml:space="preserve">placed </w:t>
      </w:r>
      <w:r w:rsidR="000D298A">
        <w:rPr>
          <w:sz w:val="24"/>
          <w:szCs w:val="24"/>
        </w:rPr>
        <w:t xml:space="preserve">here for the sake of </w:t>
      </w:r>
      <w:r w:rsidR="000D298A">
        <w:rPr>
          <w:i/>
          <w:iCs/>
          <w:sz w:val="24"/>
          <w:szCs w:val="24"/>
        </w:rPr>
        <w:t xml:space="preserve">multantes </w:t>
      </w:r>
      <w:r w:rsidR="000D298A">
        <w:rPr>
          <w:sz w:val="24"/>
          <w:szCs w:val="24"/>
        </w:rPr>
        <w:t xml:space="preserve">in line 192. </w:t>
      </w:r>
      <w:r w:rsidR="0047643F">
        <w:rPr>
          <w:sz w:val="24"/>
          <w:szCs w:val="24"/>
        </w:rPr>
        <w:t>Godwin suggests that using such a pedestrian word in so richly rhetorical a passage is an understatement</w:t>
      </w:r>
      <w:r w:rsidR="001D056C">
        <w:rPr>
          <w:sz w:val="24"/>
          <w:szCs w:val="24"/>
        </w:rPr>
        <w:t>,</w:t>
      </w:r>
      <w:r w:rsidR="0047643F">
        <w:rPr>
          <w:rStyle w:val="FootnoteReference"/>
          <w:sz w:val="24"/>
          <w:szCs w:val="24"/>
        </w:rPr>
        <w:footnoteReference w:id="9"/>
      </w:r>
      <w:r w:rsidR="0047643F">
        <w:rPr>
          <w:sz w:val="24"/>
          <w:szCs w:val="24"/>
        </w:rPr>
        <w:t xml:space="preserve"> </w:t>
      </w:r>
      <w:r w:rsidR="001D056C">
        <w:rPr>
          <w:sz w:val="24"/>
          <w:szCs w:val="24"/>
        </w:rPr>
        <w:t xml:space="preserve">but </w:t>
      </w:r>
      <w:r w:rsidR="0047643F">
        <w:rPr>
          <w:sz w:val="24"/>
          <w:szCs w:val="24"/>
        </w:rPr>
        <w:t xml:space="preserve">Trimble </w:t>
      </w:r>
      <w:r w:rsidR="001D056C">
        <w:rPr>
          <w:sz w:val="24"/>
          <w:szCs w:val="24"/>
        </w:rPr>
        <w:t xml:space="preserve">says </w:t>
      </w:r>
      <w:r w:rsidR="0047643F">
        <w:rPr>
          <w:sz w:val="24"/>
          <w:szCs w:val="24"/>
        </w:rPr>
        <w:t xml:space="preserve"> that it has the effect of deglamourizing Ariadne’s opponent, and contrasts with the more exalted tone seen in lines 190-1, </w:t>
      </w:r>
      <w:r w:rsidR="0047643F">
        <w:rPr>
          <w:i/>
          <w:iCs/>
          <w:sz w:val="24"/>
          <w:szCs w:val="24"/>
        </w:rPr>
        <w:t>caelestum.</w:t>
      </w:r>
      <w:r w:rsidR="0047643F">
        <w:rPr>
          <w:rStyle w:val="FootnoteReference"/>
          <w:i/>
          <w:iCs/>
          <w:sz w:val="24"/>
          <w:szCs w:val="24"/>
        </w:rPr>
        <w:footnoteReference w:id="10"/>
      </w:r>
      <w:r w:rsidR="006D7FA3">
        <w:rPr>
          <w:i/>
          <w:iCs/>
          <w:sz w:val="24"/>
          <w:szCs w:val="24"/>
        </w:rPr>
        <w:t xml:space="preserve"> </w:t>
      </w:r>
    </w:p>
    <w:p w14:paraId="0FC764DD" w14:textId="6BD7A1F7" w:rsidR="00FB7226" w:rsidRDefault="00FB7226" w:rsidP="00661825">
      <w:pPr>
        <w:rPr>
          <w:sz w:val="24"/>
          <w:szCs w:val="24"/>
        </w:rPr>
      </w:pPr>
      <w:r>
        <w:rPr>
          <w:i/>
          <w:iCs/>
          <w:sz w:val="24"/>
          <w:szCs w:val="24"/>
        </w:rPr>
        <w:t xml:space="preserve">Caelestumque fidem..comprecer. </w:t>
      </w:r>
      <w:r>
        <w:rPr>
          <w:sz w:val="24"/>
          <w:szCs w:val="24"/>
        </w:rPr>
        <w:t xml:space="preserve">Ariadne trusts in the justice of the gods because she has no one else to turn to </w:t>
      </w:r>
      <w:r>
        <w:rPr>
          <w:i/>
          <w:iCs/>
          <w:sz w:val="24"/>
          <w:szCs w:val="24"/>
        </w:rPr>
        <w:t xml:space="preserve">postrema…hora </w:t>
      </w:r>
      <w:r>
        <w:rPr>
          <w:sz w:val="24"/>
          <w:szCs w:val="24"/>
        </w:rPr>
        <w:t>(in her last hour).</w:t>
      </w:r>
      <w:r>
        <w:rPr>
          <w:rStyle w:val="FootnoteReference"/>
          <w:sz w:val="24"/>
          <w:szCs w:val="24"/>
        </w:rPr>
        <w:footnoteReference w:id="11"/>
      </w:r>
      <w:r>
        <w:rPr>
          <w:i/>
          <w:iCs/>
          <w:sz w:val="24"/>
          <w:szCs w:val="24"/>
        </w:rPr>
        <w:t xml:space="preserve"> </w:t>
      </w:r>
      <w:r>
        <w:rPr>
          <w:sz w:val="24"/>
          <w:szCs w:val="24"/>
        </w:rPr>
        <w:t xml:space="preserve"> She doesn’t specify the infernal Furies until line 192. She then proceeds to describe the Furies vividly,’ as if she could see them, and then summons them, as if in order to see them.</w:t>
      </w:r>
      <w:r>
        <w:rPr>
          <w:rStyle w:val="FootnoteReference"/>
          <w:sz w:val="24"/>
          <w:szCs w:val="24"/>
        </w:rPr>
        <w:footnoteReference w:id="12"/>
      </w:r>
      <w:r>
        <w:rPr>
          <w:sz w:val="24"/>
          <w:szCs w:val="24"/>
        </w:rPr>
        <w:t xml:space="preserve"> Jenkyns suggests </w:t>
      </w:r>
      <w:r w:rsidR="00485CB4">
        <w:rPr>
          <w:sz w:val="24"/>
          <w:szCs w:val="24"/>
        </w:rPr>
        <w:t xml:space="preserve">convincingly </w:t>
      </w:r>
      <w:r>
        <w:rPr>
          <w:sz w:val="24"/>
          <w:szCs w:val="24"/>
        </w:rPr>
        <w:t>that the colourful picture of them distracts us briefly, from Ariadne’s sufferings, before lending power to the emphatic assertion of them in lines 195-7.</w:t>
      </w:r>
      <w:r>
        <w:rPr>
          <w:rStyle w:val="FootnoteReference"/>
          <w:sz w:val="24"/>
          <w:szCs w:val="24"/>
        </w:rPr>
        <w:footnoteReference w:id="13"/>
      </w:r>
      <w:r>
        <w:rPr>
          <w:sz w:val="24"/>
          <w:szCs w:val="24"/>
        </w:rPr>
        <w:t xml:space="preserve"> </w:t>
      </w:r>
    </w:p>
    <w:p w14:paraId="1E644C3D" w14:textId="4171FC41" w:rsidR="00A03345" w:rsidRDefault="00A03345" w:rsidP="00661825">
      <w:pPr>
        <w:rPr>
          <w:sz w:val="24"/>
          <w:szCs w:val="24"/>
        </w:rPr>
      </w:pPr>
      <w:r>
        <w:rPr>
          <w:i/>
          <w:iCs/>
          <w:sz w:val="24"/>
          <w:szCs w:val="24"/>
        </w:rPr>
        <w:lastRenderedPageBreak/>
        <w:t xml:space="preserve">Eumenides </w:t>
      </w:r>
      <w:r>
        <w:rPr>
          <w:sz w:val="24"/>
          <w:szCs w:val="24"/>
        </w:rPr>
        <w:t xml:space="preserve">(line 193) Quinn describes them as ‘the well-disposed goddesses’, a propitiatory euphemism applied to the Erinyes (as in Aeschyles’ play </w:t>
      </w:r>
      <w:r>
        <w:rPr>
          <w:i/>
          <w:iCs/>
          <w:sz w:val="24"/>
          <w:szCs w:val="24"/>
        </w:rPr>
        <w:t>Oresteia</w:t>
      </w:r>
      <w:r>
        <w:rPr>
          <w:sz w:val="24"/>
          <w:szCs w:val="24"/>
        </w:rPr>
        <w:t>, whose function, as we have seen, was the punishment of murder, but also a host of other, lesser crimes</w:t>
      </w:r>
      <w:r w:rsidR="001D056C">
        <w:rPr>
          <w:sz w:val="24"/>
          <w:szCs w:val="24"/>
        </w:rPr>
        <w:t>)</w:t>
      </w:r>
      <w:r>
        <w:rPr>
          <w:sz w:val="24"/>
          <w:szCs w:val="24"/>
        </w:rPr>
        <w:t>.</w:t>
      </w:r>
      <w:r w:rsidR="002007E5">
        <w:rPr>
          <w:rStyle w:val="FootnoteReference"/>
          <w:sz w:val="24"/>
          <w:szCs w:val="24"/>
        </w:rPr>
        <w:footnoteReference w:id="14"/>
      </w:r>
      <w:r>
        <w:rPr>
          <w:sz w:val="24"/>
          <w:szCs w:val="24"/>
        </w:rPr>
        <w:t xml:space="preserve"> </w:t>
      </w:r>
      <w:r w:rsidR="002007E5">
        <w:rPr>
          <w:sz w:val="24"/>
          <w:szCs w:val="24"/>
        </w:rPr>
        <w:t xml:space="preserve">Aeschylus’ </w:t>
      </w:r>
      <w:r w:rsidR="002007E5">
        <w:rPr>
          <w:i/>
          <w:iCs/>
          <w:sz w:val="24"/>
          <w:szCs w:val="24"/>
        </w:rPr>
        <w:t>Choephoroi</w:t>
      </w:r>
      <w:r w:rsidR="002007E5">
        <w:rPr>
          <w:sz w:val="24"/>
          <w:szCs w:val="24"/>
        </w:rPr>
        <w:t xml:space="preserve"> was the first who described the hair of the Furies as intertwined with snakes, </w:t>
      </w:r>
      <w:r w:rsidR="002007E5">
        <w:rPr>
          <w:sz w:val="24"/>
          <w:szCs w:val="24"/>
          <w:lang w:val="el-GR"/>
        </w:rPr>
        <w:t>πεπλεκτανημένοι</w:t>
      </w:r>
      <w:r w:rsidR="002007E5" w:rsidRPr="002007E5">
        <w:rPr>
          <w:sz w:val="24"/>
          <w:szCs w:val="24"/>
        </w:rPr>
        <w:t xml:space="preserve"> </w:t>
      </w:r>
      <w:r w:rsidR="002007E5">
        <w:rPr>
          <w:sz w:val="24"/>
          <w:szCs w:val="24"/>
          <w:lang w:val="el-GR"/>
        </w:rPr>
        <w:t>Πυκνοῖς</w:t>
      </w:r>
      <w:r w:rsidR="002007E5" w:rsidRPr="002007E5">
        <w:rPr>
          <w:sz w:val="24"/>
          <w:szCs w:val="24"/>
        </w:rPr>
        <w:t xml:space="preserve"> </w:t>
      </w:r>
      <w:r w:rsidR="002007E5">
        <w:rPr>
          <w:sz w:val="24"/>
          <w:szCs w:val="24"/>
          <w:lang w:val="el-GR"/>
        </w:rPr>
        <w:t>δράκουσιν</w:t>
      </w:r>
      <w:r w:rsidR="002007E5">
        <w:rPr>
          <w:sz w:val="24"/>
          <w:szCs w:val="24"/>
        </w:rPr>
        <w:t>,</w:t>
      </w:r>
      <w:r w:rsidR="002007E5">
        <w:rPr>
          <w:rStyle w:val="FootnoteReference"/>
          <w:sz w:val="24"/>
          <w:szCs w:val="24"/>
        </w:rPr>
        <w:footnoteReference w:id="15"/>
      </w:r>
      <w:r w:rsidR="002007E5">
        <w:rPr>
          <w:sz w:val="24"/>
          <w:szCs w:val="24"/>
        </w:rPr>
        <w:t xml:space="preserve"> but this also occurs in Sophocles’ </w:t>
      </w:r>
      <w:r w:rsidR="002007E5">
        <w:rPr>
          <w:i/>
          <w:iCs/>
          <w:sz w:val="24"/>
          <w:szCs w:val="24"/>
        </w:rPr>
        <w:t xml:space="preserve">Ajax. </w:t>
      </w:r>
      <w:r w:rsidR="002007E5">
        <w:rPr>
          <w:sz w:val="24"/>
          <w:szCs w:val="24"/>
        </w:rPr>
        <w:t xml:space="preserve">(lines 835-40). </w:t>
      </w:r>
      <w:r w:rsidR="002007E5">
        <w:rPr>
          <w:i/>
          <w:iCs/>
          <w:sz w:val="24"/>
          <w:szCs w:val="24"/>
        </w:rPr>
        <w:t xml:space="preserve">Frons </w:t>
      </w:r>
      <w:r w:rsidR="002007E5">
        <w:rPr>
          <w:sz w:val="24"/>
          <w:szCs w:val="24"/>
        </w:rPr>
        <w:t xml:space="preserve">and </w:t>
      </w:r>
      <w:r w:rsidR="002007E5">
        <w:rPr>
          <w:i/>
          <w:iCs/>
          <w:sz w:val="24"/>
          <w:szCs w:val="24"/>
        </w:rPr>
        <w:t xml:space="preserve">pectus </w:t>
      </w:r>
      <w:r w:rsidR="00E76EBE">
        <w:rPr>
          <w:sz w:val="24"/>
          <w:szCs w:val="24"/>
        </w:rPr>
        <w:t>show</w:t>
      </w:r>
      <w:r w:rsidR="002007E5">
        <w:rPr>
          <w:sz w:val="24"/>
          <w:szCs w:val="24"/>
        </w:rPr>
        <w:t xml:space="preserve"> clearly</w:t>
      </w:r>
      <w:r w:rsidR="00636AD9">
        <w:rPr>
          <w:sz w:val="24"/>
          <w:szCs w:val="24"/>
        </w:rPr>
        <w:t xml:space="preserve"> how the Furies’ external appearance indicates their inward nature which, Schmale states, </w:t>
      </w:r>
      <w:r w:rsidR="001D056C">
        <w:rPr>
          <w:sz w:val="24"/>
          <w:szCs w:val="24"/>
        </w:rPr>
        <w:t>renders</w:t>
      </w:r>
      <w:r w:rsidR="00636AD9">
        <w:rPr>
          <w:sz w:val="24"/>
          <w:szCs w:val="24"/>
        </w:rPr>
        <w:t xml:space="preserve"> them </w:t>
      </w:r>
      <w:r w:rsidR="001D056C">
        <w:rPr>
          <w:sz w:val="24"/>
          <w:szCs w:val="24"/>
        </w:rPr>
        <w:t xml:space="preserve">the </w:t>
      </w:r>
      <w:r w:rsidR="00636AD9">
        <w:rPr>
          <w:sz w:val="24"/>
          <w:szCs w:val="24"/>
        </w:rPr>
        <w:t>opposite to the deceitful Theseus whom they will punish.</w:t>
      </w:r>
      <w:r w:rsidR="00636AD9">
        <w:rPr>
          <w:rStyle w:val="FootnoteReference"/>
          <w:sz w:val="24"/>
          <w:szCs w:val="24"/>
        </w:rPr>
        <w:footnoteReference w:id="16"/>
      </w:r>
      <w:r w:rsidR="00636AD9">
        <w:rPr>
          <w:sz w:val="24"/>
          <w:szCs w:val="24"/>
        </w:rPr>
        <w:t xml:space="preserve"> </w:t>
      </w:r>
      <w:r w:rsidR="001D056C">
        <w:rPr>
          <w:sz w:val="24"/>
          <w:szCs w:val="24"/>
        </w:rPr>
        <w:t>The</w:t>
      </w:r>
      <w:r w:rsidR="00636AD9">
        <w:rPr>
          <w:sz w:val="24"/>
          <w:szCs w:val="24"/>
        </w:rPr>
        <w:t xml:space="preserve"> three words, </w:t>
      </w:r>
      <w:r w:rsidR="00636AD9">
        <w:rPr>
          <w:i/>
          <w:iCs/>
          <w:sz w:val="24"/>
          <w:szCs w:val="24"/>
        </w:rPr>
        <w:t xml:space="preserve">multantaes vindice poena </w:t>
      </w:r>
      <w:r w:rsidR="00636AD9">
        <w:rPr>
          <w:sz w:val="24"/>
          <w:szCs w:val="24"/>
        </w:rPr>
        <w:t>suggest a devastating amount of anger.</w:t>
      </w:r>
      <w:r w:rsidR="00636AD9">
        <w:rPr>
          <w:rStyle w:val="FootnoteReference"/>
          <w:sz w:val="24"/>
          <w:szCs w:val="24"/>
        </w:rPr>
        <w:footnoteReference w:id="17"/>
      </w:r>
      <w:r w:rsidR="00636AD9">
        <w:rPr>
          <w:sz w:val="24"/>
          <w:szCs w:val="24"/>
        </w:rPr>
        <w:t xml:space="preserve">  </w:t>
      </w:r>
      <w:r w:rsidR="00636AD9">
        <w:rPr>
          <w:i/>
          <w:iCs/>
          <w:sz w:val="24"/>
          <w:szCs w:val="24"/>
        </w:rPr>
        <w:t xml:space="preserve">Expirantes </w:t>
      </w:r>
      <w:r w:rsidR="00636AD9">
        <w:rPr>
          <w:sz w:val="24"/>
          <w:szCs w:val="24"/>
        </w:rPr>
        <w:t xml:space="preserve">is intransitive with </w:t>
      </w:r>
      <w:r w:rsidR="00636AD9">
        <w:rPr>
          <w:i/>
          <w:iCs/>
          <w:sz w:val="24"/>
          <w:szCs w:val="24"/>
        </w:rPr>
        <w:t xml:space="preserve">iras </w:t>
      </w:r>
      <w:r w:rsidR="00636AD9">
        <w:rPr>
          <w:sz w:val="24"/>
          <w:szCs w:val="24"/>
        </w:rPr>
        <w:t xml:space="preserve">(blasting out). The angry hissing of the snakes </w:t>
      </w:r>
      <w:r w:rsidR="00636AD9">
        <w:rPr>
          <w:i/>
          <w:iCs/>
          <w:sz w:val="24"/>
          <w:szCs w:val="24"/>
        </w:rPr>
        <w:t xml:space="preserve">praeportat </w:t>
      </w:r>
      <w:r w:rsidR="00636AD9">
        <w:rPr>
          <w:sz w:val="24"/>
          <w:szCs w:val="24"/>
        </w:rPr>
        <w:t>(displays</w:t>
      </w:r>
      <w:r w:rsidR="00A35656">
        <w:rPr>
          <w:sz w:val="24"/>
          <w:szCs w:val="24"/>
        </w:rPr>
        <w:t>/ bears on its front</w:t>
      </w:r>
      <w:r w:rsidR="00636AD9">
        <w:rPr>
          <w:sz w:val="24"/>
          <w:szCs w:val="24"/>
        </w:rPr>
        <w:t>) the anger exhaled from the pectus, which is both the site of the lungs and the seat of emotions</w:t>
      </w:r>
      <w:r w:rsidR="007E4E73">
        <w:rPr>
          <w:sz w:val="24"/>
          <w:szCs w:val="24"/>
        </w:rPr>
        <w:t>.</w:t>
      </w:r>
      <w:r w:rsidR="007E4E73">
        <w:rPr>
          <w:rStyle w:val="FootnoteReference"/>
          <w:sz w:val="24"/>
          <w:szCs w:val="24"/>
        </w:rPr>
        <w:footnoteReference w:id="18"/>
      </w:r>
      <w:r w:rsidR="007E4E73">
        <w:rPr>
          <w:sz w:val="24"/>
          <w:szCs w:val="24"/>
        </w:rPr>
        <w:t xml:space="preserve"> As Trimble states, the whole expression goes back to the understanding of the breath as itself, constituting emotion, especially anger.</w:t>
      </w:r>
      <w:r w:rsidR="007E4E73">
        <w:rPr>
          <w:rStyle w:val="FootnoteReference"/>
          <w:sz w:val="24"/>
          <w:szCs w:val="24"/>
        </w:rPr>
        <w:footnoteReference w:id="19"/>
      </w:r>
      <w:r w:rsidR="007E4E73">
        <w:rPr>
          <w:sz w:val="24"/>
          <w:szCs w:val="24"/>
        </w:rPr>
        <w:t xml:space="preserve"> The spitting of the snakes’ venom is emphasized by the alliteration of the letter ‘p’ </w:t>
      </w:r>
      <w:r w:rsidR="007E4E73">
        <w:rPr>
          <w:i/>
          <w:iCs/>
          <w:sz w:val="24"/>
          <w:szCs w:val="24"/>
        </w:rPr>
        <w:t xml:space="preserve">expirantis praeportat pectoris </w:t>
      </w:r>
      <w:r w:rsidR="007E4E73">
        <w:rPr>
          <w:sz w:val="24"/>
          <w:szCs w:val="24"/>
        </w:rPr>
        <w:t xml:space="preserve">(line 194). </w:t>
      </w:r>
    </w:p>
    <w:p w14:paraId="414B9E10" w14:textId="35F6EA45" w:rsidR="007E4E73" w:rsidRDefault="007E4E73" w:rsidP="00661825">
      <w:pPr>
        <w:rPr>
          <w:sz w:val="24"/>
          <w:szCs w:val="24"/>
        </w:rPr>
      </w:pPr>
      <w:r>
        <w:rPr>
          <w:sz w:val="24"/>
          <w:szCs w:val="24"/>
        </w:rPr>
        <w:t xml:space="preserve">Combinations of imperatives beginning with ‘come’ are common in invocations; in </w:t>
      </w:r>
      <w:r>
        <w:rPr>
          <w:i/>
          <w:iCs/>
          <w:sz w:val="24"/>
          <w:szCs w:val="24"/>
        </w:rPr>
        <w:t xml:space="preserve">Aeneid </w:t>
      </w:r>
      <w:r>
        <w:rPr>
          <w:sz w:val="24"/>
          <w:szCs w:val="24"/>
        </w:rPr>
        <w:t xml:space="preserve">4.612-23 we have </w:t>
      </w:r>
      <w:r w:rsidR="00A35656">
        <w:rPr>
          <w:i/>
          <w:iCs/>
          <w:sz w:val="24"/>
          <w:szCs w:val="24"/>
        </w:rPr>
        <w:t xml:space="preserve">accipiter haec, meritumque malis advertite numen et nostras audite preces…. </w:t>
      </w:r>
      <w:r w:rsidR="00A35656">
        <w:rPr>
          <w:sz w:val="24"/>
          <w:szCs w:val="24"/>
        </w:rPr>
        <w:t>(hear me now; turn your anger upon the sins that merit it and listen to my prayers…)</w:t>
      </w:r>
      <w:r w:rsidR="00A35656">
        <w:rPr>
          <w:rStyle w:val="FootnoteReference"/>
          <w:sz w:val="24"/>
          <w:szCs w:val="24"/>
        </w:rPr>
        <w:footnoteReference w:id="20"/>
      </w:r>
      <w:r w:rsidR="00A35656">
        <w:rPr>
          <w:sz w:val="24"/>
          <w:szCs w:val="24"/>
        </w:rPr>
        <w:t xml:space="preserve"> </w:t>
      </w:r>
      <w:r w:rsidR="00A35656">
        <w:rPr>
          <w:i/>
          <w:iCs/>
          <w:sz w:val="24"/>
          <w:szCs w:val="24"/>
        </w:rPr>
        <w:t xml:space="preserve">meas audite querelas </w:t>
      </w:r>
      <w:r w:rsidR="00A35656">
        <w:rPr>
          <w:sz w:val="24"/>
          <w:szCs w:val="24"/>
        </w:rPr>
        <w:t xml:space="preserve">(line 195) are also alluded to by Virgil in these lines from </w:t>
      </w:r>
      <w:r w:rsidR="00A35656">
        <w:rPr>
          <w:i/>
          <w:iCs/>
          <w:sz w:val="24"/>
          <w:szCs w:val="24"/>
        </w:rPr>
        <w:t xml:space="preserve">Aeneid. </w:t>
      </w:r>
    </w:p>
    <w:p w14:paraId="3053F23B" w14:textId="4AB73217" w:rsidR="000C7E65" w:rsidRPr="002175CB" w:rsidRDefault="00A35656" w:rsidP="00661825">
      <w:pPr>
        <w:rPr>
          <w:sz w:val="24"/>
          <w:szCs w:val="24"/>
        </w:rPr>
      </w:pPr>
      <w:r>
        <w:rPr>
          <w:sz w:val="24"/>
          <w:szCs w:val="24"/>
        </w:rPr>
        <w:t xml:space="preserve">In lines 195-7, the rhetoric is high: there is repetition of </w:t>
      </w:r>
      <w:r>
        <w:rPr>
          <w:i/>
          <w:iCs/>
          <w:sz w:val="24"/>
          <w:szCs w:val="24"/>
        </w:rPr>
        <w:t xml:space="preserve">huc huc, </w:t>
      </w:r>
      <w:r>
        <w:rPr>
          <w:sz w:val="24"/>
          <w:szCs w:val="24"/>
        </w:rPr>
        <w:t xml:space="preserve">the emotion of </w:t>
      </w:r>
      <w:r>
        <w:rPr>
          <w:i/>
          <w:iCs/>
          <w:sz w:val="24"/>
          <w:szCs w:val="24"/>
        </w:rPr>
        <w:t xml:space="preserve">vae misera </w:t>
      </w:r>
      <w:r>
        <w:rPr>
          <w:sz w:val="24"/>
          <w:szCs w:val="24"/>
        </w:rPr>
        <w:t xml:space="preserve">and, as Godwin states, the impressive four adjective catalogue </w:t>
      </w:r>
      <w:r>
        <w:rPr>
          <w:i/>
          <w:iCs/>
          <w:sz w:val="24"/>
          <w:szCs w:val="24"/>
        </w:rPr>
        <w:t>inops</w:t>
      </w:r>
      <w:r w:rsidR="000C7E65">
        <w:rPr>
          <w:i/>
          <w:iCs/>
          <w:sz w:val="24"/>
          <w:szCs w:val="24"/>
        </w:rPr>
        <w:t xml:space="preserve"> </w:t>
      </w:r>
      <w:r w:rsidR="000C7E65">
        <w:rPr>
          <w:sz w:val="24"/>
          <w:szCs w:val="24"/>
        </w:rPr>
        <w:t>(having no protection, defenceless)</w:t>
      </w:r>
      <w:r>
        <w:rPr>
          <w:i/>
          <w:iCs/>
          <w:sz w:val="24"/>
          <w:szCs w:val="24"/>
        </w:rPr>
        <w:t xml:space="preserve"> ardens</w:t>
      </w:r>
      <w:r w:rsidR="000C7E65">
        <w:rPr>
          <w:i/>
          <w:iCs/>
          <w:sz w:val="24"/>
          <w:szCs w:val="24"/>
        </w:rPr>
        <w:t>,</w:t>
      </w:r>
      <w:r>
        <w:rPr>
          <w:i/>
          <w:iCs/>
          <w:sz w:val="24"/>
          <w:szCs w:val="24"/>
        </w:rPr>
        <w:t xml:space="preserve"> amenti </w:t>
      </w:r>
      <w:r w:rsidR="000C7E65">
        <w:rPr>
          <w:sz w:val="24"/>
          <w:szCs w:val="24"/>
        </w:rPr>
        <w:t xml:space="preserve">(greatly excited, frantic, distracted), </w:t>
      </w:r>
      <w:r>
        <w:rPr>
          <w:i/>
          <w:iCs/>
          <w:sz w:val="24"/>
          <w:szCs w:val="24"/>
        </w:rPr>
        <w:t>caeca</w:t>
      </w:r>
      <w:r w:rsidR="000C7E65">
        <w:rPr>
          <w:i/>
          <w:iCs/>
          <w:sz w:val="24"/>
          <w:szCs w:val="24"/>
        </w:rPr>
        <w:t xml:space="preserve"> </w:t>
      </w:r>
      <w:r w:rsidR="000C7E65">
        <w:rPr>
          <w:sz w:val="24"/>
          <w:szCs w:val="24"/>
        </w:rPr>
        <w:t xml:space="preserve">(blinded, but here </w:t>
      </w:r>
      <w:r w:rsidR="00E76EBE">
        <w:rPr>
          <w:sz w:val="24"/>
          <w:szCs w:val="24"/>
        </w:rPr>
        <w:t>suggesting</w:t>
      </w:r>
      <w:r w:rsidR="000C7E65">
        <w:rPr>
          <w:sz w:val="24"/>
          <w:szCs w:val="24"/>
        </w:rPr>
        <w:t xml:space="preserve"> blinded by the emotional impact of a sight)</w:t>
      </w:r>
      <w:r>
        <w:rPr>
          <w:i/>
          <w:iCs/>
          <w:sz w:val="24"/>
          <w:szCs w:val="24"/>
        </w:rPr>
        <w:t xml:space="preserve"> </w:t>
      </w:r>
      <w:r>
        <w:rPr>
          <w:sz w:val="24"/>
          <w:szCs w:val="24"/>
        </w:rPr>
        <w:t>sandwiched by the basic phrase</w:t>
      </w:r>
      <w:r w:rsidR="00833044">
        <w:rPr>
          <w:sz w:val="24"/>
          <w:szCs w:val="24"/>
        </w:rPr>
        <w:t xml:space="preserve"> </w:t>
      </w:r>
      <w:r w:rsidR="00833044">
        <w:rPr>
          <w:i/>
          <w:iCs/>
          <w:sz w:val="24"/>
          <w:szCs w:val="24"/>
        </w:rPr>
        <w:t>cogor…furore.</w:t>
      </w:r>
      <w:r w:rsidR="002175CB">
        <w:rPr>
          <w:sz w:val="24"/>
          <w:szCs w:val="24"/>
        </w:rPr>
        <w:t xml:space="preserve"> Rees suggests that the </w:t>
      </w:r>
      <w:r w:rsidR="00E76EBE">
        <w:rPr>
          <w:sz w:val="24"/>
          <w:szCs w:val="24"/>
        </w:rPr>
        <w:t>description</w:t>
      </w:r>
      <w:r w:rsidR="002175CB">
        <w:rPr>
          <w:sz w:val="24"/>
          <w:szCs w:val="24"/>
        </w:rPr>
        <w:t xml:space="preserve"> here evokes the idea of being blinded by the emotional impact of a sight.</w:t>
      </w:r>
      <w:r w:rsidR="002175CB">
        <w:rPr>
          <w:rStyle w:val="FootnoteReference"/>
          <w:sz w:val="24"/>
          <w:szCs w:val="24"/>
        </w:rPr>
        <w:footnoteReference w:id="21"/>
      </w:r>
      <w:r w:rsidR="002175CB">
        <w:rPr>
          <w:sz w:val="24"/>
          <w:szCs w:val="24"/>
        </w:rPr>
        <w:t xml:space="preserve"> Ariadne’s curse (lines 207-8) </w:t>
      </w:r>
      <w:r w:rsidR="002175CB">
        <w:rPr>
          <w:i/>
          <w:iCs/>
          <w:sz w:val="24"/>
          <w:szCs w:val="24"/>
        </w:rPr>
        <w:t xml:space="preserve">ipse autem caeca mentem caligne Theseus consitus, </w:t>
      </w:r>
      <w:r w:rsidR="002175CB">
        <w:rPr>
          <w:sz w:val="24"/>
          <w:szCs w:val="24"/>
        </w:rPr>
        <w:t>causes Theseus too to suffer from mental blindness.</w:t>
      </w:r>
      <w:r w:rsidR="002175CB">
        <w:rPr>
          <w:rStyle w:val="FootnoteReference"/>
          <w:sz w:val="24"/>
          <w:szCs w:val="24"/>
        </w:rPr>
        <w:footnoteReference w:id="22"/>
      </w:r>
    </w:p>
    <w:p w14:paraId="7DC00122" w14:textId="1739BADC" w:rsidR="00A37381" w:rsidRPr="00F02938" w:rsidRDefault="00833044" w:rsidP="00661825">
      <w:pPr>
        <w:rPr>
          <w:sz w:val="24"/>
          <w:szCs w:val="24"/>
        </w:rPr>
      </w:pPr>
      <w:r>
        <w:rPr>
          <w:i/>
          <w:iCs/>
          <w:sz w:val="24"/>
          <w:szCs w:val="24"/>
        </w:rPr>
        <w:t xml:space="preserve"> Extremis proferre medullis </w:t>
      </w:r>
      <w:r>
        <w:rPr>
          <w:sz w:val="24"/>
          <w:szCs w:val="24"/>
        </w:rPr>
        <w:t xml:space="preserve">(line 196) compares with </w:t>
      </w:r>
      <w:r>
        <w:rPr>
          <w:i/>
          <w:iCs/>
          <w:sz w:val="24"/>
          <w:szCs w:val="24"/>
        </w:rPr>
        <w:t xml:space="preserve">imis exarsit tota medullis </w:t>
      </w:r>
      <w:r>
        <w:rPr>
          <w:sz w:val="24"/>
          <w:szCs w:val="24"/>
        </w:rPr>
        <w:t xml:space="preserve">(line 93) suggesting that Ariadne’s curse comes from the same depths as her original love. As Trimble states, passion may be felt in the marrow (line 93) or the </w:t>
      </w:r>
      <w:r>
        <w:rPr>
          <w:i/>
          <w:iCs/>
          <w:sz w:val="24"/>
          <w:szCs w:val="24"/>
        </w:rPr>
        <w:t xml:space="preserve">pectus </w:t>
      </w:r>
      <w:r>
        <w:rPr>
          <w:sz w:val="24"/>
          <w:szCs w:val="24"/>
        </w:rPr>
        <w:t xml:space="preserve">(line 69) </w:t>
      </w:r>
      <w:r>
        <w:rPr>
          <w:i/>
          <w:iCs/>
          <w:sz w:val="24"/>
          <w:szCs w:val="24"/>
        </w:rPr>
        <w:t>illa vicem curans toto ex te pectore,</w:t>
      </w:r>
      <w:r>
        <w:rPr>
          <w:sz w:val="24"/>
          <w:szCs w:val="24"/>
        </w:rPr>
        <w:t xml:space="preserve"> but words or cries usually emanate from the latter.</w:t>
      </w:r>
      <w:r>
        <w:rPr>
          <w:rStyle w:val="FootnoteReference"/>
          <w:sz w:val="24"/>
          <w:szCs w:val="24"/>
        </w:rPr>
        <w:footnoteReference w:id="23"/>
      </w:r>
      <w:r>
        <w:rPr>
          <w:sz w:val="24"/>
          <w:szCs w:val="24"/>
        </w:rPr>
        <w:t xml:space="preserve"> </w:t>
      </w:r>
      <w:r w:rsidR="002175CB">
        <w:rPr>
          <w:sz w:val="24"/>
          <w:szCs w:val="24"/>
        </w:rPr>
        <w:t xml:space="preserve">There is a suggestion that </w:t>
      </w:r>
      <w:r w:rsidR="002175CB">
        <w:rPr>
          <w:i/>
          <w:iCs/>
          <w:sz w:val="24"/>
          <w:szCs w:val="24"/>
        </w:rPr>
        <w:t xml:space="preserve">quae quoniam verae nascuntur pectore ab imo </w:t>
      </w:r>
      <w:r w:rsidR="002175CB">
        <w:rPr>
          <w:sz w:val="24"/>
          <w:szCs w:val="24"/>
        </w:rPr>
        <w:t>(</w:t>
      </w:r>
      <w:r w:rsidR="006620DC">
        <w:rPr>
          <w:sz w:val="24"/>
          <w:szCs w:val="24"/>
        </w:rPr>
        <w:t>for since my woes come truthfully from the depth of my heart, line 198) has a Lucretian flavour which, if correct confirms the emphasis here on honesty, in contrast with Theseus’ deceit.</w:t>
      </w:r>
      <w:r w:rsidR="006620DC">
        <w:rPr>
          <w:rStyle w:val="FootnoteReference"/>
          <w:sz w:val="24"/>
          <w:szCs w:val="24"/>
        </w:rPr>
        <w:footnoteReference w:id="24"/>
      </w:r>
      <w:r w:rsidR="006620DC">
        <w:rPr>
          <w:sz w:val="24"/>
          <w:szCs w:val="24"/>
        </w:rPr>
        <w:t xml:space="preserve"> Lucretius  (3.57-</w:t>
      </w:r>
      <w:r w:rsidR="006620DC">
        <w:rPr>
          <w:sz w:val="24"/>
          <w:szCs w:val="24"/>
        </w:rPr>
        <w:lastRenderedPageBreak/>
        <w:t>8) argues that under stress</w:t>
      </w:r>
      <w:r w:rsidR="00E76EBE">
        <w:rPr>
          <w:sz w:val="24"/>
          <w:szCs w:val="24"/>
        </w:rPr>
        <w:t>,</w:t>
      </w:r>
      <w:r w:rsidR="006620DC">
        <w:rPr>
          <w:sz w:val="24"/>
          <w:szCs w:val="24"/>
        </w:rPr>
        <w:t xml:space="preserve"> </w:t>
      </w:r>
      <w:r w:rsidR="006620DC">
        <w:rPr>
          <w:i/>
          <w:iCs/>
          <w:sz w:val="24"/>
          <w:szCs w:val="24"/>
        </w:rPr>
        <w:t>verae voces tum demum pectore ab imo</w:t>
      </w:r>
      <w:r w:rsidR="00DC1ABD">
        <w:rPr>
          <w:i/>
          <w:iCs/>
          <w:sz w:val="24"/>
          <w:szCs w:val="24"/>
        </w:rPr>
        <w:t xml:space="preserve"> </w:t>
      </w:r>
      <w:r w:rsidR="006620DC">
        <w:rPr>
          <w:i/>
          <w:iCs/>
          <w:sz w:val="24"/>
          <w:szCs w:val="24"/>
        </w:rPr>
        <w:t>/ eliciuntur et eripitur persona, menet res</w:t>
      </w:r>
      <w:r w:rsidR="00DC1ABD">
        <w:rPr>
          <w:i/>
          <w:iCs/>
          <w:sz w:val="24"/>
          <w:szCs w:val="24"/>
        </w:rPr>
        <w:t>,</w:t>
      </w:r>
      <w:r w:rsidR="006620DC">
        <w:rPr>
          <w:rStyle w:val="FootnoteReference"/>
          <w:i/>
          <w:iCs/>
          <w:sz w:val="24"/>
          <w:szCs w:val="24"/>
        </w:rPr>
        <w:footnoteReference w:id="25"/>
      </w:r>
      <w:r w:rsidR="00DC1ABD">
        <w:rPr>
          <w:i/>
          <w:iCs/>
          <w:sz w:val="24"/>
          <w:szCs w:val="24"/>
        </w:rPr>
        <w:t xml:space="preserve"> </w:t>
      </w:r>
      <w:r w:rsidR="00DC1ABD">
        <w:rPr>
          <w:sz w:val="24"/>
          <w:szCs w:val="24"/>
        </w:rPr>
        <w:t xml:space="preserve">with </w:t>
      </w:r>
      <w:r w:rsidR="00DC1ABD">
        <w:rPr>
          <w:i/>
          <w:iCs/>
          <w:sz w:val="24"/>
          <w:szCs w:val="24"/>
        </w:rPr>
        <w:t xml:space="preserve">verae </w:t>
      </w:r>
      <w:r w:rsidR="00DC1ABD">
        <w:rPr>
          <w:sz w:val="24"/>
          <w:szCs w:val="24"/>
        </w:rPr>
        <w:t>here meaning ‘containing true indictments’.</w:t>
      </w:r>
      <w:r w:rsidR="00DC1ABD">
        <w:rPr>
          <w:rStyle w:val="FootnoteReference"/>
          <w:sz w:val="24"/>
          <w:szCs w:val="24"/>
        </w:rPr>
        <w:footnoteReference w:id="26"/>
      </w:r>
      <w:r w:rsidR="006620DC">
        <w:rPr>
          <w:i/>
          <w:iCs/>
          <w:sz w:val="24"/>
          <w:szCs w:val="24"/>
        </w:rPr>
        <w:t xml:space="preserve"> </w:t>
      </w:r>
      <w:r w:rsidR="006620DC">
        <w:rPr>
          <w:sz w:val="24"/>
          <w:szCs w:val="24"/>
        </w:rPr>
        <w:t>Ariadne implies that whereas insincere feelings deserve to be ignored, hers are too genuine to be</w:t>
      </w:r>
      <w:r w:rsidR="00925248">
        <w:rPr>
          <w:sz w:val="24"/>
          <w:szCs w:val="24"/>
        </w:rPr>
        <w:t xml:space="preserve"> insignificant.</w:t>
      </w:r>
      <w:r w:rsidR="006620DC">
        <w:rPr>
          <w:sz w:val="24"/>
          <w:szCs w:val="24"/>
        </w:rPr>
        <w:t xml:space="preserve"> </w:t>
      </w:r>
      <w:r w:rsidR="00F02938">
        <w:rPr>
          <w:sz w:val="24"/>
          <w:szCs w:val="24"/>
        </w:rPr>
        <w:t xml:space="preserve">The fact that the cares are </w:t>
      </w:r>
      <w:r w:rsidR="00F02938">
        <w:rPr>
          <w:i/>
          <w:iCs/>
          <w:sz w:val="24"/>
          <w:szCs w:val="24"/>
        </w:rPr>
        <w:t xml:space="preserve">nescantur </w:t>
      </w:r>
      <w:r w:rsidR="00F02938">
        <w:rPr>
          <w:sz w:val="24"/>
          <w:szCs w:val="24"/>
        </w:rPr>
        <w:t>(born) emphasises the sterile nature of Ariadne’s marriage.</w:t>
      </w:r>
      <w:r w:rsidR="00F02938">
        <w:rPr>
          <w:rStyle w:val="FootnoteReference"/>
          <w:sz w:val="24"/>
          <w:szCs w:val="24"/>
        </w:rPr>
        <w:footnoteReference w:id="27"/>
      </w:r>
      <w:r w:rsidR="006620DC">
        <w:rPr>
          <w:sz w:val="24"/>
          <w:szCs w:val="24"/>
        </w:rPr>
        <w:t xml:space="preserve"> </w:t>
      </w:r>
      <w:r w:rsidR="00A37381">
        <w:rPr>
          <w:i/>
          <w:iCs/>
          <w:sz w:val="24"/>
          <w:szCs w:val="24"/>
        </w:rPr>
        <w:t xml:space="preserve">Vanescere </w:t>
      </w:r>
      <w:r w:rsidR="00A37381">
        <w:rPr>
          <w:sz w:val="24"/>
          <w:szCs w:val="24"/>
        </w:rPr>
        <w:t>(line 199)</w:t>
      </w:r>
      <w:r w:rsidR="00A37381">
        <w:rPr>
          <w:i/>
          <w:iCs/>
          <w:sz w:val="24"/>
          <w:szCs w:val="24"/>
        </w:rPr>
        <w:t xml:space="preserve"> </w:t>
      </w:r>
      <w:r w:rsidR="00A37381">
        <w:rPr>
          <w:sz w:val="24"/>
          <w:szCs w:val="24"/>
        </w:rPr>
        <w:t xml:space="preserve">Ariadne pleads that her grief </w:t>
      </w:r>
      <w:r w:rsidR="00F02938">
        <w:rPr>
          <w:sz w:val="24"/>
          <w:szCs w:val="24"/>
        </w:rPr>
        <w:t xml:space="preserve">does not come to nothing. </w:t>
      </w:r>
      <w:r w:rsidR="00F02938">
        <w:rPr>
          <w:i/>
          <w:iCs/>
          <w:sz w:val="24"/>
          <w:szCs w:val="24"/>
        </w:rPr>
        <w:t xml:space="preserve">Solam </w:t>
      </w:r>
      <w:r w:rsidR="00F02938">
        <w:rPr>
          <w:sz w:val="24"/>
          <w:szCs w:val="24"/>
        </w:rPr>
        <w:t xml:space="preserve">(line 200) indicates that she has been left alone, bereft of her kin. Not only does she want satisfaction for the grief she feels for herself </w:t>
      </w:r>
      <w:r w:rsidR="001D056C">
        <w:rPr>
          <w:sz w:val="24"/>
          <w:szCs w:val="24"/>
        </w:rPr>
        <w:t>and</w:t>
      </w:r>
      <w:r w:rsidR="00F02938">
        <w:rPr>
          <w:sz w:val="24"/>
          <w:szCs w:val="24"/>
        </w:rPr>
        <w:t xml:space="preserve"> for her lost family, she wants Theseus similarly bereft. </w:t>
      </w:r>
      <w:r w:rsidR="00F02938">
        <w:rPr>
          <w:rStyle w:val="FootnoteReference"/>
          <w:sz w:val="24"/>
          <w:szCs w:val="24"/>
        </w:rPr>
        <w:footnoteReference w:id="28"/>
      </w:r>
    </w:p>
    <w:p w14:paraId="747A9F13" w14:textId="21382074" w:rsidR="00925248" w:rsidRDefault="00A37381" w:rsidP="00661825">
      <w:pPr>
        <w:rPr>
          <w:i/>
          <w:iCs/>
          <w:sz w:val="24"/>
          <w:szCs w:val="24"/>
        </w:rPr>
      </w:pPr>
      <w:r>
        <w:rPr>
          <w:sz w:val="24"/>
          <w:szCs w:val="24"/>
        </w:rPr>
        <w:t xml:space="preserve">In lines 200-1, </w:t>
      </w:r>
      <w:r w:rsidR="00F5638F">
        <w:rPr>
          <w:sz w:val="24"/>
          <w:szCs w:val="24"/>
        </w:rPr>
        <w:t xml:space="preserve">Ariadne brings her curse to a close by invoking the </w:t>
      </w:r>
      <w:r w:rsidR="00F5638F">
        <w:rPr>
          <w:i/>
          <w:iCs/>
          <w:sz w:val="24"/>
          <w:szCs w:val="24"/>
        </w:rPr>
        <w:t xml:space="preserve">lex talionis </w:t>
      </w:r>
      <w:r w:rsidR="00F5638F">
        <w:rPr>
          <w:sz w:val="24"/>
          <w:szCs w:val="24"/>
        </w:rPr>
        <w:t>on Theseus</w:t>
      </w:r>
      <w:r w:rsidR="001D056C">
        <w:rPr>
          <w:sz w:val="24"/>
          <w:szCs w:val="24"/>
        </w:rPr>
        <w:t>.</w:t>
      </w:r>
      <w:r w:rsidR="00F5638F">
        <w:rPr>
          <w:sz w:val="24"/>
          <w:szCs w:val="24"/>
        </w:rPr>
        <w:t xml:space="preserve">  </w:t>
      </w:r>
      <w:r w:rsidR="001D056C">
        <w:rPr>
          <w:sz w:val="24"/>
          <w:szCs w:val="24"/>
        </w:rPr>
        <w:t>Her</w:t>
      </w:r>
      <w:r w:rsidR="00F5638F">
        <w:rPr>
          <w:sz w:val="24"/>
          <w:szCs w:val="24"/>
        </w:rPr>
        <w:t xml:space="preserve"> formulation of it covers both the common premise of making the punishment fi</w:t>
      </w:r>
      <w:r w:rsidR="00925248">
        <w:rPr>
          <w:sz w:val="24"/>
          <w:szCs w:val="24"/>
        </w:rPr>
        <w:t>t</w:t>
      </w:r>
      <w:r w:rsidR="00F5638F">
        <w:rPr>
          <w:sz w:val="24"/>
          <w:szCs w:val="24"/>
        </w:rPr>
        <w:t xml:space="preserve"> the crime</w:t>
      </w:r>
      <w:r w:rsidR="00925248">
        <w:rPr>
          <w:sz w:val="24"/>
          <w:szCs w:val="24"/>
        </w:rPr>
        <w:t>, and</w:t>
      </w:r>
      <w:r w:rsidR="00F5638F">
        <w:rPr>
          <w:sz w:val="24"/>
          <w:szCs w:val="24"/>
        </w:rPr>
        <w:t xml:space="preserve"> the variation of it, which makes it appropriate to the nature of the offender.</w:t>
      </w:r>
      <w:r w:rsidR="00F5638F">
        <w:rPr>
          <w:rStyle w:val="FootnoteReference"/>
          <w:sz w:val="24"/>
          <w:szCs w:val="24"/>
        </w:rPr>
        <w:footnoteReference w:id="29"/>
      </w:r>
      <w:r w:rsidR="00F5638F">
        <w:rPr>
          <w:sz w:val="24"/>
          <w:szCs w:val="24"/>
        </w:rPr>
        <w:t xml:space="preserve"> Thus Theseus is not merely to suffer as he has made Ariadne suffer (as when Medea curses Jason</w:t>
      </w:r>
      <w:r w:rsidR="00F5638F" w:rsidRPr="00F5638F">
        <w:rPr>
          <w:sz w:val="24"/>
          <w:szCs w:val="24"/>
        </w:rPr>
        <w:t xml:space="preserve"> </w:t>
      </w:r>
      <w:r w:rsidR="00F5638F">
        <w:rPr>
          <w:sz w:val="24"/>
          <w:szCs w:val="24"/>
          <w:lang w:val="el-GR"/>
        </w:rPr>
        <w:t>ἐκ</w:t>
      </w:r>
      <w:r w:rsidR="00F5638F" w:rsidRPr="00F5638F">
        <w:rPr>
          <w:sz w:val="24"/>
          <w:szCs w:val="24"/>
        </w:rPr>
        <w:t xml:space="preserve"> </w:t>
      </w:r>
      <w:r w:rsidR="00F5638F">
        <w:rPr>
          <w:sz w:val="24"/>
          <w:szCs w:val="24"/>
          <w:lang w:val="el-GR"/>
        </w:rPr>
        <w:t>δέ</w:t>
      </w:r>
      <w:r w:rsidR="00F5638F" w:rsidRPr="00F5638F">
        <w:rPr>
          <w:sz w:val="24"/>
          <w:szCs w:val="24"/>
        </w:rPr>
        <w:t xml:space="preserve"> </w:t>
      </w:r>
      <w:r w:rsidR="00F5638F">
        <w:rPr>
          <w:sz w:val="24"/>
          <w:szCs w:val="24"/>
          <w:lang w:val="el-GR"/>
        </w:rPr>
        <w:t>πάτρης</w:t>
      </w:r>
      <w:r w:rsidR="00F5638F" w:rsidRPr="00F5638F">
        <w:rPr>
          <w:sz w:val="24"/>
          <w:szCs w:val="24"/>
        </w:rPr>
        <w:t>..</w:t>
      </w:r>
      <w:r w:rsidR="00F5638F">
        <w:rPr>
          <w:sz w:val="24"/>
          <w:szCs w:val="24"/>
          <w:lang w:val="el-GR"/>
        </w:rPr>
        <w:t>αὐτίκ</w:t>
      </w:r>
      <w:r w:rsidR="00F5638F" w:rsidRPr="00F5638F">
        <w:rPr>
          <w:sz w:val="24"/>
          <w:szCs w:val="24"/>
        </w:rPr>
        <w:t xml:space="preserve"> </w:t>
      </w:r>
      <w:r w:rsidR="00F5638F">
        <w:rPr>
          <w:sz w:val="24"/>
          <w:szCs w:val="24"/>
          <w:lang w:val="el-GR"/>
        </w:rPr>
        <w:t>ἐμαί</w:t>
      </w:r>
      <w:r w:rsidR="00F5638F" w:rsidRPr="00F5638F">
        <w:rPr>
          <w:sz w:val="24"/>
          <w:szCs w:val="24"/>
        </w:rPr>
        <w:t xml:space="preserve"> </w:t>
      </w:r>
      <w:r w:rsidR="00F5638F">
        <w:rPr>
          <w:sz w:val="24"/>
          <w:szCs w:val="24"/>
          <w:lang w:val="el-GR"/>
        </w:rPr>
        <w:t>σ</w:t>
      </w:r>
      <w:r w:rsidR="00F5638F">
        <w:rPr>
          <w:sz w:val="24"/>
          <w:szCs w:val="24"/>
        </w:rPr>
        <w:t>’</w:t>
      </w:r>
      <w:r w:rsidR="00F5638F" w:rsidRPr="00F5638F">
        <w:rPr>
          <w:sz w:val="24"/>
          <w:szCs w:val="24"/>
        </w:rPr>
        <w:t xml:space="preserve"> </w:t>
      </w:r>
      <w:r w:rsidR="00F5638F">
        <w:rPr>
          <w:sz w:val="24"/>
          <w:szCs w:val="24"/>
          <w:lang w:val="el-GR"/>
        </w:rPr>
        <w:t>ἐλάσειαν</w:t>
      </w:r>
      <w:r w:rsidR="00F5638F" w:rsidRPr="00F5638F">
        <w:rPr>
          <w:sz w:val="24"/>
          <w:szCs w:val="24"/>
        </w:rPr>
        <w:t xml:space="preserve"> </w:t>
      </w:r>
      <w:r w:rsidR="00F5638F">
        <w:rPr>
          <w:sz w:val="24"/>
          <w:szCs w:val="24"/>
        </w:rPr>
        <w:t>‘</w:t>
      </w:r>
      <w:r w:rsidR="00F5638F">
        <w:rPr>
          <w:sz w:val="24"/>
          <w:szCs w:val="24"/>
          <w:lang w:val="el-GR"/>
        </w:rPr>
        <w:t>Ερινύες</w:t>
      </w:r>
      <w:r w:rsidR="00F5638F" w:rsidRPr="00F5638F">
        <w:rPr>
          <w:sz w:val="24"/>
          <w:szCs w:val="24"/>
        </w:rPr>
        <w:t xml:space="preserve">. </w:t>
      </w:r>
      <w:r w:rsidR="00F5638F">
        <w:rPr>
          <w:sz w:val="24"/>
          <w:szCs w:val="24"/>
          <w:lang w:val="el-GR"/>
        </w:rPr>
        <w:t>οἱα</w:t>
      </w:r>
      <w:r w:rsidR="00F5638F" w:rsidRPr="00F5638F">
        <w:rPr>
          <w:sz w:val="24"/>
          <w:szCs w:val="24"/>
        </w:rPr>
        <w:t xml:space="preserve"> </w:t>
      </w:r>
      <w:r w:rsidR="00F5638F">
        <w:rPr>
          <w:sz w:val="24"/>
          <w:szCs w:val="24"/>
          <w:lang w:val="el-GR"/>
        </w:rPr>
        <w:t>καὶ</w:t>
      </w:r>
      <w:r w:rsidR="00F5638F" w:rsidRPr="00F5638F">
        <w:rPr>
          <w:sz w:val="24"/>
          <w:szCs w:val="24"/>
        </w:rPr>
        <w:t xml:space="preserve"> </w:t>
      </w:r>
      <w:r w:rsidR="00F5638F">
        <w:rPr>
          <w:sz w:val="24"/>
          <w:szCs w:val="24"/>
          <w:lang w:val="el-GR"/>
        </w:rPr>
        <w:t>αὐτὴ</w:t>
      </w:r>
      <w:r w:rsidR="00F5638F" w:rsidRPr="00F5638F">
        <w:rPr>
          <w:sz w:val="24"/>
          <w:szCs w:val="24"/>
        </w:rPr>
        <w:t xml:space="preserve">.. </w:t>
      </w:r>
      <w:r w:rsidR="00F5638F">
        <w:rPr>
          <w:sz w:val="24"/>
          <w:szCs w:val="24"/>
          <w:lang w:val="el-GR"/>
        </w:rPr>
        <w:t>σῆ</w:t>
      </w:r>
      <w:r w:rsidR="00F5638F" w:rsidRPr="00277DE8">
        <w:rPr>
          <w:sz w:val="24"/>
          <w:szCs w:val="24"/>
        </w:rPr>
        <w:t xml:space="preserve"> </w:t>
      </w:r>
      <w:r w:rsidR="00F5638F">
        <w:rPr>
          <w:sz w:val="24"/>
          <w:szCs w:val="24"/>
          <w:lang w:val="el-GR"/>
        </w:rPr>
        <w:t>πάθον</w:t>
      </w:r>
      <w:r w:rsidR="00F5638F" w:rsidRPr="00277DE8">
        <w:rPr>
          <w:sz w:val="24"/>
          <w:szCs w:val="24"/>
        </w:rPr>
        <w:t xml:space="preserve"> </w:t>
      </w:r>
      <w:r w:rsidR="00F5638F">
        <w:rPr>
          <w:sz w:val="24"/>
          <w:szCs w:val="24"/>
          <w:lang w:val="el-GR"/>
        </w:rPr>
        <w:t>ἀτροπίη</w:t>
      </w:r>
      <w:r w:rsidR="00F5638F" w:rsidRPr="00277DE8">
        <w:rPr>
          <w:sz w:val="24"/>
          <w:szCs w:val="24"/>
        </w:rPr>
        <w:t>,</w:t>
      </w:r>
      <w:r w:rsidR="00F5638F">
        <w:rPr>
          <w:rStyle w:val="FootnoteReference"/>
          <w:sz w:val="24"/>
          <w:szCs w:val="24"/>
          <w:lang w:val="el-GR"/>
        </w:rPr>
        <w:footnoteReference w:id="30"/>
      </w:r>
      <w:r w:rsidR="00277DE8">
        <w:rPr>
          <w:sz w:val="24"/>
          <w:szCs w:val="24"/>
        </w:rPr>
        <w:t xml:space="preserve"> but to cause suffering to himself and to his own kind.</w:t>
      </w:r>
      <w:r w:rsidR="00277DE8">
        <w:rPr>
          <w:rStyle w:val="FootnoteReference"/>
          <w:sz w:val="24"/>
          <w:szCs w:val="24"/>
        </w:rPr>
        <w:footnoteReference w:id="31"/>
      </w:r>
      <w:r w:rsidR="00277DE8">
        <w:rPr>
          <w:sz w:val="24"/>
          <w:szCs w:val="24"/>
        </w:rPr>
        <w:t xml:space="preserve"> The point is made by the repetition of </w:t>
      </w:r>
      <w:r w:rsidR="00277DE8">
        <w:rPr>
          <w:i/>
          <w:iCs/>
          <w:sz w:val="24"/>
          <w:szCs w:val="24"/>
        </w:rPr>
        <w:t xml:space="preserve">mente.  </w:t>
      </w:r>
    </w:p>
    <w:p w14:paraId="4F68C29B" w14:textId="5010DF20" w:rsidR="00A37381" w:rsidRPr="00452097" w:rsidRDefault="00277DE8" w:rsidP="00661825">
      <w:pPr>
        <w:rPr>
          <w:i/>
          <w:iCs/>
          <w:sz w:val="24"/>
          <w:szCs w:val="24"/>
        </w:rPr>
      </w:pPr>
      <w:r>
        <w:rPr>
          <w:i/>
          <w:iCs/>
          <w:sz w:val="24"/>
          <w:szCs w:val="24"/>
        </w:rPr>
        <w:t xml:space="preserve">Quali…mente..tali mente </w:t>
      </w:r>
      <w:r>
        <w:rPr>
          <w:sz w:val="24"/>
          <w:szCs w:val="24"/>
        </w:rPr>
        <w:t xml:space="preserve">(by the same attitude of mind in which…). The Furies usually afflict their victims mentally, driving them mad, but Ariadne is now requesting that Theseus’ </w:t>
      </w:r>
      <w:r>
        <w:rPr>
          <w:i/>
          <w:iCs/>
          <w:sz w:val="24"/>
          <w:szCs w:val="24"/>
        </w:rPr>
        <w:t>mens</w:t>
      </w:r>
      <w:r>
        <w:rPr>
          <w:sz w:val="24"/>
          <w:szCs w:val="24"/>
        </w:rPr>
        <w:t xml:space="preserve"> should remain consistent but that it </w:t>
      </w:r>
      <w:r w:rsidR="00485CB4">
        <w:rPr>
          <w:sz w:val="24"/>
          <w:szCs w:val="24"/>
        </w:rPr>
        <w:t xml:space="preserve">should </w:t>
      </w:r>
      <w:r>
        <w:rPr>
          <w:sz w:val="24"/>
          <w:szCs w:val="24"/>
        </w:rPr>
        <w:t>cause him to injure himself.</w:t>
      </w:r>
      <w:r>
        <w:rPr>
          <w:rStyle w:val="FootnoteReference"/>
          <w:sz w:val="24"/>
          <w:szCs w:val="24"/>
        </w:rPr>
        <w:footnoteReference w:id="32"/>
      </w:r>
      <w:r>
        <w:rPr>
          <w:sz w:val="24"/>
          <w:szCs w:val="24"/>
        </w:rPr>
        <w:t xml:space="preserve"> </w:t>
      </w:r>
      <w:r w:rsidR="0075607A">
        <w:rPr>
          <w:sz w:val="24"/>
          <w:szCs w:val="24"/>
        </w:rPr>
        <w:t xml:space="preserve">The Medea in Ariadne by now is no longer young, but mature and deadly, like Euripides’ Medea who also, can kill at a distant. </w:t>
      </w:r>
      <w:r w:rsidR="0075607A">
        <w:rPr>
          <w:rStyle w:val="FootnoteReference"/>
          <w:sz w:val="24"/>
          <w:szCs w:val="24"/>
        </w:rPr>
        <w:footnoteReference w:id="33"/>
      </w:r>
      <w:r w:rsidR="00452097">
        <w:rPr>
          <w:i/>
          <w:iCs/>
          <w:sz w:val="24"/>
          <w:szCs w:val="24"/>
        </w:rPr>
        <w:t xml:space="preserve">Seque suosque. </w:t>
      </w:r>
      <w:r w:rsidR="00452097">
        <w:rPr>
          <w:sz w:val="24"/>
          <w:szCs w:val="24"/>
        </w:rPr>
        <w:t xml:space="preserve">The double </w:t>
      </w:r>
      <w:r w:rsidR="00452097">
        <w:rPr>
          <w:i/>
          <w:iCs/>
          <w:sz w:val="24"/>
          <w:szCs w:val="24"/>
        </w:rPr>
        <w:t xml:space="preserve">que </w:t>
      </w:r>
      <w:r w:rsidR="00452097">
        <w:rPr>
          <w:sz w:val="24"/>
          <w:szCs w:val="24"/>
        </w:rPr>
        <w:t xml:space="preserve">is a mannerism of epic, introduced into Latin verse by Ennius, on the model of the Homeric </w:t>
      </w:r>
      <w:r w:rsidR="00452097">
        <w:rPr>
          <w:sz w:val="24"/>
          <w:szCs w:val="24"/>
          <w:lang w:val="el-GR"/>
        </w:rPr>
        <w:t>τε</w:t>
      </w:r>
      <w:r w:rsidR="00452097" w:rsidRPr="00452097">
        <w:rPr>
          <w:sz w:val="24"/>
          <w:szCs w:val="24"/>
        </w:rPr>
        <w:t xml:space="preserve">   </w:t>
      </w:r>
      <w:r w:rsidR="00452097">
        <w:rPr>
          <w:sz w:val="24"/>
          <w:szCs w:val="24"/>
          <w:lang w:val="el-GR"/>
        </w:rPr>
        <w:t>τε</w:t>
      </w:r>
      <w:r w:rsidR="00452097" w:rsidRPr="00452097">
        <w:rPr>
          <w:sz w:val="24"/>
          <w:szCs w:val="24"/>
        </w:rPr>
        <w:t xml:space="preserve">, </w:t>
      </w:r>
      <w:r w:rsidR="00452097">
        <w:rPr>
          <w:sz w:val="24"/>
          <w:szCs w:val="24"/>
        </w:rPr>
        <w:t>often at the end of a line, as is seen here.</w:t>
      </w:r>
      <w:r w:rsidR="00452097">
        <w:rPr>
          <w:rStyle w:val="FootnoteReference"/>
          <w:sz w:val="24"/>
          <w:szCs w:val="24"/>
        </w:rPr>
        <w:footnoteReference w:id="34"/>
      </w:r>
    </w:p>
    <w:p w14:paraId="0ED3A7D0" w14:textId="77777777" w:rsidR="00F31C78" w:rsidRDefault="00277DE8" w:rsidP="00661825">
      <w:pPr>
        <w:rPr>
          <w:sz w:val="24"/>
          <w:szCs w:val="24"/>
        </w:rPr>
      </w:pPr>
      <w:r>
        <w:rPr>
          <w:sz w:val="24"/>
          <w:szCs w:val="24"/>
        </w:rPr>
        <w:t>There is a link here between Ariadne’s abandonment and Aegeus’ death</w:t>
      </w:r>
      <w:r w:rsidR="00770853">
        <w:rPr>
          <w:sz w:val="24"/>
          <w:szCs w:val="24"/>
        </w:rPr>
        <w:t>, where Theseus forgot about Ariadne</w:t>
      </w:r>
      <w:r w:rsidR="00F31C78">
        <w:rPr>
          <w:sz w:val="24"/>
          <w:szCs w:val="24"/>
        </w:rPr>
        <w:t>,</w:t>
      </w:r>
      <w:r w:rsidR="00770853">
        <w:rPr>
          <w:sz w:val="24"/>
          <w:szCs w:val="24"/>
        </w:rPr>
        <w:t xml:space="preserve"> and forgot about what his father had told him</w:t>
      </w:r>
      <w:r w:rsidR="00925248">
        <w:rPr>
          <w:sz w:val="24"/>
          <w:szCs w:val="24"/>
        </w:rPr>
        <w:t>.</w:t>
      </w:r>
      <w:r w:rsidR="00770853">
        <w:rPr>
          <w:rStyle w:val="FootnoteReference"/>
          <w:sz w:val="24"/>
          <w:szCs w:val="24"/>
        </w:rPr>
        <w:footnoteReference w:id="35"/>
      </w:r>
      <w:r w:rsidR="00770853">
        <w:rPr>
          <w:sz w:val="24"/>
          <w:szCs w:val="24"/>
        </w:rPr>
        <w:t xml:space="preserve"> Quinn believes that Catullus was rationalising the legend where, in both cases a god had caused him to forget, into an assertion concerning the type of person Theseus was; a person with no thought </w:t>
      </w:r>
      <w:r w:rsidR="00770853">
        <w:rPr>
          <w:i/>
          <w:iCs/>
          <w:sz w:val="24"/>
          <w:szCs w:val="24"/>
        </w:rPr>
        <w:t xml:space="preserve">immemor </w:t>
      </w:r>
      <w:r w:rsidR="00770853">
        <w:rPr>
          <w:sz w:val="24"/>
          <w:szCs w:val="24"/>
        </w:rPr>
        <w:t>except for himself.</w:t>
      </w:r>
      <w:r w:rsidR="00770853">
        <w:rPr>
          <w:rStyle w:val="FootnoteReference"/>
          <w:sz w:val="24"/>
          <w:szCs w:val="24"/>
        </w:rPr>
        <w:footnoteReference w:id="36"/>
      </w:r>
      <w:r w:rsidR="00452097">
        <w:rPr>
          <w:sz w:val="24"/>
          <w:szCs w:val="24"/>
        </w:rPr>
        <w:t xml:space="preserve"> Ariadne’s curse is fulfilled in lines 207ff, when the story of Theseus’ forgetting of Aegeus’ instructions is told which leads to his father’s death</w:t>
      </w:r>
      <w:r w:rsidR="009200F2">
        <w:rPr>
          <w:sz w:val="24"/>
          <w:szCs w:val="24"/>
        </w:rPr>
        <w:t>, although by then the Eumenides are forgotten, and it is Jupiter who nods his assent</w:t>
      </w:r>
      <w:r w:rsidR="00F31C78">
        <w:rPr>
          <w:sz w:val="24"/>
          <w:szCs w:val="24"/>
        </w:rPr>
        <w:t>.</w:t>
      </w:r>
      <w:r w:rsidR="00925248">
        <w:rPr>
          <w:sz w:val="24"/>
          <w:szCs w:val="24"/>
        </w:rPr>
        <w:t xml:space="preserve"> Ariadne’s </w:t>
      </w:r>
      <w:r w:rsidR="009200F2">
        <w:rPr>
          <w:sz w:val="24"/>
          <w:szCs w:val="24"/>
        </w:rPr>
        <w:t>view of Theseus as being deliberately negligent and faithless</w:t>
      </w:r>
      <w:r w:rsidR="00F31C78">
        <w:rPr>
          <w:sz w:val="24"/>
          <w:szCs w:val="24"/>
        </w:rPr>
        <w:t>, therefore,</w:t>
      </w:r>
      <w:r w:rsidR="009200F2">
        <w:rPr>
          <w:sz w:val="24"/>
          <w:szCs w:val="24"/>
        </w:rPr>
        <w:t xml:space="preserve"> is vindicated.</w:t>
      </w:r>
      <w:r w:rsidR="009200F2">
        <w:rPr>
          <w:rStyle w:val="FootnoteReference"/>
          <w:sz w:val="24"/>
          <w:szCs w:val="24"/>
        </w:rPr>
        <w:footnoteReference w:id="37"/>
      </w:r>
      <w:r w:rsidR="009200F2">
        <w:rPr>
          <w:sz w:val="24"/>
          <w:szCs w:val="24"/>
        </w:rPr>
        <w:t xml:space="preserve"> </w:t>
      </w:r>
    </w:p>
    <w:p w14:paraId="7340D603" w14:textId="13D530C1" w:rsidR="00277DE8" w:rsidRDefault="00925248" w:rsidP="00661825">
      <w:pPr>
        <w:rPr>
          <w:i/>
          <w:iCs/>
          <w:sz w:val="24"/>
          <w:szCs w:val="24"/>
        </w:rPr>
      </w:pPr>
      <w:r>
        <w:rPr>
          <w:sz w:val="24"/>
          <w:szCs w:val="24"/>
        </w:rPr>
        <w:lastRenderedPageBreak/>
        <w:t xml:space="preserve"> Gaisser states</w:t>
      </w:r>
      <w:r w:rsidR="00F31C78">
        <w:rPr>
          <w:sz w:val="24"/>
          <w:szCs w:val="24"/>
        </w:rPr>
        <w:t xml:space="preserve"> that</w:t>
      </w:r>
      <w:r>
        <w:rPr>
          <w:sz w:val="24"/>
          <w:szCs w:val="24"/>
        </w:rPr>
        <w:t xml:space="preserve"> Catullus </w:t>
      </w:r>
      <w:r w:rsidR="00F31C78">
        <w:rPr>
          <w:sz w:val="24"/>
          <w:szCs w:val="24"/>
        </w:rPr>
        <w:t>was</w:t>
      </w:r>
      <w:r>
        <w:rPr>
          <w:sz w:val="24"/>
          <w:szCs w:val="24"/>
        </w:rPr>
        <w:t xml:space="preserve"> the first to make Theseus’ tragic return to Athens the result of his treatment of Ariadne; the first to make Ariadne the cause of Aegeus’ death.</w:t>
      </w:r>
      <w:r>
        <w:rPr>
          <w:rStyle w:val="FootnoteReference"/>
          <w:sz w:val="24"/>
          <w:szCs w:val="24"/>
        </w:rPr>
        <w:footnoteReference w:id="38"/>
      </w:r>
      <w:r>
        <w:rPr>
          <w:sz w:val="24"/>
          <w:szCs w:val="24"/>
        </w:rPr>
        <w:t xml:space="preserve"> </w:t>
      </w:r>
      <w:r w:rsidR="00452097">
        <w:rPr>
          <w:sz w:val="24"/>
          <w:szCs w:val="24"/>
        </w:rPr>
        <w:t>Finally</w:t>
      </w:r>
      <w:r w:rsidR="009200F2">
        <w:rPr>
          <w:sz w:val="24"/>
          <w:szCs w:val="24"/>
        </w:rPr>
        <w:t>,</w:t>
      </w:r>
      <w:r w:rsidR="00452097">
        <w:rPr>
          <w:sz w:val="24"/>
          <w:szCs w:val="24"/>
        </w:rPr>
        <w:t xml:space="preserve"> </w:t>
      </w:r>
      <w:r w:rsidR="00452097">
        <w:rPr>
          <w:i/>
          <w:iCs/>
          <w:sz w:val="24"/>
          <w:szCs w:val="24"/>
        </w:rPr>
        <w:t xml:space="preserve">funestet </w:t>
      </w:r>
      <w:r w:rsidR="00452097">
        <w:rPr>
          <w:sz w:val="24"/>
          <w:szCs w:val="24"/>
        </w:rPr>
        <w:t>means to pollute with murder, stain with blood or, as Ellis believes, ‘bring the curse of death upon’.</w:t>
      </w:r>
      <w:r w:rsidR="00452097">
        <w:rPr>
          <w:rStyle w:val="FootnoteReference"/>
          <w:sz w:val="24"/>
          <w:szCs w:val="24"/>
        </w:rPr>
        <w:footnoteReference w:id="39"/>
      </w:r>
      <w:r w:rsidR="00452097">
        <w:rPr>
          <w:i/>
          <w:iCs/>
          <w:sz w:val="24"/>
          <w:szCs w:val="24"/>
        </w:rPr>
        <w:t xml:space="preserve"> </w:t>
      </w:r>
    </w:p>
    <w:p w14:paraId="20904256" w14:textId="7A097840" w:rsidR="0075607A" w:rsidRDefault="0075607A" w:rsidP="00661825">
      <w:pPr>
        <w:rPr>
          <w:sz w:val="24"/>
          <w:szCs w:val="24"/>
        </w:rPr>
      </w:pPr>
      <w:r>
        <w:rPr>
          <w:i/>
          <w:iCs/>
          <w:sz w:val="24"/>
          <w:szCs w:val="24"/>
        </w:rPr>
        <w:t xml:space="preserve"> </w:t>
      </w:r>
      <w:r>
        <w:rPr>
          <w:sz w:val="24"/>
          <w:szCs w:val="24"/>
        </w:rPr>
        <w:t>There then follows a bridge passage, linking this speech with that of Aegeus. Ariadne’s curse is acknowledged (lines 202-6); the effect on Theseus is detailed (lines 207-11), before a second flashback begins: Theseus’ departure from Athens (lines 212-14).</w:t>
      </w:r>
      <w:r>
        <w:rPr>
          <w:rStyle w:val="FootnoteReference"/>
          <w:sz w:val="24"/>
          <w:szCs w:val="24"/>
        </w:rPr>
        <w:footnoteReference w:id="40"/>
      </w:r>
    </w:p>
    <w:p w14:paraId="5857245D" w14:textId="221ADA08" w:rsidR="00700D4F" w:rsidRDefault="00700D4F" w:rsidP="00661825">
      <w:pPr>
        <w:rPr>
          <w:sz w:val="24"/>
          <w:szCs w:val="24"/>
        </w:rPr>
      </w:pPr>
    </w:p>
    <w:p w14:paraId="7B2B1B00" w14:textId="6A050B63" w:rsidR="00700D4F" w:rsidRDefault="00700D4F" w:rsidP="00700D4F">
      <w:pPr>
        <w:jc w:val="center"/>
        <w:rPr>
          <w:sz w:val="32"/>
          <w:szCs w:val="32"/>
        </w:rPr>
      </w:pPr>
      <w:r>
        <w:rPr>
          <w:sz w:val="32"/>
          <w:szCs w:val="32"/>
        </w:rPr>
        <w:t>Bibliography</w:t>
      </w:r>
    </w:p>
    <w:p w14:paraId="5E92CBCD" w14:textId="0C854ECC" w:rsidR="000E0A77" w:rsidRPr="000E0A77" w:rsidRDefault="000E0A77" w:rsidP="000E0A77">
      <w:pPr>
        <w:rPr>
          <w:i/>
          <w:iCs/>
          <w:sz w:val="28"/>
          <w:szCs w:val="28"/>
        </w:rPr>
      </w:pPr>
      <w:r>
        <w:rPr>
          <w:sz w:val="28"/>
          <w:szCs w:val="28"/>
        </w:rPr>
        <w:t xml:space="preserve">Aeschylus  </w:t>
      </w:r>
      <w:r>
        <w:rPr>
          <w:i/>
          <w:iCs/>
          <w:sz w:val="28"/>
          <w:szCs w:val="28"/>
        </w:rPr>
        <w:t>Chloephoroi</w:t>
      </w:r>
    </w:p>
    <w:p w14:paraId="2D4139AC" w14:textId="712C9045" w:rsidR="000E0A77" w:rsidRDefault="000E0A77" w:rsidP="000E0A77">
      <w:pPr>
        <w:rPr>
          <w:i/>
          <w:iCs/>
          <w:sz w:val="28"/>
          <w:szCs w:val="28"/>
        </w:rPr>
      </w:pPr>
      <w:r w:rsidRPr="000E0A77">
        <w:rPr>
          <w:sz w:val="28"/>
          <w:szCs w:val="28"/>
        </w:rPr>
        <w:t>Virgil</w:t>
      </w:r>
      <w:r>
        <w:rPr>
          <w:sz w:val="28"/>
          <w:szCs w:val="28"/>
        </w:rPr>
        <w:t xml:space="preserve">  </w:t>
      </w:r>
      <w:r>
        <w:rPr>
          <w:i/>
          <w:iCs/>
          <w:sz w:val="28"/>
          <w:szCs w:val="28"/>
        </w:rPr>
        <w:t>Aeneid</w:t>
      </w:r>
    </w:p>
    <w:p w14:paraId="55A78EB1" w14:textId="77777777" w:rsidR="000E0A77" w:rsidRPr="000E0A77" w:rsidRDefault="000E0A77" w:rsidP="000E0A77">
      <w:pPr>
        <w:rPr>
          <w:i/>
          <w:iCs/>
          <w:sz w:val="28"/>
          <w:szCs w:val="28"/>
        </w:rPr>
      </w:pPr>
    </w:p>
    <w:p w14:paraId="5875A589" w14:textId="743326C2" w:rsidR="00700D4F" w:rsidRDefault="00700D4F" w:rsidP="00700D4F">
      <w:pPr>
        <w:rPr>
          <w:sz w:val="28"/>
          <w:szCs w:val="28"/>
        </w:rPr>
      </w:pPr>
      <w:r>
        <w:rPr>
          <w:sz w:val="28"/>
          <w:szCs w:val="28"/>
        </w:rPr>
        <w:t xml:space="preserve">Armstrong, R. (2006)  </w:t>
      </w:r>
      <w:r>
        <w:rPr>
          <w:i/>
          <w:iCs/>
          <w:sz w:val="28"/>
          <w:szCs w:val="28"/>
        </w:rPr>
        <w:t>Cretan Women. Pasiphae, Ariadne and Phaedra in Latin Poetry.</w:t>
      </w:r>
      <w:r>
        <w:rPr>
          <w:sz w:val="28"/>
          <w:szCs w:val="28"/>
        </w:rPr>
        <w:t xml:space="preserve">  Chapter 5. Oxford: Oxford University Press,  pp 187-220</w:t>
      </w:r>
    </w:p>
    <w:p w14:paraId="6962DD3B" w14:textId="363B7AE8" w:rsidR="000528CD" w:rsidRDefault="000528CD" w:rsidP="00700D4F">
      <w:pPr>
        <w:rPr>
          <w:sz w:val="28"/>
          <w:szCs w:val="28"/>
        </w:rPr>
      </w:pPr>
      <w:r>
        <w:rPr>
          <w:sz w:val="28"/>
          <w:szCs w:val="28"/>
        </w:rPr>
        <w:t>Gaisser</w:t>
      </w:r>
      <w:r w:rsidR="004564D4">
        <w:rPr>
          <w:sz w:val="28"/>
          <w:szCs w:val="28"/>
        </w:rPr>
        <w:t>, J.H. (2007)  ‘Theads in the Labyrinth: Competing Views and Voices in Catullus 64’. In J.H. Gaisser (ed.) Catullus. Oxford Readings, Oxford: Oxford University Press pp 217-58</w:t>
      </w:r>
    </w:p>
    <w:p w14:paraId="22E6EF86" w14:textId="446F5E03" w:rsidR="000E0A77" w:rsidRPr="000E0A77" w:rsidRDefault="000E0A77" w:rsidP="00700D4F">
      <w:pPr>
        <w:rPr>
          <w:sz w:val="28"/>
          <w:szCs w:val="28"/>
        </w:rPr>
      </w:pPr>
      <w:r>
        <w:rPr>
          <w:sz w:val="28"/>
          <w:szCs w:val="28"/>
        </w:rPr>
        <w:t xml:space="preserve">Godwin, John. (1995) </w:t>
      </w:r>
      <w:r>
        <w:rPr>
          <w:i/>
          <w:iCs/>
          <w:sz w:val="28"/>
          <w:szCs w:val="28"/>
        </w:rPr>
        <w:t xml:space="preserve">Catullus Poems 61-6  </w:t>
      </w:r>
      <w:r>
        <w:rPr>
          <w:sz w:val="28"/>
          <w:szCs w:val="28"/>
        </w:rPr>
        <w:t>Aris &amp; Phillips Ltd  Warminster.</w:t>
      </w:r>
    </w:p>
    <w:p w14:paraId="504DA3E3" w14:textId="3765689F" w:rsidR="004564D4" w:rsidRDefault="004564D4" w:rsidP="00700D4F">
      <w:pPr>
        <w:rPr>
          <w:sz w:val="28"/>
          <w:szCs w:val="28"/>
        </w:rPr>
      </w:pPr>
      <w:r>
        <w:rPr>
          <w:sz w:val="28"/>
          <w:szCs w:val="28"/>
        </w:rPr>
        <w:t xml:space="preserve">Jenkyns, R. (1982) </w:t>
      </w:r>
      <w:r>
        <w:rPr>
          <w:i/>
          <w:iCs/>
          <w:sz w:val="28"/>
          <w:szCs w:val="28"/>
        </w:rPr>
        <w:t xml:space="preserve">Three Classical Poets- Sappho, Catullus and Juvenal </w:t>
      </w:r>
      <w:r>
        <w:rPr>
          <w:sz w:val="28"/>
          <w:szCs w:val="28"/>
        </w:rPr>
        <w:t>(ch: ‘Catullus and the Idea of a Masterpiece’)</w:t>
      </w:r>
    </w:p>
    <w:p w14:paraId="486B705B" w14:textId="44C8832A" w:rsidR="004564D4" w:rsidRPr="004564D4" w:rsidRDefault="004564D4" w:rsidP="00700D4F">
      <w:pPr>
        <w:rPr>
          <w:sz w:val="28"/>
          <w:szCs w:val="28"/>
        </w:rPr>
      </w:pPr>
      <w:r>
        <w:rPr>
          <w:sz w:val="28"/>
          <w:szCs w:val="28"/>
        </w:rPr>
        <w:t>Quinn, Kenneth. (1970). (ed.)</w:t>
      </w:r>
      <w:r>
        <w:rPr>
          <w:i/>
          <w:iCs/>
          <w:sz w:val="28"/>
          <w:szCs w:val="28"/>
        </w:rPr>
        <w:t xml:space="preserve"> Catullus: The Poems </w:t>
      </w:r>
      <w:r>
        <w:rPr>
          <w:sz w:val="28"/>
          <w:szCs w:val="28"/>
        </w:rPr>
        <w:t>(London and Basingstoke)</w:t>
      </w:r>
    </w:p>
    <w:p w14:paraId="02C72B14" w14:textId="2ED609FB" w:rsidR="004564D4" w:rsidRDefault="004564D4" w:rsidP="00700D4F">
      <w:pPr>
        <w:rPr>
          <w:sz w:val="28"/>
          <w:szCs w:val="28"/>
        </w:rPr>
      </w:pPr>
      <w:r>
        <w:rPr>
          <w:sz w:val="28"/>
          <w:szCs w:val="28"/>
        </w:rPr>
        <w:t xml:space="preserve">Rees, R. (2004) ‘Common sense in Catullus 64’, </w:t>
      </w:r>
      <w:r>
        <w:rPr>
          <w:i/>
          <w:iCs/>
          <w:sz w:val="28"/>
          <w:szCs w:val="28"/>
        </w:rPr>
        <w:t xml:space="preserve">AJPh </w:t>
      </w:r>
      <w:r>
        <w:rPr>
          <w:sz w:val="28"/>
          <w:szCs w:val="28"/>
        </w:rPr>
        <w:t>115: 75-88</w:t>
      </w:r>
    </w:p>
    <w:p w14:paraId="6449A518" w14:textId="70D4FEAF" w:rsidR="000E0A77" w:rsidRPr="004564D4" w:rsidRDefault="000E0A77" w:rsidP="00700D4F">
      <w:pPr>
        <w:rPr>
          <w:sz w:val="28"/>
          <w:szCs w:val="28"/>
        </w:rPr>
      </w:pPr>
      <w:r>
        <w:rPr>
          <w:sz w:val="28"/>
          <w:szCs w:val="28"/>
        </w:rPr>
        <w:t>Trimble, G. (2010) ‘A Commentary on Catullus 64, 1-201 (Oxford, DPhil)</w:t>
      </w:r>
    </w:p>
    <w:p w14:paraId="1A297449" w14:textId="77777777" w:rsidR="00277DE8" w:rsidRPr="00277DE8" w:rsidRDefault="00277DE8" w:rsidP="00661825">
      <w:pPr>
        <w:rPr>
          <w:sz w:val="24"/>
          <w:szCs w:val="24"/>
        </w:rPr>
      </w:pPr>
    </w:p>
    <w:p w14:paraId="49D6C78C" w14:textId="1B797AAF" w:rsidR="00A03345" w:rsidRPr="00A03345" w:rsidRDefault="00A03345" w:rsidP="00661825">
      <w:pPr>
        <w:rPr>
          <w:sz w:val="24"/>
          <w:szCs w:val="24"/>
        </w:rPr>
      </w:pPr>
      <w:r>
        <w:rPr>
          <w:sz w:val="24"/>
          <w:szCs w:val="24"/>
        </w:rPr>
        <w:t xml:space="preserve"> </w:t>
      </w:r>
    </w:p>
    <w:p w14:paraId="6E193DFA" w14:textId="77777777" w:rsidR="00FB7226" w:rsidRPr="00FB7226" w:rsidRDefault="00FB7226" w:rsidP="00661825">
      <w:pPr>
        <w:rPr>
          <w:sz w:val="24"/>
          <w:szCs w:val="24"/>
        </w:rPr>
      </w:pPr>
    </w:p>
    <w:p w14:paraId="2DDCCFFA" w14:textId="0B237B32" w:rsidR="00237312" w:rsidRDefault="00237312" w:rsidP="00661825">
      <w:pPr>
        <w:rPr>
          <w:sz w:val="24"/>
          <w:szCs w:val="24"/>
        </w:rPr>
      </w:pPr>
    </w:p>
    <w:p w14:paraId="6B39EAAE" w14:textId="7D0FCCF4" w:rsidR="00237312" w:rsidRPr="00661825" w:rsidRDefault="00237312" w:rsidP="00661825">
      <w:pPr>
        <w:rPr>
          <w:sz w:val="24"/>
          <w:szCs w:val="24"/>
        </w:rPr>
      </w:pPr>
      <w:r>
        <w:rPr>
          <w:sz w:val="24"/>
          <w:szCs w:val="24"/>
        </w:rPr>
        <w:t xml:space="preserve">      </w:t>
      </w:r>
    </w:p>
    <w:p w14:paraId="2DA133D1" w14:textId="77777777" w:rsidR="00661825" w:rsidRPr="00661825" w:rsidRDefault="00661825" w:rsidP="00661825">
      <w:pPr>
        <w:jc w:val="center"/>
        <w:rPr>
          <w:sz w:val="32"/>
          <w:szCs w:val="32"/>
        </w:rPr>
      </w:pPr>
    </w:p>
    <w:sectPr w:rsidR="00661825" w:rsidRPr="006618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EF7D9" w14:textId="77777777" w:rsidR="00881C4A" w:rsidRDefault="00881C4A" w:rsidP="00237312">
      <w:pPr>
        <w:spacing w:after="0" w:line="240" w:lineRule="auto"/>
      </w:pPr>
      <w:r>
        <w:separator/>
      </w:r>
    </w:p>
  </w:endnote>
  <w:endnote w:type="continuationSeparator" w:id="0">
    <w:p w14:paraId="3F110E94" w14:textId="77777777" w:rsidR="00881C4A" w:rsidRDefault="00881C4A" w:rsidP="00237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F95EE" w14:textId="77777777" w:rsidR="00881C4A" w:rsidRDefault="00881C4A" w:rsidP="00237312">
      <w:pPr>
        <w:spacing w:after="0" w:line="240" w:lineRule="auto"/>
      </w:pPr>
      <w:r>
        <w:separator/>
      </w:r>
    </w:p>
  </w:footnote>
  <w:footnote w:type="continuationSeparator" w:id="0">
    <w:p w14:paraId="0403AE34" w14:textId="77777777" w:rsidR="00881C4A" w:rsidRDefault="00881C4A" w:rsidP="00237312">
      <w:pPr>
        <w:spacing w:after="0" w:line="240" w:lineRule="auto"/>
      </w:pPr>
      <w:r>
        <w:continuationSeparator/>
      </w:r>
    </w:p>
  </w:footnote>
  <w:footnote w:id="1">
    <w:p w14:paraId="7610CC14" w14:textId="5223D618" w:rsidR="00237312" w:rsidRDefault="00237312">
      <w:pPr>
        <w:pStyle w:val="FootnoteText"/>
      </w:pPr>
      <w:r>
        <w:rPr>
          <w:rStyle w:val="FootnoteReference"/>
        </w:rPr>
        <w:footnoteRef/>
      </w:r>
      <w:r>
        <w:t xml:space="preserve"> Gaisser</w:t>
      </w:r>
      <w:r w:rsidR="005E39DF">
        <w:t xml:space="preserve"> 2007</w:t>
      </w:r>
      <w:r>
        <w:t xml:space="preserve">  </w:t>
      </w:r>
      <w:r w:rsidR="005E39DF">
        <w:t>p</w:t>
      </w:r>
      <w:r>
        <w:t>245</w:t>
      </w:r>
    </w:p>
  </w:footnote>
  <w:footnote w:id="2">
    <w:p w14:paraId="256762F3" w14:textId="13A50A4A" w:rsidR="00631754" w:rsidRDefault="00631754">
      <w:pPr>
        <w:pStyle w:val="FootnoteText"/>
      </w:pPr>
      <w:r>
        <w:rPr>
          <w:rStyle w:val="FootnoteReference"/>
        </w:rPr>
        <w:footnoteRef/>
      </w:r>
      <w:r>
        <w:t xml:space="preserve"> Armstrong</w:t>
      </w:r>
      <w:r w:rsidR="005E39DF">
        <w:t xml:space="preserve"> 2006</w:t>
      </w:r>
      <w:r>
        <w:t xml:space="preserve"> </w:t>
      </w:r>
      <w:r w:rsidR="005E39DF">
        <w:t>p</w:t>
      </w:r>
      <w:r>
        <w:t>210</w:t>
      </w:r>
    </w:p>
  </w:footnote>
  <w:footnote w:id="3">
    <w:p w14:paraId="590ED578" w14:textId="1B7949F5" w:rsidR="00631754" w:rsidRDefault="00631754">
      <w:pPr>
        <w:pStyle w:val="FootnoteText"/>
      </w:pPr>
      <w:r>
        <w:rPr>
          <w:rStyle w:val="FootnoteReference"/>
        </w:rPr>
        <w:footnoteRef/>
      </w:r>
      <w:r>
        <w:t xml:space="preserve"> Trimble 2010 </w:t>
      </w:r>
    </w:p>
  </w:footnote>
  <w:footnote w:id="4">
    <w:p w14:paraId="4B3F8A12" w14:textId="5FF69EE5" w:rsidR="006D7FA3" w:rsidRDefault="006D7FA3">
      <w:pPr>
        <w:pStyle w:val="FootnoteText"/>
      </w:pPr>
      <w:r>
        <w:rPr>
          <w:rStyle w:val="FootnoteReference"/>
        </w:rPr>
        <w:footnoteRef/>
      </w:r>
      <w:r>
        <w:t xml:space="preserve"> Quinn </w:t>
      </w:r>
      <w:r w:rsidR="005E39DF">
        <w:t>1995 p</w:t>
      </w:r>
      <w:r>
        <w:t>326</w:t>
      </w:r>
    </w:p>
  </w:footnote>
  <w:footnote w:id="5">
    <w:p w14:paraId="58E5A6F6" w14:textId="34B91B64" w:rsidR="00C168CB" w:rsidRDefault="00C168CB">
      <w:pPr>
        <w:pStyle w:val="FootnoteText"/>
      </w:pPr>
      <w:r>
        <w:rPr>
          <w:rStyle w:val="FootnoteReference"/>
        </w:rPr>
        <w:footnoteRef/>
      </w:r>
      <w:r>
        <w:t xml:space="preserve"> Trimble 2010</w:t>
      </w:r>
    </w:p>
  </w:footnote>
  <w:footnote w:id="6">
    <w:p w14:paraId="50A9D02B" w14:textId="446A1A12" w:rsidR="002C699E" w:rsidRDefault="002C699E">
      <w:pPr>
        <w:pStyle w:val="FootnoteText"/>
      </w:pPr>
      <w:r>
        <w:rPr>
          <w:rStyle w:val="FootnoteReference"/>
        </w:rPr>
        <w:footnoteRef/>
      </w:r>
      <w:r>
        <w:t xml:space="preserve"> Trimble 2010</w:t>
      </w:r>
    </w:p>
  </w:footnote>
  <w:footnote w:id="7">
    <w:p w14:paraId="6F440C3F" w14:textId="11161D2B" w:rsidR="00341536" w:rsidRDefault="00341536">
      <w:pPr>
        <w:pStyle w:val="FootnoteText"/>
      </w:pPr>
      <w:r>
        <w:rPr>
          <w:rStyle w:val="FootnoteReference"/>
        </w:rPr>
        <w:footnoteRef/>
      </w:r>
      <w:r>
        <w:t xml:space="preserve"> Ellis</w:t>
      </w:r>
      <w:r w:rsidR="001D056C">
        <w:t xml:space="preserve"> 1876 </w:t>
      </w:r>
      <w:r>
        <w:t xml:space="preserve"> </w:t>
      </w:r>
      <w:r w:rsidR="001D056C">
        <w:t>p</w:t>
      </w:r>
      <w:r>
        <w:t>259</w:t>
      </w:r>
    </w:p>
  </w:footnote>
  <w:footnote w:id="8">
    <w:p w14:paraId="6EA09DC8" w14:textId="1869C793" w:rsidR="00341536" w:rsidRDefault="00341536">
      <w:pPr>
        <w:pStyle w:val="FootnoteText"/>
      </w:pPr>
      <w:r>
        <w:rPr>
          <w:rStyle w:val="FootnoteReference"/>
        </w:rPr>
        <w:footnoteRef/>
      </w:r>
      <w:r>
        <w:t xml:space="preserve"> Godwin 1995 </w:t>
      </w:r>
      <w:r w:rsidR="001D056C">
        <w:t>p</w:t>
      </w:r>
      <w:r>
        <w:t>156</w:t>
      </w:r>
    </w:p>
  </w:footnote>
  <w:footnote w:id="9">
    <w:p w14:paraId="255D62AB" w14:textId="2D1A1AC9" w:rsidR="0047643F" w:rsidRDefault="0047643F">
      <w:pPr>
        <w:pStyle w:val="FootnoteText"/>
      </w:pPr>
      <w:r>
        <w:rPr>
          <w:rStyle w:val="FootnoteReference"/>
        </w:rPr>
        <w:footnoteRef/>
      </w:r>
      <w:r>
        <w:t xml:space="preserve"> Godwin 1995 </w:t>
      </w:r>
      <w:r w:rsidR="001D056C">
        <w:t>p</w:t>
      </w:r>
      <w:r>
        <w:t>156</w:t>
      </w:r>
    </w:p>
  </w:footnote>
  <w:footnote w:id="10">
    <w:p w14:paraId="0D5C1070" w14:textId="54510794" w:rsidR="0047643F" w:rsidRDefault="0047643F">
      <w:pPr>
        <w:pStyle w:val="FootnoteText"/>
      </w:pPr>
      <w:r>
        <w:rPr>
          <w:rStyle w:val="FootnoteReference"/>
        </w:rPr>
        <w:footnoteRef/>
      </w:r>
      <w:r>
        <w:t xml:space="preserve"> Trimble 2010</w:t>
      </w:r>
    </w:p>
  </w:footnote>
  <w:footnote w:id="11">
    <w:p w14:paraId="495D355C" w14:textId="5D825654" w:rsidR="00FB7226" w:rsidRDefault="00FB7226">
      <w:pPr>
        <w:pStyle w:val="FootnoteText"/>
      </w:pPr>
      <w:r>
        <w:rPr>
          <w:rStyle w:val="FootnoteReference"/>
        </w:rPr>
        <w:footnoteRef/>
      </w:r>
      <w:r>
        <w:t xml:space="preserve"> Godwin 1995 </w:t>
      </w:r>
      <w:r w:rsidR="001D056C">
        <w:t>p</w:t>
      </w:r>
      <w:r>
        <w:t>156</w:t>
      </w:r>
    </w:p>
  </w:footnote>
  <w:footnote w:id="12">
    <w:p w14:paraId="31CA2B06" w14:textId="204D309C" w:rsidR="00FB7226" w:rsidRDefault="00FB7226">
      <w:pPr>
        <w:pStyle w:val="FootnoteText"/>
      </w:pPr>
      <w:r>
        <w:rPr>
          <w:rStyle w:val="FootnoteReference"/>
        </w:rPr>
        <w:footnoteRef/>
      </w:r>
      <w:r>
        <w:t xml:space="preserve"> Trimble 2010</w:t>
      </w:r>
    </w:p>
  </w:footnote>
  <w:footnote w:id="13">
    <w:p w14:paraId="50179BC4" w14:textId="6C36AF07" w:rsidR="00FB7226" w:rsidRDefault="00FB7226">
      <w:pPr>
        <w:pStyle w:val="FootnoteText"/>
      </w:pPr>
      <w:r>
        <w:rPr>
          <w:rStyle w:val="FootnoteReference"/>
        </w:rPr>
        <w:footnoteRef/>
      </w:r>
      <w:r>
        <w:t xml:space="preserve"> Jenkyns 1982 </w:t>
      </w:r>
      <w:r w:rsidR="001D056C">
        <w:t>p</w:t>
      </w:r>
      <w:r>
        <w:t>119</w:t>
      </w:r>
    </w:p>
  </w:footnote>
  <w:footnote w:id="14">
    <w:p w14:paraId="49F05E85" w14:textId="1874C98E" w:rsidR="002007E5" w:rsidRDefault="002007E5">
      <w:pPr>
        <w:pStyle w:val="FootnoteText"/>
      </w:pPr>
      <w:r>
        <w:rPr>
          <w:rStyle w:val="FootnoteReference"/>
        </w:rPr>
        <w:footnoteRef/>
      </w:r>
      <w:r>
        <w:t xml:space="preserve"> Quinn </w:t>
      </w:r>
      <w:r w:rsidR="001D056C">
        <w:t>1995  p</w:t>
      </w:r>
      <w:r>
        <w:t>326</w:t>
      </w:r>
    </w:p>
  </w:footnote>
  <w:footnote w:id="15">
    <w:p w14:paraId="69F63909" w14:textId="0A9EB084" w:rsidR="002007E5" w:rsidRDefault="002007E5">
      <w:pPr>
        <w:pStyle w:val="FootnoteText"/>
      </w:pPr>
      <w:r>
        <w:rPr>
          <w:rStyle w:val="FootnoteReference"/>
        </w:rPr>
        <w:footnoteRef/>
      </w:r>
      <w:r>
        <w:t xml:space="preserve"> Aeschylus Choephoroi 1049</w:t>
      </w:r>
    </w:p>
  </w:footnote>
  <w:footnote w:id="16">
    <w:p w14:paraId="1172A4A5" w14:textId="6C63EAEF" w:rsidR="00636AD9" w:rsidRDefault="00636AD9">
      <w:pPr>
        <w:pStyle w:val="FootnoteText"/>
      </w:pPr>
      <w:r>
        <w:rPr>
          <w:rStyle w:val="FootnoteReference"/>
        </w:rPr>
        <w:footnoteRef/>
      </w:r>
      <w:r>
        <w:t xml:space="preserve"> Schmale 2004 </w:t>
      </w:r>
      <w:r w:rsidR="000E0A77">
        <w:t xml:space="preserve">in Trimble 2010 </w:t>
      </w:r>
      <w:r>
        <w:t xml:space="preserve"> </w:t>
      </w:r>
      <w:r w:rsidR="001D056C">
        <w:t>p</w:t>
      </w:r>
      <w:r>
        <w:t>186</w:t>
      </w:r>
    </w:p>
  </w:footnote>
  <w:footnote w:id="17">
    <w:p w14:paraId="616D1711" w14:textId="23128493" w:rsidR="00636AD9" w:rsidRDefault="00636AD9">
      <w:pPr>
        <w:pStyle w:val="FootnoteText"/>
      </w:pPr>
      <w:r>
        <w:rPr>
          <w:rStyle w:val="FootnoteReference"/>
        </w:rPr>
        <w:footnoteRef/>
      </w:r>
      <w:r>
        <w:t xml:space="preserve"> Godwin 1995  </w:t>
      </w:r>
      <w:r w:rsidR="001D056C">
        <w:t>p</w:t>
      </w:r>
      <w:r>
        <w:t>156</w:t>
      </w:r>
    </w:p>
  </w:footnote>
  <w:footnote w:id="18">
    <w:p w14:paraId="271A12C3" w14:textId="38C66D7D" w:rsidR="007E4E73" w:rsidRDefault="007E4E73">
      <w:pPr>
        <w:pStyle w:val="FootnoteText"/>
      </w:pPr>
      <w:r>
        <w:rPr>
          <w:rStyle w:val="FootnoteReference"/>
        </w:rPr>
        <w:footnoteRef/>
      </w:r>
      <w:r>
        <w:t xml:space="preserve"> Quinn </w:t>
      </w:r>
      <w:r w:rsidR="001D056C">
        <w:t>1995  p</w:t>
      </w:r>
      <w:r>
        <w:t>326</w:t>
      </w:r>
    </w:p>
  </w:footnote>
  <w:footnote w:id="19">
    <w:p w14:paraId="6929EFBC" w14:textId="42AFEDFB" w:rsidR="007E4E73" w:rsidRDefault="007E4E73">
      <w:pPr>
        <w:pStyle w:val="FootnoteText"/>
      </w:pPr>
      <w:r>
        <w:rPr>
          <w:rStyle w:val="FootnoteReference"/>
        </w:rPr>
        <w:footnoteRef/>
      </w:r>
      <w:r>
        <w:t xml:space="preserve"> Trimble 2010</w:t>
      </w:r>
    </w:p>
  </w:footnote>
  <w:footnote w:id="20">
    <w:p w14:paraId="5E7C392F" w14:textId="6961F590" w:rsidR="00A35656" w:rsidRDefault="00A35656">
      <w:pPr>
        <w:pStyle w:val="FootnoteText"/>
      </w:pPr>
      <w:r>
        <w:rPr>
          <w:rStyle w:val="FootnoteReference"/>
        </w:rPr>
        <w:footnoteRef/>
      </w:r>
      <w:r>
        <w:t xml:space="preserve"> Aeneid 4.612-3</w:t>
      </w:r>
    </w:p>
  </w:footnote>
  <w:footnote w:id="21">
    <w:p w14:paraId="6929155D" w14:textId="0A00A9CA" w:rsidR="002175CB" w:rsidRDefault="002175CB">
      <w:pPr>
        <w:pStyle w:val="FootnoteText"/>
      </w:pPr>
      <w:r>
        <w:rPr>
          <w:rStyle w:val="FootnoteReference"/>
        </w:rPr>
        <w:footnoteRef/>
      </w:r>
      <w:r>
        <w:t xml:space="preserve"> Rees 1994 </w:t>
      </w:r>
      <w:r w:rsidR="001D056C">
        <w:t xml:space="preserve"> p</w:t>
      </w:r>
      <w:r>
        <w:t>197</w:t>
      </w:r>
    </w:p>
  </w:footnote>
  <w:footnote w:id="22">
    <w:p w14:paraId="01BB3693" w14:textId="26524FF7" w:rsidR="002175CB" w:rsidRDefault="002175CB">
      <w:pPr>
        <w:pStyle w:val="FootnoteText"/>
      </w:pPr>
      <w:r>
        <w:rPr>
          <w:rStyle w:val="FootnoteReference"/>
        </w:rPr>
        <w:footnoteRef/>
      </w:r>
      <w:r>
        <w:t xml:space="preserve"> Trimble 2010</w:t>
      </w:r>
    </w:p>
  </w:footnote>
  <w:footnote w:id="23">
    <w:p w14:paraId="49FE9917" w14:textId="43B0089C" w:rsidR="00833044" w:rsidRDefault="00833044">
      <w:pPr>
        <w:pStyle w:val="FootnoteText"/>
      </w:pPr>
      <w:r>
        <w:rPr>
          <w:rStyle w:val="FootnoteReference"/>
        </w:rPr>
        <w:footnoteRef/>
      </w:r>
      <w:r>
        <w:t xml:space="preserve"> Trimble 2010</w:t>
      </w:r>
    </w:p>
  </w:footnote>
  <w:footnote w:id="24">
    <w:p w14:paraId="2E9A025B" w14:textId="0DC6E7BE" w:rsidR="006620DC" w:rsidRDefault="006620DC">
      <w:pPr>
        <w:pStyle w:val="FootnoteText"/>
      </w:pPr>
      <w:r>
        <w:rPr>
          <w:rStyle w:val="FootnoteReference"/>
        </w:rPr>
        <w:footnoteRef/>
      </w:r>
      <w:r>
        <w:t xml:space="preserve"> Trimble 2010</w:t>
      </w:r>
    </w:p>
  </w:footnote>
  <w:footnote w:id="25">
    <w:p w14:paraId="2C76A905" w14:textId="70D3C150" w:rsidR="006620DC" w:rsidRDefault="006620DC">
      <w:pPr>
        <w:pStyle w:val="FootnoteText"/>
      </w:pPr>
      <w:r>
        <w:rPr>
          <w:rStyle w:val="FootnoteReference"/>
        </w:rPr>
        <w:footnoteRef/>
      </w:r>
      <w:r>
        <w:t xml:space="preserve"> Quinn 1995 </w:t>
      </w:r>
      <w:r w:rsidR="00F31C78">
        <w:t>p</w:t>
      </w:r>
      <w:r>
        <w:t>327</w:t>
      </w:r>
    </w:p>
  </w:footnote>
  <w:footnote w:id="26">
    <w:p w14:paraId="750FF1FB" w14:textId="1E221513" w:rsidR="00DC1ABD" w:rsidRDefault="00DC1ABD">
      <w:pPr>
        <w:pStyle w:val="FootnoteText"/>
      </w:pPr>
      <w:r>
        <w:rPr>
          <w:rStyle w:val="FootnoteReference"/>
        </w:rPr>
        <w:footnoteRef/>
      </w:r>
      <w:r>
        <w:t xml:space="preserve"> Ellis </w:t>
      </w:r>
      <w:r w:rsidR="00F31C78">
        <w:t>1876  p</w:t>
      </w:r>
      <w:r>
        <w:t>260</w:t>
      </w:r>
    </w:p>
  </w:footnote>
  <w:footnote w:id="27">
    <w:p w14:paraId="767D1B2F" w14:textId="3D7340E6" w:rsidR="00F02938" w:rsidRDefault="00F02938">
      <w:pPr>
        <w:pStyle w:val="FootnoteText"/>
      </w:pPr>
      <w:r>
        <w:rPr>
          <w:rStyle w:val="FootnoteReference"/>
        </w:rPr>
        <w:footnoteRef/>
      </w:r>
      <w:r>
        <w:t xml:space="preserve"> Godwin 1995 </w:t>
      </w:r>
      <w:r w:rsidR="00F31C78">
        <w:t xml:space="preserve"> p</w:t>
      </w:r>
      <w:r>
        <w:t>156</w:t>
      </w:r>
    </w:p>
  </w:footnote>
  <w:footnote w:id="28">
    <w:p w14:paraId="145E51AE" w14:textId="3430210F" w:rsidR="00F02938" w:rsidRDefault="00F02938">
      <w:pPr>
        <w:pStyle w:val="FootnoteText"/>
      </w:pPr>
      <w:r>
        <w:rPr>
          <w:rStyle w:val="FootnoteReference"/>
        </w:rPr>
        <w:footnoteRef/>
      </w:r>
      <w:r>
        <w:t xml:space="preserve"> Gaisser</w:t>
      </w:r>
      <w:r w:rsidR="00F31C78">
        <w:t xml:space="preserve"> 2007</w:t>
      </w:r>
      <w:r>
        <w:t xml:space="preserve">  </w:t>
      </w:r>
      <w:r w:rsidR="00F31C78">
        <w:t>p</w:t>
      </w:r>
      <w:r>
        <w:t>246</w:t>
      </w:r>
    </w:p>
  </w:footnote>
  <w:footnote w:id="29">
    <w:p w14:paraId="52ADA67F" w14:textId="61153408" w:rsidR="00F5638F" w:rsidRDefault="00F5638F">
      <w:pPr>
        <w:pStyle w:val="FootnoteText"/>
      </w:pPr>
      <w:r>
        <w:rPr>
          <w:rStyle w:val="FootnoteReference"/>
        </w:rPr>
        <w:footnoteRef/>
      </w:r>
      <w:r>
        <w:t xml:space="preserve"> Trimble 2010</w:t>
      </w:r>
    </w:p>
  </w:footnote>
  <w:footnote w:id="30">
    <w:p w14:paraId="1E3116E7" w14:textId="1416E72A" w:rsidR="00F5638F" w:rsidRPr="00F02938" w:rsidRDefault="00F5638F">
      <w:pPr>
        <w:pStyle w:val="FootnoteText"/>
      </w:pPr>
      <w:r>
        <w:rPr>
          <w:rStyle w:val="FootnoteReference"/>
        </w:rPr>
        <w:footnoteRef/>
      </w:r>
      <w:r>
        <w:t xml:space="preserve"> </w:t>
      </w:r>
      <w:r w:rsidR="00277DE8">
        <w:t>Ap. Arg</w:t>
      </w:r>
      <w:r w:rsidR="00277DE8" w:rsidRPr="00F02938">
        <w:t>. 4.385-7</w:t>
      </w:r>
    </w:p>
  </w:footnote>
  <w:footnote w:id="31">
    <w:p w14:paraId="108A99B7" w14:textId="7EAC050F" w:rsidR="00277DE8" w:rsidRDefault="00277DE8">
      <w:pPr>
        <w:pStyle w:val="FootnoteText"/>
      </w:pPr>
      <w:r>
        <w:rPr>
          <w:rStyle w:val="FootnoteReference"/>
        </w:rPr>
        <w:footnoteRef/>
      </w:r>
      <w:r>
        <w:t xml:space="preserve"> Trimble 2010</w:t>
      </w:r>
    </w:p>
  </w:footnote>
  <w:footnote w:id="32">
    <w:p w14:paraId="7BC47627" w14:textId="0EF5AA8B" w:rsidR="00277DE8" w:rsidRDefault="00277DE8">
      <w:pPr>
        <w:pStyle w:val="FootnoteText"/>
      </w:pPr>
      <w:r>
        <w:rPr>
          <w:rStyle w:val="FootnoteReference"/>
        </w:rPr>
        <w:footnoteRef/>
      </w:r>
      <w:r>
        <w:t xml:space="preserve"> Trimble 2010</w:t>
      </w:r>
    </w:p>
  </w:footnote>
  <w:footnote w:id="33">
    <w:p w14:paraId="43946621" w14:textId="595ABF3A" w:rsidR="0075607A" w:rsidRDefault="0075607A">
      <w:pPr>
        <w:pStyle w:val="FootnoteText"/>
      </w:pPr>
      <w:r>
        <w:rPr>
          <w:rStyle w:val="FootnoteReference"/>
        </w:rPr>
        <w:footnoteRef/>
      </w:r>
      <w:r>
        <w:t xml:space="preserve"> Gaisser </w:t>
      </w:r>
      <w:r w:rsidR="00F31C78">
        <w:t xml:space="preserve"> 2007</w:t>
      </w:r>
      <w:r>
        <w:t xml:space="preserve"> </w:t>
      </w:r>
      <w:r w:rsidR="00F31C78">
        <w:t xml:space="preserve"> p</w:t>
      </w:r>
      <w:r>
        <w:t>247</w:t>
      </w:r>
    </w:p>
  </w:footnote>
  <w:footnote w:id="34">
    <w:p w14:paraId="459569AE" w14:textId="30349E96" w:rsidR="00452097" w:rsidRDefault="00452097">
      <w:pPr>
        <w:pStyle w:val="FootnoteText"/>
      </w:pPr>
      <w:r>
        <w:rPr>
          <w:rStyle w:val="FootnoteReference"/>
        </w:rPr>
        <w:footnoteRef/>
      </w:r>
      <w:r>
        <w:t xml:space="preserve"> Quinn 1995  </w:t>
      </w:r>
      <w:r w:rsidR="00F31C78">
        <w:t>p</w:t>
      </w:r>
      <w:r>
        <w:t>327</w:t>
      </w:r>
    </w:p>
  </w:footnote>
  <w:footnote w:id="35">
    <w:p w14:paraId="0EA1F342" w14:textId="6DB4B1F0" w:rsidR="00770853" w:rsidRDefault="00770853">
      <w:pPr>
        <w:pStyle w:val="FootnoteText"/>
      </w:pPr>
      <w:r>
        <w:rPr>
          <w:rStyle w:val="FootnoteReference"/>
        </w:rPr>
        <w:footnoteRef/>
      </w:r>
      <w:r>
        <w:t xml:space="preserve"> Quinn 1995  </w:t>
      </w:r>
      <w:r w:rsidR="00F31C78">
        <w:t>p</w:t>
      </w:r>
      <w:r>
        <w:t>311</w:t>
      </w:r>
    </w:p>
  </w:footnote>
  <w:footnote w:id="36">
    <w:p w14:paraId="2F441885" w14:textId="481B460A" w:rsidR="00770853" w:rsidRDefault="00770853">
      <w:pPr>
        <w:pStyle w:val="FootnoteText"/>
      </w:pPr>
      <w:r>
        <w:rPr>
          <w:rStyle w:val="FootnoteReference"/>
        </w:rPr>
        <w:footnoteRef/>
      </w:r>
      <w:r>
        <w:t xml:space="preserve"> Quinn 1995  </w:t>
      </w:r>
      <w:r w:rsidR="00F31C78">
        <w:t>p</w:t>
      </w:r>
      <w:r>
        <w:t>327</w:t>
      </w:r>
    </w:p>
  </w:footnote>
  <w:footnote w:id="37">
    <w:p w14:paraId="5A4AF67F" w14:textId="0EB493DE" w:rsidR="009200F2" w:rsidRDefault="009200F2">
      <w:pPr>
        <w:pStyle w:val="FootnoteText"/>
      </w:pPr>
      <w:r>
        <w:rPr>
          <w:rStyle w:val="FootnoteReference"/>
        </w:rPr>
        <w:footnoteRef/>
      </w:r>
      <w:r>
        <w:t xml:space="preserve"> Gaisser  </w:t>
      </w:r>
      <w:r w:rsidR="00F31C78">
        <w:t>2007  p</w:t>
      </w:r>
      <w:r>
        <w:t>246</w:t>
      </w:r>
    </w:p>
  </w:footnote>
  <w:footnote w:id="38">
    <w:p w14:paraId="5F001C2D" w14:textId="44BCC423" w:rsidR="00925248" w:rsidRDefault="00925248">
      <w:pPr>
        <w:pStyle w:val="FootnoteText"/>
      </w:pPr>
      <w:r>
        <w:rPr>
          <w:rStyle w:val="FootnoteReference"/>
        </w:rPr>
        <w:footnoteRef/>
      </w:r>
      <w:r>
        <w:t xml:space="preserve"> Gaisser  </w:t>
      </w:r>
      <w:r w:rsidR="00F31C78">
        <w:t>2007  p</w:t>
      </w:r>
      <w:r>
        <w:t>246</w:t>
      </w:r>
    </w:p>
  </w:footnote>
  <w:footnote w:id="39">
    <w:p w14:paraId="2831E7BA" w14:textId="0A1770B7" w:rsidR="00452097" w:rsidRDefault="00452097">
      <w:pPr>
        <w:pStyle w:val="FootnoteText"/>
      </w:pPr>
      <w:r>
        <w:rPr>
          <w:rStyle w:val="FootnoteReference"/>
        </w:rPr>
        <w:footnoteRef/>
      </w:r>
      <w:r>
        <w:t xml:space="preserve"> Ellis </w:t>
      </w:r>
      <w:r w:rsidR="00F31C78">
        <w:t xml:space="preserve"> 1876  p</w:t>
      </w:r>
      <w:r>
        <w:t>260</w:t>
      </w:r>
    </w:p>
  </w:footnote>
  <w:footnote w:id="40">
    <w:p w14:paraId="7A3562F2" w14:textId="25DD344D" w:rsidR="0075607A" w:rsidRDefault="0075607A">
      <w:pPr>
        <w:pStyle w:val="FootnoteText"/>
      </w:pPr>
      <w:r>
        <w:rPr>
          <w:rStyle w:val="FootnoteReference"/>
        </w:rPr>
        <w:footnoteRef/>
      </w:r>
      <w:r>
        <w:t xml:space="preserve"> Quinn </w:t>
      </w:r>
      <w:r w:rsidR="00F31C78">
        <w:t xml:space="preserve"> 1995  p</w:t>
      </w:r>
      <w:r>
        <w:t>327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825"/>
    <w:rsid w:val="000528CD"/>
    <w:rsid w:val="00072753"/>
    <w:rsid w:val="000C7E65"/>
    <w:rsid w:val="000D298A"/>
    <w:rsid w:val="000E0A77"/>
    <w:rsid w:val="001D056C"/>
    <w:rsid w:val="002007E5"/>
    <w:rsid w:val="002175CB"/>
    <w:rsid w:val="00237312"/>
    <w:rsid w:val="00277DE8"/>
    <w:rsid w:val="002C699E"/>
    <w:rsid w:val="00341536"/>
    <w:rsid w:val="003C6DF5"/>
    <w:rsid w:val="003F3419"/>
    <w:rsid w:val="00452097"/>
    <w:rsid w:val="004564D4"/>
    <w:rsid w:val="0047643F"/>
    <w:rsid w:val="00485CB4"/>
    <w:rsid w:val="005A58A2"/>
    <w:rsid w:val="005E39DF"/>
    <w:rsid w:val="005F3C51"/>
    <w:rsid w:val="00611ECC"/>
    <w:rsid w:val="00631754"/>
    <w:rsid w:val="00636AD9"/>
    <w:rsid w:val="00661825"/>
    <w:rsid w:val="006620DC"/>
    <w:rsid w:val="0068690D"/>
    <w:rsid w:val="00687968"/>
    <w:rsid w:val="006A159B"/>
    <w:rsid w:val="006D7FA3"/>
    <w:rsid w:val="00700D4F"/>
    <w:rsid w:val="0075607A"/>
    <w:rsid w:val="00770853"/>
    <w:rsid w:val="007E4E73"/>
    <w:rsid w:val="00833044"/>
    <w:rsid w:val="00881C4A"/>
    <w:rsid w:val="008A4E47"/>
    <w:rsid w:val="009200F2"/>
    <w:rsid w:val="00925248"/>
    <w:rsid w:val="00A03345"/>
    <w:rsid w:val="00A35656"/>
    <w:rsid w:val="00A37381"/>
    <w:rsid w:val="00AE1DBA"/>
    <w:rsid w:val="00C168CB"/>
    <w:rsid w:val="00D40FAB"/>
    <w:rsid w:val="00DC1ABD"/>
    <w:rsid w:val="00E76EBE"/>
    <w:rsid w:val="00E939C3"/>
    <w:rsid w:val="00EF5764"/>
    <w:rsid w:val="00F02938"/>
    <w:rsid w:val="00F31C78"/>
    <w:rsid w:val="00F5638F"/>
    <w:rsid w:val="00FB7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5F61F"/>
  <w15:chartTrackingRefBased/>
  <w15:docId w15:val="{0D7F0029-D6C7-4042-9565-73B1DD727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373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7312"/>
    <w:rPr>
      <w:sz w:val="20"/>
      <w:szCs w:val="20"/>
    </w:rPr>
  </w:style>
  <w:style w:type="character" w:styleId="FootnoteReference">
    <w:name w:val="footnote reference"/>
    <w:basedOn w:val="DefaultParagraphFont"/>
    <w:uiPriority w:val="99"/>
    <w:semiHidden/>
    <w:unhideWhenUsed/>
    <w:rsid w:val="002373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BDA94-2101-478A-BAA3-461653BD4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Pages>
  <Words>1820</Words>
  <Characters>10379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dc:creator>
  <cp:keywords/>
  <dc:description/>
  <cp:lastModifiedBy>Nicholas</cp:lastModifiedBy>
  <cp:revision>17</cp:revision>
  <dcterms:created xsi:type="dcterms:W3CDTF">2022-10-22T09:35:00Z</dcterms:created>
  <dcterms:modified xsi:type="dcterms:W3CDTF">2022-10-25T07:55:00Z</dcterms:modified>
</cp:coreProperties>
</file>