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63BA4" w:rsidRDefault="00B95F66">
      <w:pPr>
        <w:spacing w:after="200"/>
        <w:jc w:val="center"/>
        <w:rPr>
          <w:b/>
          <w:u w:val="single"/>
        </w:rPr>
      </w:pPr>
      <w:r>
        <w:rPr>
          <w:b/>
          <w:u w:val="single"/>
        </w:rPr>
        <w:t>In what ways can touring theatre affect its audience in terms of addressing social, political, and cultural issues? Base your response on your specific piece of theatre you are creating.</w:t>
      </w:r>
    </w:p>
    <w:p w:rsidR="00E63BA4" w:rsidRDefault="00B95F66">
      <w:pPr>
        <w:spacing w:after="200"/>
      </w:pPr>
      <w:r>
        <w:t>Touring theatre can affect audiences in a variety of ways, depending on where they are touring, the audiences, and the piece itself. With our piece, we were aware from the beginning that it was for the 9-10 age demographic and that we would tour schools, s</w:t>
      </w:r>
      <w:r>
        <w:t xml:space="preserve">o we knew the piece had to be age-appropriate and not too heavy. When researching, I came across a piece of touring theatre that was intended for refugee Azeri children. One quote I found was, </w:t>
      </w:r>
    </w:p>
    <w:p w:rsidR="00E63BA4" w:rsidRDefault="00B95F66">
      <w:pPr>
        <w:spacing w:after="200"/>
        <w:jc w:val="center"/>
      </w:pPr>
      <w:r>
        <w:rPr>
          <w:i/>
        </w:rPr>
        <w:t>“[...]the shattering of the idyll was shocking and frightening</w:t>
      </w:r>
      <w:r>
        <w:rPr>
          <w:i/>
        </w:rPr>
        <w:t xml:space="preserve"> and awakened memories too closely related to their experience of war and displacement. The metaphor was all too graphically clear.”</w:t>
      </w:r>
      <w:r>
        <w:t>[1]</w:t>
      </w:r>
    </w:p>
    <w:p w:rsidR="00E63BA4" w:rsidRDefault="00B95F66">
      <w:pPr>
        <w:spacing w:after="200"/>
      </w:pPr>
      <w:r>
        <w:t>To me, this cemented the notion that theatre in education can and should be meaningful, but done carefully. In our piece</w:t>
      </w:r>
      <w:r>
        <w:t xml:space="preserve">, we portray a variety of issues that affect children, from puberty to being from a different culture, but we address them with subtle celebratory metaphors in timeless fairytales so that they aren’t jarring for the children. If they were blunt, I feel it </w:t>
      </w:r>
      <w:r>
        <w:t>would have an undesired effect on the children - either they would ignore them out of stubbornness, or they would be hit too hard with emotion. Interventionist theatre (“</w:t>
      </w:r>
      <w:r>
        <w:rPr>
          <w:i/>
        </w:rPr>
        <w:t>theatre that seeks to directly affect the lives of its targeted audiences</w:t>
      </w:r>
      <w:r>
        <w:t>”[8]) like ou</w:t>
      </w:r>
      <w:r>
        <w:t>r piece can easily come across like a lecture if not done carefully, in which “</w:t>
      </w:r>
      <w:r>
        <w:rPr>
          <w:i/>
        </w:rPr>
        <w:t>the ‘target’ audience [becomes] literally that, simply a sitting duck to be proselytised at</w:t>
      </w:r>
      <w:r>
        <w:t xml:space="preserve">”[6]. </w:t>
      </w:r>
    </w:p>
    <w:p w:rsidR="00E63BA4" w:rsidRDefault="00B95F66">
      <w:pPr>
        <w:spacing w:after="200"/>
      </w:pPr>
      <w:r>
        <w:t xml:space="preserve">Our piece is all about how everyone is different, but those differences should </w:t>
      </w:r>
      <w:r>
        <w:t>be celebrated and be a source of pride, rather than seen in any negative light. After speaking to children of the age group and sharing our own childhood experiences, we knew that one thing every child struggles with at one point is feeling different. Scho</w:t>
      </w:r>
      <w:r>
        <w:t xml:space="preserve">ols often do not help with that feeling, the environment can push children to try and fit in and be liked, and with that can come bullying which is something that can affect people for life with confidence and mental health issues later on. I believe this </w:t>
      </w:r>
      <w:r>
        <w:t>piece can affect children by helping them accept who they are more, and slowly put a stop to those kinds of negative experiences.</w:t>
      </w:r>
    </w:p>
    <w:p w:rsidR="00E63BA4" w:rsidRDefault="00B95F66">
      <w:pPr>
        <w:spacing w:after="200"/>
      </w:pPr>
      <w:r>
        <w:t xml:space="preserve">In British society, we aren’t very open about our mental health because of stigma[2,3,4], and so do not get the help we need. </w:t>
      </w:r>
      <w:r>
        <w:t>Our piece hopes to reassure children that their differences are good and make them who they are. Children especially are often not taught the language they need to discuss their more serious issues, and this quote really describes how I feel on the matter,</w:t>
      </w:r>
    </w:p>
    <w:p w:rsidR="00E63BA4" w:rsidRDefault="00B95F66">
      <w:pPr>
        <w:spacing w:after="200"/>
        <w:jc w:val="center"/>
      </w:pPr>
      <w:r>
        <w:rPr>
          <w:i/>
        </w:rPr>
        <w:t>“I thought one of the project’s most valuable roles was to give the children an opportunity to articulate desires and concerns that, though of prime importance, they might not otherwise mention, or be encouraged to discuss[.]”</w:t>
      </w:r>
      <w:r>
        <w:t>[5]</w:t>
      </w:r>
    </w:p>
    <w:p w:rsidR="00E63BA4" w:rsidRDefault="00B95F66">
      <w:pPr>
        <w:spacing w:after="200"/>
      </w:pPr>
      <w:r>
        <w:rPr>
          <w:i/>
        </w:rPr>
        <w:t>Radical Initiatives in In</w:t>
      </w:r>
      <w:r>
        <w:rPr>
          <w:i/>
        </w:rPr>
        <w:t>terventionist and Community Drama</w:t>
      </w:r>
      <w:r>
        <w:t xml:space="preserve"> mentions primary visible goals and secondary invisible goals[9]. I believe that our primary visible goal is simply to be entertaining for the children, and to help them see differences in positive ways. Our secondary invis</w:t>
      </w:r>
      <w:r>
        <w:t xml:space="preserve">ible goals are to teach children to love themselves and think before quickly judging others for being different. </w:t>
      </w:r>
    </w:p>
    <w:p w:rsidR="00E63BA4" w:rsidRDefault="00B95F66">
      <w:pPr>
        <w:spacing w:after="200"/>
      </w:pPr>
      <w:r>
        <w:lastRenderedPageBreak/>
        <w:t>Our piece can get away with more than commercialised theatre too, as the messages there can seem forced and like they’re hopping on a bandwago</w:t>
      </w:r>
      <w:r>
        <w:t>n[7], but our piece comes from a place of truth, and so it should resonate with audiences more and make them think.</w:t>
      </w:r>
    </w:p>
    <w:p w:rsidR="00E63BA4" w:rsidRDefault="00B95F66">
      <w:pPr>
        <w:spacing w:after="200"/>
      </w:pPr>
      <w:r>
        <w:t>In conclusion, I believe our piece can affect the audience in terms of social, political, and cultural issues very subtly. It’s not somethin</w:t>
      </w:r>
      <w:r>
        <w:t>g that will jolt or shock the children, but something that should have a more subconscious effect on them that they can recall at times they need to.</w:t>
      </w:r>
    </w:p>
    <w:p w:rsidR="00E63BA4" w:rsidRDefault="00E63BA4">
      <w:pPr>
        <w:spacing w:after="200"/>
      </w:pPr>
    </w:p>
    <w:p w:rsidR="00E63BA4" w:rsidRDefault="00E63BA4">
      <w:pPr>
        <w:spacing w:after="200"/>
      </w:pPr>
    </w:p>
    <w:p w:rsidR="00B95F66" w:rsidRDefault="00B95F66">
      <w:pPr>
        <w:spacing w:after="200"/>
      </w:pPr>
    </w:p>
    <w:p w:rsidR="00B95F66" w:rsidRDefault="00B95F66">
      <w:pPr>
        <w:spacing w:after="200"/>
      </w:pPr>
    </w:p>
    <w:p w:rsidR="00B95F66" w:rsidRDefault="00B95F66">
      <w:pPr>
        <w:spacing w:after="200"/>
      </w:pPr>
    </w:p>
    <w:p w:rsidR="00B95F66" w:rsidRDefault="00B95F66">
      <w:pPr>
        <w:spacing w:after="200"/>
      </w:pPr>
    </w:p>
    <w:p w:rsidR="00B95F66" w:rsidRDefault="00B95F66">
      <w:pPr>
        <w:spacing w:after="200"/>
      </w:pPr>
    </w:p>
    <w:p w:rsidR="00B95F66" w:rsidRDefault="00B95F66">
      <w:pPr>
        <w:spacing w:after="200"/>
      </w:pPr>
    </w:p>
    <w:p w:rsidR="00B95F66" w:rsidRDefault="00B95F66">
      <w:pPr>
        <w:spacing w:after="200"/>
      </w:pPr>
    </w:p>
    <w:p w:rsidR="00B95F66" w:rsidRDefault="00B95F66">
      <w:pPr>
        <w:spacing w:after="200"/>
      </w:pPr>
    </w:p>
    <w:p w:rsidR="00B95F66" w:rsidRDefault="00B95F66">
      <w:pPr>
        <w:spacing w:after="200"/>
      </w:pPr>
    </w:p>
    <w:p w:rsidR="00B95F66" w:rsidRDefault="00B95F66">
      <w:pPr>
        <w:spacing w:after="200"/>
      </w:pPr>
    </w:p>
    <w:p w:rsidR="00B95F66" w:rsidRDefault="00B95F66">
      <w:pPr>
        <w:spacing w:after="200"/>
      </w:pPr>
    </w:p>
    <w:p w:rsidR="00B95F66" w:rsidRDefault="00B95F66">
      <w:pPr>
        <w:spacing w:after="200"/>
      </w:pPr>
    </w:p>
    <w:p w:rsidR="00E63BA4" w:rsidRDefault="00E63BA4">
      <w:pPr>
        <w:spacing w:after="200"/>
      </w:pPr>
    </w:p>
    <w:p w:rsidR="00E63BA4" w:rsidRDefault="00E63BA4">
      <w:pPr>
        <w:spacing w:after="200"/>
      </w:pPr>
    </w:p>
    <w:p w:rsidR="00E63BA4" w:rsidRDefault="00E63BA4">
      <w:pPr>
        <w:spacing w:after="200"/>
      </w:pPr>
    </w:p>
    <w:p w:rsidR="00B95F66" w:rsidRDefault="00B95F66">
      <w:pPr>
        <w:spacing w:after="200"/>
      </w:pPr>
    </w:p>
    <w:p w:rsidR="00B95F66" w:rsidRDefault="00B95F66">
      <w:pPr>
        <w:spacing w:after="200"/>
      </w:pPr>
    </w:p>
    <w:p w:rsidR="00B95F66" w:rsidRDefault="00B95F66">
      <w:pPr>
        <w:spacing w:after="200"/>
      </w:pPr>
    </w:p>
    <w:p w:rsidR="00B95F66" w:rsidRDefault="00B95F66">
      <w:pPr>
        <w:spacing w:after="200"/>
      </w:pPr>
    </w:p>
    <w:p w:rsidR="00B95F66" w:rsidRDefault="00B95F66">
      <w:pPr>
        <w:spacing w:after="200"/>
      </w:pPr>
    </w:p>
    <w:p w:rsidR="00B95F66" w:rsidRDefault="00B95F66">
      <w:pPr>
        <w:spacing w:after="200"/>
      </w:pPr>
      <w:bookmarkStart w:id="0" w:name="_GoBack"/>
      <w:bookmarkEnd w:id="0"/>
    </w:p>
    <w:p w:rsidR="00E63BA4" w:rsidRDefault="00B95F66">
      <w:pPr>
        <w:spacing w:after="200"/>
      </w:pPr>
      <w:r>
        <w:lastRenderedPageBreak/>
        <w:t>Bibliography</w:t>
      </w:r>
    </w:p>
    <w:p w:rsidR="00E63BA4" w:rsidRDefault="00B95F66">
      <w:pPr>
        <w:numPr>
          <w:ilvl w:val="0"/>
          <w:numId w:val="1"/>
        </w:numPr>
        <w:spacing w:after="200"/>
        <w:contextualSpacing/>
      </w:pPr>
      <w:r>
        <w:t xml:space="preserve">Billingham, P. (2005). </w:t>
      </w:r>
      <w:r>
        <w:rPr>
          <w:i/>
        </w:rPr>
        <w:t>Radical Initiatives in Interventionist and Community Drama</w:t>
      </w:r>
      <w:r>
        <w:t>. Intellect. Bristol, UK. Page 104.</w:t>
      </w:r>
    </w:p>
    <w:p w:rsidR="00E63BA4" w:rsidRDefault="00B95F66">
      <w:pPr>
        <w:spacing w:after="200"/>
      </w:pPr>
      <w:r>
        <w:t xml:space="preserve">2. I-d. (2017). </w:t>
      </w:r>
      <w:r>
        <w:rPr>
          <w:i/>
        </w:rPr>
        <w:t>how do we get young brits to open up about their problems?</w:t>
      </w:r>
      <w:r>
        <w:t>. [online] Available at: https://i-d.vice.com/en_uk/article/xwde9j/how-do-we-get-young-b</w:t>
      </w:r>
      <w:r>
        <w:t>rits-to-open-up-about-their-problems [Accessed 26 Oct. 2017].</w:t>
      </w:r>
    </w:p>
    <w:p w:rsidR="00E63BA4" w:rsidRDefault="00B95F66">
      <w:pPr>
        <w:spacing w:after="200"/>
      </w:pPr>
      <w:r>
        <w:t xml:space="preserve">3. Mental Health Foundation. (2017). </w:t>
      </w:r>
      <w:r>
        <w:rPr>
          <w:i/>
        </w:rPr>
        <w:t>Stigma and discrimination</w:t>
      </w:r>
      <w:r>
        <w:t>. [online] Available at: https://www.mentalhealth.org.uk/a-to-z/s/stigma-and-discrimination [Accessed 27 Oct. 2017].</w:t>
      </w:r>
    </w:p>
    <w:p w:rsidR="00E63BA4" w:rsidRDefault="00B95F66">
      <w:pPr>
        <w:spacing w:after="200"/>
      </w:pPr>
      <w:r>
        <w:t>4. Timetochange</w:t>
      </w:r>
      <w:r>
        <w:t xml:space="preserve">wales.org.uk. (2017). </w:t>
      </w:r>
      <w:r>
        <w:rPr>
          <w:i/>
        </w:rPr>
        <w:t>Time To Change Wales :: Stigma statistics</w:t>
      </w:r>
      <w:r>
        <w:t>. [online] Available at: http://www.timetochangewales.org.uk/en/mental-health-stigma/stigma-statistics/#waleshealth [Accessed 27 Oct. 2017].</w:t>
      </w:r>
    </w:p>
    <w:p w:rsidR="00E63BA4" w:rsidRDefault="00B95F66">
      <w:pPr>
        <w:spacing w:after="200"/>
      </w:pPr>
      <w:r>
        <w:t xml:space="preserve">5. Billingham, P. (2005). </w:t>
      </w:r>
      <w:r>
        <w:rPr>
          <w:i/>
        </w:rPr>
        <w:t>Radical Initiatives in Int</w:t>
      </w:r>
      <w:r>
        <w:rPr>
          <w:i/>
        </w:rPr>
        <w:t>erventionist and Community Drama</w:t>
      </w:r>
      <w:r>
        <w:t>. Intellect. Bristol, UK. Page 102.8</w:t>
      </w:r>
    </w:p>
    <w:p w:rsidR="00E63BA4" w:rsidRDefault="00B95F66">
      <w:pPr>
        <w:spacing w:after="200"/>
      </w:pPr>
      <w:r>
        <w:t xml:space="preserve">6. Billingham, P. (2005). </w:t>
      </w:r>
      <w:r>
        <w:rPr>
          <w:i/>
        </w:rPr>
        <w:t>Radical Initiatives in Interventionist and Community Drama</w:t>
      </w:r>
      <w:r>
        <w:t>. Intellect. Bristol, UK. Page 18.</w:t>
      </w:r>
    </w:p>
    <w:p w:rsidR="00E63BA4" w:rsidRDefault="00B95F66">
      <w:pPr>
        <w:spacing w:after="200"/>
      </w:pPr>
      <w:r>
        <w:t xml:space="preserve">7. Billingham, P. (2000). </w:t>
      </w:r>
      <w:r>
        <w:rPr>
          <w:i/>
        </w:rPr>
        <w:t>Theatres of Conscience 1939-53, A Study of</w:t>
      </w:r>
      <w:r>
        <w:rPr>
          <w:i/>
        </w:rPr>
        <w:t xml:space="preserve"> Four Touring British Community Theatre Production</w:t>
      </w:r>
      <w:r>
        <w:t>. Routledge. Page 1-10.</w:t>
      </w:r>
    </w:p>
    <w:p w:rsidR="00E63BA4" w:rsidRDefault="00B95F66">
      <w:pPr>
        <w:spacing w:after="200"/>
      </w:pPr>
      <w:r>
        <w:t xml:space="preserve">8. Billingham, P. (2005). </w:t>
      </w:r>
      <w:r>
        <w:rPr>
          <w:i/>
        </w:rPr>
        <w:t>Radical Initiatives in Interventionist and Community Drama</w:t>
      </w:r>
      <w:r>
        <w:t>. Intellect. Bristol, UK. Page 8.</w:t>
      </w:r>
    </w:p>
    <w:p w:rsidR="00E63BA4" w:rsidRDefault="00B95F66">
      <w:pPr>
        <w:spacing w:after="200"/>
      </w:pPr>
      <w:r>
        <w:t xml:space="preserve">9. Billingham, P. (2005). </w:t>
      </w:r>
      <w:r>
        <w:rPr>
          <w:i/>
        </w:rPr>
        <w:t>Radical Initiatives in Interventionist</w:t>
      </w:r>
      <w:r>
        <w:rPr>
          <w:i/>
        </w:rPr>
        <w:t xml:space="preserve"> and Community Drama</w:t>
      </w:r>
      <w:r>
        <w:t>. Intellect. Bristol, UK. Page 57.</w:t>
      </w:r>
    </w:p>
    <w:p w:rsidR="00E63BA4" w:rsidRDefault="00B95F66">
      <w:pPr>
        <w:spacing w:after="200"/>
      </w:pPr>
      <w:r>
        <w:t xml:space="preserve">10. Anderson, K. (2002). </w:t>
      </w:r>
      <w:r>
        <w:rPr>
          <w:i/>
        </w:rPr>
        <w:t>Good Grief! Using the Grief Sheet to Improve Community Theatre Production</w:t>
      </w:r>
      <w:r>
        <w:t>. New York: Writers Club Press.</w:t>
      </w:r>
    </w:p>
    <w:p w:rsidR="00E63BA4" w:rsidRDefault="00B95F66">
      <w:pPr>
        <w:spacing w:after="200"/>
      </w:pPr>
      <w:r>
        <w:t xml:space="preserve">11. Barr, R. (2001). </w:t>
      </w:r>
      <w:r>
        <w:rPr>
          <w:i/>
        </w:rPr>
        <w:t>Rooms with a view</w:t>
      </w:r>
      <w:r>
        <w:t>. Ann Arbor: University of Michig</w:t>
      </w:r>
      <w:r>
        <w:t>an Press.</w:t>
      </w:r>
    </w:p>
    <w:sectPr w:rsidR="00E63BA4">
      <w:pgSz w:w="11909" w:h="16834"/>
      <w:pgMar w:top="144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C27D76"/>
    <w:multiLevelType w:val="multilevel"/>
    <w:tmpl w:val="F3CC7B7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3BA4"/>
    <w:rsid w:val="00B95F66"/>
    <w:rsid w:val="00D325D9"/>
    <w:rsid w:val="00E63B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82C06F"/>
  <w15:docId w15:val="{273C05FC-F6EF-44C0-B08A-98C20781BE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color w:val="000000"/>
        <w:sz w:val="22"/>
        <w:szCs w:val="22"/>
        <w:lang w:eastAsia="en-GB" w:bidi="ar-SA"/>
      </w:rPr>
    </w:rPrDefault>
    <w:pPrDefault>
      <w:pPr>
        <w:pBdr>
          <w:top w:val="nil"/>
          <w:left w:val="nil"/>
          <w:bottom w:val="nil"/>
          <w:right w:val="nil"/>
          <w:between w:val="nil"/>
        </w:pBd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824</Words>
  <Characters>4702</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derryn edwards</dc:creator>
  <cp:lastModifiedBy>Derryn Edwards (1501052)</cp:lastModifiedBy>
  <cp:revision>3</cp:revision>
  <dcterms:created xsi:type="dcterms:W3CDTF">2017-10-27T11:27:00Z</dcterms:created>
  <dcterms:modified xsi:type="dcterms:W3CDTF">2017-10-27T11:28:00Z</dcterms:modified>
</cp:coreProperties>
</file>