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ubtitle"/>
        <w:spacing w:line="360" w:lineRule="auto"/>
        <w:rPr>
          <w:rFonts w:ascii="Arial" w:cs="Arial" w:hAnsi="Arial" w:eastAsia="Arial"/>
        </w:rPr>
      </w:pPr>
    </w:p>
    <w:p>
      <w:pPr>
        <w:pStyle w:val="Subtitle"/>
        <w:spacing w:line="360" w:lineRule="auto"/>
        <w:rPr>
          <w:rFonts w:ascii="Arial" w:cs="Arial" w:hAnsi="Arial" w:eastAsia="Arial"/>
        </w:rPr>
      </w:pPr>
      <w:r>
        <w:rPr>
          <w:rFonts w:ascii="Arial" w:hAnsi="Arial"/>
          <w:rtl w:val="0"/>
          <w:lang w:val="en-US"/>
        </w:rPr>
        <w:t xml:space="preserve">Introduction </w:t>
      </w:r>
    </w:p>
    <w:p>
      <w:pPr>
        <w:pStyle w:val="Body"/>
        <w:spacing w:line="360" w:lineRule="auto"/>
        <w:rPr>
          <w:rFonts w:ascii="Arial" w:cs="Arial" w:hAnsi="Arial" w:eastAsia="Arial"/>
          <w:outline w:val="0"/>
          <w:color w:val="5a90af"/>
          <w14:textFill>
            <w14:solidFill>
              <w14:srgbClr w14:val="5A90AF"/>
            </w14:solidFill>
          </w14:textFill>
        </w:rPr>
      </w:pPr>
    </w:p>
    <w:p>
      <w:pPr>
        <w:pStyle w:val="Body"/>
        <w:spacing w:line="360" w:lineRule="auto"/>
        <w:rPr>
          <w:rFonts w:ascii="Arial" w:cs="Arial" w:hAnsi="Arial" w:eastAsia="Arial"/>
        </w:rPr>
      </w:pPr>
      <w:r>
        <w:rPr>
          <w:rFonts w:ascii="Arial" w:hAnsi="Arial"/>
          <w:rtl w:val="0"/>
          <w:lang w:val="en-US"/>
        </w:rPr>
        <w:t>Cardiff and Vale</w:t>
      </w:r>
      <w:r>
        <w:rPr>
          <w:rFonts w:ascii="Arial" w:hAnsi="Arial" w:hint="default"/>
          <w:rtl w:val="0"/>
          <w:lang w:val="en-US"/>
        </w:rPr>
        <w:t>’</w:t>
      </w:r>
      <w:r>
        <w:rPr>
          <w:rFonts w:ascii="Arial" w:hAnsi="Arial"/>
          <w:rtl w:val="0"/>
          <w:lang w:val="en-US"/>
        </w:rPr>
        <w:t>s Physiotherapy outpatients is a primary care service which involves the assessment and treatment of patients with musculoskeletal conditions (Burges et al 2021). Patients enter the service either via referral from another clinician or, via self referral, and will be assessed and treated most commonly with face to face appointments, but occasionally virtually using Video or telephone call.</w:t>
      </w:r>
    </w:p>
    <w:p>
      <w:pPr>
        <w:pStyle w:val="Body"/>
        <w:spacing w:line="360" w:lineRule="auto"/>
        <w:rPr>
          <w:rFonts w:ascii="Arial" w:cs="Arial" w:hAnsi="Arial" w:eastAsia="Arial"/>
        </w:rPr>
      </w:pPr>
      <w:r>
        <w:rPr>
          <w:rFonts w:ascii="Arial" w:hAnsi="Arial"/>
          <w:rtl w:val="0"/>
          <w:lang w:val="en-US"/>
        </w:rPr>
        <w:t xml:space="preserve">An important step in the patients journey is triage. This is a time consuming process that ensures the patient is sent to the correct service (Wilmore et al 2021). This process involves reading through electronic and paper referrals that have been received from other healthcare professionals, and then having a conversation with the patient to collect a brief history and gain a greater understanding of whether they are appropriate of the MSK physiotherapy service. This is a skilled tasks that requires specific questions to be cleared to ensure that there is no need for escalation of certain conditions, but is also able to recognise if the individual is appropriate for the service (Wilmore et al 2021). Within the Cardiff Royal Infirmary (CRI) Physiotherapy Outpatient department each senior clinician spends a minimum of 4 hours of their working week triaging referrals. When shared between all senior members of staff in the department amounts to 68 hours per week. When working out the financial cost of this the minimum salary of  those clinicians is 330000, which means the department is spending </w:t>
      </w:r>
      <w:r>
        <w:rPr>
          <w:rFonts w:ascii="Arial" w:hAnsi="Arial" w:hint="default"/>
          <w:rtl w:val="0"/>
          <w:lang w:val="en-US"/>
        </w:rPr>
        <w:t>£</w:t>
      </w:r>
      <w:r>
        <w:rPr>
          <w:rFonts w:ascii="Arial" w:hAnsi="Arial"/>
          <w:rtl w:val="0"/>
          <w:lang w:val="en-US"/>
        </w:rPr>
        <w:t>1079 per week on triage alone. To make matters worse, 68 hours worth of clinical time is being lost which could be having a more positive effective on the waiting list. Not to mention the added administration time spent organising the referrals and appointment bookings on top of that.</w:t>
      </w:r>
    </w:p>
    <w:p>
      <w:pPr>
        <w:pStyle w:val="Body"/>
        <w:spacing w:line="360" w:lineRule="auto"/>
        <w:rPr>
          <w:rFonts w:ascii="Arial" w:cs="Arial" w:hAnsi="Arial" w:eastAsia="Arial"/>
        </w:rPr>
      </w:pPr>
      <w:r>
        <w:rPr>
          <w:rFonts w:ascii="Arial" w:hAnsi="Arial"/>
          <w:rtl w:val="0"/>
          <w:lang w:val="en-US"/>
        </w:rPr>
        <w:t>The process of referral is an important one however, high percentages of referrals are deemed inappropriate for the Physiotherapy service and get referred onto another service where the same process is often duplicated. So far this patients journey has been one of multiple repetitive assessments just to decipher their correct location, all the time their condition has the potential to get worse and enter a chronic state, or they start to lose faith in the system which is supposedly supporting them (Sorondo et al 2021). Often patients will be signposted towards community services, secondary care, or even given advised to self manage with advice. Effective triaging of patients is essential in protecting waiting lists, and inline with Prudent Health Care and prioritisation (Withers et al 2021).</w:t>
      </w:r>
    </w:p>
    <w:p>
      <w:pPr>
        <w:pStyle w:val="Body"/>
        <w:spacing w:line="360" w:lineRule="auto"/>
        <w:rPr>
          <w:rFonts w:ascii="Arial" w:cs="Arial" w:hAnsi="Arial" w:eastAsia="Arial"/>
        </w:rPr>
      </w:pPr>
      <w:r>
        <w:rPr>
          <w:rFonts w:ascii="Arial" w:hAnsi="Arial"/>
          <w:rtl w:val="0"/>
          <w:lang w:val="en-US"/>
        </w:rPr>
        <w:t xml:space="preserve"> 1. </w:t>
      </w:r>
      <w:r>
        <w:rPr>
          <w:rFonts w:ascii="Arial" w:hAnsi="Arial" w:hint="default"/>
          <w:rtl w:val="0"/>
          <w:lang w:val="en-US"/>
        </w:rPr>
        <w:t>“</w:t>
      </w:r>
      <w:r>
        <w:rPr>
          <w:rFonts w:ascii="Arial" w:hAnsi="Arial"/>
          <w:rtl w:val="0"/>
          <w:lang w:val="en-US"/>
        </w:rPr>
        <w:t>Care for those with the greatest need first</w:t>
      </w:r>
      <w:r>
        <w:rPr>
          <w:rFonts w:ascii="Arial" w:hAnsi="Arial" w:hint="default"/>
          <w:rtl w:val="0"/>
          <w:lang w:val="en-US"/>
        </w:rPr>
        <w:t xml:space="preserve">” </w:t>
      </w:r>
      <w:r>
        <w:rPr>
          <w:rFonts w:ascii="Arial" w:hAnsi="Arial"/>
          <w:rtl w:val="0"/>
          <w:lang w:val="en-US"/>
        </w:rPr>
        <w:t>- effective triaging allows for appropriate prioritisation of patients who may need to be directed to emergency care, urgent or routine. Ideally an individual would benefit from some basic advice or even general exercise to allow them to start  the rehabilitation whilst they join a waiting list. Although this prioritisation is currently happening, the waiting lists are growing, as are the numbers of referrals sitting waiting to be triaged. With in the physiotherapy service there can be between 600-800 referrals waiting to be dealt with. The worrying part is that some of these will be requiring urgent treatment. Although referrals sent through as urgent are prioritised first, there will be some referrals that have not be prioritised correctly, or have been self referred in, this is where having such long waiting lists becomes clinically risky.</w:t>
      </w:r>
    </w:p>
    <w:p>
      <w:pPr>
        <w:pStyle w:val="Body"/>
        <w:spacing w:line="360" w:lineRule="auto"/>
        <w:rPr>
          <w:rFonts w:ascii="Arial" w:cs="Arial" w:hAnsi="Arial" w:eastAsia="Arial"/>
        </w:rPr>
      </w:pPr>
      <w:r>
        <w:rPr>
          <w:rFonts w:ascii="Arial" w:hAnsi="Arial"/>
          <w:rtl w:val="0"/>
          <w:lang w:val="en-US"/>
        </w:rPr>
        <w:t xml:space="preserve"> 2. Do only what is needed and do no harm</w:t>
      </w:r>
      <w:r>
        <w:rPr>
          <w:rFonts w:ascii="Arial" w:hAnsi="Arial" w:hint="default"/>
          <w:rtl w:val="0"/>
          <w:lang w:val="en-US"/>
        </w:rPr>
        <w:t xml:space="preserve">” </w:t>
      </w:r>
      <w:r>
        <w:rPr>
          <w:rFonts w:ascii="Arial" w:hAnsi="Arial"/>
          <w:rtl w:val="0"/>
          <w:lang w:val="en-US"/>
        </w:rPr>
        <w:t>The evidence shows that many chronic pain conditions are best treated in the community (Farr et al 2021).</w:t>
      </w:r>
      <w:r>
        <w:rPr>
          <w:rFonts w:ascii="Arial" w:hAnsi="Arial"/>
          <w:outline w:val="0"/>
          <w:color w:val="ff94ca"/>
          <w:rtl w:val="0"/>
          <w:lang w:val="en-US"/>
          <w14:textFill>
            <w14:solidFill>
              <w14:srgbClr w14:val="FF95CA"/>
            </w14:solidFill>
          </w14:textFill>
        </w:rPr>
        <w:t xml:space="preserve"> </w:t>
      </w:r>
      <w:r>
        <w:rPr>
          <w:rFonts w:ascii="Arial" w:hAnsi="Arial"/>
          <w:rtl w:val="0"/>
          <w:lang w:val="en-US"/>
        </w:rPr>
        <w:t>Cardiff and Vale Health University Health Board (CAVUHB) have invested in services such as Back in Action, and OAK (Osteoarthritic Knee Group) amongst others. Often the individuals that are appropriate for these services are being seen in Orthopaedics, and Physiotherapy Outpatients prior to being sent to the appropriate service where they are likely to need less resources and be able to take a group rehabilitation based approach. Currently the referral into these services tends to be a lengthy one that would be made more efficient if at the point of triage patients were sent directly into the correct service. This increases the chances of patients becoming chronic, with beliefs of needing higher levels of intervention and sometimes going down that route, leaving them with a high risk of poor outcomes, when actually conservative management is probably the best approach.</w:t>
      </w:r>
    </w:p>
    <w:p>
      <w:pPr>
        <w:pStyle w:val="Body"/>
        <w:spacing w:line="360" w:lineRule="auto"/>
        <w:rPr>
          <w:rFonts w:ascii="Arial" w:cs="Arial" w:hAnsi="Arial" w:eastAsia="Arial"/>
          <w:outline w:val="0"/>
          <w:color w:val="ff94ca"/>
          <w14:textFill>
            <w14:solidFill>
              <w14:srgbClr w14:val="FF95CA"/>
            </w14:solidFill>
          </w14:textFill>
        </w:rPr>
      </w:pPr>
      <w:r>
        <w:rPr>
          <w:rFonts w:ascii="Arial" w:hAnsi="Arial"/>
          <w:rtl w:val="0"/>
          <w:lang w:val="en-US"/>
        </w:rPr>
        <w:t xml:space="preserve">Finally 3. </w:t>
      </w:r>
      <w:r>
        <w:rPr>
          <w:rFonts w:ascii="Arial" w:hAnsi="Arial" w:hint="default"/>
          <w:rtl w:val="0"/>
          <w:lang w:val="en-US"/>
        </w:rPr>
        <w:t>“</w:t>
      </w:r>
      <w:r>
        <w:rPr>
          <w:rFonts w:ascii="Arial" w:hAnsi="Arial"/>
          <w:rtl w:val="0"/>
          <w:lang w:val="en-US"/>
        </w:rPr>
        <w:t>Reduce inappropriate variation through evidence-based approaches</w:t>
      </w:r>
      <w:r>
        <w:rPr>
          <w:rFonts w:ascii="Arial" w:hAnsi="Arial" w:hint="default"/>
          <w:rtl w:val="0"/>
          <w:lang w:val="en-US"/>
        </w:rPr>
        <w:t xml:space="preserve">” </w:t>
      </w:r>
      <w:r>
        <w:rPr>
          <w:rFonts w:ascii="Arial" w:hAnsi="Arial"/>
          <w:rtl w:val="0"/>
          <w:lang w:val="en-US"/>
        </w:rPr>
        <w:t>(GOV Wales 2019).</w:t>
      </w:r>
      <w:r>
        <w:rPr>
          <w:rFonts w:ascii="Arial" w:hAnsi="Arial"/>
          <w:outline w:val="0"/>
          <w:color w:val="ff94ca"/>
          <w:rtl w:val="0"/>
          <w:lang w:val="en-US"/>
          <w14:textFill>
            <w14:solidFill>
              <w14:srgbClr w14:val="FF95CA"/>
            </w14:solidFill>
          </w14:textFill>
        </w:rPr>
        <w:t xml:space="preserve"> </w:t>
      </w:r>
      <w:r>
        <w:rPr>
          <w:rFonts w:ascii="Arial" w:hAnsi="Arial"/>
          <w:rtl w:val="0"/>
          <w:lang w:val="en-US"/>
        </w:rPr>
        <w:t>Currently due to the differences in clinical approaches, there is a variation in outcomes depending on which clinician is completing the triage. Decisions will vary depending on how that clinician is feeling, what previous experiences they have, and their ability to comprehend the referral. This variation is reduced slightly by a selection of inclusion and exclusion criteria, but individual awareness of other resources available within the health board is not currently uniform. Although an evidence based approach is taken, there will be variation between individual cases therefore discrepancy in patient journeys.</w:t>
      </w:r>
    </w:p>
    <w:p>
      <w:pPr>
        <w:pStyle w:val="Body"/>
        <w:spacing w:line="360" w:lineRule="auto"/>
        <w:rPr>
          <w:rFonts w:ascii="Arial" w:cs="Arial" w:hAnsi="Arial" w:eastAsia="Arial"/>
        </w:rPr>
      </w:pPr>
      <w:r>
        <w:rPr>
          <w:rFonts w:ascii="Arial" w:hAnsi="Arial"/>
          <w:rtl w:val="0"/>
          <w:lang w:val="en-US"/>
        </w:rPr>
        <w:t xml:space="preserve">Triaging holds benefits for the service by reducing waiting lists, saving resources and space, and ensuring that both routine and urgent waiting lists are timely. It also has benefits or the clinician, ensuring that they are treating appropriate patients within their skillset, freeing up time for administration and clinical and professional developments; and also the patient, ensuring reducing unnecessary steps in their health journey, and hopefully treating conditions early to prevent chronicity. This process is currently not time or cost efficient and so an alternative digitalised approach could help to streamline the process. </w:t>
      </w:r>
    </w:p>
    <w:p>
      <w:pPr>
        <w:pStyle w:val="Body"/>
        <w:spacing w:line="360" w:lineRule="auto"/>
        <w:rPr>
          <w:rFonts w:ascii="Arial" w:cs="Arial" w:hAnsi="Arial" w:eastAsia="Arial"/>
        </w:rPr>
      </w:pPr>
      <w:r>
        <w:rPr>
          <w:rFonts w:ascii="Arial" w:hAnsi="Arial"/>
          <w:rtl w:val="0"/>
          <w:lang w:val="en-US"/>
        </w:rPr>
        <w:t xml:space="preserve">The National Institute for Health and Care Excellence (NICE, 2021) published a five year strategic plan to provide a roadmap that continues to improve health and well-being. The focus of this is sharing the current evidence base to support health and care decision making. This document was published at the height of the COVID-19 pandemic which has highlighted the need for a new and more streamlined way of working, in many cases using digital approaches to speed up access and reduce bureaucracy. As part of their strategic ambition, NICE identified four core purposes or policies. Of these four strategic Pilar 1 will be focused on as part of a digital solution with a focus on decision making,  delivery and communication. </w:t>
      </w:r>
    </w:p>
    <w:p>
      <w:pPr>
        <w:pStyle w:val="Body"/>
        <w:spacing w:line="360" w:lineRule="auto"/>
        <w:rPr>
          <w:rFonts w:ascii="Arial" w:cs="Arial" w:hAnsi="Arial" w:eastAsia="Arial"/>
        </w:rPr>
      </w:pPr>
      <w:r>
        <w:rPr>
          <w:rFonts w:ascii="Arial" w:hAnsi="Arial" w:hint="default"/>
          <w:rtl w:val="0"/>
          <w:lang w:val="en-US"/>
        </w:rPr>
        <w:t>“</w:t>
      </w:r>
      <w:r>
        <w:rPr>
          <w:rFonts w:ascii="Arial" w:hAnsi="Arial"/>
          <w:rtl w:val="0"/>
          <w:lang w:val="en-US"/>
        </w:rPr>
        <w:t>Strategic Pilar 1: Rapid, Robust and responsive technology evaluation.</w:t>
      </w:r>
      <w:r>
        <w:rPr>
          <w:rFonts w:ascii="Arial" w:hAnsi="Arial" w:hint="default"/>
          <w:rtl w:val="0"/>
          <w:lang w:val="en-US"/>
        </w:rPr>
        <w:t xml:space="preserve">” </w:t>
      </w:r>
      <w:r>
        <w:rPr>
          <w:rFonts w:ascii="Arial" w:hAnsi="Arial"/>
          <w:rtl w:val="0"/>
          <w:lang w:val="en-US"/>
        </w:rPr>
        <w:t xml:space="preserve">From this policy there are two main sub points that are relevant to the service improvement within Cardiff and vale physiotherapy outpatients. </w:t>
      </w:r>
    </w:p>
    <w:p>
      <w:pPr>
        <w:pStyle w:val="Body"/>
        <w:numPr>
          <w:ilvl w:val="0"/>
          <w:numId w:val="2"/>
        </w:numPr>
        <w:spacing w:line="360" w:lineRule="auto"/>
        <w:rPr>
          <w:rFonts w:ascii="Arial" w:hAnsi="Arial"/>
          <w:lang w:val="en-US"/>
        </w:rPr>
      </w:pPr>
      <w:r>
        <w:rPr>
          <w:rFonts w:ascii="Arial" w:hAnsi="Arial"/>
          <w:rtl w:val="0"/>
          <w:lang w:val="en-US"/>
        </w:rPr>
        <w:t>Develop robust and responsive methods and processes for the rapid evaluation of new and emerging products including diagnostics, medtech, digital health</w:t>
      </w:r>
      <w:r>
        <w:rPr>
          <w:rFonts w:ascii="Arial" w:hAnsi="Arial" w:hint="default"/>
          <w:rtl w:val="0"/>
          <w:lang w:val="en-US"/>
        </w:rPr>
        <w:t xml:space="preserve">… </w:t>
      </w:r>
      <w:r>
        <w:rPr>
          <w:rFonts w:ascii="Arial" w:hAnsi="Arial"/>
          <w:rtl w:val="0"/>
          <w:lang w:val="en-US"/>
        </w:rPr>
        <w:t>and hybrid technologies</w:t>
      </w:r>
      <w:r>
        <w:rPr>
          <w:rFonts w:ascii="Arial" w:hAnsi="Arial" w:hint="default"/>
          <w:rtl w:val="0"/>
          <w:lang w:val="en-US"/>
        </w:rPr>
        <w:t>”</w:t>
      </w:r>
    </w:p>
    <w:p>
      <w:pPr>
        <w:pStyle w:val="Body"/>
        <w:numPr>
          <w:ilvl w:val="0"/>
          <w:numId w:val="2"/>
        </w:numPr>
        <w:spacing w:line="360" w:lineRule="auto"/>
        <w:rPr>
          <w:rFonts w:ascii="Arial" w:hAnsi="Arial" w:hint="default"/>
          <w:lang w:val="en-US"/>
        </w:rPr>
      </w:pPr>
      <w:r>
        <w:rPr>
          <w:rFonts w:ascii="Arial" w:hAnsi="Arial" w:hint="default"/>
          <w:rtl w:val="0"/>
          <w:lang w:val="en-US"/>
        </w:rPr>
        <w:t>“</w:t>
      </w:r>
      <w:r>
        <w:rPr>
          <w:rFonts w:ascii="Arial" w:hAnsi="Arial"/>
          <w:rtl w:val="0"/>
          <w:lang w:val="en-US"/>
        </w:rPr>
        <w:t>Speed up the existing evaluation pathways</w:t>
      </w:r>
      <w:r>
        <w:rPr>
          <w:rFonts w:ascii="Arial" w:hAnsi="Arial" w:hint="default"/>
          <w:rtl w:val="0"/>
          <w:lang w:val="en-US"/>
        </w:rPr>
        <w:t>…</w:t>
      </w:r>
      <w:r>
        <w:rPr>
          <w:rFonts w:ascii="Arial" w:hAnsi="Arial"/>
          <w:rtl w:val="0"/>
          <w:lang w:val="en-US"/>
        </w:rPr>
        <w:t>by proactively identifying innovative and cost effective health technologies</w:t>
      </w:r>
      <w:r>
        <w:rPr>
          <w:rFonts w:ascii="Arial" w:hAnsi="Arial" w:hint="default"/>
          <w:rtl w:val="0"/>
          <w:lang w:val="en-US"/>
        </w:rPr>
        <w:t>”</w:t>
      </w:r>
    </w:p>
    <w:p>
      <w:pPr>
        <w:pStyle w:val="Body"/>
        <w:spacing w:line="360" w:lineRule="auto"/>
        <w:rPr>
          <w:rFonts w:ascii="Arial" w:cs="Arial" w:hAnsi="Arial" w:eastAsia="Arial"/>
        </w:rPr>
      </w:pPr>
      <w:r>
        <w:rPr>
          <w:rFonts w:ascii="Arial" w:hAnsi="Arial"/>
          <w:rtl w:val="0"/>
          <w:lang w:val="en-US"/>
        </w:rPr>
        <w:t xml:space="preserve">This is a broad national guideline, and it is important to make service improvements in accordance to local policy. Cardiff and Vale have produced a 2015-2025 year plan titled </w:t>
      </w:r>
      <w:r>
        <w:rPr>
          <w:rFonts w:ascii="Arial" w:hAnsi="Arial" w:hint="default"/>
          <w:rtl w:val="0"/>
          <w:lang w:val="en-US"/>
        </w:rPr>
        <w:t>“</w:t>
      </w:r>
      <w:r>
        <w:rPr>
          <w:rFonts w:ascii="Arial" w:hAnsi="Arial"/>
          <w:rtl w:val="0"/>
          <w:lang w:val="en-US"/>
        </w:rPr>
        <w:t>Shaping Our Future Wellbeing Strategy</w:t>
      </w:r>
      <w:r>
        <w:rPr>
          <w:rFonts w:ascii="Arial" w:hAnsi="Arial" w:hint="default"/>
          <w:rtl w:val="0"/>
          <w:lang w:val="en-US"/>
        </w:rPr>
        <w:t xml:space="preserve">” </w:t>
      </w:r>
      <w:r>
        <w:rPr>
          <w:rFonts w:ascii="Arial" w:hAnsi="Arial"/>
          <w:rtl w:val="0"/>
          <w:lang w:val="en-US"/>
        </w:rPr>
        <w:t>(CAVUHB 2015) here the Health board aims to tackle the ever growing demands of the pressures put upon resources. Here they have outline several key objectives, two of which will be focussed on:</w:t>
      </w:r>
    </w:p>
    <w:p>
      <w:pPr>
        <w:pStyle w:val="Body"/>
        <w:numPr>
          <w:ilvl w:val="0"/>
          <w:numId w:val="3"/>
        </w:numPr>
        <w:spacing w:line="360" w:lineRule="auto"/>
        <w:rPr>
          <w:rFonts w:ascii="Arial" w:hAnsi="Arial" w:hint="default"/>
          <w:lang w:val="en-US"/>
        </w:rPr>
      </w:pPr>
      <w:r>
        <w:rPr>
          <w:rFonts w:ascii="Arial" w:hAnsi="Arial" w:hint="default"/>
          <w:rtl w:val="0"/>
          <w:lang w:val="en-US"/>
        </w:rPr>
        <w:t>“</w:t>
      </w:r>
      <w:r>
        <w:rPr>
          <w:rFonts w:ascii="Arial" w:hAnsi="Arial"/>
          <w:rtl w:val="0"/>
          <w:lang w:val="en-US"/>
        </w:rPr>
        <w:t>Creating Sustainable and Managing Our Resources.</w:t>
      </w:r>
      <w:r>
        <w:rPr>
          <w:rFonts w:ascii="Arial" w:hAnsi="Arial" w:hint="default"/>
          <w:rtl w:val="0"/>
          <w:lang w:val="en-US"/>
        </w:rPr>
        <w:t xml:space="preserve">” </w:t>
      </w:r>
      <w:r>
        <w:rPr>
          <w:rFonts w:ascii="Arial" w:hAnsi="Arial"/>
          <w:rtl w:val="0"/>
          <w:lang w:val="en-US"/>
        </w:rPr>
        <w:t>This is directly appropriate to the Physiotherapy service as waiting lists grow increasing the waiting time for both urgent and non urgent appointments. It also means that patients are more likely to be discharged with advice on self managing due to increased clinician demand, this lack of support to the individual can cause them to not complete their rehabilitation, or resolving their issue and therefore result in them re-entering the service often on multiple occasions</w:t>
      </w:r>
      <w:r>
        <w:rPr>
          <w:rFonts w:ascii="Arial" w:hAnsi="Arial"/>
          <w:rtl w:val="0"/>
        </w:rPr>
        <w:t xml:space="preserve"> (CAVUHB 2015)</w:t>
      </w:r>
      <w:r>
        <w:rPr>
          <w:rFonts w:ascii="Arial" w:hAnsi="Arial"/>
          <w:rtl w:val="0"/>
          <w:lang w:val="en-US"/>
        </w:rPr>
        <w:t>.</w:t>
      </w:r>
    </w:p>
    <w:p>
      <w:pPr>
        <w:pStyle w:val="Body"/>
        <w:numPr>
          <w:ilvl w:val="0"/>
          <w:numId w:val="2"/>
        </w:numPr>
        <w:spacing w:line="360" w:lineRule="auto"/>
        <w:rPr>
          <w:rFonts w:ascii="Arial" w:hAnsi="Arial" w:hint="default"/>
          <w:lang w:val="en-US"/>
        </w:rPr>
      </w:pPr>
      <w:r>
        <w:rPr>
          <w:rFonts w:ascii="Arial" w:hAnsi="Arial" w:hint="default"/>
          <w:rtl w:val="0"/>
          <w:lang w:val="en-US"/>
        </w:rPr>
        <w:t>“</w:t>
      </w:r>
      <w:r>
        <w:rPr>
          <w:rFonts w:ascii="Arial" w:hAnsi="Arial"/>
          <w:rtl w:val="0"/>
          <w:lang w:val="en-US"/>
        </w:rPr>
        <w:t>Keeping Pace with Technology and Changes in Clinical Practice.</w:t>
      </w:r>
      <w:r>
        <w:rPr>
          <w:rFonts w:ascii="Arial" w:hAnsi="Arial" w:hint="default"/>
          <w:rtl w:val="0"/>
          <w:lang w:val="en-US"/>
        </w:rPr>
        <w:t xml:space="preserve">” </w:t>
      </w:r>
      <w:r>
        <w:rPr>
          <w:rFonts w:ascii="Arial" w:hAnsi="Arial"/>
          <w:rtl w:val="0"/>
          <w:lang w:val="en-US"/>
        </w:rPr>
        <w:t>By using technologies that already exist, and applying them into our own services, it allows for digitalisation and automation of time consuming tasks which are currently being carried out by staff.</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Subtitle"/>
        <w:spacing w:line="360" w:lineRule="auto"/>
        <w:rPr>
          <w:rFonts w:ascii="Arial" w:cs="Arial" w:hAnsi="Arial" w:eastAsia="Arial"/>
        </w:rPr>
      </w:pPr>
      <w:r>
        <w:rPr>
          <w:rFonts w:ascii="Arial" w:hAnsi="Arial"/>
          <w:rtl w:val="0"/>
          <w:lang w:val="en-US"/>
        </w:rPr>
        <w:t>Methods</w:t>
      </w:r>
    </w:p>
    <w:p>
      <w:pPr>
        <w:pStyle w:val="Body"/>
        <w:spacing w:line="360" w:lineRule="auto"/>
        <w:rPr>
          <w:rFonts w:ascii="Arial" w:cs="Arial" w:hAnsi="Arial" w:eastAsia="Arial"/>
        </w:rPr>
      </w:pPr>
      <w:r>
        <w:rPr>
          <w:rFonts w:ascii="Arial" w:hAnsi="Arial"/>
          <w:rtl w:val="0"/>
          <w:lang w:val="en-US"/>
        </w:rPr>
        <w:t>As a clinician working within the service it was a lived experience that allowed for the analysis for service improvements. It was becoming evident that the referrals were increasing, but the triage process is not keeping up with the demand. This means that clinicians were being asked to increased the times spent triaging which would regularly eat into clinical administration time, and sometimes appointment times. It was also having a direct impact on patients waiting list. It is clear that this was not sustainable or managing resources well, and that there could be a technological solution to streamline this service.</w:t>
      </w:r>
    </w:p>
    <w:p>
      <w:pPr>
        <w:pStyle w:val="Body"/>
        <w:spacing w:line="360" w:lineRule="auto"/>
        <w:rPr>
          <w:rFonts w:ascii="Arial" w:cs="Arial" w:hAnsi="Arial" w:eastAsia="Arial"/>
        </w:rPr>
      </w:pPr>
      <w:r>
        <w:rPr>
          <w:rFonts w:ascii="Arial" w:cs="Arial" w:hAnsi="Arial" w:eastAsia="Arial"/>
          <w:rtl w:val="0"/>
          <w:lang w:val="en-US"/>
        </w:rPr>
        <w:tab/>
        <w:t>To understand what the current performance of the Cardiff and Vales Physiotherapy department is, and to help identify the short comings that could be improved on to streamline the service a GAP analysis was carried out (Forbes et al 2016).</w:t>
      </w:r>
      <w:r>
        <w:rPr>
          <w:rFonts w:ascii="Arial" w:hAnsi="Arial"/>
          <w:outline w:val="0"/>
          <w:color w:val="ff94ca"/>
          <w:rtl w:val="0"/>
          <w:lang w:val="en-US"/>
          <w14:textFill>
            <w14:solidFill>
              <w14:srgbClr w14:val="FF95CA"/>
            </w14:solidFill>
          </w14:textFill>
        </w:rPr>
        <w:t xml:space="preserve"> </w:t>
      </w:r>
      <w:r>
        <w:rPr>
          <w:rFonts w:ascii="Arial" w:hAnsi="Arial"/>
          <w:rtl w:val="0"/>
          <w:lang w:val="en-US"/>
        </w:rPr>
        <w:t>Four steps were taken to clarify specific action items to directly improve outcomes.</w:t>
      </w:r>
    </w:p>
    <w:p>
      <w:pPr>
        <w:pStyle w:val="Body"/>
        <w:numPr>
          <w:ilvl w:val="0"/>
          <w:numId w:val="4"/>
        </w:numPr>
        <w:spacing w:line="360" w:lineRule="auto"/>
        <w:rPr>
          <w:rFonts w:ascii="Arial" w:hAnsi="Arial"/>
          <w:lang w:val="en-US"/>
        </w:rPr>
      </w:pPr>
      <w:r>
        <w:rPr>
          <w:rFonts w:ascii="Arial" w:hAnsi="Arial"/>
          <w:rtl w:val="0"/>
          <w:lang w:val="en-US"/>
        </w:rPr>
        <w:t>Identify the current situation</w:t>
      </w:r>
    </w:p>
    <w:p>
      <w:pPr>
        <w:pStyle w:val="Body"/>
        <w:spacing w:line="360" w:lineRule="auto"/>
        <w:rPr>
          <w:rFonts w:ascii="Arial" w:cs="Arial" w:hAnsi="Arial" w:eastAsia="Arial"/>
        </w:rPr>
      </w:pPr>
      <w:r>
        <w:rPr>
          <w:rFonts w:ascii="Arial" w:cs="Arial" w:hAnsi="Arial" w:eastAsia="Arial"/>
          <w:rtl w:val="0"/>
          <w:lang w:val="en-US"/>
        </w:rPr>
        <w:tab/>
        <w:t>The current situation is the issue of growing referral rates, and an inability for clinicians to keep up with them. Although there has been digitalisation of referrals which is beneficial in the reduction of paper use, postal cost, and storage space required, the process of triaging referrals I still a manual task that requires over large periods of clinician time on a daily basis; is variable in outcome depending on individual experience which can change patient journeys significantly; and often results in duplication of work as inappropriate referrals get sent from one service to another. The service is also only able to offer sporadic self referral routes as the influx of patients trying to access the service is above the capacity of the department. This then places other pressures onto other departments, especially general practice, as patients require a referral into the service. It is therefore important for the main stakeholders 1. The department as a whole 2. The patient and 3. The clinician and 4. General practice. When reading through the literature there appears to be a trend moving towards using artificial intelligence to take on part of the triaging process Transitioning into this approach would theoretically be cheaper for the department, increase clinicians time to see patients, reduce variability between patients journeys and ensure that the patient gets seen by the right person at the right time, therefore increasing efficiency of services and reducing waste.</w:t>
      </w:r>
    </w:p>
    <w:p>
      <w:pPr>
        <w:pStyle w:val="Body"/>
        <w:spacing w:line="360" w:lineRule="auto"/>
        <w:rPr>
          <w:rFonts w:ascii="Arial" w:cs="Arial" w:hAnsi="Arial" w:eastAsia="Arial"/>
        </w:rPr>
      </w:pPr>
      <w:r>
        <w:rPr>
          <w:rFonts w:ascii="Arial" w:hAnsi="Arial"/>
          <w:rtl w:val="0"/>
          <w:lang w:val="en-US"/>
        </w:rPr>
        <w:t>2. Set S.M.A.R.T (Specific, Measurable, Achievable, Relevant, Time-bound) Goals (Araola-Beristain et al 2022). These have been identified and outline below</w:t>
      </w:r>
    </w:p>
    <w:p>
      <w:pPr>
        <w:pStyle w:val="Body"/>
        <w:spacing w:line="360" w:lineRule="auto"/>
        <w:rPr>
          <w:rFonts w:ascii="Arial" w:cs="Arial" w:hAnsi="Arial" w:eastAsia="Arial"/>
        </w:rPr>
      </w:pPr>
      <w:r>
        <w:rPr>
          <w:rFonts w:ascii="Arial" w:hAnsi="Arial"/>
          <w:rtl w:val="0"/>
          <w:lang w:val="en-US"/>
        </w:rPr>
        <w:t>S: Reduce variation of referral destination, reduce time and money spent on clinicians carrying out referral, provide an automated self management plan for those who do not need physiotherapy input, reduce waiting list times by preventing inappropriate referrals or one off appointments being put onto the waiting list.</w:t>
      </w:r>
    </w:p>
    <w:p>
      <w:pPr>
        <w:pStyle w:val="Body"/>
        <w:spacing w:line="360" w:lineRule="auto"/>
        <w:rPr>
          <w:rFonts w:ascii="Arial" w:cs="Arial" w:hAnsi="Arial" w:eastAsia="Arial"/>
        </w:rPr>
      </w:pPr>
      <w:r>
        <w:rPr>
          <w:rFonts w:ascii="Arial" w:hAnsi="Arial"/>
          <w:rtl w:val="0"/>
          <w:lang w:val="en-US"/>
        </w:rPr>
        <w:t>M: Reduce cost of triage by 20%, completely stop clinicians spending time on self referral. Reduce waiting lists by 30%. Offload GP caseload by 30%.</w:t>
      </w:r>
    </w:p>
    <w:p>
      <w:pPr>
        <w:pStyle w:val="Body"/>
        <w:spacing w:line="360" w:lineRule="auto"/>
        <w:rPr>
          <w:rFonts w:ascii="Arial" w:cs="Arial" w:hAnsi="Arial" w:eastAsia="Arial"/>
        </w:rPr>
      </w:pPr>
      <w:r>
        <w:rPr>
          <w:rFonts w:ascii="Arial" w:hAnsi="Arial"/>
          <w:rtl w:val="0"/>
          <w:lang w:val="en-US"/>
        </w:rPr>
        <w:t>A: These will be achievable as outlined by previous clinics. There is no need for duplication of work or re-invention, the focus should be on the implementation of a different type of service, and management of patient expectations, and uptake of new technology.</w:t>
      </w:r>
    </w:p>
    <w:p>
      <w:pPr>
        <w:pStyle w:val="Body"/>
        <w:spacing w:line="360" w:lineRule="auto"/>
        <w:rPr>
          <w:rFonts w:ascii="Arial" w:cs="Arial" w:hAnsi="Arial" w:eastAsia="Arial"/>
        </w:rPr>
      </w:pPr>
      <w:r>
        <w:rPr>
          <w:rFonts w:ascii="Arial" w:hAnsi="Arial"/>
          <w:rtl w:val="0"/>
          <w:lang w:val="en-US"/>
        </w:rPr>
        <w:t>R: This directly links to NICE guidelines of using up to date technology to assist with diagnostics and increase efficiency by using up to date systems. It also fits in with the Cardiff and Vale objective of Keeping pace with technology and changes in clinical practice.</w:t>
      </w:r>
    </w:p>
    <w:p>
      <w:pPr>
        <w:pStyle w:val="Body"/>
        <w:spacing w:line="360" w:lineRule="auto"/>
        <w:rPr>
          <w:rFonts w:ascii="Arial" w:cs="Arial" w:hAnsi="Arial" w:eastAsia="Arial"/>
        </w:rPr>
      </w:pPr>
      <w:r>
        <w:rPr>
          <w:rFonts w:ascii="Arial" w:hAnsi="Arial"/>
          <w:rtl w:val="0"/>
          <w:lang w:val="en-US"/>
        </w:rPr>
        <w:t>T: This would be a relatively instant transition, however it would be appropriate to PILOT this new approach, to allow for appraisal before a final role out.</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Analyse gaps from where you are to where you will be:</w:t>
      </w:r>
    </w:p>
    <w:p>
      <w:pPr>
        <w:pStyle w:val="Body"/>
        <w:spacing w:line="360" w:lineRule="auto"/>
        <w:rPr>
          <w:rFonts w:ascii="Arial" w:cs="Arial" w:hAnsi="Arial" w:eastAsia="Arial"/>
        </w:rPr>
      </w:pPr>
      <w:r>
        <w:rPr>
          <w:rFonts w:ascii="Arial" w:hAnsi="Arial"/>
          <w:rtl w:val="0"/>
          <w:lang w:val="en-US"/>
        </w:rPr>
        <w:t xml:space="preserve">Currently all triage is complete by the clinicians within the department. The clinicians are unable to keep up with the demand and there is a growing referral list and also waiting list for the Physiotherapy outpatients department. There is also sporadic self referral clinics which more often than not, are made inaccessible due to a reduce capacity to manage it. This in turns puts more pressure onto the departments referrers. </w:t>
      </w:r>
    </w:p>
    <w:p>
      <w:pPr>
        <w:pStyle w:val="Body"/>
        <w:spacing w:line="360" w:lineRule="auto"/>
        <w:rPr>
          <w:rFonts w:ascii="Arial" w:cs="Arial" w:hAnsi="Arial" w:eastAsia="Arial"/>
        </w:rPr>
      </w:pPr>
      <w:r>
        <w:rPr>
          <w:rFonts w:ascii="Arial" w:hAnsi="Arial"/>
          <w:rtl w:val="0"/>
          <w:lang w:val="en-US"/>
        </w:rPr>
        <w:t>The aim is to have Artificial intelligence to take over from the self referral process in the short term, and in the longer term all of the triaging to be carried out by AI.</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Establish a plan:</w:t>
      </w:r>
    </w:p>
    <w:p>
      <w:pPr>
        <w:pStyle w:val="Body"/>
        <w:spacing w:line="360" w:lineRule="auto"/>
        <w:rPr>
          <w:rFonts w:ascii="Arial" w:cs="Arial" w:hAnsi="Arial" w:eastAsia="Arial"/>
        </w:rPr>
      </w:pPr>
      <w:r>
        <w:rPr>
          <w:rFonts w:ascii="Arial" w:hAnsi="Arial"/>
          <w:rtl w:val="0"/>
          <w:lang w:val="en-US"/>
        </w:rPr>
        <w:t>An already existing virtual MSK AI service will be identified and commissioned. A pilot will then be carried out over 3 months for self referrals only. Local referrers will be made aware, and appraisal of the PILOT will begin. Following this PILOT there will be a review of the service and changes advised and an iterative approach with monthly appraisals will continue. This process will be carried out for 1 year, and if successful, the same process will occur for the whole of Physiotherapy triage.</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As part of establishing this plan, non functional and function requirements of the service, this enables the identification of features and capabilities. This is important because it helps to identify exactly what the stakeholder need is and splits each of those requirements into a) functional requirements, this is the function of a system, service or component. It looks to the inputs, behaviours and outputs, and specifically informs what the system should do (Leffingwell 2021)</w:t>
      </w:r>
    </w:p>
    <w:p>
      <w:pPr>
        <w:pStyle w:val="Body"/>
        <w:spacing w:line="360" w:lineRule="auto"/>
        <w:rPr>
          <w:rFonts w:ascii="Arial" w:cs="Arial" w:hAnsi="Arial" w:eastAsia="Arial"/>
        </w:rPr>
      </w:pPr>
      <w:r>
        <w:rPr>
          <w:rFonts w:ascii="Arial" w:hAnsi="Arial"/>
          <w:rtl w:val="0"/>
          <w:lang w:val="en-US"/>
        </w:rPr>
        <w:t>Using artificial intelligence for self referral triage must:</w:t>
      </w:r>
    </w:p>
    <w:p>
      <w:pPr>
        <w:pStyle w:val="Body"/>
        <w:numPr>
          <w:ilvl w:val="0"/>
          <w:numId w:val="5"/>
        </w:numPr>
        <w:spacing w:line="360" w:lineRule="auto"/>
        <w:rPr>
          <w:rFonts w:ascii="Arial" w:hAnsi="Arial"/>
          <w:lang w:val="en-US"/>
        </w:rPr>
      </w:pPr>
      <w:r>
        <w:rPr>
          <w:rFonts w:ascii="Arial" w:hAnsi="Arial"/>
          <w:rtl w:val="0"/>
          <w:lang w:val="en-US"/>
        </w:rPr>
        <w:t>Prioritise triage  to enable continued and onward referral of any urgent or emergency musculoskeletal conditions to secondary care.</w:t>
      </w:r>
    </w:p>
    <w:p>
      <w:pPr>
        <w:pStyle w:val="Body"/>
        <w:numPr>
          <w:ilvl w:val="0"/>
          <w:numId w:val="2"/>
        </w:numPr>
        <w:spacing w:line="360" w:lineRule="auto"/>
        <w:rPr>
          <w:rFonts w:ascii="Arial" w:hAnsi="Arial"/>
          <w:lang w:val="en-US"/>
        </w:rPr>
      </w:pPr>
      <w:r>
        <w:rPr>
          <w:rFonts w:ascii="Arial" w:hAnsi="Arial"/>
          <w:rtl w:val="0"/>
          <w:lang w:val="en-US"/>
        </w:rPr>
        <w:t>Prioritise patients who have had recent orthopaedic surgery, trauma within the last 6 weeks, or those with acute or complex needs</w:t>
      </w:r>
    </w:p>
    <w:p>
      <w:pPr>
        <w:pStyle w:val="Body"/>
        <w:numPr>
          <w:ilvl w:val="0"/>
          <w:numId w:val="2"/>
        </w:numPr>
        <w:spacing w:line="360" w:lineRule="auto"/>
        <w:rPr>
          <w:rFonts w:ascii="Arial" w:hAnsi="Arial"/>
          <w:lang w:val="en-US"/>
        </w:rPr>
      </w:pPr>
      <w:r>
        <w:rPr>
          <w:rFonts w:ascii="Arial" w:hAnsi="Arial"/>
          <w:rtl w:val="0"/>
          <w:lang w:val="en-US"/>
        </w:rPr>
        <w:t>Where appropriate give an option for telephone or virtual appointments to allow for further in depth discussion</w:t>
      </w:r>
    </w:p>
    <w:p>
      <w:pPr>
        <w:pStyle w:val="Body"/>
        <w:numPr>
          <w:ilvl w:val="0"/>
          <w:numId w:val="2"/>
        </w:numPr>
        <w:spacing w:line="360" w:lineRule="auto"/>
        <w:rPr>
          <w:rFonts w:ascii="Arial" w:hAnsi="Arial"/>
          <w:lang w:val="en-US"/>
        </w:rPr>
      </w:pPr>
      <w:r>
        <w:rPr>
          <w:rFonts w:ascii="Arial" w:hAnsi="Arial"/>
          <w:rtl w:val="0"/>
          <w:lang w:val="en-US"/>
        </w:rPr>
        <w:t>Re-direct to telephone assessment if there is a risk of any serious complications, eg cauda equine syndrome which is a medical emergency and will need urgent scanning.</w:t>
      </w:r>
    </w:p>
    <w:p>
      <w:pPr>
        <w:pStyle w:val="Body"/>
        <w:numPr>
          <w:ilvl w:val="0"/>
          <w:numId w:val="2"/>
        </w:numPr>
        <w:spacing w:line="360" w:lineRule="auto"/>
        <w:rPr>
          <w:rFonts w:ascii="Arial" w:hAnsi="Arial"/>
          <w:lang w:val="en-US"/>
        </w:rPr>
      </w:pPr>
      <w:r>
        <w:rPr>
          <w:rFonts w:ascii="Arial" w:hAnsi="Arial"/>
          <w:rtl w:val="0"/>
          <w:lang w:val="en-US"/>
        </w:rPr>
        <w:t>Direct routine appointments to the correct service whether that is core physiotherapy, community based programmes, appropriately selected home based self management programme or other services eg woman pelvic health or hand therapy.</w:t>
      </w:r>
    </w:p>
    <w:p>
      <w:pPr>
        <w:pStyle w:val="Body"/>
        <w:numPr>
          <w:ilvl w:val="0"/>
          <w:numId w:val="2"/>
        </w:numPr>
        <w:spacing w:line="360" w:lineRule="auto"/>
        <w:rPr>
          <w:rFonts w:ascii="Arial" w:hAnsi="Arial"/>
          <w:lang w:val="en-US"/>
        </w:rPr>
      </w:pPr>
      <w:r>
        <w:rPr>
          <w:rFonts w:ascii="Arial" w:hAnsi="Arial"/>
          <w:rtl w:val="0"/>
          <w:lang w:val="en-US"/>
        </w:rPr>
        <w:t>Maintain a clear and accessible record of all patient interactions which can be reviewed at any time.</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Non functional requirements define the attributes of a system and focus around the usability, reliability, performance, maintainability, scalability and security of the software. This is important from both a back end approach (clinician based) and also a front end approach (Patient based). If the non functional requirements are not capable then the service will not be successful.</w:t>
      </w:r>
    </w:p>
    <w:p>
      <w:pPr>
        <w:pStyle w:val="Body"/>
        <w:numPr>
          <w:ilvl w:val="0"/>
          <w:numId w:val="6"/>
        </w:numPr>
        <w:spacing w:line="360" w:lineRule="auto"/>
        <w:rPr>
          <w:rFonts w:ascii="Arial" w:hAnsi="Arial"/>
          <w:lang w:val="en-US"/>
        </w:rPr>
      </w:pPr>
      <w:r>
        <w:rPr>
          <w:rFonts w:ascii="Arial" w:hAnsi="Arial"/>
          <w:rtl w:val="0"/>
          <w:lang w:val="en-US"/>
        </w:rPr>
        <w:t>High functioning user interface and user experience.</w:t>
      </w:r>
    </w:p>
    <w:p>
      <w:pPr>
        <w:pStyle w:val="Body"/>
        <w:numPr>
          <w:ilvl w:val="0"/>
          <w:numId w:val="2"/>
        </w:numPr>
        <w:spacing w:line="360" w:lineRule="auto"/>
        <w:rPr>
          <w:rFonts w:ascii="Arial" w:hAnsi="Arial"/>
          <w:lang w:val="en-US"/>
        </w:rPr>
      </w:pPr>
      <w:r>
        <w:rPr>
          <w:rFonts w:ascii="Arial" w:hAnsi="Arial"/>
          <w:rtl w:val="0"/>
          <w:lang w:val="en-US"/>
        </w:rPr>
        <w:t>Well marketed and accessible to both patients and referrers to raise awareness</w:t>
      </w:r>
    </w:p>
    <w:p>
      <w:pPr>
        <w:pStyle w:val="Body"/>
        <w:numPr>
          <w:ilvl w:val="0"/>
          <w:numId w:val="2"/>
        </w:numPr>
        <w:spacing w:line="360" w:lineRule="auto"/>
        <w:rPr>
          <w:rFonts w:ascii="Arial" w:hAnsi="Arial"/>
          <w:lang w:val="en-US"/>
        </w:rPr>
      </w:pPr>
      <w:r>
        <w:rPr>
          <w:rFonts w:ascii="Arial" w:hAnsi="Arial"/>
          <w:rtl w:val="0"/>
          <w:lang w:val="en-US"/>
        </w:rPr>
        <w:t>Clear in guidance allowing for low literacy and IT skills</w:t>
      </w:r>
    </w:p>
    <w:p>
      <w:pPr>
        <w:pStyle w:val="Body"/>
        <w:numPr>
          <w:ilvl w:val="0"/>
          <w:numId w:val="2"/>
        </w:numPr>
        <w:spacing w:line="360" w:lineRule="auto"/>
        <w:rPr>
          <w:rFonts w:ascii="Arial" w:hAnsi="Arial"/>
          <w:lang w:val="en-US"/>
        </w:rPr>
      </w:pPr>
      <w:r>
        <w:rPr>
          <w:rFonts w:ascii="Arial" w:hAnsi="Arial"/>
          <w:rtl w:val="0"/>
          <w:lang w:val="en-US"/>
        </w:rPr>
        <w:t>Fast responding in urgent outcomes</w:t>
      </w:r>
    </w:p>
    <w:p>
      <w:pPr>
        <w:pStyle w:val="Body"/>
        <w:numPr>
          <w:ilvl w:val="0"/>
          <w:numId w:val="2"/>
        </w:numPr>
        <w:spacing w:line="360" w:lineRule="auto"/>
        <w:rPr>
          <w:rFonts w:ascii="Arial" w:hAnsi="Arial"/>
          <w:lang w:val="en-US"/>
        </w:rPr>
      </w:pPr>
      <w:r>
        <w:rPr>
          <w:rFonts w:ascii="Arial" w:hAnsi="Arial"/>
          <w:rtl w:val="0"/>
          <w:lang w:val="en-US"/>
        </w:rPr>
        <w:t>Well programmed with local services so that they are clear and easily accessible.</w:t>
      </w:r>
    </w:p>
    <w:p>
      <w:pPr>
        <w:pStyle w:val="Body"/>
        <w:numPr>
          <w:ilvl w:val="0"/>
          <w:numId w:val="2"/>
        </w:numPr>
        <w:spacing w:line="360" w:lineRule="auto"/>
        <w:rPr>
          <w:rFonts w:ascii="Arial" w:hAnsi="Arial"/>
          <w:lang w:val="en-US"/>
        </w:rPr>
      </w:pPr>
      <w:r>
        <w:rPr>
          <w:rFonts w:ascii="Arial" w:hAnsi="Arial"/>
          <w:rtl w:val="0"/>
          <w:lang w:val="en-US"/>
        </w:rPr>
        <w:t>Fast and high performing</w:t>
      </w:r>
    </w:p>
    <w:p>
      <w:pPr>
        <w:pStyle w:val="Body"/>
        <w:numPr>
          <w:ilvl w:val="0"/>
          <w:numId w:val="2"/>
        </w:numPr>
        <w:spacing w:line="360" w:lineRule="auto"/>
        <w:rPr>
          <w:rFonts w:ascii="Arial" w:hAnsi="Arial"/>
          <w:lang w:val="en-US"/>
        </w:rPr>
      </w:pPr>
      <w:r>
        <w:rPr>
          <w:rFonts w:ascii="Arial" w:hAnsi="Arial"/>
          <w:rtl w:val="0"/>
          <w:lang w:val="en-US"/>
        </w:rPr>
        <w:t>Secure and confidential</w:t>
      </w:r>
    </w:p>
    <w:p>
      <w:pPr>
        <w:pStyle w:val="Body"/>
        <w:numPr>
          <w:ilvl w:val="0"/>
          <w:numId w:val="2"/>
        </w:numPr>
        <w:spacing w:line="360" w:lineRule="auto"/>
        <w:rPr>
          <w:rFonts w:ascii="Arial" w:hAnsi="Arial"/>
          <w:lang w:val="en-US"/>
        </w:rPr>
      </w:pPr>
      <w:r>
        <w:rPr>
          <w:rFonts w:ascii="Arial" w:hAnsi="Arial"/>
          <w:rtl w:val="0"/>
          <w:lang w:val="en-US"/>
        </w:rPr>
        <w:t>Clinically safe and evidence based.</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Options appraisal:</w:t>
      </w:r>
    </w:p>
    <w:p>
      <w:pPr>
        <w:pStyle w:val="Body"/>
        <w:spacing w:line="360" w:lineRule="auto"/>
        <w:rPr>
          <w:rFonts w:ascii="Arial" w:cs="Arial" w:hAnsi="Arial" w:eastAsia="Arial"/>
        </w:rPr>
      </w:pPr>
      <w:r>
        <w:rPr>
          <w:rFonts w:ascii="Arial" w:hAnsi="Arial"/>
          <w:rtl w:val="0"/>
          <w:lang w:val="en-US"/>
        </w:rPr>
        <w:t>An options appraisal provides a structure to review and break down the pros and cons of each option. This five stage approach.</w:t>
      </w:r>
    </w:p>
    <w:p>
      <w:pPr>
        <w:pStyle w:val="Body"/>
        <w:spacing w:line="360" w:lineRule="auto"/>
        <w:rPr>
          <w:rFonts w:ascii="Arial" w:cs="Arial" w:hAnsi="Arial" w:eastAsia="Arial"/>
        </w:rPr>
      </w:pPr>
      <w:r>
        <w:rPr>
          <w:rFonts w:ascii="Arial" w:hAnsi="Arial"/>
          <w:rtl w:val="0"/>
          <w:lang w:val="en-US"/>
        </w:rPr>
        <w:t>Firstly the strategic context and need for the service was identified. This was then aligned with the key objectives, as outlined by both the health board and UK wide policy. Next it was to establish key stakeholder engagement and finally review the risk. This was identified with a conversation with team leads in a board meeting, key themes were identified and outlined.</w:t>
      </w:r>
    </w:p>
    <w:p>
      <w:pPr>
        <w:pStyle w:val="Body"/>
        <w:spacing w:line="360" w:lineRule="auto"/>
        <w:rPr>
          <w:rFonts w:ascii="Arial" w:cs="Arial" w:hAnsi="Arial" w:eastAsia="Arial"/>
        </w:rPr>
      </w:pPr>
      <w:r>
        <w:rPr>
          <w:rFonts w:ascii="Arial" w:hAnsi="Arial"/>
          <w:rtl w:val="0"/>
          <w:lang w:val="en-US"/>
        </w:rPr>
        <w:t>The second stage was to identify how the options appraisal would be taken and the outcomes the measure it. SMART goals were used to identify the outcome measures.</w:t>
      </w:r>
    </w:p>
    <w:p>
      <w:pPr>
        <w:pStyle w:val="Body"/>
        <w:spacing w:line="360" w:lineRule="auto"/>
        <w:rPr>
          <w:rFonts w:ascii="Arial" w:cs="Arial" w:hAnsi="Arial" w:eastAsia="Arial"/>
        </w:rPr>
      </w:pPr>
      <w:r>
        <w:rPr>
          <w:rFonts w:ascii="Arial" w:hAnsi="Arial"/>
          <w:rtl w:val="0"/>
          <w:lang w:val="en-US"/>
        </w:rPr>
        <w:t>Stage three was an ongoing process, due to continual data collection of waiting lists, destination and root of referral, and also clinical time spent actively triaging - this was all collated from Welsh Clinical Portal which is the software used for all inward and outward e-referrals to the service.</w:t>
      </w:r>
    </w:p>
    <w:p>
      <w:pPr>
        <w:pStyle w:val="Body"/>
        <w:spacing w:line="360" w:lineRule="auto"/>
        <w:rPr>
          <w:rFonts w:ascii="Arial" w:cs="Arial" w:hAnsi="Arial" w:eastAsia="Arial"/>
        </w:rPr>
      </w:pPr>
      <w:r>
        <w:rPr>
          <w:rFonts w:ascii="Arial" w:hAnsi="Arial"/>
          <w:rtl w:val="0"/>
          <w:lang w:val="en-US"/>
        </w:rPr>
        <w:t>Phase 4 - the validation phase came from the literature where evidence was collected and reviewed particularly from a clinical risk perspective, with patient safety being a priority throughout.</w:t>
      </w:r>
    </w:p>
    <w:p>
      <w:pPr>
        <w:pStyle w:val="Body"/>
        <w:spacing w:line="360" w:lineRule="auto"/>
        <w:rPr>
          <w:rFonts w:ascii="Arial" w:cs="Arial" w:hAnsi="Arial" w:eastAsia="Arial"/>
        </w:rPr>
      </w:pPr>
      <w:r>
        <w:rPr>
          <w:rFonts w:ascii="Arial" w:hAnsi="Arial"/>
          <w:rtl w:val="0"/>
          <w:lang w:val="en-US"/>
        </w:rPr>
        <w:t>Finally in stage 5 will involve reaching out to other departments UK wide to get first hand experience of approaches.</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Data collection:</w:t>
      </w:r>
    </w:p>
    <w:p>
      <w:pPr>
        <w:pStyle w:val="Body"/>
        <w:spacing w:line="360" w:lineRule="auto"/>
        <w:rPr>
          <w:rFonts w:ascii="Arial" w:cs="Arial" w:hAnsi="Arial" w:eastAsia="Arial"/>
        </w:rPr>
      </w:pPr>
      <w:r>
        <w:rPr>
          <w:rFonts w:ascii="Arial" w:hAnsi="Arial"/>
          <w:rtl w:val="0"/>
          <w:lang w:val="en-US"/>
        </w:rPr>
        <w:t>After identifying the fundamental issues that existing in the triaging service in Cardiff and Vale Physiotherapy service, a literature review to explore other solutions to similar issues was carried out using TRIP database.</w:t>
      </w:r>
    </w:p>
    <w:p>
      <w:pPr>
        <w:pStyle w:val="Body"/>
        <w:spacing w:line="360" w:lineRule="auto"/>
        <w:rPr>
          <w:rFonts w:ascii="Arial" w:cs="Arial" w:hAnsi="Arial" w:eastAsia="Arial"/>
        </w:rPr>
      </w:pPr>
      <w:r>
        <w:rPr>
          <w:rFonts w:ascii="Arial" w:hAnsi="Arial"/>
          <w:rtl w:val="0"/>
          <w:lang w:val="en-US"/>
        </w:rPr>
        <w:t>Key search terms were used: digital, triage, physiotherapy, primary care, AI. Of these there were 336 results. To refine the results further, parameters were changed to results published from 2019, and this then reduced the search results to 89. From this the most relevant papers were reviewed.</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Subtitle"/>
        <w:spacing w:line="360" w:lineRule="auto"/>
        <w:rPr>
          <w:rFonts w:ascii="Arial" w:cs="Arial" w:hAnsi="Arial" w:eastAsia="Arial"/>
        </w:rPr>
      </w:pPr>
      <w:r>
        <w:rPr>
          <w:rFonts w:ascii="Arial" w:hAnsi="Arial"/>
          <w:rtl w:val="0"/>
          <w:lang w:val="en-US"/>
        </w:rPr>
        <w:t>Results</w:t>
      </w:r>
    </w:p>
    <w:p>
      <w:pPr>
        <w:pStyle w:val="Body"/>
        <w:spacing w:line="360" w:lineRule="auto"/>
        <w:rPr>
          <w:rFonts w:ascii="Arial" w:cs="Arial" w:hAnsi="Arial" w:eastAsia="Arial"/>
        </w:rPr>
      </w:pPr>
      <w:r>
        <w:rPr>
          <w:rFonts w:ascii="Arial" w:hAnsi="Arial"/>
          <w:rtl w:val="0"/>
          <w:lang w:val="en-US"/>
        </w:rPr>
        <w:t>The data</w:t>
      </w:r>
      <w:r>
        <w:rPr>
          <w:rFonts w:ascii="Arial" w:hAnsi="Arial"/>
          <w:rtl w:val="0"/>
          <w:lang w:val="fr-FR"/>
        </w:rPr>
        <w:t xml:space="preserve"> demonstrated multiple areas whereby artificial intelligence is being used for triage within other areas of health including Diabetes clinics, within radiology and for patients with COVID-19 in China and for triage within primary care settings. The evidence is dividing, (Mahoney et al) discuss how in a primary care setting where resources are so limited, AI has the ability to free up clinician time and resources, however this comes at a cost of losing patient/professional relationship and personalised care. It is also criticised by (Baker et al 2020) who agree with the alleviation of pressure on the overloaded health system but argue that the barrier of gaining the trust with healthcare professional and patients would be too great to make any ground breaking transformations.</w:t>
      </w:r>
      <w:r>
        <w:rPr>
          <w:rFonts w:ascii="Arial" w:hAnsi="Arial"/>
          <w:rtl w:val="0"/>
          <w:lang w:val="en-US"/>
        </w:rPr>
        <w:t xml:space="preserve"> There were common themes of objectives similar to Cardiff and Vales objectives 1. Reducing the pressures on the service 2. Reducing waste and reducing variation and 3. Freeing up clinician time and hospital resources. These themes are common in most service improvement literature. There were positive results including (Gottliesben et al 2022) reviewed the safety of AI for triage in primary care and found that in algorithms were capable and reliable at picking up medical emergencies such as caudal equine and even cancer symptoms, but programming was designed over cautiously to ensure for patient safety. Similarly Henrix et al 2021 review the use of AI for breast cancer screening, they suggested the sensitivity of AI reports was 24% which is comparatively lower than human assessment with had a sensitivity of 41%. This demonstrate that more complicated tasks such a radiologist opinion is not as easily transferred into reliable artificial intelligence. Interestingly Lowe et al 2021 have published their ongoing study - a pilot of DART (Digital assessment routing tool) which similarly is taking an iterative approach to develop an app that completes triage, this pilot is being carried out in London and is under the recruitment process currently.</w:t>
      </w:r>
    </w:p>
    <w:p>
      <w:pPr>
        <w:pStyle w:val="Body"/>
        <w:spacing w:line="360" w:lineRule="auto"/>
        <w:rPr>
          <w:rFonts w:ascii="Arial" w:cs="Arial" w:hAnsi="Arial" w:eastAsia="Arial"/>
        </w:rPr>
      </w:pPr>
      <w:r>
        <w:rPr>
          <w:rFonts w:ascii="Arial" w:hAnsi="Arial"/>
          <w:rtl w:val="0"/>
          <w:lang w:val="en-US"/>
        </w:rPr>
        <w:t>The focus of this project however is only a very small percentage of the patient journey, with the nature of physiotherapy assessment and treatment being so hands on in nature, those who are appropriate for the service will likely be able to overcome these barriers in the assessment and treatment. It will also mean that those who are not will be signposted to the correct service where they will be able to build rapport with the correct clinician (Liyanage et al 2019).</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 xml:space="preserve">Following the options appraisal and the literature review, it was deemed more prudent to not </w:t>
      </w:r>
      <w:r>
        <w:rPr>
          <w:rFonts w:ascii="Arial" w:hAnsi="Arial" w:hint="default"/>
          <w:rtl w:val="0"/>
          <w:lang w:val="en-US"/>
        </w:rPr>
        <w:t>“</w:t>
      </w:r>
      <w:r>
        <w:rPr>
          <w:rFonts w:ascii="Arial" w:hAnsi="Arial"/>
          <w:rtl w:val="0"/>
          <w:lang w:val="en-US"/>
        </w:rPr>
        <w:t>re-invent the wheel</w:t>
      </w:r>
      <w:r>
        <w:rPr>
          <w:rFonts w:ascii="Arial" w:hAnsi="Arial" w:hint="default"/>
          <w:rtl w:val="0"/>
          <w:lang w:val="en-US"/>
        </w:rPr>
        <w:t xml:space="preserve">’ </w:t>
      </w:r>
      <w:r>
        <w:rPr>
          <w:rFonts w:ascii="Arial" w:hAnsi="Arial"/>
          <w:rtl w:val="0"/>
          <w:lang w:val="en-US"/>
        </w:rPr>
        <w:t>and explore existing AI which could be transferred over to our service. This decision was made due to the complexity and cost of building an app, the importance of safe algorithms, and to ensure that there was ethical backing from previously researched products. It also provide the safety net of being able to carry out a pilot, which if fails means that the loss is very small, in comparison to the effort and cost that goes into app development.</w:t>
      </w:r>
    </w:p>
    <w:p>
      <w:pPr>
        <w:pStyle w:val="Body"/>
        <w:spacing w:line="360" w:lineRule="auto"/>
        <w:rPr>
          <w:rFonts w:ascii="Arial" w:cs="Arial" w:hAnsi="Arial" w:eastAsia="Arial"/>
        </w:rPr>
      </w:pPr>
    </w:p>
    <w:p>
      <w:pPr>
        <w:pStyle w:val="Body"/>
        <w:spacing w:line="360" w:lineRule="auto"/>
        <w:rPr>
          <w:rFonts w:ascii="Arial" w:cs="Arial" w:hAnsi="Arial" w:eastAsia="Arial"/>
        </w:rPr>
      </w:pPr>
    </w:p>
    <w:p>
      <w:pPr>
        <w:pStyle w:val="Subtitle"/>
        <w:spacing w:line="360" w:lineRule="auto"/>
        <w:rPr>
          <w:rFonts w:ascii="Arial" w:cs="Arial" w:hAnsi="Arial" w:eastAsia="Arial"/>
        </w:rPr>
      </w:pPr>
      <w:r>
        <w:rPr>
          <w:rFonts w:ascii="Arial" w:hAnsi="Arial"/>
          <w:rtl w:val="0"/>
          <w:lang w:val="en-US"/>
        </w:rPr>
        <w:t xml:space="preserve">Discussion </w:t>
      </w:r>
    </w:p>
    <w:p>
      <w:pPr>
        <w:pStyle w:val="Body"/>
        <w:spacing w:line="360" w:lineRule="auto"/>
        <w:rPr>
          <w:rFonts w:ascii="Arial" w:cs="Arial" w:hAnsi="Arial" w:eastAsia="Arial"/>
        </w:rPr>
      </w:pPr>
    </w:p>
    <w:p>
      <w:pPr>
        <w:pStyle w:val="Body"/>
        <w:spacing w:line="360" w:lineRule="auto"/>
        <w:rPr>
          <w:rFonts w:ascii="Arial" w:cs="Arial" w:hAnsi="Arial" w:eastAsia="Arial"/>
        </w:rPr>
      </w:pPr>
      <w:r>
        <w:rPr>
          <w:rFonts w:ascii="Arial" w:hAnsi="Arial"/>
          <w:rtl w:val="0"/>
          <w:lang w:val="en-US"/>
        </w:rPr>
        <w:t>This strategy will be implemented into the service with an initial 4 month long Pilot. It will be continually assessed using patient recorded outcome measures and patient recorded experiences. Importantly there will be tracking of where the patients end up being referred to, and how appropriate they felt the service was for them. Other outcome measures will be impact on the waiting list. It would be useful to decipher how many patients are seen by the department on a weekly basis and if offloading the clinicians helps increase patient flow. Number of patient appointments per clinician, number of patient referrals from GP</w:t>
      </w:r>
      <w:r>
        <w:rPr>
          <w:rFonts w:ascii="Arial" w:hAnsi="Arial" w:hint="default"/>
          <w:rtl w:val="0"/>
          <w:lang w:val="en-US"/>
        </w:rPr>
        <w:t>’</w:t>
      </w:r>
      <w:r>
        <w:rPr>
          <w:rFonts w:ascii="Arial" w:hAnsi="Arial"/>
          <w:rtl w:val="0"/>
          <w:lang w:val="en-US"/>
        </w:rPr>
        <w:t>s and numbness of onward referrals to Orthopaedics will also be tracked to review the impact on the greater system.</w:t>
      </w:r>
    </w:p>
    <w:p>
      <w:pPr>
        <w:pStyle w:val="Body"/>
        <w:spacing w:line="360" w:lineRule="auto"/>
        <w:rPr>
          <w:rFonts w:ascii="Arial" w:cs="Arial" w:hAnsi="Arial" w:eastAsia="Arial"/>
        </w:rPr>
      </w:pPr>
      <w:r>
        <w:rPr>
          <w:rFonts w:ascii="Arial" w:hAnsi="Arial"/>
          <w:rtl w:val="0"/>
          <w:lang w:val="en-US"/>
        </w:rPr>
        <w:t>The hope would be that this service will highlight the shift into patient self management and create a case for further support to go into peer support groups and leisure centres as a more holistic approach to care.</w:t>
      </w:r>
    </w:p>
    <w:p>
      <w:pPr>
        <w:pStyle w:val="Body"/>
        <w:spacing w:line="360" w:lineRule="auto"/>
        <w:rPr>
          <w:rFonts w:ascii="Arial" w:cs="Arial" w:hAnsi="Arial" w:eastAsia="Arial"/>
        </w:rPr>
      </w:pPr>
    </w:p>
    <w:p>
      <w:pPr>
        <w:pStyle w:val="Subtitle"/>
        <w:bidi w:val="0"/>
      </w:pPr>
    </w:p>
    <w:p>
      <w:pPr>
        <w:pStyle w:val="Subtitle"/>
        <w:bidi w:val="0"/>
      </w:pPr>
      <w:r>
        <w:rPr>
          <w:rFonts w:cs="Arial Unicode MS" w:eastAsia="Arial Unicode MS"/>
          <w:rtl w:val="0"/>
          <w:lang w:val="en-US"/>
        </w:rPr>
        <w:t>Reference List</w:t>
      </w:r>
    </w:p>
    <w:p>
      <w:pPr>
        <w:pStyle w:val="Body"/>
        <w:spacing w:line="360" w:lineRule="auto"/>
        <w:rPr>
          <w:rFonts w:ascii="Arial" w:cs="Arial" w:hAnsi="Arial" w:eastAsia="Aria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3BL Blogs: In Interview with Forbes, Lise Kingo Speaks to the Value of the New WEPs Gender Gap Analysis Tool (2017) , Chatham: Newstex.</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Options Appraisal workbook</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Unicode MS" w:cs="Arial Unicode MS" w:hAnsi="Arial Unicode MS" w:eastAsia="Arial Unicode MS"/>
          <w:b w:val="0"/>
          <w:bCs w:val="0"/>
          <w:i w:val="0"/>
          <w:iCs w:val="0"/>
          <w:outline w:val="0"/>
          <w:color w:val="525559"/>
          <w:sz w:val="22"/>
          <w:szCs w:val="22"/>
          <w:shd w:val="clear" w:color="auto" w:fill="ffffff"/>
          <w:rtl w:val="0"/>
          <w14:textFill>
            <w14:solidFill>
              <w14:srgbClr w14:val="53565A"/>
            </w14:solidFill>
          </w14:textFill>
        </w:rPr>
        <w:br w:type="textWrapping"/>
      </w:r>
      <w:r>
        <w:rPr>
          <w:rFonts w:ascii="Arial" w:hAnsi="Arial"/>
          <w:outline w:val="0"/>
          <w:color w:val="525559"/>
          <w:sz w:val="22"/>
          <w:szCs w:val="22"/>
          <w:shd w:val="clear" w:color="auto" w:fill="ffffff"/>
          <w:rtl w:val="0"/>
          <w:lang w:val="en-US"/>
          <w14:textFill>
            <w14:solidFill>
              <w14:srgbClr w14:val="53565A"/>
            </w14:solidFill>
          </w14:textFill>
        </w:rPr>
        <w:t xml:space="preserve">Planning Advisory Service pilot projects. (2012) Available at: </w:t>
      </w:r>
      <w:r>
        <w:rPr>
          <w:rStyle w:val="Hyperlink.0"/>
          <w:rFonts w:ascii="Arial" w:cs="Arial" w:hAnsi="Arial" w:eastAsia="Arial"/>
          <w:outline w:val="0"/>
          <w:color w:val="0066cc"/>
          <w:sz w:val="22"/>
          <w:szCs w:val="22"/>
          <w:shd w:val="clear" w:color="auto" w:fill="ffffff"/>
          <w:rtl w:val="0"/>
          <w14:textFill>
            <w14:solidFill>
              <w14:srgbClr w14:val="0066CC"/>
            </w14:solidFill>
          </w14:textFill>
        </w:rPr>
        <w:fldChar w:fldCharType="begin" w:fldLock="0"/>
      </w:r>
      <w:r>
        <w:rPr>
          <w:rStyle w:val="Hyperlink.0"/>
          <w:rFonts w:ascii="Arial" w:cs="Arial" w:hAnsi="Arial" w:eastAsia="Arial"/>
          <w:outline w:val="0"/>
          <w:color w:val="0066cc"/>
          <w:sz w:val="22"/>
          <w:szCs w:val="22"/>
          <w:shd w:val="clear" w:color="auto" w:fill="ffffff"/>
          <w:rtl w:val="0"/>
          <w14:textFill>
            <w14:solidFill>
              <w14:srgbClr w14:val="0066CC"/>
            </w14:solidFill>
          </w14:textFill>
        </w:rPr>
        <w:instrText xml:space="preserve"> HYPERLINK "https://www.local.gov.uk/sites/default/files/documents/pas-options-appraisal-wor-7f5.pdf"</w:instrText>
      </w:r>
      <w:r>
        <w:rPr>
          <w:rStyle w:val="Hyperlink.0"/>
          <w:rFonts w:ascii="Arial" w:cs="Arial" w:hAnsi="Arial" w:eastAsia="Arial"/>
          <w:outline w:val="0"/>
          <w:color w:val="0066cc"/>
          <w:sz w:val="22"/>
          <w:szCs w:val="22"/>
          <w:shd w:val="clear" w:color="auto" w:fill="ffffff"/>
          <w:rtl w:val="0"/>
          <w14:textFill>
            <w14:solidFill>
              <w14:srgbClr w14:val="0066CC"/>
            </w14:solidFill>
          </w14:textFill>
        </w:rPr>
        <w:fldChar w:fldCharType="separate" w:fldLock="0"/>
      </w:r>
      <w:r>
        <w:rPr>
          <w:rStyle w:val="Hyperlink.0"/>
          <w:rFonts w:ascii="Arial" w:hAnsi="Arial"/>
          <w:outline w:val="0"/>
          <w:color w:val="0066cc"/>
          <w:sz w:val="22"/>
          <w:szCs w:val="22"/>
          <w:shd w:val="clear" w:color="auto" w:fill="ffffff"/>
          <w:rtl w:val="0"/>
          <w:lang w:val="en-US"/>
          <w14:textFill>
            <w14:solidFill>
              <w14:srgbClr w14:val="0066CC"/>
            </w14:solidFill>
          </w14:textFill>
        </w:rPr>
        <w:t>https://www.local.gov.uk/sites/default/files/documents/pas-options-appraisal-wor-7f5.pdf</w:t>
      </w:r>
      <w:r>
        <w:rPr>
          <w:rFonts w:ascii="Arial" w:cs="Arial" w:hAnsi="Arial" w:eastAsia="Arial"/>
          <w:outline w:val="0"/>
          <w:color w:val="525559"/>
          <w:sz w:val="22"/>
          <w:szCs w:val="22"/>
          <w:shd w:val="clear" w:color="auto" w:fill="ffffff"/>
          <w:rtl w:val="0"/>
          <w14:textFill>
            <w14:solidFill>
              <w14:srgbClr w14:val="53565A"/>
            </w14:solidFill>
          </w14:textFill>
        </w:rPr>
        <w:fldChar w:fldCharType="end" w:fldLock="0"/>
      </w:r>
      <w:r>
        <w:rPr>
          <w:rFonts w:ascii="Arial" w:hAnsi="Arial"/>
          <w:outline w:val="0"/>
          <w:color w:val="525559"/>
          <w:sz w:val="22"/>
          <w:szCs w:val="22"/>
          <w:shd w:val="clear" w:color="auto" w:fill="ffffff"/>
          <w:rtl w:val="0"/>
          <w:lang w:val="en-US"/>
          <w14:textFill>
            <w14:solidFill>
              <w14:srgbClr w14:val="53565A"/>
            </w14:solidFill>
          </w14:textFill>
        </w:rPr>
        <w:t xml:space="preserve"> (Accessed: .</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14:textFill>
            <w14:solidFill>
              <w14:srgbClr w14:val="53565A"/>
            </w14:solidFill>
          </w14:textFill>
        </w:rPr>
        <w:t xml:space="preserve">Beristain Iraola, A., </w:t>
      </w:r>
      <w:r>
        <w:rPr>
          <w:rFonts w:ascii="Arial" w:hAnsi="Arial" w:hint="default"/>
          <w:outline w:val="0"/>
          <w:color w:val="525559"/>
          <w:sz w:val="22"/>
          <w:szCs w:val="22"/>
          <w:shd w:val="clear" w:color="auto" w:fill="ffffff"/>
          <w:rtl w:val="0"/>
          <w14:textFill>
            <w14:solidFill>
              <w14:srgbClr w14:val="53565A"/>
            </w14:solidFill>
          </w14:textFill>
        </w:rPr>
        <w:t>Á</w:t>
      </w:r>
      <w:r>
        <w:rPr>
          <w:rFonts w:ascii="Arial" w:hAnsi="Arial"/>
          <w:outline w:val="0"/>
          <w:color w:val="525559"/>
          <w:sz w:val="22"/>
          <w:szCs w:val="22"/>
          <w:shd w:val="clear" w:color="auto" w:fill="ffffff"/>
          <w:rtl w:val="0"/>
          <w:lang w:val="es-ES_tradnl"/>
          <w14:textFill>
            <w14:solidFill>
              <w14:srgbClr w14:val="53565A"/>
            </w14:solidFill>
          </w14:textFill>
        </w:rPr>
        <w:t>lvarez S</w:t>
      </w:r>
      <w:r>
        <w:rPr>
          <w:rFonts w:ascii="Arial" w:hAnsi="Arial" w:hint="default"/>
          <w:outline w:val="0"/>
          <w:color w:val="525559"/>
          <w:sz w:val="22"/>
          <w:szCs w:val="22"/>
          <w:shd w:val="clear" w:color="auto" w:fill="ffffff"/>
          <w:rtl w:val="0"/>
          <w14:textFill>
            <w14:solidFill>
              <w14:srgbClr w14:val="53565A"/>
            </w14:solidFill>
          </w14:textFill>
        </w:rPr>
        <w:t>á</w:t>
      </w:r>
      <w:r>
        <w:rPr>
          <w:rFonts w:ascii="Arial" w:hAnsi="Arial"/>
          <w:outline w:val="0"/>
          <w:color w:val="525559"/>
          <w:sz w:val="22"/>
          <w:szCs w:val="22"/>
          <w:shd w:val="clear" w:color="auto" w:fill="ffffff"/>
          <w:rtl w:val="0"/>
          <w:lang w:val="it-IT"/>
          <w14:textFill>
            <w14:solidFill>
              <w14:srgbClr w14:val="53565A"/>
            </w14:solidFill>
          </w14:textFill>
        </w:rPr>
        <w:t>nchez, R., Hors-Fraile, S., Petsani, D., Timoleon, M., D</w:t>
      </w:r>
      <w:r>
        <w:rPr>
          <w:rFonts w:ascii="Arial" w:hAnsi="Arial" w:hint="default"/>
          <w:outline w:val="0"/>
          <w:color w:val="525559"/>
          <w:sz w:val="22"/>
          <w:szCs w:val="22"/>
          <w:shd w:val="clear" w:color="auto" w:fill="ffffff"/>
          <w:rtl w:val="0"/>
          <w14:textFill>
            <w14:solidFill>
              <w14:srgbClr w14:val="53565A"/>
            </w14:solidFill>
          </w14:textFill>
        </w:rPr>
        <w:t>í</w:t>
      </w:r>
      <w:r>
        <w:rPr>
          <w:rFonts w:ascii="Arial" w:hAnsi="Arial"/>
          <w:outline w:val="0"/>
          <w:color w:val="525559"/>
          <w:sz w:val="22"/>
          <w:szCs w:val="22"/>
          <w:shd w:val="clear" w:color="auto" w:fill="ffffff"/>
          <w:rtl w:val="0"/>
          <w:lang w:val="en-US"/>
          <w14:textFill>
            <w14:solidFill>
              <w14:srgbClr w14:val="53565A"/>
            </w14:solidFill>
          </w14:textFill>
        </w:rPr>
        <w:t>az-Orueta, U., Carroll, J., Hopper, L., Epelde, G., Kerexeta, J., Bamidis, P.D. and Konstantinidis, E.I. (2022) 'Correction: Beristain Iraola et al. User Centered Virtual Coaching for Older Adults at Home Using SMART Goal Plans and I-Change Model. Int. J. Environ. Res. Public Health 2021, 18 , 6868', International journal of environmental research and public health; Int J Environ Res Public Health, 19(4), pp. 2116. doi: 10.3390/ijerph19042116.</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Farr, M., Brant, H., Patel, R., Linton, M., Ambler, N., Vyas, S., Wedge, H., Watkins, S. and Horwood, J. (2021) 'Experiences of Patient-Led Chronic Pain Peer Support Groups After Pain Management Programs: A Qualitative Study', Pain medicine (Malden, Mass.); Pain Med, 22(12), pp. 2884-2895. doi: 10.1093/pm/pnab189.</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Forbes, D. and Wongthongtham, P. (2016) 'Ontology based intercultural patient practitioner assistive communications from qualitative gap analysis', Information technology &amp; people (West Linn, Or.), 29(2), pp. 280-317. doi: 10.1108/ITP-08-2014-0166.</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Gottliebsen, K. and Petersson, G. (2020) 'Limited evidence of benefits of patient operated intelligent primary care triage tools: findings of a literature review', BMJ health &amp; care informatics; BMJ Health Care Inform, 27(1), pp. e100114. doi: 10.1136/bmjhci-2019-100114.</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Style w:val="None"/>
          <w:rFonts w:ascii="Arial" w:cs="Arial" w:hAnsi="Arial" w:eastAsia="Arial"/>
          <w:outline w:val="0"/>
          <w:color w:val="525559"/>
          <w:sz w:val="22"/>
          <w:szCs w:val="22"/>
          <w:shd w:val="clear" w:color="auto" w:fill="ffffff"/>
          <w:rtl w:val="0"/>
          <w14:textFill>
            <w14:solidFill>
              <w14:srgbClr w14:val="53565A"/>
            </w14:solidFill>
          </w14:textFill>
        </w:rPr>
      </w:pPr>
      <w:r>
        <w:rPr>
          <w:rStyle w:val="None"/>
          <w:rFonts w:ascii="Arial" w:hAnsi="Arial"/>
          <w:outline w:val="0"/>
          <w:color w:val="525559"/>
          <w:sz w:val="22"/>
          <w:szCs w:val="22"/>
          <w:shd w:val="clear" w:color="auto" w:fill="ffffff"/>
          <w:rtl w:val="0"/>
          <w:lang w:val="en-US"/>
          <w14:textFill>
            <w14:solidFill>
              <w14:srgbClr w14:val="53565A"/>
            </w14:solidFill>
          </w14:textFill>
        </w:rPr>
        <w:t xml:space="preserve">Leffingwell, D. (2021) Scale Agile framework. Available at: </w:t>
      </w:r>
      <w:r>
        <w:rPr>
          <w:rStyle w:val="Hyperlink.1"/>
          <w:rFonts w:ascii="Arial" w:cs="Arial" w:hAnsi="Arial" w:eastAsia="Arial"/>
          <w:outline w:val="0"/>
          <w:color w:val="0066cc"/>
          <w:sz w:val="22"/>
          <w:szCs w:val="22"/>
          <w:shd w:val="clear" w:color="auto" w:fill="ffffff"/>
          <w:rtl w:val="0"/>
          <w14:textFill>
            <w14:solidFill>
              <w14:srgbClr w14:val="0066CC"/>
            </w14:solidFill>
          </w14:textFill>
        </w:rPr>
        <w:fldChar w:fldCharType="begin" w:fldLock="0"/>
      </w:r>
      <w:r>
        <w:rPr>
          <w:rStyle w:val="Hyperlink.1"/>
          <w:rFonts w:ascii="Arial" w:cs="Arial" w:hAnsi="Arial" w:eastAsia="Arial"/>
          <w:outline w:val="0"/>
          <w:color w:val="0066cc"/>
          <w:sz w:val="22"/>
          <w:szCs w:val="22"/>
          <w:shd w:val="clear" w:color="auto" w:fill="ffffff"/>
          <w:rtl w:val="0"/>
          <w14:textFill>
            <w14:solidFill>
              <w14:srgbClr w14:val="0066CC"/>
            </w14:solidFill>
          </w14:textFill>
        </w:rPr>
        <w:instrText xml:space="preserve"> HYPERLINK "https://www.scaledagileframework.com/features-and-capabilities/"</w:instrText>
      </w:r>
      <w:r>
        <w:rPr>
          <w:rStyle w:val="Hyperlink.1"/>
          <w:rFonts w:ascii="Arial" w:cs="Arial" w:hAnsi="Arial" w:eastAsia="Arial"/>
          <w:outline w:val="0"/>
          <w:color w:val="0066cc"/>
          <w:sz w:val="22"/>
          <w:szCs w:val="22"/>
          <w:shd w:val="clear" w:color="auto" w:fill="ffffff"/>
          <w:rtl w:val="0"/>
          <w14:textFill>
            <w14:solidFill>
              <w14:srgbClr w14:val="0066CC"/>
            </w14:solidFill>
          </w14:textFill>
        </w:rPr>
        <w:fldChar w:fldCharType="separate" w:fldLock="0"/>
      </w:r>
      <w:r>
        <w:rPr>
          <w:rStyle w:val="Hyperlink.1"/>
          <w:rFonts w:ascii="Arial" w:hAnsi="Arial"/>
          <w:outline w:val="0"/>
          <w:color w:val="0066cc"/>
          <w:sz w:val="22"/>
          <w:szCs w:val="22"/>
          <w:shd w:val="clear" w:color="auto" w:fill="ffffff"/>
          <w:rtl w:val="0"/>
          <w:lang w:val="en-US"/>
          <w14:textFill>
            <w14:solidFill>
              <w14:srgbClr w14:val="0066CC"/>
            </w14:solidFill>
          </w14:textFill>
        </w:rPr>
        <w:t>https://www.scaledagileframework.com/features-and-capabilities/</w:t>
      </w:r>
      <w:r>
        <w:rPr>
          <w:rFonts w:ascii="Arial" w:cs="Arial" w:hAnsi="Arial" w:eastAsia="Arial"/>
          <w:outline w:val="0"/>
          <w:color w:val="0066cc"/>
          <w:sz w:val="22"/>
          <w:szCs w:val="22"/>
          <w:shd w:val="clear" w:color="auto" w:fill="ffffff"/>
          <w:rtl w:val="0"/>
          <w14:textFill>
            <w14:solidFill>
              <w14:srgbClr w14:val="0066CC"/>
            </w14:solidFill>
          </w14:textFill>
        </w:rPr>
        <w:fldChar w:fldCharType="end" w:fldLock="0"/>
      </w:r>
      <w:r>
        <w:rPr>
          <w:rStyle w:val="None"/>
          <w:rFonts w:ascii="Arial" w:hAnsi="Arial"/>
          <w:outline w:val="0"/>
          <w:color w:val="525559"/>
          <w:sz w:val="22"/>
          <w:szCs w:val="22"/>
          <w:shd w:val="clear" w:color="auto" w:fill="ffffff"/>
          <w:rtl w:val="0"/>
          <w:lang w:val="en-US"/>
          <w14:textFill>
            <w14:solidFill>
              <w14:srgbClr w14:val="53565A"/>
            </w14:solidFill>
          </w14:textFill>
        </w:rPr>
        <w:t xml:space="preserve"> (Accessed: .</w:t>
      </w:r>
    </w:p>
    <w:p>
      <w:pPr>
        <w:pStyle w:val="Default"/>
        <w:bidi w:val="0"/>
        <w:spacing w:before="0" w:line="360" w:lineRule="auto"/>
        <w:ind w:left="0" w:right="0" w:firstLine="0"/>
        <w:jc w:val="left"/>
        <w:rPr>
          <w:rStyle w:val="None"/>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Lin, S.Y., Mahoney, M.R. and Sinsky, C.A. (2019) 'Ten Ways Artificial Intelligence Will Transform Primary Care', Journal of general internal medicine : JGIM; J Gen Intern Med, 34(8), pp. 1626-1630. doi: 10.1007/s11606-019-05035-1.</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Lowe, C., Hanuman Sing, H., Browne, M., Alwashmi, M.F., Marsh, W. and Morrissey, D. (2021) 'Usability Testing of a Digital Assessment Routing Tool: Protocol for an Iterative Convergent Mixed Methods Study', JMIR research protocols; JMIR Res Protoc, 10(5), pp. e27205. doi: 10.2196/27205.</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Miller, S., Gilbert, S., Virani, V. and Wicks, P. (2020) 'Patients</w:t>
      </w:r>
      <w:r>
        <w:rPr>
          <w:rFonts w:ascii="Arial" w:hAnsi="Arial" w:hint="default"/>
          <w:outline w:val="0"/>
          <w:color w:val="525559"/>
          <w:sz w:val="22"/>
          <w:szCs w:val="22"/>
          <w:shd w:val="clear" w:color="auto" w:fill="ffffff"/>
          <w:rtl w:val="0"/>
          <w14:textFill>
            <w14:solidFill>
              <w14:srgbClr w14:val="53565A"/>
            </w14:solidFill>
          </w14:textFill>
        </w:rPr>
        <w:t xml:space="preserve">’ </w:t>
      </w:r>
      <w:r>
        <w:rPr>
          <w:rFonts w:ascii="Arial" w:hAnsi="Arial"/>
          <w:outline w:val="0"/>
          <w:color w:val="525559"/>
          <w:sz w:val="22"/>
          <w:szCs w:val="22"/>
          <w:shd w:val="clear" w:color="auto" w:fill="ffffff"/>
          <w:rtl w:val="0"/>
          <w:lang w:val="en-US"/>
          <w14:textFill>
            <w14:solidFill>
              <w14:srgbClr w14:val="53565A"/>
            </w14:solidFill>
          </w14:textFill>
        </w:rPr>
        <w:t>Utilization and Perception of an Artificial Intelligence</w:t>
      </w:r>
      <w:r>
        <w:rPr>
          <w:rFonts w:ascii="Arial" w:hAnsi="Arial" w:hint="default"/>
          <w:outline w:val="0"/>
          <w:color w:val="525559"/>
          <w:sz w:val="22"/>
          <w:szCs w:val="22"/>
          <w:shd w:val="clear" w:color="auto" w:fill="ffffff"/>
          <w:rtl w:val="0"/>
          <w14:textFill>
            <w14:solidFill>
              <w14:srgbClr w14:val="53565A"/>
            </w14:solidFill>
          </w14:textFill>
        </w:rPr>
        <w:t>–</w:t>
      </w:r>
      <w:r>
        <w:rPr>
          <w:rFonts w:ascii="Arial" w:hAnsi="Arial"/>
          <w:outline w:val="0"/>
          <w:color w:val="525559"/>
          <w:sz w:val="22"/>
          <w:szCs w:val="22"/>
          <w:shd w:val="clear" w:color="auto" w:fill="ffffff"/>
          <w:rtl w:val="0"/>
          <w:lang w:val="en-US"/>
          <w14:textFill>
            <w14:solidFill>
              <w14:srgbClr w14:val="53565A"/>
            </w14:solidFill>
          </w14:textFill>
        </w:rPr>
        <w:t>Based Symptom Assessment and Advice Technology in a British Primary Care Waiting Room: Exploratory Pilot Study', JMIR human factors, 7(3), pp. e19713. doi: 10.2196/19713.</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National Institute for Health and Care Excellence (2021) '</w:t>
      </w:r>
      <w:r>
        <w:rPr>
          <w:rFonts w:ascii="Arial" w:hAnsi="Arial" w:hint="default"/>
          <w:outline w:val="0"/>
          <w:color w:val="525559"/>
          <w:sz w:val="22"/>
          <w:szCs w:val="22"/>
          <w:shd w:val="clear" w:color="auto" w:fill="ffffff"/>
          <w:rtl w:val="0"/>
          <w14:textFill>
            <w14:solidFill>
              <w14:srgbClr w14:val="53565A"/>
            </w14:solidFill>
          </w14:textFill>
        </w:rPr>
        <w:t> </w:t>
      </w:r>
      <w:r>
        <w:rPr>
          <w:rFonts w:ascii="Arial" w:hAnsi="Arial"/>
          <w:outline w:val="0"/>
          <w:color w:val="525559"/>
          <w:sz w:val="22"/>
          <w:szCs w:val="22"/>
          <w:shd w:val="clear" w:color="auto" w:fill="ffffff"/>
          <w:rtl w:val="0"/>
          <w14:textFill>
            <w14:solidFill>
              <w14:srgbClr w14:val="53565A"/>
            </w14:solidFill>
          </w14:textFill>
        </w:rPr>
        <w:t>NICE strategy 2021 to 2026</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nl-NL"/>
          <w14:textFill>
            <w14:solidFill>
              <w14:srgbClr w14:val="53565A"/>
            </w14:solidFill>
          </w14:textFill>
        </w:rPr>
        <w:t>Dynamic, Collaborative, Excellent', 1.</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it-IT"/>
          <w14:textFill>
            <w14:solidFill>
              <w14:srgbClr w14:val="53565A"/>
            </w14:solidFill>
          </w14:textFill>
        </w:rPr>
        <w:t xml:space="preserve">Razzaki, S., Baker, A., Perov, Y., Middleton, K., Baxter, J., Mullarkey, D., Sangar, D., Taliercio, M., </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Butt, M., Majeed, A., DoRosario, A., Mahoney, M. and Johri, S. (2018a) 'A comparative study of artificial intelligence and human doctors for the purpose of triage and diagnosis', .</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it-IT"/>
          <w14:textFill>
            <w14:solidFill>
              <w14:srgbClr w14:val="53565A"/>
            </w14:solidFill>
          </w14:textFill>
        </w:rPr>
        <w:t>Razzaki, S., Baker, A., Perov, Y., Middleton, K., Baxter, J., Mullarkey, D., Sangar, D., Tali</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ercio, M., Butt, M., Majeed, A., DoRosario, A., Mahoney, M. and Johri, S. (2018b) 'A comparative study of artificial intelligence and human doctors for the purpose of triage and diagnosis', .</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it-IT"/>
          <w14:textFill>
            <w14:solidFill>
              <w14:srgbClr w14:val="53565A"/>
            </w14:solidFill>
          </w14:textFill>
        </w:rPr>
        <w:t>Sorondo, D., Delpierre, C., C</w:t>
      </w:r>
      <w:r>
        <w:rPr>
          <w:rFonts w:ascii="Arial" w:hAnsi="Arial" w:hint="default"/>
          <w:outline w:val="0"/>
          <w:color w:val="525559"/>
          <w:sz w:val="22"/>
          <w:szCs w:val="22"/>
          <w:shd w:val="clear" w:color="auto" w:fill="ffffff"/>
          <w:rtl w:val="0"/>
          <w14:textFill>
            <w14:solidFill>
              <w14:srgbClr w14:val="53565A"/>
            </w14:solidFill>
          </w14:textFill>
        </w:rPr>
        <w:t>ô</w:t>
      </w:r>
      <w:r>
        <w:rPr>
          <w:rFonts w:ascii="Arial" w:hAnsi="Arial"/>
          <w:outline w:val="0"/>
          <w:color w:val="525559"/>
          <w:sz w:val="22"/>
          <w:szCs w:val="22"/>
          <w:shd w:val="clear" w:color="auto" w:fill="ffffff"/>
          <w:rtl w:val="0"/>
          <w14:textFill>
            <w14:solidFill>
              <w14:srgbClr w14:val="53565A"/>
            </w14:solidFill>
          </w14:textFill>
        </w:rPr>
        <w:t>t</w:t>
      </w:r>
      <w:r>
        <w:rPr>
          <w:rFonts w:ascii="Arial" w:hAnsi="Arial" w:hint="default"/>
          <w:outline w:val="0"/>
          <w:color w:val="525559"/>
          <w:sz w:val="22"/>
          <w:szCs w:val="22"/>
          <w:shd w:val="clear" w:color="auto" w:fill="ffffff"/>
          <w:rtl w:val="0"/>
          <w:lang w:val="fr-FR"/>
          <w14:textFill>
            <w14:solidFill>
              <w14:srgbClr w14:val="53565A"/>
            </w14:solidFill>
          </w14:textFill>
        </w:rPr>
        <w:t>é</w:t>
      </w:r>
      <w:r>
        <w:rPr>
          <w:rFonts w:ascii="Arial" w:hAnsi="Arial"/>
          <w:outline w:val="0"/>
          <w:color w:val="525559"/>
          <w:sz w:val="22"/>
          <w:szCs w:val="22"/>
          <w:shd w:val="clear" w:color="auto" w:fill="ffffff"/>
          <w:rtl w:val="0"/>
          <w:lang w:val="en-US"/>
          <w14:textFill>
            <w14:solidFill>
              <w14:srgbClr w14:val="53565A"/>
            </w14:solidFill>
          </w14:textFill>
        </w:rPr>
        <w:t>, P., Salmi, L., Cedraschi, C., Taylor-Vaisey, A. and Lemeunier, N. (2021) 'Determinants of clinical practice guidelines</w:t>
      </w:r>
      <w:r>
        <w:rPr>
          <w:rFonts w:ascii="Arial" w:hAnsi="Arial" w:hint="default"/>
          <w:outline w:val="0"/>
          <w:color w:val="525559"/>
          <w:sz w:val="22"/>
          <w:szCs w:val="22"/>
          <w:shd w:val="clear" w:color="auto" w:fill="ffffff"/>
          <w:rtl w:val="0"/>
          <w14:textFill>
            <w14:solidFill>
              <w14:srgbClr w14:val="53565A"/>
            </w14:solidFill>
          </w14:textFill>
        </w:rPr>
        <w:t xml:space="preserve">’ </w:t>
      </w:r>
      <w:r>
        <w:rPr>
          <w:rFonts w:ascii="Arial" w:hAnsi="Arial"/>
          <w:outline w:val="0"/>
          <w:color w:val="525559"/>
          <w:sz w:val="22"/>
          <w:szCs w:val="22"/>
          <w:shd w:val="clear" w:color="auto" w:fill="ffffff"/>
          <w:rtl w:val="0"/>
          <w:lang w:val="en-US"/>
          <w14:textFill>
            <w14:solidFill>
              <w14:srgbClr w14:val="53565A"/>
            </w14:solidFill>
          </w14:textFill>
        </w:rPr>
        <w:t>utilization for the management of musculoskeletal disorders: a scoping review', BMC musculoskeletal disorders, 22(1), pp. 1-507. doi: 10.1186/s12891-021-04204-w.</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Style w:val="None"/>
          <w:rFonts w:ascii="Arial" w:cs="Arial" w:hAnsi="Arial" w:eastAsia="Arial"/>
          <w:outline w:val="0"/>
          <w:color w:val="525559"/>
          <w:sz w:val="22"/>
          <w:szCs w:val="22"/>
          <w:shd w:val="clear" w:color="auto" w:fill="ffffff"/>
          <w:rtl w:val="0"/>
          <w14:textFill>
            <w14:solidFill>
              <w14:srgbClr w14:val="53565A"/>
            </w14:solidFill>
          </w14:textFill>
        </w:rPr>
      </w:pPr>
      <w:r>
        <w:rPr>
          <w:rStyle w:val="None"/>
          <w:rFonts w:ascii="Arial" w:hAnsi="Arial"/>
          <w:outline w:val="0"/>
          <w:color w:val="525559"/>
          <w:sz w:val="22"/>
          <w:szCs w:val="22"/>
          <w:shd w:val="clear" w:color="auto" w:fill="ffffff"/>
          <w:rtl w:val="0"/>
          <w:lang w:val="en-US"/>
          <w14:textFill>
            <w14:solidFill>
              <w14:srgbClr w14:val="53565A"/>
            </w14:solidFill>
          </w14:textFill>
        </w:rPr>
        <w:t xml:space="preserve">Wales.Gov (2015) Prudent Health Care Wales. Available at: </w:t>
      </w:r>
      <w:r>
        <w:rPr>
          <w:rStyle w:val="Hyperlink.1"/>
          <w:rFonts w:ascii="Arial" w:cs="Arial" w:hAnsi="Arial" w:eastAsia="Arial"/>
          <w:outline w:val="0"/>
          <w:color w:val="0066cc"/>
          <w:sz w:val="22"/>
          <w:szCs w:val="22"/>
          <w:shd w:val="clear" w:color="auto" w:fill="ffffff"/>
          <w:rtl w:val="0"/>
          <w14:textFill>
            <w14:solidFill>
              <w14:srgbClr w14:val="0066CC"/>
            </w14:solidFill>
          </w14:textFill>
        </w:rPr>
        <w:fldChar w:fldCharType="begin" w:fldLock="0"/>
      </w:r>
      <w:r>
        <w:rPr>
          <w:rStyle w:val="Hyperlink.1"/>
          <w:rFonts w:ascii="Arial" w:cs="Arial" w:hAnsi="Arial" w:eastAsia="Arial"/>
          <w:outline w:val="0"/>
          <w:color w:val="0066cc"/>
          <w:sz w:val="22"/>
          <w:szCs w:val="22"/>
          <w:shd w:val="clear" w:color="auto" w:fill="ffffff"/>
          <w:rtl w:val="0"/>
          <w14:textFill>
            <w14:solidFill>
              <w14:srgbClr w14:val="0066CC"/>
            </w14:solidFill>
          </w14:textFill>
        </w:rPr>
        <w:instrText xml:space="preserve"> HYPERLINK "https://gov.wales/sites/default/files/publications/2019-04/securing-health-and-well-being-for-future-generations.pdf"</w:instrText>
      </w:r>
      <w:r>
        <w:rPr>
          <w:rStyle w:val="Hyperlink.1"/>
          <w:rFonts w:ascii="Arial" w:cs="Arial" w:hAnsi="Arial" w:eastAsia="Arial"/>
          <w:outline w:val="0"/>
          <w:color w:val="0066cc"/>
          <w:sz w:val="22"/>
          <w:szCs w:val="22"/>
          <w:shd w:val="clear" w:color="auto" w:fill="ffffff"/>
          <w:rtl w:val="0"/>
          <w14:textFill>
            <w14:solidFill>
              <w14:srgbClr w14:val="0066CC"/>
            </w14:solidFill>
          </w14:textFill>
        </w:rPr>
        <w:fldChar w:fldCharType="separate" w:fldLock="0"/>
      </w:r>
      <w:r>
        <w:rPr>
          <w:rStyle w:val="Hyperlink.1"/>
          <w:rFonts w:ascii="Arial" w:hAnsi="Arial"/>
          <w:outline w:val="0"/>
          <w:color w:val="0066cc"/>
          <w:sz w:val="22"/>
          <w:szCs w:val="22"/>
          <w:shd w:val="clear" w:color="auto" w:fill="ffffff"/>
          <w:rtl w:val="0"/>
          <w:lang w:val="en-US"/>
          <w14:textFill>
            <w14:solidFill>
              <w14:srgbClr w14:val="0066CC"/>
            </w14:solidFill>
          </w14:textFill>
        </w:rPr>
        <w:t>https://gov.wales/sites/default/files/publications/2019-04/securing-health-and-well-being-for-future-generations.pdf</w:t>
      </w:r>
      <w:r>
        <w:rPr>
          <w:rFonts w:ascii="Arial" w:cs="Arial" w:hAnsi="Arial" w:eastAsia="Arial"/>
          <w:outline w:val="0"/>
          <w:color w:val="0066cc"/>
          <w:sz w:val="22"/>
          <w:szCs w:val="22"/>
          <w:shd w:val="clear" w:color="auto" w:fill="ffffff"/>
          <w:rtl w:val="0"/>
          <w14:textFill>
            <w14:solidFill>
              <w14:srgbClr w14:val="0066CC"/>
            </w14:solidFill>
          </w14:textFill>
        </w:rPr>
        <w:fldChar w:fldCharType="end" w:fldLock="0"/>
      </w:r>
      <w:r>
        <w:rPr>
          <w:rStyle w:val="None"/>
          <w:rFonts w:ascii="Arial" w:hAnsi="Arial"/>
          <w:outline w:val="0"/>
          <w:color w:val="525559"/>
          <w:sz w:val="22"/>
          <w:szCs w:val="22"/>
          <w:shd w:val="clear" w:color="auto" w:fill="ffffff"/>
          <w:rtl w:val="0"/>
          <w:lang w:val="en-US"/>
          <w14:textFill>
            <w14:solidFill>
              <w14:srgbClr w14:val="53565A"/>
            </w14:solidFill>
          </w14:textFill>
        </w:rPr>
        <w:t xml:space="preserve"> (Accessed: .</w:t>
      </w:r>
    </w:p>
    <w:p>
      <w:pPr>
        <w:pStyle w:val="Default"/>
        <w:bidi w:val="0"/>
        <w:spacing w:before="0" w:line="360" w:lineRule="auto"/>
        <w:ind w:left="0" w:right="0" w:firstLine="0"/>
        <w:jc w:val="left"/>
        <w:rPr>
          <w:rStyle w:val="None"/>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r>
        <w:rPr>
          <w:rFonts w:ascii="Arial" w:hAnsi="Arial"/>
          <w:outline w:val="0"/>
          <w:color w:val="525559"/>
          <w:sz w:val="22"/>
          <w:szCs w:val="22"/>
          <w:shd w:val="clear" w:color="auto" w:fill="ffffff"/>
          <w:rtl w:val="0"/>
          <w:lang w:val="en-US"/>
          <w14:textFill>
            <w14:solidFill>
              <w14:srgbClr w14:val="53565A"/>
            </w14:solidFill>
          </w14:textFill>
        </w:rPr>
        <w:t>Willmore, E., Donachie, P. and Van der Windt, D. (2022) 'Musculoskeletal triage: Do advanced practitioners agree on referral allocation?', Physiotherapy, 114, pp. e148-e149. doi: 10.1016/j.physio.2021.12.112.</w:t>
      </w:r>
    </w:p>
    <w:p>
      <w:pPr>
        <w:pStyle w:val="Default"/>
        <w:bidi w:val="0"/>
        <w:spacing w:before="0" w:line="360" w:lineRule="auto"/>
        <w:ind w:left="0" w:right="0" w:firstLine="0"/>
        <w:jc w:val="left"/>
        <w:rPr>
          <w:rFonts w:ascii="Arial" w:cs="Arial" w:hAnsi="Arial" w:eastAsia="Arial"/>
          <w:outline w:val="0"/>
          <w:color w:val="525559"/>
          <w:sz w:val="22"/>
          <w:szCs w:val="22"/>
          <w:shd w:val="clear" w:color="auto" w:fill="ffffff"/>
          <w:rtl w:val="0"/>
          <w14:textFill>
            <w14:solidFill>
              <w14:srgbClr w14:val="53565A"/>
            </w14:solidFill>
          </w14:textFill>
        </w:rPr>
      </w:pPr>
    </w:p>
    <w:p>
      <w:pPr>
        <w:pStyle w:val="Default"/>
        <w:bidi w:val="0"/>
        <w:spacing w:before="0" w:line="360" w:lineRule="auto"/>
        <w:ind w:left="0" w:right="0" w:firstLine="0"/>
        <w:jc w:val="left"/>
        <w:rPr>
          <w:rtl w:val="0"/>
        </w:rPr>
      </w:pPr>
      <w:r>
        <w:rPr>
          <w:rFonts w:ascii="Arial" w:hAnsi="Arial"/>
          <w:outline w:val="0"/>
          <w:color w:val="525559"/>
          <w:sz w:val="22"/>
          <w:szCs w:val="22"/>
          <w:shd w:val="clear" w:color="auto" w:fill="ffffff"/>
          <w:rtl w:val="0"/>
          <w:lang w:val="en-US"/>
          <w14:textFill>
            <w14:solidFill>
              <w14:srgbClr w14:val="53565A"/>
            </w14:solidFill>
          </w14:textFill>
        </w:rPr>
        <w:t>Withers, K., Palmer, R., Lewis, S. and Carolan-Rees, G. (2020) 'First steps in PROMs and PREMs collection in Wales as part of the prudent and value-based healthcare agenda', Quality of life research; Qual Life Res, 30(11), pp. 3157-3170. doi: 10.1007/s11136-020-02711-2.</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Stephanie Lock</w:t>
    </w:r>
    <w:r>
      <w:tab/>
      <w:tab/>
    </w:r>
    <w:r>
      <w:rPr>
        <w:rtl w:val="0"/>
        <w:lang w:val="en-US"/>
      </w:rPr>
      <w:t>2112756</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1"/>
    </w:lvlOverride>
  </w:num>
  <w:num w:numId="4">
    <w:abstractNumId w:val="0"/>
    <w:lvlOverride w:ilvl="0">
      <w:startOverride w:val="1"/>
    </w:lvlOverride>
  </w:num>
  <w:num w:numId="5">
    <w:abstractNumId w:val="0"/>
    <w:lvlOverride w:ilvl="0">
      <w:startOverride w:val="1"/>
    </w:lvlOverride>
  </w:num>
  <w:num w:numId="6">
    <w:abstractNumId w:val="0"/>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40"/>
      <w:szCs w:val="40"/>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Numbered">
    <w:name w:val="Numbered"/>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66cc"/>
      <w14:textFill>
        <w14:solidFill>
          <w14:srgbClr w14:val="0066CC"/>
        </w14:solidFill>
      </w14:textFill>
    </w:rPr>
  </w:style>
  <w:style w:type="character" w:styleId="Hyperlink.1">
    <w:name w:val="Hyperlink.1"/>
    <w:basedOn w:val="Hyperlink"/>
    <w:next w:val="Hyperlink.1"/>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