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B5DA6" w:rsidR="00B21903" w:rsidP="00FB5DA6" w:rsidRDefault="00B21903" w14:paraId="7122B894" w14:textId="77777777">
      <w:pPr>
        <w:spacing w:line="360" w:lineRule="auto"/>
        <w:jc w:val="center"/>
        <w:rPr>
          <w:rFonts w:ascii="Times New Roman" w:hAnsi="Times New Roman" w:cs="Times New Roman"/>
          <w:sz w:val="28"/>
          <w:szCs w:val="28"/>
          <w:lang w:val="en-US"/>
        </w:rPr>
      </w:pPr>
    </w:p>
    <w:p w:rsidRPr="00FB5DA6" w:rsidR="00FB5DA6" w:rsidP="00FB5DA6" w:rsidRDefault="00FB5DA6" w14:paraId="61B2F501" w14:textId="77777777">
      <w:pPr>
        <w:spacing w:line="360" w:lineRule="auto"/>
        <w:jc w:val="center"/>
        <w:rPr>
          <w:rFonts w:ascii="Times New Roman" w:hAnsi="Times New Roman" w:cs="Times New Roman"/>
          <w:sz w:val="28"/>
          <w:szCs w:val="28"/>
        </w:rPr>
      </w:pPr>
    </w:p>
    <w:p w:rsidR="00FB5DA6" w:rsidP="00FB5DA6" w:rsidRDefault="00FB5DA6" w14:paraId="1D4BE90C" w14:textId="77777777">
      <w:pPr>
        <w:spacing w:line="360" w:lineRule="auto"/>
        <w:jc w:val="center"/>
        <w:rPr>
          <w:rStyle w:val="Strong"/>
          <w:rFonts w:ascii="Times New Roman" w:hAnsi="Times New Roman" w:cs="Times New Roman"/>
          <w:color w:val="000000"/>
          <w:sz w:val="28"/>
          <w:szCs w:val="28"/>
        </w:rPr>
      </w:pPr>
      <w:r w:rsidRPr="00FB5DA6">
        <w:rPr>
          <w:rStyle w:val="Strong"/>
          <w:rFonts w:ascii="Times New Roman" w:hAnsi="Times New Roman" w:cs="Times New Roman"/>
          <w:color w:val="000000"/>
          <w:sz w:val="28"/>
          <w:szCs w:val="28"/>
        </w:rPr>
        <w:t>BA (Hons) Business Management</w:t>
      </w:r>
      <w:r w:rsidRPr="00FB5DA6">
        <w:rPr>
          <w:rFonts w:ascii="Times New Roman" w:hAnsi="Times New Roman" w:cs="Times New Roman"/>
          <w:color w:val="000000"/>
          <w:sz w:val="28"/>
          <w:szCs w:val="28"/>
        </w:rPr>
        <w:br/>
      </w:r>
      <w:r w:rsidRPr="00FB5DA6">
        <w:rPr>
          <w:rStyle w:val="Strong"/>
          <w:rFonts w:ascii="Times New Roman" w:hAnsi="Times New Roman" w:cs="Times New Roman"/>
          <w:color w:val="000000"/>
          <w:sz w:val="28"/>
          <w:szCs w:val="28"/>
        </w:rPr>
        <w:t>Module: LCBB6003 – Leadership and Management Theory and Practice</w:t>
      </w:r>
    </w:p>
    <w:p w:rsidR="00FB5DA6" w:rsidP="00FB5DA6" w:rsidRDefault="00FB5DA6" w14:paraId="7D92E1BE" w14:textId="77777777">
      <w:pPr>
        <w:spacing w:line="360" w:lineRule="auto"/>
        <w:jc w:val="center"/>
        <w:rPr>
          <w:rStyle w:val="Strong"/>
          <w:rFonts w:ascii="Times New Roman" w:hAnsi="Times New Roman" w:cs="Times New Roman"/>
          <w:color w:val="000000"/>
          <w:sz w:val="28"/>
          <w:szCs w:val="28"/>
        </w:rPr>
      </w:pPr>
    </w:p>
    <w:p w:rsidRPr="00FB5DA6" w:rsidR="00FB5DA6" w:rsidP="00FB5DA6" w:rsidRDefault="00FB5DA6" w14:paraId="5617267A" w14:textId="043843EF">
      <w:pPr>
        <w:spacing w:line="360" w:lineRule="auto"/>
        <w:jc w:val="center"/>
        <w:rPr>
          <w:rFonts w:ascii="Times New Roman" w:hAnsi="Times New Roman" w:cs="Times New Roman"/>
          <w:sz w:val="28"/>
          <w:szCs w:val="28"/>
        </w:rPr>
      </w:pPr>
      <w:r w:rsidRPr="00FB5DA6">
        <w:rPr>
          <w:rFonts w:ascii="Times New Roman" w:hAnsi="Times New Roman" w:cs="Times New Roman"/>
          <w:color w:val="000000"/>
          <w:sz w:val="28"/>
          <w:szCs w:val="28"/>
        </w:rPr>
        <w:br/>
      </w:r>
      <w:r w:rsidRPr="00FB5DA6">
        <w:rPr>
          <w:rStyle w:val="Strong"/>
          <w:rFonts w:ascii="Times New Roman" w:hAnsi="Times New Roman" w:cs="Times New Roman"/>
          <w:color w:val="000000"/>
          <w:sz w:val="28"/>
          <w:szCs w:val="28"/>
        </w:rPr>
        <w:t>Assignment Title:</w:t>
      </w:r>
      <w:r w:rsidRPr="00FB5DA6">
        <w:rPr>
          <w:rFonts w:ascii="Times New Roman" w:hAnsi="Times New Roman" w:cs="Times New Roman"/>
          <w:color w:val="000000"/>
          <w:sz w:val="28"/>
          <w:szCs w:val="28"/>
        </w:rPr>
        <w:br/>
      </w:r>
      <w:r w:rsidRPr="00FB5DA6">
        <w:rPr>
          <w:rStyle w:val="Strong"/>
          <w:rFonts w:ascii="Times New Roman" w:hAnsi="Times New Roman" w:cs="Times New Roman"/>
          <w:color w:val="000000"/>
          <w:sz w:val="28"/>
          <w:szCs w:val="28"/>
        </w:rPr>
        <w:t>Critically Evaluate Why Controlling is Essential in Organisations. Discuss the Challenges Associated with Controlling and How Managers Can Mitigate These Challenges.</w:t>
      </w:r>
    </w:p>
    <w:p w:rsidR="00FB5DA6" w:rsidP="00FC69A8" w:rsidRDefault="00FB5DA6" w14:paraId="1EA05B72" w14:textId="77777777">
      <w:pPr>
        <w:spacing w:line="360" w:lineRule="auto"/>
        <w:jc w:val="both"/>
        <w:rPr>
          <w:rFonts w:ascii="Times New Roman" w:hAnsi="Times New Roman" w:cs="Times New Roman"/>
          <w:color w:val="000000" w:themeColor="text1"/>
        </w:rPr>
      </w:pPr>
    </w:p>
    <w:p w:rsidR="00FB5DA6" w:rsidP="00FC69A8" w:rsidRDefault="00FB5DA6" w14:paraId="3916E5D7" w14:textId="77777777">
      <w:pPr>
        <w:spacing w:line="360" w:lineRule="auto"/>
        <w:jc w:val="both"/>
        <w:rPr>
          <w:rFonts w:ascii="Times New Roman" w:hAnsi="Times New Roman" w:cs="Times New Roman"/>
          <w:color w:val="000000" w:themeColor="text1"/>
        </w:rPr>
      </w:pPr>
    </w:p>
    <w:p w:rsidR="00FB5DA6" w:rsidP="00FC69A8" w:rsidRDefault="00FB5DA6" w14:paraId="3E9FE0EA" w14:textId="77777777">
      <w:pPr>
        <w:spacing w:line="360" w:lineRule="auto"/>
        <w:jc w:val="both"/>
        <w:rPr>
          <w:rFonts w:ascii="Times New Roman" w:hAnsi="Times New Roman" w:cs="Times New Roman"/>
          <w:color w:val="000000" w:themeColor="text1"/>
        </w:rPr>
      </w:pPr>
    </w:p>
    <w:p w:rsidR="00FB5DA6" w:rsidP="00FC69A8" w:rsidRDefault="00FB5DA6" w14:paraId="6E6B9F27" w14:textId="11B58EC9">
      <w:pPr>
        <w:spacing w:line="360" w:lineRule="auto"/>
        <w:jc w:val="both"/>
        <w:rPr>
          <w:rFonts w:ascii="Times New Roman" w:hAnsi="Times New Roman" w:cs="Times New Roman"/>
          <w:color w:val="000000" w:themeColor="text1"/>
        </w:rPr>
      </w:pPr>
      <w:r w:rsidRPr="40C9C24C" w:rsidR="00FB5DA6">
        <w:rPr>
          <w:rFonts w:ascii="Times New Roman" w:hAnsi="Times New Roman" w:cs="Times New Roman"/>
          <w:color w:val="000000" w:themeColor="text1" w:themeTint="FF" w:themeShade="FF"/>
        </w:rPr>
        <w:t>Student name:</w:t>
      </w:r>
      <w:r w:rsidRPr="40C9C24C" w:rsidR="7D2F493B">
        <w:rPr>
          <w:rFonts w:ascii="Times New Roman" w:hAnsi="Times New Roman" w:cs="Times New Roman"/>
          <w:color w:val="000000" w:themeColor="text1" w:themeTint="FF" w:themeShade="FF"/>
        </w:rPr>
        <w:t xml:space="preserve"> </w:t>
      </w:r>
      <w:r w:rsidRPr="40C9C24C" w:rsidR="7D2F493B">
        <w:rPr>
          <w:rFonts w:ascii="Times New Roman" w:hAnsi="Times New Roman" w:cs="Times New Roman"/>
          <w:color w:val="000000" w:themeColor="text1" w:themeTint="FF" w:themeShade="FF"/>
        </w:rPr>
        <w:t>Brindusa-</w:t>
      </w:r>
      <w:r w:rsidRPr="40C9C24C" w:rsidR="7D2F493B">
        <w:rPr>
          <w:rFonts w:ascii="Times New Roman" w:hAnsi="Times New Roman" w:cs="Times New Roman"/>
          <w:color w:val="000000" w:themeColor="text1" w:themeTint="FF" w:themeShade="FF"/>
        </w:rPr>
        <w:t>Mihaela Ciobanu</w:t>
      </w:r>
    </w:p>
    <w:p w:rsidR="00FB5DA6" w:rsidP="00FC69A8" w:rsidRDefault="00FB5DA6" w14:paraId="6BC91D9C" w14:textId="77777777">
      <w:pPr>
        <w:spacing w:line="360" w:lineRule="auto"/>
        <w:jc w:val="both"/>
        <w:rPr>
          <w:rFonts w:ascii="Times New Roman" w:hAnsi="Times New Roman" w:cs="Times New Roman"/>
          <w:color w:val="000000" w:themeColor="text1"/>
        </w:rPr>
      </w:pPr>
    </w:p>
    <w:p w:rsidR="00FB5DA6" w:rsidP="00FC69A8" w:rsidRDefault="00FB5DA6" w14:paraId="19276875" w14:textId="41AC85A4">
      <w:pPr>
        <w:spacing w:line="360" w:lineRule="auto"/>
        <w:jc w:val="both"/>
        <w:rPr>
          <w:rFonts w:ascii="Times New Roman" w:hAnsi="Times New Roman" w:cs="Times New Roman"/>
          <w:color w:val="000000" w:themeColor="text1"/>
        </w:rPr>
      </w:pPr>
      <w:r w:rsidRPr="40C9C24C" w:rsidR="00FB5DA6">
        <w:rPr>
          <w:rFonts w:ascii="Times New Roman" w:hAnsi="Times New Roman" w:cs="Times New Roman"/>
          <w:color w:val="000000" w:themeColor="text1" w:themeTint="FF" w:themeShade="FF"/>
        </w:rPr>
        <w:t>Student number:</w:t>
      </w:r>
      <w:r w:rsidRPr="40C9C24C" w:rsidR="543FA7BB">
        <w:rPr>
          <w:rFonts w:ascii="Times New Roman" w:hAnsi="Times New Roman" w:cs="Times New Roman"/>
          <w:color w:val="000000" w:themeColor="text1" w:themeTint="FF" w:themeShade="FF"/>
        </w:rPr>
        <w:t xml:space="preserve"> 2247469</w:t>
      </w:r>
    </w:p>
    <w:p w:rsidR="00FB5DA6" w:rsidP="00FC69A8" w:rsidRDefault="00FB5DA6" w14:paraId="764C9160" w14:textId="77777777">
      <w:pPr>
        <w:spacing w:line="360" w:lineRule="auto"/>
        <w:jc w:val="both"/>
        <w:rPr>
          <w:rFonts w:ascii="Times New Roman" w:hAnsi="Times New Roman" w:cs="Times New Roman"/>
          <w:color w:val="000000" w:themeColor="text1"/>
        </w:rPr>
      </w:pPr>
    </w:p>
    <w:p w:rsidR="00FB5DA6" w:rsidP="00FC69A8" w:rsidRDefault="00FB5DA6" w14:paraId="1B1C5565" w14:textId="77777777">
      <w:pPr>
        <w:spacing w:line="360" w:lineRule="auto"/>
        <w:jc w:val="both"/>
        <w:rPr>
          <w:rFonts w:ascii="Times New Roman" w:hAnsi="Times New Roman" w:cs="Times New Roman"/>
          <w:color w:val="000000" w:themeColor="text1"/>
        </w:rPr>
      </w:pPr>
    </w:p>
    <w:p w:rsidR="00FB5DA6" w:rsidP="00FC69A8" w:rsidRDefault="00FB5DA6" w14:paraId="3635AFCF" w14:textId="77777777">
      <w:pPr>
        <w:spacing w:line="360" w:lineRule="auto"/>
        <w:jc w:val="both"/>
        <w:rPr>
          <w:rFonts w:ascii="Times New Roman" w:hAnsi="Times New Roman" w:cs="Times New Roman"/>
          <w:color w:val="000000" w:themeColor="text1"/>
        </w:rPr>
      </w:pPr>
    </w:p>
    <w:p w:rsidR="00FB5DA6" w:rsidP="00FC69A8" w:rsidRDefault="00FB5DA6" w14:paraId="40327E26" w14:textId="77777777">
      <w:pPr>
        <w:spacing w:line="360" w:lineRule="auto"/>
        <w:jc w:val="both"/>
        <w:rPr>
          <w:rFonts w:ascii="Times New Roman" w:hAnsi="Times New Roman" w:cs="Times New Roman"/>
          <w:color w:val="000000" w:themeColor="text1"/>
        </w:rPr>
      </w:pPr>
    </w:p>
    <w:p w:rsidR="00FB5DA6" w:rsidP="00FC69A8" w:rsidRDefault="00FB5DA6" w14:paraId="64346155" w14:textId="77777777">
      <w:pPr>
        <w:spacing w:line="360" w:lineRule="auto"/>
        <w:jc w:val="both"/>
        <w:rPr>
          <w:rFonts w:ascii="Times New Roman" w:hAnsi="Times New Roman" w:cs="Times New Roman"/>
          <w:color w:val="000000" w:themeColor="text1"/>
        </w:rPr>
      </w:pPr>
    </w:p>
    <w:p w:rsidR="00FB5DA6" w:rsidP="00FC69A8" w:rsidRDefault="00FB5DA6" w14:paraId="7B3AE00F" w14:textId="77777777">
      <w:pPr>
        <w:spacing w:line="360" w:lineRule="auto"/>
        <w:jc w:val="both"/>
        <w:rPr>
          <w:rFonts w:ascii="Times New Roman" w:hAnsi="Times New Roman" w:cs="Times New Roman"/>
          <w:color w:val="000000" w:themeColor="text1"/>
        </w:rPr>
      </w:pPr>
    </w:p>
    <w:p w:rsidR="00FB5DA6" w:rsidP="00FC69A8" w:rsidRDefault="00FB5DA6" w14:paraId="0B086267" w14:textId="77777777">
      <w:pPr>
        <w:spacing w:line="360" w:lineRule="auto"/>
        <w:jc w:val="both"/>
        <w:rPr>
          <w:rFonts w:ascii="Times New Roman" w:hAnsi="Times New Roman" w:cs="Times New Roman"/>
          <w:color w:val="000000" w:themeColor="text1"/>
        </w:rPr>
      </w:pPr>
    </w:p>
    <w:p w:rsidR="00FB5DA6" w:rsidP="00FC69A8" w:rsidRDefault="00FB5DA6" w14:paraId="193750CE" w14:textId="77777777">
      <w:pPr>
        <w:spacing w:line="360" w:lineRule="auto"/>
        <w:jc w:val="both"/>
        <w:rPr>
          <w:rFonts w:ascii="Times New Roman" w:hAnsi="Times New Roman" w:cs="Times New Roman"/>
          <w:color w:val="000000" w:themeColor="text1"/>
        </w:rPr>
      </w:pPr>
    </w:p>
    <w:p w:rsidR="00FB5DA6" w:rsidP="00FC69A8" w:rsidRDefault="00FB5DA6" w14:paraId="47892108" w14:textId="77777777">
      <w:pPr>
        <w:spacing w:line="360" w:lineRule="auto"/>
        <w:jc w:val="both"/>
        <w:rPr>
          <w:rFonts w:ascii="Times New Roman" w:hAnsi="Times New Roman" w:cs="Times New Roman"/>
          <w:color w:val="000000" w:themeColor="text1"/>
        </w:rPr>
      </w:pPr>
    </w:p>
    <w:p w:rsidR="00FB5DA6" w:rsidP="00FC69A8" w:rsidRDefault="00FB5DA6" w14:paraId="0484A1A9" w14:textId="77777777">
      <w:pPr>
        <w:spacing w:line="360" w:lineRule="auto"/>
        <w:jc w:val="both"/>
        <w:rPr>
          <w:rFonts w:ascii="Times New Roman" w:hAnsi="Times New Roman" w:cs="Times New Roman"/>
          <w:color w:val="000000" w:themeColor="text1"/>
        </w:rPr>
      </w:pPr>
    </w:p>
    <w:p w:rsidR="00FB5DA6" w:rsidP="00FC69A8" w:rsidRDefault="00FB5DA6" w14:paraId="31DC3F74" w14:textId="77777777">
      <w:pPr>
        <w:spacing w:line="360" w:lineRule="auto"/>
        <w:jc w:val="both"/>
        <w:rPr>
          <w:rFonts w:ascii="Times New Roman" w:hAnsi="Times New Roman" w:cs="Times New Roman"/>
          <w:color w:val="000000" w:themeColor="text1"/>
        </w:rPr>
      </w:pPr>
    </w:p>
    <w:p w:rsidR="00FB5DA6" w:rsidP="00FC69A8" w:rsidRDefault="00FB5DA6" w14:paraId="32076460" w14:textId="77777777">
      <w:pPr>
        <w:spacing w:line="360" w:lineRule="auto"/>
        <w:jc w:val="both"/>
        <w:rPr>
          <w:rFonts w:ascii="Times New Roman" w:hAnsi="Times New Roman" w:cs="Times New Roman"/>
          <w:color w:val="000000" w:themeColor="text1"/>
        </w:rPr>
      </w:pPr>
    </w:p>
    <w:p w:rsidR="00FB5DA6" w:rsidP="00FC69A8" w:rsidRDefault="00FB5DA6" w14:paraId="56E4562B" w14:textId="77777777">
      <w:pPr>
        <w:spacing w:line="360" w:lineRule="auto"/>
        <w:jc w:val="both"/>
        <w:rPr>
          <w:rFonts w:ascii="Times New Roman" w:hAnsi="Times New Roman" w:cs="Times New Roman"/>
          <w:color w:val="000000" w:themeColor="text1"/>
        </w:rPr>
      </w:pPr>
    </w:p>
    <w:p w:rsidR="00FB5DA6" w:rsidP="00FC69A8" w:rsidRDefault="00FB5DA6" w14:paraId="48C29A9A" w14:textId="77777777">
      <w:pPr>
        <w:spacing w:line="360" w:lineRule="auto"/>
        <w:jc w:val="both"/>
        <w:rPr>
          <w:rFonts w:ascii="Times New Roman" w:hAnsi="Times New Roman" w:cs="Times New Roman"/>
          <w:color w:val="000000" w:themeColor="text1"/>
        </w:rPr>
      </w:pPr>
    </w:p>
    <w:p w:rsidR="00FB5DA6" w:rsidP="00FC69A8" w:rsidRDefault="00FB5DA6" w14:paraId="00C01E3A" w14:textId="77777777">
      <w:pPr>
        <w:spacing w:line="360" w:lineRule="auto"/>
        <w:jc w:val="both"/>
        <w:rPr>
          <w:rFonts w:ascii="Times New Roman" w:hAnsi="Times New Roman" w:cs="Times New Roman"/>
          <w:color w:val="000000" w:themeColor="text1"/>
        </w:rPr>
      </w:pPr>
    </w:p>
    <w:p w:rsidR="00FB5DA6" w:rsidP="00FC69A8" w:rsidRDefault="00FB5DA6" w14:paraId="6EA2A42F" w14:textId="77777777">
      <w:pPr>
        <w:spacing w:line="360" w:lineRule="auto"/>
        <w:jc w:val="both"/>
        <w:rPr>
          <w:rFonts w:ascii="Times New Roman" w:hAnsi="Times New Roman" w:cs="Times New Roman"/>
          <w:color w:val="000000" w:themeColor="text1"/>
        </w:rPr>
      </w:pPr>
    </w:p>
    <w:p w:rsidRPr="00FB5DA6" w:rsidR="00FC69A8" w:rsidP="00FC69A8" w:rsidRDefault="00FC69A8" w14:paraId="7408AC08" w14:textId="6554508A">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lastRenderedPageBreak/>
        <w:t xml:space="preserve">In the current business environment, management is essential to the effective functioning and sustainability of all </w:t>
      </w:r>
      <w:r w:rsidRPr="00FB5DA6" w:rsidR="00CF175D">
        <w:rPr>
          <w:rFonts w:ascii="Times New Roman" w:hAnsi="Times New Roman" w:cs="Times New Roman"/>
          <w:color w:val="000000" w:themeColor="text1"/>
        </w:rPr>
        <w:t>organisations</w:t>
      </w:r>
      <w:r w:rsidRPr="00FB5DA6">
        <w:rPr>
          <w:rFonts w:ascii="Times New Roman" w:hAnsi="Times New Roman" w:cs="Times New Roman"/>
          <w:color w:val="000000" w:themeColor="text1"/>
        </w:rPr>
        <w:t xml:space="preserve">. Management, as outlined in the literature, comprises Planning, </w:t>
      </w:r>
      <w:r w:rsidRPr="00FB5DA6" w:rsidR="00CF175D">
        <w:rPr>
          <w:rFonts w:ascii="Times New Roman" w:hAnsi="Times New Roman" w:cs="Times New Roman"/>
          <w:color w:val="000000" w:themeColor="text1"/>
        </w:rPr>
        <w:t>Organising</w:t>
      </w:r>
      <w:r w:rsidRPr="00FB5DA6">
        <w:rPr>
          <w:rFonts w:ascii="Times New Roman" w:hAnsi="Times New Roman" w:cs="Times New Roman"/>
          <w:color w:val="000000" w:themeColor="text1"/>
        </w:rPr>
        <w:t xml:space="preserve">, Leading, and Controlling (Robbins &amp; Coulter, 2020). Planning involves setting an objective, </w:t>
      </w:r>
      <w:r w:rsidRPr="00FB5DA6" w:rsidR="00CF175D">
        <w:rPr>
          <w:rFonts w:ascii="Times New Roman" w:hAnsi="Times New Roman" w:cs="Times New Roman"/>
          <w:color w:val="000000" w:themeColor="text1"/>
        </w:rPr>
        <w:t>Organising</w:t>
      </w:r>
      <w:r w:rsidRPr="00FB5DA6">
        <w:rPr>
          <w:rFonts w:ascii="Times New Roman" w:hAnsi="Times New Roman" w:cs="Times New Roman"/>
          <w:color w:val="000000" w:themeColor="text1"/>
        </w:rPr>
        <w:t xml:space="preserve"> involves assembling the resources, and Leading involves motivating the people, but it is the control function that guarantees the </w:t>
      </w:r>
      <w:r w:rsidRPr="00FB5DA6" w:rsidR="00CF175D">
        <w:rPr>
          <w:rFonts w:ascii="Times New Roman" w:hAnsi="Times New Roman" w:cs="Times New Roman"/>
          <w:color w:val="000000" w:themeColor="text1"/>
        </w:rPr>
        <w:t>organisation</w:t>
      </w:r>
      <w:r w:rsidRPr="00FB5DA6">
        <w:rPr>
          <w:rFonts w:ascii="Times New Roman" w:hAnsi="Times New Roman" w:cs="Times New Roman"/>
          <w:color w:val="000000" w:themeColor="text1"/>
        </w:rPr>
        <w:t xml:space="preserve"> does not deviate from its objective/path. This is the primary rationale for this paper to explain and justify the importance of the control function </w:t>
      </w:r>
      <w:r w:rsidRPr="00FB5DA6" w:rsidR="00CF175D">
        <w:rPr>
          <w:rFonts w:ascii="Times New Roman" w:hAnsi="Times New Roman" w:cs="Times New Roman"/>
          <w:color w:val="000000" w:themeColor="text1"/>
        </w:rPr>
        <w:t>compared</w:t>
      </w:r>
      <w:r w:rsidRPr="00FB5DA6">
        <w:rPr>
          <w:rFonts w:ascii="Times New Roman" w:hAnsi="Times New Roman" w:cs="Times New Roman"/>
          <w:color w:val="000000" w:themeColor="text1"/>
        </w:rPr>
        <w:t xml:space="preserve"> to the other three. This is to explain that control is not merely reactive, but it is also important for proactive strategy formulation, in the overall </w:t>
      </w:r>
      <w:r w:rsidRPr="00FB5DA6" w:rsidR="00CF175D">
        <w:rPr>
          <w:rFonts w:ascii="Times New Roman" w:hAnsi="Times New Roman" w:cs="Times New Roman"/>
          <w:color w:val="000000" w:themeColor="text1"/>
        </w:rPr>
        <w:t>organisational</w:t>
      </w:r>
      <w:r w:rsidRPr="00FB5DA6">
        <w:rPr>
          <w:rFonts w:ascii="Times New Roman" w:hAnsi="Times New Roman" w:cs="Times New Roman"/>
          <w:color w:val="000000" w:themeColor="text1"/>
        </w:rPr>
        <w:t xml:space="preserve"> framework. The subsequent sections of the paper will describe </w:t>
      </w:r>
      <w:r w:rsidRPr="00FB5DA6" w:rsidR="00CF175D">
        <w:rPr>
          <w:rFonts w:ascii="Times New Roman" w:hAnsi="Times New Roman" w:cs="Times New Roman"/>
          <w:color w:val="000000" w:themeColor="text1"/>
        </w:rPr>
        <w:t xml:space="preserve">the </w:t>
      </w:r>
      <w:r w:rsidRPr="00FB5DA6">
        <w:rPr>
          <w:rFonts w:ascii="Times New Roman" w:hAnsi="Times New Roman" w:cs="Times New Roman"/>
          <w:color w:val="000000" w:themeColor="text1"/>
        </w:rPr>
        <w:t>other three managerial functions, then explain control in detail, followed by the challenges of control—like employee resistance and complex data—and end with modern methods of control</w:t>
      </w:r>
      <w:r w:rsidRPr="00FB5DA6" w:rsidR="00CF175D">
        <w:rPr>
          <w:rFonts w:ascii="Times New Roman" w:hAnsi="Times New Roman" w:cs="Times New Roman"/>
          <w:color w:val="000000" w:themeColor="text1"/>
        </w:rPr>
        <w:t xml:space="preserve"> (Desa &amp; </w:t>
      </w:r>
      <w:proofErr w:type="spellStart"/>
      <w:r w:rsidRPr="00FB5DA6" w:rsidR="00CF175D">
        <w:rPr>
          <w:rFonts w:ascii="Times New Roman" w:hAnsi="Times New Roman" w:cs="Times New Roman"/>
          <w:color w:val="000000" w:themeColor="text1"/>
        </w:rPr>
        <w:t>Joldeska</w:t>
      </w:r>
      <w:proofErr w:type="spellEnd"/>
      <w:r w:rsidRPr="00FB5DA6" w:rsidR="00CF175D">
        <w:rPr>
          <w:rFonts w:ascii="Times New Roman" w:hAnsi="Times New Roman" w:cs="Times New Roman"/>
          <w:color w:val="000000" w:themeColor="text1"/>
        </w:rPr>
        <w:t>, 2025)</w:t>
      </w:r>
      <w:r w:rsidRPr="00FB5DA6">
        <w:rPr>
          <w:rFonts w:ascii="Times New Roman" w:hAnsi="Times New Roman" w:cs="Times New Roman"/>
          <w:color w:val="000000" w:themeColor="text1"/>
        </w:rPr>
        <w:t>.</w:t>
      </w:r>
    </w:p>
    <w:p w:rsidRPr="00FB5DA6" w:rsidR="00FC69A8" w:rsidP="00FC69A8" w:rsidRDefault="00FC69A8" w14:paraId="61B609FC" w14:textId="77777777">
      <w:pPr>
        <w:spacing w:line="360" w:lineRule="auto"/>
        <w:jc w:val="both"/>
        <w:rPr>
          <w:rFonts w:ascii="Times New Roman" w:hAnsi="Times New Roman" w:cs="Times New Roman"/>
          <w:color w:val="000000" w:themeColor="text1"/>
        </w:rPr>
      </w:pPr>
    </w:p>
    <w:p w:rsidRPr="00FB5DA6" w:rsidR="00FC69A8" w:rsidP="00FC69A8" w:rsidRDefault="00FC69A8" w14:paraId="55D44550" w14:textId="57754E89">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The </w:t>
      </w:r>
      <w:r w:rsidRPr="00FB5DA6" w:rsidR="00CF175D">
        <w:rPr>
          <w:rFonts w:ascii="Times New Roman" w:hAnsi="Times New Roman" w:cs="Times New Roman"/>
          <w:color w:val="000000" w:themeColor="text1"/>
        </w:rPr>
        <w:t>performance</w:t>
      </w:r>
      <w:r w:rsidRPr="00FB5DA6">
        <w:rPr>
          <w:rFonts w:ascii="Times New Roman" w:hAnsi="Times New Roman" w:cs="Times New Roman"/>
          <w:color w:val="000000" w:themeColor="text1"/>
        </w:rPr>
        <w:t xml:space="preserve"> of managerial functions gives a streamlined method of reaching the goals of an organisation. Such functions are interrelated and cyclical. Planning sets the stage for all the rest. It entails the setting of objectives, the creation of a strategy, and the construction of a plan to integrate activities. According to Robbins and Coulter (2020), it involves "deciding what is to be done." Next comes organising, which entails determining what tasks are to be done, who is to do them, how the tasks are to be grouped, and the concentration of power. This establishes the framework within which the plans are executed</w:t>
      </w:r>
      <w:r w:rsidRPr="00FB5DA6" w:rsidR="00CF175D">
        <w:rPr>
          <w:rFonts w:ascii="Times New Roman" w:hAnsi="Times New Roman" w:cs="Times New Roman"/>
          <w:color w:val="000000" w:themeColor="text1"/>
        </w:rPr>
        <w:t xml:space="preserve"> (</w:t>
      </w:r>
      <w:proofErr w:type="spellStart"/>
      <w:r w:rsidRPr="00FB5DA6" w:rsidR="00CF175D">
        <w:rPr>
          <w:rFonts w:ascii="Times New Roman" w:hAnsi="Times New Roman" w:cs="Times New Roman"/>
          <w:color w:val="000000" w:themeColor="text1"/>
        </w:rPr>
        <w:t>Cizmic</w:t>
      </w:r>
      <w:proofErr w:type="spellEnd"/>
      <w:r w:rsidRPr="00FB5DA6" w:rsidR="00CF175D">
        <w:rPr>
          <w:rFonts w:ascii="Times New Roman" w:hAnsi="Times New Roman" w:cs="Times New Roman"/>
          <w:color w:val="000000" w:themeColor="text1"/>
        </w:rPr>
        <w:t xml:space="preserve"> et al., 2024)</w:t>
      </w:r>
      <w:r w:rsidRPr="00FB5DA6">
        <w:rPr>
          <w:rFonts w:ascii="Times New Roman" w:hAnsi="Times New Roman" w:cs="Times New Roman"/>
          <w:color w:val="000000" w:themeColor="text1"/>
        </w:rPr>
        <w:t>.</w:t>
      </w:r>
    </w:p>
    <w:p w:rsidRPr="00FB5DA6" w:rsidR="00FC69A8" w:rsidP="00FC69A8" w:rsidRDefault="00FC69A8" w14:paraId="4B73F9A9" w14:textId="5F865881">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Leading encompasses motivating subordinates, directing, choosing appropriate modes of communication, and resolving conflicts (Northouse, 2021). It is the human function that drives energy to the organisation. Last in the hierarchy is the function of Controlling. It entails the assessment of activities to verify completion</w:t>
      </w:r>
      <w:r w:rsidRPr="00FB5DA6" w:rsidR="00CF175D">
        <w:rPr>
          <w:rFonts w:ascii="Times New Roman" w:hAnsi="Times New Roman" w:cs="Times New Roman"/>
          <w:color w:val="000000" w:themeColor="text1"/>
        </w:rPr>
        <w:t>,</w:t>
      </w:r>
      <w:r w:rsidRPr="00FB5DA6">
        <w:rPr>
          <w:rFonts w:ascii="Times New Roman" w:hAnsi="Times New Roman" w:cs="Times New Roman"/>
          <w:color w:val="000000" w:themeColor="text1"/>
        </w:rPr>
        <w:t xml:space="preserve"> to plan and the adjustment of actions to plan in the event of large and unapparent deviations (Certo and Certo, 2019). In the absence of control, even the best strategy, most efficient structure, and most inspiring leadership will fail, because there will be no means of assessing completions. These functions are an integrated system in that the feedback from the control function almost always requires an adjustment to the plan. This illustrates that control is not an end function, but a crucial element of feedback for learning and adaptation within the </w:t>
      </w:r>
      <w:r w:rsidRPr="00FB5DA6" w:rsidR="00B21903">
        <w:rPr>
          <w:rFonts w:ascii="Times New Roman" w:hAnsi="Times New Roman" w:cs="Times New Roman"/>
          <w:color w:val="000000" w:themeColor="text1"/>
        </w:rPr>
        <w:t>organisation</w:t>
      </w:r>
      <w:r w:rsidRPr="00FB5DA6" w:rsidR="00CF175D">
        <w:rPr>
          <w:rFonts w:ascii="Times New Roman" w:hAnsi="Times New Roman" w:cs="Times New Roman"/>
          <w:color w:val="000000" w:themeColor="text1"/>
        </w:rPr>
        <w:t xml:space="preserve"> (Zhao et al., 2024).</w:t>
      </w:r>
    </w:p>
    <w:p w:rsidRPr="00FB5DA6" w:rsidR="00FC69A8" w:rsidP="00FC69A8" w:rsidRDefault="00FC69A8" w14:paraId="069AB8F0"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The controlling function is essential as it translates strategy into tangible results and safeguards the organisation.</w:t>
      </w:r>
    </w:p>
    <w:p w:rsidRPr="00FB5DA6" w:rsidR="00BF322C" w:rsidP="00BF322C" w:rsidRDefault="004B4E29" w14:paraId="7E3321F5" w14:textId="1C825AD8">
      <w:pPr>
        <w:spacing w:line="360" w:lineRule="auto"/>
        <w:jc w:val="both"/>
        <w:rPr>
          <w:rFonts w:ascii="Times New Roman" w:hAnsi="Times New Roman" w:cs="Times New Roman"/>
        </w:rPr>
      </w:pPr>
      <w:bookmarkStart w:name="_Toc213010473" w:id="0"/>
      <w:r w:rsidRPr="00FB5DA6">
        <w:rPr>
          <w:rFonts w:ascii="Times New Roman" w:hAnsi="Times New Roman" w:cs="Times New Roman"/>
        </w:rPr>
        <w:t>Most importantly, control systems ensure that objectives are attained.</w:t>
      </w:r>
      <w:r w:rsidRPr="00FB5DA6" w:rsidR="00BF322C">
        <w:rPr>
          <w:rFonts w:ascii="Times New Roman" w:hAnsi="Times New Roman" w:cs="Times New Roman"/>
        </w:rPr>
        <w:t xml:space="preserve"> The Balanced Scorecard system (</w:t>
      </w:r>
      <w:proofErr w:type="spellStart"/>
      <w:r w:rsidRPr="00FB5DA6" w:rsidR="00BF322C">
        <w:rPr>
          <w:rFonts w:ascii="Times New Roman" w:hAnsi="Times New Roman" w:cs="Times New Roman"/>
        </w:rPr>
        <w:t>Sureshchandar</w:t>
      </w:r>
      <w:proofErr w:type="spellEnd"/>
      <w:r w:rsidRPr="00FB5DA6" w:rsidR="00BF322C">
        <w:rPr>
          <w:rFonts w:ascii="Times New Roman" w:hAnsi="Times New Roman" w:cs="Times New Roman"/>
        </w:rPr>
        <w:t xml:space="preserve">, 2020) depicts a comprehensive view of different aspects of </w:t>
      </w:r>
      <w:r w:rsidRPr="00FB5DA6" w:rsidR="00BF322C">
        <w:rPr>
          <w:rFonts w:ascii="Times New Roman" w:hAnsi="Times New Roman" w:cs="Times New Roman"/>
        </w:rPr>
        <w:lastRenderedPageBreak/>
        <w:t>performance – financial, customer, internal processes, and learning/growth. Take Amazon, for example, which “obsessively” (Brynjolfsson &amp; McAfee, 2021) manages and monitors control systems and KPIs down to the finest details, whether it is the productivity of a warehouse or the responsiveness of a customer service representative. In fast-changing industries, the alignment of control systems and the overall strategy of the company is intended to be active and, thus, to be quickly adaptable. This is, by far, one of the most important characteristics of strategic management these days.</w:t>
      </w:r>
    </w:p>
    <w:p w:rsidRPr="00FB5DA6" w:rsidR="004B4E29" w:rsidP="00BF322C" w:rsidRDefault="00BF322C" w14:paraId="7B504B5A" w14:textId="0EDEC673">
      <w:pPr>
        <w:spacing w:line="360" w:lineRule="auto"/>
        <w:jc w:val="both"/>
        <w:rPr>
          <w:rFonts w:ascii="Times New Roman" w:hAnsi="Times New Roman" w:cs="Times New Roman"/>
        </w:rPr>
      </w:pPr>
      <w:r w:rsidRPr="00FB5DA6">
        <w:rPr>
          <w:rFonts w:ascii="Times New Roman" w:hAnsi="Times New Roman" w:cs="Times New Roman"/>
        </w:rPr>
        <w:t xml:space="preserve">Within the Control Function domain, McMahon (2022) describes Risk management as one of the fundamental building blocks. With the increase in regulation, control functions, especially internal audits and quality control, we must view their activities as necessary and non-negotiable. </w:t>
      </w:r>
      <w:r w:rsidRPr="00FB5DA6" w:rsidR="004B4E29">
        <w:rPr>
          <w:rFonts w:ascii="Times New Roman" w:hAnsi="Times New Roman" w:cs="Times New Roman"/>
        </w:rPr>
        <w:t xml:space="preserve">The 2015 Volkswagen emissions scandal is a troubling tale of control failures and the ensuing vast reputation and financial damage (Ewing, 2019). In stark contrast are the Toyota Production System (TPS) and particularly the </w:t>
      </w:r>
      <w:proofErr w:type="spellStart"/>
      <w:r w:rsidRPr="00FB5DA6" w:rsidR="004B4E29">
        <w:rPr>
          <w:rFonts w:ascii="Times New Roman" w:hAnsi="Times New Roman" w:cs="Times New Roman"/>
        </w:rPr>
        <w:t>Jidoka</w:t>
      </w:r>
      <w:proofErr w:type="spellEnd"/>
      <w:r w:rsidRPr="00FB5DA6" w:rsidR="004B4E29">
        <w:rPr>
          <w:rFonts w:ascii="Times New Roman" w:hAnsi="Times New Roman" w:cs="Times New Roman"/>
        </w:rPr>
        <w:t xml:space="preserve"> principle, which permits any employee to stop the entire production line whenever a defect is found. Such control is a major contributor to the extraordinary excellence and reliability of the Toyota system (Liker, 2021). Besides operational issues, control is important to defend the corporate cyberspace, privacy, and integrity of data. The intrusive nature of digital threats makes </w:t>
      </w:r>
      <w:r w:rsidRPr="00FB5DA6">
        <w:rPr>
          <w:rFonts w:ascii="Times New Roman" w:hAnsi="Times New Roman" w:cs="Times New Roman"/>
        </w:rPr>
        <w:t>control</w:t>
      </w:r>
      <w:r w:rsidRPr="00FB5DA6" w:rsidR="004B4E29">
        <w:rPr>
          <w:rFonts w:ascii="Times New Roman" w:hAnsi="Times New Roman" w:cs="Times New Roman"/>
        </w:rPr>
        <w:t xml:space="preserve"> initiatives, such as the use of multi-factor authentication and scheduled security audits, a necessity in positioning control as the primary defence (Janssen, 2021).</w:t>
      </w:r>
    </w:p>
    <w:p w:rsidRPr="00FB5DA6" w:rsidR="004B4E29" w:rsidP="004B4E29" w:rsidRDefault="004B4E29" w14:paraId="24B32423" w14:textId="7F9EC5C3">
      <w:pPr>
        <w:spacing w:line="360" w:lineRule="auto"/>
        <w:jc w:val="both"/>
        <w:rPr>
          <w:rFonts w:ascii="Times New Roman" w:hAnsi="Times New Roman" w:cs="Times New Roman"/>
        </w:rPr>
      </w:pPr>
      <w:r w:rsidRPr="00FB5DA6">
        <w:rPr>
          <w:rFonts w:ascii="Times New Roman" w:hAnsi="Times New Roman" w:cs="Times New Roman"/>
        </w:rPr>
        <w:t>In the case of accountability and continuous improvement, control is at the centre of the issue. Control systems provide information about the performance of an organisation and indicate where improvements might be made, thus allowing the organisation to develop the role of continuous improvement and learning within the culture of the organisation. Accountability at the organisational level is also on individuals and teams whose output contributes to the organisational total (Smith, 2022). This accountability within the control of the system also determines the performance within the various perspectives of the balanced scorecard. Within the systems and methodologies of the Six Sigma and Lean management frameworks, control is not to punish performers, but to eliminate waste and variation for improvement (Singh et al., 2023).</w:t>
      </w:r>
    </w:p>
    <w:bookmarkEnd w:id="0"/>
    <w:p w:rsidR="00FB5DA6" w:rsidP="00FC69A8" w:rsidRDefault="00FB5DA6" w14:paraId="5938AE00" w14:textId="77777777">
      <w:pPr>
        <w:spacing w:line="360" w:lineRule="auto"/>
        <w:jc w:val="both"/>
        <w:rPr>
          <w:rFonts w:ascii="Times New Roman" w:hAnsi="Times New Roman" w:cs="Times New Roman"/>
          <w:color w:val="000000" w:themeColor="text1"/>
        </w:rPr>
      </w:pPr>
    </w:p>
    <w:p w:rsidRPr="00FB5DA6" w:rsidR="004B4E29" w:rsidP="00FC69A8" w:rsidRDefault="004B4E29" w14:paraId="08897AF9" w14:textId="7B9333D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The implementation of control systems is of great importance; however, there are barriers to their effectiveness and to their implementation that may result in an inefficient and even counterproductive system.</w:t>
      </w:r>
    </w:p>
    <w:p w:rsidRPr="00FB5DA6" w:rsidR="00FC69A8" w:rsidP="00FC69A8" w:rsidRDefault="00FC69A8" w14:paraId="3DFD1A02" w14:textId="6E78093E">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lastRenderedPageBreak/>
        <w:t xml:space="preserve">Perhaps the greatest of these challenges is employee resistance. Systems of control are sometimes seen as manifestations of distrust or as instruments of micromanagement, resulting in demotivation. In addition, control systems that focus heavily on narrow, quantifiable indicators may incite what is known as “system gaming” (behavioural displacement), whereby the employee optimises what is measured at the expense of what is </w:t>
      </w:r>
      <w:r w:rsidRPr="00FB5DA6" w:rsidR="00CF175D">
        <w:rPr>
          <w:rFonts w:ascii="Times New Roman" w:hAnsi="Times New Roman" w:cs="Times New Roman"/>
          <w:color w:val="000000" w:themeColor="text1"/>
        </w:rPr>
        <w:t>important</w:t>
      </w:r>
      <w:r w:rsidRPr="00FB5DA6">
        <w:rPr>
          <w:rFonts w:ascii="Times New Roman" w:hAnsi="Times New Roman" w:cs="Times New Roman"/>
          <w:color w:val="000000" w:themeColor="text1"/>
        </w:rPr>
        <w:t xml:space="preserve"> (Smith, 2022). In knowledge work, for instance, controlling "productive" hours logged on a system may encourage "presenteeism" at the expense of creative and innovative work that is necessary for long-term value</w:t>
      </w:r>
      <w:r w:rsidRPr="00FB5DA6" w:rsidR="00CF175D">
        <w:rPr>
          <w:rFonts w:ascii="Times New Roman" w:hAnsi="Times New Roman" w:cs="Times New Roman"/>
          <w:color w:val="000000" w:themeColor="text1"/>
        </w:rPr>
        <w:t xml:space="preserve"> (</w:t>
      </w:r>
      <w:proofErr w:type="spellStart"/>
      <w:r w:rsidRPr="00FB5DA6" w:rsidR="00CF175D">
        <w:rPr>
          <w:rFonts w:ascii="Times New Roman" w:hAnsi="Times New Roman" w:cs="Times New Roman"/>
          <w:color w:val="000000" w:themeColor="text1"/>
        </w:rPr>
        <w:t>Beusch</w:t>
      </w:r>
      <w:proofErr w:type="spellEnd"/>
      <w:r w:rsidRPr="00FB5DA6" w:rsidR="00CF175D">
        <w:rPr>
          <w:rFonts w:ascii="Times New Roman" w:hAnsi="Times New Roman" w:cs="Times New Roman"/>
          <w:color w:val="000000" w:themeColor="text1"/>
        </w:rPr>
        <w:t xml:space="preserve"> et al., 2022)</w:t>
      </w:r>
      <w:r w:rsidRPr="00FB5DA6">
        <w:rPr>
          <w:rFonts w:ascii="Times New Roman" w:hAnsi="Times New Roman" w:cs="Times New Roman"/>
          <w:color w:val="000000" w:themeColor="text1"/>
        </w:rPr>
        <w:t>.</w:t>
      </w:r>
    </w:p>
    <w:p w:rsidRPr="00FB5DA6" w:rsidR="00FC69A8" w:rsidP="00FC69A8" w:rsidRDefault="00FC69A8" w14:paraId="4DCF82FF" w14:textId="0F974E61">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Insufficient filters and tools to analyse information also present challenges. While the digital world offers enormous datasets, managers can, and often report, suffering from "analysis paralysis." Decision-making can be hindered, not aided, by an overwhelming abundance of information (McKinsey Global Institute, 2021). The control systems can provide feedback</w:t>
      </w:r>
      <w:r w:rsidRPr="00FB5DA6" w:rsidR="00CF175D">
        <w:rPr>
          <w:rFonts w:ascii="Times New Roman" w:hAnsi="Times New Roman" w:cs="Times New Roman"/>
          <w:color w:val="000000" w:themeColor="text1"/>
        </w:rPr>
        <w:t>,</w:t>
      </w:r>
      <w:r w:rsidRPr="00FB5DA6">
        <w:rPr>
          <w:rFonts w:ascii="Times New Roman" w:hAnsi="Times New Roman" w:cs="Times New Roman"/>
          <w:color w:val="000000" w:themeColor="text1"/>
        </w:rPr>
        <w:t xml:space="preserve"> and the organisation can take corrective action. However, when the data collected and used is erroneous, the feedback and corrective action are futile and misdirected. The challenges of an organisation collecting data and reporting systems are sophisticated, curating data and governance, and reporting actionable intelligence to cross the data literacy threshold to </w:t>
      </w:r>
      <w:r w:rsidRPr="00FB5DA6" w:rsidR="00CF175D">
        <w:rPr>
          <w:rFonts w:ascii="Times New Roman" w:hAnsi="Times New Roman" w:cs="Times New Roman"/>
          <w:color w:val="000000" w:themeColor="text1"/>
        </w:rPr>
        <w:t>act</w:t>
      </w:r>
      <w:r w:rsidRPr="00FB5DA6">
        <w:rPr>
          <w:rFonts w:ascii="Times New Roman" w:hAnsi="Times New Roman" w:cs="Times New Roman"/>
          <w:color w:val="000000" w:themeColor="text1"/>
        </w:rPr>
        <w:t xml:space="preserve">. This imbalance requires an investment that most organisations are unwilling to </w:t>
      </w:r>
      <w:r w:rsidRPr="00FB5DA6" w:rsidR="00CF175D">
        <w:rPr>
          <w:rFonts w:ascii="Times New Roman" w:hAnsi="Times New Roman" w:cs="Times New Roman"/>
          <w:color w:val="000000" w:themeColor="text1"/>
        </w:rPr>
        <w:t>make, and</w:t>
      </w:r>
      <w:r w:rsidRPr="00FB5DA6">
        <w:rPr>
          <w:rFonts w:ascii="Times New Roman" w:hAnsi="Times New Roman" w:cs="Times New Roman"/>
          <w:color w:val="000000" w:themeColor="text1"/>
        </w:rPr>
        <w:t xml:space="preserve"> </w:t>
      </w:r>
      <w:r w:rsidRPr="00FB5DA6" w:rsidR="00CF175D">
        <w:rPr>
          <w:rFonts w:ascii="Times New Roman" w:hAnsi="Times New Roman" w:cs="Times New Roman"/>
          <w:color w:val="000000" w:themeColor="text1"/>
        </w:rPr>
        <w:t>the threshold is</w:t>
      </w:r>
      <w:r w:rsidRPr="00FB5DA6">
        <w:rPr>
          <w:rFonts w:ascii="Times New Roman" w:hAnsi="Times New Roman" w:cs="Times New Roman"/>
          <w:color w:val="000000" w:themeColor="text1"/>
        </w:rPr>
        <w:t xml:space="preserve"> 'data is too overwhelming."</w:t>
      </w:r>
      <w:r w:rsidRPr="00FB5DA6" w:rsidR="00CF175D">
        <w:rPr>
          <w:rFonts w:ascii="Times New Roman" w:hAnsi="Times New Roman" w:cs="Times New Roman"/>
          <w:color w:val="000000" w:themeColor="text1"/>
        </w:rPr>
        <w:t xml:space="preserve"> (Bhatti et al., 2023).</w:t>
      </w:r>
    </w:p>
    <w:p w:rsidRPr="00FB5DA6" w:rsidR="00FC69A8" w:rsidP="00FB5DA6" w:rsidRDefault="00FC69A8" w14:paraId="39083965" w14:textId="425B8989">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Globalisation, decentralisation, and the adoption of agile organisational designs </w:t>
      </w:r>
      <w:r w:rsidRPr="00FB5DA6" w:rsidR="00CF175D">
        <w:rPr>
          <w:rFonts w:ascii="Times New Roman" w:hAnsi="Times New Roman" w:cs="Times New Roman"/>
          <w:color w:val="000000" w:themeColor="text1"/>
        </w:rPr>
        <w:t>have</w:t>
      </w:r>
      <w:r w:rsidRPr="00FB5DA6">
        <w:rPr>
          <w:rFonts w:ascii="Times New Roman" w:hAnsi="Times New Roman" w:cs="Times New Roman"/>
          <w:color w:val="000000" w:themeColor="text1"/>
        </w:rPr>
        <w:t xml:space="preserve"> transformed the complexity of organisational structures. Fluid team-based organisational forms that operate and shift against rigid top-down control and governance systems</w:t>
      </w:r>
      <w:r w:rsidRPr="00FB5DA6" w:rsidR="00CF175D">
        <w:rPr>
          <w:rFonts w:ascii="Times New Roman" w:hAnsi="Times New Roman" w:cs="Times New Roman"/>
          <w:color w:val="000000" w:themeColor="text1"/>
        </w:rPr>
        <w:t>,</w:t>
      </w:r>
      <w:r w:rsidRPr="00FB5DA6">
        <w:rPr>
          <w:rFonts w:ascii="Times New Roman" w:hAnsi="Times New Roman" w:cs="Times New Roman"/>
          <w:color w:val="000000" w:themeColor="text1"/>
        </w:rPr>
        <w:t xml:space="preserve"> characterised </w:t>
      </w:r>
      <w:r w:rsidRPr="00FB5DA6" w:rsidR="00CF175D">
        <w:rPr>
          <w:rFonts w:ascii="Times New Roman" w:hAnsi="Times New Roman" w:cs="Times New Roman"/>
          <w:color w:val="000000" w:themeColor="text1"/>
        </w:rPr>
        <w:t xml:space="preserve">by </w:t>
      </w:r>
      <w:r w:rsidRPr="00FB5DA6">
        <w:rPr>
          <w:rFonts w:ascii="Times New Roman" w:hAnsi="Times New Roman" w:cs="Times New Roman"/>
          <w:color w:val="000000" w:themeColor="text1"/>
        </w:rPr>
        <w:t xml:space="preserve">midstream control or governance systems, dynamic control Mekka of the 737 MAX faulty governance systems and control oversight of global supply chains (The Economist, 2020). Relational controls of cross-border and </w:t>
      </w:r>
      <w:r w:rsidRPr="00FB5DA6" w:rsidR="00CF175D">
        <w:rPr>
          <w:rFonts w:ascii="Times New Roman" w:hAnsi="Times New Roman" w:cs="Times New Roman"/>
          <w:color w:val="000000" w:themeColor="text1"/>
        </w:rPr>
        <w:t>hybrid teams</w:t>
      </w:r>
      <w:r w:rsidRPr="00FB5DA6">
        <w:rPr>
          <w:rFonts w:ascii="Times New Roman" w:hAnsi="Times New Roman" w:cs="Times New Roman"/>
          <w:color w:val="000000" w:themeColor="text1"/>
        </w:rPr>
        <w:t xml:space="preserve"> also shifted fundamentally. The doctrine of trust and managerial capability to confront the absence of control shifted </w:t>
      </w:r>
      <w:r w:rsidRPr="00FB5DA6" w:rsidR="00CF175D">
        <w:rPr>
          <w:rFonts w:ascii="Times New Roman" w:hAnsi="Times New Roman" w:cs="Times New Roman"/>
          <w:color w:val="000000" w:themeColor="text1"/>
        </w:rPr>
        <w:t>from</w:t>
      </w:r>
      <w:r w:rsidRPr="00FB5DA6">
        <w:rPr>
          <w:rFonts w:ascii="Times New Roman" w:hAnsi="Times New Roman" w:cs="Times New Roman"/>
          <w:color w:val="000000" w:themeColor="text1"/>
        </w:rPr>
        <w:t xml:space="preserve"> their outputs instead of their activities</w:t>
      </w:r>
      <w:r w:rsidRPr="00FB5DA6" w:rsidR="00CF175D">
        <w:rPr>
          <w:rFonts w:ascii="Times New Roman" w:hAnsi="Times New Roman" w:cs="Times New Roman"/>
          <w:color w:val="000000" w:themeColor="text1"/>
        </w:rPr>
        <w:t xml:space="preserve"> (Bhatti et al., 2023)</w:t>
      </w:r>
      <w:r w:rsidRPr="00FB5DA6">
        <w:rPr>
          <w:rFonts w:ascii="Times New Roman" w:hAnsi="Times New Roman" w:cs="Times New Roman"/>
          <w:color w:val="000000" w:themeColor="text1"/>
        </w:rPr>
        <w:t>.</w:t>
      </w:r>
      <w:r w:rsidRPr="00FB5DA6">
        <w:rPr>
          <w:rFonts w:ascii="Times New Roman" w:hAnsi="Times New Roman" w:cs="Times New Roman"/>
          <w:b/>
          <w:bCs/>
          <w:color w:val="000000" w:themeColor="text1"/>
        </w:rPr>
        <w:t xml:space="preserve"> </w:t>
      </w:r>
    </w:p>
    <w:p w:rsidRPr="00FB5DA6" w:rsidR="00FC69A8" w:rsidP="00FC69A8" w:rsidRDefault="00FC69A8" w14:paraId="0B8EBB6D" w14:textId="651E63EC">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An emerging challenge is posed by the control technologies of the future. The application of automated employee surveillance, biometric monitoring, and AI performance assessment systems could construct a "digital panopticon" that erodes privacy and trust (Kellogg et al., 2020). How do managers walk the tightrope between acquiring required performance metrics and surveillance that dehumanises their workforce? What ethical questions ought the </w:t>
      </w:r>
      <w:r w:rsidRPr="00FB5DA6" w:rsidR="00B21903">
        <w:rPr>
          <w:rFonts w:ascii="Times New Roman" w:hAnsi="Times New Roman" w:cs="Times New Roman"/>
          <w:color w:val="000000" w:themeColor="text1"/>
        </w:rPr>
        <w:t>managers</w:t>
      </w:r>
      <w:r w:rsidRPr="00FB5DA6">
        <w:rPr>
          <w:rFonts w:ascii="Times New Roman" w:hAnsi="Times New Roman" w:cs="Times New Roman"/>
          <w:color w:val="000000" w:themeColor="text1"/>
        </w:rPr>
        <w:t xml:space="preserve"> answer regarding the design and control systems implementation?</w:t>
      </w:r>
    </w:p>
    <w:p w:rsidRPr="00FB5DA6" w:rsidR="00FC69A8" w:rsidP="00FC69A8" w:rsidRDefault="00FC69A8" w14:paraId="38DC1EE8"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To harness the benefits of control while mitigating its pitfalls, managers must adopt a nuanced and strategic approach.</w:t>
      </w:r>
    </w:p>
    <w:p w:rsidRPr="00FB5DA6" w:rsidR="004B4E29" w:rsidP="004B4E29" w:rsidRDefault="004B4E29" w14:paraId="66372FEF" w14:textId="5FE547AA">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lastRenderedPageBreak/>
        <w:t>Google stands out because of its use of Objectives and Key Results (OKRs) and the Objectives and Key Results (OKR framework as one of the modern iterations of Management by Objectives (MBO). Employees participate in the formulation of OKRs, which, for the most part, are published for everyone to see, thus establishing an environment of trust and constructive accountability (Doerr, 2018). Employees view the OKRs as collaborative instruments for positive outcomes rather than punitive control instruments. The use of participatory control systems empowers employees and stimulates accountability, thus completing the cycle with a feeling of integration toward the objectives of the control system (Bhatti et al. 2023).</w:t>
      </w:r>
    </w:p>
    <w:p w:rsidRPr="00FB5DA6" w:rsidR="00FC69A8" w:rsidP="00FC69A8" w:rsidRDefault="00FC69A8" w14:paraId="02CFAB0A" w14:textId="61890629">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The second approach is using modern technology for intelligent control. Rather than using control as a retrospective activity, modern control systems, such as enterprise resource planning (ERP) systems and artificial intelligence (AI) powered dashboards, allow control to be predictive (Davenport and </w:t>
      </w:r>
      <w:proofErr w:type="spellStart"/>
      <w:r w:rsidRPr="00FB5DA6">
        <w:rPr>
          <w:rFonts w:ascii="Times New Roman" w:hAnsi="Times New Roman" w:cs="Times New Roman"/>
          <w:color w:val="000000" w:themeColor="text1"/>
        </w:rPr>
        <w:t>Ronanki</w:t>
      </w:r>
      <w:proofErr w:type="spellEnd"/>
      <w:r w:rsidRPr="00FB5DA6">
        <w:rPr>
          <w:rFonts w:ascii="Times New Roman" w:hAnsi="Times New Roman" w:cs="Times New Roman"/>
          <w:color w:val="000000" w:themeColor="text1"/>
        </w:rPr>
        <w:t xml:space="preserve">, 2018). For example, predictive analytics can identify potential disruptions and problematic projects to enable proactive and corrective actions. The ability to control predictive analytics to mitigate challenges in the data environment and strategically position the </w:t>
      </w:r>
      <w:r w:rsidRPr="00FB5DA6" w:rsidR="00B21903">
        <w:rPr>
          <w:rFonts w:ascii="Times New Roman" w:hAnsi="Times New Roman" w:cs="Times New Roman"/>
          <w:color w:val="000000" w:themeColor="text1"/>
        </w:rPr>
        <w:t>organisation</w:t>
      </w:r>
      <w:r w:rsidRPr="00FB5DA6" w:rsidR="00CF175D">
        <w:rPr>
          <w:rFonts w:ascii="Times New Roman" w:hAnsi="Times New Roman" w:cs="Times New Roman"/>
          <w:color w:val="000000" w:themeColor="text1"/>
        </w:rPr>
        <w:t xml:space="preserve"> (Singh et al., 2023).</w:t>
      </w:r>
    </w:p>
    <w:p w:rsidRPr="00FB5DA6" w:rsidR="00FC69A8" w:rsidP="00FC69A8" w:rsidRDefault="00FC69A8" w14:paraId="7365BC56" w14:textId="689F6ACB">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Thirdly, improving leadership and communication is vital. The purpose of communication controls must be clear to </w:t>
      </w:r>
      <w:r w:rsidRPr="00FB5DA6" w:rsidR="00CF175D">
        <w:rPr>
          <w:rFonts w:ascii="Times New Roman" w:hAnsi="Times New Roman" w:cs="Times New Roman"/>
          <w:color w:val="000000" w:themeColor="text1"/>
        </w:rPr>
        <w:t>leaders</w:t>
      </w:r>
      <w:r w:rsidRPr="00FB5DA6">
        <w:rPr>
          <w:rFonts w:ascii="Times New Roman" w:hAnsi="Times New Roman" w:cs="Times New Roman"/>
          <w:color w:val="000000" w:themeColor="text1"/>
        </w:rPr>
        <w:t xml:space="preserve"> is to support, not to punish. For control to be implemented in diverse teams, adjustments must be made to emotional intelligence frameworks to ensure that controls are fair and </w:t>
      </w:r>
      <w:r w:rsidRPr="00FB5DA6" w:rsidR="00CF175D">
        <w:rPr>
          <w:rFonts w:ascii="Times New Roman" w:hAnsi="Times New Roman" w:cs="Times New Roman"/>
          <w:color w:val="000000" w:themeColor="text1"/>
        </w:rPr>
        <w:t>contextualised</w:t>
      </w:r>
      <w:r w:rsidRPr="00FB5DA6">
        <w:rPr>
          <w:rFonts w:ascii="Times New Roman" w:hAnsi="Times New Roman" w:cs="Times New Roman"/>
          <w:color w:val="000000" w:themeColor="text1"/>
        </w:rPr>
        <w:t xml:space="preserve"> (Bru-Luna et al., 2021; Goleman, 2020). An emotionally intelligent manager will </w:t>
      </w:r>
      <w:r w:rsidRPr="00FB5DA6" w:rsidR="00CF175D">
        <w:rPr>
          <w:rFonts w:ascii="Times New Roman" w:hAnsi="Times New Roman" w:cs="Times New Roman"/>
          <w:color w:val="000000" w:themeColor="text1"/>
        </w:rPr>
        <w:t>recognise</w:t>
      </w:r>
      <w:r w:rsidRPr="00FB5DA6">
        <w:rPr>
          <w:rFonts w:ascii="Times New Roman" w:hAnsi="Times New Roman" w:cs="Times New Roman"/>
          <w:color w:val="000000" w:themeColor="text1"/>
        </w:rPr>
        <w:t xml:space="preserve"> the anxiety within a team concerning the new metrics and will constructively respond by framing those controls as supportive structures to offer clarity instead of an exertion of control.</w:t>
      </w:r>
    </w:p>
    <w:p w:rsidRPr="00FB5DA6" w:rsidR="00FC69A8" w:rsidP="00FC69A8" w:rsidRDefault="00FC69A8" w14:paraId="35E84B77" w14:textId="63056B1D">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Along these lines, </w:t>
      </w:r>
      <w:r w:rsidRPr="00FB5DA6" w:rsidR="00CF175D">
        <w:rPr>
          <w:rFonts w:ascii="Times New Roman" w:hAnsi="Times New Roman" w:cs="Times New Roman"/>
          <w:color w:val="000000" w:themeColor="text1"/>
        </w:rPr>
        <w:t>organisations</w:t>
      </w:r>
      <w:r w:rsidRPr="00FB5DA6">
        <w:rPr>
          <w:rFonts w:ascii="Times New Roman" w:hAnsi="Times New Roman" w:cs="Times New Roman"/>
          <w:color w:val="000000" w:themeColor="text1"/>
        </w:rPr>
        <w:t xml:space="preserve"> must foster a culture of psychological safety, where employees feel safe to report deviations, mistakes, or bad news without penalty. In this case, control systems function as early-warning systems. The control is punitive in nature and not the intent. Research by Edmondson (2018) demonstrates that the most trusted teams report the most errors, and as a result, the team performs better because they learn and adapt quickly. The incorporation of this principle in control systems is essential for contemporary risk management</w:t>
      </w:r>
      <w:r w:rsidRPr="00FB5DA6" w:rsidR="00CF175D">
        <w:rPr>
          <w:rFonts w:ascii="Times New Roman" w:hAnsi="Times New Roman" w:cs="Times New Roman"/>
          <w:color w:val="000000" w:themeColor="text1"/>
        </w:rPr>
        <w:t xml:space="preserve"> (Kardos et al., 2021)</w:t>
      </w:r>
      <w:r w:rsidRPr="00FB5DA6">
        <w:rPr>
          <w:rFonts w:ascii="Times New Roman" w:hAnsi="Times New Roman" w:cs="Times New Roman"/>
          <w:color w:val="000000" w:themeColor="text1"/>
        </w:rPr>
        <w:t>.</w:t>
      </w:r>
    </w:p>
    <w:p w:rsidRPr="00FB5DA6" w:rsidR="00FC69A8" w:rsidP="00FC69A8" w:rsidRDefault="00FC69A8" w14:paraId="26F1D46E" w14:textId="2A2D901E">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To conclude our discussion, let us focus on balancing control with trust. While control is a necessary condition for the exercise of command, too much control results in the stifling of innovation and the decline of rapid responsiveness. It is important for managers to concentrate on the control of the strategic objectives and to avoid the micromanagement of the first-order </w:t>
      </w:r>
      <w:r w:rsidRPr="00FB5DA6">
        <w:rPr>
          <w:rFonts w:ascii="Times New Roman" w:hAnsi="Times New Roman" w:cs="Times New Roman"/>
          <w:color w:val="000000" w:themeColor="text1"/>
        </w:rPr>
        <w:lastRenderedPageBreak/>
        <w:t xml:space="preserve">processes. This </w:t>
      </w:r>
      <w:r w:rsidRPr="00FB5DA6" w:rsidR="00CF175D">
        <w:rPr>
          <w:rFonts w:ascii="Times New Roman" w:hAnsi="Times New Roman" w:cs="Times New Roman"/>
          <w:color w:val="000000" w:themeColor="text1"/>
        </w:rPr>
        <w:t>applies to</w:t>
      </w:r>
      <w:r w:rsidRPr="00FB5DA6">
        <w:rPr>
          <w:rFonts w:ascii="Times New Roman" w:hAnsi="Times New Roman" w:cs="Times New Roman"/>
          <w:color w:val="000000" w:themeColor="text1"/>
        </w:rPr>
        <w:t xml:space="preserve"> the principles of change management </w:t>
      </w:r>
      <w:r w:rsidRPr="00FB5DA6" w:rsidR="00B21903">
        <w:rPr>
          <w:rFonts w:ascii="Times New Roman" w:hAnsi="Times New Roman" w:cs="Times New Roman"/>
          <w:color w:val="000000" w:themeColor="text1"/>
        </w:rPr>
        <w:t>for</w:t>
      </w:r>
      <w:r w:rsidRPr="00FB5DA6">
        <w:rPr>
          <w:rFonts w:ascii="Times New Roman" w:hAnsi="Times New Roman" w:cs="Times New Roman"/>
          <w:color w:val="000000" w:themeColor="text1"/>
        </w:rPr>
        <w:t xml:space="preserve"> building </w:t>
      </w:r>
      <w:r w:rsidRPr="00FB5DA6" w:rsidR="00CF175D">
        <w:rPr>
          <w:rFonts w:ascii="Times New Roman" w:hAnsi="Times New Roman" w:cs="Times New Roman"/>
          <w:color w:val="000000" w:themeColor="text1"/>
        </w:rPr>
        <w:t>organisational</w:t>
      </w:r>
      <w:r w:rsidRPr="00FB5DA6">
        <w:rPr>
          <w:rFonts w:ascii="Times New Roman" w:hAnsi="Times New Roman" w:cs="Times New Roman"/>
          <w:color w:val="000000" w:themeColor="text1"/>
        </w:rPr>
        <w:t xml:space="preserve"> commitment to new control systems. This involves defining </w:t>
      </w:r>
      <w:r w:rsidRPr="00FB5DA6" w:rsidR="00CF175D">
        <w:rPr>
          <w:rFonts w:ascii="Times New Roman" w:hAnsi="Times New Roman" w:cs="Times New Roman"/>
          <w:color w:val="000000" w:themeColor="text1"/>
        </w:rPr>
        <w:t>what</w:t>
      </w:r>
      <w:r w:rsidRPr="00FB5DA6">
        <w:rPr>
          <w:rFonts w:ascii="Times New Roman" w:hAnsi="Times New Roman" w:cs="Times New Roman"/>
          <w:color w:val="000000" w:themeColor="text1"/>
        </w:rPr>
        <w:t xml:space="preserve"> and the why and leaving the </w:t>
      </w:r>
      <w:proofErr w:type="spellStart"/>
      <w:r w:rsidRPr="00FB5DA6">
        <w:rPr>
          <w:rFonts w:ascii="Times New Roman" w:hAnsi="Times New Roman" w:cs="Times New Roman"/>
          <w:color w:val="000000" w:themeColor="text1"/>
        </w:rPr>
        <w:t>how</w:t>
      </w:r>
      <w:proofErr w:type="spellEnd"/>
      <w:r w:rsidRPr="00FB5DA6">
        <w:rPr>
          <w:rFonts w:ascii="Times New Roman" w:hAnsi="Times New Roman" w:cs="Times New Roman"/>
          <w:color w:val="000000" w:themeColor="text1"/>
        </w:rPr>
        <w:t xml:space="preserve"> to the teams, thus ensuring innovation and motivation within a prescribed strategic boundary</w:t>
      </w:r>
      <w:r w:rsidRPr="00FB5DA6" w:rsidR="00CF175D">
        <w:rPr>
          <w:rFonts w:ascii="Times New Roman" w:hAnsi="Times New Roman" w:cs="Times New Roman"/>
          <w:color w:val="000000" w:themeColor="text1"/>
        </w:rPr>
        <w:t xml:space="preserve"> (Kardos et al., 2021)</w:t>
      </w:r>
      <w:r w:rsidRPr="00FB5DA6">
        <w:rPr>
          <w:rFonts w:ascii="Times New Roman" w:hAnsi="Times New Roman" w:cs="Times New Roman"/>
          <w:color w:val="000000" w:themeColor="text1"/>
        </w:rPr>
        <w:t>.</w:t>
      </w:r>
    </w:p>
    <w:p w:rsidR="004B4E29" w:rsidP="004B4E29" w:rsidRDefault="00FC69A8" w14:paraId="5026107E" w14:textId="484E3274">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To conclude, the controlling function, albeit sophisticated, assumes a pivotal role within the scope of management. It constitutes the underlying connectivity between optimally </w:t>
      </w:r>
      <w:proofErr w:type="spellStart"/>
      <w:r w:rsidRPr="00FB5DA6">
        <w:rPr>
          <w:rFonts w:ascii="Times New Roman" w:hAnsi="Times New Roman" w:cs="Times New Roman"/>
          <w:color w:val="000000" w:themeColor="text1"/>
        </w:rPr>
        <w:t>strategised</w:t>
      </w:r>
      <w:proofErr w:type="spellEnd"/>
      <w:r w:rsidRPr="00FB5DA6">
        <w:rPr>
          <w:rFonts w:ascii="Times New Roman" w:hAnsi="Times New Roman" w:cs="Times New Roman"/>
          <w:color w:val="000000" w:themeColor="text1"/>
        </w:rPr>
        <w:t xml:space="preserve"> ambitions and achieved results, whilst preserving operational synergy, control over uncertainties, and enhancement of value. Nonetheless, the challenges which have been systematically articulated within this essay and revolve around the control paradox are many and varied, including but not limited to organisational culture, complex and ambiguous information, artefacts of many ethical dilemmas, and designed tensions of contemporary organisational structures. </w:t>
      </w:r>
      <w:bookmarkStart w:name="_Toc213010484" w:id="1"/>
      <w:r w:rsidRPr="00FB5DA6" w:rsidR="004B4E29">
        <w:rPr>
          <w:rFonts w:ascii="Times New Roman" w:hAnsi="Times New Roman" w:cs="Times New Roman"/>
          <w:color w:val="000000" w:themeColor="text1"/>
        </w:rPr>
        <w:t>The most successful control systems must maintain a balance between rigidity and flexibility, and the guiding mindset must always be humanistic. Facilitating control through design participative control systems, intelligent control technology and empathetic organisational leadership, while fostering a high degree of psychological safety, will all be most beneficial. The most hopeful and futuristic conceptualisations of Control systems will be dynamic, intelligent, and human-centred.</w:t>
      </w:r>
    </w:p>
    <w:p w:rsidR="00FB5DA6" w:rsidP="004B4E29" w:rsidRDefault="00FB5DA6" w14:paraId="1FBE6C82" w14:textId="77777777">
      <w:pPr>
        <w:spacing w:line="360" w:lineRule="auto"/>
        <w:jc w:val="both"/>
        <w:rPr>
          <w:rFonts w:ascii="Times New Roman" w:hAnsi="Times New Roman" w:cs="Times New Roman"/>
          <w:color w:val="000000" w:themeColor="text1"/>
        </w:rPr>
      </w:pPr>
    </w:p>
    <w:p w:rsidR="00FB5DA6" w:rsidP="004B4E29" w:rsidRDefault="00FB5DA6" w14:paraId="53194AFE" w14:textId="77777777">
      <w:pPr>
        <w:spacing w:line="360" w:lineRule="auto"/>
        <w:jc w:val="both"/>
        <w:rPr>
          <w:rFonts w:ascii="Times New Roman" w:hAnsi="Times New Roman" w:cs="Times New Roman"/>
          <w:color w:val="000000" w:themeColor="text1"/>
        </w:rPr>
      </w:pPr>
    </w:p>
    <w:p w:rsidR="00FB5DA6" w:rsidP="004B4E29" w:rsidRDefault="00FB5DA6" w14:paraId="2D55F45D" w14:textId="77777777">
      <w:pPr>
        <w:spacing w:line="360" w:lineRule="auto"/>
        <w:jc w:val="both"/>
        <w:rPr>
          <w:rFonts w:ascii="Times New Roman" w:hAnsi="Times New Roman" w:cs="Times New Roman"/>
          <w:color w:val="000000" w:themeColor="text1"/>
        </w:rPr>
      </w:pPr>
    </w:p>
    <w:p w:rsidR="00FB5DA6" w:rsidP="004B4E29" w:rsidRDefault="00FB5DA6" w14:paraId="02881C27" w14:textId="77777777">
      <w:pPr>
        <w:spacing w:line="360" w:lineRule="auto"/>
        <w:jc w:val="both"/>
        <w:rPr>
          <w:rFonts w:ascii="Times New Roman" w:hAnsi="Times New Roman" w:cs="Times New Roman"/>
          <w:color w:val="000000" w:themeColor="text1"/>
        </w:rPr>
      </w:pPr>
    </w:p>
    <w:p w:rsidR="00FB5DA6" w:rsidP="004B4E29" w:rsidRDefault="00FB5DA6" w14:paraId="0EDA48F2" w14:textId="77777777">
      <w:pPr>
        <w:spacing w:line="360" w:lineRule="auto"/>
        <w:jc w:val="both"/>
        <w:rPr>
          <w:rFonts w:ascii="Times New Roman" w:hAnsi="Times New Roman" w:cs="Times New Roman"/>
          <w:color w:val="000000" w:themeColor="text1"/>
        </w:rPr>
      </w:pPr>
    </w:p>
    <w:p w:rsidR="00FB5DA6" w:rsidP="004B4E29" w:rsidRDefault="00FB5DA6" w14:paraId="4C198E78" w14:textId="77777777">
      <w:pPr>
        <w:spacing w:line="360" w:lineRule="auto"/>
        <w:jc w:val="both"/>
        <w:rPr>
          <w:rFonts w:ascii="Times New Roman" w:hAnsi="Times New Roman" w:cs="Times New Roman"/>
          <w:color w:val="000000" w:themeColor="text1"/>
        </w:rPr>
      </w:pPr>
    </w:p>
    <w:p w:rsidR="00FB5DA6" w:rsidP="004B4E29" w:rsidRDefault="00FB5DA6" w14:paraId="1A989EB2" w14:textId="77777777">
      <w:pPr>
        <w:spacing w:line="360" w:lineRule="auto"/>
        <w:jc w:val="both"/>
        <w:rPr>
          <w:rFonts w:ascii="Times New Roman" w:hAnsi="Times New Roman" w:cs="Times New Roman"/>
          <w:color w:val="000000" w:themeColor="text1"/>
        </w:rPr>
      </w:pPr>
    </w:p>
    <w:p w:rsidR="00FB5DA6" w:rsidP="004B4E29" w:rsidRDefault="00FB5DA6" w14:paraId="41CF3C9A" w14:textId="77777777">
      <w:pPr>
        <w:spacing w:line="360" w:lineRule="auto"/>
        <w:jc w:val="both"/>
        <w:rPr>
          <w:rFonts w:ascii="Times New Roman" w:hAnsi="Times New Roman" w:cs="Times New Roman"/>
          <w:color w:val="000000" w:themeColor="text1"/>
        </w:rPr>
      </w:pPr>
    </w:p>
    <w:p w:rsidR="00FB5DA6" w:rsidP="004B4E29" w:rsidRDefault="00FB5DA6" w14:paraId="3CAFD6F3" w14:textId="77777777">
      <w:pPr>
        <w:spacing w:line="360" w:lineRule="auto"/>
        <w:jc w:val="both"/>
        <w:rPr>
          <w:rFonts w:ascii="Times New Roman" w:hAnsi="Times New Roman" w:cs="Times New Roman"/>
          <w:color w:val="000000" w:themeColor="text1"/>
        </w:rPr>
      </w:pPr>
    </w:p>
    <w:p w:rsidR="00FB5DA6" w:rsidP="004B4E29" w:rsidRDefault="00FB5DA6" w14:paraId="6BA09BA4" w14:textId="77777777">
      <w:pPr>
        <w:spacing w:line="360" w:lineRule="auto"/>
        <w:jc w:val="both"/>
        <w:rPr>
          <w:rFonts w:ascii="Times New Roman" w:hAnsi="Times New Roman" w:cs="Times New Roman"/>
          <w:color w:val="000000" w:themeColor="text1"/>
        </w:rPr>
      </w:pPr>
    </w:p>
    <w:p w:rsidR="00FB5DA6" w:rsidP="004B4E29" w:rsidRDefault="00FB5DA6" w14:paraId="3F635B7F" w14:textId="77777777">
      <w:pPr>
        <w:spacing w:line="360" w:lineRule="auto"/>
        <w:jc w:val="both"/>
        <w:rPr>
          <w:rFonts w:ascii="Times New Roman" w:hAnsi="Times New Roman" w:cs="Times New Roman"/>
          <w:color w:val="000000" w:themeColor="text1"/>
        </w:rPr>
      </w:pPr>
    </w:p>
    <w:p w:rsidR="00FB5DA6" w:rsidP="004B4E29" w:rsidRDefault="00FB5DA6" w14:paraId="34F9DD05" w14:textId="77777777">
      <w:pPr>
        <w:spacing w:line="360" w:lineRule="auto"/>
        <w:jc w:val="both"/>
        <w:rPr>
          <w:rFonts w:ascii="Times New Roman" w:hAnsi="Times New Roman" w:cs="Times New Roman"/>
          <w:color w:val="000000" w:themeColor="text1"/>
        </w:rPr>
      </w:pPr>
    </w:p>
    <w:p w:rsidR="00FB5DA6" w:rsidP="004B4E29" w:rsidRDefault="00FB5DA6" w14:paraId="65B14962" w14:textId="77777777">
      <w:pPr>
        <w:spacing w:line="360" w:lineRule="auto"/>
        <w:jc w:val="both"/>
        <w:rPr>
          <w:rFonts w:ascii="Times New Roman" w:hAnsi="Times New Roman" w:cs="Times New Roman"/>
          <w:color w:val="000000" w:themeColor="text1"/>
        </w:rPr>
      </w:pPr>
    </w:p>
    <w:p w:rsidR="00FB5DA6" w:rsidP="004B4E29" w:rsidRDefault="00FB5DA6" w14:paraId="416B5E98" w14:textId="77777777">
      <w:pPr>
        <w:spacing w:line="360" w:lineRule="auto"/>
        <w:jc w:val="both"/>
        <w:rPr>
          <w:rFonts w:ascii="Times New Roman" w:hAnsi="Times New Roman" w:cs="Times New Roman"/>
          <w:color w:val="000000" w:themeColor="text1"/>
        </w:rPr>
      </w:pPr>
    </w:p>
    <w:p w:rsidR="00FB5DA6" w:rsidP="004B4E29" w:rsidRDefault="00FB5DA6" w14:paraId="06B5C3D0" w14:textId="77777777">
      <w:pPr>
        <w:spacing w:line="360" w:lineRule="auto"/>
        <w:jc w:val="both"/>
        <w:rPr>
          <w:rFonts w:ascii="Times New Roman" w:hAnsi="Times New Roman" w:cs="Times New Roman"/>
          <w:color w:val="000000" w:themeColor="text1"/>
        </w:rPr>
      </w:pPr>
    </w:p>
    <w:p w:rsidR="00FB5DA6" w:rsidP="004B4E29" w:rsidRDefault="00FB5DA6" w14:paraId="6E94BD03" w14:textId="77777777">
      <w:pPr>
        <w:spacing w:line="360" w:lineRule="auto"/>
        <w:jc w:val="both"/>
        <w:rPr>
          <w:rFonts w:ascii="Times New Roman" w:hAnsi="Times New Roman" w:cs="Times New Roman"/>
          <w:color w:val="000000" w:themeColor="text1"/>
        </w:rPr>
      </w:pPr>
    </w:p>
    <w:p w:rsidRPr="00FB5DA6" w:rsidR="00FB5DA6" w:rsidP="004B4E29" w:rsidRDefault="00FB5DA6" w14:paraId="0FC66461" w14:textId="77777777">
      <w:pPr>
        <w:spacing w:line="360" w:lineRule="auto"/>
        <w:jc w:val="both"/>
        <w:rPr>
          <w:rFonts w:ascii="Times New Roman" w:hAnsi="Times New Roman" w:cs="Times New Roman"/>
          <w:color w:val="000000" w:themeColor="text1"/>
        </w:rPr>
      </w:pPr>
    </w:p>
    <w:p w:rsidRPr="00FB5DA6" w:rsidR="00B21903" w:rsidP="004B4E29" w:rsidRDefault="00FC69A8" w14:paraId="614D65C2" w14:textId="5F53949A">
      <w:pPr>
        <w:spacing w:line="360" w:lineRule="auto"/>
        <w:jc w:val="both"/>
        <w:rPr>
          <w:rFonts w:ascii="Times New Roman" w:hAnsi="Times New Roman" w:cs="Times New Roman"/>
          <w:b/>
          <w:bCs/>
          <w:color w:val="000000" w:themeColor="text1"/>
        </w:rPr>
      </w:pPr>
      <w:r w:rsidRPr="00FB5DA6">
        <w:rPr>
          <w:rFonts w:ascii="Times New Roman" w:hAnsi="Times New Roman" w:cs="Times New Roman"/>
          <w:b/>
          <w:bCs/>
          <w:color w:val="000000" w:themeColor="text1"/>
        </w:rPr>
        <w:lastRenderedPageBreak/>
        <w:t>Reference List</w:t>
      </w:r>
      <w:bookmarkEnd w:id="1"/>
    </w:p>
    <w:p w:rsidRPr="00FB5DA6" w:rsidR="00B21903" w:rsidP="00FC69A8" w:rsidRDefault="00B21903" w14:paraId="7145A1CF" w14:textId="77777777">
      <w:pPr>
        <w:spacing w:line="360" w:lineRule="auto"/>
        <w:jc w:val="both"/>
        <w:rPr>
          <w:rFonts w:ascii="Times New Roman" w:hAnsi="Times New Roman" w:cs="Times New Roman"/>
          <w:color w:val="000000" w:themeColor="text1"/>
        </w:rPr>
      </w:pPr>
      <w:proofErr w:type="spellStart"/>
      <w:r w:rsidRPr="00FB5DA6">
        <w:rPr>
          <w:rFonts w:ascii="Times New Roman" w:hAnsi="Times New Roman" w:cs="Times New Roman"/>
          <w:color w:val="000000" w:themeColor="text1"/>
        </w:rPr>
        <w:t>Beusch</w:t>
      </w:r>
      <w:proofErr w:type="spellEnd"/>
      <w:r w:rsidRPr="00FB5DA6">
        <w:rPr>
          <w:rFonts w:ascii="Times New Roman" w:hAnsi="Times New Roman" w:cs="Times New Roman"/>
          <w:color w:val="000000" w:themeColor="text1"/>
        </w:rPr>
        <w:t>, P., Frisk, J.E., Rosén, M. and Dilla, W., 2022. Management control for sustainability: Towards integrated systems. </w:t>
      </w:r>
      <w:r w:rsidRPr="00FB5DA6">
        <w:rPr>
          <w:rFonts w:ascii="Times New Roman" w:hAnsi="Times New Roman" w:cs="Times New Roman"/>
          <w:i/>
          <w:iCs/>
          <w:color w:val="000000" w:themeColor="text1"/>
        </w:rPr>
        <w:t>Management accounting research</w:t>
      </w:r>
      <w:r w:rsidRPr="00FB5DA6">
        <w:rPr>
          <w:rFonts w:ascii="Times New Roman" w:hAnsi="Times New Roman" w:cs="Times New Roman"/>
          <w:color w:val="000000" w:themeColor="text1"/>
        </w:rPr>
        <w:t>, </w:t>
      </w:r>
      <w:r w:rsidRPr="00FB5DA6">
        <w:rPr>
          <w:rFonts w:ascii="Times New Roman" w:hAnsi="Times New Roman" w:cs="Times New Roman"/>
          <w:i/>
          <w:iCs/>
          <w:color w:val="000000" w:themeColor="text1"/>
        </w:rPr>
        <w:t>54</w:t>
      </w:r>
      <w:r w:rsidRPr="00FB5DA6">
        <w:rPr>
          <w:rFonts w:ascii="Times New Roman" w:hAnsi="Times New Roman" w:cs="Times New Roman"/>
          <w:color w:val="000000" w:themeColor="text1"/>
        </w:rPr>
        <w:t>, p.100777.</w:t>
      </w:r>
    </w:p>
    <w:p w:rsidRPr="00FB5DA6" w:rsidR="00B21903" w:rsidP="00FC69A8" w:rsidRDefault="00B21903" w14:paraId="175D7657"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Bhati, D., Deogade, M.S. and </w:t>
      </w:r>
      <w:proofErr w:type="spellStart"/>
      <w:r w:rsidRPr="00FB5DA6">
        <w:rPr>
          <w:rFonts w:ascii="Times New Roman" w:hAnsi="Times New Roman" w:cs="Times New Roman"/>
          <w:color w:val="000000" w:themeColor="text1"/>
        </w:rPr>
        <w:t>Kanyal</w:t>
      </w:r>
      <w:proofErr w:type="spellEnd"/>
      <w:r w:rsidRPr="00FB5DA6">
        <w:rPr>
          <w:rFonts w:ascii="Times New Roman" w:hAnsi="Times New Roman" w:cs="Times New Roman"/>
          <w:color w:val="000000" w:themeColor="text1"/>
        </w:rPr>
        <w:t>, D., 2023. Improving patient outcomes through effective hospital administration: a comprehensive review. </w:t>
      </w:r>
      <w:r w:rsidRPr="00FB5DA6">
        <w:rPr>
          <w:rFonts w:ascii="Times New Roman" w:hAnsi="Times New Roman" w:cs="Times New Roman"/>
          <w:i/>
          <w:iCs/>
          <w:color w:val="000000" w:themeColor="text1"/>
        </w:rPr>
        <w:t>Cureus</w:t>
      </w:r>
      <w:r w:rsidRPr="00FB5DA6">
        <w:rPr>
          <w:rFonts w:ascii="Times New Roman" w:hAnsi="Times New Roman" w:cs="Times New Roman"/>
          <w:color w:val="000000" w:themeColor="text1"/>
        </w:rPr>
        <w:t>, </w:t>
      </w:r>
      <w:r w:rsidRPr="00FB5DA6">
        <w:rPr>
          <w:rFonts w:ascii="Times New Roman" w:hAnsi="Times New Roman" w:cs="Times New Roman"/>
          <w:i/>
          <w:iCs/>
          <w:color w:val="000000" w:themeColor="text1"/>
        </w:rPr>
        <w:t>15</w:t>
      </w:r>
      <w:r w:rsidRPr="00FB5DA6">
        <w:rPr>
          <w:rFonts w:ascii="Times New Roman" w:hAnsi="Times New Roman" w:cs="Times New Roman"/>
          <w:color w:val="000000" w:themeColor="text1"/>
        </w:rPr>
        <w:t>(10), p.e47731.</w:t>
      </w:r>
    </w:p>
    <w:p w:rsidRPr="00FB5DA6" w:rsidR="00B21903" w:rsidP="00FC69A8" w:rsidRDefault="00B21903" w14:paraId="7791B00F"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Bru-Luna, L.M., Martí-Vilar, M., Merino-Soto, C. and Cervera-Santiago, J.L., 2021, December. Emotional intelligence measures: A systematic review. </w:t>
      </w:r>
      <w:r w:rsidRPr="00FB5DA6">
        <w:rPr>
          <w:rFonts w:ascii="Times New Roman" w:hAnsi="Times New Roman" w:cs="Times New Roman"/>
          <w:i/>
          <w:iCs/>
          <w:color w:val="000000" w:themeColor="text1"/>
        </w:rPr>
        <w:t>Healthcare</w:t>
      </w:r>
      <w:r w:rsidRPr="00FB5DA6">
        <w:rPr>
          <w:rFonts w:ascii="Times New Roman" w:hAnsi="Times New Roman" w:cs="Times New Roman"/>
          <w:color w:val="000000" w:themeColor="text1"/>
        </w:rPr>
        <w:t>, 9(12), p.1696.</w:t>
      </w:r>
    </w:p>
    <w:p w:rsidRPr="00FB5DA6" w:rsidR="00B21903" w:rsidP="00FC69A8" w:rsidRDefault="00B21903" w14:paraId="2B1C2217"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Brynjolfsson, E. and McAfee, A., 2021. </w:t>
      </w:r>
      <w:r w:rsidRPr="00FB5DA6">
        <w:rPr>
          <w:rFonts w:ascii="Times New Roman" w:hAnsi="Times New Roman" w:cs="Times New Roman"/>
          <w:i/>
          <w:iCs/>
          <w:color w:val="000000" w:themeColor="text1"/>
        </w:rPr>
        <w:t>The Business of Artificial Intelligence: What it can — and cannot — do for your organisation</w:t>
      </w:r>
      <w:r w:rsidRPr="00FB5DA6">
        <w:rPr>
          <w:rFonts w:ascii="Times New Roman" w:hAnsi="Times New Roman" w:cs="Times New Roman"/>
          <w:color w:val="000000" w:themeColor="text1"/>
        </w:rPr>
        <w:t>. Harvard Business Review Press, Boston.</w:t>
      </w:r>
    </w:p>
    <w:p w:rsidRPr="00FB5DA6" w:rsidR="00B21903" w:rsidP="00FC69A8" w:rsidRDefault="00B21903" w14:paraId="7154A2E5"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Certo, S.C. and Certo, S.T., 2019. </w:t>
      </w:r>
      <w:r w:rsidRPr="00FB5DA6">
        <w:rPr>
          <w:rFonts w:ascii="Times New Roman" w:hAnsi="Times New Roman" w:cs="Times New Roman"/>
          <w:i/>
          <w:iCs/>
          <w:color w:val="000000" w:themeColor="text1"/>
        </w:rPr>
        <w:t>Modern management: Concepts and skills</w:t>
      </w:r>
      <w:r w:rsidRPr="00FB5DA6">
        <w:rPr>
          <w:rFonts w:ascii="Times New Roman" w:hAnsi="Times New Roman" w:cs="Times New Roman"/>
          <w:color w:val="000000" w:themeColor="text1"/>
        </w:rPr>
        <w:t>. 15th ed. Pearson, Harlow.</w:t>
      </w:r>
    </w:p>
    <w:p w:rsidRPr="00FB5DA6" w:rsidR="00B21903" w:rsidP="00FC69A8" w:rsidRDefault="00B21903" w14:paraId="56FA2386" w14:textId="03F735DE">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Čizmić, E., </w:t>
      </w:r>
      <w:proofErr w:type="spellStart"/>
      <w:r w:rsidRPr="00FB5DA6">
        <w:rPr>
          <w:rFonts w:ascii="Times New Roman" w:hAnsi="Times New Roman" w:cs="Times New Roman"/>
          <w:color w:val="000000" w:themeColor="text1"/>
        </w:rPr>
        <w:t>Čehajić</w:t>
      </w:r>
      <w:proofErr w:type="spellEnd"/>
      <w:r w:rsidRPr="00FB5DA6">
        <w:rPr>
          <w:rFonts w:ascii="Times New Roman" w:hAnsi="Times New Roman" w:cs="Times New Roman"/>
          <w:color w:val="000000" w:themeColor="text1"/>
        </w:rPr>
        <w:t>-Kulo, D., Rahimić¹, Z. and Šestić¹, M., 2024. Contemporary Management Techniques. </w:t>
      </w:r>
      <w:r w:rsidRPr="00FB5DA6">
        <w:rPr>
          <w:rFonts w:ascii="Times New Roman" w:hAnsi="Times New Roman" w:cs="Times New Roman"/>
          <w:i/>
          <w:iCs/>
          <w:color w:val="000000" w:themeColor="text1"/>
        </w:rPr>
        <w:t>New Technologies, Development and Application VII: Advanced Production Processes and Intelligent Systems, Volume 2</w:t>
      </w:r>
      <w:r w:rsidRPr="00FB5DA6">
        <w:rPr>
          <w:rFonts w:ascii="Times New Roman" w:hAnsi="Times New Roman" w:cs="Times New Roman"/>
          <w:color w:val="000000" w:themeColor="text1"/>
        </w:rPr>
        <w:t>, </w:t>
      </w:r>
      <w:r w:rsidRPr="00FB5DA6">
        <w:rPr>
          <w:rFonts w:ascii="Times New Roman" w:hAnsi="Times New Roman" w:cs="Times New Roman"/>
          <w:i/>
          <w:iCs/>
          <w:color w:val="000000" w:themeColor="text1"/>
        </w:rPr>
        <w:t>1070</w:t>
      </w:r>
      <w:r w:rsidRPr="00FB5DA6">
        <w:rPr>
          <w:rFonts w:ascii="Times New Roman" w:hAnsi="Times New Roman" w:cs="Times New Roman"/>
          <w:color w:val="000000" w:themeColor="text1"/>
        </w:rPr>
        <w:t>, p.315.</w:t>
      </w:r>
    </w:p>
    <w:p w:rsidRPr="00FB5DA6" w:rsidR="00B21903" w:rsidP="00FC69A8" w:rsidRDefault="00B21903" w14:paraId="5531C117"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Davenport, T.H. and </w:t>
      </w:r>
      <w:proofErr w:type="spellStart"/>
      <w:r w:rsidRPr="00FB5DA6">
        <w:rPr>
          <w:rFonts w:ascii="Times New Roman" w:hAnsi="Times New Roman" w:cs="Times New Roman"/>
          <w:color w:val="000000" w:themeColor="text1"/>
        </w:rPr>
        <w:t>Ronanki</w:t>
      </w:r>
      <w:proofErr w:type="spellEnd"/>
      <w:r w:rsidRPr="00FB5DA6">
        <w:rPr>
          <w:rFonts w:ascii="Times New Roman" w:hAnsi="Times New Roman" w:cs="Times New Roman"/>
          <w:color w:val="000000" w:themeColor="text1"/>
        </w:rPr>
        <w:t xml:space="preserve">, R., 2018. Artificial intelligence for the real world. </w:t>
      </w:r>
      <w:r w:rsidRPr="00FB5DA6">
        <w:rPr>
          <w:rFonts w:ascii="Times New Roman" w:hAnsi="Times New Roman" w:cs="Times New Roman"/>
          <w:i/>
          <w:iCs/>
          <w:color w:val="000000" w:themeColor="text1"/>
        </w:rPr>
        <w:t>Harvard Business Review</w:t>
      </w:r>
      <w:r w:rsidRPr="00FB5DA6">
        <w:rPr>
          <w:rFonts w:ascii="Times New Roman" w:hAnsi="Times New Roman" w:cs="Times New Roman"/>
          <w:color w:val="000000" w:themeColor="text1"/>
        </w:rPr>
        <w:t>, 96(1), pp.108–116.</w:t>
      </w:r>
    </w:p>
    <w:p w:rsidRPr="00FB5DA6" w:rsidR="00B21903" w:rsidP="00FC69A8" w:rsidRDefault="00B21903" w14:paraId="70C98165" w14:textId="6E03C16A">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Desa, K. and </w:t>
      </w:r>
      <w:proofErr w:type="spellStart"/>
      <w:r w:rsidRPr="00FB5DA6">
        <w:rPr>
          <w:rFonts w:ascii="Times New Roman" w:hAnsi="Times New Roman" w:cs="Times New Roman"/>
          <w:color w:val="000000" w:themeColor="text1"/>
        </w:rPr>
        <w:t>Joldeska</w:t>
      </w:r>
      <w:proofErr w:type="spellEnd"/>
      <w:r w:rsidRPr="00FB5DA6">
        <w:rPr>
          <w:rFonts w:ascii="Times New Roman" w:hAnsi="Times New Roman" w:cs="Times New Roman"/>
          <w:color w:val="000000" w:themeColor="text1"/>
        </w:rPr>
        <w:t>, I., 2025. Contemporary role and importance of controlling for successful modern business processes in tourism.</w:t>
      </w:r>
    </w:p>
    <w:p w:rsidRPr="00FB5DA6" w:rsidR="00B21903" w:rsidP="00FC69A8" w:rsidRDefault="00B21903" w14:paraId="7D75EB0F"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Doerr, J., 2018. </w:t>
      </w:r>
      <w:r w:rsidRPr="00FB5DA6">
        <w:rPr>
          <w:rFonts w:ascii="Times New Roman" w:hAnsi="Times New Roman" w:cs="Times New Roman"/>
          <w:i/>
          <w:iCs/>
          <w:color w:val="000000" w:themeColor="text1"/>
        </w:rPr>
        <w:t>Measure what matters: How Google, Bono, and the Gates Foundation rock the world with OKRs</w:t>
      </w:r>
      <w:r w:rsidRPr="00FB5DA6">
        <w:rPr>
          <w:rFonts w:ascii="Times New Roman" w:hAnsi="Times New Roman" w:cs="Times New Roman"/>
          <w:color w:val="000000" w:themeColor="text1"/>
        </w:rPr>
        <w:t>. Penguin, London.</w:t>
      </w:r>
    </w:p>
    <w:p w:rsidRPr="00FB5DA6" w:rsidR="00B21903" w:rsidP="00FC69A8" w:rsidRDefault="00B21903" w14:paraId="2FC7A9E4"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Edmondson, A.C., 2018. </w:t>
      </w:r>
      <w:r w:rsidRPr="00FB5DA6">
        <w:rPr>
          <w:rFonts w:ascii="Times New Roman" w:hAnsi="Times New Roman" w:cs="Times New Roman"/>
          <w:i/>
          <w:iCs/>
          <w:color w:val="000000" w:themeColor="text1"/>
        </w:rPr>
        <w:t>The fearless organisation: Creating psychological safety in the workplace for learning, innovation, and growth</w:t>
      </w:r>
      <w:r w:rsidRPr="00FB5DA6">
        <w:rPr>
          <w:rFonts w:ascii="Times New Roman" w:hAnsi="Times New Roman" w:cs="Times New Roman"/>
          <w:color w:val="000000" w:themeColor="text1"/>
        </w:rPr>
        <w:t>. Wiley, Hoboken, NJ.</w:t>
      </w:r>
    </w:p>
    <w:p w:rsidRPr="00FB5DA6" w:rsidR="00B21903" w:rsidP="00FC69A8" w:rsidRDefault="00B21903" w14:paraId="19CD6B05"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Ewing, J., 2019. </w:t>
      </w:r>
      <w:r w:rsidRPr="00FB5DA6">
        <w:rPr>
          <w:rFonts w:ascii="Times New Roman" w:hAnsi="Times New Roman" w:cs="Times New Roman"/>
          <w:i/>
          <w:iCs/>
          <w:color w:val="000000" w:themeColor="text1"/>
        </w:rPr>
        <w:t>Faster, higher, farther: The Volkswagen scandal</w:t>
      </w:r>
      <w:r w:rsidRPr="00FB5DA6">
        <w:rPr>
          <w:rFonts w:ascii="Times New Roman" w:hAnsi="Times New Roman" w:cs="Times New Roman"/>
          <w:color w:val="000000" w:themeColor="text1"/>
        </w:rPr>
        <w:t>. Bantam Press, London.</w:t>
      </w:r>
    </w:p>
    <w:p w:rsidRPr="00FB5DA6" w:rsidR="00B21903" w:rsidP="00FC69A8" w:rsidRDefault="00B21903" w14:paraId="788F5476"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Goleman, D., 2020. Leadership that gets results. </w:t>
      </w:r>
      <w:r w:rsidRPr="00FB5DA6">
        <w:rPr>
          <w:rFonts w:ascii="Times New Roman" w:hAnsi="Times New Roman" w:cs="Times New Roman"/>
          <w:i/>
          <w:iCs/>
          <w:color w:val="000000" w:themeColor="text1"/>
        </w:rPr>
        <w:t>Harvard Business Review</w:t>
      </w:r>
      <w:r w:rsidRPr="00FB5DA6">
        <w:rPr>
          <w:rFonts w:ascii="Times New Roman" w:hAnsi="Times New Roman" w:cs="Times New Roman"/>
          <w:color w:val="000000" w:themeColor="text1"/>
        </w:rPr>
        <w:t>, 98(2), pp.44–53.</w:t>
      </w:r>
    </w:p>
    <w:p w:rsidRPr="00FB5DA6" w:rsidR="00B21903" w:rsidP="00FC69A8" w:rsidRDefault="00B21903" w14:paraId="2DA8352B" w14:textId="727F1622">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Janssen, J.A., 2021. Hyperinsulinemia and its pivotal role in ageing, obesity, type 2 diabetes, cardiovascular disease and cancer. </w:t>
      </w:r>
      <w:r w:rsidRPr="00FB5DA6">
        <w:rPr>
          <w:rFonts w:ascii="Times New Roman" w:hAnsi="Times New Roman" w:cs="Times New Roman"/>
          <w:i/>
          <w:iCs/>
          <w:color w:val="000000" w:themeColor="text1"/>
        </w:rPr>
        <w:t>International journal of molecular sciences</w:t>
      </w:r>
      <w:r w:rsidRPr="00FB5DA6">
        <w:rPr>
          <w:rFonts w:ascii="Times New Roman" w:hAnsi="Times New Roman" w:cs="Times New Roman"/>
          <w:color w:val="000000" w:themeColor="text1"/>
        </w:rPr>
        <w:t>, </w:t>
      </w:r>
      <w:r w:rsidRPr="00FB5DA6">
        <w:rPr>
          <w:rFonts w:ascii="Times New Roman" w:hAnsi="Times New Roman" w:cs="Times New Roman"/>
          <w:i/>
          <w:iCs/>
          <w:color w:val="000000" w:themeColor="text1"/>
        </w:rPr>
        <w:t>22</w:t>
      </w:r>
      <w:r w:rsidRPr="00FB5DA6">
        <w:rPr>
          <w:rFonts w:ascii="Times New Roman" w:hAnsi="Times New Roman" w:cs="Times New Roman"/>
          <w:color w:val="000000" w:themeColor="text1"/>
        </w:rPr>
        <w:t>(15), p.7797.</w:t>
      </w:r>
    </w:p>
    <w:p w:rsidRPr="00FB5DA6" w:rsidR="00B21903" w:rsidP="00FC69A8" w:rsidRDefault="00B21903" w14:paraId="290C87AB"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Kardos, M., Armstrong, E.E., Fitzpatrick, S.W., Hauser, S., Hedrick, P.W., Miller, J.M., Tallmon, D.A. and Funk, W.C., 2021. The crucial role of genome-wide genetic variation in conservation. </w:t>
      </w:r>
      <w:r w:rsidRPr="00FB5DA6">
        <w:rPr>
          <w:rFonts w:ascii="Times New Roman" w:hAnsi="Times New Roman" w:cs="Times New Roman"/>
          <w:i/>
          <w:iCs/>
          <w:color w:val="000000" w:themeColor="text1"/>
        </w:rPr>
        <w:t>Proceedings of the National Academy of Sciences</w:t>
      </w:r>
      <w:r w:rsidRPr="00FB5DA6">
        <w:rPr>
          <w:rFonts w:ascii="Times New Roman" w:hAnsi="Times New Roman" w:cs="Times New Roman"/>
          <w:color w:val="000000" w:themeColor="text1"/>
        </w:rPr>
        <w:t>, </w:t>
      </w:r>
      <w:r w:rsidRPr="00FB5DA6">
        <w:rPr>
          <w:rFonts w:ascii="Times New Roman" w:hAnsi="Times New Roman" w:cs="Times New Roman"/>
          <w:i/>
          <w:iCs/>
          <w:color w:val="000000" w:themeColor="text1"/>
        </w:rPr>
        <w:t>118</w:t>
      </w:r>
      <w:r w:rsidRPr="00FB5DA6">
        <w:rPr>
          <w:rFonts w:ascii="Times New Roman" w:hAnsi="Times New Roman" w:cs="Times New Roman"/>
          <w:color w:val="000000" w:themeColor="text1"/>
        </w:rPr>
        <w:t>(48), p.e2104642118.</w:t>
      </w:r>
    </w:p>
    <w:p w:rsidRPr="00FB5DA6" w:rsidR="00B21903" w:rsidP="00FC69A8" w:rsidRDefault="00B21903" w14:paraId="60BD64D0"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Kellogg, K.C., Valentine, M.A. and Christin, A., 2020. Algorithms at work: The new contested terrain of control. </w:t>
      </w:r>
      <w:r w:rsidRPr="00FB5DA6">
        <w:rPr>
          <w:rFonts w:ascii="Times New Roman" w:hAnsi="Times New Roman" w:cs="Times New Roman"/>
          <w:i/>
          <w:iCs/>
          <w:color w:val="000000" w:themeColor="text1"/>
        </w:rPr>
        <w:t>Academy of Management Annals</w:t>
      </w:r>
      <w:r w:rsidRPr="00FB5DA6">
        <w:rPr>
          <w:rFonts w:ascii="Times New Roman" w:hAnsi="Times New Roman" w:cs="Times New Roman"/>
          <w:color w:val="000000" w:themeColor="text1"/>
        </w:rPr>
        <w:t>, 14(1), pp.366–410.</w:t>
      </w:r>
    </w:p>
    <w:p w:rsidRPr="00FB5DA6" w:rsidR="00B21903" w:rsidP="00FC69A8" w:rsidRDefault="00B21903" w14:paraId="5CD17A85"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Liker, J.K., 2021. </w:t>
      </w:r>
      <w:r w:rsidRPr="00FB5DA6">
        <w:rPr>
          <w:rFonts w:ascii="Times New Roman" w:hAnsi="Times New Roman" w:cs="Times New Roman"/>
          <w:i/>
          <w:iCs/>
          <w:color w:val="000000" w:themeColor="text1"/>
        </w:rPr>
        <w:t>The Toyota way: 14 management principles from the world’s greatest manufacturer</w:t>
      </w:r>
      <w:r w:rsidRPr="00FB5DA6">
        <w:rPr>
          <w:rFonts w:ascii="Times New Roman" w:hAnsi="Times New Roman" w:cs="Times New Roman"/>
          <w:color w:val="000000" w:themeColor="text1"/>
        </w:rPr>
        <w:t>. 2nd ed. McGraw-Hill, New York.</w:t>
      </w:r>
    </w:p>
    <w:p w:rsidRPr="00FB5DA6" w:rsidR="00B21903" w:rsidP="00FC69A8" w:rsidRDefault="00B21903" w14:paraId="6B561CED"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lastRenderedPageBreak/>
        <w:t xml:space="preserve">McKinsey Global Institute, 2021. The social economy in a digital age. </w:t>
      </w:r>
      <w:r w:rsidRPr="00FB5DA6">
        <w:rPr>
          <w:rFonts w:ascii="Times New Roman" w:hAnsi="Times New Roman" w:cs="Times New Roman"/>
          <w:i/>
          <w:iCs/>
          <w:color w:val="000000" w:themeColor="text1"/>
        </w:rPr>
        <w:t>McKinsey &amp; Company</w:t>
      </w:r>
      <w:r w:rsidRPr="00FB5DA6">
        <w:rPr>
          <w:rFonts w:ascii="Times New Roman" w:hAnsi="Times New Roman" w:cs="Times New Roman"/>
          <w:color w:val="000000" w:themeColor="text1"/>
        </w:rPr>
        <w:t xml:space="preserve">. Available at: </w:t>
      </w:r>
      <w:hyperlink w:tgtFrame="_new" w:history="1" r:id="rId8">
        <w:r w:rsidRPr="00FB5DA6">
          <w:rPr>
            <w:rStyle w:val="Hyperlink"/>
            <w:rFonts w:ascii="Times New Roman" w:hAnsi="Times New Roman" w:cs="Times New Roman"/>
            <w:color w:val="000000" w:themeColor="text1"/>
          </w:rPr>
          <w:t>https://www.mckinsey.com/mgi/overview</w:t>
        </w:r>
      </w:hyperlink>
      <w:r w:rsidRPr="00FB5DA6">
        <w:rPr>
          <w:rFonts w:ascii="Times New Roman" w:hAnsi="Times New Roman" w:cs="Times New Roman"/>
          <w:color w:val="000000" w:themeColor="text1"/>
        </w:rPr>
        <w:t xml:space="preserve"> [Accessed 15 October 2024].</w:t>
      </w:r>
    </w:p>
    <w:p w:rsidRPr="00FB5DA6" w:rsidR="00B21903" w:rsidP="00FC69A8" w:rsidRDefault="00B21903" w14:paraId="61A09D6B"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Northouse, P.G., 2021. </w:t>
      </w:r>
      <w:r w:rsidRPr="00FB5DA6">
        <w:rPr>
          <w:rFonts w:ascii="Times New Roman" w:hAnsi="Times New Roman" w:cs="Times New Roman"/>
          <w:i/>
          <w:iCs/>
          <w:color w:val="000000" w:themeColor="text1"/>
        </w:rPr>
        <w:t>Leadership: Theory and Practice</w:t>
      </w:r>
      <w:r w:rsidRPr="00FB5DA6">
        <w:rPr>
          <w:rFonts w:ascii="Times New Roman" w:hAnsi="Times New Roman" w:cs="Times New Roman"/>
          <w:color w:val="000000" w:themeColor="text1"/>
        </w:rPr>
        <w:t>. 9th ed. Sage Publications, London.</w:t>
      </w:r>
    </w:p>
    <w:p w:rsidRPr="00FB5DA6" w:rsidR="00B21903" w:rsidP="00FC69A8" w:rsidRDefault="00B21903" w14:paraId="69C3EC4F"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Robbins, S.P. and Coulter, M., 2020. </w:t>
      </w:r>
      <w:r w:rsidRPr="00FB5DA6">
        <w:rPr>
          <w:rFonts w:ascii="Times New Roman" w:hAnsi="Times New Roman" w:cs="Times New Roman"/>
          <w:i/>
          <w:iCs/>
          <w:color w:val="000000" w:themeColor="text1"/>
        </w:rPr>
        <w:t>Management</w:t>
      </w:r>
      <w:r w:rsidRPr="00FB5DA6">
        <w:rPr>
          <w:rFonts w:ascii="Times New Roman" w:hAnsi="Times New Roman" w:cs="Times New Roman"/>
          <w:color w:val="000000" w:themeColor="text1"/>
        </w:rPr>
        <w:t>. 15th ed. Pearson, Harlow.</w:t>
      </w:r>
    </w:p>
    <w:p w:rsidRPr="00FB5DA6" w:rsidR="00B21903" w:rsidP="00FC69A8" w:rsidRDefault="00B21903" w14:paraId="1C4D75C2" w14:textId="02DE9DE8">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Singh, S., Pal, N., Shubham, S., Sarma, D.K., Verma, V., Marotta, F. and Kumar, M., 2023. Polycystic ovary syndrome: aetiology, current management, and future therapeutics. </w:t>
      </w:r>
      <w:r w:rsidRPr="00FB5DA6">
        <w:rPr>
          <w:rFonts w:ascii="Times New Roman" w:hAnsi="Times New Roman" w:cs="Times New Roman"/>
          <w:i/>
          <w:iCs/>
          <w:color w:val="000000" w:themeColor="text1"/>
        </w:rPr>
        <w:t>Journal of Clinical Medicine</w:t>
      </w:r>
      <w:r w:rsidRPr="00FB5DA6">
        <w:rPr>
          <w:rFonts w:ascii="Times New Roman" w:hAnsi="Times New Roman" w:cs="Times New Roman"/>
          <w:color w:val="000000" w:themeColor="text1"/>
        </w:rPr>
        <w:t>, </w:t>
      </w:r>
      <w:r w:rsidRPr="00FB5DA6">
        <w:rPr>
          <w:rFonts w:ascii="Times New Roman" w:hAnsi="Times New Roman" w:cs="Times New Roman"/>
          <w:i/>
          <w:iCs/>
          <w:color w:val="000000" w:themeColor="text1"/>
        </w:rPr>
        <w:t>12</w:t>
      </w:r>
      <w:r w:rsidRPr="00FB5DA6">
        <w:rPr>
          <w:rFonts w:ascii="Times New Roman" w:hAnsi="Times New Roman" w:cs="Times New Roman"/>
          <w:color w:val="000000" w:themeColor="text1"/>
        </w:rPr>
        <w:t>(4), p.1454.</w:t>
      </w:r>
    </w:p>
    <w:p w:rsidRPr="00FB5DA6" w:rsidR="00B21903" w:rsidP="00FC69A8" w:rsidRDefault="00B21903" w14:paraId="62AB4BE5"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Smith, M., 2022. The unintended consequences of performance measurement. </w:t>
      </w:r>
      <w:r w:rsidRPr="00FB5DA6">
        <w:rPr>
          <w:rFonts w:ascii="Times New Roman" w:hAnsi="Times New Roman" w:cs="Times New Roman"/>
          <w:i/>
          <w:iCs/>
          <w:color w:val="000000" w:themeColor="text1"/>
        </w:rPr>
        <w:t>MIT Sloan Management Review</w:t>
      </w:r>
      <w:r w:rsidRPr="00FB5DA6">
        <w:rPr>
          <w:rFonts w:ascii="Times New Roman" w:hAnsi="Times New Roman" w:cs="Times New Roman"/>
          <w:color w:val="000000" w:themeColor="text1"/>
        </w:rPr>
        <w:t>, 63(3), pp.1–8.</w:t>
      </w:r>
    </w:p>
    <w:p w:rsidRPr="00FB5DA6" w:rsidR="00B21903" w:rsidP="00FC69A8" w:rsidRDefault="00B21903" w14:paraId="608B87C6" w14:textId="77777777">
      <w:pPr>
        <w:spacing w:line="360" w:lineRule="auto"/>
        <w:jc w:val="both"/>
        <w:rPr>
          <w:rFonts w:ascii="Times New Roman" w:hAnsi="Times New Roman" w:cs="Times New Roman"/>
          <w:color w:val="000000" w:themeColor="text1"/>
        </w:rPr>
      </w:pPr>
      <w:proofErr w:type="spellStart"/>
      <w:r w:rsidRPr="00FB5DA6">
        <w:rPr>
          <w:rFonts w:ascii="Times New Roman" w:hAnsi="Times New Roman" w:cs="Times New Roman"/>
          <w:color w:val="000000" w:themeColor="text1"/>
        </w:rPr>
        <w:t>Sureshchandar</w:t>
      </w:r>
      <w:proofErr w:type="spellEnd"/>
      <w:r w:rsidRPr="00FB5DA6">
        <w:rPr>
          <w:rFonts w:ascii="Times New Roman" w:hAnsi="Times New Roman" w:cs="Times New Roman"/>
          <w:color w:val="000000" w:themeColor="text1"/>
        </w:rPr>
        <w:t xml:space="preserve">, G.S., 2020. Quality 4.0: A holistic literature review and future research agenda. </w:t>
      </w:r>
      <w:r w:rsidRPr="00FB5DA6">
        <w:rPr>
          <w:rFonts w:ascii="Times New Roman" w:hAnsi="Times New Roman" w:cs="Times New Roman"/>
          <w:i/>
          <w:iCs/>
          <w:color w:val="000000" w:themeColor="text1"/>
        </w:rPr>
        <w:t>The TQM Journal</w:t>
      </w:r>
      <w:r w:rsidRPr="00FB5DA6">
        <w:rPr>
          <w:rFonts w:ascii="Times New Roman" w:hAnsi="Times New Roman" w:cs="Times New Roman"/>
          <w:color w:val="000000" w:themeColor="text1"/>
        </w:rPr>
        <w:t>, 33(6), pp.1295–1320.</w:t>
      </w:r>
    </w:p>
    <w:p w:rsidRPr="00FB5DA6" w:rsidR="00B21903" w:rsidP="00FC69A8" w:rsidRDefault="00B21903" w14:paraId="63E4B33C"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 xml:space="preserve">The Economist, 2020. Boeing and the 737 MAX: What went wrong? </w:t>
      </w:r>
      <w:r w:rsidRPr="00FB5DA6">
        <w:rPr>
          <w:rFonts w:ascii="Times New Roman" w:hAnsi="Times New Roman" w:cs="Times New Roman"/>
          <w:i/>
          <w:iCs/>
          <w:color w:val="000000" w:themeColor="text1"/>
        </w:rPr>
        <w:t>The Economist</w:t>
      </w:r>
      <w:r w:rsidRPr="00FB5DA6">
        <w:rPr>
          <w:rFonts w:ascii="Times New Roman" w:hAnsi="Times New Roman" w:cs="Times New Roman"/>
          <w:color w:val="000000" w:themeColor="text1"/>
        </w:rPr>
        <w:t xml:space="preserve">. Available at: </w:t>
      </w:r>
      <w:hyperlink w:tgtFrame="_new" w:history="1" r:id="rId9">
        <w:r w:rsidRPr="00FB5DA6">
          <w:rPr>
            <w:rStyle w:val="Hyperlink"/>
            <w:rFonts w:ascii="Times New Roman" w:hAnsi="Times New Roman" w:cs="Times New Roman"/>
            <w:color w:val="000000" w:themeColor="text1"/>
          </w:rPr>
          <w:t>https://www.economist.com/international/2020/09/19/what-went-wrong-inside-the-fall-of-boeing</w:t>
        </w:r>
      </w:hyperlink>
      <w:r w:rsidRPr="00FB5DA6">
        <w:rPr>
          <w:rFonts w:ascii="Times New Roman" w:hAnsi="Times New Roman" w:cs="Times New Roman"/>
          <w:color w:val="000000" w:themeColor="text1"/>
        </w:rPr>
        <w:t xml:space="preserve"> [Accessed 15 October 2024].</w:t>
      </w:r>
    </w:p>
    <w:p w:rsidRPr="00FB5DA6" w:rsidR="00B21903" w:rsidP="00FC69A8" w:rsidRDefault="00B21903" w14:paraId="57BCEBBF" w14:textId="77777777">
      <w:pPr>
        <w:spacing w:line="360" w:lineRule="auto"/>
        <w:jc w:val="both"/>
        <w:rPr>
          <w:rFonts w:ascii="Times New Roman" w:hAnsi="Times New Roman" w:cs="Times New Roman"/>
          <w:color w:val="000000" w:themeColor="text1"/>
        </w:rPr>
      </w:pPr>
      <w:r w:rsidRPr="00FB5DA6">
        <w:rPr>
          <w:rFonts w:ascii="Times New Roman" w:hAnsi="Times New Roman" w:cs="Times New Roman"/>
          <w:color w:val="000000" w:themeColor="text1"/>
        </w:rPr>
        <w:t>Zhao, X., An, X., Yang, C., Sun, W., Ji, H. and Lian, F., 2023. The crucial role and mechanism of insulin resistance in metabolic disease. </w:t>
      </w:r>
      <w:r w:rsidRPr="00FB5DA6">
        <w:rPr>
          <w:rFonts w:ascii="Times New Roman" w:hAnsi="Times New Roman" w:cs="Times New Roman"/>
          <w:i/>
          <w:iCs/>
          <w:color w:val="000000" w:themeColor="text1"/>
        </w:rPr>
        <w:t>Frontiers in endocrinology</w:t>
      </w:r>
      <w:r w:rsidRPr="00FB5DA6">
        <w:rPr>
          <w:rFonts w:ascii="Times New Roman" w:hAnsi="Times New Roman" w:cs="Times New Roman"/>
          <w:color w:val="000000" w:themeColor="text1"/>
        </w:rPr>
        <w:t>, </w:t>
      </w:r>
      <w:r w:rsidRPr="00FB5DA6">
        <w:rPr>
          <w:rFonts w:ascii="Times New Roman" w:hAnsi="Times New Roman" w:cs="Times New Roman"/>
          <w:i/>
          <w:iCs/>
          <w:color w:val="000000" w:themeColor="text1"/>
        </w:rPr>
        <w:t>14</w:t>
      </w:r>
      <w:r w:rsidRPr="00FB5DA6">
        <w:rPr>
          <w:rFonts w:ascii="Times New Roman" w:hAnsi="Times New Roman" w:cs="Times New Roman"/>
          <w:color w:val="000000" w:themeColor="text1"/>
        </w:rPr>
        <w:t>, p.1149239.</w:t>
      </w:r>
    </w:p>
    <w:sectPr w:rsidRPr="00FB5DA6" w:rsidR="00B21903">
      <w:footerReference w:type="even"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409A2" w:rsidP="00FB5DA6" w:rsidRDefault="005409A2" w14:paraId="059BA601" w14:textId="77777777">
      <w:r>
        <w:separator/>
      </w:r>
    </w:p>
  </w:endnote>
  <w:endnote w:type="continuationSeparator" w:id="0">
    <w:p w:rsidR="005409A2" w:rsidP="00FB5DA6" w:rsidRDefault="005409A2" w14:paraId="000B093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587025"/>
      <w:docPartObj>
        <w:docPartGallery w:val="Page Numbers (Bottom of Page)"/>
        <w:docPartUnique/>
      </w:docPartObj>
    </w:sdtPr>
    <w:sdtContent>
      <w:p w:rsidR="00FB5DA6" w:rsidP="00254BF0" w:rsidRDefault="00FB5DA6" w14:paraId="0516B42D" w14:textId="5F3E8DE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FB5DA6" w:rsidP="00FB5DA6" w:rsidRDefault="00FB5DA6" w14:paraId="0E44EBCC"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4641357"/>
      <w:docPartObj>
        <w:docPartGallery w:val="Page Numbers (Bottom of Page)"/>
        <w:docPartUnique/>
      </w:docPartObj>
    </w:sdtPr>
    <w:sdtContent>
      <w:p w:rsidR="00FB5DA6" w:rsidP="00254BF0" w:rsidRDefault="00FB5DA6" w14:paraId="7D98E1C1" w14:textId="218F04BF">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FB5DA6" w:rsidP="00FB5DA6" w:rsidRDefault="00FB5DA6" w14:paraId="1B8FFAE5"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409A2" w:rsidP="00FB5DA6" w:rsidRDefault="005409A2" w14:paraId="39BBBF85" w14:textId="77777777">
      <w:r>
        <w:separator/>
      </w:r>
    </w:p>
  </w:footnote>
  <w:footnote w:type="continuationSeparator" w:id="0">
    <w:p w:rsidR="005409A2" w:rsidP="00FB5DA6" w:rsidRDefault="005409A2" w14:paraId="4459B7B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84DFD"/>
    <w:multiLevelType w:val="multilevel"/>
    <w:tmpl w:val="41EA1B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0D6205F"/>
    <w:multiLevelType w:val="multilevel"/>
    <w:tmpl w:val="2D2AF55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4676DFE"/>
    <w:multiLevelType w:val="multilevel"/>
    <w:tmpl w:val="103C3FC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81B6990"/>
    <w:multiLevelType w:val="multilevel"/>
    <w:tmpl w:val="16BC765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89B1D25"/>
    <w:multiLevelType w:val="multilevel"/>
    <w:tmpl w:val="B49EA85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3842AD0"/>
    <w:multiLevelType w:val="multilevel"/>
    <w:tmpl w:val="6DB4208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5F26E24"/>
    <w:multiLevelType w:val="multilevel"/>
    <w:tmpl w:val="72E67EB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DB417CC"/>
    <w:multiLevelType w:val="multilevel"/>
    <w:tmpl w:val="2B5AA70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4E627C8"/>
    <w:multiLevelType w:val="multilevel"/>
    <w:tmpl w:val="C846B7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63144A5"/>
    <w:multiLevelType w:val="multilevel"/>
    <w:tmpl w:val="711464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8501FBF"/>
    <w:multiLevelType w:val="multilevel"/>
    <w:tmpl w:val="5A781D2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633095087">
    <w:abstractNumId w:val="0"/>
  </w:num>
  <w:num w:numId="2" w16cid:durableId="466315144">
    <w:abstractNumId w:val="7"/>
  </w:num>
  <w:num w:numId="3" w16cid:durableId="305091631">
    <w:abstractNumId w:val="2"/>
  </w:num>
  <w:num w:numId="4" w16cid:durableId="336155835">
    <w:abstractNumId w:val="4"/>
  </w:num>
  <w:num w:numId="5" w16cid:durableId="184903652">
    <w:abstractNumId w:val="5"/>
  </w:num>
  <w:num w:numId="6" w16cid:durableId="1146822639">
    <w:abstractNumId w:val="8"/>
  </w:num>
  <w:num w:numId="7" w16cid:durableId="1112940333">
    <w:abstractNumId w:val="6"/>
  </w:num>
  <w:num w:numId="8" w16cid:durableId="5450410">
    <w:abstractNumId w:val="1"/>
  </w:num>
  <w:num w:numId="9" w16cid:durableId="2075665623">
    <w:abstractNumId w:val="10"/>
  </w:num>
  <w:num w:numId="10" w16cid:durableId="493225242">
    <w:abstractNumId w:val="3"/>
  </w:num>
  <w:num w:numId="11" w16cid:durableId="13704945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2EC"/>
    <w:rsid w:val="00150B19"/>
    <w:rsid w:val="001C0D6C"/>
    <w:rsid w:val="00231CB2"/>
    <w:rsid w:val="003D0839"/>
    <w:rsid w:val="004B4E29"/>
    <w:rsid w:val="00515FD9"/>
    <w:rsid w:val="005409A2"/>
    <w:rsid w:val="00655040"/>
    <w:rsid w:val="00692B26"/>
    <w:rsid w:val="006B336C"/>
    <w:rsid w:val="00937CA3"/>
    <w:rsid w:val="00B21903"/>
    <w:rsid w:val="00B21A12"/>
    <w:rsid w:val="00BF322C"/>
    <w:rsid w:val="00C66612"/>
    <w:rsid w:val="00CF175D"/>
    <w:rsid w:val="00D122EC"/>
    <w:rsid w:val="00EB7949"/>
    <w:rsid w:val="00F17B83"/>
    <w:rsid w:val="00FB5DA6"/>
    <w:rsid w:val="00FC69A8"/>
    <w:rsid w:val="40C9C24C"/>
    <w:rsid w:val="5119C373"/>
    <w:rsid w:val="543FA7BB"/>
    <w:rsid w:val="7D2F4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B32C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122E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22E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2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2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2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22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22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22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22EC"/>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122E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122E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122E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122E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122E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122E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122E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122E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122EC"/>
    <w:rPr>
      <w:rFonts w:eastAsiaTheme="majorEastAsia" w:cstheme="majorBidi"/>
      <w:color w:val="272727" w:themeColor="text1" w:themeTint="D8"/>
    </w:rPr>
  </w:style>
  <w:style w:type="paragraph" w:styleId="Title">
    <w:name w:val="Title"/>
    <w:basedOn w:val="Normal"/>
    <w:next w:val="Normal"/>
    <w:link w:val="TitleChar"/>
    <w:uiPriority w:val="10"/>
    <w:qFormat/>
    <w:rsid w:val="00D122EC"/>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122E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122EC"/>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12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22EC"/>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D122EC"/>
    <w:rPr>
      <w:i/>
      <w:iCs/>
      <w:color w:val="404040" w:themeColor="text1" w:themeTint="BF"/>
    </w:rPr>
  </w:style>
  <w:style w:type="paragraph" w:styleId="ListParagraph">
    <w:name w:val="List Paragraph"/>
    <w:basedOn w:val="Normal"/>
    <w:uiPriority w:val="34"/>
    <w:qFormat/>
    <w:rsid w:val="00D122EC"/>
    <w:pPr>
      <w:ind w:left="720"/>
      <w:contextualSpacing/>
    </w:pPr>
  </w:style>
  <w:style w:type="character" w:styleId="IntenseEmphasis">
    <w:name w:val="Intense Emphasis"/>
    <w:basedOn w:val="DefaultParagraphFont"/>
    <w:uiPriority w:val="21"/>
    <w:qFormat/>
    <w:rsid w:val="00D122EC"/>
    <w:rPr>
      <w:i/>
      <w:iCs/>
      <w:color w:val="0F4761" w:themeColor="accent1" w:themeShade="BF"/>
    </w:rPr>
  </w:style>
  <w:style w:type="paragraph" w:styleId="IntenseQuote">
    <w:name w:val="Intense Quote"/>
    <w:basedOn w:val="Normal"/>
    <w:next w:val="Normal"/>
    <w:link w:val="IntenseQuoteChar"/>
    <w:uiPriority w:val="30"/>
    <w:qFormat/>
    <w:rsid w:val="00D122E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122EC"/>
    <w:rPr>
      <w:i/>
      <w:iCs/>
      <w:color w:val="0F4761" w:themeColor="accent1" w:themeShade="BF"/>
    </w:rPr>
  </w:style>
  <w:style w:type="character" w:styleId="IntenseReference">
    <w:name w:val="Intense Reference"/>
    <w:basedOn w:val="DefaultParagraphFont"/>
    <w:uiPriority w:val="32"/>
    <w:qFormat/>
    <w:rsid w:val="00D122EC"/>
    <w:rPr>
      <w:b/>
      <w:bCs/>
      <w:smallCaps/>
      <w:color w:val="0F4761" w:themeColor="accent1" w:themeShade="BF"/>
      <w:spacing w:val="5"/>
    </w:rPr>
  </w:style>
  <w:style w:type="character" w:styleId="Strong">
    <w:name w:val="Strong"/>
    <w:basedOn w:val="DefaultParagraphFont"/>
    <w:uiPriority w:val="22"/>
    <w:qFormat/>
    <w:rsid w:val="00D122EC"/>
    <w:rPr>
      <w:b/>
      <w:bCs/>
    </w:rPr>
  </w:style>
  <w:style w:type="paragraph" w:styleId="NormalWeb">
    <w:name w:val="Normal (Web)"/>
    <w:basedOn w:val="Normal"/>
    <w:uiPriority w:val="99"/>
    <w:semiHidden/>
    <w:unhideWhenUsed/>
    <w:rsid w:val="00D122EC"/>
    <w:pPr>
      <w:spacing w:before="100" w:beforeAutospacing="1" w:after="100" w:afterAutospacing="1"/>
    </w:pPr>
    <w:rPr>
      <w:rFonts w:ascii="Times New Roman" w:hAnsi="Times New Roman" w:eastAsia="Times New Roman" w:cs="Times New Roman"/>
      <w:kern w:val="0"/>
      <w:lang w:eastAsia="en-GB"/>
      <w14:ligatures w14:val="none"/>
    </w:rPr>
  </w:style>
  <w:style w:type="character" w:styleId="apple-converted-space" w:customStyle="1">
    <w:name w:val="apple-converted-space"/>
    <w:basedOn w:val="DefaultParagraphFont"/>
    <w:rsid w:val="00D122EC"/>
  </w:style>
  <w:style w:type="character" w:styleId="Emphasis">
    <w:name w:val="Emphasis"/>
    <w:basedOn w:val="DefaultParagraphFont"/>
    <w:uiPriority w:val="20"/>
    <w:qFormat/>
    <w:rsid w:val="00D122EC"/>
    <w:rPr>
      <w:i/>
      <w:iCs/>
    </w:rPr>
  </w:style>
  <w:style w:type="character" w:styleId="Hyperlink">
    <w:name w:val="Hyperlink"/>
    <w:basedOn w:val="DefaultParagraphFont"/>
    <w:uiPriority w:val="99"/>
    <w:unhideWhenUsed/>
    <w:rsid w:val="00150B19"/>
    <w:rPr>
      <w:color w:val="467886" w:themeColor="hyperlink"/>
      <w:u w:val="single"/>
    </w:rPr>
  </w:style>
  <w:style w:type="character" w:styleId="UnresolvedMention">
    <w:name w:val="Unresolved Mention"/>
    <w:basedOn w:val="DefaultParagraphFont"/>
    <w:uiPriority w:val="99"/>
    <w:semiHidden/>
    <w:unhideWhenUsed/>
    <w:rsid w:val="00150B19"/>
    <w:rPr>
      <w:color w:val="605E5C"/>
      <w:shd w:val="clear" w:color="auto" w:fill="E1DFDD"/>
    </w:rPr>
  </w:style>
  <w:style w:type="paragraph" w:styleId="NoSpacing">
    <w:name w:val="No Spacing"/>
    <w:uiPriority w:val="1"/>
    <w:qFormat/>
    <w:rsid w:val="00FC69A8"/>
  </w:style>
  <w:style w:type="paragraph" w:styleId="TOCHeading">
    <w:name w:val="TOC Heading"/>
    <w:basedOn w:val="Heading1"/>
    <w:next w:val="Normal"/>
    <w:uiPriority w:val="39"/>
    <w:unhideWhenUsed/>
    <w:qFormat/>
    <w:rsid w:val="00B2190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21903"/>
    <w:pPr>
      <w:spacing w:after="100"/>
    </w:pPr>
  </w:style>
  <w:style w:type="paragraph" w:styleId="TOC2">
    <w:name w:val="toc 2"/>
    <w:basedOn w:val="Normal"/>
    <w:next w:val="Normal"/>
    <w:autoRedefine/>
    <w:uiPriority w:val="39"/>
    <w:unhideWhenUsed/>
    <w:rsid w:val="00B21903"/>
    <w:pPr>
      <w:spacing w:after="100"/>
      <w:ind w:left="240"/>
    </w:pPr>
  </w:style>
  <w:style w:type="paragraph" w:styleId="Footer">
    <w:name w:val="footer"/>
    <w:basedOn w:val="Normal"/>
    <w:link w:val="FooterChar"/>
    <w:uiPriority w:val="99"/>
    <w:unhideWhenUsed/>
    <w:rsid w:val="00FB5DA6"/>
    <w:pPr>
      <w:tabs>
        <w:tab w:val="center" w:pos="4513"/>
        <w:tab w:val="right" w:pos="9026"/>
      </w:tabs>
    </w:pPr>
  </w:style>
  <w:style w:type="character" w:styleId="FooterChar" w:customStyle="1">
    <w:name w:val="Footer Char"/>
    <w:basedOn w:val="DefaultParagraphFont"/>
    <w:link w:val="Footer"/>
    <w:uiPriority w:val="99"/>
    <w:rsid w:val="00FB5DA6"/>
  </w:style>
  <w:style w:type="character" w:styleId="PageNumber">
    <w:name w:val="page number"/>
    <w:basedOn w:val="DefaultParagraphFont"/>
    <w:uiPriority w:val="99"/>
    <w:semiHidden/>
    <w:unhideWhenUsed/>
    <w:rsid w:val="00FB5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mckinsey.com/mgi/overview"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www.economist.com/international/2020/09/19/what-went-wrong-inside-the-fall-of-boeing"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DE172F-D57A-4881-AD9C-C35619FA7D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Brindusa-Mihaela Ciobanu (2247469)</lastModifiedBy>
  <revision>10</revision>
  <dcterms:created xsi:type="dcterms:W3CDTF">2025-11-01T16:41:00.0000000Z</dcterms:created>
  <dcterms:modified xsi:type="dcterms:W3CDTF">2025-11-23T11:08:46.7781647Z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fc8775b2-2eec-41fb-903c-2575776f7d8c</vt:lpwstr>
  </property>
</Properties>
</file>