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34"/>
          <w:szCs w:val="34"/>
        </w:rPr>
      </w:pPr>
      <w:r w:rsidDel="00000000" w:rsidR="00000000" w:rsidRPr="00000000">
        <w:rPr>
          <w:rtl w:val="0"/>
        </w:rPr>
      </w:r>
    </w:p>
    <w:p w:rsidR="00000000" w:rsidDel="00000000" w:rsidP="00000000" w:rsidRDefault="00000000" w:rsidRPr="00000000" w14:paraId="00000002">
      <w:pPr>
        <w:jc w:val="center"/>
        <w:rPr>
          <w:sz w:val="36"/>
          <w:szCs w:val="36"/>
        </w:rPr>
      </w:pPr>
      <w:r w:rsidDel="00000000" w:rsidR="00000000" w:rsidRPr="00000000">
        <w:rPr>
          <w:rtl w:val="0"/>
        </w:rPr>
      </w:r>
    </w:p>
    <w:p w:rsidR="00000000" w:rsidDel="00000000" w:rsidP="00000000" w:rsidRDefault="00000000" w:rsidRPr="00000000" w14:paraId="00000003">
      <w:pPr>
        <w:jc w:val="center"/>
        <w:rPr>
          <w:sz w:val="36"/>
          <w:szCs w:val="36"/>
        </w:rPr>
      </w:pPr>
      <w:r w:rsidDel="00000000" w:rsidR="00000000" w:rsidRPr="00000000">
        <w:rPr>
          <w:rtl w:val="0"/>
        </w:rPr>
      </w:r>
    </w:p>
    <w:p w:rsidR="00000000" w:rsidDel="00000000" w:rsidP="00000000" w:rsidRDefault="00000000" w:rsidRPr="00000000" w14:paraId="00000004">
      <w:pPr>
        <w:jc w:val="center"/>
        <w:rPr>
          <w:sz w:val="36"/>
          <w:szCs w:val="36"/>
        </w:rPr>
      </w:pPr>
      <w:r w:rsidDel="00000000" w:rsidR="00000000" w:rsidRPr="00000000">
        <w:rPr>
          <w:rtl w:val="0"/>
        </w:rPr>
      </w:r>
    </w:p>
    <w:p w:rsidR="00000000" w:rsidDel="00000000" w:rsidP="00000000" w:rsidRDefault="00000000" w:rsidRPr="00000000" w14:paraId="00000005">
      <w:pPr>
        <w:jc w:val="center"/>
        <w:rPr>
          <w:sz w:val="36"/>
          <w:szCs w:val="36"/>
        </w:rPr>
      </w:pPr>
      <w:r w:rsidDel="00000000" w:rsidR="00000000" w:rsidRPr="00000000">
        <w:rPr>
          <w:rtl w:val="0"/>
        </w:rPr>
      </w:r>
    </w:p>
    <w:p w:rsidR="00000000" w:rsidDel="00000000" w:rsidP="00000000" w:rsidRDefault="00000000" w:rsidRPr="00000000" w14:paraId="00000006">
      <w:pPr>
        <w:jc w:val="center"/>
        <w:rPr>
          <w:sz w:val="36"/>
          <w:szCs w:val="36"/>
        </w:rPr>
      </w:pPr>
      <w:r w:rsidDel="00000000" w:rsidR="00000000" w:rsidRPr="00000000">
        <w:rPr>
          <w:rtl w:val="0"/>
        </w:rPr>
      </w:r>
    </w:p>
    <w:p w:rsidR="00000000" w:rsidDel="00000000" w:rsidP="00000000" w:rsidRDefault="00000000" w:rsidRPr="00000000" w14:paraId="00000007">
      <w:pPr>
        <w:jc w:val="center"/>
        <w:rPr>
          <w:sz w:val="36"/>
          <w:szCs w:val="36"/>
        </w:rPr>
      </w:pPr>
      <w:r w:rsidDel="00000000" w:rsidR="00000000" w:rsidRPr="00000000">
        <w:rPr>
          <w:sz w:val="36"/>
          <w:szCs w:val="36"/>
          <w:rtl w:val="0"/>
        </w:rPr>
        <w:t xml:space="preserve">LCHS4003 Component 1</w:t>
      </w:r>
    </w:p>
    <w:p w:rsidR="00000000" w:rsidDel="00000000" w:rsidP="00000000" w:rsidRDefault="00000000" w:rsidRPr="00000000" w14:paraId="00000008">
      <w:pPr>
        <w:jc w:val="center"/>
        <w:rPr>
          <w:sz w:val="36"/>
          <w:szCs w:val="36"/>
        </w:rPr>
      </w:pPr>
      <w:r w:rsidDel="00000000" w:rsidR="00000000" w:rsidRPr="00000000">
        <w:rPr>
          <w:sz w:val="36"/>
          <w:szCs w:val="36"/>
          <w:rtl w:val="0"/>
        </w:rPr>
        <w:t xml:space="preserve">Student Name: Joynal Miah</w:t>
      </w:r>
    </w:p>
    <w:p w:rsidR="00000000" w:rsidDel="00000000" w:rsidP="00000000" w:rsidRDefault="00000000" w:rsidRPr="00000000" w14:paraId="00000009">
      <w:pPr>
        <w:jc w:val="center"/>
        <w:rPr>
          <w:sz w:val="36"/>
          <w:szCs w:val="36"/>
        </w:rPr>
      </w:pPr>
      <w:r w:rsidDel="00000000" w:rsidR="00000000" w:rsidRPr="00000000">
        <w:rPr>
          <w:sz w:val="36"/>
          <w:szCs w:val="36"/>
          <w:rtl w:val="0"/>
        </w:rPr>
        <w:t xml:space="preserve">Student ID: 2423302</w:t>
      </w:r>
    </w:p>
    <w:p w:rsidR="00000000" w:rsidDel="00000000" w:rsidP="00000000" w:rsidRDefault="00000000" w:rsidRPr="00000000" w14:paraId="0000000A">
      <w:pPr>
        <w:jc w:val="center"/>
        <w:rPr>
          <w:sz w:val="36"/>
          <w:szCs w:val="36"/>
        </w:rPr>
      </w:pPr>
      <w:r w:rsidDel="00000000" w:rsidR="00000000" w:rsidRPr="00000000">
        <w:rPr>
          <w:sz w:val="36"/>
          <w:szCs w:val="36"/>
          <w:rtl w:val="0"/>
        </w:rPr>
        <w:t xml:space="preserve">Tutor : Azida Zainol</w:t>
      </w:r>
    </w:p>
    <w:p w:rsidR="00000000" w:rsidDel="00000000" w:rsidP="00000000" w:rsidRDefault="00000000" w:rsidRPr="00000000" w14:paraId="0000000B">
      <w:pPr>
        <w:pStyle w:val="Heading1"/>
        <w:spacing w:line="360" w:lineRule="auto"/>
        <w:rPr/>
      </w:pPr>
      <w:bookmarkStart w:colFirst="0" w:colLast="0" w:name="_heading=h.r1hkfvfxr01q" w:id="0"/>
      <w:bookmarkEnd w:id="0"/>
      <w:r w:rsidDel="00000000" w:rsidR="00000000" w:rsidRPr="00000000">
        <w:rPr>
          <w:rtl w:val="0"/>
        </w:rPr>
        <w:t xml:space="preserve">TASK 1</w:t>
      </w:r>
    </w:p>
    <w:p w:rsidR="00000000" w:rsidDel="00000000" w:rsidP="00000000" w:rsidRDefault="00000000" w:rsidRPr="00000000" w14:paraId="0000000C">
      <w:pPr>
        <w:rPr/>
      </w:pPr>
      <w:bookmarkStart w:colFirst="0" w:colLast="0" w:name="_heading=h.j1imykj8kkko" w:id="1"/>
      <w:bookmarkEnd w:id="1"/>
      <w:r w:rsidDel="00000000" w:rsidR="00000000" w:rsidRPr="00000000">
        <w:rPr/>
        <w:drawing>
          <wp:inline distB="0" distT="0" distL="0" distR="0">
            <wp:extent cx="5943600" cy="443928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4439285"/>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jc w:val="left"/>
        <w:rPr/>
      </w:pPr>
      <w:r w:rsidDel="00000000" w:rsidR="00000000" w:rsidRPr="00000000">
        <w:rPr>
          <w:rtl w:val="0"/>
        </w:rPr>
      </w:r>
    </w:p>
    <w:p w:rsidR="00000000" w:rsidDel="00000000" w:rsidP="00000000" w:rsidRDefault="00000000" w:rsidRPr="00000000" w14:paraId="00000015">
      <w:pPr>
        <w:pStyle w:val="Heading1"/>
        <w:spacing w:line="360" w:lineRule="auto"/>
        <w:rPr>
          <w:sz w:val="36"/>
          <w:szCs w:val="36"/>
        </w:rPr>
      </w:pPr>
      <w:bookmarkStart w:colFirst="0" w:colLast="0" w:name="_heading=h.4h93xllzo08x" w:id="2"/>
      <w:bookmarkEnd w:id="2"/>
      <w:r w:rsidDel="00000000" w:rsidR="00000000" w:rsidRPr="00000000">
        <w:rPr>
          <w:rtl w:val="0"/>
        </w:rPr>
        <w:t xml:space="preserve">TASK 2 Essay: Ambulance Services</w:t>
      </w:r>
      <w:r w:rsidDel="00000000" w:rsidR="00000000" w:rsidRPr="00000000">
        <w:rPr>
          <w:rtl w:val="0"/>
        </w:rPr>
      </w:r>
    </w:p>
    <w:p w:rsidR="00000000" w:rsidDel="00000000" w:rsidP="00000000" w:rsidRDefault="00000000" w:rsidRPr="00000000" w14:paraId="00000016">
      <w:pPr>
        <w:pStyle w:val="Heading1"/>
        <w:spacing w:line="360" w:lineRule="auto"/>
        <w:rPr/>
      </w:pPr>
      <w:bookmarkStart w:colFirst="0" w:colLast="0" w:name="_heading=h.onjc10om2k84" w:id="3"/>
      <w:bookmarkEnd w:id="3"/>
      <w:r w:rsidDel="00000000" w:rsidR="00000000" w:rsidRPr="00000000">
        <w:rPr>
          <w:rtl w:val="0"/>
        </w:rPr>
        <w:t xml:space="preserve">Origins and Historical Context.</w:t>
      </w:r>
    </w:p>
    <w:p w:rsidR="00000000" w:rsidDel="00000000" w:rsidP="00000000" w:rsidRDefault="00000000" w:rsidRPr="00000000" w14:paraId="00000017">
      <w:pPr>
        <w:spacing w:line="360" w:lineRule="auto"/>
        <w:rPr/>
      </w:pPr>
      <w:r w:rsidDel="00000000" w:rsidR="00000000" w:rsidRPr="00000000">
        <w:rPr>
          <w:rtl w:val="0"/>
        </w:rPr>
        <w:t xml:space="preserve">The British ambulance service has experienced a radical change from a simple transportation service to a multi-layered mobile clinician. In the past, the service originated from the need to overcome the Napoleonic Wars, during which the wounded used to be transported by so-called flying ambulances. Back in the late 19th century, the Metropolitan Asylums Board in the UK had machines that were drawn by horses to take the patients with fevers; however, that was purely to get them to a hospital rather than to treat them.</w:t>
      </w:r>
    </w:p>
    <w:p w:rsidR="00000000" w:rsidDel="00000000" w:rsidP="00000000" w:rsidRDefault="00000000" w:rsidRPr="00000000" w14:paraId="00000018">
      <w:pPr>
        <w:spacing w:line="360" w:lineRule="auto"/>
        <w:rPr/>
      </w:pPr>
      <w:r w:rsidDel="00000000" w:rsidR="00000000" w:rsidRPr="00000000">
        <w:rPr>
          <w:rtl w:val="0"/>
        </w:rPr>
        <w:t xml:space="preserve">The most crucial moment in the history of the National Health Service (NHS) is the creation of the system in 1948 (Snow and Whitecross, 2022). In the National Health Service Act 1946, ambulance services were planned under the care of the local authorities and not by a national unit (Tubton, 1956). The staff of this period were mainly drivers who received basic first-aid training, and the approach of operation was scoop and run; it was important to transport the person to the hospital as fast as possible. It was in 1966 with the Millar Report that the UK started to professionalise the service, although it suggested specialised training of the ambulance crews and installation of high-level resuscitation equipment, marking the beginning of the modern paramedic profession.</w:t>
      </w:r>
    </w:p>
    <w:p w:rsidR="00000000" w:rsidDel="00000000" w:rsidP="00000000" w:rsidRDefault="00000000" w:rsidRPr="00000000" w14:paraId="00000019">
      <w:pPr>
        <w:pStyle w:val="Heading1"/>
        <w:spacing w:line="360" w:lineRule="auto"/>
        <w:rPr/>
      </w:pPr>
      <w:bookmarkStart w:colFirst="0" w:colLast="0" w:name="_heading=h.u09fp75cho" w:id="4"/>
      <w:bookmarkEnd w:id="4"/>
      <w:r w:rsidDel="00000000" w:rsidR="00000000" w:rsidRPr="00000000">
        <w:rPr>
          <w:rtl w:val="0"/>
        </w:rPr>
        <w:t xml:space="preserve">Present State of Operation and Evaluation.</w:t>
      </w:r>
    </w:p>
    <w:p w:rsidR="00000000" w:rsidDel="00000000" w:rsidP="00000000" w:rsidRDefault="00000000" w:rsidRPr="00000000" w14:paraId="0000001A">
      <w:pPr>
        <w:spacing w:line="360" w:lineRule="auto"/>
        <w:rPr/>
      </w:pPr>
      <w:r w:rsidDel="00000000" w:rsidR="00000000" w:rsidRPr="00000000">
        <w:rPr>
          <w:rtl w:val="0"/>
        </w:rPr>
        <w:t xml:space="preserve">In the modern day, the UK ambulance services present themselves as advanced regional NHS Trusts that are actively involved in much more than the conventional "emergency" role. The modern model has moved to the scene-based clinical assessment. The paths of hearing, seeing, and treating are evidence of this. Hear and Treat brings clinicians to the control rooms to offer telephone triage and therefore reduce unnecessary ambulance dispatch. In contrast, See and Treat enables highly competent paramedics to assess and treat patients and discharge them to their homes.</w:t>
      </w:r>
    </w:p>
    <w:p w:rsidR="00000000" w:rsidDel="00000000" w:rsidP="00000000" w:rsidRDefault="00000000" w:rsidRPr="00000000" w14:paraId="0000001B">
      <w:pPr>
        <w:spacing w:line="360" w:lineRule="auto"/>
        <w:rPr/>
      </w:pPr>
      <w:r w:rsidDel="00000000" w:rsidR="00000000" w:rsidRPr="00000000">
        <w:rPr>
          <w:rtl w:val="0"/>
        </w:rPr>
        <w:t xml:space="preserve">Nevertheless, the critical analysis of the existing service shows that there is a tense situation of operation. Although the service has improved its clinical capabilities (12-lead ECGs are now used, and drugs are used to save lives during myocardial infarctions), a recent problem with the service is the delay in handovers in the Emergency Departments (Williams, 2022). During the process of transporting patients to hospital treatment, paramedics take hours to transport the patients and the absence of ambulances on the road eliminates the ambulances to go to the scene to respond to other life-threatening calls. These systemic pressures notwithstanding, technology, including Electronic Patient Records (EPRs), has enhanced continuity of care between the community and hospital context.</w:t>
      </w:r>
    </w:p>
    <w:p w:rsidR="00000000" w:rsidDel="00000000" w:rsidP="00000000" w:rsidRDefault="00000000" w:rsidRPr="00000000" w14:paraId="0000001C">
      <w:pPr>
        <w:pStyle w:val="Heading1"/>
        <w:spacing w:line="360" w:lineRule="auto"/>
        <w:rPr/>
      </w:pPr>
      <w:bookmarkStart w:colFirst="0" w:colLast="0" w:name="_heading=h.5ymdf1mxtvng" w:id="5"/>
      <w:bookmarkEnd w:id="5"/>
      <w:r w:rsidDel="00000000" w:rsidR="00000000" w:rsidRPr="00000000">
        <w:rPr>
          <w:rtl w:val="0"/>
        </w:rPr>
        <w:t xml:space="preserve">Significance and Quality of Life.</w:t>
      </w:r>
    </w:p>
    <w:p w:rsidR="00000000" w:rsidDel="00000000" w:rsidP="00000000" w:rsidRDefault="00000000" w:rsidRPr="00000000" w14:paraId="0000001D">
      <w:pPr>
        <w:spacing w:line="360" w:lineRule="auto"/>
        <w:rPr/>
      </w:pPr>
      <w:r w:rsidDel="00000000" w:rsidR="00000000" w:rsidRPr="00000000">
        <w:rPr>
          <w:rtl w:val="0"/>
        </w:rPr>
        <w:t xml:space="preserve">The ambulance service is not only important in the saving of lives, but also in the general quality of life of the service users. To victims of acute medical crises such as strokes or cardiac arrests, the service gives them the golden hour of intervention that defines long-term disability or recovery. The service relieves the physical and psychological burden of illness on the patient and family by offering high-quality and quick care.</w:t>
      </w:r>
    </w:p>
    <w:p w:rsidR="00000000" w:rsidDel="00000000" w:rsidP="00000000" w:rsidRDefault="00000000" w:rsidRPr="00000000" w14:paraId="0000001E">
      <w:pPr>
        <w:spacing w:line="360" w:lineRule="auto"/>
        <w:rPr/>
      </w:pPr>
      <w:r w:rsidDel="00000000" w:rsidR="00000000" w:rsidRPr="00000000">
        <w:rPr>
          <w:rtl w:val="0"/>
        </w:rPr>
        <w:t xml:space="preserve">Moreover, the service is crucial, as it helps the vulnerable and older population. In most cases, paramedics are on the frontline when dealing with patients who have fallen or those victims of social isolation. Through their organisation with community teams, ambulance services will be able to leave patients in their respective homes, save their dignity and independence. This is a total service provision to make sure that it is not just a transport service, but, at the same time, one of the nets that guarantee fair access to healthcare by all citizens, irrespective of their location.</w:t>
      </w:r>
    </w:p>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spacing w:line="360" w:lineRule="auto"/>
        <w:rPr/>
      </w:pPr>
      <w:bookmarkStart w:colFirst="0" w:colLast="0" w:name="_heading=h.bzy6uuqrod1p" w:id="6"/>
      <w:bookmarkEnd w:id="6"/>
      <w:r w:rsidDel="00000000" w:rsidR="00000000" w:rsidRPr="00000000">
        <w:rPr>
          <w:rtl w:val="0"/>
        </w:rPr>
        <w:t xml:space="preserve">References</w:t>
      </w:r>
    </w:p>
    <w:p w:rsidR="00000000" w:rsidDel="00000000" w:rsidP="00000000" w:rsidRDefault="00000000" w:rsidRPr="00000000" w14:paraId="00000021">
      <w:pPr>
        <w:spacing w:line="360" w:lineRule="auto"/>
        <w:rPr/>
      </w:pPr>
      <w:r w:rsidDel="00000000" w:rsidR="00000000" w:rsidRPr="00000000">
        <w:rPr>
          <w:rtl w:val="0"/>
        </w:rPr>
        <w:t xml:space="preserve">Averill, P., Bowness, B., Henderson, C. and Sevdalis, N., 2024. What does ‘safe care ’ mean in the context of community-based mental health services? A qualitative exploration of the perspectives of service users, carers, and healthcare providers in England. </w:t>
      </w:r>
      <w:r w:rsidDel="00000000" w:rsidR="00000000" w:rsidRPr="00000000">
        <w:rPr>
          <w:i w:val="1"/>
          <w:iCs w:val="1"/>
          <w:rtl w:val="0"/>
        </w:rPr>
        <w:t xml:space="preserve">BMC Health Services Research</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(1), p.1053.</w:t>
      </w:r>
    </w:p>
    <w:p w:rsidR="00000000" w:rsidDel="00000000" w:rsidP="00000000" w:rsidRDefault="00000000" w:rsidRPr="00000000" w14:paraId="00000022">
      <w:pPr>
        <w:spacing w:line="360" w:lineRule="auto"/>
        <w:rPr/>
      </w:pPr>
      <w:r w:rsidDel="00000000" w:rsidR="00000000" w:rsidRPr="00000000">
        <w:rPr>
          <w:rtl w:val="0"/>
        </w:rPr>
        <w:t xml:space="preserve">Jones, K., 2023. </w:t>
      </w:r>
      <w:r w:rsidDel="00000000" w:rsidR="00000000" w:rsidRPr="00000000">
        <w:rPr>
          <w:i w:val="1"/>
          <w:iCs w:val="1"/>
          <w:rtl w:val="0"/>
        </w:rPr>
        <w:t xml:space="preserve">A history of the mental health services</w:t>
      </w:r>
      <w:r w:rsidDel="00000000" w:rsidR="00000000" w:rsidRPr="00000000">
        <w:rPr>
          <w:rtl w:val="0"/>
        </w:rPr>
        <w:t xml:space="preserve">. Routledge.</w:t>
      </w:r>
    </w:p>
    <w:p w:rsidR="00000000" w:rsidDel="00000000" w:rsidP="00000000" w:rsidRDefault="00000000" w:rsidRPr="00000000" w14:paraId="00000023">
      <w:pPr>
        <w:spacing w:line="360" w:lineRule="auto"/>
        <w:rPr/>
      </w:pPr>
      <w:r w:rsidDel="00000000" w:rsidR="00000000" w:rsidRPr="00000000">
        <w:rPr>
          <w:rtl w:val="0"/>
        </w:rPr>
        <w:t xml:space="preserve">McIntyre, H., Reeves, V., Loughhead, M., Hayes, L. and Procter, N., 2022. Communication pathways from the emergency department to community mental health services: A systematic review. </w:t>
      </w:r>
      <w:r w:rsidDel="00000000" w:rsidR="00000000" w:rsidRPr="00000000">
        <w:rPr>
          <w:i w:val="1"/>
          <w:iCs w:val="1"/>
          <w:rtl w:val="0"/>
        </w:rPr>
        <w:t xml:space="preserve">International Journal of Mental Health Nursing</w:t>
      </w:r>
      <w:r w:rsidDel="00000000" w:rsidR="00000000" w:rsidRPr="00000000">
        <w:rPr>
          <w:rtl w:val="0"/>
        </w:rPr>
        <w:t xml:space="preserve">, </w:t>
      </w:r>
      <w:r w:rsidDel="00000000" w:rsidR="00000000" w:rsidRPr="00000000">
        <w:rPr>
          <w:i w:val="1"/>
          <w:iCs w:val="1"/>
          <w:rtl w:val="0"/>
        </w:rPr>
        <w:t xml:space="preserve">31</w:t>
      </w:r>
      <w:r w:rsidDel="00000000" w:rsidR="00000000" w:rsidRPr="00000000">
        <w:rPr>
          <w:rtl w:val="0"/>
        </w:rPr>
        <w:t xml:space="preserve">(6), pp.1282-1299.</w:t>
      </w:r>
    </w:p>
    <w:p w:rsidR="00000000" w:rsidDel="00000000" w:rsidP="00000000" w:rsidRDefault="00000000" w:rsidRPr="00000000" w14:paraId="00000024">
      <w:pPr>
        <w:spacing w:line="360" w:lineRule="auto"/>
        <w:rPr/>
      </w:pPr>
      <w:r w:rsidDel="00000000" w:rsidR="00000000" w:rsidRPr="00000000">
        <w:rPr>
          <w:rtl w:val="0"/>
        </w:rPr>
        <w:t xml:space="preserve">McSherry, P., Manti, A.M., Crellin, A., Lane, C. and Foulds, G., 2025. Integrated Primary Care Mental Health Service: A Qualitative Exploration of an Integrated Approach to Supporting People with Significant Mental Health Problems in Primary Care. </w:t>
      </w:r>
      <w:r w:rsidDel="00000000" w:rsidR="00000000" w:rsidRPr="00000000">
        <w:rPr>
          <w:i w:val="1"/>
          <w:iCs w:val="1"/>
          <w:rtl w:val="0"/>
        </w:rPr>
        <w:t xml:space="preserve">Community Mental Health Journal</w:t>
      </w:r>
      <w:r w:rsidDel="00000000" w:rsidR="00000000" w:rsidRPr="00000000">
        <w:rPr>
          <w:rtl w:val="0"/>
        </w:rPr>
        <w:t xml:space="preserve">, </w:t>
      </w:r>
      <w:r w:rsidDel="00000000" w:rsidR="00000000" w:rsidRPr="00000000">
        <w:rPr>
          <w:i w:val="1"/>
          <w:iCs w:val="1"/>
          <w:rtl w:val="0"/>
        </w:rPr>
        <w:t xml:space="preserve">61</w:t>
      </w:r>
      <w:r w:rsidDel="00000000" w:rsidR="00000000" w:rsidRPr="00000000">
        <w:rPr>
          <w:rtl w:val="0"/>
        </w:rPr>
        <w:t xml:space="preserve">(4), pp.716-723.</w:t>
      </w:r>
    </w:p>
    <w:p w:rsidR="00000000" w:rsidDel="00000000" w:rsidP="00000000" w:rsidRDefault="00000000" w:rsidRPr="00000000" w14:paraId="00000025">
      <w:pPr>
        <w:spacing w:line="360" w:lineRule="auto"/>
        <w:rPr/>
      </w:pPr>
      <w:r w:rsidDel="00000000" w:rsidR="00000000" w:rsidRPr="00000000">
        <w:rPr>
          <w:rtl w:val="0"/>
        </w:rPr>
        <w:t xml:space="preserve">Romeh, A., Chance, P. and Varanasi, A., 2024. Older Adults Mental Health (OAMH) Services Across Wales–A National Service Evaluation Survey. </w:t>
      </w:r>
      <w:r w:rsidDel="00000000" w:rsidR="00000000" w:rsidRPr="00000000">
        <w:rPr>
          <w:i w:val="1"/>
          <w:iCs w:val="1"/>
          <w:rtl w:val="0"/>
        </w:rPr>
        <w:t xml:space="preserve">BJPsych Open</w:t>
      </w:r>
      <w:r w:rsidDel="00000000" w:rsidR="00000000" w:rsidRPr="00000000">
        <w:rPr>
          <w:rtl w:val="0"/>
        </w:rPr>
        <w:t xml:space="preserve">, </w:t>
      </w:r>
      <w:r w:rsidDel="00000000" w:rsidR="00000000" w:rsidRPr="00000000">
        <w:rPr>
          <w:i w:val="1"/>
          <w:iCs w:val="1"/>
          <w:rtl w:val="0"/>
        </w:rPr>
        <w:t xml:space="preserve">10</w:t>
      </w:r>
      <w:r w:rsidDel="00000000" w:rsidR="00000000" w:rsidRPr="00000000">
        <w:rPr>
          <w:rtl w:val="0"/>
        </w:rPr>
        <w:t xml:space="preserve">(S1), pp.S205-S206.</w:t>
      </w:r>
    </w:p>
    <w:p w:rsidR="00000000" w:rsidDel="00000000" w:rsidP="00000000" w:rsidRDefault="00000000" w:rsidRPr="00000000" w14:paraId="00000026">
      <w:pPr>
        <w:spacing w:line="360" w:lineRule="auto"/>
        <w:rPr/>
      </w:pPr>
      <w:r w:rsidDel="00000000" w:rsidR="00000000" w:rsidRPr="00000000">
        <w:rPr>
          <w:rtl w:val="0"/>
        </w:rPr>
        <w:t xml:space="preserve">Silvonen, T., 2025. Service providers’ perspectives of an integrated community mental health service in the UK. </w:t>
      </w:r>
      <w:r w:rsidDel="00000000" w:rsidR="00000000" w:rsidRPr="00000000">
        <w:rPr>
          <w:i w:val="1"/>
          <w:iCs w:val="1"/>
          <w:rtl w:val="0"/>
        </w:rPr>
        <w:t xml:space="preserve">Community Mental Health Journal</w:t>
      </w:r>
      <w:r w:rsidDel="00000000" w:rsidR="00000000" w:rsidRPr="00000000">
        <w:rPr>
          <w:rtl w:val="0"/>
        </w:rPr>
        <w:t xml:space="preserve">, </w:t>
      </w:r>
      <w:r w:rsidDel="00000000" w:rsidR="00000000" w:rsidRPr="00000000">
        <w:rPr>
          <w:i w:val="1"/>
          <w:iCs w:val="1"/>
          <w:rtl w:val="0"/>
        </w:rPr>
        <w:t xml:space="preserve">61</w:t>
      </w:r>
      <w:r w:rsidDel="00000000" w:rsidR="00000000" w:rsidRPr="00000000">
        <w:rPr>
          <w:rtl w:val="0"/>
        </w:rPr>
        <w:t xml:space="preserve">(2), pp.329-336.</w:t>
      </w:r>
    </w:p>
    <w:p w:rsidR="00000000" w:rsidDel="00000000" w:rsidP="00000000" w:rsidRDefault="00000000" w:rsidRPr="00000000" w14:paraId="00000027">
      <w:pPr>
        <w:spacing w:line="360" w:lineRule="auto"/>
        <w:rPr/>
      </w:pPr>
      <w:r w:rsidDel="00000000" w:rsidR="00000000" w:rsidRPr="00000000">
        <w:rPr>
          <w:rtl w:val="0"/>
        </w:rPr>
        <w:t xml:space="preserve">Snow, S.J. and Whitecross, A.F., 2022. Making history together: the UK’s National Health Service and the story of our lives since 1948. </w:t>
      </w:r>
      <w:r w:rsidDel="00000000" w:rsidR="00000000" w:rsidRPr="00000000">
        <w:rPr>
          <w:i w:val="1"/>
          <w:iCs w:val="1"/>
          <w:rtl w:val="0"/>
        </w:rPr>
        <w:t xml:space="preserve">Contemporary British History</w:t>
      </w:r>
      <w:r w:rsidDel="00000000" w:rsidR="00000000" w:rsidRPr="00000000">
        <w:rPr>
          <w:rtl w:val="0"/>
        </w:rPr>
        <w:t xml:space="preserve">, </w:t>
      </w:r>
      <w:r w:rsidDel="00000000" w:rsidR="00000000" w:rsidRPr="00000000">
        <w:rPr>
          <w:i w:val="1"/>
          <w:iCs w:val="1"/>
          <w:rtl w:val="0"/>
        </w:rPr>
        <w:t xml:space="preserve">36</w:t>
      </w:r>
      <w:r w:rsidDel="00000000" w:rsidR="00000000" w:rsidRPr="00000000">
        <w:rPr>
          <w:rtl w:val="0"/>
        </w:rPr>
        <w:t xml:space="preserve">(3), pp.403-429.</w:t>
      </w:r>
    </w:p>
    <w:p w:rsidR="00000000" w:rsidDel="00000000" w:rsidP="00000000" w:rsidRDefault="00000000" w:rsidRPr="00000000" w14:paraId="00000028">
      <w:pPr>
        <w:spacing w:line="360" w:lineRule="auto"/>
        <w:rPr/>
      </w:pPr>
      <w:r w:rsidDel="00000000" w:rsidR="00000000" w:rsidRPr="00000000">
        <w:rPr>
          <w:rtl w:val="0"/>
        </w:rPr>
        <w:t xml:space="preserve">Tubton, R.H., 1956. National Health Service Act, 1946.</w:t>
      </w:r>
    </w:p>
    <w:p w:rsidR="00000000" w:rsidDel="00000000" w:rsidP="00000000" w:rsidRDefault="00000000" w:rsidRPr="00000000" w14:paraId="00000029">
      <w:pPr>
        <w:spacing w:line="360" w:lineRule="auto"/>
        <w:rPr/>
      </w:pPr>
      <w:r w:rsidDel="00000000" w:rsidR="00000000" w:rsidRPr="00000000">
        <w:rPr>
          <w:rtl w:val="0"/>
        </w:rPr>
        <w:t xml:space="preserve">Williams, B., 2022. The national early warning score: from concept to NHS implementation. </w:t>
      </w:r>
      <w:r w:rsidDel="00000000" w:rsidR="00000000" w:rsidRPr="00000000">
        <w:rPr>
          <w:i w:val="1"/>
          <w:iCs w:val="1"/>
          <w:rtl w:val="0"/>
        </w:rPr>
        <w:t xml:space="preserve">Clinical Medicine</w:t>
      </w:r>
      <w:r w:rsidDel="00000000" w:rsidR="00000000" w:rsidRPr="00000000">
        <w:rPr>
          <w:rtl w:val="0"/>
        </w:rPr>
        <w:t xml:space="preserve">, </w:t>
      </w:r>
      <w:r w:rsidDel="00000000" w:rsidR="00000000" w:rsidRPr="00000000">
        <w:rPr>
          <w:i w:val="1"/>
          <w:iCs w:val="1"/>
          <w:rtl w:val="0"/>
        </w:rPr>
        <w:t xml:space="preserve">22</w:t>
      </w:r>
      <w:r w:rsidDel="00000000" w:rsidR="00000000" w:rsidRPr="00000000">
        <w:rPr>
          <w:rtl w:val="0"/>
        </w:rPr>
        <w:t xml:space="preserve">(6), pp.499-505.</w:t>
      </w:r>
    </w:p>
    <w:p w:rsidR="00000000" w:rsidDel="00000000" w:rsidP="00000000" w:rsidRDefault="00000000" w:rsidRPr="00000000" w14:paraId="0000002A">
      <w:pPr>
        <w:spacing w:line="360" w:lineRule="auto"/>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259"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e75b5"/>
      <w:sz w:val="32"/>
      <w:szCs w:val="32"/>
    </w:rPr>
  </w:style>
  <w:style w:type="paragraph" w:styleId="Heading2">
    <w:name w:val="heading 2"/>
    <w:basedOn w:val="Normal"/>
    <w:next w:val="Normal"/>
    <w:pPr>
      <w:keepNext w:val="1"/>
      <w:keepLines w:val="1"/>
      <w:spacing w:after="0" w:before="40" w:lineRule="auto"/>
    </w:pPr>
    <w:rPr>
      <w:color w:val="2e75b5"/>
      <w:sz w:val="28"/>
      <w:szCs w:val="28"/>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rFhkVluugFcm3CIg5QT/NbPkcg==">CgMxLjAyDmgucjFoa2Z2ZnhyMDFxMg5oLmoxaW15a2o4a2trbzIOaC40aDkzeGxsem8wOHgyDmgub25qYzEwb20yazg0MgxoLnUwOWZwNzVjaG8yDmguNXltZGYxbXh0dm5nMg5oLmJ6eTZ1dXFyb2QxcDgAciExeDBjX2dhVFhXQWpHRTZBZW5scUVMQnlGcWE5MHY2YlA=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e9ec80d1-c372-4c0d-832d-299dac055a85</vt:lpwstr>
  </property>
</Properties>
</file>