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C3241B" w14:textId="3AF9BAA2" w:rsidR="006847E1" w:rsidRPr="006847E1" w:rsidRDefault="006847E1">
      <w:pPr>
        <w:rPr>
          <w:rFonts w:cstheme="minorHAnsi"/>
          <w:b/>
          <w:bCs/>
          <w:color w:val="0070C0"/>
          <w:sz w:val="28"/>
          <w:szCs w:val="28"/>
          <w:shd w:val="clear" w:color="auto" w:fill="FFFFFF"/>
        </w:rPr>
      </w:pPr>
      <w:r w:rsidRPr="006847E1">
        <w:rPr>
          <w:rFonts w:cstheme="minorHAnsi"/>
          <w:b/>
          <w:bCs/>
          <w:color w:val="0070C0"/>
          <w:sz w:val="28"/>
          <w:szCs w:val="28"/>
          <w:shd w:val="clear" w:color="auto" w:fill="FFFFFF"/>
        </w:rPr>
        <w:t>Chapter Two – Literature Review</w:t>
      </w:r>
      <w:r>
        <w:rPr>
          <w:rFonts w:cstheme="minorHAnsi"/>
          <w:b/>
          <w:bCs/>
          <w:color w:val="0070C0"/>
          <w:sz w:val="28"/>
          <w:szCs w:val="28"/>
          <w:shd w:val="clear" w:color="auto" w:fill="FFFFFF"/>
        </w:rPr>
        <w:t>:</w:t>
      </w:r>
      <w:r w:rsidRPr="006847E1">
        <w:rPr>
          <w:rFonts w:cstheme="minorHAnsi"/>
          <w:b/>
          <w:bCs/>
          <w:color w:val="0070C0"/>
          <w:sz w:val="28"/>
          <w:szCs w:val="28"/>
          <w:shd w:val="clear" w:color="auto" w:fill="FFFFFF"/>
        </w:rPr>
        <w:t xml:space="preserve"> </w:t>
      </w:r>
    </w:p>
    <w:p w14:paraId="0B619E11" w14:textId="77777777" w:rsidR="006847E1" w:rsidRDefault="006847E1">
      <w:pPr>
        <w:rPr>
          <w:rFonts w:cstheme="minorHAnsi"/>
          <w:b/>
          <w:bCs/>
          <w:sz w:val="28"/>
          <w:szCs w:val="28"/>
          <w:shd w:val="clear" w:color="auto" w:fill="FFFFFF"/>
        </w:rPr>
      </w:pPr>
    </w:p>
    <w:p w14:paraId="0FEA44CD" w14:textId="68914B46" w:rsidR="006847E1" w:rsidRPr="00EF3664" w:rsidRDefault="006847E1" w:rsidP="00EF3664">
      <w:pPr>
        <w:rPr>
          <w:rFonts w:cstheme="minorHAnsi"/>
          <w:sz w:val="28"/>
          <w:szCs w:val="28"/>
          <w:shd w:val="clear" w:color="auto" w:fill="FFFFFF"/>
        </w:rPr>
      </w:pPr>
      <w:r w:rsidRPr="00EF3664">
        <w:rPr>
          <w:rFonts w:cstheme="minorHAnsi"/>
          <w:sz w:val="28"/>
          <w:szCs w:val="28"/>
          <w:shd w:val="clear" w:color="auto" w:fill="FFFFFF"/>
        </w:rPr>
        <w:t xml:space="preserve">2.1 </w:t>
      </w:r>
      <w:r w:rsidRPr="00340BEF">
        <w:rPr>
          <w:rFonts w:cstheme="minorHAnsi"/>
          <w:b/>
          <w:bCs/>
          <w:sz w:val="24"/>
          <w:szCs w:val="24"/>
          <w:shd w:val="clear" w:color="auto" w:fill="FFFFFF"/>
        </w:rPr>
        <w:t>Introduction</w:t>
      </w:r>
    </w:p>
    <w:p w14:paraId="209A3F48" w14:textId="71EC2040" w:rsidR="006847E1" w:rsidRPr="00EF3664" w:rsidRDefault="006847E1">
      <w:pPr>
        <w:rPr>
          <w:rFonts w:cstheme="minorHAnsi"/>
          <w:b/>
          <w:bCs/>
          <w:sz w:val="28"/>
          <w:szCs w:val="28"/>
          <w:shd w:val="clear" w:color="auto" w:fill="FFFFFF"/>
        </w:rPr>
      </w:pPr>
      <w:r w:rsidRPr="00EF3664">
        <w:rPr>
          <w:rFonts w:cstheme="minorHAnsi"/>
          <w:sz w:val="28"/>
          <w:szCs w:val="28"/>
          <w:shd w:val="clear" w:color="auto" w:fill="FFFFFF"/>
        </w:rPr>
        <w:t xml:space="preserve">2.2 </w:t>
      </w:r>
      <w:r w:rsidR="00201117" w:rsidRPr="00340BEF">
        <w:rPr>
          <w:rFonts w:cstheme="minorHAnsi"/>
          <w:b/>
          <w:bCs/>
          <w:sz w:val="24"/>
          <w:szCs w:val="24"/>
          <w:shd w:val="clear" w:color="auto" w:fill="FFFFFF"/>
        </w:rPr>
        <w:t>Genetics and Crime</w:t>
      </w:r>
      <w:r w:rsidR="003D1E9C" w:rsidRPr="00340BEF">
        <w:rPr>
          <w:rFonts w:cstheme="minorHAnsi"/>
          <w:b/>
          <w:bCs/>
          <w:sz w:val="24"/>
          <w:szCs w:val="24"/>
          <w:shd w:val="clear" w:color="auto" w:fill="FFFFFF"/>
        </w:rPr>
        <w:t xml:space="preserve"> Theories</w:t>
      </w:r>
    </w:p>
    <w:p w14:paraId="06EC55A2" w14:textId="0FF830E7" w:rsidR="006847E1" w:rsidRPr="00EF3664" w:rsidRDefault="006847E1">
      <w:pPr>
        <w:rPr>
          <w:rFonts w:cstheme="minorHAnsi"/>
          <w:sz w:val="28"/>
          <w:szCs w:val="28"/>
          <w:shd w:val="clear" w:color="auto" w:fill="FFFFFF"/>
        </w:rPr>
      </w:pPr>
      <w:r w:rsidRPr="00EF3664">
        <w:rPr>
          <w:rFonts w:cstheme="minorHAnsi"/>
          <w:sz w:val="28"/>
          <w:szCs w:val="28"/>
          <w:shd w:val="clear" w:color="auto" w:fill="FFFFFF"/>
        </w:rPr>
        <w:t xml:space="preserve">2.3 </w:t>
      </w:r>
      <w:r w:rsidR="00201117" w:rsidRPr="00340BEF">
        <w:rPr>
          <w:rFonts w:cstheme="minorHAnsi"/>
          <w:b/>
          <w:bCs/>
          <w:sz w:val="24"/>
          <w:szCs w:val="24"/>
          <w:shd w:val="clear" w:color="auto" w:fill="FFFFFF"/>
        </w:rPr>
        <w:t>Social Reaction and Social Constructionism</w:t>
      </w:r>
      <w:r w:rsidR="003D1E9C" w:rsidRPr="00340BEF">
        <w:rPr>
          <w:rFonts w:cstheme="minorHAnsi"/>
          <w:b/>
          <w:bCs/>
          <w:sz w:val="24"/>
          <w:szCs w:val="24"/>
          <w:shd w:val="clear" w:color="auto" w:fill="FFFFFF"/>
        </w:rPr>
        <w:t xml:space="preserve"> Theories</w:t>
      </w:r>
    </w:p>
    <w:p w14:paraId="122D0D93" w14:textId="4FCB1B32" w:rsidR="006847E1" w:rsidRPr="00EF3664" w:rsidRDefault="006847E1">
      <w:pPr>
        <w:rPr>
          <w:rFonts w:cstheme="minorHAnsi"/>
          <w:b/>
          <w:bCs/>
          <w:sz w:val="28"/>
          <w:szCs w:val="28"/>
          <w:shd w:val="clear" w:color="auto" w:fill="FFFFFF"/>
        </w:rPr>
      </w:pPr>
      <w:r w:rsidRPr="00EF3664">
        <w:rPr>
          <w:rFonts w:cstheme="minorHAnsi"/>
          <w:sz w:val="28"/>
          <w:szCs w:val="28"/>
          <w:shd w:val="clear" w:color="auto" w:fill="FFFFFF"/>
        </w:rPr>
        <w:t xml:space="preserve">2.4 </w:t>
      </w:r>
      <w:r w:rsidR="00201117" w:rsidRPr="00340BEF">
        <w:rPr>
          <w:rFonts w:cstheme="minorHAnsi"/>
          <w:b/>
          <w:bCs/>
          <w:sz w:val="24"/>
          <w:szCs w:val="24"/>
          <w:shd w:val="clear" w:color="auto" w:fill="FFFFFF"/>
        </w:rPr>
        <w:t xml:space="preserve">Anti-Social Behaviour </w:t>
      </w:r>
      <w:r w:rsidR="00EF3664" w:rsidRPr="00340BEF">
        <w:rPr>
          <w:rFonts w:cstheme="minorHAnsi"/>
          <w:b/>
          <w:bCs/>
          <w:sz w:val="24"/>
          <w:szCs w:val="24"/>
          <w:shd w:val="clear" w:color="auto" w:fill="FFFFFF"/>
        </w:rPr>
        <w:t xml:space="preserve">Statistics and the Offenders  </w:t>
      </w:r>
    </w:p>
    <w:p w14:paraId="3DDF1E89" w14:textId="16A07D1A" w:rsidR="00EF3664" w:rsidRPr="00EF3664" w:rsidRDefault="00EF3664">
      <w:pPr>
        <w:rPr>
          <w:rFonts w:cstheme="minorHAnsi"/>
          <w:b/>
          <w:bCs/>
          <w:sz w:val="28"/>
          <w:szCs w:val="28"/>
          <w:shd w:val="clear" w:color="auto" w:fill="FFFFFF"/>
        </w:rPr>
      </w:pPr>
      <w:bookmarkStart w:id="0" w:name="_Hlk93693983"/>
      <w:r w:rsidRPr="00EF3664">
        <w:rPr>
          <w:rFonts w:cstheme="minorHAnsi"/>
          <w:sz w:val="28"/>
          <w:szCs w:val="28"/>
          <w:shd w:val="clear" w:color="auto" w:fill="FFFFFF"/>
        </w:rPr>
        <w:t xml:space="preserve">2.5 </w:t>
      </w:r>
      <w:r w:rsidR="00340BEF" w:rsidRPr="00340BEF">
        <w:rPr>
          <w:rFonts w:cstheme="minorHAnsi"/>
          <w:b/>
          <w:bCs/>
          <w:sz w:val="24"/>
          <w:szCs w:val="24"/>
          <w:shd w:val="clear" w:color="auto" w:fill="FFFFFF"/>
        </w:rPr>
        <w:t>The Effectiveness of Anti-social Behaviour Legislation and Prevention Efforts</w:t>
      </w:r>
    </w:p>
    <w:bookmarkEnd w:id="0"/>
    <w:p w14:paraId="6810047C" w14:textId="62B49099" w:rsidR="006847E1" w:rsidRPr="00EF3664" w:rsidRDefault="00052B58">
      <w:pPr>
        <w:rPr>
          <w:rFonts w:cstheme="minorHAnsi"/>
          <w:b/>
          <w:bCs/>
          <w:sz w:val="28"/>
          <w:szCs w:val="28"/>
          <w:shd w:val="clear" w:color="auto" w:fill="FFFFFF"/>
        </w:rPr>
      </w:pPr>
      <w:r w:rsidRPr="00EF3664">
        <w:rPr>
          <w:rFonts w:cstheme="minorHAnsi"/>
          <w:sz w:val="28"/>
          <w:szCs w:val="28"/>
          <w:shd w:val="clear" w:color="auto" w:fill="FFFFFF"/>
        </w:rPr>
        <w:t>2.</w:t>
      </w:r>
      <w:r w:rsidR="00EF3664" w:rsidRPr="00EF3664">
        <w:rPr>
          <w:rFonts w:cstheme="minorHAnsi"/>
          <w:sz w:val="28"/>
          <w:szCs w:val="28"/>
          <w:shd w:val="clear" w:color="auto" w:fill="FFFFFF"/>
        </w:rPr>
        <w:t>6</w:t>
      </w:r>
      <w:r w:rsidRPr="00EF3664">
        <w:rPr>
          <w:rFonts w:cstheme="minorHAnsi"/>
          <w:sz w:val="28"/>
          <w:szCs w:val="28"/>
          <w:shd w:val="clear" w:color="auto" w:fill="FFFFFF"/>
        </w:rPr>
        <w:t xml:space="preserve"> </w:t>
      </w:r>
      <w:r w:rsidR="00161BBE" w:rsidRPr="00340BEF">
        <w:rPr>
          <w:rFonts w:cstheme="minorHAnsi"/>
          <w:b/>
          <w:bCs/>
          <w:sz w:val="24"/>
          <w:szCs w:val="24"/>
          <w:shd w:val="clear" w:color="auto" w:fill="FFFFFF"/>
        </w:rPr>
        <w:t>Conclusion</w:t>
      </w:r>
    </w:p>
    <w:p w14:paraId="2853C179" w14:textId="77777777" w:rsidR="006847E1" w:rsidRDefault="006847E1">
      <w:pPr>
        <w:rPr>
          <w:rFonts w:cstheme="minorHAnsi"/>
          <w:shd w:val="clear" w:color="auto" w:fill="FFFFFF"/>
        </w:rPr>
      </w:pPr>
    </w:p>
    <w:p w14:paraId="0BFCA6A6" w14:textId="77777777" w:rsidR="006847E1" w:rsidRPr="007A63E6" w:rsidRDefault="006847E1">
      <w:pPr>
        <w:rPr>
          <w:rFonts w:cstheme="minorHAnsi"/>
          <w:shd w:val="clear" w:color="auto" w:fill="FFFFFF"/>
        </w:rPr>
      </w:pPr>
    </w:p>
    <w:p w14:paraId="70FBE7D5" w14:textId="77777777" w:rsidR="006847E1" w:rsidRPr="007A63E6" w:rsidRDefault="006847E1">
      <w:pPr>
        <w:rPr>
          <w:rFonts w:cstheme="minorHAnsi"/>
          <w:shd w:val="clear" w:color="auto" w:fill="FFFFFF"/>
        </w:rPr>
      </w:pPr>
    </w:p>
    <w:p w14:paraId="2A5FA9D8" w14:textId="77777777" w:rsidR="006847E1" w:rsidRPr="007A63E6" w:rsidRDefault="006847E1">
      <w:pPr>
        <w:rPr>
          <w:rFonts w:cstheme="minorHAnsi"/>
          <w:shd w:val="clear" w:color="auto" w:fill="FFFFFF"/>
        </w:rPr>
      </w:pPr>
    </w:p>
    <w:p w14:paraId="2BB6DCE2" w14:textId="77777777" w:rsidR="006847E1" w:rsidRPr="007A63E6" w:rsidRDefault="006847E1">
      <w:pPr>
        <w:rPr>
          <w:rFonts w:cstheme="minorHAnsi"/>
          <w:shd w:val="clear" w:color="auto" w:fill="FFFFFF"/>
        </w:rPr>
      </w:pPr>
    </w:p>
    <w:p w14:paraId="5EBA2418" w14:textId="77777777" w:rsidR="006847E1" w:rsidRPr="007A63E6" w:rsidRDefault="006847E1">
      <w:pPr>
        <w:rPr>
          <w:rFonts w:cstheme="minorHAnsi"/>
          <w:shd w:val="clear" w:color="auto" w:fill="FFFFFF"/>
        </w:rPr>
      </w:pPr>
    </w:p>
    <w:p w14:paraId="0C4F703D" w14:textId="77777777" w:rsidR="00B63BA8" w:rsidRDefault="00B63BA8">
      <w:pPr>
        <w:rPr>
          <w:rFonts w:cstheme="minorHAnsi"/>
          <w:shd w:val="clear" w:color="auto" w:fill="FFFFFF"/>
        </w:rPr>
      </w:pPr>
    </w:p>
    <w:p w14:paraId="6E1A7DFA" w14:textId="77777777" w:rsidR="00340BEF" w:rsidRDefault="00340BEF">
      <w:pPr>
        <w:rPr>
          <w:rFonts w:cstheme="minorHAnsi"/>
          <w:b/>
          <w:bCs/>
          <w:color w:val="0070C0"/>
          <w:shd w:val="clear" w:color="auto" w:fill="FFFFFF"/>
        </w:rPr>
      </w:pPr>
    </w:p>
    <w:p w14:paraId="7643AC76" w14:textId="77777777" w:rsidR="007124FA" w:rsidRDefault="007124FA">
      <w:pPr>
        <w:rPr>
          <w:rFonts w:cstheme="minorHAnsi"/>
          <w:b/>
          <w:bCs/>
          <w:color w:val="0070C0"/>
          <w:shd w:val="clear" w:color="auto" w:fill="FFFFFF"/>
        </w:rPr>
      </w:pPr>
    </w:p>
    <w:p w14:paraId="265BD9BC" w14:textId="77777777" w:rsidR="007124FA" w:rsidRDefault="007124FA">
      <w:pPr>
        <w:rPr>
          <w:rFonts w:cstheme="minorHAnsi"/>
          <w:b/>
          <w:bCs/>
          <w:color w:val="0070C0"/>
          <w:shd w:val="clear" w:color="auto" w:fill="FFFFFF"/>
        </w:rPr>
      </w:pPr>
    </w:p>
    <w:p w14:paraId="63D0C3A7" w14:textId="77777777" w:rsidR="007124FA" w:rsidRDefault="007124FA">
      <w:pPr>
        <w:rPr>
          <w:rFonts w:cstheme="minorHAnsi"/>
          <w:b/>
          <w:bCs/>
          <w:color w:val="0070C0"/>
          <w:shd w:val="clear" w:color="auto" w:fill="FFFFFF"/>
        </w:rPr>
      </w:pPr>
    </w:p>
    <w:p w14:paraId="16138498" w14:textId="77777777" w:rsidR="007124FA" w:rsidRDefault="007124FA">
      <w:pPr>
        <w:rPr>
          <w:rFonts w:cstheme="minorHAnsi"/>
          <w:b/>
          <w:bCs/>
          <w:color w:val="0070C0"/>
          <w:shd w:val="clear" w:color="auto" w:fill="FFFFFF"/>
        </w:rPr>
      </w:pPr>
    </w:p>
    <w:p w14:paraId="680CA2A7" w14:textId="77777777" w:rsidR="00B84E49" w:rsidRDefault="00B84E49">
      <w:pPr>
        <w:rPr>
          <w:rFonts w:cstheme="minorHAnsi"/>
          <w:b/>
          <w:bCs/>
          <w:color w:val="0070C0"/>
          <w:shd w:val="clear" w:color="auto" w:fill="FFFFFF"/>
        </w:rPr>
      </w:pPr>
    </w:p>
    <w:p w14:paraId="7EE0AE45" w14:textId="77777777" w:rsidR="00B84E49" w:rsidRDefault="00B84E49">
      <w:pPr>
        <w:rPr>
          <w:rFonts w:cstheme="minorHAnsi"/>
          <w:b/>
          <w:bCs/>
          <w:color w:val="0070C0"/>
          <w:shd w:val="clear" w:color="auto" w:fill="FFFFFF"/>
        </w:rPr>
      </w:pPr>
    </w:p>
    <w:p w14:paraId="380A3C75" w14:textId="77777777" w:rsidR="00B84E49" w:rsidRDefault="00B84E49">
      <w:pPr>
        <w:rPr>
          <w:rFonts w:cstheme="minorHAnsi"/>
          <w:b/>
          <w:bCs/>
          <w:color w:val="0070C0"/>
          <w:shd w:val="clear" w:color="auto" w:fill="FFFFFF"/>
        </w:rPr>
      </w:pPr>
    </w:p>
    <w:p w14:paraId="6C94E071" w14:textId="77777777" w:rsidR="00281955" w:rsidRDefault="00281955">
      <w:pPr>
        <w:rPr>
          <w:rFonts w:cstheme="minorHAnsi"/>
          <w:b/>
          <w:bCs/>
          <w:color w:val="0070C0"/>
          <w:shd w:val="clear" w:color="auto" w:fill="FFFFFF"/>
        </w:rPr>
      </w:pPr>
    </w:p>
    <w:p w14:paraId="2CE8AE13" w14:textId="77777777" w:rsidR="00281955" w:rsidRDefault="00281955">
      <w:pPr>
        <w:rPr>
          <w:rFonts w:cstheme="minorHAnsi"/>
          <w:b/>
          <w:bCs/>
          <w:color w:val="0070C0"/>
          <w:shd w:val="clear" w:color="auto" w:fill="FFFFFF"/>
        </w:rPr>
      </w:pPr>
    </w:p>
    <w:p w14:paraId="1E70153A" w14:textId="77777777" w:rsidR="00281955" w:rsidRDefault="00281955">
      <w:pPr>
        <w:rPr>
          <w:rFonts w:cstheme="minorHAnsi"/>
          <w:b/>
          <w:bCs/>
          <w:color w:val="0070C0"/>
          <w:shd w:val="clear" w:color="auto" w:fill="FFFFFF"/>
        </w:rPr>
      </w:pPr>
    </w:p>
    <w:p w14:paraId="731D710A" w14:textId="77777777" w:rsidR="00281955" w:rsidRDefault="00281955">
      <w:pPr>
        <w:rPr>
          <w:rFonts w:cstheme="minorHAnsi"/>
          <w:b/>
          <w:bCs/>
          <w:color w:val="0070C0"/>
          <w:shd w:val="clear" w:color="auto" w:fill="FFFFFF"/>
        </w:rPr>
      </w:pPr>
    </w:p>
    <w:p w14:paraId="04097D2A" w14:textId="77777777" w:rsidR="00281955" w:rsidRDefault="00281955">
      <w:pPr>
        <w:rPr>
          <w:rFonts w:cstheme="minorHAnsi"/>
          <w:b/>
          <w:bCs/>
          <w:color w:val="0070C0"/>
          <w:shd w:val="clear" w:color="auto" w:fill="FFFFFF"/>
        </w:rPr>
      </w:pPr>
    </w:p>
    <w:p w14:paraId="33DB3952" w14:textId="77777777" w:rsidR="00281955" w:rsidRDefault="00281955">
      <w:pPr>
        <w:rPr>
          <w:rFonts w:cstheme="minorHAnsi"/>
          <w:b/>
          <w:bCs/>
          <w:color w:val="0070C0"/>
          <w:shd w:val="clear" w:color="auto" w:fill="FFFFFF"/>
        </w:rPr>
      </w:pPr>
    </w:p>
    <w:p w14:paraId="45A1EAAD" w14:textId="77777777" w:rsidR="00281955" w:rsidRDefault="00281955">
      <w:pPr>
        <w:rPr>
          <w:rFonts w:cstheme="minorHAnsi"/>
          <w:b/>
          <w:bCs/>
          <w:color w:val="0070C0"/>
          <w:shd w:val="clear" w:color="auto" w:fill="FFFFFF"/>
        </w:rPr>
      </w:pPr>
    </w:p>
    <w:p w14:paraId="7BF66F24" w14:textId="7C32D853" w:rsidR="00D310E4" w:rsidRPr="007A63E6" w:rsidRDefault="00D310E4">
      <w:pPr>
        <w:rPr>
          <w:rFonts w:cstheme="minorHAnsi"/>
          <w:b/>
          <w:bCs/>
          <w:color w:val="0070C0"/>
          <w:shd w:val="clear" w:color="auto" w:fill="FFFFFF"/>
        </w:rPr>
      </w:pPr>
      <w:r w:rsidRPr="007A63E6">
        <w:rPr>
          <w:rFonts w:cstheme="minorHAnsi"/>
          <w:b/>
          <w:bCs/>
          <w:color w:val="0070C0"/>
          <w:shd w:val="clear" w:color="auto" w:fill="FFFFFF"/>
        </w:rPr>
        <w:lastRenderedPageBreak/>
        <w:t xml:space="preserve">Chapter Two: </w:t>
      </w:r>
    </w:p>
    <w:p w14:paraId="3EC78FD6" w14:textId="77777777" w:rsidR="00D310E4" w:rsidRPr="007A63E6" w:rsidRDefault="00D310E4">
      <w:pPr>
        <w:rPr>
          <w:rFonts w:cstheme="minorHAnsi"/>
          <w:shd w:val="clear" w:color="auto" w:fill="FFFFFF"/>
        </w:rPr>
      </w:pPr>
    </w:p>
    <w:p w14:paraId="010B4055" w14:textId="367685C4" w:rsidR="00D11558" w:rsidRPr="007A63E6" w:rsidRDefault="00D11558">
      <w:pPr>
        <w:rPr>
          <w:rFonts w:cstheme="minorHAnsi"/>
          <w:b/>
          <w:bCs/>
          <w:shd w:val="clear" w:color="auto" w:fill="FFFFFF"/>
        </w:rPr>
      </w:pPr>
      <w:r w:rsidRPr="007A63E6">
        <w:rPr>
          <w:rFonts w:cstheme="minorHAnsi"/>
          <w:shd w:val="clear" w:color="auto" w:fill="FFFFFF"/>
        </w:rPr>
        <w:t xml:space="preserve">2.1 </w:t>
      </w:r>
      <w:r w:rsidRPr="007A63E6">
        <w:rPr>
          <w:rFonts w:cstheme="minorHAnsi"/>
          <w:b/>
          <w:bCs/>
          <w:shd w:val="clear" w:color="auto" w:fill="FFFFFF"/>
        </w:rPr>
        <w:t>Introduction</w:t>
      </w:r>
    </w:p>
    <w:p w14:paraId="100A3D00" w14:textId="77777777" w:rsidR="002700F8" w:rsidRDefault="002700F8">
      <w:pPr>
        <w:rPr>
          <w:rFonts w:cstheme="minorHAnsi"/>
          <w:shd w:val="clear" w:color="auto" w:fill="FFFFFF"/>
        </w:rPr>
      </w:pPr>
      <w:r w:rsidRPr="002700F8">
        <w:rPr>
          <w:rFonts w:cstheme="minorHAnsi"/>
          <w:shd w:val="clear" w:color="auto" w:fill="FFFFFF"/>
        </w:rPr>
        <w:t xml:space="preserve">According to Haywood &amp; Wragg (1982), the fundamental objective of a literature review is to study academic sources to establish that the literature considered has been read extensively throughout the topic area to obtain a well-balanced discussion of pre-existing work in the field. Therefore, this chapter aims to examine scholarly research on whether a criminal is ‘born or made’ based on the three essential factors. According to criminology studies, these include psychological, which connects crime to personality, biological, which also connects crime to heredity and genes, and sociological, which connects crime to social pressure and society and apply them to ASB (Gray, Lilley &amp; </w:t>
      </w:r>
      <w:proofErr w:type="spellStart"/>
      <w:r w:rsidRPr="002700F8">
        <w:rPr>
          <w:rFonts w:cstheme="minorHAnsi"/>
          <w:shd w:val="clear" w:color="auto" w:fill="FFFFFF"/>
        </w:rPr>
        <w:t>Vause</w:t>
      </w:r>
      <w:proofErr w:type="spellEnd"/>
      <w:r w:rsidRPr="002700F8">
        <w:rPr>
          <w:rFonts w:cstheme="minorHAnsi"/>
          <w:shd w:val="clear" w:color="auto" w:fill="FFFFFF"/>
        </w:rPr>
        <w:t xml:space="preserve">, 2010). </w:t>
      </w:r>
    </w:p>
    <w:p w14:paraId="2749D873" w14:textId="2798127E" w:rsidR="006847E1" w:rsidRPr="007A63E6" w:rsidRDefault="003F4B60">
      <w:pPr>
        <w:rPr>
          <w:rFonts w:cstheme="minorHAnsi"/>
          <w:b/>
          <w:bCs/>
          <w:shd w:val="clear" w:color="auto" w:fill="FFFFFF"/>
        </w:rPr>
      </w:pPr>
      <w:r w:rsidRPr="007A63E6">
        <w:rPr>
          <w:rFonts w:cstheme="minorHAnsi"/>
          <w:shd w:val="clear" w:color="auto" w:fill="FFFFFF"/>
        </w:rPr>
        <w:t xml:space="preserve">2.2 </w:t>
      </w:r>
      <w:r w:rsidRPr="007A63E6">
        <w:rPr>
          <w:rFonts w:cstheme="minorHAnsi"/>
          <w:b/>
          <w:bCs/>
          <w:shd w:val="clear" w:color="auto" w:fill="FFFFFF"/>
        </w:rPr>
        <w:t>Genetics and Crime</w:t>
      </w:r>
      <w:r w:rsidR="003D1E9C" w:rsidRPr="007A63E6">
        <w:rPr>
          <w:rFonts w:cstheme="minorHAnsi"/>
          <w:b/>
          <w:bCs/>
          <w:shd w:val="clear" w:color="auto" w:fill="FFFFFF"/>
        </w:rPr>
        <w:t xml:space="preserve"> Theories</w:t>
      </w:r>
    </w:p>
    <w:p w14:paraId="3387C02E" w14:textId="77777777" w:rsidR="008C0ED0" w:rsidRPr="008C0ED0" w:rsidRDefault="008C0ED0" w:rsidP="008C0ED0">
      <w:pPr>
        <w:rPr>
          <w:rFonts w:cstheme="minorHAnsi"/>
          <w:shd w:val="clear" w:color="auto" w:fill="FFFFFF"/>
        </w:rPr>
      </w:pPr>
      <w:r w:rsidRPr="008C0ED0">
        <w:rPr>
          <w:rFonts w:cstheme="minorHAnsi"/>
          <w:shd w:val="clear" w:color="auto" w:fill="FFFFFF"/>
        </w:rPr>
        <w:t xml:space="preserve">While attempting to identify crime patterns, criminology would be the topic of research; this idea of preventing crime by predictions has been investigated for decades to try to identify why crime happens and maybe make reasonable conclusions (Little, 2019). Furthermore, as highlighted by </w:t>
      </w:r>
      <w:proofErr w:type="spellStart"/>
      <w:r w:rsidRPr="008C0ED0">
        <w:rPr>
          <w:rFonts w:cstheme="minorHAnsi"/>
          <w:shd w:val="clear" w:color="auto" w:fill="FFFFFF"/>
        </w:rPr>
        <w:t>Buil</w:t>
      </w:r>
      <w:proofErr w:type="spellEnd"/>
      <w:r w:rsidRPr="008C0ED0">
        <w:rPr>
          <w:rFonts w:cstheme="minorHAnsi"/>
          <w:shd w:val="clear" w:color="auto" w:fill="FFFFFF"/>
        </w:rPr>
        <w:t>-Gil, Moretti &amp; Langton (2021), many generations of experts have advanced hypotheses suggesting that humans are born criminals. Several sociologists and psychologists have researched the subject, although, in recent years, some have attempted to dispute these beliefs.</w:t>
      </w:r>
    </w:p>
    <w:p w14:paraId="79E4739B" w14:textId="77777777" w:rsidR="008C0ED0" w:rsidRPr="008C0ED0" w:rsidRDefault="008C0ED0" w:rsidP="008C0ED0">
      <w:pPr>
        <w:rPr>
          <w:rFonts w:cstheme="minorHAnsi"/>
          <w:shd w:val="clear" w:color="auto" w:fill="FFFFFF"/>
        </w:rPr>
      </w:pPr>
      <w:r w:rsidRPr="008C0ED0">
        <w:rPr>
          <w:rFonts w:cstheme="minorHAnsi"/>
          <w:shd w:val="clear" w:color="auto" w:fill="FFFFFF"/>
        </w:rPr>
        <w:t xml:space="preserve">According to the Law Enforcement Action Partnership (2017), the concept of crime prevention originated with Sir Robert Peel's Policing Principles in 1829, in which he established a simplified structure of the policing roles and responsibilities. Furthermore, it is argued that Cesare Lombroso, regarded as the "Parent of Criminology," endorsed Peel's nine principles in 1870 by conducting studies on successful preventative strategies to develop a more effective policing approach (Emsley, 2014; Newburn, 2017). </w:t>
      </w:r>
    </w:p>
    <w:p w14:paraId="4C340BC7" w14:textId="77777777" w:rsidR="008C0ED0" w:rsidRPr="008C0ED0" w:rsidRDefault="008C0ED0" w:rsidP="008C0ED0">
      <w:pPr>
        <w:rPr>
          <w:rFonts w:cstheme="minorHAnsi"/>
          <w:shd w:val="clear" w:color="auto" w:fill="FFFFFF"/>
        </w:rPr>
      </w:pPr>
      <w:r w:rsidRPr="008C0ED0">
        <w:rPr>
          <w:rFonts w:cstheme="minorHAnsi"/>
          <w:shd w:val="clear" w:color="auto" w:fill="FFFFFF"/>
        </w:rPr>
        <w:t xml:space="preserve">Lombroso (1876) claims that criminality is passed down through the generations and that a "born criminal" could well be identified by their facial appearance (Rafter, </w:t>
      </w:r>
      <w:proofErr w:type="spellStart"/>
      <w:r w:rsidRPr="008C0ED0">
        <w:rPr>
          <w:rFonts w:cstheme="minorHAnsi"/>
          <w:shd w:val="clear" w:color="auto" w:fill="FFFFFF"/>
        </w:rPr>
        <w:t>Posick</w:t>
      </w:r>
      <w:proofErr w:type="spellEnd"/>
      <w:r w:rsidRPr="008C0ED0">
        <w:rPr>
          <w:rFonts w:cstheme="minorHAnsi"/>
          <w:shd w:val="clear" w:color="auto" w:fill="FFFFFF"/>
        </w:rPr>
        <w:t xml:space="preserve"> &amp; </w:t>
      </w:r>
      <w:proofErr w:type="spellStart"/>
      <w:r w:rsidRPr="008C0ED0">
        <w:rPr>
          <w:rFonts w:cstheme="minorHAnsi"/>
          <w:shd w:val="clear" w:color="auto" w:fill="FFFFFF"/>
        </w:rPr>
        <w:t>Rocque</w:t>
      </w:r>
      <w:proofErr w:type="spellEnd"/>
      <w:r w:rsidRPr="008C0ED0">
        <w:rPr>
          <w:rFonts w:cstheme="minorHAnsi"/>
          <w:shd w:val="clear" w:color="auto" w:fill="FFFFFF"/>
        </w:rPr>
        <w:t>, 2016; Henry and Lanier, 2019).  Lombroso's theory was examined upon Italian prisoners and non-criminal military members to see if the morphological anatomy of a person's face and head may impact whether or not they are birthed a delinquent (</w:t>
      </w:r>
      <w:proofErr w:type="spellStart"/>
      <w:r w:rsidRPr="008C0ED0">
        <w:rPr>
          <w:rFonts w:cstheme="minorHAnsi"/>
          <w:shd w:val="clear" w:color="auto" w:fill="FFFFFF"/>
        </w:rPr>
        <w:t>Koufioti</w:t>
      </w:r>
      <w:proofErr w:type="spellEnd"/>
      <w:r w:rsidRPr="008C0ED0">
        <w:rPr>
          <w:rFonts w:cstheme="minorHAnsi"/>
          <w:shd w:val="clear" w:color="auto" w:fill="FFFFFF"/>
        </w:rPr>
        <w:t>, 2021). Garofalo (1914) credited the theory with supporting and building on Lombroso's hypothesis, indicating that frequent offenders possessed smaller head forms, a more distinct jawline, with prominent cheekbones.</w:t>
      </w:r>
    </w:p>
    <w:p w14:paraId="03B49E8C" w14:textId="77777777" w:rsidR="008C0ED0" w:rsidRPr="008C0ED0" w:rsidRDefault="008C0ED0" w:rsidP="008C0ED0">
      <w:pPr>
        <w:rPr>
          <w:rFonts w:cstheme="minorHAnsi"/>
          <w:shd w:val="clear" w:color="auto" w:fill="FFFFFF"/>
        </w:rPr>
      </w:pPr>
      <w:r w:rsidRPr="008C0ED0">
        <w:rPr>
          <w:rFonts w:cstheme="minorHAnsi"/>
          <w:shd w:val="clear" w:color="auto" w:fill="FFFFFF"/>
        </w:rPr>
        <w:t>William Sheldon, according to numerous sources, is a believer in Lombroso's thesis. Sheldon's thesis is comparable to Lombroso's, except it argues that a person's bodily composition was also relevant (</w:t>
      </w:r>
      <w:proofErr w:type="spellStart"/>
      <w:r w:rsidRPr="008C0ED0">
        <w:rPr>
          <w:rFonts w:cstheme="minorHAnsi"/>
          <w:shd w:val="clear" w:color="auto" w:fill="FFFFFF"/>
        </w:rPr>
        <w:t>Vertinsky</w:t>
      </w:r>
      <w:proofErr w:type="spellEnd"/>
      <w:r w:rsidRPr="008C0ED0">
        <w:rPr>
          <w:rFonts w:cstheme="minorHAnsi"/>
          <w:shd w:val="clear" w:color="auto" w:fill="FFFFFF"/>
        </w:rPr>
        <w:t xml:space="preserve"> P, 2002; Gray, Lilley, </w:t>
      </w:r>
      <w:proofErr w:type="spellStart"/>
      <w:r w:rsidRPr="008C0ED0">
        <w:rPr>
          <w:rFonts w:cstheme="minorHAnsi"/>
          <w:shd w:val="clear" w:color="auto" w:fill="FFFFFF"/>
        </w:rPr>
        <w:t>Vause</w:t>
      </w:r>
      <w:proofErr w:type="spellEnd"/>
      <w:r w:rsidRPr="008C0ED0">
        <w:rPr>
          <w:rFonts w:cstheme="minorHAnsi"/>
          <w:shd w:val="clear" w:color="auto" w:fill="FFFFFF"/>
        </w:rPr>
        <w:t xml:space="preserve">, 2010). Sheldon (1940) contributed significantly to the classification and development of the relationships connecting human physiology and personality by formulating a somatotype algorithm for each person (Ryan-Stewart, Faulkner, and </w:t>
      </w:r>
      <w:proofErr w:type="spellStart"/>
      <w:r w:rsidRPr="008C0ED0">
        <w:rPr>
          <w:rFonts w:cstheme="minorHAnsi"/>
          <w:shd w:val="clear" w:color="auto" w:fill="FFFFFF"/>
        </w:rPr>
        <w:t>Jobson</w:t>
      </w:r>
      <w:proofErr w:type="spellEnd"/>
      <w:r w:rsidRPr="008C0ED0">
        <w:rPr>
          <w:rFonts w:cstheme="minorHAnsi"/>
          <w:shd w:val="clear" w:color="auto" w:fill="FFFFFF"/>
        </w:rPr>
        <w:t>, 2018; Bernard, 2018; Claudia, 2022). Everybody is predominantly an endomorph, mesomorph, or ectomorph, according to Sheldon (1940). Sheldon (1942) added to this by conducting more studies on the personality traits associated with a somatotype. It was discovered that each level on the scale has distinct characteristics. Overall, Sheldon suggests that the ectomorph, who has a high risk of committing a low-level crime, is a skinny, shy individual with weak social skills</w:t>
      </w:r>
    </w:p>
    <w:p w14:paraId="43331EC0" w14:textId="77777777" w:rsidR="008C0ED0" w:rsidRPr="008C0ED0" w:rsidRDefault="008C0ED0" w:rsidP="008C0ED0">
      <w:pPr>
        <w:rPr>
          <w:rFonts w:cstheme="minorHAnsi"/>
          <w:shd w:val="clear" w:color="auto" w:fill="FFFFFF"/>
        </w:rPr>
      </w:pPr>
      <w:r w:rsidRPr="008C0ED0">
        <w:rPr>
          <w:rFonts w:cstheme="minorHAnsi"/>
          <w:shd w:val="clear" w:color="auto" w:fill="FFFFFF"/>
        </w:rPr>
        <w:t xml:space="preserve">On the other hand, famous research made by West &amp; Farrington (1973) argues against Sheldon and Lombroso by scientifically proving that there is no correlation between a persons’ body shape and </w:t>
      </w:r>
      <w:r w:rsidRPr="008C0ED0">
        <w:rPr>
          <w:rFonts w:cstheme="minorHAnsi"/>
          <w:shd w:val="clear" w:color="auto" w:fill="FFFFFF"/>
        </w:rPr>
        <w:lastRenderedPageBreak/>
        <w:t xml:space="preserve">crime. According to </w:t>
      </w:r>
      <w:proofErr w:type="spellStart"/>
      <w:r w:rsidRPr="008C0ED0">
        <w:rPr>
          <w:rFonts w:cstheme="minorHAnsi"/>
          <w:shd w:val="clear" w:color="auto" w:fill="FFFFFF"/>
        </w:rPr>
        <w:t>Maddan</w:t>
      </w:r>
      <w:proofErr w:type="spellEnd"/>
      <w:r w:rsidRPr="008C0ED0">
        <w:rPr>
          <w:rFonts w:cstheme="minorHAnsi"/>
          <w:shd w:val="clear" w:color="auto" w:fill="FFFFFF"/>
        </w:rPr>
        <w:t xml:space="preserve"> (2021), Sheldon's hypothesis has lost its validity in the present period due to the theory not being able to be applied to women. This is supported by Bernard (2020) who argues that the physical type of a person could vary throughout adulthood. A human's body image does not remain constant throughout their lifetime; it may shift substantially from one end of the range to the other simply by modifying their eating and exercise patterns.</w:t>
      </w:r>
    </w:p>
    <w:p w14:paraId="23615D77" w14:textId="77777777" w:rsidR="008C0ED0" w:rsidRDefault="008C0ED0" w:rsidP="008C0ED0">
      <w:pPr>
        <w:rPr>
          <w:rFonts w:cstheme="minorHAnsi"/>
          <w:shd w:val="clear" w:color="auto" w:fill="FFFFFF"/>
        </w:rPr>
      </w:pPr>
      <w:r w:rsidRPr="008C0ED0">
        <w:rPr>
          <w:rFonts w:cstheme="minorHAnsi"/>
          <w:shd w:val="clear" w:color="auto" w:fill="FFFFFF"/>
        </w:rPr>
        <w:t xml:space="preserve">More recent studies have found that crime philosophies have now been solidified by a scientific investigation into molecular genomic information attempting to determine genetic characteristics which increase the likelihood of criminal behaviour and the connection with human activity including such impulsive, judgment procedures, aggressive behaviour since these are variables that are emphasised in biopsychosocial study results that correlate with criminal activity (Torgersen, 1993; McLaughlin &amp; Newburn, 2010). However, as argued by Kaplan &amp; Winter (2013), although several studies have duplicated the biological effect on crime across many countries, the inherited genetic qualities remain largely unidentified, with no explanation of how many criminal genes exists. Additionally, </w:t>
      </w:r>
      <w:proofErr w:type="spellStart"/>
      <w:r w:rsidRPr="008C0ED0">
        <w:rPr>
          <w:rFonts w:cstheme="minorHAnsi"/>
          <w:shd w:val="clear" w:color="auto" w:fill="FFFFFF"/>
        </w:rPr>
        <w:t>Desalle</w:t>
      </w:r>
      <w:proofErr w:type="spellEnd"/>
      <w:r w:rsidRPr="008C0ED0">
        <w:rPr>
          <w:rFonts w:cstheme="minorHAnsi"/>
          <w:shd w:val="clear" w:color="auto" w:fill="FFFFFF"/>
        </w:rPr>
        <w:t xml:space="preserve"> &amp; Goldstein (2019) claim that even scientific research appears to show little knowledge of where the located genetic sequences exist or if they can worsen over time to correlate to the worsened crime statistics in recent years. </w:t>
      </w:r>
    </w:p>
    <w:p w14:paraId="3AC9FF5E" w14:textId="694B7332" w:rsidR="00AD40AE" w:rsidRDefault="00AD40AE" w:rsidP="008C0ED0">
      <w:pPr>
        <w:rPr>
          <w:rFonts w:cstheme="minorHAnsi"/>
          <w:b/>
          <w:bCs/>
          <w:shd w:val="clear" w:color="auto" w:fill="FFFFFF"/>
        </w:rPr>
      </w:pPr>
      <w:r w:rsidRPr="00AD40AE">
        <w:rPr>
          <w:rFonts w:cstheme="minorHAnsi"/>
        </w:rPr>
        <w:t xml:space="preserve">2.3 </w:t>
      </w:r>
      <w:r w:rsidRPr="00AD40AE">
        <w:rPr>
          <w:rFonts w:cstheme="minorHAnsi"/>
          <w:b/>
          <w:bCs/>
          <w:shd w:val="clear" w:color="auto" w:fill="FFFFFF"/>
        </w:rPr>
        <w:t>Social Reaction and Social Constructionism Theories</w:t>
      </w:r>
      <w:r>
        <w:rPr>
          <w:rFonts w:cstheme="minorHAnsi"/>
          <w:b/>
          <w:bCs/>
          <w:shd w:val="clear" w:color="auto" w:fill="FFFFFF"/>
        </w:rPr>
        <w:t xml:space="preserve"> </w:t>
      </w:r>
    </w:p>
    <w:p w14:paraId="187FE50C" w14:textId="77777777" w:rsidR="008C0ED0" w:rsidRPr="008C0ED0" w:rsidRDefault="008C0ED0" w:rsidP="008C0ED0">
      <w:pPr>
        <w:rPr>
          <w:rFonts w:cstheme="minorHAnsi"/>
        </w:rPr>
      </w:pPr>
      <w:r w:rsidRPr="008C0ED0">
        <w:rPr>
          <w:rFonts w:cstheme="minorHAnsi"/>
        </w:rPr>
        <w:t xml:space="preserve">It is argued that the earliest theory relating to the social reaction and social constructionism on a criminal’s mind is the ‘Tabula Rasa’ Theory produced by Locke (1689) which translates into the ‘Blank Slate’ Theory. Locke (1689) implies that individuals are born without built-in mental content, and therefore all knowledge comes from experience or perception. Consequently, as highlighted by Jarret (2021), when thinking of people’s character qualities, sociability, or intellectual functioning, believers of the tabula rasa hypothesis embrace the nurture perspective of the nature versus nurture argument. Gorman (2021) further supports this argument by stating that a </w:t>
      </w:r>
      <w:proofErr w:type="spellStart"/>
      <w:r w:rsidRPr="008C0ED0">
        <w:rPr>
          <w:rFonts w:cstheme="minorHAnsi"/>
        </w:rPr>
        <w:t>newborn</w:t>
      </w:r>
      <w:proofErr w:type="spellEnd"/>
      <w:r w:rsidRPr="008C0ED0">
        <w:rPr>
          <w:rFonts w:cstheme="minorHAnsi"/>
        </w:rPr>
        <w:t xml:space="preserve"> is conceived before any concepts are engraved on its thinking by the sensations' inputs from the outside environment.  </w:t>
      </w:r>
    </w:p>
    <w:p w14:paraId="7D82AE82" w14:textId="77777777" w:rsidR="008C0ED0" w:rsidRPr="008C0ED0" w:rsidRDefault="008C0ED0" w:rsidP="008C0ED0">
      <w:pPr>
        <w:rPr>
          <w:rFonts w:cstheme="minorHAnsi"/>
        </w:rPr>
      </w:pPr>
      <w:r w:rsidRPr="008C0ED0">
        <w:rPr>
          <w:rFonts w:cstheme="minorHAnsi"/>
        </w:rPr>
        <w:t>To elaborate on psychological positivism, Freud (1989) strengthens the nurture thesis. Numerous sources claim that Freud's theory of personal attributes was based on natural urges which arise at three phases of the mind (Richards, 2018; Gregory, 2018; Edwards &amp; Reynolds, 2019). Freud (1989) highlights that the three aspects of the mind are developed at different times in life, these are called the id, ego, and superego. According to Gregory (2018), unpleasant memories from early experiences can increasingly important role in offending concerning the development of three. The theory is based on moral conscience, and that each part of the mind has power over human behaviours (Hayes &amp; Corrie, 2020; Wang, 2020). The link between them is crucial, and it was equally necessary as a youth to socially interact effectively with the correct environment so that each vital mentality could flourish (Ray, 2021). It is argued that this is related to Freud's theory of the development of the mind, one of the crucial elements is linked to the lack of self-control which in due course exposes the use of drinking or smoking to the parents and eventually the children in the society (Rowe &amp; Farrington, 2006).</w:t>
      </w:r>
    </w:p>
    <w:p w14:paraId="196DB76D" w14:textId="77777777" w:rsidR="008C0ED0" w:rsidRPr="008C0ED0" w:rsidRDefault="008C0ED0" w:rsidP="008C0ED0">
      <w:pPr>
        <w:rPr>
          <w:rFonts w:cstheme="minorHAnsi"/>
        </w:rPr>
      </w:pPr>
      <w:r w:rsidRPr="008C0ED0">
        <w:rPr>
          <w:rFonts w:cstheme="minorHAnsi"/>
        </w:rPr>
        <w:t xml:space="preserve">According to studies, if a child is raised in a criminal atmosphere, they would inevitably resort to a criminal lifestyle since bad behaviour seems 'natural' to them because they witness everyone else doing just that. Additionally, </w:t>
      </w:r>
      <w:proofErr w:type="spellStart"/>
      <w:r w:rsidRPr="008C0ED0">
        <w:rPr>
          <w:rFonts w:cstheme="minorHAnsi"/>
        </w:rPr>
        <w:t>Manen</w:t>
      </w:r>
      <w:proofErr w:type="spellEnd"/>
      <w:r w:rsidRPr="008C0ED0">
        <w:rPr>
          <w:rFonts w:cstheme="minorHAnsi"/>
        </w:rPr>
        <w:t xml:space="preserve"> (2016) argues the significance of responsible parents throughout all phases of a child's development. It emphasises that when there is a lack of nurture, discipline, or education; traits associated with poor self-control emerge therefore resulting in criminal behaviour. To support this, Gottfredson &amp; Hirschi (1990) claims that troublemakers' </w:t>
      </w:r>
      <w:r w:rsidRPr="008C0ED0">
        <w:rPr>
          <w:rFonts w:cstheme="minorHAnsi"/>
        </w:rPr>
        <w:lastRenderedPageBreak/>
        <w:t>households lack guidance and empathy and that their parents' conduct is frequently inadequate. Ray (2021) furthered this argument by applying the hypothesis to an example such as binge drinking, according to theories those children who are troubled in school have parents that are more than likely to have a criminal history themselves or have had a poor reputation of trouble in the past.</w:t>
      </w:r>
    </w:p>
    <w:p w14:paraId="2122905D" w14:textId="77777777" w:rsidR="008C0ED0" w:rsidRPr="008C0ED0" w:rsidRDefault="008C0ED0" w:rsidP="008C0ED0">
      <w:pPr>
        <w:rPr>
          <w:rFonts w:cstheme="minorHAnsi"/>
        </w:rPr>
      </w:pPr>
      <w:r w:rsidRPr="008C0ED0">
        <w:rPr>
          <w:rFonts w:cstheme="minorHAnsi"/>
        </w:rPr>
        <w:t>The introduction of Adverse Childhood Experiences (ACEs) has majorly contributed to predicting criminal behaviour, it shows the likelihood that a child will commit a crime later in life based on the environment that a person encounters throughout childhood (</w:t>
      </w:r>
      <w:proofErr w:type="spellStart"/>
      <w:r w:rsidRPr="008C0ED0">
        <w:rPr>
          <w:rFonts w:cstheme="minorHAnsi"/>
        </w:rPr>
        <w:t>Nurius</w:t>
      </w:r>
      <w:proofErr w:type="spellEnd"/>
      <w:r w:rsidRPr="008C0ED0">
        <w:rPr>
          <w:rFonts w:cstheme="minorHAnsi"/>
        </w:rPr>
        <w:t xml:space="preserve"> et al, 2016). According to Dyfed Powys Police (2021c), it has been suggested that a critical aspect of addressing and preventing crime involves analysing the characteristics of individuals who are already displaying behavioural issues or several of the risk factors associated with criminal activity. On the other hand, the problem is further exacerbated by </w:t>
      </w:r>
      <w:proofErr w:type="spellStart"/>
      <w:r w:rsidRPr="008C0ED0">
        <w:rPr>
          <w:rFonts w:cstheme="minorHAnsi"/>
        </w:rPr>
        <w:t>Dehaghani</w:t>
      </w:r>
      <w:proofErr w:type="spellEnd"/>
      <w:r w:rsidRPr="008C0ED0">
        <w:rPr>
          <w:rFonts w:cstheme="minorHAnsi"/>
        </w:rPr>
        <w:t xml:space="preserve"> &amp; Newman (2017), who contend that emergency response officers are failing to understand and consider their training on the ACEs when dealing with vulnerable citizens in need of assistance. Nevertheless, there is still a case to be made for distrust of ACE testing; persons with high ACE ratings can accomplish positive results. ACE ratings do not include pleasant early developmental experiences that may help a person build strength and resilience to protect them from the effects of trauma (Schindler, Fisher &amp; Shonkoff, 2017). </w:t>
      </w:r>
    </w:p>
    <w:p w14:paraId="4F950939" w14:textId="77777777" w:rsidR="008C0ED0" w:rsidRDefault="008C0ED0" w:rsidP="008C0ED0">
      <w:pPr>
        <w:rPr>
          <w:rFonts w:cstheme="minorHAnsi"/>
        </w:rPr>
      </w:pPr>
      <w:r w:rsidRPr="008C0ED0">
        <w:rPr>
          <w:rFonts w:cstheme="minorHAnsi"/>
        </w:rPr>
        <w:t xml:space="preserve">Approximately two-thirds of individuals suffering from one ACE in 2016, and more than one-fifth experienced two or more. The Centre for Child Counselling (2020) reports that children who have six of the ten ACEs will highly likely need early intervention services. To further put this into perspective, in Wales, 50% of children suffered from 1 ACE, additionally, only 8% of those living in England experienced 4 or more in 2020 (NHS Health Scotland, 2020; ACE-Aware Wales, 2021). This data reveals that the chance of a child in the UK suffering from a significant number of ACEs is extremely low. </w:t>
      </w:r>
    </w:p>
    <w:p w14:paraId="3EA2B794" w14:textId="63B91CDC" w:rsidR="0064576A" w:rsidRPr="0064576A" w:rsidRDefault="0064576A" w:rsidP="008C0ED0">
      <w:pPr>
        <w:rPr>
          <w:rFonts w:cstheme="minorHAnsi"/>
          <w:b/>
          <w:bCs/>
          <w:shd w:val="clear" w:color="auto" w:fill="FFFFFF"/>
        </w:rPr>
      </w:pPr>
      <w:r w:rsidRPr="0064576A">
        <w:rPr>
          <w:rFonts w:cstheme="minorHAnsi"/>
          <w:shd w:val="clear" w:color="auto" w:fill="FFFFFF"/>
        </w:rPr>
        <w:t xml:space="preserve">2.4 </w:t>
      </w:r>
      <w:r w:rsidRPr="0064576A">
        <w:rPr>
          <w:rFonts w:cstheme="minorHAnsi"/>
          <w:b/>
          <w:bCs/>
          <w:shd w:val="clear" w:color="auto" w:fill="FFFFFF"/>
        </w:rPr>
        <w:t xml:space="preserve">Anti-Social Behaviour Statistics and the Offenders  </w:t>
      </w:r>
    </w:p>
    <w:p w14:paraId="7E36607F" w14:textId="77777777" w:rsidR="008C0ED0" w:rsidRDefault="008C0ED0" w:rsidP="008C0ED0">
      <w:r>
        <w:t>As defined by the Crime and Disorder Act (1998) anti-social behaviour (ASB) is acting 'in a manner that caused or was likely to cause harassment, alarm or distress’ (Home Office, 2019). As highlighted by the Home Office (2011), vast numbers of people in this nation experience ASB, which has a significant influence on their standard of living. On the other hand, some argue that ASB is pre-criminal behaviour therefore it is not significant enough for a policing response and deeper research into prediction theories (Vici, 2012; Crossley, 2018).</w:t>
      </w:r>
    </w:p>
    <w:p w14:paraId="0720E3D9" w14:textId="77777777" w:rsidR="008C0ED0" w:rsidRDefault="008C0ED0" w:rsidP="008C0ED0">
      <w:r>
        <w:t xml:space="preserve">According to the official data collected by the Office of National Statistics (2022), during the COVID-19 Pandemic, one out of three people in England and Wales was a victim of ASB. Unfortunately, just 7% of these respondents reported the crime, with the main explanation being that it was not worth reporting because the police would take no action. In 2021, the majority of ASB reports were submitted to 101, with only 7% of individuals </w:t>
      </w:r>
      <w:proofErr w:type="spellStart"/>
      <w:r>
        <w:t>dialing</w:t>
      </w:r>
      <w:proofErr w:type="spellEnd"/>
      <w:r>
        <w:t xml:space="preserve"> 999. When compared to before COVID-19, the number of persons who suffered or witnessed any type of ASB in 2015 was again, 30 % (Office of National Statistics, 2018). As a result, according to the data, ASB has not been effectively prevented or reduced.</w:t>
      </w:r>
    </w:p>
    <w:p w14:paraId="13D1AB1D" w14:textId="77777777" w:rsidR="008C0ED0" w:rsidRDefault="008C0ED0" w:rsidP="008C0ED0">
      <w:r>
        <w:t>To emphasise the need for greater prevention, only 23% of people in the UK have access to victim support regarding ASB offences (Anti-social behaviour Help, 2014; Heap, 2020). Furthermore, even modest research has revealed that suffering from long-term ASB has had the same negative impacts on behaviour compared to victims of violent crimes, implying that the psychological positivism of the nurture argument has sociological significance (Anti-social behaviour Help, 2014).</w:t>
      </w:r>
    </w:p>
    <w:p w14:paraId="6D9E429C" w14:textId="77777777" w:rsidR="008C0ED0" w:rsidRDefault="008C0ED0" w:rsidP="008C0ED0">
      <w:r>
        <w:lastRenderedPageBreak/>
        <w:t>According to Rutter (2003), a person who engages in ASB is likely to be dishonest, deceptive, and arrogant, with little regard for the emotions of others. Furthermore, NHS (2021) suggests that a person's personality is heavily influenced by their upbringing environment and when children and their parents come into touch with society daily, it is easy to notice the similar connections between both generations. This indicates that the negative characteristics of ASB are easily identified in both the parents and the offspring. Furthermore, according to Gottfredson &amp; Payne (2005), by having frequent interaction with children, education sectors should be able to detect early indicators of delinquency.</w:t>
      </w:r>
    </w:p>
    <w:p w14:paraId="6B6E5B06" w14:textId="77777777" w:rsidR="008C0ED0" w:rsidRDefault="008C0ED0" w:rsidP="008C0ED0">
      <w:r>
        <w:t xml:space="preserve">Nevertheless, the Early Years Workforce Study Team (2020) argues that not only the police but also the NHS and education should do more to identify potential roots of disorder to reduce youth ASB by recognising the traits. To support this, according to </w:t>
      </w:r>
      <w:proofErr w:type="spellStart"/>
      <w:r>
        <w:t>Timimi</w:t>
      </w:r>
      <w:proofErr w:type="spellEnd"/>
      <w:r>
        <w:t xml:space="preserve"> (2015), educational services have recognised that the naughtier children are frequently the more muscular boys with a more pronounced jaw chin, and nose placement, however, this idea lacks proof concerning ASB later down the line. This view, however, can be linked to Sheldon's thesis on body composition and Lombroso's hypothesis on facial features as implied by Thomas (2018), who argues that the description as described by (</w:t>
      </w:r>
      <w:proofErr w:type="spellStart"/>
      <w:r>
        <w:t>Timimi</w:t>
      </w:r>
      <w:proofErr w:type="spellEnd"/>
      <w:r>
        <w:t>, 2015) is usually persons who perpetrate the more serious crimes as they age.</w:t>
      </w:r>
    </w:p>
    <w:p w14:paraId="01D5EC25" w14:textId="77777777" w:rsidR="008C0ED0" w:rsidRDefault="008C0ED0" w:rsidP="008C0ED0">
      <w:r>
        <w:t>On the other hand, when considering a child’s environment, according to Thomas (2018), irrespectively as to whether adults drink or smoke, a child who rates 7 upon the ACEs test is quadruple likelier to commit ASB than youth who has had no ACEs throughout their childhood. Additionally, when a person does not receive the necessary socialisation, he or she develops an ego that lacks influence over the id. According to Compton (2017), this leads to the ASB because the environment for the child is not suitable.</w:t>
      </w:r>
    </w:p>
    <w:p w14:paraId="18D0578B" w14:textId="3240FA7A" w:rsidR="00053E73" w:rsidRPr="00053E73" w:rsidRDefault="00053E73" w:rsidP="008C0ED0">
      <w:pPr>
        <w:rPr>
          <w:b/>
          <w:bCs/>
        </w:rPr>
      </w:pPr>
      <w:r w:rsidRPr="00053E73">
        <w:t xml:space="preserve">2.5 </w:t>
      </w:r>
      <w:r w:rsidRPr="00053E73">
        <w:rPr>
          <w:b/>
          <w:bCs/>
        </w:rPr>
        <w:t>The Effectiveness of Anti-social Behaviour Legislation and Prevention Efforts</w:t>
      </w:r>
    </w:p>
    <w:p w14:paraId="3B143482" w14:textId="77777777" w:rsidR="00B84038" w:rsidRDefault="00B84038" w:rsidP="00B84038">
      <w:r>
        <w:t>The Anti-social Behaviour Order (ASBO), which places limits on those who engage in ASB, is one of the new measures imposed. Although the restrictions were not meant to be used against youths (Burney, 2002), a government evaluation of ASBOs in 2002 found that three-quarters of all ASBOs applied between 1999 and 2002 were against persons under the age of 21 (Campbell, 2002). The Anti-social Behaviour Act of 2003, particularly strengthened existing regulations, indicated that young adults were the primary target of ASB in communities (Home Office, 2020a). As a result, this argument emphasises the need for early intervention in children's early experiences.</w:t>
      </w:r>
    </w:p>
    <w:p w14:paraId="112F3A1E" w14:textId="77777777" w:rsidR="00B84038" w:rsidRDefault="00B84038" w:rsidP="00B84038">
      <w:r>
        <w:t>Nevertheless, it can be argued that ASB could be classified as not a criminal offence, Green &amp; Pemberton (2018) argues that the government is not required to provide any follow-up. Conversely, legislation like the Crime and Disorder Act (1998) gives police officers the ability to bypass the loosely defined terminology by allowing them the authority to prosecute the perpetrators (Home Office, 2010). For instance, ASB is categorized as minimal severity, which often causes police personnel to get confounded while responding. In addition, the Metropolitan Police (2019) recently stated that perhaps the distinction between ASB and a crime seems blurry and misleading due to the minor seriousness of the act. Nonetheless, the Home Office (2011) endeavoured to resolve the issue by recognizing that the terminology is not clearly defined in some elements of the legislation.</w:t>
      </w:r>
    </w:p>
    <w:p w14:paraId="5BD55109" w14:textId="77777777" w:rsidR="00B84038" w:rsidRDefault="00B84038" w:rsidP="00B84038">
      <w:r>
        <w:t xml:space="preserve">The Antisocial Behaviour, Crime, and Policing Act (2014) creates several measures to combat ASB (Home Office, 2014). The legislation is portrayed as being open, therefore the extent of exploitation increases leaving the victims unclear of the crime they are being exploited for (Heap, 2016). </w:t>
      </w:r>
      <w:r>
        <w:lastRenderedPageBreak/>
        <w:t xml:space="preserve">Furthermore, according to </w:t>
      </w:r>
      <w:proofErr w:type="spellStart"/>
      <w:r>
        <w:t>Shapland</w:t>
      </w:r>
      <w:proofErr w:type="spellEnd"/>
      <w:r>
        <w:t xml:space="preserve"> and Hall (2007), victims also suffer as a result of the study being more directly focused on more serious offences.</w:t>
      </w:r>
    </w:p>
    <w:p w14:paraId="2192B2B1" w14:textId="77777777" w:rsidR="00B84038" w:rsidRDefault="00B84038" w:rsidP="00B84038">
      <w:r>
        <w:t>To make matters worse, as recent unfortunate incidents have demonstrated, it is frequently directed against those in our community who seem to be least capable of defending themselves (Home Office, 2011). For example, according to analysts, the unfortunate deaths like those of Fiona Pilkington and David Askew (College of Policing, 2017), might be replicated if police departments are too humiliated to question the victims about their physical or mental disabilities (Salerno-Ferraro and Schuller, 2020). To support this, Nathan (2020, p.21) implies that police officers have grown "extremely cautious regarding upsetting people when talking about victim support after ASB". Officials from the National Probation Service and the Crown Prosecution Service have also admitted that they are uncomfortable inquiring about their requirements for aftercare, especially for those who require that extra support for their disability (Lumsden and Black, 2020). According to Mallick (2017), the chief operating officer of Disability Rights UK, the authorities need a basic definition of disability for usage across the Criminal Justice System to overcome the problem. "We engage closely with other agencies, including such social housing and welfare services, to resolve circumstances that do not get to the level of a serious crime for ASB" Goddard (2021, p.7), Assistant Crime Recorder at Leicester Police.</w:t>
      </w:r>
    </w:p>
    <w:p w14:paraId="0421EE70" w14:textId="77777777" w:rsidR="00B84038" w:rsidRDefault="00B84038" w:rsidP="00B84038">
      <w:r>
        <w:t xml:space="preserve">Fiona Pilkington's trial was a historic moment for handicapped persons, and many have subsequently argued that not enough has been implemented to resolve ASB harassment. People with disabilities, according to Nathan (2020), have grown to accept frequent ASB as the norm. Those who have been labelled as vulnerable are now legally recognised, and police forces are compelled to give further necessary care and support (Home Office, 2012). However, the Home Office (2018) documented 3,629 </w:t>
      </w:r>
      <w:proofErr w:type="gramStart"/>
      <w:r>
        <w:t>disability-related</w:t>
      </w:r>
      <w:proofErr w:type="gramEnd"/>
      <w:r>
        <w:t xml:space="preserve"> ASB crimes in 2017, accounting for 8% of all offences. According to Visconti (2019), the criminal justice system has failed to deliver an efficient service to all victims of crime, not just the disabled, what has to happen is that all authorities must collaborate to detect problems and give aftercare help even after the police contact stage.</w:t>
      </w:r>
    </w:p>
    <w:p w14:paraId="742288CF" w14:textId="474383BE" w:rsidR="00053E73" w:rsidRPr="00E95B08" w:rsidRDefault="00E95B08" w:rsidP="00B84038">
      <w:pPr>
        <w:rPr>
          <w:rFonts w:cstheme="minorHAnsi"/>
          <w:b/>
          <w:bCs/>
        </w:rPr>
      </w:pPr>
      <w:r w:rsidRPr="00E95B08">
        <w:rPr>
          <w:rFonts w:cstheme="minorHAnsi"/>
        </w:rPr>
        <w:t xml:space="preserve">2.6 </w:t>
      </w:r>
      <w:r w:rsidRPr="00E95B08">
        <w:rPr>
          <w:rFonts w:cstheme="minorHAnsi"/>
          <w:b/>
          <w:bCs/>
        </w:rPr>
        <w:t>Conclusion</w:t>
      </w:r>
    </w:p>
    <w:p w14:paraId="0416E692" w14:textId="77777777" w:rsidR="00B84038" w:rsidRPr="00B84038" w:rsidRDefault="00B84038" w:rsidP="00B84038">
      <w:pPr>
        <w:rPr>
          <w:rFonts w:cstheme="minorHAnsi"/>
          <w:shd w:val="clear" w:color="auto" w:fill="FFFFFF"/>
        </w:rPr>
      </w:pPr>
      <w:r w:rsidRPr="00B84038">
        <w:rPr>
          <w:rFonts w:cstheme="minorHAnsi"/>
          <w:shd w:val="clear" w:color="auto" w:fill="FFFFFF"/>
        </w:rPr>
        <w:t xml:space="preserve">The prevention of crime is being recognised as a major, global public concern. Among the most important current criminology debates is whether a criminal is 'born or made. Nonetheless, due to a lack of correlation with the research, there is a growing worry about ASB. Research has indicated that the published studies in the field of crime prediction have primarily concentrated on serious crime, there is insufficient knowledge about what motivates an individual to commit ASB. </w:t>
      </w:r>
    </w:p>
    <w:p w14:paraId="7D981E3E" w14:textId="77777777" w:rsidR="00B84038" w:rsidRPr="00B84038" w:rsidRDefault="00B84038" w:rsidP="00B84038">
      <w:pPr>
        <w:rPr>
          <w:rFonts w:cstheme="minorHAnsi"/>
          <w:shd w:val="clear" w:color="auto" w:fill="FFFFFF"/>
        </w:rPr>
      </w:pPr>
      <w:r w:rsidRPr="00B84038">
        <w:rPr>
          <w:rFonts w:cstheme="minorHAnsi"/>
          <w:shd w:val="clear" w:color="auto" w:fill="FFFFFF"/>
        </w:rPr>
        <w:t>However, as argued by Gibson (2006), modern research regarding the biology of the mind versus the function of the environment adequately demonstrates that the nature-nurture divide has yet to be overcome. As a result of the consistent statistics of keeping the same, victim satisfaction in the UK varies significantly in connection with preventative measures, notably for ASB (Tilley, 2015). Concerns from the public who are crying out for greater predictions for ASB highlight that there is a lack of consistency for intervention from all authorities (Newburn, 2017).</w:t>
      </w:r>
    </w:p>
    <w:p w14:paraId="6478D92D" w14:textId="4FCD1AFF" w:rsidR="00D145B7" w:rsidRPr="00EC0BAD" w:rsidRDefault="00B84038" w:rsidP="00B84038">
      <w:pPr>
        <w:rPr>
          <w:rFonts w:cstheme="minorHAnsi"/>
          <w:shd w:val="clear" w:color="auto" w:fill="FFFFFF"/>
        </w:rPr>
      </w:pPr>
      <w:r w:rsidRPr="00B84038">
        <w:rPr>
          <w:rFonts w:cstheme="minorHAnsi"/>
          <w:shd w:val="clear" w:color="auto" w:fill="FFFFFF"/>
        </w:rPr>
        <w:t xml:space="preserve">To conclude, this chapter draws together the themes of the nature-nurture controversy about how both genetics and environment affect human behaviour, including character, cognition qualities, and a person’s demeanour (Haworth, Davis, &amp; Plomin, 2013). Practical research will be conducted to have a deeper understanding of whether a criminal is 'born or made.' The research will aim to ascertain police viewpoints on the subject, as well as compare their encounters to historical </w:t>
      </w:r>
      <w:r w:rsidRPr="00B84038">
        <w:rPr>
          <w:rFonts w:cstheme="minorHAnsi"/>
          <w:shd w:val="clear" w:color="auto" w:fill="FFFFFF"/>
        </w:rPr>
        <w:lastRenderedPageBreak/>
        <w:t>theories. Consider the ASB component of policing first and foremost. The subsequent chapter will use methodological approaches to collect statistical results.</w:t>
      </w:r>
    </w:p>
    <w:sectPr w:rsidR="00D145B7" w:rsidRPr="00EC0BA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9B15C1"/>
    <w:multiLevelType w:val="hybridMultilevel"/>
    <w:tmpl w:val="6C7401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6B2377B"/>
    <w:multiLevelType w:val="hybridMultilevel"/>
    <w:tmpl w:val="5C00C4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6E26"/>
    <w:rsid w:val="0000643D"/>
    <w:rsid w:val="0004196A"/>
    <w:rsid w:val="00050142"/>
    <w:rsid w:val="00052B58"/>
    <w:rsid w:val="00053E73"/>
    <w:rsid w:val="000622A7"/>
    <w:rsid w:val="0007365F"/>
    <w:rsid w:val="000753CF"/>
    <w:rsid w:val="000A3B4B"/>
    <w:rsid w:val="000D3FC7"/>
    <w:rsid w:val="001074F3"/>
    <w:rsid w:val="00117715"/>
    <w:rsid w:val="00124F23"/>
    <w:rsid w:val="0012570C"/>
    <w:rsid w:val="00161BBE"/>
    <w:rsid w:val="0017542D"/>
    <w:rsid w:val="00175551"/>
    <w:rsid w:val="001865BF"/>
    <w:rsid w:val="001A4171"/>
    <w:rsid w:val="001B6AC4"/>
    <w:rsid w:val="001C1464"/>
    <w:rsid w:val="001C194F"/>
    <w:rsid w:val="001C4CAC"/>
    <w:rsid w:val="001F09B9"/>
    <w:rsid w:val="00201117"/>
    <w:rsid w:val="002474A2"/>
    <w:rsid w:val="002700F8"/>
    <w:rsid w:val="00281955"/>
    <w:rsid w:val="00286A5B"/>
    <w:rsid w:val="002D1997"/>
    <w:rsid w:val="002D7248"/>
    <w:rsid w:val="002E6E78"/>
    <w:rsid w:val="003137AB"/>
    <w:rsid w:val="00317726"/>
    <w:rsid w:val="00326F5C"/>
    <w:rsid w:val="00332D17"/>
    <w:rsid w:val="0033535A"/>
    <w:rsid w:val="00336E38"/>
    <w:rsid w:val="00340BEF"/>
    <w:rsid w:val="00346872"/>
    <w:rsid w:val="0036184C"/>
    <w:rsid w:val="0038311D"/>
    <w:rsid w:val="003866AF"/>
    <w:rsid w:val="00390A1A"/>
    <w:rsid w:val="003D1E9C"/>
    <w:rsid w:val="003E442A"/>
    <w:rsid w:val="003F486D"/>
    <w:rsid w:val="003F4B60"/>
    <w:rsid w:val="00406C68"/>
    <w:rsid w:val="00422577"/>
    <w:rsid w:val="00457DD8"/>
    <w:rsid w:val="00466B5F"/>
    <w:rsid w:val="0047079F"/>
    <w:rsid w:val="004927C9"/>
    <w:rsid w:val="004B0FE5"/>
    <w:rsid w:val="004B6306"/>
    <w:rsid w:val="004C7AA0"/>
    <w:rsid w:val="004D46A7"/>
    <w:rsid w:val="004E27F0"/>
    <w:rsid w:val="004E3649"/>
    <w:rsid w:val="00500331"/>
    <w:rsid w:val="00507356"/>
    <w:rsid w:val="00511D11"/>
    <w:rsid w:val="00522A64"/>
    <w:rsid w:val="00547524"/>
    <w:rsid w:val="00547E8C"/>
    <w:rsid w:val="00573300"/>
    <w:rsid w:val="00586545"/>
    <w:rsid w:val="005A39C1"/>
    <w:rsid w:val="005C3693"/>
    <w:rsid w:val="005C4BAF"/>
    <w:rsid w:val="005C6CE8"/>
    <w:rsid w:val="005F0479"/>
    <w:rsid w:val="0064053A"/>
    <w:rsid w:val="0064576A"/>
    <w:rsid w:val="00656B40"/>
    <w:rsid w:val="006847E1"/>
    <w:rsid w:val="0069720E"/>
    <w:rsid w:val="006B2702"/>
    <w:rsid w:val="006C1E44"/>
    <w:rsid w:val="006D1DBD"/>
    <w:rsid w:val="006D4824"/>
    <w:rsid w:val="007042D6"/>
    <w:rsid w:val="007047DC"/>
    <w:rsid w:val="007124FA"/>
    <w:rsid w:val="00717C6B"/>
    <w:rsid w:val="00722766"/>
    <w:rsid w:val="00731750"/>
    <w:rsid w:val="007332F4"/>
    <w:rsid w:val="00755BAD"/>
    <w:rsid w:val="00760AD7"/>
    <w:rsid w:val="0078370B"/>
    <w:rsid w:val="00793EF2"/>
    <w:rsid w:val="007A142A"/>
    <w:rsid w:val="007A63E6"/>
    <w:rsid w:val="007B2403"/>
    <w:rsid w:val="007C3094"/>
    <w:rsid w:val="007E1561"/>
    <w:rsid w:val="007E1A70"/>
    <w:rsid w:val="007F37EB"/>
    <w:rsid w:val="00834B9A"/>
    <w:rsid w:val="00855D94"/>
    <w:rsid w:val="00874645"/>
    <w:rsid w:val="00896937"/>
    <w:rsid w:val="008B028D"/>
    <w:rsid w:val="008B5934"/>
    <w:rsid w:val="008C0ED0"/>
    <w:rsid w:val="008F58F0"/>
    <w:rsid w:val="00900E2C"/>
    <w:rsid w:val="00906D85"/>
    <w:rsid w:val="009211C5"/>
    <w:rsid w:val="00943C7A"/>
    <w:rsid w:val="00974CFA"/>
    <w:rsid w:val="0098595D"/>
    <w:rsid w:val="009A7608"/>
    <w:rsid w:val="009E0DB2"/>
    <w:rsid w:val="009F1B06"/>
    <w:rsid w:val="00A11809"/>
    <w:rsid w:val="00A15C3C"/>
    <w:rsid w:val="00A31540"/>
    <w:rsid w:val="00A379DB"/>
    <w:rsid w:val="00A77154"/>
    <w:rsid w:val="00A919D0"/>
    <w:rsid w:val="00A94254"/>
    <w:rsid w:val="00AC0F3B"/>
    <w:rsid w:val="00AD40AE"/>
    <w:rsid w:val="00AD520A"/>
    <w:rsid w:val="00AF6D9E"/>
    <w:rsid w:val="00B43DC1"/>
    <w:rsid w:val="00B44755"/>
    <w:rsid w:val="00B57E46"/>
    <w:rsid w:val="00B63BA8"/>
    <w:rsid w:val="00B72AD7"/>
    <w:rsid w:val="00B84038"/>
    <w:rsid w:val="00B84E49"/>
    <w:rsid w:val="00B91802"/>
    <w:rsid w:val="00BA21C3"/>
    <w:rsid w:val="00BA2F9D"/>
    <w:rsid w:val="00BB6893"/>
    <w:rsid w:val="00BC136F"/>
    <w:rsid w:val="00BC324E"/>
    <w:rsid w:val="00BC6A32"/>
    <w:rsid w:val="00C2568A"/>
    <w:rsid w:val="00C31CF0"/>
    <w:rsid w:val="00C52DDE"/>
    <w:rsid w:val="00CA0E57"/>
    <w:rsid w:val="00D04204"/>
    <w:rsid w:val="00D11558"/>
    <w:rsid w:val="00D145B7"/>
    <w:rsid w:val="00D1782F"/>
    <w:rsid w:val="00D24C88"/>
    <w:rsid w:val="00D26DF3"/>
    <w:rsid w:val="00D310E4"/>
    <w:rsid w:val="00D76FAB"/>
    <w:rsid w:val="00D81249"/>
    <w:rsid w:val="00D839AB"/>
    <w:rsid w:val="00D844F4"/>
    <w:rsid w:val="00DB480D"/>
    <w:rsid w:val="00DC0324"/>
    <w:rsid w:val="00DC3199"/>
    <w:rsid w:val="00DC6826"/>
    <w:rsid w:val="00DD1C30"/>
    <w:rsid w:val="00DD3482"/>
    <w:rsid w:val="00DD3A0F"/>
    <w:rsid w:val="00DD6E26"/>
    <w:rsid w:val="00E0506A"/>
    <w:rsid w:val="00E12D2E"/>
    <w:rsid w:val="00E641B3"/>
    <w:rsid w:val="00E71B67"/>
    <w:rsid w:val="00E85A06"/>
    <w:rsid w:val="00E95B08"/>
    <w:rsid w:val="00EA5274"/>
    <w:rsid w:val="00EC0BAD"/>
    <w:rsid w:val="00EE101A"/>
    <w:rsid w:val="00EE79EC"/>
    <w:rsid w:val="00EF3664"/>
    <w:rsid w:val="00EF7420"/>
    <w:rsid w:val="00F13821"/>
    <w:rsid w:val="00F214D6"/>
    <w:rsid w:val="00F47881"/>
    <w:rsid w:val="00F55DF4"/>
    <w:rsid w:val="00F6004B"/>
    <w:rsid w:val="00F8763D"/>
    <w:rsid w:val="00F9076B"/>
    <w:rsid w:val="00FA0537"/>
    <w:rsid w:val="00FA4171"/>
    <w:rsid w:val="00FC3A5E"/>
    <w:rsid w:val="00FD41A9"/>
    <w:rsid w:val="00FD7EBC"/>
    <w:rsid w:val="00FF5F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ECD3BF"/>
  <w15:chartTrackingRefBased/>
  <w15:docId w15:val="{A24A0D57-869B-42EE-8392-67C2E7A250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00643D"/>
    <w:pPr>
      <w:spacing w:after="0" w:line="240" w:lineRule="auto"/>
      <w:ind w:left="720"/>
      <w:contextualSpacing/>
    </w:pPr>
    <w:rPr>
      <w:rFonts w:ascii="Arial" w:eastAsia="Times New Roman" w:hAnsi="Arial" w:cs="Times New Roman"/>
      <w:sz w:val="24"/>
      <w:szCs w:val="20"/>
    </w:rPr>
  </w:style>
  <w:style w:type="character" w:customStyle="1" w:styleId="ListParagraphChar">
    <w:name w:val="List Paragraph Char"/>
    <w:link w:val="ListParagraph"/>
    <w:uiPriority w:val="34"/>
    <w:locked/>
    <w:rsid w:val="0000643D"/>
    <w:rPr>
      <w:rFonts w:ascii="Arial" w:eastAsia="Times New Roman" w:hAnsi="Arial" w:cs="Times New Roman"/>
      <w:sz w:val="24"/>
      <w:szCs w:val="20"/>
    </w:rPr>
  </w:style>
  <w:style w:type="paragraph" w:styleId="NoSpacing">
    <w:name w:val="No Spacing"/>
    <w:uiPriority w:val="1"/>
    <w:qFormat/>
    <w:rsid w:val="003866A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529</TotalTime>
  <Pages>7</Pages>
  <Words>2990</Words>
  <Characters>17047</Characters>
  <Application>Microsoft Office Word</Application>
  <DocSecurity>0</DocSecurity>
  <Lines>142</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 Jones (1902835)</dc:creator>
  <cp:keywords/>
  <dc:description/>
  <cp:lastModifiedBy>Jack Jones (1902835)</cp:lastModifiedBy>
  <cp:revision>139</cp:revision>
  <dcterms:created xsi:type="dcterms:W3CDTF">2021-11-12T14:30:00Z</dcterms:created>
  <dcterms:modified xsi:type="dcterms:W3CDTF">2022-02-07T16:26:00Z</dcterms:modified>
</cp:coreProperties>
</file>