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CC63C" w14:textId="7BA0571B" w:rsidR="00B07D6C" w:rsidRDefault="00B07D6C" w:rsidP="00E167B8">
      <w:pPr>
        <w:spacing w:line="360" w:lineRule="auto"/>
        <w:rPr>
          <w:rFonts w:ascii="Arial" w:hAnsi="Arial" w:cs="Arial"/>
          <w:b/>
          <w:bCs/>
          <w:sz w:val="24"/>
          <w:szCs w:val="24"/>
        </w:rPr>
      </w:pPr>
    </w:p>
    <w:p w14:paraId="0EF65A26" w14:textId="77777777" w:rsidR="00710E6A" w:rsidRPr="00167FAD" w:rsidRDefault="00710E6A" w:rsidP="00E167B8">
      <w:pPr>
        <w:spacing w:line="360" w:lineRule="auto"/>
        <w:rPr>
          <w:rFonts w:ascii="Arial" w:hAnsi="Arial" w:cs="Arial"/>
          <w:b/>
          <w:bCs/>
          <w:sz w:val="24"/>
          <w:szCs w:val="24"/>
        </w:rPr>
      </w:pPr>
    </w:p>
    <w:p w14:paraId="230A11C0"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MA Professional Practice</w:t>
      </w:r>
    </w:p>
    <w:p w14:paraId="5457BD61"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Voice Pedagogy</w:t>
      </w:r>
    </w:p>
    <w:p w14:paraId="450908C8" w14:textId="77777777" w:rsidR="007E60DF" w:rsidRPr="00167FAD" w:rsidRDefault="007E60DF" w:rsidP="00E167B8">
      <w:pPr>
        <w:spacing w:line="360" w:lineRule="auto"/>
        <w:jc w:val="center"/>
        <w:rPr>
          <w:rFonts w:ascii="Arial" w:hAnsi="Arial" w:cs="Arial"/>
          <w:b/>
          <w:sz w:val="28"/>
          <w:szCs w:val="28"/>
        </w:rPr>
      </w:pPr>
    </w:p>
    <w:p w14:paraId="06A2B2A2" w14:textId="77777777" w:rsidR="007E60DF" w:rsidRPr="00167FAD" w:rsidRDefault="007E60DF" w:rsidP="00E167B8">
      <w:pPr>
        <w:spacing w:line="360" w:lineRule="auto"/>
        <w:jc w:val="center"/>
        <w:rPr>
          <w:rFonts w:ascii="Arial" w:hAnsi="Arial" w:cs="Arial"/>
          <w:b/>
          <w:sz w:val="28"/>
          <w:szCs w:val="28"/>
        </w:rPr>
      </w:pPr>
    </w:p>
    <w:p w14:paraId="2AAB9964" w14:textId="77777777" w:rsidR="007E60DF" w:rsidRPr="00167FAD" w:rsidRDefault="007E60DF" w:rsidP="00E167B8">
      <w:pPr>
        <w:spacing w:line="360" w:lineRule="auto"/>
        <w:jc w:val="center"/>
        <w:rPr>
          <w:rFonts w:ascii="Arial" w:hAnsi="Arial" w:cs="Arial"/>
          <w:b/>
          <w:sz w:val="28"/>
          <w:szCs w:val="28"/>
        </w:rPr>
      </w:pPr>
    </w:p>
    <w:p w14:paraId="14284F12" w14:textId="77777777" w:rsidR="007E60DF" w:rsidRPr="00167FAD" w:rsidRDefault="007E60DF" w:rsidP="00E167B8">
      <w:pPr>
        <w:spacing w:line="360" w:lineRule="auto"/>
        <w:jc w:val="center"/>
        <w:rPr>
          <w:rFonts w:ascii="Arial" w:hAnsi="Arial" w:cs="Arial"/>
          <w:b/>
          <w:sz w:val="28"/>
          <w:szCs w:val="28"/>
        </w:rPr>
      </w:pPr>
    </w:p>
    <w:p w14:paraId="696E32CA" w14:textId="77777777" w:rsidR="007E60DF" w:rsidRPr="00167FAD" w:rsidRDefault="007E60DF" w:rsidP="00E167B8">
      <w:pPr>
        <w:spacing w:line="360" w:lineRule="auto"/>
        <w:jc w:val="center"/>
        <w:rPr>
          <w:rFonts w:ascii="Arial" w:hAnsi="Arial" w:cs="Arial"/>
          <w:b/>
          <w:sz w:val="28"/>
          <w:szCs w:val="28"/>
        </w:rPr>
      </w:pPr>
    </w:p>
    <w:p w14:paraId="439F53A3" w14:textId="30CB42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Module code: BMPF70</w:t>
      </w:r>
      <w:r w:rsidR="00CE2117" w:rsidRPr="00167FAD">
        <w:rPr>
          <w:rFonts w:ascii="Arial" w:hAnsi="Arial" w:cs="Arial"/>
          <w:b/>
          <w:sz w:val="28"/>
          <w:szCs w:val="28"/>
        </w:rPr>
        <w:t>1</w:t>
      </w:r>
      <w:r w:rsidR="008F4E58">
        <w:rPr>
          <w:rFonts w:ascii="Arial" w:hAnsi="Arial" w:cs="Arial"/>
          <w:b/>
          <w:sz w:val="28"/>
          <w:szCs w:val="28"/>
        </w:rPr>
        <w:t>0</w:t>
      </w:r>
    </w:p>
    <w:p w14:paraId="52586F67" w14:textId="77777777" w:rsidR="007E60DF" w:rsidRPr="00167FAD" w:rsidRDefault="007E60DF" w:rsidP="00E167B8">
      <w:pPr>
        <w:spacing w:line="360" w:lineRule="auto"/>
        <w:rPr>
          <w:rFonts w:ascii="Arial" w:hAnsi="Arial" w:cs="Arial"/>
          <w:sz w:val="28"/>
          <w:szCs w:val="28"/>
        </w:rPr>
      </w:pPr>
    </w:p>
    <w:p w14:paraId="69E8BDE5" w14:textId="3566C9E2" w:rsidR="007E60DF" w:rsidRPr="00167FAD" w:rsidRDefault="007E60DF" w:rsidP="00E167B8">
      <w:pPr>
        <w:spacing w:line="360" w:lineRule="auto"/>
        <w:jc w:val="center"/>
        <w:rPr>
          <w:rFonts w:ascii="Arial" w:hAnsi="Arial" w:cs="Arial"/>
          <w:b/>
          <w:sz w:val="28"/>
          <w:szCs w:val="28"/>
        </w:rPr>
      </w:pPr>
      <w:r w:rsidRPr="00167FAD">
        <w:rPr>
          <w:rFonts w:ascii="Arial" w:hAnsi="Arial" w:cs="Arial"/>
          <w:b/>
          <w:bCs/>
          <w:sz w:val="28"/>
          <w:szCs w:val="28"/>
        </w:rPr>
        <w:t xml:space="preserve">Module </w:t>
      </w:r>
      <w:r w:rsidR="008F4E58">
        <w:rPr>
          <w:rFonts w:ascii="Arial" w:hAnsi="Arial" w:cs="Arial"/>
          <w:b/>
          <w:bCs/>
          <w:sz w:val="28"/>
          <w:szCs w:val="28"/>
        </w:rPr>
        <w:t>6</w:t>
      </w:r>
      <w:r w:rsidRPr="00167FAD">
        <w:rPr>
          <w:rFonts w:ascii="Arial" w:hAnsi="Arial" w:cs="Arial"/>
          <w:b/>
          <w:bCs/>
          <w:sz w:val="28"/>
          <w:szCs w:val="28"/>
        </w:rPr>
        <w:t xml:space="preserve">: </w:t>
      </w:r>
      <w:r w:rsidR="008F4E58" w:rsidRPr="008F4E58">
        <w:rPr>
          <w:rFonts w:ascii="Arial" w:hAnsi="Arial" w:cs="Arial"/>
          <w:b/>
          <w:sz w:val="28"/>
          <w:szCs w:val="28"/>
        </w:rPr>
        <w:t>Work-Based Project</w:t>
      </w:r>
    </w:p>
    <w:p w14:paraId="20C9F587" w14:textId="77777777" w:rsidR="007E60DF" w:rsidRPr="00167FAD" w:rsidRDefault="007E60DF" w:rsidP="00E167B8">
      <w:pPr>
        <w:spacing w:line="360" w:lineRule="auto"/>
        <w:jc w:val="center"/>
        <w:rPr>
          <w:rFonts w:ascii="Arial" w:hAnsi="Arial" w:cs="Arial"/>
          <w:b/>
          <w:sz w:val="28"/>
          <w:szCs w:val="28"/>
        </w:rPr>
      </w:pPr>
    </w:p>
    <w:p w14:paraId="7EDCEEC4" w14:textId="77777777" w:rsidR="007E60DF" w:rsidRPr="00167FAD" w:rsidRDefault="007E60DF" w:rsidP="00E167B8">
      <w:pPr>
        <w:spacing w:line="360" w:lineRule="auto"/>
        <w:jc w:val="center"/>
        <w:rPr>
          <w:rFonts w:ascii="Arial" w:hAnsi="Arial" w:cs="Arial"/>
          <w:b/>
          <w:sz w:val="28"/>
          <w:szCs w:val="28"/>
        </w:rPr>
      </w:pPr>
    </w:p>
    <w:p w14:paraId="7CC0D447" w14:textId="77777777" w:rsidR="007E60DF" w:rsidRPr="00167FAD" w:rsidRDefault="007E60DF" w:rsidP="00E167B8">
      <w:pPr>
        <w:spacing w:line="360" w:lineRule="auto"/>
        <w:jc w:val="center"/>
        <w:rPr>
          <w:rFonts w:ascii="Arial" w:hAnsi="Arial" w:cs="Arial"/>
          <w:b/>
          <w:sz w:val="28"/>
          <w:szCs w:val="28"/>
        </w:rPr>
      </w:pPr>
    </w:p>
    <w:p w14:paraId="0C9CAA65"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Student: Jon Morris</w:t>
      </w:r>
    </w:p>
    <w:p w14:paraId="7141AF3E" w14:textId="77777777" w:rsidR="007E60DF" w:rsidRPr="00167FAD" w:rsidRDefault="007E60DF" w:rsidP="00E167B8">
      <w:pPr>
        <w:spacing w:line="360" w:lineRule="auto"/>
        <w:jc w:val="center"/>
        <w:rPr>
          <w:rFonts w:ascii="Arial" w:hAnsi="Arial" w:cs="Arial"/>
          <w:b/>
          <w:sz w:val="28"/>
          <w:szCs w:val="28"/>
        </w:rPr>
      </w:pPr>
      <w:r w:rsidRPr="00167FAD">
        <w:rPr>
          <w:rFonts w:ascii="Arial" w:hAnsi="Arial" w:cs="Arial"/>
          <w:b/>
          <w:sz w:val="28"/>
          <w:szCs w:val="28"/>
        </w:rPr>
        <w:t>Student number: 2016633</w:t>
      </w:r>
    </w:p>
    <w:p w14:paraId="7FECD375" w14:textId="77777777" w:rsidR="007E60DF" w:rsidRPr="00167FAD" w:rsidRDefault="007E60DF" w:rsidP="00E167B8">
      <w:pPr>
        <w:spacing w:line="360" w:lineRule="auto"/>
        <w:jc w:val="center"/>
        <w:rPr>
          <w:rFonts w:ascii="Arial" w:hAnsi="Arial" w:cs="Arial"/>
          <w:b/>
          <w:sz w:val="28"/>
          <w:szCs w:val="28"/>
        </w:rPr>
      </w:pPr>
    </w:p>
    <w:p w14:paraId="3B792C1C" w14:textId="34DD8AD2" w:rsidR="007E60DF" w:rsidRPr="00167FAD" w:rsidRDefault="007E60DF" w:rsidP="00E167B8">
      <w:pPr>
        <w:spacing w:line="360" w:lineRule="auto"/>
        <w:jc w:val="center"/>
        <w:rPr>
          <w:rFonts w:ascii="Arial" w:hAnsi="Arial" w:cs="Arial"/>
          <w:b/>
          <w:sz w:val="28"/>
          <w:szCs w:val="28"/>
        </w:rPr>
        <w:sectPr w:rsidR="007E60DF" w:rsidRPr="00167FAD" w:rsidSect="008B7E14">
          <w:headerReference w:type="default" r:id="rId8"/>
          <w:footerReference w:type="default" r:id="rId9"/>
          <w:footerReference w:type="first" r:id="rId10"/>
          <w:pgSz w:w="11906" w:h="16838"/>
          <w:pgMar w:top="1440" w:right="1440" w:bottom="1440" w:left="1440" w:header="720" w:footer="720" w:gutter="0"/>
          <w:cols w:space="720"/>
          <w:titlePg/>
          <w:docGrid w:linePitch="360"/>
        </w:sectPr>
      </w:pPr>
      <w:r w:rsidRPr="00167FAD">
        <w:rPr>
          <w:rFonts w:ascii="Arial" w:hAnsi="Arial" w:cs="Arial"/>
          <w:b/>
          <w:sz w:val="28"/>
          <w:szCs w:val="28"/>
        </w:rPr>
        <w:t>MA Cohort G</w:t>
      </w:r>
    </w:p>
    <w:p w14:paraId="3BE02D19" w14:textId="47EF9C30" w:rsidR="009222D6" w:rsidRPr="00AE2080" w:rsidRDefault="009222D6" w:rsidP="00AE2080">
      <w:pPr>
        <w:spacing w:line="360" w:lineRule="auto"/>
        <w:jc w:val="center"/>
        <w:rPr>
          <w:rFonts w:ascii="Arial" w:hAnsi="Arial" w:cs="Arial"/>
          <w:b/>
          <w:bCs/>
          <w:sz w:val="24"/>
          <w:szCs w:val="24"/>
        </w:rPr>
      </w:pPr>
      <w:r w:rsidRPr="00AE2080">
        <w:rPr>
          <w:rFonts w:ascii="Arial" w:hAnsi="Arial" w:cs="Arial"/>
          <w:b/>
          <w:bCs/>
          <w:sz w:val="24"/>
          <w:szCs w:val="24"/>
        </w:rPr>
        <w:lastRenderedPageBreak/>
        <w:t>Contents</w:t>
      </w:r>
    </w:p>
    <w:p w14:paraId="222EDC32" w14:textId="7F86DBC7" w:rsidR="009222D6" w:rsidRPr="00AE2080" w:rsidRDefault="00000000" w:rsidP="00AE2080">
      <w:pPr>
        <w:spacing w:line="360" w:lineRule="auto"/>
        <w:rPr>
          <w:rFonts w:ascii="Arial" w:hAnsi="Arial" w:cs="Arial"/>
          <w:sz w:val="24"/>
          <w:szCs w:val="24"/>
        </w:rPr>
      </w:pPr>
      <w:hyperlink w:anchor="Proposal" w:history="1">
        <w:r w:rsidR="009222D6" w:rsidRPr="00AE2080">
          <w:rPr>
            <w:rStyle w:val="Hyperlink"/>
            <w:rFonts w:ascii="Arial" w:hAnsi="Arial" w:cs="Arial"/>
            <w:sz w:val="24"/>
            <w:szCs w:val="24"/>
          </w:rPr>
          <w:t xml:space="preserve">Project </w:t>
        </w:r>
        <w:r w:rsidR="00C65EA7">
          <w:rPr>
            <w:rStyle w:val="Hyperlink"/>
            <w:rFonts w:ascii="Arial" w:hAnsi="Arial" w:cs="Arial"/>
            <w:sz w:val="24"/>
            <w:szCs w:val="24"/>
          </w:rPr>
          <w:t>P</w:t>
        </w:r>
        <w:r w:rsidR="009222D6" w:rsidRPr="00AE2080">
          <w:rPr>
            <w:rStyle w:val="Hyperlink"/>
            <w:rFonts w:ascii="Arial" w:hAnsi="Arial" w:cs="Arial"/>
            <w:sz w:val="24"/>
            <w:szCs w:val="24"/>
          </w:rPr>
          <w:t>roposal</w:t>
        </w:r>
      </w:hyperlink>
      <w:r w:rsidR="000925A7"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314DAC">
        <w:rPr>
          <w:rFonts w:ascii="Arial" w:hAnsi="Arial" w:cs="Arial"/>
          <w:sz w:val="24"/>
          <w:szCs w:val="24"/>
        </w:rPr>
        <w:t>2</w:t>
      </w:r>
    </w:p>
    <w:p w14:paraId="7AC221E8" w14:textId="6AB2F393" w:rsidR="009222D6" w:rsidRPr="00AE2080" w:rsidRDefault="00000000" w:rsidP="00AE2080">
      <w:pPr>
        <w:spacing w:line="360" w:lineRule="auto"/>
        <w:rPr>
          <w:rFonts w:ascii="Arial" w:hAnsi="Arial" w:cs="Arial"/>
          <w:sz w:val="24"/>
          <w:szCs w:val="24"/>
        </w:rPr>
      </w:pPr>
      <w:hyperlink w:anchor="Introduction" w:history="1">
        <w:r w:rsidR="009222D6" w:rsidRPr="001B7457">
          <w:rPr>
            <w:rStyle w:val="Hyperlink"/>
            <w:rFonts w:ascii="Arial" w:hAnsi="Arial" w:cs="Arial"/>
            <w:sz w:val="24"/>
            <w:szCs w:val="24"/>
          </w:rPr>
          <w:t xml:space="preserve">Project </w:t>
        </w:r>
        <w:r w:rsidR="00C65EA7">
          <w:rPr>
            <w:rStyle w:val="Hyperlink"/>
            <w:rFonts w:ascii="Arial" w:hAnsi="Arial" w:cs="Arial"/>
            <w:sz w:val="24"/>
            <w:szCs w:val="24"/>
          </w:rPr>
          <w:t>R</w:t>
        </w:r>
        <w:r w:rsidR="009222D6" w:rsidRPr="001B7457">
          <w:rPr>
            <w:rStyle w:val="Hyperlink"/>
            <w:rFonts w:ascii="Arial" w:hAnsi="Arial" w:cs="Arial"/>
            <w:sz w:val="24"/>
            <w:szCs w:val="24"/>
          </w:rPr>
          <w:t>eport</w:t>
        </w:r>
      </w:hyperlink>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F028E1" w:rsidRPr="00AE2080">
        <w:rPr>
          <w:rFonts w:ascii="Arial" w:hAnsi="Arial" w:cs="Arial"/>
          <w:sz w:val="24"/>
          <w:szCs w:val="24"/>
        </w:rPr>
        <w:t>10</w:t>
      </w:r>
    </w:p>
    <w:p w14:paraId="049BC6E2" w14:textId="538CA612"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b/>
      </w:r>
      <w:hyperlink w:anchor="Introduction" w:history="1">
        <w:r w:rsidRPr="00AE2080">
          <w:rPr>
            <w:rStyle w:val="Hyperlink"/>
            <w:rFonts w:ascii="Arial" w:hAnsi="Arial" w:cs="Arial"/>
            <w:sz w:val="24"/>
            <w:szCs w:val="24"/>
          </w:rPr>
          <w:t>Introduction</w:t>
        </w:r>
      </w:hyperlink>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00F028E1" w:rsidRPr="00AE2080">
        <w:rPr>
          <w:rFonts w:ascii="Arial" w:hAnsi="Arial" w:cs="Arial"/>
          <w:sz w:val="24"/>
          <w:szCs w:val="24"/>
        </w:rPr>
        <w:t>10</w:t>
      </w:r>
    </w:p>
    <w:p w14:paraId="2C3D5258" w14:textId="3F98DFB6" w:rsidR="00815DAF" w:rsidRPr="00AE2080" w:rsidRDefault="009222D6" w:rsidP="00AE2080">
      <w:pPr>
        <w:spacing w:line="360" w:lineRule="auto"/>
        <w:rPr>
          <w:rFonts w:ascii="Arial" w:hAnsi="Arial" w:cs="Arial"/>
          <w:sz w:val="24"/>
          <w:szCs w:val="24"/>
        </w:rPr>
      </w:pPr>
      <w:r w:rsidRPr="00AE2080">
        <w:rPr>
          <w:rFonts w:ascii="Arial" w:hAnsi="Arial" w:cs="Arial"/>
          <w:sz w:val="24"/>
          <w:szCs w:val="24"/>
        </w:rPr>
        <w:tab/>
      </w:r>
      <w:hyperlink w:anchor="Methodology" w:history="1">
        <w:r w:rsidRPr="00AE2080">
          <w:rPr>
            <w:rStyle w:val="Hyperlink"/>
            <w:rFonts w:ascii="Arial" w:hAnsi="Arial" w:cs="Arial"/>
            <w:sz w:val="24"/>
            <w:szCs w:val="24"/>
          </w:rPr>
          <w:t>Methodology</w:t>
        </w:r>
        <w:r w:rsidRPr="00AE2080">
          <w:rPr>
            <w:rStyle w:val="Hyperlink"/>
            <w:rFonts w:ascii="Arial" w:hAnsi="Arial" w:cs="Arial"/>
            <w:sz w:val="24"/>
            <w:szCs w:val="24"/>
          </w:rPr>
          <w:tab/>
        </w:r>
      </w:hyperlink>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00E21FDD" w:rsidRPr="00AE2080">
        <w:rPr>
          <w:rFonts w:ascii="Arial" w:hAnsi="Arial" w:cs="Arial"/>
          <w:sz w:val="24"/>
          <w:szCs w:val="24"/>
        </w:rPr>
        <w:t>1</w:t>
      </w:r>
      <w:r w:rsidR="00451084" w:rsidRPr="00AE2080">
        <w:rPr>
          <w:rFonts w:ascii="Arial" w:hAnsi="Arial" w:cs="Arial"/>
          <w:sz w:val="24"/>
          <w:szCs w:val="24"/>
        </w:rPr>
        <w:t>3</w:t>
      </w:r>
    </w:p>
    <w:p w14:paraId="4151DB83" w14:textId="1257EE1C"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b/>
      </w:r>
      <w:hyperlink w:anchor="DBRStage1" w:history="1">
        <w:r w:rsidR="00887992">
          <w:rPr>
            <w:rStyle w:val="Hyperlink"/>
            <w:rFonts w:ascii="Arial" w:hAnsi="Arial" w:cs="Arial"/>
            <w:sz w:val="24"/>
            <w:szCs w:val="24"/>
          </w:rPr>
          <w:t xml:space="preserve">Design-Based </w:t>
        </w:r>
        <w:r w:rsidR="002A4EB0" w:rsidRPr="00AE2080">
          <w:rPr>
            <w:rStyle w:val="Hyperlink"/>
            <w:rFonts w:ascii="Arial" w:hAnsi="Arial" w:cs="Arial"/>
            <w:sz w:val="24"/>
            <w:szCs w:val="24"/>
          </w:rPr>
          <w:t>Research Stage 1: Expert</w:t>
        </w:r>
        <w:r w:rsidR="004220D5" w:rsidRPr="00AE2080">
          <w:rPr>
            <w:rStyle w:val="Hyperlink"/>
            <w:rFonts w:ascii="Arial" w:hAnsi="Arial" w:cs="Arial"/>
            <w:sz w:val="24"/>
            <w:szCs w:val="24"/>
          </w:rPr>
          <w:t xml:space="preserve"> </w:t>
        </w:r>
        <w:r w:rsidR="00CA0B81">
          <w:rPr>
            <w:rStyle w:val="Hyperlink"/>
            <w:rFonts w:ascii="Arial" w:hAnsi="Arial" w:cs="Arial"/>
            <w:sz w:val="24"/>
            <w:szCs w:val="24"/>
          </w:rPr>
          <w:t>C</w:t>
        </w:r>
        <w:r w:rsidR="004220D5" w:rsidRPr="00AE2080">
          <w:rPr>
            <w:rStyle w:val="Hyperlink"/>
            <w:rFonts w:ascii="Arial" w:hAnsi="Arial" w:cs="Arial"/>
            <w:sz w:val="24"/>
            <w:szCs w:val="24"/>
          </w:rPr>
          <w:t>onsultations</w:t>
        </w:r>
      </w:hyperlink>
      <w:r w:rsidRPr="00AE2080">
        <w:rPr>
          <w:rFonts w:ascii="Arial" w:hAnsi="Arial" w:cs="Arial"/>
          <w:sz w:val="24"/>
          <w:szCs w:val="24"/>
        </w:rPr>
        <w:tab/>
      </w:r>
      <w:r w:rsidRPr="00AE2080">
        <w:rPr>
          <w:rFonts w:ascii="Arial" w:hAnsi="Arial" w:cs="Arial"/>
          <w:sz w:val="24"/>
          <w:szCs w:val="24"/>
        </w:rPr>
        <w:tab/>
      </w:r>
      <w:r w:rsidR="00815DAF" w:rsidRPr="00AE2080">
        <w:rPr>
          <w:rFonts w:ascii="Arial" w:hAnsi="Arial" w:cs="Arial"/>
          <w:sz w:val="24"/>
          <w:szCs w:val="24"/>
        </w:rPr>
        <w:t>2</w:t>
      </w:r>
      <w:r w:rsidR="00451084" w:rsidRPr="00AE2080">
        <w:rPr>
          <w:rFonts w:ascii="Arial" w:hAnsi="Arial" w:cs="Arial"/>
          <w:sz w:val="24"/>
          <w:szCs w:val="24"/>
        </w:rPr>
        <w:t>2</w:t>
      </w:r>
    </w:p>
    <w:p w14:paraId="2B126595" w14:textId="56D5B7AA" w:rsidR="004220D5" w:rsidRPr="00AE2080" w:rsidRDefault="004220D5" w:rsidP="00AE2080">
      <w:pPr>
        <w:spacing w:after="200" w:line="360" w:lineRule="auto"/>
        <w:jc w:val="both"/>
        <w:rPr>
          <w:rFonts w:ascii="Arial" w:hAnsi="Arial" w:cs="Arial"/>
          <w:sz w:val="24"/>
          <w:szCs w:val="24"/>
        </w:rPr>
      </w:pPr>
      <w:r w:rsidRPr="00AE2080">
        <w:rPr>
          <w:rFonts w:ascii="Arial" w:hAnsi="Arial" w:cs="Arial"/>
          <w:bCs/>
          <w:color w:val="000000"/>
          <w:sz w:val="24"/>
          <w:szCs w:val="24"/>
        </w:rPr>
        <w:tab/>
      </w:r>
      <w:hyperlink w:anchor="DBRStage2" w:history="1">
        <w:r w:rsidR="00887992">
          <w:rPr>
            <w:rStyle w:val="Hyperlink"/>
            <w:rFonts w:ascii="Arial" w:hAnsi="Arial" w:cs="Arial"/>
            <w:sz w:val="24"/>
            <w:szCs w:val="24"/>
          </w:rPr>
          <w:t xml:space="preserve">Design-Based </w:t>
        </w:r>
        <w:r w:rsidRPr="00AE2080">
          <w:rPr>
            <w:rStyle w:val="Hyperlink"/>
            <w:rFonts w:ascii="Arial" w:hAnsi="Arial" w:cs="Arial"/>
            <w:sz w:val="24"/>
            <w:szCs w:val="24"/>
          </w:rPr>
          <w:t xml:space="preserve">Research Stage 2: Literature </w:t>
        </w:r>
        <w:r w:rsidR="00CA0B81">
          <w:rPr>
            <w:rStyle w:val="Hyperlink"/>
            <w:rFonts w:ascii="Arial" w:hAnsi="Arial" w:cs="Arial"/>
            <w:sz w:val="24"/>
            <w:szCs w:val="24"/>
          </w:rPr>
          <w:t>R</w:t>
        </w:r>
        <w:r w:rsidRPr="00AE2080">
          <w:rPr>
            <w:rStyle w:val="Hyperlink"/>
            <w:rFonts w:ascii="Arial" w:hAnsi="Arial" w:cs="Arial"/>
            <w:sz w:val="24"/>
            <w:szCs w:val="24"/>
          </w:rPr>
          <w:t>eview</w:t>
        </w:r>
      </w:hyperlink>
      <w:r w:rsidRPr="00AE2080">
        <w:rPr>
          <w:rFonts w:ascii="Arial" w:hAnsi="Arial" w:cs="Arial"/>
          <w:sz w:val="24"/>
          <w:szCs w:val="24"/>
        </w:rPr>
        <w:tab/>
      </w:r>
      <w:r w:rsidRPr="00AE2080">
        <w:rPr>
          <w:rFonts w:ascii="Arial" w:hAnsi="Arial" w:cs="Arial"/>
          <w:sz w:val="24"/>
          <w:szCs w:val="24"/>
        </w:rPr>
        <w:tab/>
      </w:r>
      <w:r w:rsidRPr="00AE2080">
        <w:rPr>
          <w:rFonts w:ascii="Arial" w:hAnsi="Arial" w:cs="Arial"/>
          <w:sz w:val="24"/>
          <w:szCs w:val="24"/>
        </w:rPr>
        <w:tab/>
      </w:r>
      <w:r w:rsidR="00F5529C" w:rsidRPr="00AE2080">
        <w:rPr>
          <w:rFonts w:ascii="Arial" w:hAnsi="Arial" w:cs="Arial"/>
          <w:sz w:val="24"/>
          <w:szCs w:val="24"/>
        </w:rPr>
        <w:t>3</w:t>
      </w:r>
      <w:r w:rsidR="00451084" w:rsidRPr="00AE2080">
        <w:rPr>
          <w:rFonts w:ascii="Arial" w:hAnsi="Arial" w:cs="Arial"/>
          <w:sz w:val="24"/>
          <w:szCs w:val="24"/>
        </w:rPr>
        <w:t>0</w:t>
      </w:r>
    </w:p>
    <w:p w14:paraId="2EDB4088" w14:textId="1DC502C0" w:rsidR="004220D5" w:rsidRPr="00AE2080" w:rsidRDefault="00000000" w:rsidP="00AE2080">
      <w:pPr>
        <w:spacing w:after="200" w:line="360" w:lineRule="auto"/>
        <w:ind w:firstLine="720"/>
        <w:jc w:val="both"/>
        <w:rPr>
          <w:rFonts w:ascii="Arial" w:hAnsi="Arial" w:cs="Arial"/>
          <w:sz w:val="24"/>
          <w:szCs w:val="24"/>
        </w:rPr>
      </w:pPr>
      <w:hyperlink w:anchor="DBRStage3" w:history="1">
        <w:r w:rsidR="00887992" w:rsidRPr="00CA0B81">
          <w:rPr>
            <w:rStyle w:val="Hyperlink"/>
            <w:rFonts w:ascii="Arial" w:hAnsi="Arial" w:cs="Arial"/>
            <w:sz w:val="24"/>
            <w:szCs w:val="24"/>
          </w:rPr>
          <w:t xml:space="preserve">Design-Based </w:t>
        </w:r>
        <w:r w:rsidR="004220D5" w:rsidRPr="00CA0B81">
          <w:rPr>
            <w:rStyle w:val="Hyperlink"/>
            <w:rFonts w:ascii="Arial" w:hAnsi="Arial" w:cs="Arial"/>
            <w:sz w:val="24"/>
            <w:szCs w:val="24"/>
          </w:rPr>
          <w:t xml:space="preserve">Research Stage 3: Assessing </w:t>
        </w:r>
        <w:r w:rsidR="00CA0B81">
          <w:rPr>
            <w:rStyle w:val="Hyperlink"/>
            <w:rFonts w:ascii="Arial" w:hAnsi="Arial" w:cs="Arial"/>
            <w:sz w:val="24"/>
            <w:szCs w:val="24"/>
          </w:rPr>
          <w:t>P</w:t>
        </w:r>
        <w:r w:rsidR="004220D5" w:rsidRPr="00CA0B81">
          <w:rPr>
            <w:rStyle w:val="Hyperlink"/>
            <w:rFonts w:ascii="Arial" w:hAnsi="Arial" w:cs="Arial"/>
            <w:sz w:val="24"/>
            <w:szCs w:val="24"/>
          </w:rPr>
          <w:t xml:space="preserve">ractical </w:t>
        </w:r>
        <w:r w:rsidR="00CA0B81">
          <w:rPr>
            <w:rStyle w:val="Hyperlink"/>
            <w:rFonts w:ascii="Arial" w:hAnsi="Arial" w:cs="Arial"/>
            <w:sz w:val="24"/>
            <w:szCs w:val="24"/>
          </w:rPr>
          <w:t>A</w:t>
        </w:r>
        <w:r w:rsidR="004220D5" w:rsidRPr="00CA0B81">
          <w:rPr>
            <w:rStyle w:val="Hyperlink"/>
            <w:rFonts w:ascii="Arial" w:hAnsi="Arial" w:cs="Arial"/>
            <w:sz w:val="24"/>
            <w:szCs w:val="24"/>
          </w:rPr>
          <w:t>pplication</w:t>
        </w:r>
      </w:hyperlink>
      <w:r w:rsidR="004220D5" w:rsidRPr="00AE2080">
        <w:rPr>
          <w:rFonts w:ascii="Arial" w:hAnsi="Arial" w:cs="Arial"/>
          <w:sz w:val="24"/>
          <w:szCs w:val="24"/>
        </w:rPr>
        <w:tab/>
      </w:r>
      <w:r w:rsidR="003076FC" w:rsidRPr="00AE2080">
        <w:rPr>
          <w:rFonts w:ascii="Arial" w:hAnsi="Arial" w:cs="Arial"/>
          <w:sz w:val="24"/>
          <w:szCs w:val="24"/>
        </w:rPr>
        <w:t>4</w:t>
      </w:r>
      <w:r w:rsidR="00451084" w:rsidRPr="00AE2080">
        <w:rPr>
          <w:rFonts w:ascii="Arial" w:hAnsi="Arial" w:cs="Arial"/>
          <w:sz w:val="24"/>
          <w:szCs w:val="24"/>
        </w:rPr>
        <w:t>0</w:t>
      </w:r>
    </w:p>
    <w:p w14:paraId="5443EE2A" w14:textId="4F8FC8F6" w:rsidR="004220D5" w:rsidRPr="00AE2080" w:rsidRDefault="00000000" w:rsidP="00AE2080">
      <w:pPr>
        <w:spacing w:after="200" w:line="360" w:lineRule="auto"/>
        <w:ind w:firstLine="720"/>
        <w:jc w:val="both"/>
        <w:rPr>
          <w:rFonts w:ascii="Arial" w:hAnsi="Arial" w:cs="Arial"/>
          <w:sz w:val="24"/>
          <w:szCs w:val="24"/>
        </w:rPr>
      </w:pPr>
      <w:hyperlink w:anchor="Discussion" w:history="1">
        <w:r w:rsidR="004220D5" w:rsidRPr="00AE2080">
          <w:rPr>
            <w:rStyle w:val="Hyperlink"/>
            <w:rFonts w:ascii="Arial" w:hAnsi="Arial" w:cs="Arial"/>
            <w:sz w:val="24"/>
            <w:szCs w:val="24"/>
          </w:rPr>
          <w:t>Discussion</w:t>
        </w:r>
      </w:hyperlink>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t>4</w:t>
      </w:r>
      <w:r w:rsidR="00451084" w:rsidRPr="00AE2080">
        <w:rPr>
          <w:rFonts w:ascii="Arial" w:hAnsi="Arial" w:cs="Arial"/>
          <w:sz w:val="24"/>
          <w:szCs w:val="24"/>
        </w:rPr>
        <w:t>6</w:t>
      </w:r>
    </w:p>
    <w:p w14:paraId="6A67DA24" w14:textId="746AB1DB" w:rsidR="004220D5" w:rsidRPr="00AE2080" w:rsidRDefault="00000000" w:rsidP="00AE2080">
      <w:pPr>
        <w:spacing w:after="200" w:line="360" w:lineRule="auto"/>
        <w:ind w:firstLine="720"/>
        <w:jc w:val="both"/>
        <w:rPr>
          <w:rFonts w:ascii="Arial" w:hAnsi="Arial" w:cs="Arial"/>
          <w:sz w:val="24"/>
          <w:szCs w:val="24"/>
        </w:rPr>
      </w:pPr>
      <w:hyperlink w:anchor="ReflectionsEvaluation" w:history="1">
        <w:r w:rsidR="004220D5" w:rsidRPr="00AE2080">
          <w:rPr>
            <w:rStyle w:val="Hyperlink"/>
            <w:rFonts w:ascii="Arial" w:hAnsi="Arial" w:cs="Arial"/>
            <w:sz w:val="24"/>
            <w:szCs w:val="24"/>
          </w:rPr>
          <w:t xml:space="preserve">Reflections and </w:t>
        </w:r>
        <w:r w:rsidR="00C65EA7">
          <w:rPr>
            <w:rStyle w:val="Hyperlink"/>
            <w:rFonts w:ascii="Arial" w:hAnsi="Arial" w:cs="Arial"/>
            <w:sz w:val="24"/>
            <w:szCs w:val="24"/>
          </w:rPr>
          <w:t>E</w:t>
        </w:r>
        <w:r w:rsidR="004220D5" w:rsidRPr="00AE2080">
          <w:rPr>
            <w:rStyle w:val="Hyperlink"/>
            <w:rFonts w:ascii="Arial" w:hAnsi="Arial" w:cs="Arial"/>
            <w:sz w:val="24"/>
            <w:szCs w:val="24"/>
          </w:rPr>
          <w:t>valuation</w:t>
        </w:r>
      </w:hyperlink>
      <w:r w:rsidR="00C0201F"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3076FC" w:rsidRPr="00AE2080">
        <w:rPr>
          <w:rFonts w:ascii="Arial" w:hAnsi="Arial" w:cs="Arial"/>
          <w:sz w:val="24"/>
          <w:szCs w:val="24"/>
        </w:rPr>
        <w:tab/>
      </w:r>
      <w:r w:rsidR="00296032" w:rsidRPr="00AE2080">
        <w:rPr>
          <w:rFonts w:ascii="Arial" w:hAnsi="Arial" w:cs="Arial"/>
          <w:sz w:val="24"/>
          <w:szCs w:val="24"/>
        </w:rPr>
        <w:t>5</w:t>
      </w:r>
      <w:r w:rsidR="00F46E7C">
        <w:rPr>
          <w:rFonts w:ascii="Arial" w:hAnsi="Arial" w:cs="Arial"/>
          <w:sz w:val="24"/>
          <w:szCs w:val="24"/>
        </w:rPr>
        <w:t>2</w:t>
      </w:r>
    </w:p>
    <w:p w14:paraId="4FBEE6DA" w14:textId="1D1F60E0" w:rsidR="009222D6" w:rsidRPr="00AE2080" w:rsidRDefault="00000000" w:rsidP="00AE2080">
      <w:pPr>
        <w:spacing w:line="360" w:lineRule="auto"/>
        <w:ind w:firstLine="720"/>
        <w:jc w:val="both"/>
        <w:rPr>
          <w:rFonts w:ascii="Arial" w:hAnsi="Arial" w:cs="Arial"/>
          <w:bCs/>
          <w:color w:val="000000"/>
          <w:sz w:val="24"/>
          <w:szCs w:val="24"/>
        </w:rPr>
      </w:pPr>
      <w:hyperlink w:anchor="Conclusion" w:history="1">
        <w:r w:rsidR="009222D6" w:rsidRPr="00AE2080">
          <w:rPr>
            <w:rStyle w:val="Hyperlink"/>
            <w:rFonts w:ascii="Arial" w:hAnsi="Arial" w:cs="Arial"/>
            <w:sz w:val="24"/>
            <w:szCs w:val="24"/>
          </w:rPr>
          <w:t>Conclusion</w:t>
        </w:r>
      </w:hyperlink>
      <w:r w:rsidR="004220D5" w:rsidRPr="00AE2080">
        <w:rPr>
          <w:rFonts w:ascii="Arial" w:hAnsi="Arial" w:cs="Arial"/>
          <w:sz w:val="24"/>
          <w:szCs w:val="24"/>
        </w:rPr>
        <w:tab/>
      </w:r>
      <w:r w:rsidR="004220D5" w:rsidRPr="00AE2080">
        <w:rPr>
          <w:rFonts w:ascii="Arial" w:hAnsi="Arial" w:cs="Arial"/>
          <w:sz w:val="24"/>
          <w:szCs w:val="24"/>
        </w:rPr>
        <w:tab/>
      </w:r>
      <w:r w:rsidR="004220D5" w:rsidRPr="00AE2080">
        <w:rPr>
          <w:rFonts w:ascii="Arial" w:hAnsi="Arial" w:cs="Arial"/>
          <w:sz w:val="24"/>
          <w:szCs w:val="24"/>
        </w:rPr>
        <w:tab/>
      </w:r>
      <w:r w:rsidR="004220D5"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A36079" w:rsidRPr="00AE2080">
        <w:rPr>
          <w:rFonts w:ascii="Arial" w:hAnsi="Arial" w:cs="Arial"/>
          <w:sz w:val="24"/>
          <w:szCs w:val="24"/>
        </w:rPr>
        <w:t>5</w:t>
      </w:r>
      <w:r w:rsidR="00F46E7C">
        <w:rPr>
          <w:rFonts w:ascii="Arial" w:hAnsi="Arial" w:cs="Arial"/>
          <w:sz w:val="24"/>
          <w:szCs w:val="24"/>
        </w:rPr>
        <w:t>4</w:t>
      </w:r>
    </w:p>
    <w:p w14:paraId="69AB22EB" w14:textId="0173E6EA" w:rsidR="009222D6" w:rsidRPr="00AE2080" w:rsidRDefault="00000000" w:rsidP="00AE2080">
      <w:pPr>
        <w:spacing w:line="360" w:lineRule="auto"/>
        <w:rPr>
          <w:rFonts w:ascii="Arial" w:hAnsi="Arial" w:cs="Arial"/>
          <w:sz w:val="24"/>
          <w:szCs w:val="24"/>
        </w:rPr>
      </w:pPr>
      <w:hyperlink w:anchor="References" w:history="1">
        <w:r w:rsidR="009222D6" w:rsidRPr="00AE2080">
          <w:rPr>
            <w:rStyle w:val="Hyperlink"/>
            <w:rFonts w:ascii="Arial" w:hAnsi="Arial" w:cs="Arial"/>
            <w:sz w:val="24"/>
            <w:szCs w:val="24"/>
          </w:rPr>
          <w:t>References</w:t>
        </w:r>
      </w:hyperlink>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9222D6" w:rsidRPr="00AE2080">
        <w:rPr>
          <w:rFonts w:ascii="Arial" w:hAnsi="Arial" w:cs="Arial"/>
          <w:sz w:val="24"/>
          <w:szCs w:val="24"/>
        </w:rPr>
        <w:tab/>
      </w:r>
      <w:r w:rsidR="00A36079" w:rsidRPr="00AE2080">
        <w:rPr>
          <w:rFonts w:ascii="Arial" w:hAnsi="Arial" w:cs="Arial"/>
          <w:sz w:val="24"/>
          <w:szCs w:val="24"/>
        </w:rPr>
        <w:t>5</w:t>
      </w:r>
      <w:r w:rsidR="00F46E7C">
        <w:rPr>
          <w:rFonts w:ascii="Arial" w:hAnsi="Arial" w:cs="Arial"/>
          <w:sz w:val="24"/>
          <w:szCs w:val="24"/>
        </w:rPr>
        <w:t>6</w:t>
      </w:r>
    </w:p>
    <w:p w14:paraId="5C3A9EF7" w14:textId="31DC240E" w:rsidR="009F2D8B" w:rsidRPr="00AE2080" w:rsidRDefault="00961FA7" w:rsidP="00AE2080">
      <w:pPr>
        <w:spacing w:line="360" w:lineRule="auto"/>
        <w:rPr>
          <w:rFonts w:ascii="Arial" w:hAnsi="Arial" w:cs="Arial"/>
          <w:sz w:val="24"/>
          <w:szCs w:val="24"/>
        </w:rPr>
      </w:pPr>
      <w:r w:rsidRPr="00AE2080">
        <w:rPr>
          <w:rFonts w:ascii="Arial" w:hAnsi="Arial" w:cs="Arial"/>
          <w:sz w:val="24"/>
          <w:szCs w:val="24"/>
        </w:rPr>
        <w:t>Appendices</w:t>
      </w:r>
      <w:r w:rsidR="009F2D8B" w:rsidRPr="00AE2080">
        <w:rPr>
          <w:rFonts w:ascii="Arial" w:hAnsi="Arial" w:cs="Arial"/>
          <w:sz w:val="24"/>
          <w:szCs w:val="24"/>
        </w:rPr>
        <w:t xml:space="preserve"> </w:t>
      </w:r>
      <w:r w:rsidRPr="00AE2080">
        <w:rPr>
          <w:rFonts w:ascii="Arial" w:hAnsi="Arial" w:cs="Arial"/>
          <w:sz w:val="24"/>
          <w:szCs w:val="24"/>
        </w:rPr>
        <w:t>(separate zipped folder)</w:t>
      </w:r>
    </w:p>
    <w:p w14:paraId="65677686" w14:textId="07030C82" w:rsidR="009222D6" w:rsidRPr="00AE2080" w:rsidRDefault="009222D6" w:rsidP="00AE2080">
      <w:pPr>
        <w:spacing w:before="100" w:beforeAutospacing="1" w:after="100" w:afterAutospacing="1" w:line="360" w:lineRule="auto"/>
        <w:rPr>
          <w:rFonts w:ascii="Arial" w:hAnsi="Arial" w:cs="Arial"/>
          <w:bCs/>
          <w:sz w:val="24"/>
          <w:szCs w:val="24"/>
        </w:rPr>
      </w:pPr>
      <w:r w:rsidRPr="00AE2080">
        <w:rPr>
          <w:rFonts w:ascii="Arial" w:hAnsi="Arial" w:cs="Arial"/>
          <w:bCs/>
          <w:sz w:val="24"/>
          <w:szCs w:val="24"/>
        </w:rPr>
        <w:t>Appendix 1:</w:t>
      </w:r>
      <w:r w:rsidR="00C74B2A" w:rsidRPr="00AE2080">
        <w:rPr>
          <w:rFonts w:ascii="Arial" w:hAnsi="Arial" w:cs="Arial"/>
          <w:bCs/>
          <w:sz w:val="24"/>
          <w:szCs w:val="24"/>
        </w:rPr>
        <w:tab/>
      </w:r>
      <w:r w:rsidR="00E167B8" w:rsidRPr="00AE2080">
        <w:rPr>
          <w:rFonts w:ascii="Arial" w:hAnsi="Arial" w:cs="Arial"/>
          <w:bCs/>
          <w:sz w:val="24"/>
          <w:szCs w:val="24"/>
        </w:rPr>
        <w:t>Ethics form (signed) and permission letter</w:t>
      </w:r>
    </w:p>
    <w:p w14:paraId="4D3AD4C3" w14:textId="7134F556"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2:</w:t>
      </w:r>
      <w:r w:rsidR="00C74B2A" w:rsidRPr="00AE2080">
        <w:rPr>
          <w:rFonts w:ascii="Arial" w:hAnsi="Arial" w:cs="Arial"/>
          <w:sz w:val="24"/>
          <w:szCs w:val="24"/>
        </w:rPr>
        <w:tab/>
        <w:t>Participant consent forms (experts and students)</w:t>
      </w:r>
    </w:p>
    <w:p w14:paraId="65010DC3" w14:textId="17B4DF34"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3:</w:t>
      </w:r>
      <w:r w:rsidRPr="00AE2080">
        <w:rPr>
          <w:rFonts w:ascii="Arial" w:hAnsi="Arial" w:cs="Arial"/>
          <w:sz w:val="24"/>
          <w:szCs w:val="24"/>
        </w:rPr>
        <w:tab/>
      </w:r>
      <w:r w:rsidR="00C74B2A" w:rsidRPr="00AE2080">
        <w:rPr>
          <w:rFonts w:ascii="Arial" w:hAnsi="Arial" w:cs="Arial"/>
          <w:sz w:val="24"/>
          <w:szCs w:val="24"/>
        </w:rPr>
        <w:t>Information for experts: theoretical belt training process</w:t>
      </w:r>
    </w:p>
    <w:p w14:paraId="7479D245" w14:textId="37B2E5B6"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4:</w:t>
      </w:r>
      <w:r w:rsidR="00C74B2A" w:rsidRPr="00AE2080">
        <w:rPr>
          <w:rFonts w:ascii="Arial" w:hAnsi="Arial" w:cs="Arial"/>
          <w:sz w:val="24"/>
          <w:szCs w:val="24"/>
        </w:rPr>
        <w:tab/>
      </w:r>
      <w:r w:rsidR="00E27902" w:rsidRPr="00AE2080">
        <w:rPr>
          <w:rFonts w:ascii="Arial" w:hAnsi="Arial" w:cs="Arial"/>
          <w:sz w:val="24"/>
          <w:szCs w:val="24"/>
        </w:rPr>
        <w:t xml:space="preserve">Information for students: </w:t>
      </w:r>
      <w:r w:rsidR="00167EDE">
        <w:rPr>
          <w:rFonts w:ascii="Arial" w:hAnsi="Arial" w:cs="Arial"/>
          <w:sz w:val="24"/>
          <w:szCs w:val="24"/>
        </w:rPr>
        <w:t>s</w:t>
      </w:r>
      <w:r w:rsidR="00E27902" w:rsidRPr="00AE2080">
        <w:rPr>
          <w:rFonts w:ascii="Arial" w:hAnsi="Arial" w:cs="Arial"/>
          <w:sz w:val="24"/>
          <w:szCs w:val="24"/>
        </w:rPr>
        <w:t>tudy introduction</w:t>
      </w:r>
    </w:p>
    <w:p w14:paraId="00849882" w14:textId="2AD0E5EB"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5:</w:t>
      </w:r>
      <w:r w:rsidR="00C74B2A" w:rsidRPr="00AE2080">
        <w:rPr>
          <w:rFonts w:ascii="Arial" w:hAnsi="Arial" w:cs="Arial"/>
          <w:sz w:val="24"/>
          <w:szCs w:val="24"/>
        </w:rPr>
        <w:tab/>
      </w:r>
      <w:r w:rsidR="00687204" w:rsidRPr="00AE2080">
        <w:rPr>
          <w:rFonts w:ascii="Arial" w:hAnsi="Arial" w:cs="Arial"/>
          <w:sz w:val="24"/>
          <w:szCs w:val="24"/>
        </w:rPr>
        <w:t>Expert 1 data</w:t>
      </w:r>
      <w:r w:rsidR="00687204" w:rsidRPr="00AE2080">
        <w:rPr>
          <w:rFonts w:ascii="Arial" w:hAnsi="Arial" w:cs="Arial"/>
          <w:sz w:val="24"/>
          <w:szCs w:val="24"/>
        </w:rPr>
        <w:tab/>
      </w:r>
    </w:p>
    <w:p w14:paraId="79DB5504" w14:textId="679B4ED6"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6:</w:t>
      </w:r>
      <w:r w:rsidR="00C74B2A" w:rsidRPr="00AE2080">
        <w:rPr>
          <w:rFonts w:ascii="Arial" w:hAnsi="Arial" w:cs="Arial"/>
          <w:sz w:val="24"/>
          <w:szCs w:val="24"/>
        </w:rPr>
        <w:tab/>
      </w:r>
      <w:r w:rsidR="00687204" w:rsidRPr="00AE2080">
        <w:rPr>
          <w:rFonts w:ascii="Arial" w:hAnsi="Arial" w:cs="Arial"/>
          <w:sz w:val="24"/>
          <w:szCs w:val="24"/>
        </w:rPr>
        <w:t xml:space="preserve">Expert </w:t>
      </w:r>
      <w:r w:rsidR="00064209" w:rsidRPr="00AE2080">
        <w:rPr>
          <w:rFonts w:ascii="Arial" w:hAnsi="Arial" w:cs="Arial"/>
          <w:sz w:val="24"/>
          <w:szCs w:val="24"/>
        </w:rPr>
        <w:t>2</w:t>
      </w:r>
      <w:r w:rsidR="00687204" w:rsidRPr="00AE2080">
        <w:rPr>
          <w:rFonts w:ascii="Arial" w:hAnsi="Arial" w:cs="Arial"/>
          <w:sz w:val="24"/>
          <w:szCs w:val="24"/>
        </w:rPr>
        <w:t xml:space="preserve"> data</w:t>
      </w:r>
      <w:r w:rsidR="00687204" w:rsidRPr="00AE2080">
        <w:rPr>
          <w:rFonts w:ascii="Arial" w:hAnsi="Arial" w:cs="Arial"/>
          <w:sz w:val="24"/>
          <w:szCs w:val="24"/>
        </w:rPr>
        <w:tab/>
      </w:r>
    </w:p>
    <w:p w14:paraId="6E597795" w14:textId="4C2C5224"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7:</w:t>
      </w:r>
      <w:r w:rsidR="00C74B2A" w:rsidRPr="00AE2080">
        <w:rPr>
          <w:rFonts w:ascii="Arial" w:hAnsi="Arial" w:cs="Arial"/>
          <w:sz w:val="24"/>
          <w:szCs w:val="24"/>
        </w:rPr>
        <w:tab/>
      </w:r>
      <w:r w:rsidR="00687204" w:rsidRPr="00AE2080">
        <w:rPr>
          <w:rFonts w:ascii="Arial" w:hAnsi="Arial" w:cs="Arial"/>
          <w:sz w:val="24"/>
          <w:szCs w:val="24"/>
        </w:rPr>
        <w:t>Student A data</w:t>
      </w:r>
    </w:p>
    <w:p w14:paraId="794D818B" w14:textId="5B580638"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8:</w:t>
      </w:r>
      <w:r w:rsidR="00C74B2A" w:rsidRPr="00AE2080">
        <w:rPr>
          <w:rFonts w:ascii="Arial" w:hAnsi="Arial" w:cs="Arial"/>
          <w:sz w:val="24"/>
          <w:szCs w:val="24"/>
        </w:rPr>
        <w:tab/>
      </w:r>
      <w:r w:rsidR="00687204" w:rsidRPr="00AE2080">
        <w:rPr>
          <w:rFonts w:ascii="Arial" w:hAnsi="Arial" w:cs="Arial"/>
          <w:sz w:val="24"/>
          <w:szCs w:val="24"/>
        </w:rPr>
        <w:t xml:space="preserve">Student </w:t>
      </w:r>
      <w:r w:rsidR="00064209" w:rsidRPr="00AE2080">
        <w:rPr>
          <w:rFonts w:ascii="Arial" w:hAnsi="Arial" w:cs="Arial"/>
          <w:sz w:val="24"/>
          <w:szCs w:val="24"/>
        </w:rPr>
        <w:t>B</w:t>
      </w:r>
      <w:r w:rsidR="00687204" w:rsidRPr="00AE2080">
        <w:rPr>
          <w:rFonts w:ascii="Arial" w:hAnsi="Arial" w:cs="Arial"/>
          <w:sz w:val="24"/>
          <w:szCs w:val="24"/>
        </w:rPr>
        <w:t xml:space="preserve"> data</w:t>
      </w:r>
    </w:p>
    <w:p w14:paraId="2D6F996C" w14:textId="5AF375B3" w:rsidR="009222D6" w:rsidRPr="00AE2080" w:rsidRDefault="009222D6" w:rsidP="00AE2080">
      <w:pPr>
        <w:spacing w:line="360" w:lineRule="auto"/>
        <w:rPr>
          <w:rFonts w:ascii="Arial" w:hAnsi="Arial" w:cs="Arial"/>
          <w:sz w:val="24"/>
          <w:szCs w:val="24"/>
        </w:rPr>
      </w:pPr>
      <w:r w:rsidRPr="00AE2080">
        <w:rPr>
          <w:rFonts w:ascii="Arial" w:hAnsi="Arial" w:cs="Arial"/>
          <w:sz w:val="24"/>
          <w:szCs w:val="24"/>
        </w:rPr>
        <w:t>Appendix 9:</w:t>
      </w:r>
      <w:r w:rsidR="00C74B2A" w:rsidRPr="00AE2080">
        <w:rPr>
          <w:rFonts w:ascii="Arial" w:hAnsi="Arial" w:cs="Arial"/>
          <w:sz w:val="24"/>
          <w:szCs w:val="24"/>
        </w:rPr>
        <w:tab/>
      </w:r>
      <w:r w:rsidR="00687204" w:rsidRPr="00AE2080">
        <w:rPr>
          <w:rFonts w:ascii="Arial" w:hAnsi="Arial" w:cs="Arial"/>
          <w:sz w:val="24"/>
          <w:szCs w:val="24"/>
        </w:rPr>
        <w:t xml:space="preserve">Student </w:t>
      </w:r>
      <w:r w:rsidR="00064209" w:rsidRPr="00AE2080">
        <w:rPr>
          <w:rFonts w:ascii="Arial" w:hAnsi="Arial" w:cs="Arial"/>
          <w:sz w:val="24"/>
          <w:szCs w:val="24"/>
        </w:rPr>
        <w:t>C</w:t>
      </w:r>
      <w:r w:rsidR="00687204" w:rsidRPr="00AE2080">
        <w:rPr>
          <w:rFonts w:ascii="Arial" w:hAnsi="Arial" w:cs="Arial"/>
          <w:sz w:val="24"/>
          <w:szCs w:val="24"/>
        </w:rPr>
        <w:t xml:space="preserve"> data</w:t>
      </w:r>
    </w:p>
    <w:p w14:paraId="0232CEEE" w14:textId="48F72852" w:rsidR="00CD615D" w:rsidRDefault="009222D6" w:rsidP="00CD615D">
      <w:pPr>
        <w:spacing w:line="360" w:lineRule="auto"/>
        <w:rPr>
          <w:rFonts w:ascii="Arial" w:hAnsi="Arial" w:cs="Arial"/>
          <w:sz w:val="24"/>
          <w:szCs w:val="24"/>
        </w:rPr>
      </w:pPr>
      <w:r w:rsidRPr="00AE2080">
        <w:rPr>
          <w:rFonts w:ascii="Arial" w:hAnsi="Arial" w:cs="Arial"/>
          <w:sz w:val="24"/>
          <w:szCs w:val="24"/>
        </w:rPr>
        <w:t>Appendix 10:</w:t>
      </w:r>
      <w:r w:rsidR="00C74B2A" w:rsidRPr="00AE2080">
        <w:rPr>
          <w:rFonts w:ascii="Arial" w:hAnsi="Arial" w:cs="Arial"/>
          <w:sz w:val="24"/>
          <w:szCs w:val="24"/>
        </w:rPr>
        <w:tab/>
      </w:r>
      <w:r w:rsidR="00F07FAC" w:rsidRPr="00AE2080">
        <w:rPr>
          <w:rFonts w:ascii="Arial" w:hAnsi="Arial" w:cs="Arial"/>
          <w:sz w:val="24"/>
          <w:szCs w:val="24"/>
        </w:rPr>
        <w:t>GANTT</w:t>
      </w:r>
      <w:r w:rsidRPr="00AE2080">
        <w:rPr>
          <w:rFonts w:ascii="Arial" w:hAnsi="Arial" w:cs="Arial"/>
          <w:sz w:val="24"/>
          <w:szCs w:val="24"/>
        </w:rPr>
        <w:t xml:space="preserve"> chart for project</w:t>
      </w:r>
    </w:p>
    <w:p w14:paraId="490EBE7A" w14:textId="0485203F" w:rsidR="0017792A" w:rsidRPr="00B51DDE" w:rsidRDefault="009222D6" w:rsidP="00CD615D">
      <w:pPr>
        <w:spacing w:line="360" w:lineRule="auto"/>
        <w:jc w:val="center"/>
        <w:rPr>
          <w:rFonts w:ascii="Arial" w:hAnsi="Arial" w:cs="Arial"/>
          <w:b/>
          <w:bCs/>
          <w:sz w:val="24"/>
          <w:szCs w:val="24"/>
        </w:rPr>
      </w:pPr>
      <w:r w:rsidRPr="00AE2080">
        <w:rPr>
          <w:rFonts w:ascii="Arial" w:hAnsi="Arial" w:cs="Arial"/>
          <w:sz w:val="24"/>
          <w:szCs w:val="24"/>
        </w:rPr>
        <w:br w:type="page"/>
      </w:r>
      <w:bookmarkStart w:id="0" w:name="Proposal"/>
      <w:r w:rsidR="0017792A" w:rsidRPr="00B51DDE">
        <w:rPr>
          <w:rFonts w:ascii="Arial" w:hAnsi="Arial" w:cs="Arial"/>
          <w:b/>
          <w:bCs/>
          <w:sz w:val="24"/>
          <w:szCs w:val="24"/>
        </w:rPr>
        <w:lastRenderedPageBreak/>
        <w:t>Proposal</w:t>
      </w:r>
      <w:bookmarkEnd w:id="0"/>
    </w:p>
    <w:p w14:paraId="1580FBFC" w14:textId="4FD9D5B1" w:rsidR="0017792A" w:rsidRPr="00B51DDE" w:rsidRDefault="0017792A" w:rsidP="00AE2080">
      <w:pPr>
        <w:pStyle w:val="Default"/>
        <w:spacing w:line="360" w:lineRule="auto"/>
        <w:jc w:val="both"/>
      </w:pPr>
      <w:r w:rsidRPr="00B51DDE">
        <w:rPr>
          <w:b/>
          <w:color w:val="auto"/>
        </w:rPr>
        <w:t xml:space="preserve">Project: </w:t>
      </w:r>
      <w:r w:rsidRPr="00B51DDE">
        <w:rPr>
          <w:bCs/>
          <w:color w:val="auto"/>
        </w:rPr>
        <w:t xml:space="preserve">How does a collaborative approach to developing an evidence-based belt training </w:t>
      </w:r>
      <w:r w:rsidR="002679E9" w:rsidRPr="00B51DDE">
        <w:rPr>
          <w:bCs/>
          <w:color w:val="auto"/>
        </w:rPr>
        <w:t>process</w:t>
      </w:r>
      <w:r w:rsidRPr="00B51DDE">
        <w:rPr>
          <w:bCs/>
          <w:color w:val="auto"/>
        </w:rPr>
        <w:t xml:space="preserve"> impact my professional practice?</w:t>
      </w:r>
    </w:p>
    <w:p w14:paraId="3E56E5DB" w14:textId="77777777" w:rsidR="008355AE" w:rsidRPr="00B51DDE" w:rsidRDefault="008355AE" w:rsidP="00AE2080">
      <w:pPr>
        <w:spacing w:line="360" w:lineRule="auto"/>
        <w:jc w:val="both"/>
        <w:rPr>
          <w:rFonts w:ascii="Arial" w:hAnsi="Arial" w:cs="Arial"/>
          <w:b/>
          <w:sz w:val="24"/>
          <w:szCs w:val="24"/>
        </w:rPr>
      </w:pPr>
    </w:p>
    <w:p w14:paraId="104F9FE2" w14:textId="72E7B6A6"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Context</w:t>
      </w:r>
    </w:p>
    <w:p w14:paraId="368E04A9" w14:textId="36916A4A" w:rsidR="008355AE" w:rsidRPr="00B51DDE" w:rsidRDefault="0017792A" w:rsidP="008355AE">
      <w:pPr>
        <w:spacing w:line="360" w:lineRule="auto"/>
        <w:jc w:val="both"/>
        <w:rPr>
          <w:rFonts w:ascii="Arial" w:hAnsi="Arial" w:cs="Arial"/>
          <w:sz w:val="24"/>
          <w:szCs w:val="24"/>
        </w:rPr>
      </w:pPr>
      <w:r w:rsidRPr="00B51DDE">
        <w:rPr>
          <w:rFonts w:ascii="Arial" w:hAnsi="Arial" w:cs="Arial"/>
          <w:sz w:val="24"/>
          <w:szCs w:val="24"/>
        </w:rPr>
        <w:t>The project will be set in my private voice studio</w:t>
      </w:r>
      <w:r w:rsidR="003A7AAC" w:rsidRPr="00B51DDE">
        <w:rPr>
          <w:rFonts w:ascii="Arial" w:hAnsi="Arial" w:cs="Arial"/>
          <w:sz w:val="24"/>
          <w:szCs w:val="24"/>
        </w:rPr>
        <w:t xml:space="preserve"> which has</w:t>
      </w:r>
      <w:r w:rsidRPr="00B51DDE">
        <w:rPr>
          <w:rFonts w:ascii="Arial" w:hAnsi="Arial" w:cs="Arial"/>
          <w:sz w:val="24"/>
          <w:szCs w:val="24"/>
        </w:rPr>
        <w:t xml:space="preserve"> students from age 10 to 80+, with var</w:t>
      </w:r>
      <w:r w:rsidR="00604B56">
        <w:rPr>
          <w:rFonts w:ascii="Arial" w:hAnsi="Arial" w:cs="Arial"/>
          <w:sz w:val="24"/>
          <w:szCs w:val="24"/>
        </w:rPr>
        <w:t>ying</w:t>
      </w:r>
      <w:r w:rsidRPr="00B51DDE">
        <w:rPr>
          <w:rFonts w:ascii="Arial" w:hAnsi="Arial" w:cs="Arial"/>
          <w:sz w:val="24"/>
          <w:szCs w:val="24"/>
        </w:rPr>
        <w:t xml:space="preserve"> abilities and objectives. As a male singing teacher whose training has been mostly in classical singing, my professional development would benefit from further exploring Contemporary Commercial Music (CCM) techniques for singers. Currently, most of my student</w:t>
      </w:r>
      <w:r w:rsidR="004F766D" w:rsidRPr="00B51DDE">
        <w:rPr>
          <w:rFonts w:ascii="Arial" w:hAnsi="Arial" w:cs="Arial"/>
          <w:sz w:val="24"/>
          <w:szCs w:val="24"/>
        </w:rPr>
        <w:t>s</w:t>
      </w:r>
      <w:r w:rsidRPr="00B51DDE">
        <w:rPr>
          <w:rFonts w:ascii="Arial" w:hAnsi="Arial" w:cs="Arial"/>
          <w:sz w:val="24"/>
          <w:szCs w:val="24"/>
        </w:rPr>
        <w:t xml:space="preserve"> identify as female and/ or have a female hormonal landscape</w:t>
      </w:r>
      <w:r w:rsidR="009D6DB6" w:rsidRPr="00B51DDE">
        <w:rPr>
          <w:rFonts w:ascii="Arial" w:hAnsi="Arial" w:cs="Arial"/>
          <w:sz w:val="24"/>
          <w:szCs w:val="24"/>
        </w:rPr>
        <w:t>.</w:t>
      </w:r>
      <w:r w:rsidRPr="00B51DDE">
        <w:rPr>
          <w:rFonts w:ascii="Arial" w:hAnsi="Arial" w:cs="Arial"/>
          <w:sz w:val="24"/>
          <w:szCs w:val="24"/>
        </w:rPr>
        <w:t xml:space="preserve"> </w:t>
      </w:r>
      <w:r w:rsidR="005617C2" w:rsidRPr="00B51DDE">
        <w:rPr>
          <w:rFonts w:ascii="Arial" w:hAnsi="Arial" w:cs="Arial"/>
          <w:sz w:val="24"/>
          <w:szCs w:val="24"/>
        </w:rPr>
        <w:t xml:space="preserve">Belting is </w:t>
      </w:r>
      <w:r w:rsidR="000A2E3F" w:rsidRPr="00B51DDE">
        <w:rPr>
          <w:rFonts w:ascii="Arial" w:hAnsi="Arial" w:cs="Arial"/>
          <w:sz w:val="24"/>
          <w:szCs w:val="24"/>
        </w:rPr>
        <w:t>a powerful ‘brassy’ style of singing associated with singers such as Ethel Merman</w:t>
      </w:r>
      <w:r w:rsidR="005942CE" w:rsidRPr="00B51DDE">
        <w:rPr>
          <w:rFonts w:ascii="Arial" w:hAnsi="Arial" w:cs="Arial"/>
          <w:sz w:val="24"/>
          <w:szCs w:val="24"/>
        </w:rPr>
        <w:t xml:space="preserve"> and</w:t>
      </w:r>
      <w:r w:rsidR="004A61F5" w:rsidRPr="00B51DDE">
        <w:rPr>
          <w:rFonts w:ascii="Arial" w:hAnsi="Arial" w:cs="Arial"/>
          <w:sz w:val="24"/>
          <w:szCs w:val="24"/>
        </w:rPr>
        <w:t xml:space="preserve"> Patti</w:t>
      </w:r>
      <w:r w:rsidR="005942CE" w:rsidRPr="00B51DDE">
        <w:rPr>
          <w:rFonts w:ascii="Arial" w:hAnsi="Arial" w:cs="Arial"/>
          <w:sz w:val="24"/>
          <w:szCs w:val="24"/>
        </w:rPr>
        <w:t xml:space="preserve"> </w:t>
      </w:r>
      <w:proofErr w:type="spellStart"/>
      <w:r w:rsidR="005942CE" w:rsidRPr="00B51DDE">
        <w:rPr>
          <w:rFonts w:ascii="Arial" w:hAnsi="Arial" w:cs="Arial"/>
          <w:sz w:val="24"/>
          <w:szCs w:val="24"/>
        </w:rPr>
        <w:t>Lupone</w:t>
      </w:r>
      <w:proofErr w:type="spellEnd"/>
      <w:r w:rsidR="005942CE" w:rsidRPr="00B51DDE">
        <w:rPr>
          <w:rFonts w:ascii="Arial" w:hAnsi="Arial" w:cs="Arial"/>
          <w:sz w:val="24"/>
          <w:szCs w:val="24"/>
        </w:rPr>
        <w:t xml:space="preserve"> </w:t>
      </w:r>
      <w:r w:rsidR="004E5D94" w:rsidRPr="00B51DDE">
        <w:rPr>
          <w:rFonts w:ascii="Arial" w:hAnsi="Arial" w:cs="Arial"/>
          <w:sz w:val="24"/>
          <w:szCs w:val="24"/>
        </w:rPr>
        <w:fldChar w:fldCharType="begin" w:fldLock="1"/>
      </w:r>
      <w:r w:rsidR="002E5854" w:rsidRPr="00B51DDE">
        <w:rPr>
          <w:rFonts w:ascii="Arial" w:hAnsi="Arial" w:cs="Arial"/>
          <w:sz w:val="24"/>
          <w:szCs w:val="24"/>
        </w:rPr>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Pedagogues","type":"article-journal","volume":"30"},"uris":["http://www.mendeley.com/documents/?uuid=4706de4e-157f-47ca-96aa-d6b4c276968b"]},{"id":"ITEM-2","itemData":{"DOI":"10.1080/23268263.2017.1391432","ISSN":"23268271","abstract":"Contemporary country singer Reba McEntire and musical theatre singer Bernadette Peters are compared with Ethel Merman in their performances of Anne Get Your Gun. This paper offers a historical overview of all three women, their careers, and their unique vocal sounds. Using descriptions of each woman’s vocal quality and musical recordings, the paper then briefly examines how analysis like the spectrum software program VoceVista™ can offer tangible explanations for performance styles, similarities, and differences.","author":[{"dropping-particle":"","family":"Dargin","given":"Troy Clifford","non-dropping-particle":"","parse-names":false,"suffix":""}],"container-title":"Voice and Speech Review","id":"ITEM-2","issue":"3","issued":{"date-parts":[["2017"]]},"page":"296-307","publisher":"Routledge","title":"Compared with Ethel: analyzing the singing styles of Reba McEntire and Bernadette Peters with Ethel Merman in Annie Get Your Gun","type":"article-journal","volume":"11"},"uris":["http://www.mendeley.com/documents/?uuid=6d19248e-763b-4e8c-9220-1f7100242ecf"]}],"mendeley":{"formattedCitation":"(Bourne and Kenny, 2016; Dargin, 2017)","plainTextFormattedCitation":"(Bourne and Kenny, 2016; Dargin, 2017)","previouslyFormattedCitation":"(Bourne and Kenny, 2016; Dargin, 2017)"},"properties":{"noteIndex":0},"schema":"https://github.com/citation-style-language/schema/raw/master/csl-citation.json"}</w:instrText>
      </w:r>
      <w:r w:rsidR="004E5D94" w:rsidRPr="00B51DDE">
        <w:rPr>
          <w:rFonts w:ascii="Arial" w:hAnsi="Arial" w:cs="Arial"/>
          <w:sz w:val="24"/>
          <w:szCs w:val="24"/>
        </w:rPr>
        <w:fldChar w:fldCharType="separate"/>
      </w:r>
      <w:r w:rsidR="004E5D94" w:rsidRPr="00B51DDE">
        <w:rPr>
          <w:rFonts w:ascii="Arial" w:hAnsi="Arial" w:cs="Arial"/>
          <w:noProof/>
          <w:sz w:val="24"/>
          <w:szCs w:val="24"/>
        </w:rPr>
        <w:t>(Bourne and Kenny, 2016; Dargin, 2017)</w:t>
      </w:r>
      <w:r w:rsidR="004E5D94" w:rsidRPr="00B51DDE">
        <w:rPr>
          <w:rFonts w:ascii="Arial" w:hAnsi="Arial" w:cs="Arial"/>
          <w:sz w:val="24"/>
          <w:szCs w:val="24"/>
        </w:rPr>
        <w:fldChar w:fldCharType="end"/>
      </w:r>
      <w:r w:rsidR="004E5D94" w:rsidRPr="00B51DDE">
        <w:rPr>
          <w:rFonts w:ascii="Arial" w:hAnsi="Arial" w:cs="Arial"/>
          <w:sz w:val="24"/>
          <w:szCs w:val="24"/>
        </w:rPr>
        <w:t>.</w:t>
      </w:r>
      <w:r w:rsidR="00E067CF" w:rsidRPr="00B51DDE">
        <w:rPr>
          <w:rFonts w:ascii="Arial" w:hAnsi="Arial" w:cs="Arial"/>
          <w:sz w:val="24"/>
          <w:szCs w:val="24"/>
        </w:rPr>
        <w:t xml:space="preserve"> </w:t>
      </w:r>
      <w:r w:rsidR="000C54F4" w:rsidRPr="00B51DDE">
        <w:rPr>
          <w:rFonts w:ascii="Arial" w:hAnsi="Arial" w:cs="Arial"/>
          <w:sz w:val="24"/>
          <w:szCs w:val="24"/>
        </w:rPr>
        <w:t>It should be noted that</w:t>
      </w:r>
      <w:r w:rsidRPr="00B51DDE">
        <w:rPr>
          <w:rFonts w:ascii="Arial" w:hAnsi="Arial" w:cs="Arial"/>
          <w:sz w:val="24"/>
          <w:szCs w:val="24"/>
        </w:rPr>
        <w:t xml:space="preserve"> voice professionals may have differ</w:t>
      </w:r>
      <w:r w:rsidR="002F4F7B">
        <w:rPr>
          <w:rFonts w:ascii="Arial" w:hAnsi="Arial" w:cs="Arial"/>
          <w:sz w:val="24"/>
          <w:szCs w:val="24"/>
        </w:rPr>
        <w:t>ing</w:t>
      </w:r>
      <w:r w:rsidRPr="00B51DDE">
        <w:rPr>
          <w:rFonts w:ascii="Arial" w:hAnsi="Arial" w:cs="Arial"/>
          <w:sz w:val="24"/>
          <w:szCs w:val="24"/>
        </w:rPr>
        <w:t xml:space="preserve"> </w:t>
      </w:r>
      <w:r w:rsidR="00DA3582" w:rsidRPr="00B51DDE">
        <w:rPr>
          <w:rFonts w:ascii="Arial" w:hAnsi="Arial" w:cs="Arial"/>
          <w:sz w:val="24"/>
          <w:szCs w:val="24"/>
        </w:rPr>
        <w:t>and</w:t>
      </w:r>
      <w:r w:rsidR="003B1EF5" w:rsidRPr="00B51DDE">
        <w:rPr>
          <w:rFonts w:ascii="Arial" w:hAnsi="Arial" w:cs="Arial"/>
          <w:sz w:val="24"/>
          <w:szCs w:val="24"/>
        </w:rPr>
        <w:t xml:space="preserve"> possibly</w:t>
      </w:r>
      <w:r w:rsidRPr="00B51DDE">
        <w:rPr>
          <w:rFonts w:ascii="Arial" w:hAnsi="Arial" w:cs="Arial"/>
          <w:sz w:val="24"/>
          <w:szCs w:val="24"/>
        </w:rPr>
        <w:t xml:space="preserve"> contradictory descriptions of belting </w:t>
      </w:r>
      <w:r w:rsidRPr="00B51DDE">
        <w:rPr>
          <w:rFonts w:ascii="Arial" w:hAnsi="Arial" w:cs="Arial"/>
          <w:sz w:val="24"/>
          <w:szCs w:val="24"/>
        </w:rPr>
        <w:fldChar w:fldCharType="begin" w:fldLock="1"/>
      </w:r>
      <w:r w:rsidR="00880CAC" w:rsidRPr="00B51DDE">
        <w:rPr>
          <w:rFonts w:ascii="Arial" w:hAnsi="Arial" w:cs="Arial"/>
          <w:sz w:val="24"/>
          <w:szCs w:val="24"/>
        </w:rPr>
        <w:instrText>ADDIN CSL_CITATION {"citationItems":[{"id":"ITEM-1","itemData":{"DOI":"10.1016/j.jvoice.2017.08.007","ISSN":"18734588","PMID":"28888666","abstract":"Objective: Research examining contemporary commercial music styles of singing has increased significantly over the last 10 years. While acoustic analysis has helped determine which characteristics define various vocal genres, a discrepancy still exists in how those acoustic characteristics are perceived, described, and evaluated. Methods: The current study recorded seven novice and four professional musical theater singers performing belt, legit, and mix vocal samples. Novice singers were defined as first- and second-year students in an undergraduate musical theater program, while professional singers were defined as having played at least one major role in a music theater production in regional Equity theaters. Five regional Equity casting directors listened to the recordings and rated each sample on the basis of style (belt versus legit) and tone quality (brassy versus fluty and bright versus dark). Results were compared across experience level (novice/professional) and pitch. Additionally, relationships between style (belt/legit) and quality (brassy/fluty, bright/dark) were examined. Results: The statistically significant correlation emerged between the raters' perceived singing style and the singers' indicated singing style. Auditors identified the style (belt/legit) more reliably for the professional singers than for novice singers, and ratings of other qualities varied significantly between raters. Conclusions: The singers were successfully able to produce voicing styles that matched the perceptual expectations of the casting directors. Not surprisingly, professional singers were somewhat more successful in this regard than were the novices. There appears to be little consensus among the auditors, however, about which acoustical qualities define a belt, mix, or legit style.","author":[{"dropping-particle":"","family":"Maxfield","given":"Lynn","non-dropping-particle":"","parse-names":false,"suffix":""},{"dropping-particle":"","family":"Manternach","given":"Brian","non-dropping-particle":"","parse-names":false,"suffix":""}],"container-title":"Journal of Voice","id":"ITEM-1","issue":"5","issued":{"date-parts":[["2018"]]},"page":"572-577","publisher":"Elsevier Inc.","title":"Perceptual Differences between Novice and Professional Music Theater Singers","type":"article-journal","volume":"32"},"uris":["http://www.mendeley.com/documents/?uuid=d50eb1fe-1939-48f3-bee0-009094ea1529"]}],"mendeley":{"formattedCitation":"(Maxfield and Manternach, 2018)","plainTextFormattedCitation":"(Maxfield and Manternach, 2018)","previouslyFormattedCitation":"(Maxfield and Manternach, 2018)"},"properties":{"noteIndex":0},"schema":"https://github.com/citation-style-language/schema/raw/master/csl-citation.json"}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(Maxfield and Manternach, 2018)</w:t>
      </w:r>
      <w:r w:rsidRPr="00B51DDE">
        <w:rPr>
          <w:rFonts w:ascii="Arial" w:hAnsi="Arial" w:cs="Arial"/>
          <w:sz w:val="24"/>
          <w:szCs w:val="24"/>
        </w:rPr>
        <w:fldChar w:fldCharType="end"/>
      </w:r>
      <w:r w:rsidRPr="00B51DDE">
        <w:rPr>
          <w:rFonts w:ascii="Arial" w:hAnsi="Arial" w:cs="Arial"/>
          <w:sz w:val="24"/>
          <w:szCs w:val="24"/>
        </w:rPr>
        <w:t xml:space="preserve">. Belt singing is employed in new musical theatre and is increasingly a requirement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Voice","id":"ITEM-1","issue":"3","issued":{"date-parts":[["2014"]]},"page":"324-327","publisher":"Elsevier Ltd","title":"Trends in musical theatre voice: An analysis of audition requirements for singers","type":"article-journal","volume":"28"},"uris":["http://www.mendeley.com/documents/?uuid=6c5c7ab8-2117-4022-bd21-e16aa8ee37d9"]}],"mendeley":{"formattedCitation":"(Green &lt;i&gt;et al.&lt;/i&gt;, 2014)","plainTextFormattedCitation":"(Green et al., 2014)","previouslyFormattedCitation":"(Green &lt;i&gt;et al.&lt;/i&gt;,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(Green </w:t>
      </w:r>
      <w:r w:rsidRPr="00B51DDE">
        <w:rPr>
          <w:rFonts w:ascii="Arial" w:hAnsi="Arial" w:cs="Arial"/>
          <w:i/>
          <w:noProof/>
          <w:sz w:val="24"/>
          <w:szCs w:val="24"/>
        </w:rPr>
        <w:t>et al.</w:t>
      </w:r>
      <w:r w:rsidRPr="00B51DDE">
        <w:rPr>
          <w:rFonts w:ascii="Arial" w:hAnsi="Arial" w:cs="Arial"/>
          <w:noProof/>
          <w:sz w:val="24"/>
          <w:szCs w:val="24"/>
        </w:rPr>
        <w:t>, 2014)</w:t>
      </w:r>
      <w:r w:rsidRPr="00B51DDE">
        <w:rPr>
          <w:rFonts w:ascii="Arial" w:hAnsi="Arial" w:cs="Arial"/>
          <w:sz w:val="24"/>
          <w:szCs w:val="24"/>
        </w:rPr>
        <w:fldChar w:fldCharType="end"/>
      </w:r>
      <w:r w:rsidRPr="00B51DDE">
        <w:rPr>
          <w:rFonts w:ascii="Arial" w:hAnsi="Arial" w:cs="Arial"/>
          <w:sz w:val="24"/>
          <w:szCs w:val="24"/>
        </w:rPr>
        <w:t>. This could lead to many singing teachers needing knowledge of how to train belting healthily. Some students join my practice wishing to develop their belting skills.</w:t>
      </w:r>
      <w:r w:rsidR="009D6DB6" w:rsidRPr="00B51DDE">
        <w:rPr>
          <w:rFonts w:ascii="Arial" w:hAnsi="Arial" w:cs="Arial"/>
          <w:sz w:val="24"/>
          <w:szCs w:val="24"/>
        </w:rPr>
        <w:t xml:space="preserve"> An improved understanding of CMM techniques, such as belting, applied to the female voice would be of great benefit to my professional development and students. </w:t>
      </w:r>
      <w:r w:rsidRPr="00B51DDE">
        <w:rPr>
          <w:rFonts w:ascii="Arial" w:hAnsi="Arial" w:cs="Arial"/>
          <w:sz w:val="24"/>
          <w:szCs w:val="24"/>
        </w:rPr>
        <w:t xml:space="preserve">Having an evidence-based belt training </w:t>
      </w:r>
      <w:r w:rsidR="002679E9" w:rsidRPr="00B51DDE">
        <w:rPr>
          <w:rFonts w:ascii="Arial" w:hAnsi="Arial" w:cs="Arial"/>
          <w:sz w:val="24"/>
          <w:szCs w:val="24"/>
        </w:rPr>
        <w:t>process</w:t>
      </w:r>
      <w:r w:rsidRPr="00B51DDE">
        <w:rPr>
          <w:rFonts w:ascii="Arial" w:hAnsi="Arial" w:cs="Arial"/>
          <w:sz w:val="24"/>
          <w:szCs w:val="24"/>
        </w:rPr>
        <w:t xml:space="preserve"> could improve my teaching expertise in this area and could benefit other singing teachers and singers. </w:t>
      </w:r>
    </w:p>
    <w:p w14:paraId="71F07916" w14:textId="238300E0"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Justification</w:t>
      </w:r>
    </w:p>
    <w:p w14:paraId="2257A24F" w14:textId="5E20F880" w:rsidR="0017792A" w:rsidRPr="00B51DDE" w:rsidRDefault="0017792A" w:rsidP="00627226">
      <w:pPr>
        <w:pStyle w:val="Default"/>
        <w:spacing w:line="360" w:lineRule="auto"/>
        <w:jc w:val="both"/>
      </w:pPr>
      <w:r w:rsidRPr="00B51DDE">
        <w:t>My previous work</w:t>
      </w:r>
      <w:r w:rsidR="00CF2968" w:rsidRPr="00B51DDE">
        <w:t xml:space="preserve"> used</w:t>
      </w:r>
      <w:r w:rsidRPr="00B51DDE">
        <w:t xml:space="preserve"> </w:t>
      </w:r>
      <w:r w:rsidR="00CF2968" w:rsidRPr="00B51DDE">
        <w:t xml:space="preserve">Evidence-Based Voice Pedagogy (EBVP) to </w:t>
      </w:r>
      <w:r w:rsidRPr="00B51DDE">
        <w:t>develo</w:t>
      </w:r>
      <w:r w:rsidR="00CF2968" w:rsidRPr="00B51DDE">
        <w:t>p</w:t>
      </w:r>
      <w:r w:rsidRPr="00B51DDE">
        <w:t xml:space="preserve"> a theoretical </w:t>
      </w:r>
      <w:r w:rsidR="00CF2968" w:rsidRPr="00B51DDE">
        <w:t xml:space="preserve">belt training process. </w:t>
      </w:r>
      <w:r w:rsidRPr="00B51DDE">
        <w:t>The purpose of this study is to make the theoretical belt training pro</w:t>
      </w:r>
      <w:r w:rsidR="00E400EB" w:rsidRPr="00B51DDE">
        <w:t>cess</w:t>
      </w:r>
      <w:r w:rsidRPr="00B51DDE">
        <w:t xml:space="preserve"> usable in practice. Refining the belt training process with further research and input from experts in line with the ethos of EBVP </w:t>
      </w:r>
      <w:r w:rsidR="006F7535" w:rsidRPr="00B51DDE">
        <w:t xml:space="preserve">would add to my teaching expertise </w:t>
      </w:r>
      <w:r w:rsidRPr="00B51DDE">
        <w:fldChar w:fldCharType="begin" w:fldLock="1"/>
      </w:r>
      <w:r w:rsidRPr="00B51DDE">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Perspectives","type":"article-journal","volume":"78"},"uris":["http://www.mendeley.com/documents/?uuid=f77b2c75-21fd-413f-badf-fe2971b5f8ec"]}],"mendeley":{"formattedCitation":"(Bozeman and Ragan, 2021; Ragan and Maxfield, 2021; Helding and Ragan, 2022)","plainTextFormattedCitation":"(Bozeman and Ragan, 2021; Ragan and Maxfield, 2021; Helding and Ragan, 2022)","previouslyFormattedCitation":"(Bozeman and Ragan, 2021; Ragan and Maxfield, 2021; Helding and Ragan, 2022)"},"properties":{"noteIndex":0},"schema":"https://github.com/citation-style-language/schema/raw/master/csl-citation.json"}</w:instrText>
      </w:r>
      <w:r w:rsidRPr="00B51DDE">
        <w:fldChar w:fldCharType="separate"/>
      </w:r>
      <w:r w:rsidRPr="00B51DDE">
        <w:rPr>
          <w:noProof/>
        </w:rPr>
        <w:t>(Bozeman and Ragan, 2021; Ragan and Maxfield, 2021; Helding and Ragan, 2022)</w:t>
      </w:r>
      <w:r w:rsidRPr="00B51DDE">
        <w:fldChar w:fldCharType="end"/>
      </w:r>
      <w:r w:rsidRPr="00B51DDE">
        <w:t xml:space="preserve">. Following will be a practical testing phase where the </w:t>
      </w:r>
      <w:r w:rsidR="00DD1084" w:rsidRPr="00B51DDE">
        <w:t xml:space="preserve">refined belt training </w:t>
      </w:r>
      <w:r w:rsidR="002679E9" w:rsidRPr="00B51DDE">
        <w:t>process</w:t>
      </w:r>
      <w:r w:rsidRPr="00B51DDE">
        <w:t xml:space="preserve"> will be used in my teaching practice. </w:t>
      </w:r>
      <w:r w:rsidR="00D2671F" w:rsidRPr="00B51DDE">
        <w:t>Assessment</w:t>
      </w:r>
      <w:r w:rsidRPr="00B51DDE">
        <w:t xml:space="preserve"> of </w:t>
      </w:r>
      <w:r w:rsidR="00D2671F" w:rsidRPr="00B51DDE">
        <w:t>the teaching and learning experience during the practical application phase</w:t>
      </w:r>
      <w:r w:rsidRPr="00B51DDE">
        <w:t xml:space="preserve"> will evaluate </w:t>
      </w:r>
      <w:r w:rsidR="00D2671F" w:rsidRPr="00B51DDE">
        <w:t>any</w:t>
      </w:r>
      <w:r w:rsidRPr="00B51DDE">
        <w:t xml:space="preserve"> impact </w:t>
      </w:r>
      <w:r w:rsidR="007A5BDF" w:rsidRPr="00B51DDE">
        <w:t xml:space="preserve">on my </w:t>
      </w:r>
      <w:r w:rsidR="00D2671F" w:rsidRPr="00B51DDE">
        <w:t>professional development</w:t>
      </w:r>
      <w:r w:rsidRPr="00B51DDE">
        <w:t xml:space="preserve">. </w:t>
      </w:r>
      <w:r w:rsidR="00627226" w:rsidRPr="00B51DDE">
        <w:t>A d</w:t>
      </w:r>
      <w:r w:rsidRPr="00B51DDE">
        <w:t xml:space="preserve">iscussion will provide further information for possible </w:t>
      </w:r>
      <w:r w:rsidRPr="00B51DDE">
        <w:lastRenderedPageBreak/>
        <w:t>future refinements of the training process.</w:t>
      </w:r>
      <w:r w:rsidR="00627226" w:rsidRPr="00B51DDE">
        <w:t xml:space="preserve"> </w:t>
      </w:r>
      <w:r w:rsidRPr="00B51DDE">
        <w:t xml:space="preserve">The study will adhere to the university’s code of ethics and will take place during lessons </w:t>
      </w:r>
      <w:r w:rsidR="002F4F7B">
        <w:t>with</w:t>
      </w:r>
      <w:r w:rsidRPr="00B51DDE">
        <w:t xml:space="preserve"> </w:t>
      </w:r>
      <w:r w:rsidR="00BB38AA" w:rsidRPr="00B51DDE">
        <w:t xml:space="preserve">informed and </w:t>
      </w:r>
      <w:r w:rsidRPr="00B51DDE">
        <w:t xml:space="preserve">willing participants from my teaching practice </w:t>
      </w:r>
      <w:r w:rsidR="00F700FA" w:rsidRPr="00B51DDE">
        <w:t xml:space="preserve">in my voice studio </w:t>
      </w:r>
      <w:r w:rsidRPr="00B51DDE">
        <w:fldChar w:fldCharType="begin" w:fldLock="1"/>
      </w:r>
      <w:r w:rsidRPr="00B51DDE">
        <w:instrText>ADDIN CSL_CITATION {"citationItems":[{"id":"ITEM-1","itemData":{"author":[{"dropping-particle":"","family":"University of Wales Trinity Saint David","given":"","non-dropping-particle":"","parse-names":false,"suffix":""}],"id":"ITEM-1","issued":{"date-parts":[["2015"]]},"page":"1-17","title":"Integrity Code of Practice","type":"article"},"uris":["http://www.mendeley.com/documents/?uuid=d22eab58-a747-4734-bed1-31084b6fcb24"]}],"mendeley":{"formattedCitation":"(University of Wales Trinity Saint David, 2015)","plainTextFormattedCitation":"(University of Wales Trinity Saint David, 2015)","previouslyFormattedCitation":"(University of Wales Trinity Saint David, 2015)"},"properties":{"noteIndex":0},"schema":"https://github.com/citation-style-language/schema/raw/master/csl-citation.json"}</w:instrText>
      </w:r>
      <w:r w:rsidRPr="00B51DDE">
        <w:fldChar w:fldCharType="separate"/>
      </w:r>
      <w:r w:rsidRPr="00B51DDE">
        <w:rPr>
          <w:noProof/>
        </w:rPr>
        <w:t>(University of Wales Trinity Saint David, 2015)</w:t>
      </w:r>
      <w:r w:rsidRPr="00B51DDE">
        <w:fldChar w:fldCharType="end"/>
      </w:r>
      <w:r w:rsidRPr="00B51DDE">
        <w:t>.</w:t>
      </w:r>
    </w:p>
    <w:p w14:paraId="16FA720A" w14:textId="2083D016" w:rsidR="0017792A" w:rsidRPr="00B51DDE" w:rsidRDefault="0017792A" w:rsidP="00AE2080">
      <w:pPr>
        <w:spacing w:line="360" w:lineRule="auto"/>
        <w:jc w:val="both"/>
        <w:rPr>
          <w:rFonts w:ascii="Arial" w:hAnsi="Arial" w:cs="Arial"/>
          <w:sz w:val="24"/>
          <w:szCs w:val="24"/>
        </w:rPr>
      </w:pPr>
      <w:r w:rsidRPr="00B51DDE">
        <w:rPr>
          <w:rFonts w:ascii="Arial" w:hAnsi="Arial" w:cs="Arial"/>
          <w:sz w:val="24"/>
          <w:szCs w:val="24"/>
        </w:rPr>
        <w:t>Th</w:t>
      </w:r>
      <w:r w:rsidR="009B4E3D" w:rsidRPr="00B51DDE">
        <w:rPr>
          <w:rFonts w:ascii="Arial" w:hAnsi="Arial" w:cs="Arial"/>
          <w:sz w:val="24"/>
          <w:szCs w:val="24"/>
        </w:rPr>
        <w:t xml:space="preserve">is project </w:t>
      </w:r>
      <w:r w:rsidRPr="00B51DDE">
        <w:rPr>
          <w:rFonts w:ascii="Arial" w:hAnsi="Arial" w:cs="Arial"/>
          <w:sz w:val="24"/>
          <w:szCs w:val="24"/>
        </w:rPr>
        <w:t>aim</w:t>
      </w:r>
      <w:r w:rsidR="009B4E3D" w:rsidRPr="00B51DDE">
        <w:rPr>
          <w:rFonts w:ascii="Arial" w:hAnsi="Arial" w:cs="Arial"/>
          <w:sz w:val="24"/>
          <w:szCs w:val="24"/>
        </w:rPr>
        <w:t>s</w:t>
      </w:r>
      <w:r w:rsidRPr="00B51DDE">
        <w:rPr>
          <w:rFonts w:ascii="Arial" w:hAnsi="Arial" w:cs="Arial"/>
          <w:sz w:val="24"/>
          <w:szCs w:val="24"/>
        </w:rPr>
        <w:t xml:space="preserve"> to use a collaborative approach to improve my professional practice </w:t>
      </w:r>
      <w:proofErr w:type="gramStart"/>
      <w:r w:rsidRPr="00B51DDE">
        <w:rPr>
          <w:rFonts w:ascii="Arial" w:hAnsi="Arial" w:cs="Arial"/>
          <w:sz w:val="24"/>
          <w:szCs w:val="24"/>
        </w:rPr>
        <w:t>in the area of</w:t>
      </w:r>
      <w:proofErr w:type="gramEnd"/>
      <w:r w:rsidRPr="00B51DDE">
        <w:rPr>
          <w:rFonts w:ascii="Arial" w:hAnsi="Arial" w:cs="Arial"/>
          <w:sz w:val="24"/>
          <w:szCs w:val="24"/>
        </w:rPr>
        <w:t xml:space="preserve"> belt training. This will be achieved by fulfilling the following objectives:</w:t>
      </w:r>
    </w:p>
    <w:p w14:paraId="20F5AC19" w14:textId="5A277687" w:rsidR="0017792A" w:rsidRPr="00B51DDE" w:rsidRDefault="0017792A" w:rsidP="00AE2080">
      <w:pPr>
        <w:pStyle w:val="ListParagraph"/>
        <w:numPr>
          <w:ilvl w:val="0"/>
          <w:numId w:val="3"/>
        </w:numPr>
        <w:spacing w:after="200" w:line="360" w:lineRule="auto"/>
        <w:jc w:val="both"/>
        <w:rPr>
          <w:rFonts w:ascii="Arial" w:hAnsi="Arial" w:cs="Arial"/>
          <w:sz w:val="24"/>
          <w:szCs w:val="24"/>
        </w:rPr>
      </w:pPr>
      <w:bookmarkStart w:id="1" w:name="_Hlk158044745"/>
      <w:r w:rsidRPr="00B51DDE">
        <w:rPr>
          <w:rFonts w:ascii="Arial" w:hAnsi="Arial" w:cs="Arial"/>
          <w:sz w:val="24"/>
          <w:szCs w:val="24"/>
        </w:rPr>
        <w:t>To use a Design</w:t>
      </w:r>
      <w:r w:rsidR="00887992" w:rsidRPr="00B51DDE">
        <w:rPr>
          <w:rFonts w:ascii="Arial" w:hAnsi="Arial" w:cs="Arial"/>
          <w:sz w:val="24"/>
          <w:szCs w:val="24"/>
        </w:rPr>
        <w:t>-</w:t>
      </w:r>
      <w:r w:rsidR="00EC2B71" w:rsidRPr="00B51DDE">
        <w:rPr>
          <w:rFonts w:ascii="Arial" w:hAnsi="Arial" w:cs="Arial"/>
          <w:sz w:val="24"/>
          <w:szCs w:val="24"/>
        </w:rPr>
        <w:t>b</w:t>
      </w:r>
      <w:r w:rsidRPr="00B51DDE">
        <w:rPr>
          <w:rFonts w:ascii="Arial" w:hAnsi="Arial" w:cs="Arial"/>
          <w:sz w:val="24"/>
          <w:szCs w:val="24"/>
        </w:rPr>
        <w:t xml:space="preserve">ased </w:t>
      </w:r>
      <w:r w:rsidR="00EC2B71" w:rsidRPr="00B51DDE">
        <w:rPr>
          <w:rFonts w:ascii="Arial" w:hAnsi="Arial" w:cs="Arial"/>
          <w:sz w:val="24"/>
          <w:szCs w:val="24"/>
        </w:rPr>
        <w:t>r</w:t>
      </w:r>
      <w:r w:rsidRPr="00B51DDE">
        <w:rPr>
          <w:rFonts w:ascii="Arial" w:hAnsi="Arial" w:cs="Arial"/>
          <w:sz w:val="24"/>
          <w:szCs w:val="24"/>
        </w:rPr>
        <w:t>esearch methodology to guide the study</w:t>
      </w:r>
    </w:p>
    <w:p w14:paraId="0BD7F2FB" w14:textId="05DE76B3"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theoretical belt training</w:t>
      </w:r>
      <w:r w:rsidR="004B56FA" w:rsidRPr="00B51DDE">
        <w:rPr>
          <w:rFonts w:ascii="Arial" w:hAnsi="Arial" w:cs="Arial"/>
          <w:sz w:val="24"/>
          <w:szCs w:val="24"/>
        </w:rPr>
        <w:t xml:space="preserve"> process</w:t>
      </w:r>
      <w:r w:rsidRPr="00B51DDE">
        <w:rPr>
          <w:rFonts w:ascii="Arial" w:hAnsi="Arial" w:cs="Arial"/>
          <w:sz w:val="24"/>
          <w:szCs w:val="24"/>
        </w:rPr>
        <w:t xml:space="preserve"> with independent experts</w:t>
      </w:r>
    </w:p>
    <w:p w14:paraId="76914DFD" w14:textId="7777777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engage in a literature review to assimilate relevant knowledge</w:t>
      </w:r>
    </w:p>
    <w:p w14:paraId="72027901" w14:textId="6CF1D511" w:rsidR="00F61D99" w:rsidRPr="00B51DDE" w:rsidRDefault="00F61D99"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 xml:space="preserve">To refine the belt training process </w:t>
      </w:r>
      <w:r w:rsidR="00710E6A" w:rsidRPr="00B51DDE">
        <w:rPr>
          <w:rFonts w:ascii="Arial" w:hAnsi="Arial" w:cs="Arial"/>
          <w:sz w:val="24"/>
          <w:szCs w:val="24"/>
        </w:rPr>
        <w:t xml:space="preserve">with </w:t>
      </w:r>
      <w:r w:rsidRPr="00B51DDE">
        <w:rPr>
          <w:rFonts w:ascii="Arial" w:hAnsi="Arial" w:cs="Arial"/>
          <w:sz w:val="24"/>
          <w:szCs w:val="24"/>
        </w:rPr>
        <w:t>the knowledge gained at each stage of the study</w:t>
      </w:r>
    </w:p>
    <w:p w14:paraId="3F69D5B3" w14:textId="34D2FA84"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introduce the belt training process to participants</w:t>
      </w:r>
    </w:p>
    <w:p w14:paraId="5A38185B" w14:textId="1CE16EED"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use the belt training process in lessons</w:t>
      </w:r>
    </w:p>
    <w:p w14:paraId="350B3D37" w14:textId="7777777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gather qualitative data from the student participants</w:t>
      </w:r>
    </w:p>
    <w:p w14:paraId="0B383EE0" w14:textId="4894585C"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 xml:space="preserve">To analyse </w:t>
      </w:r>
      <w:r w:rsidR="00BB08C2" w:rsidRPr="00B51DDE">
        <w:rPr>
          <w:rFonts w:ascii="Arial" w:hAnsi="Arial" w:cs="Arial"/>
          <w:sz w:val="24"/>
          <w:szCs w:val="24"/>
        </w:rPr>
        <w:t xml:space="preserve">the </w:t>
      </w:r>
      <w:r w:rsidRPr="00B51DDE">
        <w:rPr>
          <w:rFonts w:ascii="Arial" w:hAnsi="Arial" w:cs="Arial"/>
          <w:sz w:val="24"/>
          <w:szCs w:val="24"/>
        </w:rPr>
        <w:t>qualitative data</w:t>
      </w:r>
    </w:p>
    <w:p w14:paraId="07D0CD54" w14:textId="7777777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reflect on the impact of the belt training process on the learning experience</w:t>
      </w:r>
    </w:p>
    <w:p w14:paraId="7061BA99" w14:textId="1F9C4B27" w:rsidR="0017792A" w:rsidRPr="00B51DDE" w:rsidRDefault="0017792A" w:rsidP="00AE2080">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impact of this study on my professional development</w:t>
      </w:r>
    </w:p>
    <w:bookmarkEnd w:id="1"/>
    <w:p w14:paraId="70406A6D" w14:textId="73C54D17"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Impact and intention</w:t>
      </w:r>
    </w:p>
    <w:p w14:paraId="723FD8B2" w14:textId="40CDA948" w:rsidR="0017792A" w:rsidRPr="00B51DDE" w:rsidRDefault="0017792A" w:rsidP="00AE2080">
      <w:pPr>
        <w:spacing w:line="360" w:lineRule="auto"/>
        <w:jc w:val="both"/>
        <w:rPr>
          <w:rFonts w:ascii="Arial" w:hAnsi="Arial" w:cs="Arial"/>
          <w:bCs/>
          <w:sz w:val="24"/>
          <w:szCs w:val="24"/>
        </w:rPr>
      </w:pPr>
      <w:r w:rsidRPr="00B51DDE">
        <w:rPr>
          <w:rFonts w:ascii="Arial" w:hAnsi="Arial" w:cs="Arial"/>
          <w:bCs/>
          <w:sz w:val="24"/>
          <w:szCs w:val="24"/>
        </w:rPr>
        <w:t xml:space="preserve">Knowledge and experience gained from this could positively impact </w:t>
      </w:r>
      <w:r w:rsidR="001868FB" w:rsidRPr="00B51DDE">
        <w:rPr>
          <w:rFonts w:ascii="Arial" w:hAnsi="Arial" w:cs="Arial"/>
          <w:bCs/>
          <w:sz w:val="24"/>
          <w:szCs w:val="24"/>
        </w:rPr>
        <w:t xml:space="preserve">the </w:t>
      </w:r>
      <w:r w:rsidRPr="00B51DDE">
        <w:rPr>
          <w:rFonts w:ascii="Arial" w:hAnsi="Arial" w:cs="Arial"/>
          <w:bCs/>
          <w:sz w:val="24"/>
          <w:szCs w:val="24"/>
        </w:rPr>
        <w:t xml:space="preserve">teaching and learning in my </w:t>
      </w:r>
      <w:r w:rsidR="001868FB" w:rsidRPr="00B51DDE">
        <w:rPr>
          <w:rFonts w:ascii="Arial" w:hAnsi="Arial" w:cs="Arial"/>
          <w:bCs/>
          <w:sz w:val="24"/>
          <w:szCs w:val="24"/>
        </w:rPr>
        <w:t>voice studio</w:t>
      </w:r>
      <w:r w:rsidRPr="00B51DDE">
        <w:rPr>
          <w:rFonts w:ascii="Arial" w:hAnsi="Arial" w:cs="Arial"/>
          <w:bCs/>
          <w:sz w:val="24"/>
          <w:szCs w:val="24"/>
        </w:rPr>
        <w:t>. Beyond my teaching practice, the knowledge and findings of this study could benefit singing teachers and singers when training belting.</w:t>
      </w:r>
    </w:p>
    <w:p w14:paraId="166923AC" w14:textId="204D592F" w:rsidR="0017792A" w:rsidRPr="00B51DDE" w:rsidRDefault="0017792A" w:rsidP="00AE2080">
      <w:pPr>
        <w:spacing w:line="360" w:lineRule="auto"/>
        <w:jc w:val="both"/>
        <w:rPr>
          <w:rFonts w:ascii="Arial" w:hAnsi="Arial" w:cs="Arial"/>
          <w:b/>
          <w:sz w:val="24"/>
          <w:szCs w:val="24"/>
        </w:rPr>
      </w:pPr>
      <w:r w:rsidRPr="00B51DDE">
        <w:rPr>
          <w:rFonts w:ascii="Arial" w:hAnsi="Arial" w:cs="Arial"/>
          <w:bCs/>
          <w:sz w:val="24"/>
          <w:szCs w:val="24"/>
        </w:rPr>
        <w:t xml:space="preserve">The broad intention of this study is to refine and test a </w:t>
      </w:r>
      <w:r w:rsidRPr="00B51DDE">
        <w:rPr>
          <w:rFonts w:ascii="Arial" w:hAnsi="Arial" w:cs="Arial"/>
          <w:sz w:val="24"/>
          <w:szCs w:val="24"/>
        </w:rPr>
        <w:t>training process for belt singing.</w:t>
      </w:r>
      <w:r w:rsidRPr="00B51DDE">
        <w:rPr>
          <w:rFonts w:ascii="Arial" w:hAnsi="Arial" w:cs="Arial"/>
          <w:bCs/>
          <w:sz w:val="24"/>
          <w:szCs w:val="24"/>
        </w:rPr>
        <w:t xml:space="preserve"> </w:t>
      </w:r>
      <w:r w:rsidR="00B15615" w:rsidRPr="00B51DDE">
        <w:rPr>
          <w:rFonts w:ascii="Arial" w:hAnsi="Arial" w:cs="Arial"/>
          <w:bCs/>
          <w:sz w:val="24"/>
          <w:szCs w:val="24"/>
        </w:rPr>
        <w:t>Assessment</w:t>
      </w:r>
      <w:r w:rsidRPr="00B51DDE">
        <w:rPr>
          <w:rFonts w:ascii="Arial" w:hAnsi="Arial" w:cs="Arial"/>
          <w:bCs/>
          <w:sz w:val="24"/>
          <w:szCs w:val="24"/>
        </w:rPr>
        <w:t xml:space="preserve"> of the study’s impact on the learning experience and my professional development</w:t>
      </w:r>
      <w:r w:rsidR="00B15615" w:rsidRPr="00B51DDE">
        <w:rPr>
          <w:rFonts w:ascii="Arial" w:hAnsi="Arial" w:cs="Arial"/>
          <w:bCs/>
          <w:sz w:val="24"/>
          <w:szCs w:val="24"/>
        </w:rPr>
        <w:t xml:space="preserve"> is </w:t>
      </w:r>
      <w:r w:rsidR="001E48C0" w:rsidRPr="00B51DDE">
        <w:rPr>
          <w:rFonts w:ascii="Arial" w:hAnsi="Arial" w:cs="Arial"/>
          <w:bCs/>
          <w:sz w:val="24"/>
          <w:szCs w:val="24"/>
        </w:rPr>
        <w:t>the other</w:t>
      </w:r>
      <w:r w:rsidR="00B15615" w:rsidRPr="00B51DDE">
        <w:rPr>
          <w:rFonts w:ascii="Arial" w:hAnsi="Arial" w:cs="Arial"/>
          <w:bCs/>
          <w:sz w:val="24"/>
          <w:szCs w:val="24"/>
        </w:rPr>
        <w:t xml:space="preserve"> aspect of this study</w:t>
      </w:r>
      <w:r w:rsidRPr="00B51DDE">
        <w:rPr>
          <w:rFonts w:ascii="Arial" w:hAnsi="Arial" w:cs="Arial"/>
          <w:bCs/>
          <w:sz w:val="24"/>
          <w:szCs w:val="24"/>
        </w:rPr>
        <w:t>.</w:t>
      </w:r>
    </w:p>
    <w:p w14:paraId="5A8A2C77" w14:textId="732B62A3"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Methods and justification</w:t>
      </w:r>
    </w:p>
    <w:p w14:paraId="01D8A6CD" w14:textId="3B34FC6A" w:rsidR="0017792A" w:rsidRPr="00B51DDE" w:rsidRDefault="0017792A" w:rsidP="00AE2080">
      <w:pPr>
        <w:spacing w:line="360" w:lineRule="auto"/>
        <w:jc w:val="both"/>
        <w:rPr>
          <w:rFonts w:ascii="Arial" w:hAnsi="Arial" w:cs="Arial"/>
          <w:bCs/>
          <w:sz w:val="24"/>
          <w:szCs w:val="24"/>
        </w:rPr>
      </w:pPr>
      <w:r w:rsidRPr="00B51DDE">
        <w:rPr>
          <w:rFonts w:ascii="Arial" w:hAnsi="Arial" w:cs="Arial"/>
          <w:bCs/>
          <w:sz w:val="24"/>
          <w:szCs w:val="24"/>
        </w:rPr>
        <w:t xml:space="preserve">A pragmatic paradigm has guided the methodological approach of this study to suit the practical possibilities of my work-based setting and being a lone researcher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Research","id":"ITEM-1","issue":"1","issued":{"date-parts":[["2010"]]},"page":"6-16","title":"Doing mixed methods research pragmatically: Implications for the rediscovery of pragmatism as a research paradigm","type":"article-journal","volume":"4"},"uris":["http://www.mendeley.com/documents/?uuid=b0ba4dcf-749c-460e-8985-496bc3e705e1"]},{"id":"ITEM-2","itemData":{"DOI":"10.1177/2345678906292462","ISSN":"15586901","abstract":"This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 © 2007, SAGE Publications. All rights reserved.","author":[{"dropping-particle":"","family":"Morgan","given":"David L.","non-dropping-particle":"","parse-names":false,"suffix":""}],"container-title":"Journal of Mixed Methods Research","id":"ITEM-2","issue":"1","issued":{"date-parts":[["2007"]]},"page":"48-76","title":"Paradigms Lost and Pragmatism Regained: Methodological Implications of Combining Qualitative and Quantitative Methods","type":"article-journal","volume":"1"},"uris":["http://www.mendeley.com/documents/?uuid=6b743cee-ce1a-46d1-b0ce-e29c8538aa6d"]}],"mendeley":{"formattedCitation":"(Morgan, 2007; Feilzer, 2010)","plainTextFormattedCitation":"(Morgan, 2007; Feilzer, 2010)","previouslyFormattedCitation":"(Morgan, 2007; Feilzer,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(Morgan, 2007; Feilzer, 2010)</w:t>
      </w:r>
      <w:r w:rsidRPr="00B51DDE">
        <w:rPr>
          <w:rFonts w:ascii="Arial" w:hAnsi="Arial" w:cs="Arial"/>
          <w:bCs/>
          <w:sz w:val="24"/>
          <w:szCs w:val="24"/>
        </w:rPr>
        <w:fldChar w:fldCharType="end"/>
      </w:r>
      <w:r w:rsidRPr="00B51DDE">
        <w:rPr>
          <w:rFonts w:ascii="Arial" w:hAnsi="Arial" w:cs="Arial"/>
          <w:bCs/>
          <w:sz w:val="24"/>
          <w:szCs w:val="24"/>
        </w:rPr>
        <w:t xml:space="preserve">. The continuous cycles of abductive reasoning associated with a pragmatic paradigm help to keep study design and analyses tied to the data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Research","id":"ITEM-1","issue":"1","issued":{"date-parts":[["2010"]]},"page":"6-16","title":"Doing mixed methods research pragmatically: Implications for the rediscovery of pragmatism as a research paradigm","type":"article-journal","volume":"4"},"uris":["http://www.mendeley.com/documents/?uuid=b0ba4dcf-749c-460e-8985-496bc3e705e1"]},{"id":"ITEM-2","itemData":{"DOI":"10.1080/2159676X.2019.1628806","ISSN":"1939845X","abstract":"Since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analysis","type":"article-journal","volume":"11"},"uris":["http://www.mendeley.com/documents/?uuid=e24d767a-9c14-4ae2-b026-6f8fa0177c0e"]}],"mendeley":{"formattedCitation":"(Feilzer, 2010; Braun and Clarke, 2019)","plainTextFormattedCitation":"(Feilzer, 2010; Braun and Clarke, 2019)","previouslyFormattedCitation":"(Feilzer, 2010; Braun and Clarke, 2019)"},"properties":{"noteIndex":0},"schema":"https://github.com/citation-style-language/schema/raw/master/csl-citation.json"}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(Feilzer, 2010; Braun and Clarke, 2019)</w:t>
      </w:r>
      <w:r w:rsidRPr="00B51DDE">
        <w:rPr>
          <w:rFonts w:ascii="Arial" w:hAnsi="Arial" w:cs="Arial"/>
          <w:bCs/>
          <w:sz w:val="24"/>
          <w:szCs w:val="24"/>
        </w:rPr>
        <w:fldChar w:fldCharType="end"/>
      </w:r>
      <w:r w:rsidRPr="00B51DDE">
        <w:rPr>
          <w:rFonts w:ascii="Arial" w:hAnsi="Arial" w:cs="Arial"/>
          <w:bCs/>
          <w:sz w:val="24"/>
          <w:szCs w:val="24"/>
        </w:rPr>
        <w:t xml:space="preserve">. The cyclic nature of the </w:t>
      </w:r>
      <w:r w:rsidR="00887992" w:rsidRPr="00B51DDE">
        <w:rPr>
          <w:rFonts w:ascii="Arial" w:hAnsi="Arial" w:cs="Arial"/>
          <w:bCs/>
          <w:sz w:val="24"/>
          <w:szCs w:val="24"/>
        </w:rPr>
        <w:t>Design-</w:t>
      </w:r>
      <w:r w:rsidR="00EC2B71" w:rsidRPr="00B51DDE">
        <w:rPr>
          <w:rFonts w:ascii="Arial" w:hAnsi="Arial" w:cs="Arial"/>
          <w:bCs/>
          <w:sz w:val="24"/>
          <w:szCs w:val="24"/>
        </w:rPr>
        <w:lastRenderedPageBreak/>
        <w:t>b</w:t>
      </w:r>
      <w:r w:rsidR="00887992" w:rsidRPr="00B51DDE">
        <w:rPr>
          <w:rFonts w:ascii="Arial" w:hAnsi="Arial" w:cs="Arial"/>
          <w:bCs/>
          <w:sz w:val="24"/>
          <w:szCs w:val="24"/>
        </w:rPr>
        <w:t xml:space="preserve">ased </w:t>
      </w:r>
      <w:r w:rsidR="00EC2B71" w:rsidRPr="00B51DDE">
        <w:rPr>
          <w:rFonts w:ascii="Arial" w:hAnsi="Arial" w:cs="Arial"/>
          <w:bCs/>
          <w:sz w:val="24"/>
          <w:szCs w:val="24"/>
        </w:rPr>
        <w:t>r</w:t>
      </w:r>
      <w:r w:rsidR="003C184C" w:rsidRPr="00B51DDE">
        <w:rPr>
          <w:rFonts w:ascii="Arial" w:hAnsi="Arial" w:cs="Arial"/>
          <w:bCs/>
          <w:sz w:val="24"/>
          <w:szCs w:val="24"/>
        </w:rPr>
        <w:t>esearch (DBR)</w:t>
      </w:r>
      <w:r w:rsidRPr="00B51DDE">
        <w:rPr>
          <w:rFonts w:ascii="Arial" w:hAnsi="Arial" w:cs="Arial"/>
          <w:bCs/>
          <w:sz w:val="24"/>
          <w:szCs w:val="24"/>
        </w:rPr>
        <w:t xml:space="preserve"> methodology is compatible with the pragmatic paradigm and the refining of educational research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Research","id":"ITEM-1","issue":"1","issued":{"date-parts":[["2010"]]},"page":"6-16","title":"Doing mixed methods research pragmatically: Implications for the rediscovery of pragmatism as a research paradigm","type":"article-journal","volume":"4"},"uris":["http://www.mendeley.com/documents/?uuid=b0ba4dcf-749c-460e-8985-496bc3e705e1"]}],"mendeley":{"formattedCitation":"(Feilzer, 2010)","plainTextFormattedCitation":"(Feilzer, 2010)","previouslyFormattedCitation":"(Feilzer,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(Feilzer, 2010)</w:t>
      </w:r>
      <w:r w:rsidRPr="00B51DDE">
        <w:rPr>
          <w:rFonts w:ascii="Arial" w:hAnsi="Arial" w:cs="Arial"/>
          <w:bCs/>
          <w:sz w:val="24"/>
          <w:szCs w:val="24"/>
        </w:rPr>
        <w:fldChar w:fldCharType="end"/>
      </w:r>
      <w:r w:rsidRPr="00B51DDE">
        <w:rPr>
          <w:rFonts w:ascii="Arial" w:hAnsi="Arial" w:cs="Arial"/>
          <w:bCs/>
          <w:sz w:val="24"/>
          <w:szCs w:val="24"/>
        </w:rPr>
        <w:t xml:space="preserve">. DBR is a methodology which aims to design, develop, and understand educational interventions in practice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Inquiry","type":"article-journal","volume":"32"},"uris":["http://www.mendeley.com/documents/?uuid=b43c7288-c64a-424e-bb77-bf33da21147a"]}],"mendeley":{"formattedCitation":"(Hoadley &lt;i&gt;et al.&lt;/i&gt;, 2002)","plainTextFormattedCitation":"(Hoadley et al., 2002)","previouslyFormattedCitation":"(Hoadley &lt;i&gt;et al.&lt;/i&gt;, 2002)"},"properties":{"noteIndex":0},"schema":"https://github.com/citation-style-language/schema/raw/master/csl-citation.json"}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(Hoadley </w:t>
      </w:r>
      <w:r w:rsidRPr="00B51DDE">
        <w:rPr>
          <w:rFonts w:ascii="Arial" w:hAnsi="Arial" w:cs="Arial"/>
          <w:bCs/>
          <w:i/>
          <w:noProof/>
          <w:sz w:val="24"/>
          <w:szCs w:val="24"/>
        </w:rPr>
        <w:t>et al.</w:t>
      </w:r>
      <w:r w:rsidRPr="00B51DDE">
        <w:rPr>
          <w:rFonts w:ascii="Arial" w:hAnsi="Arial" w:cs="Arial"/>
          <w:bCs/>
          <w:noProof/>
          <w:sz w:val="24"/>
          <w:szCs w:val="24"/>
        </w:rPr>
        <w:t>, 2002)</w:t>
      </w:r>
      <w:r w:rsidRPr="00B51DDE">
        <w:rPr>
          <w:rFonts w:ascii="Arial" w:hAnsi="Arial" w:cs="Arial"/>
          <w:bCs/>
          <w:sz w:val="24"/>
          <w:szCs w:val="24"/>
        </w:rPr>
        <w:fldChar w:fldCharType="end"/>
      </w:r>
      <w:r w:rsidRPr="00B51DDE">
        <w:rPr>
          <w:rFonts w:ascii="Arial" w:hAnsi="Arial" w:cs="Arial"/>
          <w:bCs/>
          <w:sz w:val="24"/>
          <w:szCs w:val="24"/>
        </w:rPr>
        <w:t xml:space="preserve">. The DBR process works in structured, iterative cycles of data collection, analysis, and testing to develop educational interventions with a sound evidence base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research","type":"article-journal"},"uris":["http://www.mendeley.com/documents/?uuid=3d903e11-a75e-401c-b864-4f301aac1ac9"]}],"mendeley":{"formattedCitation":"(Cobb &lt;i&gt;et al.&lt;/i&gt;, 2003; Plomp and Nieveen, 2010)","plainTextFormattedCitation":"(Cobb et al., 2003; Plomp and Nieveen, 2010)","previouslyFormattedCitation":"(Cobb &lt;i&gt;et al.&lt;/i&gt;, 2003; 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(Cobb </w:t>
      </w:r>
      <w:r w:rsidRPr="00B51DDE">
        <w:rPr>
          <w:rFonts w:ascii="Arial" w:hAnsi="Arial" w:cs="Arial"/>
          <w:bCs/>
          <w:i/>
          <w:noProof/>
          <w:sz w:val="24"/>
          <w:szCs w:val="24"/>
        </w:rPr>
        <w:t>et al.</w:t>
      </w:r>
      <w:r w:rsidRPr="00B51DDE">
        <w:rPr>
          <w:rFonts w:ascii="Arial" w:hAnsi="Arial" w:cs="Arial"/>
          <w:bCs/>
          <w:noProof/>
          <w:sz w:val="24"/>
          <w:szCs w:val="24"/>
        </w:rPr>
        <w:t>, 2003; Plomp and Nieveen, 2010)</w:t>
      </w:r>
      <w:r w:rsidRPr="00B51DDE">
        <w:rPr>
          <w:rFonts w:ascii="Arial" w:hAnsi="Arial" w:cs="Arial"/>
          <w:bCs/>
          <w:sz w:val="24"/>
          <w:szCs w:val="24"/>
        </w:rPr>
        <w:fldChar w:fldCharType="end"/>
      </w:r>
      <w:r w:rsidRPr="00B51DDE">
        <w:rPr>
          <w:rFonts w:ascii="Arial" w:hAnsi="Arial" w:cs="Arial"/>
          <w:bCs/>
          <w:sz w:val="24"/>
          <w:szCs w:val="24"/>
        </w:rPr>
        <w:t xml:space="preserve">. As </w:t>
      </w:r>
      <w:r w:rsidR="00D76FCB" w:rsidRPr="00B51DDE">
        <w:rPr>
          <w:rFonts w:ascii="Arial" w:hAnsi="Arial" w:cs="Arial"/>
          <w:bCs/>
          <w:sz w:val="24"/>
          <w:szCs w:val="24"/>
        </w:rPr>
        <w:t xml:space="preserve">the </w:t>
      </w:r>
      <w:r w:rsidR="00BB74D7" w:rsidRPr="00B51DDE">
        <w:rPr>
          <w:rFonts w:ascii="Arial" w:hAnsi="Arial" w:cs="Arial"/>
          <w:bCs/>
          <w:sz w:val="24"/>
          <w:szCs w:val="24"/>
        </w:rPr>
        <w:t>D</w:t>
      </w:r>
      <w:r w:rsidR="00887992" w:rsidRPr="00B51DDE">
        <w:rPr>
          <w:rFonts w:ascii="Arial" w:hAnsi="Arial" w:cs="Arial"/>
          <w:bCs/>
          <w:sz w:val="24"/>
          <w:szCs w:val="24"/>
        </w:rPr>
        <w:t>esign-</w:t>
      </w:r>
      <w:r w:rsidR="00EC2B71" w:rsidRPr="00B51DDE">
        <w:rPr>
          <w:rFonts w:ascii="Arial" w:hAnsi="Arial" w:cs="Arial"/>
          <w:bCs/>
          <w:sz w:val="24"/>
          <w:szCs w:val="24"/>
        </w:rPr>
        <w:t>b</w:t>
      </w:r>
      <w:r w:rsidR="00887992" w:rsidRPr="00B51DDE">
        <w:rPr>
          <w:rFonts w:ascii="Arial" w:hAnsi="Arial" w:cs="Arial"/>
          <w:bCs/>
          <w:sz w:val="24"/>
          <w:szCs w:val="24"/>
        </w:rPr>
        <w:t xml:space="preserve">ased </w:t>
      </w:r>
      <w:r w:rsidR="00EC2B71" w:rsidRPr="00B51DDE">
        <w:rPr>
          <w:rFonts w:ascii="Arial" w:hAnsi="Arial" w:cs="Arial"/>
          <w:bCs/>
          <w:sz w:val="24"/>
          <w:szCs w:val="24"/>
        </w:rPr>
        <w:t>r</w:t>
      </w:r>
      <w:r w:rsidR="00D76FCB" w:rsidRPr="00B51DDE">
        <w:rPr>
          <w:rFonts w:ascii="Arial" w:hAnsi="Arial" w:cs="Arial"/>
          <w:bCs/>
          <w:sz w:val="24"/>
          <w:szCs w:val="24"/>
        </w:rPr>
        <w:t>esearch</w:t>
      </w:r>
      <w:r w:rsidRPr="00B51DDE">
        <w:rPr>
          <w:rFonts w:ascii="Arial" w:hAnsi="Arial" w:cs="Arial"/>
          <w:bCs/>
          <w:sz w:val="24"/>
          <w:szCs w:val="24"/>
        </w:rPr>
        <w:t xml:space="preserve"> </w:t>
      </w:r>
      <w:r w:rsidR="00BB74D7" w:rsidRPr="00B51DDE">
        <w:rPr>
          <w:rFonts w:ascii="Arial" w:hAnsi="Arial" w:cs="Arial"/>
          <w:bCs/>
          <w:sz w:val="24"/>
          <w:szCs w:val="24"/>
        </w:rPr>
        <w:t>ethos</w:t>
      </w:r>
      <w:r w:rsidRPr="00B51DDE">
        <w:rPr>
          <w:rFonts w:ascii="Arial" w:hAnsi="Arial" w:cs="Arial"/>
          <w:bCs/>
          <w:sz w:val="24"/>
          <w:szCs w:val="24"/>
        </w:rPr>
        <w:t xml:space="preserve"> </w:t>
      </w:r>
      <w:r w:rsidR="00BB74D7" w:rsidRPr="00B51DDE">
        <w:rPr>
          <w:rFonts w:ascii="Arial" w:hAnsi="Arial" w:cs="Arial"/>
          <w:bCs/>
          <w:sz w:val="24"/>
          <w:szCs w:val="24"/>
        </w:rPr>
        <w:t>is</w:t>
      </w:r>
      <w:r w:rsidRPr="00B51DDE">
        <w:rPr>
          <w:rFonts w:ascii="Arial" w:hAnsi="Arial" w:cs="Arial"/>
          <w:bCs/>
          <w:sz w:val="24"/>
          <w:szCs w:val="24"/>
        </w:rPr>
        <w:t xml:space="preserve"> compatible with </w:t>
      </w:r>
      <w:r w:rsidR="0077136E" w:rsidRPr="00B51DDE">
        <w:rPr>
          <w:rFonts w:ascii="Arial" w:hAnsi="Arial" w:cs="Arial"/>
          <w:bCs/>
          <w:sz w:val="24"/>
          <w:szCs w:val="24"/>
        </w:rPr>
        <w:t xml:space="preserve">the pragmatic paradigm and </w:t>
      </w:r>
      <w:r w:rsidR="00D76FCB" w:rsidRPr="00B51DDE">
        <w:rPr>
          <w:rFonts w:ascii="Arial" w:hAnsi="Arial" w:cs="Arial"/>
          <w:bCs/>
          <w:sz w:val="24"/>
          <w:szCs w:val="24"/>
        </w:rPr>
        <w:t>Evidence-Based Voice Pedagogy</w:t>
      </w:r>
      <w:r w:rsidRPr="00B51DDE">
        <w:rPr>
          <w:rFonts w:ascii="Arial" w:hAnsi="Arial" w:cs="Arial"/>
          <w:bCs/>
          <w:sz w:val="24"/>
          <w:szCs w:val="24"/>
        </w:rPr>
        <w:t>, a combined approach will be applied to this study</w:t>
      </w:r>
      <w:r w:rsidR="0077136E" w:rsidRPr="00B51DDE">
        <w:rPr>
          <w:rFonts w:ascii="Arial" w:hAnsi="Arial" w:cs="Arial"/>
          <w:bCs/>
          <w:sz w:val="24"/>
          <w:szCs w:val="24"/>
        </w:rPr>
        <w:t>. E</w:t>
      </w:r>
      <w:r w:rsidRPr="00B51DDE">
        <w:rPr>
          <w:rFonts w:ascii="Arial" w:hAnsi="Arial" w:cs="Arial"/>
          <w:bCs/>
          <w:sz w:val="24"/>
          <w:szCs w:val="24"/>
        </w:rPr>
        <w:t>xpert collaboration</w:t>
      </w:r>
      <w:r w:rsidR="0077136E" w:rsidRPr="00B51DDE">
        <w:rPr>
          <w:rFonts w:ascii="Arial" w:hAnsi="Arial" w:cs="Arial"/>
          <w:bCs/>
          <w:sz w:val="24"/>
          <w:szCs w:val="24"/>
        </w:rPr>
        <w:t xml:space="preserve"> will be used</w:t>
      </w:r>
      <w:r w:rsidRPr="00B51DDE">
        <w:rPr>
          <w:rFonts w:ascii="Arial" w:hAnsi="Arial" w:cs="Arial"/>
          <w:bCs/>
          <w:sz w:val="24"/>
          <w:szCs w:val="24"/>
        </w:rPr>
        <w:t xml:space="preserve"> to develop my existing theoretical belt training process</w:t>
      </w:r>
      <w:r w:rsidR="00D76FCB" w:rsidRPr="00B51DDE">
        <w:rPr>
          <w:rFonts w:ascii="Arial" w:hAnsi="Arial" w:cs="Arial"/>
          <w:bCs/>
          <w:sz w:val="24"/>
          <w:szCs w:val="24"/>
        </w:rPr>
        <w:t xml:space="preserve"> into a practical application</w:t>
      </w:r>
      <w:r w:rsidRPr="00B51DDE">
        <w:rPr>
          <w:rFonts w:ascii="Arial" w:hAnsi="Arial" w:cs="Arial"/>
          <w:bCs/>
          <w:sz w:val="24"/>
          <w:szCs w:val="24"/>
        </w:rPr>
        <w:t xml:space="preserve">. The final iteration of the DBR will be a prototype belt training </w:t>
      </w:r>
      <w:r w:rsidR="002679E9" w:rsidRPr="00B51DDE">
        <w:rPr>
          <w:rFonts w:ascii="Arial" w:hAnsi="Arial" w:cs="Arial"/>
          <w:bCs/>
          <w:sz w:val="24"/>
          <w:szCs w:val="24"/>
        </w:rPr>
        <w:t>process</w:t>
      </w:r>
      <w:r w:rsidRPr="00B51DDE">
        <w:rPr>
          <w:rFonts w:ascii="Arial" w:hAnsi="Arial" w:cs="Arial"/>
          <w:bCs/>
          <w:sz w:val="24"/>
          <w:szCs w:val="24"/>
        </w:rPr>
        <w:t xml:space="preserve"> which will be tested and evaluated in a series of singing lessons. Feedback from the participant singers is a form of collaboration which feeds into the development of the belt training </w:t>
      </w:r>
      <w:r w:rsidR="002679E9" w:rsidRPr="00B51DDE">
        <w:rPr>
          <w:rFonts w:ascii="Arial" w:hAnsi="Arial" w:cs="Arial"/>
          <w:bCs/>
          <w:sz w:val="24"/>
          <w:szCs w:val="24"/>
        </w:rPr>
        <w:t>process</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(CEEA)","id":"ITEM-1","issued":{"date-parts":[["2011"]]},"page":"166-171","title":"New Approaches To Design Practice","type":"article-journal"},"uris":["http://www.mendeley.com/documents/?uuid=b3c6f641-b7e3-402a-9b47-0d0ca649366d"]},{"id":"ITEM-2","itemData":{"DOI":"10.1007/s11423-007-9080-3","ISSN":"10421629","abstract":"This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Development","id":"ITEM-2","issue":"1","issued":{"date-parts":[["2010"]]},"page":"61-80","title":"Development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 MacLeod, 2011)","plainTextFormattedCitation":"(Hung et al., 2010; MacLeod, 2011)","previouslyFormattedCitation":"(Hung &lt;i&gt;et al.&lt;/i&gt;, 2010; MacLeod, 2011)"},"properties":{"noteIndex":0},"schema":"https://github.com/citation-style-language/schema/raw/master/csl-citation.json"}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 MacLeod, 2011)</w:t>
      </w:r>
      <w:r w:rsidRPr="00B51DDE">
        <w:rPr>
          <w:rFonts w:ascii="Arial" w:hAnsi="Arial" w:cs="Arial"/>
          <w:bCs/>
          <w:sz w:val="24"/>
          <w:szCs w:val="24"/>
        </w:rPr>
        <w:fldChar w:fldCharType="end"/>
      </w:r>
      <w:r w:rsidRPr="00B51DDE">
        <w:rPr>
          <w:rFonts w:ascii="Arial" w:hAnsi="Arial" w:cs="Arial"/>
          <w:bCs/>
          <w:sz w:val="24"/>
          <w:szCs w:val="24"/>
        </w:rPr>
        <w:t xml:space="preserve">. The student feedback, evaluations, and professional reflections involved in the process will assess the impact of this study on my </w:t>
      </w:r>
      <w:r w:rsidR="00741AFE" w:rsidRPr="00B51DDE">
        <w:rPr>
          <w:rFonts w:ascii="Arial" w:hAnsi="Arial" w:cs="Arial"/>
          <w:bCs/>
          <w:sz w:val="24"/>
          <w:szCs w:val="24"/>
        </w:rPr>
        <w:t xml:space="preserve">Continuing </w:t>
      </w:r>
      <w:r w:rsidRPr="00B51DDE">
        <w:rPr>
          <w:rFonts w:ascii="Arial" w:hAnsi="Arial" w:cs="Arial"/>
          <w:bCs/>
          <w:sz w:val="24"/>
          <w:szCs w:val="24"/>
        </w:rPr>
        <w:t>P</w:t>
      </w:r>
      <w:r w:rsidR="00741AFE" w:rsidRPr="00B51DDE">
        <w:rPr>
          <w:rFonts w:ascii="Arial" w:hAnsi="Arial" w:cs="Arial"/>
          <w:bCs/>
          <w:sz w:val="24"/>
          <w:szCs w:val="24"/>
        </w:rPr>
        <w:t xml:space="preserve">rofessional </w:t>
      </w:r>
      <w:r w:rsidR="00880CAC" w:rsidRPr="00B51DDE">
        <w:rPr>
          <w:rFonts w:ascii="Arial" w:hAnsi="Arial" w:cs="Arial"/>
          <w:bCs/>
          <w:sz w:val="24"/>
          <w:szCs w:val="24"/>
        </w:rPr>
        <w:t>Development</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Psychology","id":"ITEM-1","issue":"2","issued":{"date-parts":[["2006"]]},"note":"Highlights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analysis","type":"article-journal","volume":"11"},"uris":["http://www.mendeley.com/documents/?uuid=e24d767a-9c14-4ae2-b026-6f8fa0177c0e"]},{"id":"ITEM-3","itemData":{"DOI":"10.24908/pceea.v0i0.3829","abstract":"Contemporary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(CEEA)","id":"ITEM-3","issued":{"date-parts":[["2011"]]},"page":"166-171","title":"New Approaches To Design Practice","type":"article-journal"},"uris":["http://www.mendeley.com/documents/?uuid=b3c6f641-b7e3-402a-9b47-0d0ca649366d"]},{"id":"ITEM-4","itemData":{"DOI":"10.1007/s11423-007-9080-3","ISSN":"10421629","abstract":"This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Development","id":"ITEM-4","issue":"1","issued":{"date-parts":[["2010"]]},"page":"61-80","title":"Development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evaluation","type":"article-journal","volume":"58"},"uris":["http://www.mendeley.com/documents/?uuid=c470c2f9-c646-4910-8bf2-5fe79776a13c"]}],"mendeley":{"formattedCitation":"(Braun and Clarke, 2006, 2019; Hung &lt;i&gt;et al.&lt;/i&gt;, 2010; MacLeod, 2011)","plainTextFormattedCitation":"(Braun and Clarke, 2006, 2019; Hung et al., 2010; MacLeod, 2011)","previouslyFormattedCitation":"(Braun and Clarke, 2006, 2019; Hung &lt;i&gt;et al.&lt;/i&gt;, 2010; MacLeod, 2011)"},"properties":{"noteIndex":0},"schema":"https://github.com/citation-style-language/schema/raw/master/csl-citation.json"}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(Braun and Clarke, 2006, 2019; Hung </w:t>
      </w:r>
      <w:r w:rsidRPr="00B51DDE">
        <w:rPr>
          <w:rFonts w:ascii="Arial" w:hAnsi="Arial" w:cs="Arial"/>
          <w:bCs/>
          <w:i/>
          <w:noProof/>
          <w:sz w:val="24"/>
          <w:szCs w:val="24"/>
        </w:rPr>
        <w:t>et al.</w:t>
      </w:r>
      <w:r w:rsidRPr="00B51DDE">
        <w:rPr>
          <w:rFonts w:ascii="Arial" w:hAnsi="Arial" w:cs="Arial"/>
          <w:bCs/>
          <w:noProof/>
          <w:sz w:val="24"/>
          <w:szCs w:val="24"/>
        </w:rPr>
        <w:t>, 2010; MacLeod, 2011)</w:t>
      </w:r>
      <w:r w:rsidRPr="00B51DDE">
        <w:rPr>
          <w:rFonts w:ascii="Arial" w:hAnsi="Arial" w:cs="Arial"/>
          <w:bCs/>
          <w:sz w:val="24"/>
          <w:szCs w:val="24"/>
        </w:rPr>
        <w:fldChar w:fldCharType="end"/>
      </w:r>
      <w:r w:rsidRPr="00B51DDE">
        <w:rPr>
          <w:rFonts w:ascii="Arial" w:hAnsi="Arial" w:cs="Arial"/>
          <w:bCs/>
          <w:sz w:val="24"/>
          <w:szCs w:val="24"/>
        </w:rPr>
        <w:t>.</w:t>
      </w:r>
    </w:p>
    <w:p w14:paraId="46491FF5" w14:textId="4B78A7C8" w:rsidR="00A4064E" w:rsidRPr="00B51DDE" w:rsidRDefault="0071113B" w:rsidP="00AE2080">
      <w:pPr>
        <w:spacing w:line="360" w:lineRule="auto"/>
        <w:jc w:val="both"/>
        <w:rPr>
          <w:rFonts w:ascii="Arial" w:hAnsi="Arial" w:cs="Arial"/>
          <w:sz w:val="24"/>
          <w:szCs w:val="24"/>
        </w:rPr>
      </w:pPr>
      <w:r w:rsidRPr="00B51DDE">
        <w:rPr>
          <w:rFonts w:ascii="Arial" w:hAnsi="Arial" w:cs="Arial"/>
          <w:sz w:val="24"/>
          <w:szCs w:val="24"/>
        </w:rPr>
        <w:t>Each</w:t>
      </w:r>
      <w:r w:rsidR="00A4064E" w:rsidRPr="00B51DDE">
        <w:rPr>
          <w:rFonts w:ascii="Arial" w:hAnsi="Arial" w:cs="Arial"/>
          <w:sz w:val="24"/>
          <w:szCs w:val="24"/>
        </w:rPr>
        <w:t xml:space="preserve"> element of the </w:t>
      </w:r>
      <w:r w:rsidR="007D362D" w:rsidRPr="00B51DDE">
        <w:rPr>
          <w:rFonts w:ascii="Arial" w:hAnsi="Arial" w:cs="Arial"/>
          <w:sz w:val="24"/>
          <w:szCs w:val="24"/>
        </w:rPr>
        <w:t xml:space="preserve">theoretical belt training </w:t>
      </w:r>
      <w:r w:rsidR="00A4064E" w:rsidRPr="00B51DDE">
        <w:rPr>
          <w:rFonts w:ascii="Arial" w:hAnsi="Arial" w:cs="Arial"/>
          <w:sz w:val="24"/>
          <w:szCs w:val="24"/>
        </w:rPr>
        <w:t>process flow chart</w:t>
      </w:r>
      <w:r w:rsidR="001F77EB" w:rsidRPr="00B51DDE">
        <w:rPr>
          <w:rFonts w:ascii="Arial" w:hAnsi="Arial" w:cs="Arial"/>
          <w:sz w:val="24"/>
          <w:szCs w:val="24"/>
        </w:rPr>
        <w:t xml:space="preserve"> </w:t>
      </w:r>
      <w:r w:rsidR="00A4064E" w:rsidRPr="00B51DDE">
        <w:rPr>
          <w:rFonts w:ascii="Arial" w:hAnsi="Arial" w:cs="Arial"/>
          <w:sz w:val="24"/>
          <w:szCs w:val="24"/>
        </w:rPr>
        <w:t xml:space="preserve">will guide the </w:t>
      </w:r>
      <w:r w:rsidRPr="00B51DDE">
        <w:rPr>
          <w:rFonts w:ascii="Arial" w:hAnsi="Arial" w:cs="Arial"/>
          <w:sz w:val="24"/>
          <w:szCs w:val="24"/>
        </w:rPr>
        <w:t xml:space="preserve">initial stages of the </w:t>
      </w:r>
      <w:r w:rsidR="00A4064E" w:rsidRPr="00B51DDE">
        <w:rPr>
          <w:rFonts w:ascii="Arial" w:hAnsi="Arial" w:cs="Arial"/>
          <w:sz w:val="24"/>
          <w:szCs w:val="24"/>
        </w:rPr>
        <w:t>project</w:t>
      </w:r>
      <w:r w:rsidR="001F77EB" w:rsidRPr="00B51DDE">
        <w:rPr>
          <w:rFonts w:ascii="Arial" w:hAnsi="Arial" w:cs="Arial"/>
          <w:sz w:val="24"/>
          <w:szCs w:val="24"/>
        </w:rPr>
        <w:t xml:space="preserve"> </w:t>
      </w:r>
      <w:hyperlink w:anchor="InitialflowChart" w:history="1">
        <w:r w:rsidR="001F77EB" w:rsidRPr="00B51DDE">
          <w:rPr>
            <w:rStyle w:val="Hyperlink"/>
            <w:rFonts w:ascii="Arial" w:hAnsi="Arial" w:cs="Arial"/>
            <w:sz w:val="24"/>
            <w:szCs w:val="24"/>
          </w:rPr>
          <w:t>(</w:t>
        </w:r>
        <w:r w:rsidR="00B750E2" w:rsidRPr="00B51DDE">
          <w:rPr>
            <w:rStyle w:val="Hyperlink"/>
            <w:rFonts w:ascii="Arial" w:hAnsi="Arial" w:cs="Arial"/>
            <w:sz w:val="24"/>
            <w:szCs w:val="24"/>
          </w:rPr>
          <w:t>F</w:t>
        </w:r>
        <w:r w:rsidR="001F77EB" w:rsidRPr="00B51DDE">
          <w:rPr>
            <w:rStyle w:val="Hyperlink"/>
            <w:rFonts w:ascii="Arial" w:hAnsi="Arial" w:cs="Arial"/>
            <w:sz w:val="24"/>
            <w:szCs w:val="24"/>
          </w:rPr>
          <w:t>igure 1)</w:t>
        </w:r>
      </w:hyperlink>
      <w:r w:rsidR="00A4064E" w:rsidRPr="00B51DDE">
        <w:rPr>
          <w:rFonts w:ascii="Arial" w:hAnsi="Arial" w:cs="Arial"/>
          <w:sz w:val="24"/>
          <w:szCs w:val="24"/>
        </w:rPr>
        <w:t xml:space="preserve">. </w:t>
      </w:r>
      <w:r w:rsidR="002E5854" w:rsidRPr="00B51DDE">
        <w:rPr>
          <w:rFonts w:ascii="Arial" w:hAnsi="Arial" w:cs="Arial"/>
          <w:sz w:val="24"/>
          <w:szCs w:val="24"/>
        </w:rPr>
        <w:t>References to ‘</w:t>
      </w:r>
      <w:r w:rsidR="007E3C08" w:rsidRPr="00B51DDE">
        <w:rPr>
          <w:rFonts w:ascii="Arial" w:hAnsi="Arial" w:cs="Arial"/>
          <w:sz w:val="24"/>
          <w:szCs w:val="24"/>
        </w:rPr>
        <w:t xml:space="preserve">Overdrive’ </w:t>
      </w:r>
      <w:r w:rsidR="002E5854" w:rsidRPr="00B51DDE">
        <w:rPr>
          <w:rFonts w:ascii="Arial" w:hAnsi="Arial" w:cs="Arial"/>
          <w:sz w:val="24"/>
          <w:szCs w:val="24"/>
        </w:rPr>
        <w:t>and ‘</w:t>
      </w:r>
      <w:r w:rsidR="007E3C08" w:rsidRPr="00B51DDE">
        <w:rPr>
          <w:rFonts w:ascii="Arial" w:hAnsi="Arial" w:cs="Arial"/>
          <w:sz w:val="24"/>
          <w:szCs w:val="24"/>
        </w:rPr>
        <w:t xml:space="preserve">Edge’ </w:t>
      </w:r>
      <w:r w:rsidR="002E5854" w:rsidRPr="00B51DDE">
        <w:rPr>
          <w:rFonts w:ascii="Arial" w:hAnsi="Arial" w:cs="Arial"/>
          <w:sz w:val="24"/>
          <w:szCs w:val="24"/>
        </w:rPr>
        <w:t xml:space="preserve">were used to draw a connection between ‘Complete Vocal Technique’ terminology and Roll’s definitions </w:t>
      </w:r>
      <w:r w:rsidR="002E5854" w:rsidRPr="00B51DDE">
        <w:rPr>
          <w:rFonts w:ascii="Arial" w:hAnsi="Arial" w:cs="Arial"/>
          <w:sz w:val="24"/>
          <w:szCs w:val="24"/>
        </w:rPr>
        <w:fldChar w:fldCharType="begin" w:fldLock="1"/>
      </w:r>
      <w:r w:rsidR="002E5854" w:rsidRPr="00B51DDE">
        <w:rPr>
          <w:rFonts w:ascii="Arial" w:hAnsi="Arial" w:cs="Arial"/>
          <w:sz w:val="24"/>
          <w:szCs w:val="24"/>
        </w:rPr>
        <w:instrText>ADDIN CSL_CITATION {"citationItems":[{"id":"ITEM-1","itemData":{"ISBN":"978-87-992436-1-7","author":[{"dropping-particle":"","family":"Sadolin","given":"Catherine","non-dropping-particle":"","parse-names":false,"suffix":""}],"id":"ITEM-1","issued":{"date-parts":[["2021"]]},"publisher":"Publications, CVI","publisher-place":"Copenhagen","title":"Complete Vocal Technique","type":"book"},"uris":["http://www.mendeley.com/documents/?uuid=77d53592-e228-457b-953f-2f2f3aa37d84"]},{"id":"ITEM-2","itemData":{"DOI":"10.1016/j.jvoice.2016.09.006","ISSN":"18734588","PMID":"27876301","abstract":"Objectives We aimed to study the categorizations “Overdrive” and “Edge” from the pedagogical method Complete Vocal Technique as refiners of the often ill-defined concept of “belting” by means of audio perception, laryngostroboscopic imaging, acoustics, long-term average spectrum (LTAS), and electroglottography (EGG). Study Design This is a case-control study. Methods Twenty singers were recorded singing sustained vowels in a “belting” quality refined by audio perception as “Overdrive” and “Edge.” Two studies were performed: (1) a laryngostroboscopic examination using a videonasoendoscopic camera system (Olympus) and the Laryngostrobe program (Laryngograph); (2) a simultaneous recording of the EGG and acoustic signals using Speech Studio (Laryngograph). The images were analyzed based on consensus agreement. Statistical analysis of the acoustic, LTAS, and EGG parameters was undertaken using the Student paired t test. Results The two modes of singing determined by audio perception have visibly different laryngeal gestures: Edge has a more constricted setting than that of Overdrive, where the ventricular folds seem to cover more of the vocal folds, the aryepiglottic folds show a sharper edge in Edge, and the cuneiform cartilages are rolled in anteromedially. LTAS analysis shows a statistical difference, particularly after the ninth harmonic, with a coinciding first formant. The combined group showed statistical differences in shimmer, harmonics-to-noise ratio, normalized noise energy, and mean sound pressure level (P ≤ 0.05). Conclusion “Belting” sounds can be categorized using audio perception into two modes of singing: “Overdrive” and “Edge.” This study demonstrates consistent visibly different laryngeal gestures between these modes and with some correspondingly significant differences in LTAS, EGG, and acoustic measures.","author":[{"dropping-particle":"","family":"McGlashan","given":"Julian","non-dropping-particle":"","parse-names":false,"suffix":""},{"dropping-particle":"","family":"Thuesen","given":"Mathias Aaen","non-dropping-particle":"","parse-names":false,"suffix":""},{"dropping-particle":"","family":"Sadolin","given":"Cathrine","non-dropping-particle":"","parse-names":false,"suffix":""}],"container-title":"Journal of Voice","id":"ITEM-2","issue":"3","issued":{"date-parts":[["2017"]]},"page":"385.e11-385.e22","publisher":"Elsevier Inc.","title":"Overdrive and Edge as Refiners of “Belting”?: An Empirical Study Qualifying and Categorizing “Belting” Based on Audio Perception, Laryngostroboscopic Imaging, Acoustics, LTAS, and EGG","type":"article-journal","volume":"31"},"uris":["http://www.mendeley.com/documents/?uuid=81f57811-66a7-4ce4-af40-d387f5874979"]},{"id":"ITEM-3","itemData":{"abstract":"The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techniques.","author":[{"dropping-particle":"","family":"Roll","given":"","non-dropping-particle":"","parse-names":false,"suffix":""}],"id":"ITEM-3","issued":{"date-parts":[["2014"]]},"title":"FEMALE MUSICAL THEATER BELTING IN THE 21ST CENTURY","type":"article-journal"},"uris":["http://www.mendeley.com/documents/?uuid=5030bbb6-60db-47c9-8cfb-a9da980f8b89"]},{"id":"ITEM-4","itemData":{"DOI":"10.1016/j.jvoice.2015.07.008","ISSN":"18734588","PMID":"26296854","abstract":"Background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Voice","id":"ITEM-4","issue":"5","issued":{"date-parts":[["2016"]]},"page":"639.e1-639.e9","publisher":"Elsevier Ltd","title":"The Evolution of the Female Broadway Belt Voice: Implications for Teachers and Singers","type":"article-journal","volume":"30"},"uris":["http://www.mendeley.com/documents/?uuid=38644f2f-538f-4d06-8628-46c02201698d"]}],"mendeley":{"formattedCitation":"(Roll, 2014, 2016; McGlashan, Thuesen and Sadolin, 2017; Sadolin, 2021)","plainTextFormattedCitation":"(Roll, 2014, 2016; McGlashan, Thuesen and Sadolin, 2017; Sadolin, 2021)","previouslyFormattedCitation":"(Roll, 2014, 2016; McGlashan, Thuesen and Sadolin, 2017; Sadolin, 2021)"},"properties":{"noteIndex":0},"schema":"https://github.com/citation-style-language/schema/raw/master/csl-citation.json"}</w:instrText>
      </w:r>
      <w:r w:rsidR="002E5854" w:rsidRPr="00B51DDE">
        <w:rPr>
          <w:rFonts w:ascii="Arial" w:hAnsi="Arial" w:cs="Arial"/>
          <w:sz w:val="24"/>
          <w:szCs w:val="24"/>
        </w:rPr>
        <w:fldChar w:fldCharType="separate"/>
      </w:r>
      <w:r w:rsidR="002E5854" w:rsidRPr="00B51DDE">
        <w:rPr>
          <w:rFonts w:ascii="Arial" w:hAnsi="Arial" w:cs="Arial"/>
          <w:noProof/>
          <w:sz w:val="24"/>
          <w:szCs w:val="24"/>
        </w:rPr>
        <w:t>(Roll, 2014, 2016; McGlashan, Thuesen and Sadolin, 2017; Sadolin, 2021)</w:t>
      </w:r>
      <w:r w:rsidR="002E5854" w:rsidRPr="00B51DDE">
        <w:rPr>
          <w:rFonts w:ascii="Arial" w:hAnsi="Arial" w:cs="Arial"/>
          <w:sz w:val="24"/>
          <w:szCs w:val="24"/>
        </w:rPr>
        <w:fldChar w:fldCharType="end"/>
      </w:r>
      <w:r w:rsidR="002E5854" w:rsidRPr="00B51DDE">
        <w:rPr>
          <w:rFonts w:ascii="Arial" w:hAnsi="Arial" w:cs="Arial"/>
          <w:sz w:val="24"/>
          <w:szCs w:val="24"/>
        </w:rPr>
        <w:t xml:space="preserve"> </w:t>
      </w:r>
      <w:r w:rsidR="007E3C08" w:rsidRPr="00B51DDE">
        <w:rPr>
          <w:rFonts w:ascii="Arial" w:hAnsi="Arial" w:cs="Arial"/>
          <w:sz w:val="24"/>
          <w:szCs w:val="24"/>
        </w:rPr>
        <w:t xml:space="preserve">These remain on the legacy flow charts which are the start point of this study. </w:t>
      </w:r>
      <w:r w:rsidR="002E5854" w:rsidRPr="00B51DDE">
        <w:rPr>
          <w:rFonts w:ascii="Arial" w:hAnsi="Arial" w:cs="Arial"/>
          <w:sz w:val="24"/>
          <w:szCs w:val="24"/>
        </w:rPr>
        <w:t xml:space="preserve">This study will used the Roll’s terms traditional belt for belting up to ~D5 and high belt for belting which goes beyond the traditional belting range </w:t>
      </w:r>
      <w:r w:rsidR="002E5854" w:rsidRPr="00B51DDE">
        <w:rPr>
          <w:rFonts w:ascii="Arial" w:hAnsi="Arial" w:cs="Arial"/>
          <w:sz w:val="24"/>
          <w:szCs w:val="24"/>
        </w:rPr>
        <w:fldChar w:fldCharType="begin" w:fldLock="1"/>
      </w:r>
      <w:r w:rsidR="00381921">
        <w:rPr>
          <w:rFonts w:ascii="Arial" w:hAnsi="Arial" w:cs="Arial"/>
          <w:sz w:val="24"/>
          <w:szCs w:val="24"/>
        </w:rPr>
        <w:instrText>ADDIN CSL_CITATION {"citationItems":[{"id":"ITEM-1","itemData":{"DOI":"10.1016/j.jvoice.2015.07.008","ISSN":"18734588","PMID":"26296854","abstract":"Background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Voice","id":"ITEM-1","issue":"5","issued":{"date-parts":[["2016"]]},"page":"639.e1-639.e9","publisher":"Elsevier Ltd","title":"The Evolution of the Female Broadway Belt Voice: Implications for Teachers and Singers","type":"article-journal","volume":"30"},"uris":["http://www.mendeley.com/documents/?uuid=38644f2f-538f-4d06-8628-46c02201698d"]},{"id":"ITEM-2","itemData":{"abstract":"The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CENTURY","type":"article-journal"},"uris":["http://www.mendeley.com/documents/?uuid=5030bbb6-60db-47c9-8cfb-a9da980f8b89"]}],"mendeley":{"formattedCitation":"(Roll, 2014, 2016)","plainTextFormattedCitation":"(Roll, 2014, 2016)","previouslyFormattedCitation":"(Roll, 2014, 2016)"},"properties":{"noteIndex":0},"schema":"https://github.com/citation-style-language/schema/raw/master/csl-citation.json"}</w:instrText>
      </w:r>
      <w:r w:rsidR="002E5854" w:rsidRPr="00B51DDE">
        <w:rPr>
          <w:rFonts w:ascii="Arial" w:hAnsi="Arial" w:cs="Arial"/>
          <w:sz w:val="24"/>
          <w:szCs w:val="24"/>
        </w:rPr>
        <w:fldChar w:fldCharType="separate"/>
      </w:r>
      <w:r w:rsidR="002E5854" w:rsidRPr="00B51DDE">
        <w:rPr>
          <w:rFonts w:ascii="Arial" w:hAnsi="Arial" w:cs="Arial"/>
          <w:noProof/>
          <w:sz w:val="24"/>
          <w:szCs w:val="24"/>
        </w:rPr>
        <w:t>(Roll, 2014, 2016)</w:t>
      </w:r>
      <w:r w:rsidR="002E5854" w:rsidRPr="00B51DDE">
        <w:rPr>
          <w:rFonts w:ascii="Arial" w:hAnsi="Arial" w:cs="Arial"/>
          <w:sz w:val="24"/>
          <w:szCs w:val="24"/>
        </w:rPr>
        <w:fldChar w:fldCharType="end"/>
      </w:r>
      <w:r w:rsidR="002E5854" w:rsidRPr="00B51DDE">
        <w:rPr>
          <w:rFonts w:ascii="Arial" w:hAnsi="Arial" w:cs="Arial"/>
          <w:sz w:val="24"/>
          <w:szCs w:val="24"/>
        </w:rPr>
        <w:t xml:space="preserve">. </w:t>
      </w:r>
      <w:r w:rsidR="00A4064E" w:rsidRPr="00B51DDE">
        <w:rPr>
          <w:rFonts w:ascii="Arial" w:hAnsi="Arial" w:cs="Arial"/>
          <w:sz w:val="24"/>
          <w:szCs w:val="24"/>
        </w:rPr>
        <w:t>Evaluations</w:t>
      </w:r>
      <w:r w:rsidRPr="00B51DDE">
        <w:rPr>
          <w:rFonts w:ascii="Arial" w:hAnsi="Arial" w:cs="Arial"/>
          <w:sz w:val="24"/>
          <w:szCs w:val="24"/>
        </w:rPr>
        <w:t xml:space="preserve"> of the process</w:t>
      </w:r>
      <w:r w:rsidR="00A4064E" w:rsidRPr="00B51DDE">
        <w:rPr>
          <w:rFonts w:ascii="Arial" w:hAnsi="Arial" w:cs="Arial"/>
          <w:sz w:val="24"/>
          <w:szCs w:val="24"/>
        </w:rPr>
        <w:t xml:space="preserve"> by the experts will guid</w:t>
      </w:r>
      <w:r w:rsidR="00340DD9" w:rsidRPr="00B51DDE">
        <w:rPr>
          <w:rFonts w:ascii="Arial" w:hAnsi="Arial" w:cs="Arial"/>
          <w:sz w:val="24"/>
          <w:szCs w:val="24"/>
        </w:rPr>
        <w:t>e</w:t>
      </w:r>
      <w:r w:rsidR="00A4064E" w:rsidRPr="00B51DDE">
        <w:rPr>
          <w:rFonts w:ascii="Arial" w:hAnsi="Arial" w:cs="Arial"/>
          <w:sz w:val="24"/>
          <w:szCs w:val="24"/>
        </w:rPr>
        <w:t xml:space="preserve"> the </w:t>
      </w:r>
      <w:r w:rsidR="008A3F8C" w:rsidRPr="00B51DDE">
        <w:rPr>
          <w:rFonts w:ascii="Arial" w:hAnsi="Arial" w:cs="Arial"/>
          <w:sz w:val="24"/>
          <w:szCs w:val="24"/>
        </w:rPr>
        <w:t>subsequent</w:t>
      </w:r>
      <w:r w:rsidR="00A4064E" w:rsidRPr="00B51DDE">
        <w:rPr>
          <w:rFonts w:ascii="Arial" w:hAnsi="Arial" w:cs="Arial"/>
          <w:sz w:val="24"/>
          <w:szCs w:val="24"/>
        </w:rPr>
        <w:t xml:space="preserve"> iterations of DBR to</w:t>
      </w:r>
      <w:r w:rsidRPr="00B51DDE">
        <w:rPr>
          <w:rFonts w:ascii="Arial" w:hAnsi="Arial" w:cs="Arial"/>
          <w:sz w:val="24"/>
          <w:szCs w:val="24"/>
        </w:rPr>
        <w:t xml:space="preserve"> knowledge which can form</w:t>
      </w:r>
      <w:r w:rsidR="00A4064E" w:rsidRPr="00B51DDE">
        <w:rPr>
          <w:rFonts w:ascii="Arial" w:hAnsi="Arial" w:cs="Arial"/>
          <w:sz w:val="24"/>
          <w:szCs w:val="24"/>
        </w:rPr>
        <w:t xml:space="preserve"> a practical belt training </w:t>
      </w:r>
      <w:r w:rsidR="002679E9" w:rsidRPr="00B51DDE">
        <w:rPr>
          <w:rFonts w:ascii="Arial" w:hAnsi="Arial" w:cs="Arial"/>
          <w:sz w:val="24"/>
          <w:szCs w:val="24"/>
        </w:rPr>
        <w:t>process</w:t>
      </w:r>
      <w:r w:rsidR="00A4064E" w:rsidRPr="00B51DDE">
        <w:rPr>
          <w:rFonts w:ascii="Arial" w:hAnsi="Arial" w:cs="Arial"/>
          <w:sz w:val="24"/>
          <w:szCs w:val="24"/>
        </w:rPr>
        <w:t xml:space="preserve"> </w:t>
      </w:r>
      <w:r w:rsidR="00A4064E" w:rsidRPr="00B51DDE">
        <w:rPr>
          <w:rFonts w:ascii="Arial" w:hAnsi="Arial" w:cs="Arial"/>
          <w:sz w:val="24"/>
          <w:szCs w:val="24"/>
        </w:rPr>
        <w:fldChar w:fldCharType="begin" w:fldLock="1"/>
      </w:r>
      <w:r w:rsidR="00334EA5" w:rsidRPr="00B51DDE">
        <w:rPr>
          <w:rFonts w:ascii="Arial" w:hAnsi="Arial" w:cs="Arial"/>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Research","id":"ITEM-2","issue":"1","issued":{"date-parts":[["2010"]]},"page":"6-16","title":"Doing mixed methods research pragmatically: Implications for the rediscovery of pragmatism as a research paradigm","type":"article-journal","volume":"4"},"uris":["http://www.mendeley.com/documents/?uuid=b0ba4dcf-749c-460e-8985-496bc3e705e1"]}],"mendeley":{"formattedCitation":"(Hoadley &lt;i&gt;et al.&lt;/i&gt;, 2002; Feilzer, 2010)","plainTextFormattedCitation":"(Hoadley et al., 2002; Feilzer, 2010)","previouslyFormattedCitation":"(Hoadley &lt;i&gt;et al.&lt;/i&gt;, 2002; Feilzer, 2010)"},"properties":{"noteIndex":0},"schema":"https://github.com/citation-style-language/schema/raw/master/csl-citation.json"}</w:instrText>
      </w:r>
      <w:r w:rsidR="00A4064E" w:rsidRPr="00B51DDE">
        <w:rPr>
          <w:rFonts w:ascii="Arial" w:hAnsi="Arial" w:cs="Arial"/>
          <w:sz w:val="24"/>
          <w:szCs w:val="24"/>
        </w:rPr>
        <w:fldChar w:fldCharType="separate"/>
      </w:r>
      <w:r w:rsidR="00A4064E" w:rsidRPr="00B51DDE">
        <w:rPr>
          <w:rFonts w:ascii="Arial" w:hAnsi="Arial" w:cs="Arial"/>
          <w:noProof/>
          <w:sz w:val="24"/>
          <w:szCs w:val="24"/>
        </w:rPr>
        <w:t xml:space="preserve">(Hoadley </w:t>
      </w:r>
      <w:r w:rsidR="00A4064E" w:rsidRPr="00B51DDE">
        <w:rPr>
          <w:rFonts w:ascii="Arial" w:hAnsi="Arial" w:cs="Arial"/>
          <w:i/>
          <w:noProof/>
          <w:sz w:val="24"/>
          <w:szCs w:val="24"/>
        </w:rPr>
        <w:t>et al.</w:t>
      </w:r>
      <w:r w:rsidR="00A4064E" w:rsidRPr="00B51DDE">
        <w:rPr>
          <w:rFonts w:ascii="Arial" w:hAnsi="Arial" w:cs="Arial"/>
          <w:noProof/>
          <w:sz w:val="24"/>
          <w:szCs w:val="24"/>
        </w:rPr>
        <w:t>, 2002; Feilzer, 2010)</w:t>
      </w:r>
      <w:r w:rsidR="00A4064E" w:rsidRPr="00B51DDE">
        <w:rPr>
          <w:rFonts w:ascii="Arial" w:hAnsi="Arial" w:cs="Arial"/>
          <w:sz w:val="24"/>
          <w:szCs w:val="24"/>
        </w:rPr>
        <w:fldChar w:fldCharType="end"/>
      </w:r>
      <w:r w:rsidR="00A4064E" w:rsidRPr="00B51DDE">
        <w:rPr>
          <w:rFonts w:ascii="Arial" w:hAnsi="Arial" w:cs="Arial"/>
          <w:sz w:val="24"/>
          <w:szCs w:val="24"/>
        </w:rPr>
        <w:t>.</w:t>
      </w:r>
      <w:r w:rsidR="00A4064E" w:rsidRPr="00B51DDE">
        <w:rPr>
          <w:rFonts w:ascii="Arial" w:hAnsi="Arial" w:cs="Arial"/>
          <w:sz w:val="24"/>
          <w:szCs w:val="24"/>
        </w:rPr>
        <w:br w:type="page"/>
      </w:r>
    </w:p>
    <w:p w14:paraId="7E5BE0E1" w14:textId="6719178B" w:rsidR="00880CAC" w:rsidRPr="00B51DDE" w:rsidRDefault="003309C4" w:rsidP="00AE2080">
      <w:pPr>
        <w:spacing w:line="360" w:lineRule="auto"/>
        <w:jc w:val="both"/>
        <w:rPr>
          <w:rFonts w:ascii="Arial" w:hAnsi="Arial" w:cs="Arial"/>
          <w:sz w:val="24"/>
          <w:szCs w:val="24"/>
        </w:rPr>
      </w:pPr>
      <w:bookmarkStart w:id="2" w:name="InitialflowChart"/>
      <w:r w:rsidRPr="00B51DDE">
        <w:rPr>
          <w:rFonts w:ascii="Arial" w:hAnsi="Arial" w:cs="Arial"/>
          <w:sz w:val="24"/>
          <w:szCs w:val="24"/>
        </w:rPr>
        <w:lastRenderedPageBreak/>
        <w:t xml:space="preserve">Figure 1: </w:t>
      </w:r>
      <w:r w:rsidR="00880CAC" w:rsidRPr="00B51DDE">
        <w:rPr>
          <w:rFonts w:ascii="Arial" w:hAnsi="Arial" w:cs="Arial"/>
          <w:sz w:val="24"/>
          <w:szCs w:val="24"/>
        </w:rPr>
        <w:t>EBVP theoretical belt training flow chart (overall process)</w:t>
      </w:r>
    </w:p>
    <w:bookmarkEnd w:id="2"/>
    <w:p w14:paraId="6D9F7508" w14:textId="2AC156FC" w:rsidR="00CD5959" w:rsidRPr="00B51DDE" w:rsidRDefault="00D06303" w:rsidP="00AE2080">
      <w:pPr>
        <w:spacing w:line="360" w:lineRule="auto"/>
        <w:jc w:val="center"/>
        <w:rPr>
          <w:rFonts w:ascii="Arial" w:hAnsi="Arial" w:cs="Arial"/>
          <w:bCs/>
          <w:sz w:val="24"/>
          <w:szCs w:val="24"/>
        </w:rPr>
      </w:pPr>
      <w:r w:rsidRPr="00B51DDE">
        <w:rPr>
          <w:rFonts w:ascii="Arial" w:hAnsi="Arial" w:cs="Arial"/>
          <w:bCs/>
          <w:noProof/>
          <w:sz w:val="24"/>
          <w:szCs w:val="24"/>
        </w:rPr>
        <w:drawing>
          <wp:inline distT="0" distB="0" distL="0" distR="0" wp14:anchorId="5632D16B" wp14:editId="6302E125">
            <wp:extent cx="5449060" cy="7754432"/>
            <wp:effectExtent l="0" t="0" r="0" b="0"/>
            <wp:docPr id="116447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77034" name="Picture 1164477034"/>
                    <pic:cNvPicPr/>
                  </pic:nvPicPr>
                  <pic:blipFill>
                    <a:blip r:embed="rId11">
                      <a:extLst>
                        <a:ext uri="{28A0092B-C50C-407E-A947-70E740481C1C}">
                          <a14:useLocalDpi xmlns:a14="http://schemas.microsoft.com/office/drawing/2010/main" val="0"/>
                        </a:ext>
                      </a:extLst>
                    </a:blip>
                    <a:stretch>
                      <a:fillRect/>
                    </a:stretch>
                  </pic:blipFill>
                  <pic:spPr>
                    <a:xfrm>
                      <a:off x="0" y="0"/>
                      <a:ext cx="5449060" cy="7754432"/>
                    </a:xfrm>
                    <a:prstGeom prst="rect">
                      <a:avLst/>
                    </a:prstGeom>
                  </pic:spPr>
                </pic:pic>
              </a:graphicData>
            </a:graphic>
          </wp:inline>
        </w:drawing>
      </w:r>
    </w:p>
    <w:p w14:paraId="7FC867F5" w14:textId="43F64648" w:rsidR="00A07D4D" w:rsidRPr="00B51DDE" w:rsidRDefault="00CD5959" w:rsidP="00CD5959">
      <w:pPr>
        <w:spacing w:line="360" w:lineRule="auto"/>
        <w:jc w:val="right"/>
        <w:rPr>
          <w:rFonts w:ascii="Arial" w:hAnsi="Arial" w:cs="Arial"/>
          <w:bCs/>
          <w:sz w:val="24"/>
          <w:szCs w:val="24"/>
        </w:rPr>
      </w:pP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(Morris, 2023)</w:t>
      </w:r>
      <w:r w:rsidRPr="00B51DDE">
        <w:rPr>
          <w:rFonts w:ascii="Arial" w:hAnsi="Arial" w:cs="Arial"/>
          <w:bCs/>
          <w:sz w:val="24"/>
          <w:szCs w:val="24"/>
        </w:rPr>
        <w:fldChar w:fldCharType="end"/>
      </w:r>
      <w:r w:rsidR="00A07D4D" w:rsidRPr="00B51DDE">
        <w:rPr>
          <w:rFonts w:ascii="Arial" w:hAnsi="Arial" w:cs="Arial"/>
          <w:bCs/>
          <w:sz w:val="24"/>
          <w:szCs w:val="24"/>
        </w:rPr>
        <w:br w:type="page"/>
      </w:r>
    </w:p>
    <w:p w14:paraId="6F83CA94" w14:textId="5D70A46E" w:rsidR="0017792A" w:rsidRPr="00B51DDE" w:rsidRDefault="0017792A" w:rsidP="00AE2080">
      <w:pPr>
        <w:pStyle w:val="Default"/>
        <w:spacing w:line="360" w:lineRule="auto"/>
        <w:jc w:val="both"/>
        <w:rPr>
          <w:b/>
          <w:bCs/>
        </w:rPr>
      </w:pPr>
      <w:r w:rsidRPr="00B51DDE">
        <w:lastRenderedPageBreak/>
        <w:t xml:space="preserve">The project will be a qualitative research study using the following methods </w:t>
      </w:r>
      <w:r w:rsidR="00415461" w:rsidRPr="00B51DDE">
        <w:t>(</w:t>
      </w:r>
      <w:r w:rsidRPr="00B51DDE">
        <w:t>detail</w:t>
      </w:r>
      <w:r w:rsidR="00EB7DA5" w:rsidRPr="00B51DDE">
        <w:t>s</w:t>
      </w:r>
      <w:r w:rsidRPr="00B51DDE">
        <w:t xml:space="preserve"> </w:t>
      </w:r>
      <w:r w:rsidR="00415461" w:rsidRPr="00B51DDE">
        <w:t>follow)</w:t>
      </w:r>
      <w:r w:rsidRPr="00B51DDE">
        <w:t>:</w:t>
      </w:r>
    </w:p>
    <w:p w14:paraId="46347999" w14:textId="77777777" w:rsidR="008355AE" w:rsidRPr="00B51DDE" w:rsidRDefault="008355AE" w:rsidP="00AE2080">
      <w:pPr>
        <w:pStyle w:val="Default"/>
        <w:spacing w:line="360" w:lineRule="auto"/>
        <w:jc w:val="both"/>
        <w:rPr>
          <w:b/>
          <w:bCs/>
        </w:rPr>
      </w:pPr>
    </w:p>
    <w:p w14:paraId="40E6DE79" w14:textId="77777777" w:rsidR="0017792A" w:rsidRPr="00B51DDE" w:rsidRDefault="0017792A" w:rsidP="00AE2080">
      <w:pPr>
        <w:pStyle w:val="Default"/>
        <w:numPr>
          <w:ilvl w:val="0"/>
          <w:numId w:val="2"/>
        </w:numPr>
        <w:spacing w:line="360" w:lineRule="auto"/>
        <w:jc w:val="both"/>
      </w:pPr>
      <w:r w:rsidRPr="00B51DDE">
        <w:t>Semi-structured interviews or written interviews with experts</w:t>
      </w:r>
    </w:p>
    <w:p w14:paraId="73F19A86" w14:textId="77777777" w:rsidR="0017792A" w:rsidRPr="00B51DDE" w:rsidRDefault="0017792A" w:rsidP="00AE2080">
      <w:pPr>
        <w:pStyle w:val="Default"/>
        <w:numPr>
          <w:ilvl w:val="0"/>
          <w:numId w:val="2"/>
        </w:numPr>
        <w:spacing w:line="360" w:lineRule="auto"/>
        <w:jc w:val="both"/>
      </w:pPr>
      <w:r w:rsidRPr="00B51DDE">
        <w:t xml:space="preserve">A literature </w:t>
      </w:r>
      <w:proofErr w:type="gramStart"/>
      <w:r w:rsidRPr="00B51DDE">
        <w:t>review</w:t>
      </w:r>
      <w:proofErr w:type="gramEnd"/>
    </w:p>
    <w:p w14:paraId="16C20D54" w14:textId="77777777" w:rsidR="0017792A" w:rsidRPr="00B51DDE" w:rsidRDefault="0017792A" w:rsidP="00AE2080">
      <w:pPr>
        <w:pStyle w:val="Default"/>
        <w:numPr>
          <w:ilvl w:val="0"/>
          <w:numId w:val="2"/>
        </w:numPr>
        <w:spacing w:line="360" w:lineRule="auto"/>
        <w:jc w:val="both"/>
      </w:pPr>
      <w:r w:rsidRPr="00B51DDE">
        <w:t>Pre- and post-study interviews with student participants</w:t>
      </w:r>
    </w:p>
    <w:p w14:paraId="2D8612BA" w14:textId="15E74D28" w:rsidR="0017792A" w:rsidRPr="00B51DDE" w:rsidRDefault="004E6DFC" w:rsidP="00AE2080">
      <w:pPr>
        <w:pStyle w:val="Default"/>
        <w:numPr>
          <w:ilvl w:val="0"/>
          <w:numId w:val="2"/>
        </w:numPr>
        <w:spacing w:line="360" w:lineRule="auto"/>
        <w:jc w:val="both"/>
      </w:pPr>
      <w:r w:rsidRPr="00B51DDE">
        <w:t>Application of</w:t>
      </w:r>
      <w:r w:rsidR="0017792A" w:rsidRPr="00B51DDE">
        <w:t xml:space="preserve"> the belt training process in lessons</w:t>
      </w:r>
    </w:p>
    <w:p w14:paraId="104055E5" w14:textId="77777777" w:rsidR="00A07D4D" w:rsidRPr="00B51DDE" w:rsidRDefault="0017792A" w:rsidP="00AE2080">
      <w:pPr>
        <w:pStyle w:val="Default"/>
        <w:numPr>
          <w:ilvl w:val="0"/>
          <w:numId w:val="2"/>
        </w:numPr>
        <w:spacing w:line="360" w:lineRule="auto"/>
        <w:jc w:val="both"/>
      </w:pPr>
      <w:r w:rsidRPr="00B51DDE">
        <w:t>Student practice logs</w:t>
      </w:r>
    </w:p>
    <w:p w14:paraId="63593CF7" w14:textId="77777777" w:rsidR="008355AE" w:rsidRPr="00B51DDE" w:rsidRDefault="008355AE" w:rsidP="00AE2080">
      <w:pPr>
        <w:pStyle w:val="Default"/>
        <w:spacing w:line="360" w:lineRule="auto"/>
        <w:jc w:val="both"/>
        <w:rPr>
          <w:b/>
          <w:bCs/>
          <w:i/>
          <w:iCs/>
        </w:rPr>
      </w:pPr>
    </w:p>
    <w:p w14:paraId="29801235" w14:textId="4A8F4FF1" w:rsidR="00A07D4D" w:rsidRPr="00B51DDE" w:rsidRDefault="0017792A" w:rsidP="00AE2080">
      <w:pPr>
        <w:pStyle w:val="Default"/>
        <w:spacing w:line="360" w:lineRule="auto"/>
        <w:jc w:val="both"/>
        <w:rPr>
          <w:bCs/>
        </w:rPr>
      </w:pPr>
      <w:r w:rsidRPr="00B51DDE">
        <w:rPr>
          <w:b/>
          <w:bCs/>
          <w:i/>
          <w:iCs/>
        </w:rPr>
        <w:t>Expert interviews</w:t>
      </w:r>
      <w:r w:rsidRPr="00B51DDE">
        <w:t xml:space="preserve"> will be used to refine the belt training process. </w:t>
      </w:r>
      <w:r w:rsidR="0026198B" w:rsidRPr="00B51DDE">
        <w:rPr>
          <w:bCs/>
        </w:rPr>
        <w:t xml:space="preserve">Experts will be selected </w:t>
      </w:r>
      <w:r w:rsidR="008E0CE3">
        <w:rPr>
          <w:bCs/>
        </w:rPr>
        <w:t>based on their</w:t>
      </w:r>
      <w:r w:rsidRPr="00B51DDE">
        <w:rPr>
          <w:bCs/>
        </w:rPr>
        <w:t xml:space="preserve"> experience of researching singing and training singers to belt. The experts will be asked for input which can improve the </w:t>
      </w:r>
      <w:r w:rsidR="009557C0" w:rsidRPr="00B51DDE">
        <w:rPr>
          <w:bCs/>
        </w:rPr>
        <w:t xml:space="preserve">belt </w:t>
      </w:r>
      <w:r w:rsidRPr="00B51DDE">
        <w:rPr>
          <w:bCs/>
        </w:rPr>
        <w:t>training process based on their teaching experiences and research knowledge. Expert consultations will include:</w:t>
      </w:r>
    </w:p>
    <w:p w14:paraId="6D3E51D2" w14:textId="77777777" w:rsidR="008355AE" w:rsidRPr="00B51DDE" w:rsidRDefault="008355AE" w:rsidP="00AE2080">
      <w:pPr>
        <w:pStyle w:val="Default"/>
        <w:spacing w:line="360" w:lineRule="auto"/>
        <w:jc w:val="both"/>
        <w:rPr>
          <w:bCs/>
        </w:rPr>
      </w:pPr>
    </w:p>
    <w:p w14:paraId="00158525" w14:textId="4B055FC4" w:rsidR="0017792A" w:rsidRPr="00B51DDE" w:rsidRDefault="0017792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 xml:space="preserve">A written introduction to the </w:t>
      </w:r>
      <w:r w:rsidRPr="00B51DDE">
        <w:rPr>
          <w:rFonts w:ascii="Arial" w:hAnsi="Arial" w:cs="Arial"/>
          <w:sz w:val="24"/>
          <w:szCs w:val="24"/>
        </w:rPr>
        <w:t>belt training process</w:t>
      </w:r>
    </w:p>
    <w:p w14:paraId="54A19D8E" w14:textId="77777777" w:rsidR="0017792A" w:rsidRPr="00B51DDE" w:rsidRDefault="0017792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written interview</w:t>
      </w:r>
    </w:p>
    <w:p w14:paraId="57262482" w14:textId="40D8B3DA" w:rsidR="0017792A" w:rsidRPr="00B51DDE" w:rsidRDefault="0017792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follow</w:t>
      </w:r>
      <w:r w:rsidR="00072A2B" w:rsidRPr="00B51DDE">
        <w:rPr>
          <w:rFonts w:ascii="Arial" w:hAnsi="Arial" w:cs="Arial"/>
          <w:bCs/>
          <w:sz w:val="24"/>
          <w:szCs w:val="24"/>
        </w:rPr>
        <w:t>-</w:t>
      </w:r>
      <w:r w:rsidRPr="00B51DDE">
        <w:rPr>
          <w:rFonts w:ascii="Arial" w:hAnsi="Arial" w:cs="Arial"/>
          <w:bCs/>
          <w:sz w:val="24"/>
          <w:szCs w:val="24"/>
        </w:rPr>
        <w:t>up interview (online)</w:t>
      </w:r>
    </w:p>
    <w:p w14:paraId="6D53611F" w14:textId="77777777" w:rsidR="0017792A" w:rsidRPr="00B51DDE" w:rsidRDefault="0017792A" w:rsidP="00AE2080">
      <w:pPr>
        <w:autoSpaceDE w:val="0"/>
        <w:autoSpaceDN w:val="0"/>
        <w:adjustRightInd w:val="0"/>
        <w:spacing w:line="360" w:lineRule="auto"/>
        <w:jc w:val="both"/>
        <w:rPr>
          <w:rFonts w:ascii="Arial" w:hAnsi="Arial" w:cs="Arial"/>
          <w:bCs/>
          <w:sz w:val="24"/>
          <w:szCs w:val="24"/>
        </w:rPr>
      </w:pPr>
      <w:r w:rsidRPr="00B51DDE">
        <w:rPr>
          <w:rFonts w:ascii="Arial" w:hAnsi="Arial" w:cs="Arial"/>
          <w:bCs/>
          <w:sz w:val="24"/>
          <w:szCs w:val="24"/>
        </w:rPr>
        <w:t>The outcomes of these interviews will be analysed to improve the belt training process and impact the areas researched in the literature review.</w:t>
      </w:r>
    </w:p>
    <w:p w14:paraId="3C951FFE" w14:textId="77777777" w:rsidR="008355AE" w:rsidRPr="00B51DDE" w:rsidRDefault="008355AE" w:rsidP="00AE2080">
      <w:pPr>
        <w:autoSpaceDE w:val="0"/>
        <w:autoSpaceDN w:val="0"/>
        <w:adjustRightInd w:val="0"/>
        <w:spacing w:line="360" w:lineRule="auto"/>
        <w:jc w:val="both"/>
        <w:rPr>
          <w:rFonts w:ascii="Arial" w:hAnsi="Arial" w:cs="Arial"/>
          <w:b/>
          <w:i/>
          <w:iCs/>
          <w:sz w:val="24"/>
          <w:szCs w:val="24"/>
        </w:rPr>
      </w:pPr>
    </w:p>
    <w:p w14:paraId="32C1D08F" w14:textId="6FDAEBCE" w:rsidR="00A07D4D" w:rsidRPr="00B51DDE" w:rsidRDefault="0017792A" w:rsidP="00AE2080">
      <w:pPr>
        <w:autoSpaceDE w:val="0"/>
        <w:autoSpaceDN w:val="0"/>
        <w:adjustRightInd w:val="0"/>
        <w:spacing w:line="360" w:lineRule="auto"/>
        <w:jc w:val="both"/>
        <w:rPr>
          <w:rFonts w:ascii="Arial" w:hAnsi="Arial" w:cs="Arial"/>
          <w:sz w:val="24"/>
          <w:szCs w:val="24"/>
        </w:rPr>
      </w:pPr>
      <w:r w:rsidRPr="00B51DDE">
        <w:rPr>
          <w:rFonts w:ascii="Arial" w:hAnsi="Arial" w:cs="Arial"/>
          <w:b/>
          <w:i/>
          <w:iCs/>
          <w:sz w:val="24"/>
          <w:szCs w:val="24"/>
        </w:rPr>
        <w:t>A l</w:t>
      </w:r>
      <w:r w:rsidRPr="00B51DDE">
        <w:rPr>
          <w:rFonts w:ascii="Arial" w:hAnsi="Arial" w:cs="Arial"/>
          <w:b/>
          <w:bCs/>
          <w:i/>
          <w:iCs/>
          <w:sz w:val="24"/>
          <w:szCs w:val="24"/>
        </w:rPr>
        <w:t xml:space="preserve">iterature review </w:t>
      </w:r>
      <w:r w:rsidRPr="00B51DDE">
        <w:rPr>
          <w:rFonts w:ascii="Arial" w:hAnsi="Arial" w:cs="Arial"/>
          <w:sz w:val="24"/>
          <w:szCs w:val="24"/>
        </w:rPr>
        <w:t xml:space="preserve">will be conducted to further refine the EBVP belt training process. </w:t>
      </w:r>
      <w:r w:rsidR="001738F7" w:rsidRPr="00B51DDE">
        <w:rPr>
          <w:rFonts w:ascii="Arial" w:hAnsi="Arial" w:cs="Arial"/>
          <w:sz w:val="24"/>
          <w:szCs w:val="24"/>
        </w:rPr>
        <w:t>E</w:t>
      </w:r>
      <w:r w:rsidRPr="00B51DDE">
        <w:rPr>
          <w:rFonts w:ascii="Arial" w:hAnsi="Arial" w:cs="Arial"/>
          <w:sz w:val="24"/>
          <w:szCs w:val="24"/>
        </w:rPr>
        <w:t xml:space="preserve">xpert </w:t>
      </w:r>
      <w:r w:rsidR="003066B1" w:rsidRPr="00B51DDE">
        <w:rPr>
          <w:rFonts w:ascii="Arial" w:hAnsi="Arial" w:cs="Arial"/>
          <w:sz w:val="24"/>
          <w:szCs w:val="24"/>
        </w:rPr>
        <w:t>guidance</w:t>
      </w:r>
      <w:r w:rsidR="001738F7" w:rsidRPr="00B51DDE">
        <w:rPr>
          <w:rFonts w:ascii="Arial" w:hAnsi="Arial" w:cs="Arial"/>
          <w:sz w:val="24"/>
          <w:szCs w:val="24"/>
        </w:rPr>
        <w:t xml:space="preserve"> will guide research into</w:t>
      </w:r>
      <w:r w:rsidR="003066B1" w:rsidRPr="00B51DDE">
        <w:rPr>
          <w:rFonts w:ascii="Arial" w:hAnsi="Arial" w:cs="Arial"/>
          <w:sz w:val="24"/>
          <w:szCs w:val="24"/>
        </w:rPr>
        <w:t xml:space="preserve"> new topics </w:t>
      </w:r>
      <w:r w:rsidR="001738F7" w:rsidRPr="00B51DDE">
        <w:rPr>
          <w:rFonts w:ascii="Arial" w:hAnsi="Arial" w:cs="Arial"/>
          <w:sz w:val="24"/>
          <w:szCs w:val="24"/>
        </w:rPr>
        <w:t>which</w:t>
      </w:r>
      <w:r w:rsidR="003066B1" w:rsidRPr="00B51DDE">
        <w:rPr>
          <w:rFonts w:ascii="Arial" w:hAnsi="Arial" w:cs="Arial"/>
          <w:sz w:val="24"/>
          <w:szCs w:val="24"/>
        </w:rPr>
        <w:t xml:space="preserve"> </w:t>
      </w:r>
      <w:r w:rsidRPr="00B51DDE">
        <w:rPr>
          <w:rFonts w:ascii="Arial" w:hAnsi="Arial" w:cs="Arial"/>
          <w:sz w:val="24"/>
          <w:szCs w:val="24"/>
        </w:rPr>
        <w:t>deepen the evidence base</w:t>
      </w:r>
      <w:r w:rsidR="00A82ECF" w:rsidRPr="00B51DDE">
        <w:rPr>
          <w:rFonts w:ascii="Arial" w:hAnsi="Arial" w:cs="Arial"/>
          <w:sz w:val="24"/>
          <w:szCs w:val="24"/>
        </w:rPr>
        <w:t xml:space="preserve"> </w:t>
      </w:r>
      <w:r w:rsidR="001738F7" w:rsidRPr="00B51DDE">
        <w:rPr>
          <w:rFonts w:ascii="Arial" w:hAnsi="Arial" w:cs="Arial"/>
          <w:sz w:val="24"/>
          <w:szCs w:val="24"/>
        </w:rPr>
        <w:t>forming</w:t>
      </w:r>
      <w:r w:rsidR="00A82ECF" w:rsidRPr="00B51DDE">
        <w:rPr>
          <w:rFonts w:ascii="Arial" w:hAnsi="Arial" w:cs="Arial"/>
          <w:sz w:val="24"/>
          <w:szCs w:val="24"/>
        </w:rPr>
        <w:t xml:space="preserve"> a practical </w:t>
      </w:r>
      <w:r w:rsidRPr="00B51DDE">
        <w:rPr>
          <w:rFonts w:ascii="Arial" w:hAnsi="Arial" w:cs="Arial"/>
          <w:sz w:val="24"/>
          <w:szCs w:val="24"/>
        </w:rPr>
        <w:t xml:space="preserve">belt training </w:t>
      </w:r>
      <w:r w:rsidR="002679E9" w:rsidRPr="00B51DDE">
        <w:rPr>
          <w:rFonts w:ascii="Arial" w:hAnsi="Arial" w:cs="Arial"/>
          <w:sz w:val="24"/>
          <w:szCs w:val="24"/>
        </w:rPr>
        <w:t>process</w:t>
      </w:r>
      <w:r w:rsidRPr="00B51DDE">
        <w:rPr>
          <w:rFonts w:ascii="Arial" w:hAnsi="Arial" w:cs="Arial"/>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(Plomp and Nieveen, 2010)</w:t>
      </w:r>
      <w:r w:rsidRPr="00B51DDE">
        <w:rPr>
          <w:rFonts w:ascii="Arial" w:hAnsi="Arial" w:cs="Arial"/>
          <w:sz w:val="24"/>
          <w:szCs w:val="24"/>
        </w:rPr>
        <w:fldChar w:fldCharType="end"/>
      </w:r>
      <w:r w:rsidRPr="00B51DDE">
        <w:rPr>
          <w:rFonts w:ascii="Arial" w:hAnsi="Arial" w:cs="Arial"/>
          <w:sz w:val="24"/>
          <w:szCs w:val="24"/>
        </w:rPr>
        <w:t>. It is expected that the literature review will investigate relevant research into belting</w:t>
      </w:r>
      <w:r w:rsidR="00E03FE5" w:rsidRPr="00B51DDE">
        <w:rPr>
          <w:rFonts w:ascii="Arial" w:hAnsi="Arial" w:cs="Arial"/>
          <w:sz w:val="24"/>
          <w:szCs w:val="24"/>
        </w:rPr>
        <w:t xml:space="preserve"> and</w:t>
      </w:r>
      <w:r w:rsidRPr="00B51DDE">
        <w:rPr>
          <w:rFonts w:ascii="Arial" w:hAnsi="Arial" w:cs="Arial"/>
          <w:sz w:val="24"/>
          <w:szCs w:val="24"/>
        </w:rPr>
        <w:t xml:space="preserve"> strategies for teaching belting from voice pedagogy documents, white literature, and grey literature. The review could extend into an investigation of existing belt training methods such as Complete Vocal Technique’s (CVT) overdrive and edge vocal modes (Sadolin, 2021). </w:t>
      </w:r>
      <w:r w:rsidR="0042609F" w:rsidRPr="00B51DDE">
        <w:rPr>
          <w:rFonts w:ascii="Arial" w:hAnsi="Arial" w:cs="Arial"/>
          <w:sz w:val="24"/>
          <w:szCs w:val="24"/>
        </w:rPr>
        <w:t>Other belt training processes may be researched and</w:t>
      </w:r>
      <w:r w:rsidRPr="00B51DDE">
        <w:rPr>
          <w:rFonts w:ascii="Arial" w:hAnsi="Arial" w:cs="Arial"/>
          <w:sz w:val="24"/>
          <w:szCs w:val="24"/>
        </w:rPr>
        <w:t xml:space="preserve"> review</w:t>
      </w:r>
      <w:r w:rsidR="0042609F" w:rsidRPr="00B51DDE">
        <w:rPr>
          <w:rFonts w:ascii="Arial" w:hAnsi="Arial" w:cs="Arial"/>
          <w:sz w:val="24"/>
          <w:szCs w:val="24"/>
        </w:rPr>
        <w:t>ed</w:t>
      </w:r>
      <w:r w:rsidRPr="00B51DDE">
        <w:rPr>
          <w:rFonts w:ascii="Arial" w:hAnsi="Arial" w:cs="Arial"/>
          <w:sz w:val="24"/>
          <w:szCs w:val="24"/>
        </w:rPr>
        <w:t xml:space="preserve">. Inclusion criteria will be applied to ascertain the quality of </w:t>
      </w:r>
      <w:r w:rsidR="00AA08C2" w:rsidRPr="00B51DDE">
        <w:rPr>
          <w:rFonts w:ascii="Arial" w:hAnsi="Arial" w:cs="Arial"/>
          <w:sz w:val="24"/>
          <w:szCs w:val="24"/>
        </w:rPr>
        <w:t xml:space="preserve">the </w:t>
      </w:r>
      <w:r w:rsidRPr="00B51DDE">
        <w:rPr>
          <w:rFonts w:ascii="Arial" w:hAnsi="Arial" w:cs="Arial"/>
          <w:sz w:val="24"/>
          <w:szCs w:val="24"/>
        </w:rPr>
        <w:t xml:space="preserve">reviewed material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uthor":[{"dropping-particle":"","family":"Merriam","given":"Sharan","non-dropping-particle":"","parse-names":false,"suffix":""}],"container-title":"Journal of Lifelong Learning","id":"ITEM-2","issued":{"date-parts":[["1995"]]},"page":"51-60","title":"Merriam - Issue of validity in Qual research.pdf","type":"article-journal","volume":"4"},"uris":["http://www.mendeley.com/documents/?uuid=1dc3c43d-fb54-4226-a966-a72a65dc6737"]}],"mendeley":{"formattedCitation":"(Merriam, 1995; Denscombe, 2014)","plainTextFormattedCitation":"(Merriam, 1995; Denscombe, 2014)","previouslyFormattedCitation":"(Merriam, 1995; Denscombe,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(Merriam, 1995; Denscombe, 2014)</w:t>
      </w:r>
      <w:r w:rsidRPr="00B51DDE">
        <w:rPr>
          <w:rFonts w:ascii="Arial" w:hAnsi="Arial" w:cs="Arial"/>
          <w:sz w:val="24"/>
          <w:szCs w:val="24"/>
        </w:rPr>
        <w:fldChar w:fldCharType="end"/>
      </w:r>
      <w:r w:rsidRPr="00B51DDE">
        <w:rPr>
          <w:rFonts w:ascii="Arial" w:hAnsi="Arial" w:cs="Arial"/>
          <w:sz w:val="24"/>
          <w:szCs w:val="24"/>
        </w:rPr>
        <w:t>.</w:t>
      </w:r>
      <w:r w:rsidR="00A07D4D" w:rsidRPr="00B51DDE">
        <w:rPr>
          <w:rFonts w:ascii="Arial" w:hAnsi="Arial" w:cs="Arial"/>
          <w:sz w:val="24"/>
          <w:szCs w:val="24"/>
        </w:rPr>
        <w:br w:type="page"/>
      </w:r>
    </w:p>
    <w:p w14:paraId="506ABFCF" w14:textId="5E85F57E" w:rsidR="0017792A" w:rsidRPr="00B51DDE" w:rsidRDefault="0017792A" w:rsidP="00AE2080">
      <w:pPr>
        <w:pStyle w:val="Default"/>
        <w:spacing w:line="360" w:lineRule="auto"/>
        <w:jc w:val="both"/>
      </w:pPr>
      <w:r w:rsidRPr="00B51DDE">
        <w:rPr>
          <w:b/>
          <w:bCs/>
          <w:i/>
          <w:iCs/>
        </w:rPr>
        <w:lastRenderedPageBreak/>
        <w:t>Assessing</w:t>
      </w:r>
      <w:r w:rsidR="002371E3" w:rsidRPr="00B51DDE">
        <w:rPr>
          <w:b/>
          <w:bCs/>
          <w:i/>
          <w:iCs/>
        </w:rPr>
        <w:t xml:space="preserve"> the</w:t>
      </w:r>
      <w:r w:rsidRPr="00B51DDE">
        <w:rPr>
          <w:b/>
          <w:bCs/>
          <w:i/>
          <w:iCs/>
        </w:rPr>
        <w:t xml:space="preserve"> practical application of the belt training </w:t>
      </w:r>
      <w:r w:rsidR="002679E9" w:rsidRPr="00B51DDE">
        <w:rPr>
          <w:b/>
          <w:bCs/>
          <w:i/>
          <w:iCs/>
        </w:rPr>
        <w:t>process</w:t>
      </w:r>
      <w:r w:rsidRPr="00B51DDE">
        <w:rPr>
          <w:b/>
          <w:bCs/>
          <w:i/>
          <w:iCs/>
        </w:rPr>
        <w:t xml:space="preserve"> </w:t>
      </w:r>
      <w:r w:rsidRPr="00B51DDE">
        <w:t xml:space="preserve">will happen in singing lessons after informed consent is obtained. The participants will receive a standardised introduction to the study and belt singing with discussion time. All participants will receive a </w:t>
      </w:r>
      <w:r w:rsidRPr="00B51DDE">
        <w:rPr>
          <w:b/>
          <w:bCs/>
          <w:i/>
          <w:iCs/>
        </w:rPr>
        <w:t xml:space="preserve">series of singing lessons </w:t>
      </w:r>
      <w:r w:rsidRPr="00B51DDE">
        <w:t xml:space="preserve">(probably six) which incorporate the </w:t>
      </w:r>
      <w:r w:rsidR="00082970" w:rsidRPr="00B51DDE">
        <w:t xml:space="preserve">improved </w:t>
      </w:r>
      <w:r w:rsidRPr="00B51DDE">
        <w:t xml:space="preserve">belt training </w:t>
      </w:r>
      <w:r w:rsidR="002679E9" w:rsidRPr="00B51DDE">
        <w:t>process</w:t>
      </w:r>
      <w:r w:rsidRPr="00B51DDE">
        <w:t xml:space="preserve">. Participants will have </w:t>
      </w:r>
      <w:r w:rsidRPr="00B51DDE">
        <w:rPr>
          <w:b/>
          <w:bCs/>
          <w:i/>
          <w:iCs/>
        </w:rPr>
        <w:t xml:space="preserve">pre- and post-study interviews </w:t>
      </w:r>
      <w:r w:rsidRPr="00B51DDE">
        <w:t>to gather data</w:t>
      </w:r>
      <w:r w:rsidRPr="00B51DDE">
        <w:rPr>
          <w:b/>
          <w:bCs/>
          <w:i/>
          <w:iCs/>
        </w:rPr>
        <w:t xml:space="preserve"> </w:t>
      </w:r>
      <w:r w:rsidRPr="00B51DDE">
        <w:t>establishing student feelings</w:t>
      </w:r>
      <w:r w:rsidR="00D1260C" w:rsidRPr="00B51DDE">
        <w:t>,</w:t>
      </w:r>
      <w:r w:rsidRPr="00B51DDE">
        <w:t xml:space="preserve"> </w:t>
      </w:r>
      <w:r w:rsidR="00BD11CE" w:rsidRPr="00B51DDE">
        <w:t>knowledge,</w:t>
      </w:r>
      <w:r w:rsidRPr="00B51DDE">
        <w:t xml:space="preserve"> and experience with belting. Participants will be invited </w:t>
      </w:r>
      <w:r w:rsidR="00E464BF" w:rsidRPr="00B51DDE">
        <w:t xml:space="preserve">to </w:t>
      </w:r>
      <w:r w:rsidRPr="00B51DDE">
        <w:t>complete logs after each practice session including belting</w:t>
      </w:r>
      <w:r w:rsidR="00A638CD" w:rsidRPr="00B51DDE">
        <w:t xml:space="preserve"> and to reflect on their practice between lessons</w:t>
      </w:r>
      <w:r w:rsidRPr="00B51DDE">
        <w:t xml:space="preserve">. </w:t>
      </w:r>
      <w:r w:rsidRPr="00B51DDE">
        <w:rPr>
          <w:b/>
          <w:bCs/>
          <w:i/>
          <w:iCs/>
        </w:rPr>
        <w:t xml:space="preserve">Student practice logs </w:t>
      </w:r>
      <w:r w:rsidRPr="00B51DDE">
        <w:t>will be</w:t>
      </w:r>
      <w:r w:rsidRPr="00B51DDE">
        <w:rPr>
          <w:b/>
          <w:bCs/>
          <w:i/>
          <w:iCs/>
        </w:rPr>
        <w:t xml:space="preserve"> </w:t>
      </w:r>
      <w:r w:rsidRPr="00B51DDE">
        <w:t xml:space="preserve">in the form of questionnaires with ghosted templates to prompt student reflections on their </w:t>
      </w:r>
      <w:r w:rsidR="003D14BF" w:rsidRPr="00B51DDE">
        <w:t xml:space="preserve">experiences during the study </w:t>
      </w:r>
      <w:r w:rsidRPr="00B51DDE">
        <w:fldChar w:fldCharType="begin" w:fldLock="1"/>
      </w:r>
      <w:r w:rsidRPr="00B51DDE">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Guide","type":"book"},"uris":["http://www.mendeley.com/documents/?uuid=f0f8632a-34fe-4332-acd9-274e093fbb0b"]}],"mendeley":{"formattedCitation":"(Denscombe, 2014)","plainTextFormattedCitation":"(Denscombe, 2014)","previouslyFormattedCitation":"(Denscombe, 2014)"},"properties":{"noteIndex":0},"schema":"https://github.com/citation-style-language/schema/raw/master/csl-citation.json"}</w:instrText>
      </w:r>
      <w:r w:rsidRPr="00B51DDE">
        <w:fldChar w:fldCharType="separate"/>
      </w:r>
      <w:r w:rsidRPr="00B51DDE">
        <w:rPr>
          <w:noProof/>
        </w:rPr>
        <w:t>(Denscombe, 2014)</w:t>
      </w:r>
      <w:r w:rsidRPr="00B51DDE">
        <w:fldChar w:fldCharType="end"/>
      </w:r>
      <w:r w:rsidRPr="00B51DDE">
        <w:t xml:space="preserve">. Students will </w:t>
      </w:r>
      <w:r w:rsidR="004B1A8E" w:rsidRPr="00B51DDE">
        <w:t xml:space="preserve">be </w:t>
      </w:r>
      <w:r w:rsidRPr="00B51DDE">
        <w:t>made aware that they can make audio recordings to support their learning and reflections on the</w:t>
      </w:r>
      <w:r w:rsidR="00A1117F" w:rsidRPr="00B51DDE">
        <w:t>ir</w:t>
      </w:r>
      <w:r w:rsidRPr="00B51DDE">
        <w:t xml:space="preserve"> belt training. Qualitative data from the practice logs and surveys will undergo Thematic Analysis to assess and evaluate the efficacy of the</w:t>
      </w:r>
      <w:r w:rsidR="00133C62" w:rsidRPr="00B51DDE">
        <w:t xml:space="preserve"> belt</w:t>
      </w:r>
      <w:r w:rsidRPr="00B51DDE">
        <w:t xml:space="preserve"> training </w:t>
      </w:r>
      <w:r w:rsidR="002679E9" w:rsidRPr="00B51DDE">
        <w:t>process</w:t>
      </w:r>
      <w:r w:rsidRPr="00B51DDE">
        <w:t xml:space="preserve"> and the students’ learning experience </w:t>
      </w:r>
      <w:r w:rsidRPr="00B51DDE">
        <w:fldChar w:fldCharType="begin" w:fldLock="1"/>
      </w:r>
      <w:r w:rsidRPr="00B51DDE">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Psychology","id":"ITEM-2","issue":"2","issued":{"date-parts":[["2006"]]},"note":"Highlights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psychology","type":"article-journal","volume":"3"},"uris":["http://www.mendeley.com/documents/?uuid=d79a4bb1-1383-4be0-9dfb-77bad2f80283"]}],"mendeley":{"formattedCitation":"(Braun and Clarke, 2006, 2019)","plainTextFormattedCitation":"(Braun and Clarke, 2006, 2019)","previouslyFormattedCitation":"(Braun and Clarke, 2006, 2019)"},"properties":{"noteIndex":0},"schema":"https://github.com/citation-style-language/schema/raw/master/csl-citation.json"}</w:instrText>
      </w:r>
      <w:r w:rsidRPr="00B51DDE">
        <w:fldChar w:fldCharType="separate"/>
      </w:r>
      <w:r w:rsidRPr="00B51DDE">
        <w:rPr>
          <w:noProof/>
        </w:rPr>
        <w:t>(Braun and Clarke, 2006, 2019)</w:t>
      </w:r>
      <w:r w:rsidRPr="00B51DDE">
        <w:fldChar w:fldCharType="end"/>
      </w:r>
      <w:r w:rsidRPr="00B51DDE">
        <w:t>.</w:t>
      </w:r>
    </w:p>
    <w:p w14:paraId="2A4D5B71" w14:textId="77777777" w:rsidR="0017792A" w:rsidRPr="00B51DDE" w:rsidRDefault="0017792A" w:rsidP="00AE2080">
      <w:pPr>
        <w:pStyle w:val="Default"/>
        <w:spacing w:line="360" w:lineRule="auto"/>
        <w:jc w:val="both"/>
      </w:pPr>
    </w:p>
    <w:p w14:paraId="74B9BF76" w14:textId="62740E02" w:rsidR="0017792A" w:rsidRPr="00B51DDE" w:rsidRDefault="0017792A" w:rsidP="00AE2080">
      <w:pPr>
        <w:spacing w:line="360" w:lineRule="auto"/>
        <w:jc w:val="both"/>
        <w:rPr>
          <w:rFonts w:ascii="Arial" w:hAnsi="Arial" w:cs="Arial"/>
          <w:b/>
          <w:bCs/>
          <w:sz w:val="24"/>
          <w:szCs w:val="24"/>
        </w:rPr>
      </w:pPr>
      <w:r w:rsidRPr="00B51DDE">
        <w:rPr>
          <w:rFonts w:ascii="Arial" w:hAnsi="Arial" w:cs="Arial"/>
          <w:b/>
          <w:bCs/>
          <w:sz w:val="24"/>
          <w:szCs w:val="24"/>
        </w:rPr>
        <w:t>Participants</w:t>
      </w:r>
    </w:p>
    <w:p w14:paraId="49938A88" w14:textId="50DFE8CE" w:rsidR="0017792A" w:rsidRPr="00B51DDE" w:rsidRDefault="0017792A" w:rsidP="00613ACA">
      <w:pPr>
        <w:pStyle w:val="Default"/>
        <w:spacing w:line="360" w:lineRule="auto"/>
        <w:jc w:val="both"/>
      </w:pPr>
      <w:r w:rsidRPr="00B51DDE">
        <w:t xml:space="preserve">There will be up to 3 participant singers and up to 3 independent experts. The singers will be a convenience sample of intermediate singers from my practice or sourced from local performing groups. Participant singing students will be identified by their interest in learning to belt and their availability. The independent experts will be </w:t>
      </w:r>
      <w:r w:rsidR="00AE4BD6" w:rsidRPr="00B51DDE">
        <w:t xml:space="preserve">experienced and qualified </w:t>
      </w:r>
      <w:r w:rsidRPr="00B51DDE">
        <w:t>professionals</w:t>
      </w:r>
      <w:r w:rsidR="00AE4BD6" w:rsidRPr="00B51DDE">
        <w:t xml:space="preserve"> </w:t>
      </w:r>
      <w:r w:rsidRPr="00B51DDE">
        <w:t xml:space="preserve">with experience of </w:t>
      </w:r>
      <w:r w:rsidR="00B670E4" w:rsidRPr="00B51DDE">
        <w:t>training singers to belt</w:t>
      </w:r>
      <w:r w:rsidRPr="00B51DDE">
        <w:t>. Ideally these teachers would also have experience in the field of voice research. They will be sought through the ‘Voice Geek’ Facebook forum of voice professionals.</w:t>
      </w:r>
    </w:p>
    <w:p w14:paraId="50574951" w14:textId="77777777" w:rsidR="00846B7C" w:rsidRPr="00B51DDE" w:rsidRDefault="00846B7C" w:rsidP="00613ACA">
      <w:pPr>
        <w:pStyle w:val="Default"/>
        <w:spacing w:line="360" w:lineRule="auto"/>
        <w:jc w:val="both"/>
      </w:pPr>
    </w:p>
    <w:p w14:paraId="275CF86C" w14:textId="77777777" w:rsidR="00342D7E" w:rsidRPr="00B51DDE" w:rsidRDefault="00342D7E" w:rsidP="00AE2080">
      <w:pPr>
        <w:spacing w:line="360" w:lineRule="auto"/>
        <w:jc w:val="both"/>
        <w:rPr>
          <w:rFonts w:ascii="Arial" w:hAnsi="Arial" w:cs="Arial"/>
          <w:b/>
          <w:sz w:val="24"/>
          <w:szCs w:val="24"/>
        </w:rPr>
      </w:pPr>
      <w:r w:rsidRPr="00B51DDE">
        <w:rPr>
          <w:rFonts w:ascii="Arial" w:hAnsi="Arial" w:cs="Arial"/>
          <w:b/>
          <w:sz w:val="24"/>
          <w:szCs w:val="24"/>
        </w:rPr>
        <w:br w:type="page"/>
      </w:r>
    </w:p>
    <w:p w14:paraId="3C3670F4" w14:textId="2098F789" w:rsidR="0017792A" w:rsidRPr="00B51DDE" w:rsidRDefault="00846B7C" w:rsidP="00AE2080">
      <w:pPr>
        <w:spacing w:line="360" w:lineRule="auto"/>
        <w:jc w:val="both"/>
        <w:rPr>
          <w:rFonts w:ascii="Arial" w:hAnsi="Arial" w:cs="Arial"/>
          <w:b/>
          <w:sz w:val="24"/>
          <w:szCs w:val="24"/>
        </w:rPr>
      </w:pPr>
      <w:r w:rsidRPr="00B51DDE">
        <w:rPr>
          <w:rFonts w:ascii="Arial" w:hAnsi="Arial" w:cs="Arial"/>
          <w:b/>
          <w:sz w:val="24"/>
          <w:szCs w:val="24"/>
        </w:rPr>
        <w:lastRenderedPageBreak/>
        <w:t>E</w:t>
      </w:r>
      <w:r w:rsidR="0017792A" w:rsidRPr="00B51DDE">
        <w:rPr>
          <w:rFonts w:ascii="Arial" w:hAnsi="Arial" w:cs="Arial"/>
          <w:b/>
          <w:sz w:val="24"/>
          <w:szCs w:val="24"/>
        </w:rPr>
        <w:t>thics and insider research</w:t>
      </w:r>
    </w:p>
    <w:p w14:paraId="0F98098D" w14:textId="77777777" w:rsidR="0017792A" w:rsidRPr="00B51DDE" w:rsidRDefault="0017792A" w:rsidP="00AE2080">
      <w:pPr>
        <w:keepNext/>
        <w:autoSpaceDE w:val="0"/>
        <w:autoSpaceDN w:val="0"/>
        <w:adjustRightInd w:val="0"/>
        <w:spacing w:line="360" w:lineRule="auto"/>
        <w:jc w:val="both"/>
        <w:rPr>
          <w:rFonts w:ascii="Arial" w:hAnsi="Arial" w:cs="Arial"/>
          <w:sz w:val="24"/>
          <w:szCs w:val="24"/>
        </w:rPr>
      </w:pPr>
      <w:r w:rsidRPr="00B51DDE">
        <w:rPr>
          <w:rFonts w:ascii="Arial" w:hAnsi="Arial" w:cs="Arial"/>
          <w:b/>
          <w:i/>
          <w:iCs/>
          <w:sz w:val="24"/>
          <w:szCs w:val="24"/>
        </w:rPr>
        <w:t>M</w:t>
      </w:r>
      <w:r w:rsidRPr="00B51DDE">
        <w:rPr>
          <w:rFonts w:ascii="Arial" w:hAnsi="Arial" w:cs="Arial"/>
          <w:b/>
          <w:i/>
          <w:sz w:val="24"/>
          <w:szCs w:val="24"/>
        </w:rPr>
        <w:t>itigating the Risk to Participants</w:t>
      </w:r>
    </w:p>
    <w:p w14:paraId="2B6B1489" w14:textId="78E717D1" w:rsidR="004C19C5" w:rsidRPr="00B51DDE" w:rsidRDefault="0017792A" w:rsidP="00AE2080">
      <w:pPr>
        <w:pStyle w:val="Default"/>
        <w:spacing w:line="360" w:lineRule="auto"/>
        <w:jc w:val="both"/>
      </w:pPr>
      <w:r w:rsidRPr="00B51DDE">
        <w:t xml:space="preserve">As with all singing, there is a risk of vocal damage if done in an unhealthy way. Voice teachers often pay attention to student comfort and vocal health, this will be a priority during this study both in data gathering and the application of the belt training process in lessons </w:t>
      </w:r>
      <w:r w:rsidRPr="00B51DDE">
        <w:fldChar w:fldCharType="begin" w:fldLock="1"/>
      </w:r>
      <w:r w:rsidRPr="00B51DDE">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Pedagogues","type":"article-journal","volume":"30"},"uris":["http://www.mendeley.com/documents/?uuid=4706de4e-157f-47ca-96aa-d6b4c276968b"]},{"id":"ITEM-2","itemData":{"DOI":"10.13075/mp.5893.01201","ISSN":"23531339","PMID":"35133326","abstract":"Singers,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Pracy","id":"ITEM-2","issue":"1","issued":{"date-parts":[["2022"]]},"note":"Key:\nOpera/Classical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Aspects","type":"article-journal","volume":"73"},"uris":["http://www.mendeley.com/documents/?uuid=ff0659a5-b881-41e5-a677-f36a5bae306a"]},{"id":"ITEM-3","itemData":{"abstract":"The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techniques.","author":[{"dropping-particle":"","family":"Roll","given":"","non-dropping-particle":"","parse-names":false,"suffix":""}],"id":"ITEM-3","issued":{"date-parts":[["2014"]]},"title":"FEMALE MUSICAL THEATER BELTING IN THE 21ST CENTURY","type":"article-journal"},"uris":["http://www.mendeley.com/documents/?uuid=5030bbb6-60db-47c9-8cfb-a9da980f8b89"]},{"id":"ITEM-4","itemData":{"DOI":"10.1016/j.jvoice.2015.07.008","ISSN":"18734588","PMID":"26296854","abstract":"Background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Voice","id":"ITEM-4","issue":"5","issued":{"date-parts":[["2016"]]},"page":"639.e1-639.e9","publisher":"Elsevier Ltd","title":"The Evolution of the Female Broadway Belt Voice: Implications for Teachers and Singers","type":"article-journal","volume":"30"},"uris":["http://www.mendeley.com/documents/?uuid=38644f2f-538f-4d06-8628-46c02201698d"]}],"mendeley":{"formattedCitation":"(Roll, 2014, 2016; Bourne and Kenny, 2016; Morawska, Niebudek-Bogusz and Pietruszewska, 2022)","plainTextFormattedCitation":"(Roll, 2014, 2016; Bourne and Kenny, 2016; Morawska, Niebudek-Bogusz and Pietruszewska, 2022)","previouslyFormattedCitation":"(Roll, 2014, 2016; Bourne and Kenny, 2016; Morawska, Niebudek-Bogusz and Pietruszewska, 2022)"},"properties":{"noteIndex":0},"schema":"https://github.com/citation-style-language/schema/raw/master/csl-citation.json"}</w:instrText>
      </w:r>
      <w:r w:rsidRPr="00B51DDE">
        <w:fldChar w:fldCharType="separate"/>
      </w:r>
      <w:r w:rsidRPr="00B51DDE">
        <w:rPr>
          <w:noProof/>
        </w:rPr>
        <w:t>(Roll, 2014, 2016; Bourne and Kenny, 2016; Morawska, Niebudek-Bogusz and Pietruszewska, 2022)</w:t>
      </w:r>
      <w:r w:rsidRPr="00B51DDE">
        <w:fldChar w:fldCharType="end"/>
      </w:r>
      <w:r w:rsidRPr="00B51DDE">
        <w:t xml:space="preserve">. My experience and qualifications as a singing teacher and Vocal Health First </w:t>
      </w:r>
      <w:r w:rsidR="00867964" w:rsidRPr="00B51DDE">
        <w:t>A</w:t>
      </w:r>
      <w:r w:rsidRPr="00B51DDE">
        <w:t xml:space="preserve">ider </w:t>
      </w:r>
      <w:r w:rsidR="004609CC" w:rsidRPr="00B51DDE">
        <w:t xml:space="preserve">will </w:t>
      </w:r>
      <w:r w:rsidRPr="00B51DDE">
        <w:t>support me in doing this. I have contact with local voice professionals</w:t>
      </w:r>
      <w:r w:rsidR="00A60C18">
        <w:t>,</w:t>
      </w:r>
      <w:r w:rsidRPr="00B51DDE">
        <w:t xml:space="preserve"> such as S</w:t>
      </w:r>
      <w:r w:rsidR="006F7644" w:rsidRPr="00B51DDE">
        <w:t xml:space="preserve">peech and </w:t>
      </w:r>
      <w:r w:rsidRPr="00B51DDE">
        <w:t>L</w:t>
      </w:r>
      <w:r w:rsidR="006F7644" w:rsidRPr="00B51DDE">
        <w:t xml:space="preserve">anguage </w:t>
      </w:r>
      <w:r w:rsidRPr="00B51DDE">
        <w:t>T</w:t>
      </w:r>
      <w:r w:rsidR="006F7644" w:rsidRPr="00B51DDE">
        <w:t>herapist</w:t>
      </w:r>
      <w:r w:rsidR="004609CC" w:rsidRPr="00B51DDE">
        <w:t>s</w:t>
      </w:r>
      <w:r w:rsidRPr="00B51DDE">
        <w:t xml:space="preserve"> </w:t>
      </w:r>
      <w:r w:rsidR="004609CC" w:rsidRPr="00B51DDE">
        <w:t>and</w:t>
      </w:r>
      <w:r w:rsidRPr="00B51DDE">
        <w:t xml:space="preserve"> physiotherapists with expertise in </w:t>
      </w:r>
      <w:proofErr w:type="gramStart"/>
      <w:r w:rsidRPr="00B51DDE">
        <w:t>voice</w:t>
      </w:r>
      <w:r w:rsidR="00A60C18">
        <w:t>,</w:t>
      </w:r>
      <w:r w:rsidRPr="00B51DDE">
        <w:t xml:space="preserve"> and</w:t>
      </w:r>
      <w:proofErr w:type="gramEnd"/>
      <w:r w:rsidRPr="00B51DDE">
        <w:t xml:space="preserve"> will refer participants if required. If unforeseeable physical discomfort or emotional distress occurs, a session can be paused or rescheduled. Students </w:t>
      </w:r>
      <w:r w:rsidR="009A1368" w:rsidRPr="00B51DDE">
        <w:t xml:space="preserve">and experts will know they </w:t>
      </w:r>
      <w:r w:rsidRPr="00B51DDE">
        <w:t>can withdraw from the project at any time.</w:t>
      </w:r>
      <w:r w:rsidR="009A1368" w:rsidRPr="00B51DDE">
        <w:t xml:space="preserve"> The expert participants will be treated respectfully to ensure a professional interaction. </w:t>
      </w:r>
      <w:r w:rsidRPr="00B51DDE">
        <w:t xml:space="preserve">The </w:t>
      </w:r>
      <w:r w:rsidR="009A1368" w:rsidRPr="00B51DDE">
        <w:t xml:space="preserve">interviews, </w:t>
      </w:r>
      <w:r w:rsidRPr="00B51DDE">
        <w:t>surveys</w:t>
      </w:r>
      <w:r w:rsidR="00BD0CBF" w:rsidRPr="00B51DDE">
        <w:t>,</w:t>
      </w:r>
      <w:r w:rsidR="00FB2257" w:rsidRPr="00B51DDE">
        <w:t xml:space="preserve"> and</w:t>
      </w:r>
      <w:r w:rsidRPr="00B51DDE">
        <w:t xml:space="preserve"> logs will contain participants’ views</w:t>
      </w:r>
      <w:r w:rsidR="009A1368" w:rsidRPr="00B51DDE">
        <w:t xml:space="preserve"> and experiences</w:t>
      </w:r>
      <w:r w:rsidRPr="00B51DDE">
        <w:t xml:space="preserve">. Anonymity coding will be </w:t>
      </w:r>
      <w:r w:rsidR="001E6933" w:rsidRPr="00B51DDE">
        <w:t>employed</w:t>
      </w:r>
      <w:r w:rsidRPr="00B51DDE">
        <w:t xml:space="preserve"> to protect</w:t>
      </w:r>
      <w:r w:rsidR="009A1368" w:rsidRPr="00B51DDE">
        <w:t xml:space="preserve"> all</w:t>
      </w:r>
      <w:r w:rsidRPr="00B51DDE">
        <w:t xml:space="preserve"> </w:t>
      </w:r>
      <w:r w:rsidR="001E6933" w:rsidRPr="00B51DDE">
        <w:t xml:space="preserve">personal </w:t>
      </w:r>
      <w:r w:rsidRPr="00B51DDE">
        <w:t>data</w:t>
      </w:r>
      <w:r w:rsidR="009A1368" w:rsidRPr="00B51DDE">
        <w:t xml:space="preserve"> and analyses will be respectful to </w:t>
      </w:r>
      <w:r w:rsidR="00B82F04" w:rsidRPr="00B51DDE">
        <w:t>all</w:t>
      </w:r>
      <w:r w:rsidR="009A1368" w:rsidRPr="00B51DDE">
        <w:t xml:space="preserve"> </w:t>
      </w:r>
      <w:r w:rsidR="00B82F04" w:rsidRPr="00B51DDE">
        <w:t>participants</w:t>
      </w:r>
      <w:r w:rsidRPr="00B51DDE">
        <w:t>. All data will be stored on my password</w:t>
      </w:r>
      <w:r w:rsidR="00B5323F" w:rsidRPr="00B51DDE">
        <w:t>-</w:t>
      </w:r>
      <w:r w:rsidRPr="00B51DDE">
        <w:t xml:space="preserve">secured computer </w:t>
      </w:r>
      <w:r w:rsidR="0062086D" w:rsidRPr="00B51DDE">
        <w:t>to</w:t>
      </w:r>
      <w:r w:rsidRPr="00B51DDE">
        <w:t xml:space="preserve"> which only I have access.</w:t>
      </w:r>
    </w:p>
    <w:p w14:paraId="7B2DC717" w14:textId="77777777" w:rsidR="004C19C5" w:rsidRPr="00B51DDE" w:rsidRDefault="004C19C5" w:rsidP="00AE2080">
      <w:pPr>
        <w:pStyle w:val="Default"/>
        <w:spacing w:line="360" w:lineRule="auto"/>
        <w:jc w:val="both"/>
      </w:pPr>
    </w:p>
    <w:p w14:paraId="2E69AB29" w14:textId="17A0266E" w:rsidR="0017792A" w:rsidRPr="00B51DDE" w:rsidRDefault="0017792A" w:rsidP="00AE2080">
      <w:pPr>
        <w:pStyle w:val="Default"/>
        <w:spacing w:line="360" w:lineRule="auto"/>
        <w:jc w:val="both"/>
      </w:pPr>
      <w:r w:rsidRPr="00B51DDE">
        <w:rPr>
          <w:b/>
          <w:i/>
        </w:rPr>
        <w:t>Mitigating the Risk to</w:t>
      </w:r>
      <w:r w:rsidR="00110F97" w:rsidRPr="00B51DDE">
        <w:rPr>
          <w:b/>
          <w:i/>
        </w:rPr>
        <w:t xml:space="preserve"> the</w:t>
      </w:r>
      <w:r w:rsidRPr="00B51DDE">
        <w:rPr>
          <w:b/>
          <w:i/>
        </w:rPr>
        <w:t xml:space="preserve"> Investigator</w:t>
      </w:r>
    </w:p>
    <w:p w14:paraId="7E1126ED" w14:textId="77777777" w:rsidR="000F47E4" w:rsidRPr="00B51DDE" w:rsidRDefault="0017792A" w:rsidP="00AE2080">
      <w:pPr>
        <w:pStyle w:val="Default"/>
        <w:spacing w:line="360" w:lineRule="auto"/>
        <w:jc w:val="both"/>
      </w:pPr>
      <w:r w:rsidRPr="00B51DDE">
        <w:t xml:space="preserve">Having </w:t>
      </w:r>
      <w:r w:rsidR="00071147" w:rsidRPr="00B51DDE">
        <w:t>over</w:t>
      </w:r>
      <w:r w:rsidR="008F725C" w:rsidRPr="00B51DDE">
        <w:t xml:space="preserve"> twenty years of experience</w:t>
      </w:r>
      <w:r w:rsidRPr="00B51DDE">
        <w:t xml:space="preserve"> in the field of voice training, I am aware that there can be emotional distress during the learning process and that this distress could be directed at me. I have avenues of support I can use, if required, such as counsellors and psychotherapists.</w:t>
      </w:r>
    </w:p>
    <w:p w14:paraId="50F1BC05" w14:textId="14FAE921" w:rsidR="0017792A" w:rsidRPr="00B51DDE" w:rsidRDefault="0017792A" w:rsidP="00AE2080">
      <w:pPr>
        <w:pStyle w:val="Default"/>
        <w:spacing w:line="360" w:lineRule="auto"/>
        <w:jc w:val="both"/>
      </w:pPr>
      <w:r w:rsidRPr="00B51DDE">
        <w:t>There is the potential for a conflict of interest with using expert participants</w:t>
      </w:r>
      <w:r w:rsidR="00A24963">
        <w:t>,</w:t>
      </w:r>
      <w:r w:rsidRPr="00B51DDE">
        <w:t xml:space="preserve"> as </w:t>
      </w:r>
      <w:r w:rsidR="00C437FE" w:rsidRPr="00B51DDE">
        <w:t xml:space="preserve">we </w:t>
      </w:r>
      <w:r w:rsidR="00A24963">
        <w:t>are</w:t>
      </w:r>
      <w:r w:rsidRPr="00B51DDE">
        <w:t xml:space="preserve"> professionals</w:t>
      </w:r>
      <w:r w:rsidR="00A24963">
        <w:t>, working</w:t>
      </w:r>
      <w:r w:rsidRPr="00B51DDE">
        <w:t xml:space="preserve"> in the same fiel</w:t>
      </w:r>
      <w:r w:rsidR="00C437FE" w:rsidRPr="00B51DDE">
        <w:t>d</w:t>
      </w:r>
      <w:r w:rsidRPr="00B51DDE">
        <w:t>. Independent experts will be sought only through the ‘Voice Geek’ Facebook forum which vets the intake and professional behaviour within the forum. This will support the objective of finding experts with professional conduct and interest in the education of others.</w:t>
      </w:r>
    </w:p>
    <w:p w14:paraId="455342F3" w14:textId="77777777" w:rsidR="000F47E4" w:rsidRPr="00B51DDE" w:rsidRDefault="000F47E4" w:rsidP="00AE2080">
      <w:pPr>
        <w:pStyle w:val="Default"/>
        <w:spacing w:line="360" w:lineRule="auto"/>
        <w:jc w:val="both"/>
      </w:pPr>
    </w:p>
    <w:p w14:paraId="3E3FA5E0" w14:textId="6C5BC090" w:rsidR="004C19C5" w:rsidRPr="00B51DDE" w:rsidRDefault="0017792A" w:rsidP="00AE2080">
      <w:pPr>
        <w:pStyle w:val="Default"/>
        <w:spacing w:line="360" w:lineRule="auto"/>
        <w:jc w:val="both"/>
      </w:pPr>
      <w:r w:rsidRPr="00B51DDE">
        <w:t xml:space="preserve">Participants will receive a clear explanation of what is involved in the study; they will be treated with respect and </w:t>
      </w:r>
      <w:r w:rsidR="00453FB4" w:rsidRPr="00B51DDE">
        <w:t xml:space="preserve">will </w:t>
      </w:r>
      <w:r w:rsidRPr="00B51DDE">
        <w:t>be offered support</w:t>
      </w:r>
      <w:r w:rsidR="00453FB4" w:rsidRPr="00B51DDE">
        <w:t xml:space="preserve"> if required</w:t>
      </w:r>
      <w:r w:rsidRPr="00B51DDE">
        <w:t>. Informed consent will be obtained. I would aim to have more interest in participating than is required</w:t>
      </w:r>
      <w:r w:rsidR="00453FB4" w:rsidRPr="00B51DDE">
        <w:t xml:space="preserve"> to </w:t>
      </w:r>
      <w:r w:rsidR="00453FB4" w:rsidRPr="00B51DDE">
        <w:lastRenderedPageBreak/>
        <w:t>ensure enough data is obtained</w:t>
      </w:r>
      <w:r w:rsidRPr="00B51DDE">
        <w:t xml:space="preserve">. If consent is withdrawn and there is enough time, a new participant could be invited to join the study. </w:t>
      </w:r>
      <w:r w:rsidR="006453A0" w:rsidRPr="00B51DDE">
        <w:t xml:space="preserve">Project planning via a GANTT chart will support </w:t>
      </w:r>
      <w:r w:rsidR="002A5808" w:rsidRPr="00B51DDE">
        <w:t xml:space="preserve">time management </w:t>
      </w:r>
      <w:r w:rsidR="006453A0" w:rsidRPr="00B51DDE">
        <w:t>decisions if the project deviates from the initial plan.</w:t>
      </w:r>
    </w:p>
    <w:p w14:paraId="04F158B7" w14:textId="77777777" w:rsidR="00342D7E" w:rsidRPr="00B51DDE" w:rsidRDefault="00342D7E" w:rsidP="00AE2080">
      <w:pPr>
        <w:pStyle w:val="Default"/>
        <w:spacing w:line="360" w:lineRule="auto"/>
        <w:jc w:val="both"/>
      </w:pPr>
    </w:p>
    <w:p w14:paraId="559AC74A" w14:textId="5474A522" w:rsidR="0017792A" w:rsidRPr="00B51DDE" w:rsidRDefault="0017792A" w:rsidP="00AE2080">
      <w:pPr>
        <w:spacing w:line="360" w:lineRule="auto"/>
        <w:jc w:val="both"/>
        <w:rPr>
          <w:rFonts w:ascii="Arial" w:hAnsi="Arial" w:cs="Arial"/>
          <w:b/>
          <w:sz w:val="24"/>
          <w:szCs w:val="24"/>
        </w:rPr>
      </w:pPr>
      <w:r w:rsidRPr="00B51DDE">
        <w:rPr>
          <w:rFonts w:ascii="Arial" w:hAnsi="Arial" w:cs="Arial"/>
          <w:b/>
          <w:sz w:val="24"/>
          <w:szCs w:val="24"/>
        </w:rPr>
        <w:t>Personal learning outcomes</w:t>
      </w:r>
    </w:p>
    <w:p w14:paraId="2DDC54E6" w14:textId="1D86D2A7" w:rsidR="0017792A" w:rsidRPr="00B51DDE" w:rsidRDefault="0017792A" w:rsidP="00AE2080">
      <w:pPr>
        <w:pStyle w:val="Default"/>
        <w:spacing w:line="360" w:lineRule="auto"/>
        <w:jc w:val="both"/>
      </w:pPr>
      <w:r w:rsidRPr="00B51DDE">
        <w:t xml:space="preserve">This study is an opportunity for me to improve my effectiveness </w:t>
      </w:r>
      <w:r w:rsidR="00304D2B" w:rsidRPr="00B51DDE">
        <w:t>when</w:t>
      </w:r>
      <w:r w:rsidRPr="00B51DDE">
        <w:t xml:space="preserve"> training belt</w:t>
      </w:r>
      <w:r w:rsidR="00304D2B" w:rsidRPr="00B51DDE">
        <w:t>ing</w:t>
      </w:r>
      <w:r w:rsidRPr="00B51DDE">
        <w:t xml:space="preserve"> and</w:t>
      </w:r>
      <w:r w:rsidR="00DF48F3" w:rsidRPr="00B51DDE">
        <w:t xml:space="preserve"> to</w:t>
      </w:r>
      <w:r w:rsidRPr="00B51DDE">
        <w:t xml:space="preserve"> improve my students’ learning experience </w:t>
      </w:r>
      <w:r w:rsidR="002761BF" w:rsidRPr="00B51DDE">
        <w:t>during</w:t>
      </w:r>
      <w:r w:rsidRPr="00B51DDE">
        <w:t xml:space="preserve"> belt</w:t>
      </w:r>
      <w:r w:rsidR="002761BF" w:rsidRPr="00B51DDE">
        <w:t xml:space="preserve"> training</w:t>
      </w:r>
      <w:r w:rsidRPr="00B51DDE">
        <w:t>. This study should feed into my broader professional development by:</w:t>
      </w:r>
    </w:p>
    <w:p w14:paraId="78B1CE6C" w14:textId="77777777" w:rsidR="0017792A" w:rsidRPr="00B51DDE" w:rsidRDefault="0017792A" w:rsidP="00AE2080">
      <w:pPr>
        <w:pStyle w:val="Default"/>
        <w:spacing w:line="360" w:lineRule="auto"/>
        <w:jc w:val="both"/>
      </w:pPr>
    </w:p>
    <w:p w14:paraId="06DEE40E" w14:textId="77777777" w:rsidR="00740954" w:rsidRPr="00B51DDE" w:rsidRDefault="00740954" w:rsidP="00740954">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Gaining an improved understanding of belting in female voices</w:t>
      </w:r>
    </w:p>
    <w:p w14:paraId="21A3DF1E" w14:textId="62945593" w:rsidR="00EF73D4" w:rsidRPr="00B51DDE" w:rsidRDefault="00EF73D4" w:rsidP="00740954">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Gaining an improved understanding of how to train belting</w:t>
      </w:r>
    </w:p>
    <w:p w14:paraId="50640BAC" w14:textId="15FA4BB6" w:rsidR="0017792A" w:rsidRPr="002847E8" w:rsidRDefault="00EF73D4" w:rsidP="00BA30B4">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Improving my knowledge of CCM techniques</w:t>
      </w:r>
      <w:r w:rsidR="0017792A" w:rsidRPr="002847E8">
        <w:rPr>
          <w:rFonts w:ascii="Arial" w:hAnsi="Arial" w:cs="Arial"/>
          <w:sz w:val="24"/>
          <w:szCs w:val="24"/>
        </w:rPr>
        <w:br w:type="page"/>
      </w:r>
    </w:p>
    <w:p w14:paraId="0C961E19" w14:textId="1E9696FA" w:rsidR="00F028E1" w:rsidRPr="00AE2080" w:rsidRDefault="00F028E1" w:rsidP="00AE2080">
      <w:pPr>
        <w:pStyle w:val="Default"/>
        <w:spacing w:line="360" w:lineRule="auto"/>
        <w:jc w:val="center"/>
        <w:rPr>
          <w:b/>
          <w:color w:val="auto"/>
        </w:rPr>
      </w:pPr>
      <w:bookmarkStart w:id="3" w:name="Introduction"/>
      <w:r w:rsidRPr="00AE2080">
        <w:rPr>
          <w:b/>
          <w:color w:val="auto"/>
        </w:rPr>
        <w:lastRenderedPageBreak/>
        <w:t>Report</w:t>
      </w:r>
    </w:p>
    <w:p w14:paraId="41E1B81A" w14:textId="79C1D266" w:rsidR="00382AF9" w:rsidRPr="00AE2080" w:rsidRDefault="00382AF9" w:rsidP="00AE2080">
      <w:pPr>
        <w:pStyle w:val="Default"/>
        <w:spacing w:line="360" w:lineRule="auto"/>
        <w:jc w:val="both"/>
      </w:pPr>
      <w:r w:rsidRPr="00AE2080">
        <w:rPr>
          <w:b/>
          <w:color w:val="auto"/>
        </w:rPr>
        <w:t xml:space="preserve">Project: </w:t>
      </w:r>
      <w:r w:rsidRPr="00AE2080">
        <w:rPr>
          <w:bCs/>
          <w:color w:val="auto"/>
        </w:rPr>
        <w:t xml:space="preserve">How does a collaborative approach to developing an evidence-based belt training </w:t>
      </w:r>
      <w:r w:rsidR="002679E9">
        <w:rPr>
          <w:bCs/>
          <w:color w:val="auto"/>
        </w:rPr>
        <w:t>process</w:t>
      </w:r>
      <w:r w:rsidRPr="00AE2080">
        <w:rPr>
          <w:bCs/>
          <w:color w:val="auto"/>
        </w:rPr>
        <w:t xml:space="preserve"> impact my professional practice?</w:t>
      </w:r>
    </w:p>
    <w:p w14:paraId="16B21F1E" w14:textId="0BCC14F9" w:rsidR="0012106F" w:rsidRPr="00AE2080" w:rsidRDefault="0012106F" w:rsidP="00AE2080">
      <w:pPr>
        <w:pStyle w:val="NormalWeb"/>
        <w:spacing w:line="360" w:lineRule="auto"/>
        <w:jc w:val="both"/>
        <w:rPr>
          <w:rFonts w:ascii="Arial" w:hAnsi="Arial" w:cs="Arial"/>
          <w:b/>
          <w:bCs/>
        </w:rPr>
      </w:pPr>
      <w:r w:rsidRPr="00AE2080">
        <w:rPr>
          <w:rFonts w:ascii="Arial" w:hAnsi="Arial" w:cs="Arial"/>
          <w:b/>
          <w:bCs/>
        </w:rPr>
        <w:t>Introduction</w:t>
      </w:r>
    </w:p>
    <w:bookmarkEnd w:id="3"/>
    <w:p w14:paraId="4A607945" w14:textId="0EF8AAAE" w:rsidR="0012106F" w:rsidRPr="00AE2080" w:rsidRDefault="0012106F" w:rsidP="00AE2080">
      <w:pPr>
        <w:tabs>
          <w:tab w:val="left" w:pos="1845"/>
        </w:tabs>
        <w:spacing w:line="360" w:lineRule="auto"/>
        <w:jc w:val="both"/>
        <w:rPr>
          <w:rFonts w:ascii="Arial" w:hAnsi="Arial" w:cs="Arial"/>
          <w:sz w:val="24"/>
          <w:szCs w:val="24"/>
        </w:rPr>
      </w:pPr>
      <w:r w:rsidRPr="00AE2080">
        <w:rPr>
          <w:rFonts w:ascii="Arial" w:hAnsi="Arial" w:cs="Arial"/>
          <w:bCs/>
          <w:sz w:val="24"/>
          <w:szCs w:val="24"/>
        </w:rPr>
        <w:t xml:space="preserve">This research project is intended to contribute to my Continuing Professional Development (CPD) in the field of </w:t>
      </w:r>
      <w:r w:rsidRPr="00AE2080">
        <w:rPr>
          <w:rFonts w:ascii="Arial" w:hAnsi="Arial" w:cs="Arial"/>
          <w:sz w:val="24"/>
          <w:szCs w:val="24"/>
        </w:rPr>
        <w:t xml:space="preserve">Contemporary Commercial Music (CCM), specifically the techniques and training of the style of powerful singing known as belting. </w:t>
      </w:r>
      <w:r w:rsidR="008C02FC" w:rsidRPr="00AE2080">
        <w:rPr>
          <w:rFonts w:ascii="Arial" w:hAnsi="Arial" w:cs="Arial"/>
          <w:sz w:val="24"/>
          <w:szCs w:val="24"/>
        </w:rPr>
        <w:t xml:space="preserve">Belt singing </w:t>
      </w:r>
      <w:r w:rsidR="008C02FC">
        <w:rPr>
          <w:rFonts w:ascii="Arial" w:hAnsi="Arial" w:cs="Arial"/>
          <w:sz w:val="24"/>
          <w:szCs w:val="24"/>
        </w:rPr>
        <w:t xml:space="preserve">is </w:t>
      </w:r>
      <w:r w:rsidR="008C02FC" w:rsidRPr="00AE2080">
        <w:rPr>
          <w:rFonts w:ascii="Arial" w:hAnsi="Arial" w:cs="Arial"/>
          <w:sz w:val="24"/>
          <w:szCs w:val="24"/>
        </w:rPr>
        <w:t xml:space="preserve">often described as loud and brassy employing twang, speech-like, bright, and </w:t>
      </w:r>
      <w:r w:rsidR="00E860EE">
        <w:rPr>
          <w:rFonts w:ascii="Arial" w:hAnsi="Arial" w:cs="Arial"/>
          <w:sz w:val="24"/>
          <w:szCs w:val="24"/>
        </w:rPr>
        <w:t xml:space="preserve">with </w:t>
      </w:r>
      <w:r w:rsidR="008C02FC" w:rsidRPr="00AE2080">
        <w:rPr>
          <w:rFonts w:ascii="Arial" w:hAnsi="Arial" w:cs="Arial"/>
          <w:sz w:val="24"/>
          <w:szCs w:val="24"/>
        </w:rPr>
        <w:t xml:space="preserve">forward qualities </w:t>
      </w:r>
      <w:r w:rsidR="008C02FC" w:rsidRPr="00AE2080">
        <w:rPr>
          <w:rFonts w:ascii="Arial" w:hAnsi="Arial" w:cs="Arial"/>
          <w:sz w:val="24"/>
          <w:szCs w:val="24"/>
        </w:rPr>
        <w:fldChar w:fldCharType="begin" w:fldLock="1"/>
      </w:r>
      <w:r w:rsidR="008C02FC" w:rsidRPr="00AE2080">
        <w:rPr>
          <w:rFonts w:ascii="Arial" w:hAnsi="Arial" w:cs="Arial"/>
          <w:sz w:val="24"/>
          <w:szCs w:val="24"/>
        </w:rPr>
        <w:instrText>ADDIN CSL_CITATION {"citationItems":[{"id":"ITEM-1","itemData":{"DOI":"10.1016/j.jvoice.2009.10.014","ISSN":"08921997","PMID":"20236798","abstract":"The purpose of the present study was to further clarify a definition of belting in physiological and acoustic terms. Twenty professional female singers produced triads ascending by halftone steps from C4 to C5 and sang the last four measures of a popular Broadway ballad in both legit and belt styles. Vocal source differences between belt and legit singing modes were assessed with respect to closed quotient (CQ) and speed quotient (SQ) computed from the electroglottographic waveform during productions of /ma/ triads covering approximately one octave. Differences in supraglottal configuration were evaluated in terms of the ratio (dB) of the amplitudes of the first and second harmonics of /I/ sustained at the pitch A5b, as noted in the long-term average spectrum. CQ did not vary significantly as a function of the singing type. SQ, however, decreased monotonically in association with increasing pitch level in both legit and belt singing styles. Belt mode phonations had higher SQ's than those of legit mode phonations at the same pitch. A repeated-measures analysis of variance demonstrated that the data differences associated with both pitch level and with singing mode were significant beyond P &lt; 0.01. Analysis of the relative magnitude of the first and second harmonics showed that the direction of the harmonic ratio varied between styles. In legit singing style, H1 was always stronger than H2, but this unidirectionality of amplitude was not characteristic of belt singing, for which the second harmonic had greater amplitude in 25% of the cases. Implications of these results are discussed with regard to a new definition of belting. © 2011 The Voice Foundation.","author":[{"dropping-particle":"","family":"Lebowitz","given":"Amy","non-dropping-particle":"","parse-names":false,"suffix":""},{"dropping-particle":"","family":"Baken","given":"R. J.","non-dropping-particle":"","parse-names":false,"suffix":""}],"container-title":"Journal of Voice","id":"ITEM-1","issue":"2","issued":{"date-parts":[["2011"]]},"page":"159-165","publisher":"Elsevier Ltd","title":"Correlates of the belt voice: A broader examination","type":"article-journal","volume":"25"},"uris":["http://www.mendeley.com/documents/?uuid=bda363b1-ae00-47b5-a0e4-7065ce6df6d6"]},{"id":"ITEM-2","itemData":{"DOI":"10.1016/j.jvoice.2015.07.008","ISSN":"18734588","PMID":"26296854","abstract":"Background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Singers","type":"article-journal","volume":"30"},"uris":["http://www.mendeley.com/documents/?uuid=38644f2f-538f-4d06-8628-46c02201698d"]},{"id":"ITEM-3","itemData":{"DOI":"10.1016/j.jvoice.2014.09.018","ISSN":"18734588","PMID":"25819162","abstract":"Summary Objectives Belt is a style of singing commonly used in nonclassical genres. Its respiratory, phonatory, and resonatory characteristics are unclear. Design Basic research. Methods Six female singers, professionally performing in the belt styles since many years, sang an excerpt of a song in belt and nonbelt/neutral style, two times with the lyrics and two times replacing the lyrics with /pae/ syllables. On separate channels, recordings were made of audio, oral pressure, and rib cage and abdominal wall movements, as picked up by respiratory inductive plethysmography. Lung volume and breathing patterns during inhalation and phonation were normalized with respect to duration and averaged. Voice source was analyzed in terms of flow glottograms derived from the audio signal by inverse filtering. Results Belt was produced with higher pressures and yielded higher sound levels, but no consistent breathing pattern was observed, neither for the belt, nor for the neutral style. Voice source differences suggested that belt was produced with firmer glottal adduction than neutral. Also, in four of the singers, the first formant was closer to a spectrum harmonic in belt than in neutral. Conclusions Belt style of singing is not associated with a characteristic breathing behavior but is produced with higher subglottal pressures, higher sound levels, and firmer glottal adduction than a neutral style of singing.","author":[{"dropping-particle":"","family":"Sundberg","given":"Johan","non-dropping-particle":"","parse-names":false,"suffix":""},{"dropping-particle":"","family":"Thalén","given":"Margareta","non-dropping-particle":"","parse-names":false,"suffix":""}],"container-title":"Journal of Voice","id":"ITEM-3","issue":"4","issued":{"date-parts":[["2015"]]},"note":"Key:\nOpera/Classical - Yellow \nTeaching - Red\nCCM - Green\nMT - Purple\nCross-training - Blue\nStudy/ writing ideas - Pink\nVocal acoustics - grey\nTechnology - orange \n\nThemes:\n\nBelt\n'Nautal style of singing'\nAnalysis (audio, oral pressure, rib cage, abdominal wall movemenets)\nCCM\n'Legit' Classical\nReferring to an except of music\n\n\n\nConnections:","page":"418-425","title":"Respiratory and Acoustical Differences Between Belt and Neutral Style of Singing","type":"article-journal","volume":"29"},"uris":["http://www.mendeley.com/documents/?uuid=6a017ad1-d66b-4dc5-b81c-8f60d70c4a13"]},{"id":"ITEM-4","itemData":{"DOI":"10.1016/j.jvoice.2009.02.004","ISSN":"08921997","PMID":"19900789","abstract":"The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Voice","id":"ITEM-4","issue":"6","issued":{"date-parts":[["2010"]]},"page":"678-689","publisher":"Elsevier Ltd","title":"Perceptual findings on the broadway belt voice","type":"article-journal","volume":"24"},"uris":["http://www.mendeley.com/documents/?uuid=6c55d39f-8945-4dfd-aa49-75cdbc6d62fa"]},{"id":"ITEM-5","itemData":{"DOI":"10.1016/j.jvoice.2015.03.008","ISSN":"18734588","PMID":"25882989","abstract":"Objectives/Hypothesis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Voice","id":"ITEM-5","issue":"1","issued":{"date-parts":[["2016"]]},"page":"128.e1-128.e12","publisher":"Elsevier Ltd","title":"Vocal Qualities in Music Theater Voice: Perceptions of Expert Pedagogues","type":"article-journal","volume":"30"},"uris":["http://www.mendeley.com/documents/?uuid=4706de4e-157f-47ca-96aa-d6b4c276968b"]},{"id":"ITEM-6","itemData":{"DOI":"10.1016/S0892-1997(00)80027-2","ISSN":"08921997","PMID":"10875571","abstract":"This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Voice","id":"ITEM-6","issue":"2","issued":{"date-parts":[["2000"]]},"page":"194-204","title":"Resonance strategies for the belting style: Results of a single female subject study","type":"article-journal","volume":"14"},"uris":["http://www.mendeley.com/documents/?uuid=69e60786-bdad-41b2-bca6-289dc340c496"]}],"mendeley":{"formattedCitation":"(Bestebreurtje and Schutte, 2000; Deleo Leborgne &lt;i&gt;et al.&lt;/i&gt;, 2010; Lebowitz and Baken, 2011; Sundberg and Thalén, 2015; Bourne and Kenny, 2016; Roll, 2016)","plainTextFormattedCitation":"(Bestebreurtje and Schutte, 2000; Deleo Leborgne et al., 2010; Lebowitz and Baken, 2011; Sundberg and Thalén, 2015; Bourne and Kenny, 2016; Roll, 2016)","previouslyFormattedCitation":"(Bestebreurtje and Schutte, 2000; Deleo Leborgne &lt;i&gt;et al.&lt;/i&gt;, 2010; Lebowitz and Baken, 2011; Sundberg and Thalén, 2015; Bourne and Kenny, 2016; Roll, 2016)"},"properties":{"noteIndex":0},"schema":"https://github.com/citation-style-language/schema/raw/master/csl-citation.json"}</w:instrText>
      </w:r>
      <w:r w:rsidR="008C02FC" w:rsidRPr="00AE2080">
        <w:rPr>
          <w:rFonts w:ascii="Arial" w:hAnsi="Arial" w:cs="Arial"/>
          <w:sz w:val="24"/>
          <w:szCs w:val="24"/>
        </w:rPr>
        <w:fldChar w:fldCharType="separate"/>
      </w:r>
      <w:r w:rsidR="008C02FC" w:rsidRPr="00AE2080">
        <w:rPr>
          <w:rFonts w:ascii="Arial" w:hAnsi="Arial" w:cs="Arial"/>
          <w:noProof/>
          <w:sz w:val="24"/>
          <w:szCs w:val="24"/>
        </w:rPr>
        <w:t xml:space="preserve">(Bestebreurtje and Schutte, 2000; Deleo Leborgne </w:t>
      </w:r>
      <w:r w:rsidR="008C02FC" w:rsidRPr="00AE2080">
        <w:rPr>
          <w:rFonts w:ascii="Arial" w:hAnsi="Arial" w:cs="Arial"/>
          <w:i/>
          <w:noProof/>
          <w:sz w:val="24"/>
          <w:szCs w:val="24"/>
        </w:rPr>
        <w:t>et al.</w:t>
      </w:r>
      <w:r w:rsidR="008C02FC" w:rsidRPr="00AE2080">
        <w:rPr>
          <w:rFonts w:ascii="Arial" w:hAnsi="Arial" w:cs="Arial"/>
          <w:noProof/>
          <w:sz w:val="24"/>
          <w:szCs w:val="24"/>
        </w:rPr>
        <w:t>, 2010; Lebowitz and Baken, 2011; Sundberg and Thalén, 2015; Bourne and Kenny, 2016; Roll, 2016)</w:t>
      </w:r>
      <w:r w:rsidR="008C02FC" w:rsidRPr="00AE2080">
        <w:rPr>
          <w:rFonts w:ascii="Arial" w:hAnsi="Arial" w:cs="Arial"/>
          <w:sz w:val="24"/>
          <w:szCs w:val="24"/>
        </w:rPr>
        <w:fldChar w:fldCharType="end"/>
      </w:r>
      <w:r w:rsidR="008C02FC" w:rsidRPr="00AE2080">
        <w:rPr>
          <w:rFonts w:ascii="Arial" w:hAnsi="Arial" w:cs="Arial"/>
          <w:sz w:val="24"/>
          <w:szCs w:val="24"/>
        </w:rPr>
        <w:t>.</w:t>
      </w:r>
      <w:r w:rsidR="008C02FC">
        <w:rPr>
          <w:rFonts w:ascii="Arial" w:hAnsi="Arial" w:cs="Arial"/>
          <w:sz w:val="24"/>
          <w:szCs w:val="24"/>
        </w:rPr>
        <w:t xml:space="preserve"> </w:t>
      </w:r>
      <w:r w:rsidRPr="00AE2080">
        <w:rPr>
          <w:rFonts w:ascii="Arial" w:hAnsi="Arial" w:cs="Arial"/>
          <w:sz w:val="24"/>
          <w:szCs w:val="24"/>
        </w:rPr>
        <w:t xml:space="preserve">The project was conducted in my private voice studio. </w:t>
      </w:r>
      <w:r w:rsidR="00171438">
        <w:rPr>
          <w:rFonts w:ascii="Arial" w:hAnsi="Arial" w:cs="Arial"/>
          <w:sz w:val="24"/>
          <w:szCs w:val="24"/>
        </w:rPr>
        <w:t>My practice includes students with</w:t>
      </w:r>
      <w:r w:rsidRPr="00AE2080">
        <w:rPr>
          <w:rFonts w:ascii="Arial" w:hAnsi="Arial" w:cs="Arial"/>
          <w:sz w:val="24"/>
          <w:szCs w:val="24"/>
        </w:rPr>
        <w:t xml:space="preserve"> age</w:t>
      </w:r>
      <w:r w:rsidR="00CD291D">
        <w:rPr>
          <w:rFonts w:ascii="Arial" w:hAnsi="Arial" w:cs="Arial"/>
          <w:sz w:val="24"/>
          <w:szCs w:val="24"/>
        </w:rPr>
        <w:t>s</w:t>
      </w:r>
      <w:r w:rsidRPr="00AE2080">
        <w:rPr>
          <w:rFonts w:ascii="Arial" w:hAnsi="Arial" w:cs="Arial"/>
          <w:sz w:val="24"/>
          <w:szCs w:val="24"/>
        </w:rPr>
        <w:t xml:space="preserve"> rang</w:t>
      </w:r>
      <w:r w:rsidR="00CD291D">
        <w:rPr>
          <w:rFonts w:ascii="Arial" w:hAnsi="Arial" w:cs="Arial"/>
          <w:sz w:val="24"/>
          <w:szCs w:val="24"/>
        </w:rPr>
        <w:t>ing</w:t>
      </w:r>
      <w:r w:rsidRPr="00AE2080">
        <w:rPr>
          <w:rFonts w:ascii="Arial" w:hAnsi="Arial" w:cs="Arial"/>
          <w:sz w:val="24"/>
          <w:szCs w:val="24"/>
        </w:rPr>
        <w:t xml:space="preserve"> </w:t>
      </w:r>
      <w:r w:rsidR="00CD291D">
        <w:rPr>
          <w:rFonts w:ascii="Arial" w:hAnsi="Arial" w:cs="Arial"/>
          <w:sz w:val="24"/>
          <w:szCs w:val="24"/>
        </w:rPr>
        <w:t>from</w:t>
      </w:r>
      <w:r w:rsidRPr="00AE2080">
        <w:rPr>
          <w:rFonts w:ascii="Arial" w:hAnsi="Arial" w:cs="Arial"/>
          <w:sz w:val="24"/>
          <w:szCs w:val="24"/>
        </w:rPr>
        <w:t xml:space="preserve"> 10 to 80</w:t>
      </w:r>
      <w:r w:rsidR="005C7B50">
        <w:rPr>
          <w:rFonts w:ascii="Arial" w:hAnsi="Arial" w:cs="Arial"/>
          <w:sz w:val="24"/>
          <w:szCs w:val="24"/>
        </w:rPr>
        <w:t>+</w:t>
      </w:r>
      <w:r w:rsidRPr="00AE2080">
        <w:rPr>
          <w:rFonts w:ascii="Arial" w:hAnsi="Arial" w:cs="Arial"/>
          <w:sz w:val="24"/>
          <w:szCs w:val="24"/>
        </w:rPr>
        <w:t xml:space="preserve">. I am a male singing teacher whose formal training has centred more on classical styles. Greater knowledge of belting, particularly applied to </w:t>
      </w:r>
      <w:r w:rsidR="00A26AC6">
        <w:rPr>
          <w:rFonts w:ascii="Arial" w:hAnsi="Arial" w:cs="Arial"/>
          <w:sz w:val="24"/>
          <w:szCs w:val="24"/>
        </w:rPr>
        <w:t xml:space="preserve">the </w:t>
      </w:r>
      <w:r w:rsidRPr="00AE2080">
        <w:rPr>
          <w:rFonts w:ascii="Arial" w:hAnsi="Arial" w:cs="Arial"/>
          <w:sz w:val="24"/>
          <w:szCs w:val="24"/>
        </w:rPr>
        <w:t>female voice</w:t>
      </w:r>
      <w:r w:rsidR="004C0A2D">
        <w:rPr>
          <w:rFonts w:ascii="Arial" w:hAnsi="Arial" w:cs="Arial"/>
          <w:sz w:val="24"/>
          <w:szCs w:val="24"/>
        </w:rPr>
        <w:t>,</w:t>
      </w:r>
      <w:r w:rsidRPr="00AE2080">
        <w:rPr>
          <w:rFonts w:ascii="Arial" w:hAnsi="Arial" w:cs="Arial"/>
          <w:sz w:val="24"/>
          <w:szCs w:val="24"/>
        </w:rPr>
        <w:t xml:space="preserve"> would expand my teaching skills. Singing teachers are often required to teach a variety of styles, including belting, to prepare singers for auditions and performances in professional, amateur, and educational settings, with vocal health as a priority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{"citationItems":[{"id":"ITEM-1","itemData":{"author":[{"dropping-particle":"","family":"Benson","given":"Elizabeth Ann","non-dropping-particle":"","parse-names":false,"suffix":""}],"container-title":"The American Music Teacher","id":"ITEM-1","issue":"6","issued":{"date-parts":[["2018"]]},"page":"10-13","title":"Functional training for all styles","type":"article-journal","volume":"67"},"uris":["http://www.mendeley.com/documents/?uuid=4805123e-dd6f-4710-b011-e7034a404730"]}],"mendeley":{"formattedCitation":"(Benson, 2018)","plainTextFormattedCitation":"(Benson, 2018)","previouslyFormattedCitation":"(Benson,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(Benson, 2018)</w:t>
      </w:r>
      <w:r w:rsidRPr="00AE2080">
        <w:rPr>
          <w:rFonts w:ascii="Arial" w:hAnsi="Arial" w:cs="Arial"/>
          <w:sz w:val="24"/>
          <w:szCs w:val="24"/>
        </w:rPr>
        <w:fldChar w:fldCharType="end"/>
      </w:r>
      <w:r w:rsidRPr="00AE2080">
        <w:rPr>
          <w:rFonts w:ascii="Arial" w:hAnsi="Arial" w:cs="Arial"/>
          <w:sz w:val="24"/>
          <w:szCs w:val="24"/>
        </w:rPr>
        <w:t>.</w:t>
      </w:r>
      <w:r w:rsidR="00CE2C58" w:rsidRPr="00CE2C58">
        <w:rPr>
          <w:rFonts w:ascii="Arial" w:hAnsi="Arial" w:cs="Arial"/>
          <w:sz w:val="24"/>
          <w:szCs w:val="24"/>
        </w:rPr>
        <w:t xml:space="preserve"> </w:t>
      </w:r>
      <w:r w:rsidR="00CE2C58" w:rsidRPr="00AE2080">
        <w:rPr>
          <w:rFonts w:ascii="Arial" w:hAnsi="Arial" w:cs="Arial"/>
          <w:sz w:val="24"/>
          <w:szCs w:val="24"/>
        </w:rPr>
        <w:t xml:space="preserve">There is an increasing need for singers to belt and therefore singing teachers are increasingly required to teach belting </w:t>
      </w:r>
      <w:r w:rsidR="00CE2C58" w:rsidRPr="00AE2080">
        <w:rPr>
          <w:rFonts w:ascii="Arial" w:hAnsi="Arial" w:cs="Arial"/>
          <w:sz w:val="24"/>
          <w:szCs w:val="24"/>
        </w:rPr>
        <w:fldChar w:fldCharType="begin" w:fldLock="1"/>
      </w:r>
      <w:r w:rsidR="00CE2C58" w:rsidRPr="00AE2080">
        <w:rPr>
          <w:rFonts w:ascii="Arial" w:hAnsi="Arial" w:cs="Arial"/>
          <w:sz w:val="24"/>
          <w:szCs w:val="24"/>
        </w:rPr>
        <w:instrText>ADDIN CSL_CITATION {"citationItems":[{"id":"ITEM-1","itemData":{"DOI":"10.1016/j.jvoice.2013.10.007","ISSN":"18734588","PMID":"24467880","abstract":"Objectives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Voice","id":"ITEM-1","issue":"3","issued":{"date-parts":[["2014"]]},"page":"324-327","publisher":"Elsevier Ltd","title":"Trends in musical theatre voice: An analysis of audition requirements for singers","type":"article-journal","volume":"28"},"uris":["http://www.mendeley.com/documents/?uuid=6c5c7ab8-2117-4022-bd21-e16aa8ee37d9"]}],"mendeley":{"formattedCitation":"(Green &lt;i&gt;et al.&lt;/i&gt;, 2014)","plainTextFormattedCitation":"(Green et al., 2014)","previouslyFormattedCitation":"(Green &lt;i&gt;et al.&lt;/i&gt;, 2014)"},"properties":{"noteIndex":0},"schema":"https://github.com/citation-style-language/schema/raw/master/csl-citation.json"}</w:instrText>
      </w:r>
      <w:r w:rsidR="00CE2C58" w:rsidRPr="00AE2080">
        <w:rPr>
          <w:rFonts w:ascii="Arial" w:hAnsi="Arial" w:cs="Arial"/>
          <w:sz w:val="24"/>
          <w:szCs w:val="24"/>
        </w:rPr>
        <w:fldChar w:fldCharType="separate"/>
      </w:r>
      <w:r w:rsidR="00CE2C58" w:rsidRPr="00AE2080">
        <w:rPr>
          <w:rFonts w:ascii="Arial" w:hAnsi="Arial" w:cs="Arial"/>
          <w:noProof/>
          <w:sz w:val="24"/>
          <w:szCs w:val="24"/>
        </w:rPr>
        <w:t xml:space="preserve">(Green </w:t>
      </w:r>
      <w:r w:rsidR="00CE2C58" w:rsidRPr="00AE2080">
        <w:rPr>
          <w:rFonts w:ascii="Arial" w:hAnsi="Arial" w:cs="Arial"/>
          <w:i/>
          <w:noProof/>
          <w:sz w:val="24"/>
          <w:szCs w:val="24"/>
        </w:rPr>
        <w:t>et al.</w:t>
      </w:r>
      <w:r w:rsidR="00CE2C58" w:rsidRPr="00AE2080">
        <w:rPr>
          <w:rFonts w:ascii="Arial" w:hAnsi="Arial" w:cs="Arial"/>
          <w:noProof/>
          <w:sz w:val="24"/>
          <w:szCs w:val="24"/>
        </w:rPr>
        <w:t>, 2014)</w:t>
      </w:r>
      <w:r w:rsidR="00CE2C58" w:rsidRPr="00AE2080">
        <w:rPr>
          <w:rFonts w:ascii="Arial" w:hAnsi="Arial" w:cs="Arial"/>
          <w:sz w:val="24"/>
          <w:szCs w:val="24"/>
        </w:rPr>
        <w:fldChar w:fldCharType="end"/>
      </w:r>
      <w:r w:rsidR="00CE2C58" w:rsidRPr="00AE2080">
        <w:rPr>
          <w:rFonts w:ascii="Arial" w:hAnsi="Arial" w:cs="Arial"/>
          <w:sz w:val="24"/>
          <w:szCs w:val="24"/>
        </w:rPr>
        <w:t xml:space="preserve">. </w:t>
      </w:r>
      <w:r w:rsidRPr="00AE2080">
        <w:rPr>
          <w:rFonts w:ascii="Arial" w:hAnsi="Arial" w:cs="Arial"/>
          <w:sz w:val="24"/>
          <w:szCs w:val="24"/>
        </w:rPr>
        <w:t xml:space="preserve">An evidence-based belt training </w:t>
      </w:r>
      <w:r w:rsidR="002679E9">
        <w:rPr>
          <w:rFonts w:ascii="Arial" w:hAnsi="Arial" w:cs="Arial"/>
          <w:sz w:val="24"/>
          <w:szCs w:val="24"/>
        </w:rPr>
        <w:t>process</w:t>
      </w:r>
      <w:r w:rsidRPr="00AE2080">
        <w:rPr>
          <w:rFonts w:ascii="Arial" w:hAnsi="Arial" w:cs="Arial"/>
          <w:sz w:val="24"/>
          <w:szCs w:val="24"/>
        </w:rPr>
        <w:t xml:space="preserve"> could improve the learning experience during belt training. This project aims to balance my knowledge to include more CCM with a focus on belting applied to the female voice. </w:t>
      </w:r>
      <w:r w:rsidR="00E8471B">
        <w:rPr>
          <w:rFonts w:ascii="Arial" w:hAnsi="Arial" w:cs="Arial"/>
          <w:sz w:val="24"/>
          <w:szCs w:val="24"/>
        </w:rPr>
        <w:t>O</w:t>
      </w:r>
      <w:r w:rsidR="00E8471B" w:rsidRPr="00AE2080">
        <w:rPr>
          <w:rFonts w:ascii="Arial" w:hAnsi="Arial" w:cs="Arial"/>
          <w:sz w:val="24"/>
          <w:szCs w:val="24"/>
        </w:rPr>
        <w:t xml:space="preserve">ther singing teachers with similar CPD needs, many singers, and the larger voice community could </w:t>
      </w:r>
      <w:r w:rsidR="00E8471B">
        <w:rPr>
          <w:rFonts w:ascii="Arial" w:hAnsi="Arial" w:cs="Arial"/>
          <w:sz w:val="24"/>
          <w:szCs w:val="24"/>
        </w:rPr>
        <w:t xml:space="preserve">also </w:t>
      </w:r>
      <w:r w:rsidR="00E8471B" w:rsidRPr="00AE2080">
        <w:rPr>
          <w:rFonts w:ascii="Arial" w:hAnsi="Arial" w:cs="Arial"/>
          <w:sz w:val="24"/>
          <w:szCs w:val="24"/>
        </w:rPr>
        <w:t xml:space="preserve">benefit </w:t>
      </w:r>
      <w:r w:rsidR="00E8471B">
        <w:rPr>
          <w:rFonts w:ascii="Arial" w:hAnsi="Arial" w:cs="Arial"/>
          <w:sz w:val="24"/>
          <w:szCs w:val="24"/>
        </w:rPr>
        <w:t>from the outcomes of this</w:t>
      </w:r>
      <w:r w:rsidRPr="00AE2080">
        <w:rPr>
          <w:rFonts w:ascii="Arial" w:hAnsi="Arial" w:cs="Arial"/>
          <w:sz w:val="24"/>
          <w:szCs w:val="24"/>
        </w:rPr>
        <w:t xml:space="preserve"> project.</w:t>
      </w:r>
    </w:p>
    <w:p w14:paraId="72192ED2" w14:textId="77777777" w:rsidR="0012106F" w:rsidRPr="00AE2080" w:rsidRDefault="0012106F" w:rsidP="00AE2080">
      <w:pPr>
        <w:spacing w:line="360" w:lineRule="auto"/>
        <w:jc w:val="both"/>
        <w:rPr>
          <w:rFonts w:ascii="Arial" w:hAnsi="Arial" w:cs="Arial"/>
          <w:b/>
          <w:sz w:val="24"/>
          <w:szCs w:val="24"/>
        </w:rPr>
      </w:pPr>
      <w:r w:rsidRPr="00AE2080">
        <w:rPr>
          <w:rFonts w:ascii="Arial" w:hAnsi="Arial" w:cs="Arial"/>
          <w:b/>
          <w:sz w:val="24"/>
          <w:szCs w:val="24"/>
        </w:rPr>
        <w:t>Justification</w:t>
      </w:r>
    </w:p>
    <w:p w14:paraId="4B261790" w14:textId="4C3496E5" w:rsidR="0012106F" w:rsidRPr="008355AE" w:rsidRDefault="0012106F" w:rsidP="00AE2080">
      <w:pPr>
        <w:spacing w:line="360" w:lineRule="auto"/>
        <w:jc w:val="both"/>
        <w:rPr>
          <w:rFonts w:ascii="Arial" w:hAnsi="Arial" w:cs="Arial"/>
          <w:bCs/>
          <w:sz w:val="24"/>
          <w:szCs w:val="24"/>
        </w:rPr>
      </w:pPr>
      <w:r w:rsidRPr="00AE2080">
        <w:rPr>
          <w:rFonts w:ascii="Arial" w:hAnsi="Arial" w:cs="Arial"/>
          <w:bCs/>
          <w:sz w:val="24"/>
          <w:szCs w:val="24"/>
        </w:rPr>
        <w:t xml:space="preserve">Previous work in my master’s degree developed a </w:t>
      </w:r>
      <w:r w:rsidRPr="00AE2080">
        <w:rPr>
          <w:rFonts w:ascii="Arial" w:hAnsi="Arial" w:cs="Arial"/>
          <w:sz w:val="24"/>
          <w:szCs w:val="24"/>
        </w:rPr>
        <w:t xml:space="preserve">theoretical </w:t>
      </w:r>
      <w:r w:rsidR="00E8471B" w:rsidRPr="00AE2080">
        <w:rPr>
          <w:rFonts w:ascii="Arial" w:hAnsi="Arial" w:cs="Arial"/>
          <w:sz w:val="24"/>
          <w:szCs w:val="24"/>
        </w:rPr>
        <w:t>belt training process as a lone researcher</w:t>
      </w:r>
      <w:r w:rsidR="00E8471B">
        <w:rPr>
          <w:rFonts w:ascii="Arial" w:hAnsi="Arial" w:cs="Arial"/>
          <w:sz w:val="24"/>
          <w:szCs w:val="24"/>
        </w:rPr>
        <w:t xml:space="preserve"> using the ethos of </w:t>
      </w:r>
      <w:r w:rsidRPr="00AE2080">
        <w:rPr>
          <w:rFonts w:ascii="Arial" w:hAnsi="Arial" w:cs="Arial"/>
          <w:sz w:val="24"/>
          <w:szCs w:val="24"/>
        </w:rPr>
        <w:t>Evidence-Based Voice Pedagogy (EBVP). Th</w:t>
      </w:r>
      <w:r w:rsidR="00F340EE">
        <w:rPr>
          <w:rFonts w:ascii="Arial" w:hAnsi="Arial" w:cs="Arial"/>
          <w:sz w:val="24"/>
          <w:szCs w:val="24"/>
        </w:rPr>
        <w:t xml:space="preserve">at </w:t>
      </w:r>
      <w:r w:rsidRPr="00AE2080">
        <w:rPr>
          <w:rFonts w:ascii="Arial" w:hAnsi="Arial" w:cs="Arial"/>
          <w:sz w:val="24"/>
          <w:szCs w:val="24"/>
        </w:rPr>
        <w:t>belt training process used anonymity</w:t>
      </w:r>
      <w:r w:rsidR="00334EA5" w:rsidRPr="00AE2080">
        <w:rPr>
          <w:rFonts w:ascii="Arial" w:hAnsi="Arial" w:cs="Arial"/>
          <w:sz w:val="24"/>
          <w:szCs w:val="24"/>
        </w:rPr>
        <w:t>-</w:t>
      </w:r>
      <w:r w:rsidRPr="00AE2080">
        <w:rPr>
          <w:rFonts w:ascii="Arial" w:hAnsi="Arial" w:cs="Arial"/>
          <w:sz w:val="24"/>
          <w:szCs w:val="24"/>
        </w:rPr>
        <w:t>coded expertise from the public</w:t>
      </w:r>
      <w:r w:rsidR="003E31B3">
        <w:rPr>
          <w:rFonts w:ascii="Arial" w:hAnsi="Arial" w:cs="Arial"/>
          <w:sz w:val="24"/>
          <w:szCs w:val="24"/>
        </w:rPr>
        <w:t xml:space="preserve"> </w:t>
      </w:r>
      <w:r w:rsidRPr="00AE2080">
        <w:rPr>
          <w:rFonts w:ascii="Arial" w:hAnsi="Arial" w:cs="Arial"/>
          <w:sz w:val="24"/>
          <w:szCs w:val="24"/>
        </w:rPr>
        <w:t xml:space="preserve">domain. Expertise was gained from information offered by singing teachers on YouTube. </w:t>
      </w:r>
      <w:r w:rsidR="00A3052A" w:rsidRPr="00AE2080">
        <w:rPr>
          <w:rFonts w:ascii="Arial" w:hAnsi="Arial" w:cs="Arial"/>
          <w:sz w:val="24"/>
          <w:szCs w:val="24"/>
        </w:rPr>
        <w:t>This project add</w:t>
      </w:r>
      <w:r w:rsidR="00AD2EC4">
        <w:rPr>
          <w:rFonts w:ascii="Arial" w:hAnsi="Arial" w:cs="Arial"/>
          <w:sz w:val="24"/>
          <w:szCs w:val="24"/>
        </w:rPr>
        <w:t>ed</w:t>
      </w:r>
      <w:r w:rsidR="00A3052A" w:rsidRPr="00AE2080">
        <w:rPr>
          <w:rFonts w:ascii="Arial" w:hAnsi="Arial" w:cs="Arial"/>
          <w:sz w:val="24"/>
          <w:szCs w:val="24"/>
        </w:rPr>
        <w:t xml:space="preserve"> active collaboration to build the theoretical belt training process into a practical </w:t>
      </w:r>
      <w:r w:rsidR="00AD2EC4">
        <w:rPr>
          <w:rFonts w:ascii="Arial" w:hAnsi="Arial" w:cs="Arial"/>
          <w:sz w:val="24"/>
          <w:szCs w:val="24"/>
        </w:rPr>
        <w:t xml:space="preserve">belt training </w:t>
      </w:r>
      <w:r w:rsidR="002679E9">
        <w:rPr>
          <w:rFonts w:ascii="Arial" w:hAnsi="Arial" w:cs="Arial"/>
          <w:sz w:val="24"/>
          <w:szCs w:val="24"/>
        </w:rPr>
        <w:t>process</w:t>
      </w:r>
      <w:r w:rsidR="00AD2EC4">
        <w:rPr>
          <w:rFonts w:ascii="Arial" w:hAnsi="Arial" w:cs="Arial"/>
          <w:sz w:val="24"/>
          <w:szCs w:val="24"/>
        </w:rPr>
        <w:t xml:space="preserve"> with a robust evidence base</w:t>
      </w:r>
      <w:r w:rsidR="00A3052A" w:rsidRPr="00AE2080">
        <w:rPr>
          <w:rFonts w:ascii="Arial" w:hAnsi="Arial" w:cs="Arial"/>
          <w:sz w:val="24"/>
          <w:szCs w:val="24"/>
        </w:rPr>
        <w:t xml:space="preserve">. Experts with </w:t>
      </w:r>
      <w:r w:rsidR="001B7EFC">
        <w:rPr>
          <w:rFonts w:ascii="Arial" w:hAnsi="Arial" w:cs="Arial"/>
          <w:sz w:val="24"/>
          <w:szCs w:val="24"/>
        </w:rPr>
        <w:t xml:space="preserve">appropriate </w:t>
      </w:r>
      <w:r w:rsidR="00A3052A" w:rsidRPr="00AE2080">
        <w:rPr>
          <w:rFonts w:ascii="Arial" w:hAnsi="Arial" w:cs="Arial"/>
          <w:sz w:val="24"/>
          <w:szCs w:val="24"/>
        </w:rPr>
        <w:lastRenderedPageBreak/>
        <w:t>qualifications</w:t>
      </w:r>
      <w:r w:rsidR="001B7EFC">
        <w:rPr>
          <w:rFonts w:ascii="Arial" w:hAnsi="Arial" w:cs="Arial"/>
          <w:sz w:val="24"/>
          <w:szCs w:val="24"/>
        </w:rPr>
        <w:t>, research experience,</w:t>
      </w:r>
      <w:r w:rsidR="00A3052A" w:rsidRPr="00AE2080">
        <w:rPr>
          <w:rFonts w:ascii="Arial" w:hAnsi="Arial" w:cs="Arial"/>
          <w:sz w:val="24"/>
          <w:szCs w:val="24"/>
        </w:rPr>
        <w:t xml:space="preserve"> </w:t>
      </w:r>
      <w:r w:rsidR="001B7EFC">
        <w:rPr>
          <w:rFonts w:ascii="Arial" w:hAnsi="Arial" w:cs="Arial"/>
          <w:sz w:val="24"/>
          <w:szCs w:val="24"/>
        </w:rPr>
        <w:t>and</w:t>
      </w:r>
      <w:r w:rsidR="00A3052A" w:rsidRPr="00AE2080">
        <w:rPr>
          <w:rFonts w:ascii="Arial" w:hAnsi="Arial" w:cs="Arial"/>
          <w:sz w:val="24"/>
          <w:szCs w:val="24"/>
        </w:rPr>
        <w:t xml:space="preserve"> experience of teaching belting were </w:t>
      </w:r>
      <w:r w:rsidRPr="00AE2080">
        <w:rPr>
          <w:rFonts w:ascii="Arial" w:hAnsi="Arial" w:cs="Arial"/>
          <w:sz w:val="24"/>
          <w:szCs w:val="24"/>
        </w:rPr>
        <w:t xml:space="preserve">selected </w:t>
      </w:r>
      <w:r w:rsidR="00A3052A" w:rsidRPr="00AE2080">
        <w:rPr>
          <w:rFonts w:ascii="Arial" w:hAnsi="Arial" w:cs="Arial"/>
          <w:sz w:val="24"/>
          <w:szCs w:val="24"/>
        </w:rPr>
        <w:t xml:space="preserve">to support the project </w:t>
      </w:r>
      <w:r w:rsidR="003561D9">
        <w:rPr>
          <w:rFonts w:ascii="Arial" w:hAnsi="Arial" w:cs="Arial"/>
          <w:sz w:val="24"/>
          <w:szCs w:val="24"/>
        </w:rPr>
        <w:t>objectives</w:t>
      </w:r>
      <w:r w:rsidRPr="00AE2080">
        <w:rPr>
          <w:rFonts w:ascii="Arial" w:hAnsi="Arial" w:cs="Arial"/>
          <w:sz w:val="24"/>
          <w:szCs w:val="24"/>
        </w:rPr>
        <w:t>. Harnessing the power of c</w:t>
      </w:r>
      <w:r w:rsidRPr="00AE2080">
        <w:rPr>
          <w:rFonts w:ascii="Arial" w:hAnsi="Arial" w:cs="Arial"/>
          <w:bCs/>
          <w:sz w:val="24"/>
          <w:szCs w:val="24"/>
        </w:rPr>
        <w:t xml:space="preserve">ollaboration is a key aspect of this work and will be assessed for its impact on my CPD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Research","type":"article-journal","volume":"32"},"uris":["http://www.mendeley.com/documents/?uuid=08ff44a2-ac79-4703-bd67-cf31ab07f305"]},{"id":"ITEM-2","itemData":{"DOI":"10.1007/s11423-007-9080-3","ISSN":"10421629","abstract":"This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Development","id":"ITEM-2","issue":"1","issued":{"date-parts":[["2010"]]},"page":"61-80","title":"Development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evaluation","type":"article-journal","volume":"58"},"uris":["http://www.mendeley.com/documents/?uuid=c470c2f9-c646-4910-8bf2-5fe79776a13c"]}],"mendeley":{"formattedCitation":"(Cobb &lt;i&gt;et al.&lt;/i&gt;, 2003; Hung &lt;i&gt;et al.&lt;/i&gt;, 2010)","plainTextFormattedCitation":"(Cobb et al., 2003; Hung et al., 2010)","previouslyFormattedCitation":"(Cobb &lt;i&gt;et al.&lt;/i&gt;, 2003; Hung &lt;i&gt;et al.&lt;/i&gt;, 2010)"},"properties":{"noteIndex":0},"schema":"https://github.com/citation-style-language/schema/raw/master/csl-citation.json"}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(Cobb </w:t>
      </w:r>
      <w:r w:rsidRPr="00AE2080">
        <w:rPr>
          <w:rFonts w:ascii="Arial" w:hAnsi="Arial" w:cs="Arial"/>
          <w:bCs/>
          <w:i/>
          <w:noProof/>
          <w:sz w:val="24"/>
          <w:szCs w:val="24"/>
        </w:rPr>
        <w:t>et al.</w:t>
      </w:r>
      <w:r w:rsidRPr="00AE2080">
        <w:rPr>
          <w:rFonts w:ascii="Arial" w:hAnsi="Arial" w:cs="Arial"/>
          <w:bCs/>
          <w:noProof/>
          <w:sz w:val="24"/>
          <w:szCs w:val="24"/>
        </w:rPr>
        <w:t xml:space="preserve">, 2003; Hung </w:t>
      </w:r>
      <w:r w:rsidRPr="00AE2080">
        <w:rPr>
          <w:rFonts w:ascii="Arial" w:hAnsi="Arial" w:cs="Arial"/>
          <w:bCs/>
          <w:i/>
          <w:noProof/>
          <w:sz w:val="24"/>
          <w:szCs w:val="24"/>
        </w:rPr>
        <w:t>et al.</w:t>
      </w:r>
      <w:r w:rsidRPr="00AE2080">
        <w:rPr>
          <w:rFonts w:ascii="Arial" w:hAnsi="Arial" w:cs="Arial"/>
          <w:bCs/>
          <w:noProof/>
          <w:sz w:val="24"/>
          <w:szCs w:val="24"/>
        </w:rPr>
        <w:t>, 2010)</w:t>
      </w:r>
      <w:r w:rsidRPr="00AE2080">
        <w:rPr>
          <w:rFonts w:ascii="Arial" w:hAnsi="Arial" w:cs="Arial"/>
          <w:bCs/>
          <w:sz w:val="24"/>
          <w:szCs w:val="24"/>
        </w:rPr>
        <w:fldChar w:fldCharType="end"/>
      </w:r>
      <w:r w:rsidRPr="00AE2080">
        <w:rPr>
          <w:rFonts w:ascii="Arial" w:hAnsi="Arial" w:cs="Arial"/>
          <w:bCs/>
          <w:sz w:val="24"/>
          <w:szCs w:val="24"/>
        </w:rPr>
        <w:t>.</w:t>
      </w:r>
      <w:r w:rsidR="008355AE">
        <w:rPr>
          <w:rFonts w:ascii="Arial" w:hAnsi="Arial" w:cs="Arial"/>
          <w:bCs/>
          <w:sz w:val="24"/>
          <w:szCs w:val="24"/>
        </w:rPr>
        <w:t xml:space="preserve"> </w:t>
      </w:r>
      <w:r w:rsidR="00AA1F22">
        <w:rPr>
          <w:rFonts w:ascii="Arial" w:hAnsi="Arial" w:cs="Arial"/>
          <w:bCs/>
          <w:sz w:val="24"/>
          <w:szCs w:val="24"/>
        </w:rPr>
        <w:t>D</w:t>
      </w:r>
      <w:r w:rsidRPr="00AE2080">
        <w:rPr>
          <w:rFonts w:ascii="Arial" w:hAnsi="Arial" w:cs="Arial"/>
          <w:bCs/>
          <w:sz w:val="24"/>
          <w:szCs w:val="24"/>
        </w:rPr>
        <w:t>evelopment of th</w:t>
      </w:r>
      <w:r w:rsidR="00AA1F22">
        <w:rPr>
          <w:rFonts w:ascii="Arial" w:hAnsi="Arial" w:cs="Arial"/>
          <w:bCs/>
          <w:sz w:val="24"/>
          <w:szCs w:val="24"/>
        </w:rPr>
        <w:t>is</w:t>
      </w:r>
      <w:r w:rsidRPr="00AE2080">
        <w:rPr>
          <w:rFonts w:ascii="Arial" w:hAnsi="Arial" w:cs="Arial"/>
          <w:bCs/>
          <w:sz w:val="24"/>
          <w:szCs w:val="24"/>
        </w:rPr>
        <w:t xml:space="preserve"> belt training </w:t>
      </w:r>
      <w:r w:rsidR="002679E9">
        <w:rPr>
          <w:rFonts w:ascii="Arial" w:hAnsi="Arial" w:cs="Arial"/>
          <w:bCs/>
          <w:sz w:val="24"/>
          <w:szCs w:val="24"/>
        </w:rPr>
        <w:t>process</w:t>
      </w:r>
      <w:r w:rsidRPr="00AE2080">
        <w:rPr>
          <w:rFonts w:ascii="Arial" w:hAnsi="Arial" w:cs="Arial"/>
          <w:bCs/>
          <w:sz w:val="24"/>
          <w:szCs w:val="24"/>
        </w:rPr>
        <w:t xml:space="preserve"> us</w:t>
      </w:r>
      <w:r w:rsidR="00AA1F22">
        <w:rPr>
          <w:rFonts w:ascii="Arial" w:hAnsi="Arial" w:cs="Arial"/>
          <w:bCs/>
          <w:sz w:val="24"/>
          <w:szCs w:val="24"/>
        </w:rPr>
        <w:t>ed expert</w:t>
      </w:r>
      <w:r w:rsidRPr="00AE2080">
        <w:rPr>
          <w:rFonts w:ascii="Arial" w:hAnsi="Arial" w:cs="Arial"/>
          <w:bCs/>
          <w:sz w:val="24"/>
          <w:szCs w:val="24"/>
        </w:rPr>
        <w:t xml:space="preserve"> collaboration and research in line with the ethos of EBVP to progress students with the goal of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Perspectives","type":"article-journal","volume":"78"},"uris":["http://www.mendeley.com/documents/?uuid=f77b2c75-21fd-413f-badf-fe2971b5f8ec"]},{"id":"ITEM-4","itemData":{"ISBN":"9780335214006","abstract":"maintain theoretical coherence and epistemological innovation. Such multidisciplinarity demands a new level of research self-consciousness and awareness of the numerous contexts in which any researcher is operating. As one labours to expose the various structures that covertly shape our own and other scholars' research narratives, the bricolage highlights the relationship between a researcher's ways of seeing and the social location of his or her personal history. Appreciating research as a power-driven act, the researcher-as-bricoleur abandons the quest for some naive concept of realism, focusing instead on the clarification of his or her position in the web of reality and the social locations of other researchers and the ways they shape the production and interpretation of knowledge. In this context bricoleurs move into the domain of complexity. The bricolage exists out of respect for the complexity of the lived world. Indeed, it is grounded on an epistemology of complexity. One dimension of this complexity can be illustrated by the relationship between research and the domain of social theory. All observations of the world are shaped either consciously or unconsciously by social theory – such theory pro-vides the framework that highlights or erases what might be observed. Theory in a modernist empiricist mode is a way of understanding that operates without variation in every context. Since theory is a cultural and linguistic artefact, its interpretation of the object of its observation is inseparable from the historical dynamics that have shaped it. The task of the bricoleur is to attack this complexity, uncovering the invisible arte-facts of power and culture, and documenting the nature of their influ-ence not only on their own scholarship but also on scholarship in general. In this process bricoleurs act upon the concept that theory is not an explanation of the world – it is more an explanation of our relation to the world. In its hard labours in the domain of complexity the bricolage views research methods actively rather than passively, meaning that we actively construct our research methods from the tools at hand rather than passively receiving the 'correct', universally applicable methodolo-gies. Avoiding modes of reasoning that come from certified processes of logical analysis, bricoleurs also steer clear of pre-existing guidelines and checklists developed outside the specific demands of the inquiry at hand. In its embrace of complexity, the b…","author":[{"dropping-particle":"","family":"Kincheloe","given":"Jl","non-dropping-particle":"","parse-names":false,"suffix":""}],"container-title":"Rigour and Complexity in Educational Research: Conceptualizing the bricolage.","id":"ITEM-4","issued":{"date-parts":[["2004"]]},"page":"1-22","title":"Introduction: The power of the bricolage: Expanding research methods","type":"article-journal"},"uris":["http://www.mendeley.com/documents/?uuid=0f52b925-d313-4407-8945-955d9e784bb6"]},{"id":"ITEM-5","itemData":{"DOI":"10.24908/pceea.v0i0.3829","abstract":"Contemporary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(CEEA)","id":"ITEM-5","issued":{"date-parts":[["2011"]]},"page":"166-171","title":"New Approaches To Design Practice","type":"article-journal"},"uris":["http://www.mendeley.com/documents/?uuid=b3c6f641-b7e3-402a-9b47-0d0ca649366d"]}],"mendeley":{"formattedCitation":"(Kincheloe, 2004; MacLeod, 2011; Bozeman and Ragan, 2021; Ragan and Maxfield, 2021; Helding and Ragan, 2022)","plainTextFormattedCitation":"(Kincheloe, 2004; MacLeod, 2011; Bozeman and Ragan, 2021; Ragan and Maxfield, 2021; Helding and Ragan, 2022)","previouslyFormattedCitation":"(Kincheloe, 2004; MacLeod, 2011; Bozeman and Ragan, 2021; Ragan and Maxfield, 2021; Helding and Ragan,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(Kincheloe, 2004; MacLeod, 2011; Bozeman and Ragan, 2021; Ragan and Maxfield, 2021; Helding and Ragan, 2022)</w:t>
      </w:r>
      <w:r w:rsidRPr="00AE2080">
        <w:rPr>
          <w:rFonts w:ascii="Arial" w:hAnsi="Arial" w:cs="Arial"/>
          <w:sz w:val="24"/>
          <w:szCs w:val="24"/>
        </w:rPr>
        <w:fldChar w:fldCharType="end"/>
      </w:r>
      <w:r w:rsidRPr="00AE2080">
        <w:rPr>
          <w:rFonts w:ascii="Arial" w:hAnsi="Arial" w:cs="Arial"/>
          <w:sz w:val="24"/>
          <w:szCs w:val="24"/>
        </w:rPr>
        <w:t>.</w:t>
      </w:r>
      <w:r w:rsidRPr="00AE2080">
        <w:rPr>
          <w:rFonts w:ascii="Arial" w:hAnsi="Arial" w:cs="Arial"/>
          <w:bCs/>
          <w:sz w:val="24"/>
          <w:szCs w:val="24"/>
        </w:rPr>
        <w:t xml:space="preserve"> The belt training process was refined into a </w:t>
      </w:r>
      <w:r w:rsidR="00541D5D" w:rsidRPr="00AE2080">
        <w:rPr>
          <w:rFonts w:ascii="Arial" w:hAnsi="Arial" w:cs="Arial"/>
          <w:bCs/>
          <w:sz w:val="24"/>
          <w:szCs w:val="24"/>
        </w:rPr>
        <w:t xml:space="preserve">prototype </w:t>
      </w:r>
      <w:r w:rsidR="00217944" w:rsidRPr="00AE2080">
        <w:rPr>
          <w:rFonts w:ascii="Arial" w:hAnsi="Arial" w:cs="Arial"/>
          <w:bCs/>
          <w:sz w:val="24"/>
          <w:szCs w:val="24"/>
        </w:rPr>
        <w:t xml:space="preserve">educational </w:t>
      </w:r>
      <w:r w:rsidR="002679E9">
        <w:rPr>
          <w:rFonts w:ascii="Arial" w:hAnsi="Arial" w:cs="Arial"/>
          <w:bCs/>
          <w:sz w:val="24"/>
          <w:szCs w:val="24"/>
        </w:rPr>
        <w:t>process</w:t>
      </w:r>
      <w:r w:rsidR="00217944" w:rsidRPr="00AE2080">
        <w:rPr>
          <w:rFonts w:ascii="Arial" w:hAnsi="Arial" w:cs="Arial"/>
          <w:bCs/>
          <w:sz w:val="24"/>
          <w:szCs w:val="24"/>
        </w:rPr>
        <w:t xml:space="preserve"> </w:t>
      </w:r>
      <w:r w:rsidRPr="00AE2080">
        <w:rPr>
          <w:rFonts w:ascii="Arial" w:hAnsi="Arial" w:cs="Arial"/>
          <w:bCs/>
          <w:sz w:val="24"/>
          <w:szCs w:val="24"/>
        </w:rPr>
        <w:t xml:space="preserve">which was deployed in a series of lessons. Student feedback from these lessons was used to assess how the belt training </w:t>
      </w:r>
      <w:r w:rsidR="002679E9">
        <w:rPr>
          <w:rFonts w:ascii="Arial" w:hAnsi="Arial" w:cs="Arial"/>
          <w:bCs/>
          <w:sz w:val="24"/>
          <w:szCs w:val="24"/>
        </w:rPr>
        <w:t>process</w:t>
      </w:r>
      <w:r w:rsidRPr="00AE2080">
        <w:rPr>
          <w:rFonts w:ascii="Arial" w:hAnsi="Arial" w:cs="Arial"/>
          <w:bCs/>
          <w:sz w:val="24"/>
          <w:szCs w:val="24"/>
        </w:rPr>
        <w:t xml:space="preserve"> and its development have impacted my CPD via the students’ learning experience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2010)","plainTextFormattedCitation":"(Hung et al., 2010)","previouslyFormattedCitation":"(Hung &lt;i&gt;et al.&lt;/i&gt;, 2010)"},"properties":{"noteIndex":0},"schema":"https://github.com/citation-style-language/schema/raw/master/csl-citation.json"}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(Hung </w:t>
      </w:r>
      <w:r w:rsidRPr="00AE2080">
        <w:rPr>
          <w:rFonts w:ascii="Arial" w:hAnsi="Arial" w:cs="Arial"/>
          <w:bCs/>
          <w:i/>
          <w:noProof/>
          <w:sz w:val="24"/>
          <w:szCs w:val="24"/>
        </w:rPr>
        <w:t>et al.</w:t>
      </w:r>
      <w:r w:rsidRPr="00AE2080">
        <w:rPr>
          <w:rFonts w:ascii="Arial" w:hAnsi="Arial" w:cs="Arial"/>
          <w:bCs/>
          <w:noProof/>
          <w:sz w:val="24"/>
          <w:szCs w:val="24"/>
        </w:rPr>
        <w:t>, 2010)</w:t>
      </w:r>
      <w:r w:rsidRPr="00AE2080">
        <w:rPr>
          <w:rFonts w:ascii="Arial" w:hAnsi="Arial" w:cs="Arial"/>
          <w:bCs/>
          <w:sz w:val="24"/>
          <w:szCs w:val="24"/>
        </w:rPr>
        <w:fldChar w:fldCharType="end"/>
      </w:r>
      <w:r w:rsidRPr="00AE2080">
        <w:rPr>
          <w:rFonts w:ascii="Arial" w:hAnsi="Arial" w:cs="Arial"/>
          <w:bCs/>
          <w:sz w:val="24"/>
          <w:szCs w:val="24"/>
        </w:rPr>
        <w:t xml:space="preserve">. </w:t>
      </w:r>
      <w:r w:rsidR="00275A9C">
        <w:rPr>
          <w:rFonts w:ascii="Arial" w:hAnsi="Arial" w:cs="Arial"/>
          <w:bCs/>
          <w:sz w:val="24"/>
          <w:szCs w:val="24"/>
        </w:rPr>
        <w:t>F</w:t>
      </w:r>
      <w:r w:rsidRPr="00AE2080">
        <w:rPr>
          <w:rFonts w:ascii="Arial" w:hAnsi="Arial" w:cs="Arial"/>
          <w:bCs/>
          <w:sz w:val="24"/>
          <w:szCs w:val="24"/>
        </w:rPr>
        <w:t xml:space="preserve">eedback </w:t>
      </w:r>
      <w:r w:rsidR="00275A9C">
        <w:rPr>
          <w:rFonts w:ascii="Arial" w:hAnsi="Arial" w:cs="Arial"/>
          <w:bCs/>
          <w:sz w:val="24"/>
          <w:szCs w:val="24"/>
        </w:rPr>
        <w:t xml:space="preserve">from participant singers </w:t>
      </w:r>
      <w:r w:rsidRPr="00AE2080">
        <w:rPr>
          <w:rFonts w:ascii="Arial" w:hAnsi="Arial" w:cs="Arial"/>
          <w:bCs/>
          <w:sz w:val="24"/>
          <w:szCs w:val="24"/>
        </w:rPr>
        <w:t xml:space="preserve">is also a form of collaboration used in this study to gain knowledge </w:t>
      </w:r>
      <w:r w:rsidR="00275A9C">
        <w:rPr>
          <w:rFonts w:ascii="Arial" w:hAnsi="Arial" w:cs="Arial"/>
          <w:bCs/>
          <w:sz w:val="24"/>
          <w:szCs w:val="24"/>
        </w:rPr>
        <w:t>which contributed to</w:t>
      </w:r>
      <w:r w:rsidRPr="00AE2080">
        <w:rPr>
          <w:rFonts w:ascii="Arial" w:hAnsi="Arial" w:cs="Arial"/>
          <w:bCs/>
          <w:sz w:val="24"/>
          <w:szCs w:val="24"/>
        </w:rPr>
        <w:t xml:space="preserve"> my CPD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International","id":"ITEM-2","issue":"3","issued":{"date-parts":[["2013"]]},"number-of-pages":"226-227","title":"Conducting educational design research","type":"book","volume":"50"},"uris":["http://www.mendeley.com/documents/?uuid=65fe1a69-feb3-481a-bae9-8feec0fc6a15"]}],"mendeley":{"formattedCitation":"(Hung &lt;i&gt;et al.&lt;/i&gt;, 2010; Valentine and Kopcha, 2013)","manualFormatting":"(Hung et al., 2010; Valentine and Kopcha, 2013, p32)","plainTextFormattedCitation":"(Hung et al., 2010; Valentine and Kopcha, 2013)","previouslyFormattedCitation":"(Hung &lt;i&gt;et al.&lt;/i&gt;, 2010; Valentine and Kopcha, 2013)"},"properties":{"noteIndex":0},"schema":"https://github.com/citation-style-language/schema/raw/master/csl-citation.json"}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(Hung </w:t>
      </w:r>
      <w:r w:rsidRPr="00AE2080">
        <w:rPr>
          <w:rFonts w:ascii="Arial" w:hAnsi="Arial" w:cs="Arial"/>
          <w:bCs/>
          <w:i/>
          <w:noProof/>
          <w:sz w:val="24"/>
          <w:szCs w:val="24"/>
        </w:rPr>
        <w:t>et al.</w:t>
      </w:r>
      <w:r w:rsidRPr="00AE2080">
        <w:rPr>
          <w:rFonts w:ascii="Arial" w:hAnsi="Arial" w:cs="Arial"/>
          <w:bCs/>
          <w:noProof/>
          <w:sz w:val="24"/>
          <w:szCs w:val="24"/>
        </w:rPr>
        <w:t>, 2010; Valentine and Kopcha, 2013, p32)</w:t>
      </w:r>
      <w:r w:rsidRPr="00AE2080">
        <w:rPr>
          <w:rFonts w:ascii="Arial" w:hAnsi="Arial" w:cs="Arial"/>
          <w:bCs/>
          <w:sz w:val="24"/>
          <w:szCs w:val="24"/>
        </w:rPr>
        <w:fldChar w:fldCharType="end"/>
      </w:r>
      <w:r w:rsidRPr="00AE2080">
        <w:rPr>
          <w:rFonts w:ascii="Arial" w:hAnsi="Arial" w:cs="Arial"/>
          <w:bCs/>
          <w:sz w:val="24"/>
          <w:szCs w:val="24"/>
        </w:rPr>
        <w:t xml:space="preserve">. </w:t>
      </w:r>
      <w:r w:rsidR="00D55447" w:rsidRPr="00AE2080">
        <w:rPr>
          <w:rFonts w:ascii="Arial" w:hAnsi="Arial" w:cs="Arial"/>
          <w:bCs/>
          <w:sz w:val="24"/>
          <w:szCs w:val="24"/>
        </w:rPr>
        <w:t>E</w:t>
      </w:r>
      <w:r w:rsidRPr="00AE2080">
        <w:rPr>
          <w:rFonts w:ascii="Arial" w:hAnsi="Arial" w:cs="Arial"/>
          <w:bCs/>
          <w:sz w:val="24"/>
          <w:szCs w:val="24"/>
        </w:rPr>
        <w:t>valuation of this collaborative project assessed the impact of the study on my CPD in the field of belt singing</w:t>
      </w:r>
      <w:r w:rsidR="00D55447" w:rsidRPr="00AE2080">
        <w:rPr>
          <w:rFonts w:ascii="Arial" w:hAnsi="Arial" w:cs="Arial"/>
          <w:bCs/>
          <w:sz w:val="24"/>
          <w:szCs w:val="24"/>
        </w:rPr>
        <w:t xml:space="preserve">. </w:t>
      </w:r>
      <w:r w:rsidRPr="00AE2080">
        <w:rPr>
          <w:rFonts w:ascii="Arial" w:hAnsi="Arial" w:cs="Arial"/>
          <w:bCs/>
          <w:sz w:val="24"/>
          <w:szCs w:val="24"/>
        </w:rPr>
        <w:t xml:space="preserve">It is up to each singing teacher or singer to </w:t>
      </w:r>
      <w:r w:rsidR="009D247C">
        <w:rPr>
          <w:rFonts w:ascii="Arial" w:hAnsi="Arial" w:cs="Arial"/>
          <w:bCs/>
          <w:sz w:val="24"/>
          <w:szCs w:val="24"/>
        </w:rPr>
        <w:t>assert</w:t>
      </w:r>
      <w:r w:rsidRPr="00AE2080">
        <w:rPr>
          <w:rFonts w:ascii="Arial" w:hAnsi="Arial" w:cs="Arial"/>
          <w:bCs/>
          <w:sz w:val="24"/>
          <w:szCs w:val="24"/>
        </w:rPr>
        <w:t xml:space="preserve"> applicability to their circumstances of which they are the expert</w:t>
      </w:r>
      <w:r w:rsidR="00D55447" w:rsidRPr="00AE2080">
        <w:rPr>
          <w:rFonts w:ascii="Arial" w:hAnsi="Arial" w:cs="Arial"/>
          <w:bCs/>
          <w:sz w:val="24"/>
          <w:szCs w:val="24"/>
        </w:rPr>
        <w:t xml:space="preserve"> </w:t>
      </w:r>
      <w:r w:rsidR="00D55447" w:rsidRPr="00AE2080">
        <w:rPr>
          <w:rFonts w:ascii="Arial" w:hAnsi="Arial" w:cs="Arial"/>
          <w:bCs/>
          <w:sz w:val="24"/>
          <w:szCs w:val="24"/>
        </w:rPr>
        <w:fldChar w:fldCharType="begin" w:fldLock="1"/>
      </w:r>
      <w:r w:rsidR="00D55447" w:rsidRPr="00AE2080">
        <w:rPr>
          <w:rFonts w:ascii="Arial" w:hAnsi="Arial" w:cs="Arial"/>
          <w:bCs/>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00D55447" w:rsidRPr="00AE2080">
        <w:rPr>
          <w:rFonts w:ascii="Arial" w:hAnsi="Arial" w:cs="Arial"/>
          <w:bCs/>
          <w:sz w:val="24"/>
          <w:szCs w:val="24"/>
        </w:rPr>
        <w:fldChar w:fldCharType="separate"/>
      </w:r>
      <w:r w:rsidR="00D55447" w:rsidRPr="00AE2080">
        <w:rPr>
          <w:rFonts w:ascii="Arial" w:hAnsi="Arial" w:cs="Arial"/>
          <w:bCs/>
          <w:noProof/>
          <w:sz w:val="24"/>
          <w:szCs w:val="24"/>
        </w:rPr>
        <w:t>(Denscombe, 2014; Merriam and Tisdell, 2016)</w:t>
      </w:r>
      <w:r w:rsidR="00D55447" w:rsidRPr="00AE2080">
        <w:rPr>
          <w:rFonts w:ascii="Arial" w:hAnsi="Arial" w:cs="Arial"/>
          <w:bCs/>
          <w:sz w:val="24"/>
          <w:szCs w:val="24"/>
        </w:rPr>
        <w:fldChar w:fldCharType="end"/>
      </w:r>
      <w:r w:rsidR="00686A5B">
        <w:rPr>
          <w:rFonts w:ascii="Arial" w:hAnsi="Arial" w:cs="Arial"/>
          <w:bCs/>
          <w:sz w:val="24"/>
          <w:szCs w:val="24"/>
        </w:rPr>
        <w:t>.</w:t>
      </w:r>
    </w:p>
    <w:p w14:paraId="0F62D119" w14:textId="77777777" w:rsidR="0012106F" w:rsidRPr="00AE2080" w:rsidRDefault="0012106F" w:rsidP="00AE2080">
      <w:pPr>
        <w:spacing w:line="360" w:lineRule="auto"/>
        <w:jc w:val="both"/>
        <w:rPr>
          <w:rFonts w:ascii="Arial" w:hAnsi="Arial" w:cs="Arial"/>
          <w:b/>
          <w:sz w:val="24"/>
          <w:szCs w:val="24"/>
        </w:rPr>
      </w:pPr>
      <w:r w:rsidRPr="00AE2080">
        <w:rPr>
          <w:rFonts w:ascii="Arial" w:hAnsi="Arial" w:cs="Arial"/>
          <w:b/>
          <w:sz w:val="24"/>
          <w:szCs w:val="24"/>
        </w:rPr>
        <w:t>Intended impact</w:t>
      </w:r>
    </w:p>
    <w:p w14:paraId="5CFC6121" w14:textId="47CC2B16" w:rsidR="0012106F" w:rsidRDefault="0012106F" w:rsidP="00AE2080">
      <w:pPr>
        <w:spacing w:line="360" w:lineRule="auto"/>
        <w:jc w:val="both"/>
        <w:rPr>
          <w:rFonts w:ascii="Arial" w:hAnsi="Arial" w:cs="Arial"/>
          <w:bCs/>
          <w:sz w:val="24"/>
          <w:szCs w:val="24"/>
        </w:rPr>
      </w:pPr>
      <w:r w:rsidRPr="00AE2080">
        <w:rPr>
          <w:rFonts w:ascii="Arial" w:hAnsi="Arial" w:cs="Arial"/>
          <w:bCs/>
          <w:sz w:val="24"/>
          <w:szCs w:val="24"/>
        </w:rPr>
        <w:t>My teaching practice covers a broad range of students with varied goals. Frequently a proportion of my student base w</w:t>
      </w:r>
      <w:r w:rsidR="007021D3">
        <w:rPr>
          <w:rFonts w:ascii="Arial" w:hAnsi="Arial" w:cs="Arial"/>
          <w:bCs/>
          <w:sz w:val="24"/>
          <w:szCs w:val="24"/>
        </w:rPr>
        <w:t>ishes</w:t>
      </w:r>
      <w:r w:rsidRPr="00AE2080">
        <w:rPr>
          <w:rFonts w:ascii="Arial" w:hAnsi="Arial" w:cs="Arial"/>
          <w:bCs/>
          <w:sz w:val="24"/>
          <w:szCs w:val="24"/>
        </w:rPr>
        <w:t xml:space="preserve"> to study CCM styles</w:t>
      </w:r>
      <w:r w:rsidR="007929DF">
        <w:rPr>
          <w:rFonts w:ascii="Arial" w:hAnsi="Arial" w:cs="Arial"/>
          <w:bCs/>
          <w:sz w:val="24"/>
          <w:szCs w:val="24"/>
        </w:rPr>
        <w:t>,</w:t>
      </w:r>
      <w:r w:rsidRPr="00AE2080">
        <w:rPr>
          <w:rFonts w:ascii="Arial" w:hAnsi="Arial" w:cs="Arial"/>
          <w:bCs/>
          <w:sz w:val="24"/>
          <w:szCs w:val="24"/>
        </w:rPr>
        <w:t xml:space="preserve"> including belting. The formal training I have undergone has covered more classical styles and techniques than CCM. </w:t>
      </w:r>
      <w:r w:rsidR="00FE7DEB">
        <w:rPr>
          <w:rFonts w:ascii="Arial" w:hAnsi="Arial" w:cs="Arial"/>
          <w:bCs/>
          <w:sz w:val="24"/>
          <w:szCs w:val="24"/>
        </w:rPr>
        <w:t>To</w:t>
      </w:r>
      <w:r w:rsidRPr="00AE2080">
        <w:rPr>
          <w:rFonts w:ascii="Arial" w:hAnsi="Arial" w:cs="Arial"/>
          <w:bCs/>
          <w:sz w:val="24"/>
          <w:szCs w:val="24"/>
        </w:rPr>
        <w:t xml:space="preserve"> serve my client base</w:t>
      </w:r>
      <w:r w:rsidR="006B1EC7">
        <w:rPr>
          <w:rFonts w:ascii="Arial" w:hAnsi="Arial" w:cs="Arial"/>
          <w:bCs/>
          <w:sz w:val="24"/>
          <w:szCs w:val="24"/>
        </w:rPr>
        <w:t xml:space="preserve"> better</w:t>
      </w:r>
      <w:r w:rsidRPr="00AE2080">
        <w:rPr>
          <w:rFonts w:ascii="Arial" w:hAnsi="Arial" w:cs="Arial"/>
          <w:bCs/>
          <w:sz w:val="24"/>
          <w:szCs w:val="24"/>
        </w:rPr>
        <w:t>, I</w:t>
      </w:r>
      <w:r w:rsidR="005B3215">
        <w:rPr>
          <w:rFonts w:ascii="Arial" w:hAnsi="Arial" w:cs="Arial"/>
          <w:bCs/>
          <w:sz w:val="24"/>
          <w:szCs w:val="24"/>
        </w:rPr>
        <w:t xml:space="preserve"> should</w:t>
      </w:r>
      <w:r w:rsidRPr="00AE2080">
        <w:rPr>
          <w:rFonts w:ascii="Arial" w:hAnsi="Arial" w:cs="Arial"/>
          <w:bCs/>
          <w:sz w:val="24"/>
          <w:szCs w:val="24"/>
        </w:rPr>
        <w:t xml:space="preserve"> develop evidence-based knowledge of CCM styles to give me a sense of self-efficacy in this area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Inquiry","type":"article-journal","volume":"32"},"uris":["http://www.mendeley.com/documents/?uuid=b43c7288-c64a-424e-bb77-bf33da21147a"]},{"id":"ITEM-2","itemData":{"DOI":"10.1016/j.system.2005.12.002","ISSN":"0346251X","abstract":"The goal of the study was to test whether student teachers trained using a peer coaching training program after teaching practicum sessions in teaching of English as a foreign language would demonstrate greater improvement on measures of a number of identified instructional skills and self-efficacy than those just receiving traditional supervisor visits. Two groups of student teachers (32 in total) from English language teaching Department of European University of Lefke, North Cyprus doing their Teaching Practicum course (EDU 420) as part of a B.A. teacher education program were compared in regard to their (a) self-efficacy, and (b) development of (clarity) instructional skills. Results showed statistically significant differences in favor of the experimental condition on 7 variables measured. The findings also have implications for how peer coaching can be a vehicle to develop self-efficacy. © 2006 Elsevier Ltd. All rights reserved.","author":[{"dropping-particle":"","family":"Goker","given":"Suleyman Davut","non-dropping-particle":"","parse-names":false,"suffix":""}],"container-title":"System","id":"ITEM-2","issue":"2","issued":{"date-parts":[["2006"]]},"page":"239-254","title":"Impact of peer coaching on self-efficacy and instructional skills in TEFL teacher education","type":"article-journal","volume":"34"},"uris":["http://www.mendeley.com/documents/?uuid=3d58296e-687a-4eda-804d-05c65210b6fb"]}],"mendeley":{"formattedCitation":"(Hoadley &lt;i&gt;et al.&lt;/i&gt;, 2002; Goker, 2006)","plainTextFormattedCitation":"(Hoadley et al., 2002; Goker, 2006)","previouslyFormattedCitation":"(Hoadley &lt;i&gt;et al.&lt;/i&gt;, 2002; Goker, 2006)"},"properties":{"noteIndex":0},"schema":"https://github.com/citation-style-language/schema/raw/master/csl-citation.json"}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(Hoadley </w:t>
      </w:r>
      <w:r w:rsidRPr="00AE2080">
        <w:rPr>
          <w:rFonts w:ascii="Arial" w:hAnsi="Arial" w:cs="Arial"/>
          <w:bCs/>
          <w:i/>
          <w:noProof/>
          <w:sz w:val="24"/>
          <w:szCs w:val="24"/>
        </w:rPr>
        <w:t>et al.</w:t>
      </w:r>
      <w:r w:rsidRPr="00AE2080">
        <w:rPr>
          <w:rFonts w:ascii="Arial" w:hAnsi="Arial" w:cs="Arial"/>
          <w:bCs/>
          <w:noProof/>
          <w:sz w:val="24"/>
          <w:szCs w:val="24"/>
        </w:rPr>
        <w:t>, 2002; Goker, 2006)</w:t>
      </w:r>
      <w:r w:rsidRPr="00AE2080">
        <w:rPr>
          <w:rFonts w:ascii="Arial" w:hAnsi="Arial" w:cs="Arial"/>
          <w:bCs/>
          <w:sz w:val="24"/>
          <w:szCs w:val="24"/>
        </w:rPr>
        <w:fldChar w:fldCharType="end"/>
      </w:r>
      <w:r w:rsidRPr="00AE2080">
        <w:rPr>
          <w:rFonts w:ascii="Arial" w:hAnsi="Arial" w:cs="Arial"/>
          <w:bCs/>
          <w:sz w:val="24"/>
          <w:szCs w:val="24"/>
        </w:rPr>
        <w:t xml:space="preserve">. CPD </w:t>
      </w:r>
      <w:r w:rsidR="003D4ACC">
        <w:rPr>
          <w:rFonts w:ascii="Arial" w:hAnsi="Arial" w:cs="Arial"/>
          <w:bCs/>
          <w:sz w:val="24"/>
          <w:szCs w:val="24"/>
        </w:rPr>
        <w:t>i</w:t>
      </w:r>
      <w:r w:rsidR="00CD60D0">
        <w:rPr>
          <w:rFonts w:ascii="Arial" w:hAnsi="Arial" w:cs="Arial"/>
          <w:bCs/>
          <w:sz w:val="24"/>
          <w:szCs w:val="24"/>
        </w:rPr>
        <w:t>n</w:t>
      </w:r>
      <w:r w:rsidR="003D4ACC">
        <w:rPr>
          <w:rFonts w:ascii="Arial" w:hAnsi="Arial" w:cs="Arial"/>
          <w:bCs/>
          <w:sz w:val="24"/>
          <w:szCs w:val="24"/>
        </w:rPr>
        <w:t xml:space="preserve"> this area </w:t>
      </w:r>
      <w:r w:rsidRPr="00AE2080">
        <w:rPr>
          <w:rFonts w:ascii="Arial" w:hAnsi="Arial" w:cs="Arial"/>
          <w:bCs/>
          <w:sz w:val="24"/>
          <w:szCs w:val="24"/>
        </w:rPr>
        <w:t xml:space="preserve">will be good for my teaching practice by broadening my teaching abilities and therefore allowing me to work more effectively with students pursuing CCM styles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{"citationItems":[{"id":"ITEM-1","itemData":{"DOI":"10.1016/j.system.2005.12.002","ISSN":"0346251X","abstract":"The goal of the study was to test whether student teachers trained using a peer coaching training program after teaching practicum sessions in teaching of English as a foreign language would demonstrate greater improvement on measures of a number of identified instructional skills and self-efficacy than those just receiving traditional supervisor visits. Two groups of student teachers (32 in total) from English language teaching Department of European University of Lefke, North Cyprus doing their Teaching Practicum course (EDU 420) as part of a B.A. teacher education program were compared in regard to their (a) self-efficacy, and (b) development of (clarity) instructional skills. Results showed statistically significant differences in favor of the experimental condition on 7 variables measured. The findings also have implications for how peer coaching can be a vehicle to develop self-efficacy. © 2006 Elsevier Ltd. All rights reserved.","author":[{"dropping-particle":"","family":"Goker","given":"Suleyman Davut","non-dropping-particle":"","parse-names":false,"suffix":""}],"container-title":"System","id":"ITEM-1","issue":"2","issued":{"date-parts":[["2006"]]},"page":"239-254","title":"Impact of peer coaching on self-efficacy and instructional skills in TEFL teacher education","type":"article-journal","volume":"34"},"uris":["http://www.mendeley.com/documents/?uuid=3d58296e-687a-4eda-804d-05c65210b6fb"]}],"mendeley":{"formattedCitation":"(Goker, 2006)","plainTextFormattedCitation":"(Goker, 2006)","previouslyFormattedCitation":"(Goker, 2006)"},"properties":{"noteIndex":0},"schema":"https://github.com/citation-style-language/schema/raw/master/csl-citation.json"}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(Goker, 2006)</w:t>
      </w:r>
      <w:r w:rsidRPr="00AE2080">
        <w:rPr>
          <w:rFonts w:ascii="Arial" w:hAnsi="Arial" w:cs="Arial"/>
          <w:bCs/>
          <w:sz w:val="24"/>
          <w:szCs w:val="24"/>
        </w:rPr>
        <w:fldChar w:fldCharType="end"/>
      </w:r>
      <w:r w:rsidRPr="00AE2080">
        <w:rPr>
          <w:rFonts w:ascii="Arial" w:hAnsi="Arial" w:cs="Arial"/>
          <w:bCs/>
          <w:sz w:val="24"/>
          <w:szCs w:val="24"/>
        </w:rPr>
        <w:t>.</w:t>
      </w:r>
      <w:r w:rsidR="00D55447" w:rsidRPr="00AE2080">
        <w:rPr>
          <w:rFonts w:ascii="Arial" w:hAnsi="Arial" w:cs="Arial"/>
          <w:bCs/>
          <w:sz w:val="24"/>
          <w:szCs w:val="24"/>
        </w:rPr>
        <w:t xml:space="preserve"> Teachers with similar CPD needs and their students could benefit from this study.</w:t>
      </w:r>
      <w:r w:rsidR="002C6F45" w:rsidRPr="00AE2080">
        <w:rPr>
          <w:rFonts w:ascii="Arial" w:hAnsi="Arial" w:cs="Arial"/>
          <w:bCs/>
          <w:sz w:val="24"/>
          <w:szCs w:val="24"/>
        </w:rPr>
        <w:t xml:space="preserve"> Beyond this, </w:t>
      </w:r>
      <w:r w:rsidR="007753E2" w:rsidRPr="00AE2080">
        <w:rPr>
          <w:rFonts w:ascii="Arial" w:hAnsi="Arial" w:cs="Arial"/>
          <w:bCs/>
          <w:sz w:val="24"/>
          <w:szCs w:val="24"/>
        </w:rPr>
        <w:t>singers</w:t>
      </w:r>
      <w:r w:rsidR="007753E2">
        <w:rPr>
          <w:rFonts w:ascii="Arial" w:hAnsi="Arial" w:cs="Arial"/>
          <w:bCs/>
          <w:sz w:val="24"/>
          <w:szCs w:val="24"/>
        </w:rPr>
        <w:t xml:space="preserve"> who can belt with </w:t>
      </w:r>
      <w:r w:rsidR="002C6F45" w:rsidRPr="00AE2080">
        <w:rPr>
          <w:rFonts w:ascii="Arial" w:hAnsi="Arial" w:cs="Arial"/>
          <w:bCs/>
          <w:sz w:val="24"/>
          <w:szCs w:val="24"/>
        </w:rPr>
        <w:t>healthy</w:t>
      </w:r>
      <w:r w:rsidR="007753E2">
        <w:rPr>
          <w:rFonts w:ascii="Arial" w:hAnsi="Arial" w:cs="Arial"/>
          <w:bCs/>
          <w:sz w:val="24"/>
          <w:szCs w:val="24"/>
        </w:rPr>
        <w:t xml:space="preserve"> and </w:t>
      </w:r>
      <w:r w:rsidR="002C6F45" w:rsidRPr="00AE2080">
        <w:rPr>
          <w:rFonts w:ascii="Arial" w:hAnsi="Arial" w:cs="Arial"/>
          <w:bCs/>
          <w:sz w:val="24"/>
          <w:szCs w:val="24"/>
        </w:rPr>
        <w:t xml:space="preserve">reliable </w:t>
      </w:r>
      <w:r w:rsidR="007753E2">
        <w:rPr>
          <w:rFonts w:ascii="Arial" w:hAnsi="Arial" w:cs="Arial"/>
          <w:bCs/>
          <w:sz w:val="24"/>
          <w:szCs w:val="24"/>
        </w:rPr>
        <w:t xml:space="preserve">technique </w:t>
      </w:r>
      <w:r w:rsidR="002C6F45" w:rsidRPr="00AE2080">
        <w:rPr>
          <w:rFonts w:ascii="Arial" w:hAnsi="Arial" w:cs="Arial"/>
          <w:bCs/>
          <w:sz w:val="24"/>
          <w:szCs w:val="24"/>
        </w:rPr>
        <w:t xml:space="preserve">would </w:t>
      </w:r>
      <w:r w:rsidR="007753E2">
        <w:rPr>
          <w:rFonts w:ascii="Arial" w:hAnsi="Arial" w:cs="Arial"/>
          <w:bCs/>
          <w:sz w:val="24"/>
          <w:szCs w:val="24"/>
        </w:rPr>
        <w:t>have a</w:t>
      </w:r>
      <w:r w:rsidR="002C6F45" w:rsidRPr="00AE2080">
        <w:rPr>
          <w:rFonts w:ascii="Arial" w:hAnsi="Arial" w:cs="Arial"/>
          <w:bCs/>
          <w:sz w:val="24"/>
          <w:szCs w:val="24"/>
        </w:rPr>
        <w:t xml:space="preserve"> reduced risk of vocal injuries </w:t>
      </w:r>
      <w:r w:rsidR="00774A65">
        <w:rPr>
          <w:rFonts w:ascii="Arial" w:hAnsi="Arial" w:cs="Arial"/>
          <w:bCs/>
          <w:sz w:val="24"/>
          <w:szCs w:val="24"/>
        </w:rPr>
        <w:t xml:space="preserve">and </w:t>
      </w:r>
      <w:r w:rsidR="002C6F45" w:rsidRPr="00AE2080">
        <w:rPr>
          <w:rFonts w:ascii="Arial" w:hAnsi="Arial" w:cs="Arial"/>
          <w:bCs/>
          <w:sz w:val="24"/>
          <w:szCs w:val="24"/>
        </w:rPr>
        <w:t>would</w:t>
      </w:r>
      <w:r w:rsidR="00774A65">
        <w:rPr>
          <w:rFonts w:ascii="Arial" w:hAnsi="Arial" w:cs="Arial"/>
          <w:bCs/>
          <w:sz w:val="24"/>
          <w:szCs w:val="24"/>
        </w:rPr>
        <w:t xml:space="preserve"> support</w:t>
      </w:r>
      <w:r w:rsidR="002C6F45" w:rsidRPr="00AE2080">
        <w:rPr>
          <w:rFonts w:ascii="Arial" w:hAnsi="Arial" w:cs="Arial"/>
          <w:bCs/>
          <w:sz w:val="24"/>
          <w:szCs w:val="24"/>
        </w:rPr>
        <w:t xml:space="preserve"> music business</w:t>
      </w:r>
      <w:r w:rsidR="00880CAC" w:rsidRPr="00AE2080">
        <w:rPr>
          <w:rFonts w:ascii="Arial" w:hAnsi="Arial" w:cs="Arial"/>
          <w:bCs/>
          <w:sz w:val="24"/>
          <w:szCs w:val="24"/>
        </w:rPr>
        <w:t xml:space="preserve"> </w:t>
      </w:r>
      <w:r w:rsidR="00774A65">
        <w:rPr>
          <w:rFonts w:ascii="Arial" w:hAnsi="Arial" w:cs="Arial"/>
          <w:bCs/>
          <w:sz w:val="24"/>
          <w:szCs w:val="24"/>
        </w:rPr>
        <w:t xml:space="preserve">profitability </w:t>
      </w:r>
      <w:r w:rsidR="00880CAC" w:rsidRPr="00AE2080">
        <w:rPr>
          <w:rFonts w:ascii="Arial" w:hAnsi="Arial" w:cs="Arial"/>
          <w:bCs/>
          <w:sz w:val="24"/>
          <w:szCs w:val="24"/>
        </w:rPr>
        <w:fldChar w:fldCharType="begin" w:fldLock="1"/>
      </w:r>
      <w:r w:rsidR="00A4064E" w:rsidRPr="00AE2080">
        <w:rPr>
          <w:rFonts w:ascii="Arial" w:hAnsi="Arial" w:cs="Arial"/>
          <w:bCs/>
          <w:sz w:val="24"/>
          <w:szCs w:val="24"/>
        </w:rPr>
        <w:instrText>ADDIN CSL_CITATION {"citationItems":[{"id":"ITEM-1","itemData":{"DOI":"10.1016/j.jvoice.2021.08.006","ISSN":"18734588","abstract":"Objective: To document and quantify vocal dose and student-singers' self-assessment during rehearsals for a contemporary musical theater production. Methods/Design: Six student singers fastened the sensor from the KayPentax APM 3200 dosimeter to the lower neck to capture neck vibration data during their preparation for the musical Wonderland by Frank Wildhorn. Data were collected during 8-hour periods, at four different stages throughout the rehearsal process: beginning (music and choreography learning phase), middle (staging phase), and end (running the entire show/dress rehearsal phase), plus a post-production day once the production had concluded to establish a baseline vocal load. Students concurrently completed the EASE questionnaire1 after each data collection day. Results: The EASE score (Appendix 1) and demographics/perceptual questionnaire (Appendix 2) revealed that all subjects (three males and three females) found the singing role vocally and physically demanding but only two found the roles to be emotionally challenging. The musical score demanded a higher usage of chest register (judged perceptually) than mixed register from lead singers. All subjects’ maximum fundamental frequency range exceeded the pitch range required by the score. The mean vibration dose (distance dose) across all singers for rehearsal days was higher for females, 1,100,000 meters, than males, 900,000 meters, and the subjects’ self-ratings on the EASE were not correlated with the distance dose. Conclusions: A review of Wonderland's score and perceptual judgment of the singers’ performances revealed extensive use of chest register, with belting and mix vocal strategies being the predominant stylistic choices. Students described the singing roles’ vocal and physical requirements as more challenging than the character's emotional components. This pilot study provides information on the vocal dose for lead and ensemble singers in rehearsal for a Contemporary Musical Theatre production. Singers and voice professionals may find dosimetry a valuable tool for monitoring the vocal dose during rehearsals and performances.","author":[{"dropping-particle":"","family":"Zuim","given":"Ana Flavia","non-dropping-particle":"","parse-names":false,"suffix":""},{"dropping-particle":"","family":"Stewart","given":"Celia F.","non-dropping-particle":"","parse-names":false,"suffix":""},{"dropping-particle":"","family":"Titze","given":"Ingo R.","non-dropping-particle":"","parse-names":false,"suffix":""}],"container-title":"Journal of Voice","id":"ITEM-1","issued":{"date-parts":[["2021"]]},"page":"1-16","publisher":"Elsevier Inc.","title":"Vocal Dose and Vocal Demands in Contemporary Musical Theatre","type":"article-journal"},"uris":["http://www.mendeley.com/documents/?uuid=2d356760-21e6-462e-afe0-72c6cf2a3a37"]},{"id":"ITEM-2","itemData":{"DOI":"10.1016/j.jvoice.2013.10.007","ISSN":"18734588","PMID":"24467880","abstract":"Objectives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Voice","id":"ITEM-2","issue":"3","issued":{"date-parts":[["2014"]]},"page":"324-327","publisher":"Elsevier Ltd","title":"Trends in musical theatre voice: An analysis of audition requirements for singers","type":"article-journal","volume":"28"},"uris":["http://www.mendeley.com/documents/?uuid=6c5c7ab8-2117-4022-bd21-e16aa8ee37d9"]},{"id":"ITEM-3","itemData":{"DOI":"10.1080/23268263.2021.1889245","ISSN":"23268271","abstract":"This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Review","id":"ITEM-3","issue":"3","issued":{"date-parts":[["2021"]]},"note":"Opera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Teacher","type":"article-journal","volume":"15"},"uris":["http://www.mendeley.com/documents/?uuid=c913173e-82b0-4559-a07f-7d1b3007e2ce"]}],"mendeley":{"formattedCitation":"(Green &lt;i&gt;et al.&lt;/i&gt;, 2014; Wilson, 2021; Zuim, Stewart and Titze, 2021)","plainTextFormattedCitation":"(Green et al., 2014; Wilson, 2021; Zuim, Stewart and Titze, 2021)","previouslyFormattedCitation":"(Green &lt;i&gt;et al.&lt;/i&gt;, 2014; Wilson, 2021; Zuim, Stewart and Titze, 2021)"},"properties":{"noteIndex":0},"schema":"https://github.com/citation-style-language/schema/raw/master/csl-citation.json"}</w:instrText>
      </w:r>
      <w:r w:rsidR="00880CAC" w:rsidRPr="00AE2080">
        <w:rPr>
          <w:rFonts w:ascii="Arial" w:hAnsi="Arial" w:cs="Arial"/>
          <w:bCs/>
          <w:sz w:val="24"/>
          <w:szCs w:val="24"/>
        </w:rPr>
        <w:fldChar w:fldCharType="separate"/>
      </w:r>
      <w:r w:rsidR="00880CAC" w:rsidRPr="00AE2080">
        <w:rPr>
          <w:rFonts w:ascii="Arial" w:hAnsi="Arial" w:cs="Arial"/>
          <w:bCs/>
          <w:noProof/>
          <w:sz w:val="24"/>
          <w:szCs w:val="24"/>
        </w:rPr>
        <w:t xml:space="preserve">(Green </w:t>
      </w:r>
      <w:r w:rsidR="00880CAC" w:rsidRPr="00AE2080">
        <w:rPr>
          <w:rFonts w:ascii="Arial" w:hAnsi="Arial" w:cs="Arial"/>
          <w:bCs/>
          <w:i/>
          <w:noProof/>
          <w:sz w:val="24"/>
          <w:szCs w:val="24"/>
        </w:rPr>
        <w:t>et al.</w:t>
      </w:r>
      <w:r w:rsidR="00880CAC" w:rsidRPr="00AE2080">
        <w:rPr>
          <w:rFonts w:ascii="Arial" w:hAnsi="Arial" w:cs="Arial"/>
          <w:bCs/>
          <w:noProof/>
          <w:sz w:val="24"/>
          <w:szCs w:val="24"/>
        </w:rPr>
        <w:t>, 2014; Wilson, 2021; Zuim, Stewart and Titze, 2021)</w:t>
      </w:r>
      <w:r w:rsidR="00880CAC" w:rsidRPr="00AE2080">
        <w:rPr>
          <w:rFonts w:ascii="Arial" w:hAnsi="Arial" w:cs="Arial"/>
          <w:bCs/>
          <w:sz w:val="24"/>
          <w:szCs w:val="24"/>
        </w:rPr>
        <w:fldChar w:fldCharType="end"/>
      </w:r>
      <w:r w:rsidR="00880CAC" w:rsidRPr="00AE2080">
        <w:rPr>
          <w:rFonts w:ascii="Arial" w:hAnsi="Arial" w:cs="Arial"/>
          <w:bCs/>
          <w:sz w:val="24"/>
          <w:szCs w:val="24"/>
        </w:rPr>
        <w:t>.</w:t>
      </w:r>
    </w:p>
    <w:p w14:paraId="59271FE7" w14:textId="235CB558" w:rsidR="0012106F" w:rsidRPr="00AE2080" w:rsidRDefault="0012106F" w:rsidP="00AE2080">
      <w:pPr>
        <w:spacing w:line="360" w:lineRule="auto"/>
        <w:jc w:val="both"/>
        <w:rPr>
          <w:rFonts w:ascii="Arial" w:hAnsi="Arial" w:cs="Arial"/>
          <w:bCs/>
          <w:sz w:val="24"/>
          <w:szCs w:val="24"/>
        </w:rPr>
      </w:pPr>
      <w:r w:rsidRPr="00AE2080">
        <w:rPr>
          <w:rFonts w:ascii="Arial" w:hAnsi="Arial" w:cs="Arial"/>
          <w:bCs/>
          <w:sz w:val="24"/>
          <w:szCs w:val="24"/>
        </w:rPr>
        <w:t xml:space="preserve">As academic training for singing teachers in CCM styles is a relatively new area, there may be many teachers with classical training who have students wishing to sing CCM styles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{"citationItems":[{"id":"ITEM-1","itemData":{"author":[{"dropping-particle":"","family":"Naismith","given":"Marisa Lee","non-dropping-particle":"","parse-names":false,"suffix":""},{"dropping-particle":"","family":"Bartlett","given":"Irene","non-dropping-particle":"","parse-names":false,"suffix":""}],"container-title":"Journal of Singing","id":"ITEM-1","issue":"3","issued":{"date-parts":[["2020"]]},"page":"273-282","title":"An Investigation of Contemporary Commercial Music (CCM) Voice Pedagogy: A Class of its Own?","type":"article-journal","volume":"76"},"uris":["http://www.mendeley.com/documents/?uuid=ae01dd51-b652-45f2-9141-13603b69bd70"]}],"mendeley":{"formattedCitation":"(Naismith and Bartlett, 2020)","plainTextFormattedCitation":"(Naismith and Bartlett, 2020)","previouslyFormattedCitation":"(Naismith and Bartlett, 2020)"},"properties":{"noteIndex":0},"schema":"https://github.com/citation-style-language/schema/raw/master/csl-citation.json"}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(Naismith and Bartlett, 2020)</w:t>
      </w:r>
      <w:r w:rsidRPr="00AE2080">
        <w:rPr>
          <w:rFonts w:ascii="Arial" w:hAnsi="Arial" w:cs="Arial"/>
          <w:bCs/>
          <w:sz w:val="24"/>
          <w:szCs w:val="24"/>
        </w:rPr>
        <w:fldChar w:fldCharType="end"/>
      </w:r>
      <w:r w:rsidRPr="00AE2080">
        <w:rPr>
          <w:rFonts w:ascii="Arial" w:hAnsi="Arial" w:cs="Arial"/>
          <w:bCs/>
          <w:sz w:val="24"/>
          <w:szCs w:val="24"/>
        </w:rPr>
        <w:t>. These classically</w:t>
      </w:r>
      <w:r w:rsidR="00A01B9E">
        <w:rPr>
          <w:rFonts w:ascii="Arial" w:hAnsi="Arial" w:cs="Arial"/>
          <w:bCs/>
          <w:sz w:val="24"/>
          <w:szCs w:val="24"/>
        </w:rPr>
        <w:t xml:space="preserve"> </w:t>
      </w:r>
      <w:r w:rsidRPr="00AE2080">
        <w:rPr>
          <w:rFonts w:ascii="Arial" w:hAnsi="Arial" w:cs="Arial"/>
          <w:bCs/>
          <w:sz w:val="24"/>
          <w:szCs w:val="24"/>
        </w:rPr>
        <w:t xml:space="preserve">trained teachers and singing </w:t>
      </w:r>
      <w:r w:rsidRPr="00AE2080">
        <w:rPr>
          <w:rFonts w:ascii="Arial" w:hAnsi="Arial" w:cs="Arial"/>
          <w:bCs/>
          <w:sz w:val="24"/>
          <w:szCs w:val="24"/>
        </w:rPr>
        <w:lastRenderedPageBreak/>
        <w:t xml:space="preserve">teachers with less teaching experience may benefit from a collaborative, evidence-based belt training </w:t>
      </w:r>
      <w:r w:rsidR="002679E9">
        <w:rPr>
          <w:rFonts w:ascii="Arial" w:hAnsi="Arial" w:cs="Arial"/>
          <w:bCs/>
          <w:sz w:val="24"/>
          <w:szCs w:val="24"/>
        </w:rPr>
        <w:t>process</w:t>
      </w:r>
      <w:r w:rsidRPr="00AE2080">
        <w:rPr>
          <w:rFonts w:ascii="Arial" w:hAnsi="Arial" w:cs="Arial"/>
          <w:bCs/>
          <w:sz w:val="24"/>
          <w:szCs w:val="24"/>
        </w:rPr>
        <w:t xml:space="preserve">. The project may also serve to ‘break down barriers’ of style, tastes, and beliefs about belting being a harmful way of singing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{"citationItems":[{"id":"ITEM-1","itemData":{"abstract":"In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author":[{"dropping-particle":"","family":"Mackenzie","given":"Noella","non-dropping-particle":"","parse-names":false,"suffix":""},{"dropping-particle":"","family":"Knipe","given":"Sally","non-dropping-particle":"","parse-names":false,"suffix":""}],"container-title":"Issues In Educational Research","id":"ITEM-1","issued":{"date-parts":[["2006"]]},"page":"193-205","title":"Research dilemmas: Paradigms, methods and methodology [Electronic Version]","type":"article-journal","volume":"16"},"uris":["http://www.mendeley.com/documents/?uuid=ffa17eed-0ac5-4128-b5f5-22e258f2620a"]}],"mendeley":{"formattedCitation":"(Mackenzie and Knipe, 2006)","plainTextFormattedCitation":"(Mackenzie and Knipe, 2006)","previouslyFormattedCitation":"(Mackenzie and Knipe, 2006)"},"properties":{"noteIndex":0},"schema":"https://github.com/citation-style-language/schema/raw/master/csl-citation.json"}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(Mackenzie and Knipe, 2006)</w:t>
      </w:r>
      <w:r w:rsidRPr="00AE2080">
        <w:rPr>
          <w:rFonts w:ascii="Arial" w:hAnsi="Arial" w:cs="Arial"/>
          <w:bCs/>
          <w:sz w:val="24"/>
          <w:szCs w:val="24"/>
        </w:rPr>
        <w:fldChar w:fldCharType="end"/>
      </w:r>
      <w:r w:rsidRPr="00AE2080">
        <w:rPr>
          <w:rFonts w:ascii="Arial" w:hAnsi="Arial" w:cs="Arial"/>
          <w:bCs/>
          <w:sz w:val="24"/>
          <w:szCs w:val="24"/>
        </w:rPr>
        <w:t>.</w:t>
      </w:r>
    </w:p>
    <w:p w14:paraId="0DE265A8" w14:textId="77777777" w:rsidR="0012106F" w:rsidRDefault="0012106F" w:rsidP="00AE2080">
      <w:pPr>
        <w:spacing w:line="360" w:lineRule="auto"/>
        <w:jc w:val="both"/>
        <w:rPr>
          <w:rFonts w:ascii="Arial" w:hAnsi="Arial" w:cs="Arial"/>
          <w:b/>
          <w:sz w:val="24"/>
          <w:szCs w:val="24"/>
        </w:rPr>
      </w:pPr>
      <w:r w:rsidRPr="00AE2080">
        <w:rPr>
          <w:rFonts w:ascii="Arial" w:hAnsi="Arial" w:cs="Arial"/>
          <w:b/>
          <w:sz w:val="24"/>
          <w:szCs w:val="24"/>
        </w:rPr>
        <w:t>Project learning outcomes</w:t>
      </w:r>
    </w:p>
    <w:p w14:paraId="41628631"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design a work-based study to develop my knowledge of belting and how to train belting</w:t>
      </w:r>
    </w:p>
    <w:p w14:paraId="7BC2ED6C"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consider the practical and ethical impact of the study design</w:t>
      </w:r>
    </w:p>
    <w:p w14:paraId="001B5075"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 xml:space="preserve">To analyse, interpret, critically evaluate, and report relevant research data </w:t>
      </w:r>
    </w:p>
    <w:p w14:paraId="32EA54AC"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consider and recommend future actions based on the findings and evaluation</w:t>
      </w:r>
    </w:p>
    <w:p w14:paraId="62BF1EDA" w14:textId="77777777" w:rsidR="0012106F" w:rsidRPr="00AE2080" w:rsidRDefault="0012106F" w:rsidP="00AE2080">
      <w:pPr>
        <w:pStyle w:val="NormalWeb"/>
        <w:numPr>
          <w:ilvl w:val="0"/>
          <w:numId w:val="4"/>
        </w:numPr>
        <w:spacing w:line="360" w:lineRule="auto"/>
        <w:jc w:val="both"/>
        <w:rPr>
          <w:rFonts w:ascii="Arial" w:hAnsi="Arial" w:cs="Arial"/>
        </w:rPr>
      </w:pPr>
      <w:r w:rsidRPr="00AE2080">
        <w:rPr>
          <w:rFonts w:ascii="Arial" w:hAnsi="Arial" w:cs="Arial"/>
        </w:rPr>
        <w:t>To reflect critically on the project, including individual learning about belting, and issues of insider research</w:t>
      </w:r>
    </w:p>
    <w:p w14:paraId="590F8DA6" w14:textId="47E90C1C" w:rsidR="0012106F" w:rsidRPr="00AE2080" w:rsidRDefault="0012106F" w:rsidP="00AE2080">
      <w:pPr>
        <w:spacing w:line="360" w:lineRule="auto"/>
        <w:jc w:val="both"/>
        <w:rPr>
          <w:rFonts w:ascii="Arial" w:hAnsi="Arial" w:cs="Arial"/>
          <w:b/>
          <w:sz w:val="24"/>
          <w:szCs w:val="24"/>
        </w:rPr>
      </w:pPr>
      <w:r w:rsidRPr="00AE2080">
        <w:rPr>
          <w:rFonts w:ascii="Arial" w:hAnsi="Arial" w:cs="Arial"/>
          <w:b/>
          <w:sz w:val="24"/>
          <w:szCs w:val="24"/>
        </w:rPr>
        <w:t>Personal learning outcomes</w:t>
      </w:r>
    </w:p>
    <w:p w14:paraId="44BA0E31" w14:textId="4B2C8B24" w:rsidR="0012106F" w:rsidRPr="00AE2080" w:rsidRDefault="0012106F" w:rsidP="00AE2080">
      <w:pPr>
        <w:pStyle w:val="Default"/>
        <w:spacing w:line="360" w:lineRule="auto"/>
        <w:jc w:val="both"/>
        <w:rPr>
          <w:color w:val="auto"/>
        </w:rPr>
      </w:pPr>
      <w:r w:rsidRPr="00AE2080">
        <w:rPr>
          <w:color w:val="auto"/>
        </w:rPr>
        <w:t xml:space="preserve">This study is tied to my CPD development area of belt singing and how to train this skill with new knowledge and understanding </w:t>
      </w:r>
      <w:r w:rsidRPr="00AE2080">
        <w:rPr>
          <w:color w:val="auto"/>
        </w:rPr>
        <w:fldChar w:fldCharType="begin" w:fldLock="1"/>
      </w:r>
      <w:r w:rsidRPr="00AE2080">
        <w:rPr>
          <w:color w:val="auto"/>
        </w:rPr>
        <w:instrText>ADDIN CSL_CITATION {"citationItems":[{"id":"ITEM-1","itemData":{"ISBN":"9780335243389","author":[{"dropping-particle":"","family":"Bell","given":"Judith","non-dropping-particle":"","parse-names":false,"suffix":""},{"dropping-particle":"","family":"Waters","given":"Stephen","non-dropping-particle":"","parse-names":false,"suffix":""}],"edition":"7th","id":"ITEM-1","issued":{"date-parts":[["2018"]]},"publisher":"Open University Press","publisher-place":"London","title":"Doing Your Research Project","type":"book"},"uris":["http://www.mendeley.com/documents/?uuid=43783c7b-cfea-4cf4-af50-e606e2484f1a"]},{"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Experience","type":"article-journal","volume":"78"},"uris":["http://www.mendeley.com/documents/?uuid=81c23a1d-5fc4-4362-b522-15eb58b01785"]}],"mendeley":{"formattedCitation":"(Bell and Waters, 2018; Bozeman and Ragan, 2021)","plainTextFormattedCitation":"(Bell and Waters, 2018; Bozeman and Ragan, 2021)","previouslyFormattedCitation":"(Bell and Waters, 2018; Bozeman and Ragan, 2021)"},"properties":{"noteIndex":0},"schema":"https://github.com/citation-style-language/schema/raw/master/csl-citation.json"}</w:instrText>
      </w:r>
      <w:r w:rsidRPr="00AE2080">
        <w:rPr>
          <w:color w:val="auto"/>
        </w:rPr>
        <w:fldChar w:fldCharType="separate"/>
      </w:r>
      <w:r w:rsidRPr="00AE2080">
        <w:rPr>
          <w:noProof/>
          <w:color w:val="auto"/>
        </w:rPr>
        <w:t>(Bell and Waters, 2018; Bozeman and Ragan, 2021)</w:t>
      </w:r>
      <w:r w:rsidRPr="00AE2080">
        <w:rPr>
          <w:color w:val="auto"/>
        </w:rPr>
        <w:fldChar w:fldCharType="end"/>
      </w:r>
      <w:r w:rsidRPr="00AE2080">
        <w:rPr>
          <w:color w:val="auto"/>
        </w:rPr>
        <w:t xml:space="preserve">. Researching this topic provides the opportunity to improve my self-efficacy in training belt singing and to improve my students’ learning experience during their belt training </w:t>
      </w:r>
      <w:r w:rsidRPr="00AE2080">
        <w:rPr>
          <w:color w:val="auto"/>
        </w:rPr>
        <w:fldChar w:fldCharType="begin" w:fldLock="1"/>
      </w:r>
      <w:r w:rsidR="00880CAC" w:rsidRPr="00AE2080">
        <w:rPr>
          <w:color w:val="auto"/>
        </w:rPr>
        <w:instrText>ADDIN CSL_CITATION {"citationItems":[{"id":"ITEM-1","itemData":{"DOI":"10.53830/zhoq3330","ISSN":"10867732","abstract":"The article presents abstracts of research on singing including topics on the changing voice of adolescent female, challenges of a classically trained female performing music theater repertoire and the impact of skill development on musicians' brain.","author":[{"dropping-particle":"","family":"Simonson","given":"Donald","non-dropping-particle":"","parse-names":false,"suffix":""}],"container-title":"Journal of Singing","id":"ITEM-1","issue":"1","issued":{"date-parts":[["2022"]]},"page":"117-118","title":"Recent Research in Singing","type":"article-journal","volume":"79"},"uris":["http://www.mendeley.com/documents/?uuid=80a80963-2724-4c40-8dc9-02de183b0b97"]},{"id":"ITEM-2","itemData":{"author":[{"dropping-particle":"","family":"Moghal","given":"Sarwat","non-dropping-particle":"","parse-names":false,"suffix":""},{"dropping-particle":"","family":"Khanam","given":"Fazeela","non-dropping-particle":"","parse-names":false,"suffix":""}],"container-title":"Pakistan Journal of psychology","id":"ITEM-2","issue":"1","issued":{"date-parts":[["2012"]]},"page":"91-100","title":"Self esteem as a predictor of fear of negative evaluation and social anxiety","type":"article-journal","volume":"43"},"uris":["http://www.mendeley.com/documents/?uuid=a671e9c9-ce59-4224-b9d7-fb74206b7f40"]}],"mendeley":{"formattedCitation":"(Moghal and Khanam, 2012; Simonson, 2022)","plainTextFormattedCitation":"(Moghal and Khanam, 2012; Simonson, 2022)","previouslyFormattedCitation":"(Moghal and Khanam, 2012; Simonson, 2022)"},"properties":{"noteIndex":0},"schema":"https://github.com/citation-style-language/schema/raw/master/csl-citation.json"}</w:instrText>
      </w:r>
      <w:r w:rsidRPr="00AE2080">
        <w:rPr>
          <w:color w:val="auto"/>
        </w:rPr>
        <w:fldChar w:fldCharType="separate"/>
      </w:r>
      <w:r w:rsidRPr="00AE2080">
        <w:rPr>
          <w:noProof/>
          <w:color w:val="auto"/>
        </w:rPr>
        <w:t>(Moghal and Khanam, 2012; Simonson, 2022)</w:t>
      </w:r>
      <w:r w:rsidRPr="00AE2080">
        <w:rPr>
          <w:color w:val="auto"/>
        </w:rPr>
        <w:fldChar w:fldCharType="end"/>
      </w:r>
      <w:r w:rsidRPr="00AE2080">
        <w:rPr>
          <w:color w:val="auto"/>
        </w:rPr>
        <w:t>. This study should feed into my professional development by:</w:t>
      </w:r>
    </w:p>
    <w:p w14:paraId="30BF556E" w14:textId="77777777" w:rsidR="0012106F" w:rsidRPr="00AE2080" w:rsidRDefault="0012106F" w:rsidP="00AE2080">
      <w:pPr>
        <w:pStyle w:val="Default"/>
        <w:spacing w:line="360" w:lineRule="auto"/>
        <w:jc w:val="both"/>
        <w:rPr>
          <w:color w:val="auto"/>
        </w:rPr>
      </w:pPr>
    </w:p>
    <w:p w14:paraId="373D1874" w14:textId="77777777" w:rsidR="0012106F" w:rsidRPr="00AE2080" w:rsidRDefault="0012106F" w:rsidP="00AE2080">
      <w:pPr>
        <w:pStyle w:val="ListParagraph"/>
        <w:numPr>
          <w:ilvl w:val="0"/>
          <w:numId w:val="3"/>
        </w:numPr>
        <w:spacing w:after="200" w:line="360" w:lineRule="auto"/>
        <w:jc w:val="both"/>
        <w:rPr>
          <w:rFonts w:ascii="Arial" w:hAnsi="Arial" w:cs="Arial"/>
          <w:sz w:val="24"/>
          <w:szCs w:val="24"/>
        </w:rPr>
      </w:pPr>
      <w:r w:rsidRPr="00AE2080">
        <w:rPr>
          <w:rFonts w:ascii="Arial" w:hAnsi="Arial" w:cs="Arial"/>
          <w:sz w:val="24"/>
          <w:szCs w:val="24"/>
        </w:rPr>
        <w:t>Gaining an improved understanding of belting in female voices</w:t>
      </w:r>
    </w:p>
    <w:p w14:paraId="3DDFFC86" w14:textId="77777777" w:rsidR="0012106F" w:rsidRPr="00AE2080" w:rsidRDefault="0012106F" w:rsidP="00AE2080">
      <w:pPr>
        <w:pStyle w:val="ListParagraph"/>
        <w:numPr>
          <w:ilvl w:val="0"/>
          <w:numId w:val="3"/>
        </w:numPr>
        <w:spacing w:after="200" w:line="360" w:lineRule="auto"/>
        <w:jc w:val="both"/>
        <w:rPr>
          <w:rFonts w:ascii="Arial" w:hAnsi="Arial" w:cs="Arial"/>
          <w:sz w:val="24"/>
          <w:szCs w:val="24"/>
        </w:rPr>
      </w:pPr>
      <w:r w:rsidRPr="00AE2080">
        <w:rPr>
          <w:rFonts w:ascii="Arial" w:hAnsi="Arial" w:cs="Arial"/>
          <w:sz w:val="24"/>
          <w:szCs w:val="24"/>
        </w:rPr>
        <w:t>Gaining an improved understanding of how to train belting</w:t>
      </w:r>
    </w:p>
    <w:p w14:paraId="0687A5A0" w14:textId="143E996E" w:rsidR="0062232A" w:rsidRPr="00AE2080" w:rsidRDefault="0012106F" w:rsidP="00AE2080">
      <w:pPr>
        <w:pStyle w:val="ListParagraph"/>
        <w:numPr>
          <w:ilvl w:val="0"/>
          <w:numId w:val="3"/>
        </w:numPr>
        <w:spacing w:after="200" w:line="360" w:lineRule="auto"/>
        <w:jc w:val="both"/>
        <w:rPr>
          <w:rFonts w:ascii="Arial" w:hAnsi="Arial" w:cs="Arial"/>
          <w:sz w:val="24"/>
          <w:szCs w:val="24"/>
        </w:rPr>
      </w:pPr>
      <w:r w:rsidRPr="00AE2080">
        <w:rPr>
          <w:rFonts w:ascii="Arial" w:hAnsi="Arial" w:cs="Arial"/>
          <w:sz w:val="24"/>
          <w:szCs w:val="24"/>
        </w:rPr>
        <w:t>Improving my knowledge of CCM techniques</w:t>
      </w:r>
      <w:r w:rsidR="0062232A" w:rsidRPr="00AE2080">
        <w:rPr>
          <w:rFonts w:ascii="Arial" w:hAnsi="Arial" w:cs="Arial"/>
          <w:sz w:val="24"/>
          <w:szCs w:val="24"/>
        </w:rPr>
        <w:br w:type="page"/>
      </w:r>
    </w:p>
    <w:p w14:paraId="3E6FFD58" w14:textId="609310D5" w:rsidR="0089588A" w:rsidRPr="00B51DDE" w:rsidRDefault="00A520A8" w:rsidP="00AE2080">
      <w:pPr>
        <w:pStyle w:val="NormalWeb"/>
        <w:spacing w:line="360" w:lineRule="auto"/>
        <w:jc w:val="both"/>
        <w:rPr>
          <w:rFonts w:ascii="Arial" w:hAnsi="Arial" w:cs="Arial"/>
          <w:bCs/>
        </w:rPr>
      </w:pPr>
      <w:bookmarkStart w:id="4" w:name="Methodology"/>
      <w:r w:rsidRPr="00B51DDE">
        <w:rPr>
          <w:rFonts w:ascii="Arial" w:hAnsi="Arial" w:cs="Arial"/>
          <w:b/>
          <w:bCs/>
          <w:color w:val="000000"/>
        </w:rPr>
        <w:lastRenderedPageBreak/>
        <w:t>Methodology</w:t>
      </w:r>
      <w:r w:rsidR="009F2E69" w:rsidRPr="00B51DDE">
        <w:rPr>
          <w:rFonts w:ascii="Arial" w:hAnsi="Arial" w:cs="Arial"/>
          <w:b/>
          <w:bCs/>
          <w:color w:val="000000"/>
        </w:rPr>
        <w:t xml:space="preserve">: </w:t>
      </w:r>
      <w:r w:rsidR="0089588A" w:rsidRPr="00B51DDE">
        <w:rPr>
          <w:rFonts w:ascii="Arial" w:hAnsi="Arial" w:cs="Arial"/>
          <w:b/>
        </w:rPr>
        <w:t>Project overview</w:t>
      </w:r>
    </w:p>
    <w:bookmarkEnd w:id="4"/>
    <w:p w14:paraId="6956FB33" w14:textId="3848E132"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 xml:space="preserve">This study used a collaborative approach to further my professional development by refining an </w:t>
      </w:r>
      <w:r w:rsidRPr="00B51DDE">
        <w:rPr>
          <w:rFonts w:ascii="Arial" w:hAnsi="Arial" w:cs="Arial"/>
          <w:sz w:val="24"/>
          <w:szCs w:val="24"/>
        </w:rPr>
        <w:t>EBVP belt training process.</w:t>
      </w:r>
      <w:r w:rsidRPr="00B51DDE">
        <w:rPr>
          <w:rFonts w:ascii="Arial" w:hAnsi="Arial" w:cs="Arial"/>
          <w:bCs/>
          <w:sz w:val="24"/>
          <w:szCs w:val="24"/>
        </w:rPr>
        <w:t xml:space="preserve"> The </w:t>
      </w:r>
      <w:r w:rsidR="00782A31" w:rsidRPr="00B51DDE">
        <w:rPr>
          <w:rFonts w:ascii="Arial" w:hAnsi="Arial" w:cs="Arial"/>
          <w:bCs/>
          <w:sz w:val="24"/>
          <w:szCs w:val="24"/>
        </w:rPr>
        <w:t xml:space="preserve">original </w:t>
      </w:r>
      <w:r w:rsidRPr="00B51DDE">
        <w:rPr>
          <w:rFonts w:ascii="Arial" w:hAnsi="Arial" w:cs="Arial"/>
          <w:bCs/>
          <w:sz w:val="24"/>
          <w:szCs w:val="24"/>
        </w:rPr>
        <w:t>belt training process was designed to support singing teachers with little or no formal training in belt singing styles. During the study, the belt training process was refined and evaluated by:</w:t>
      </w:r>
    </w:p>
    <w:p w14:paraId="48EFB263" w14:textId="77777777" w:rsidR="0089588A" w:rsidRPr="00B51DDE" w:rsidRDefault="0089588A" w:rsidP="00AE2080">
      <w:pPr>
        <w:pStyle w:val="ListParagraph"/>
        <w:numPr>
          <w:ilvl w:val="0"/>
          <w:numId w:val="7"/>
        </w:numPr>
        <w:spacing w:after="200" w:line="360" w:lineRule="auto"/>
        <w:jc w:val="both"/>
        <w:rPr>
          <w:rFonts w:ascii="Arial" w:hAnsi="Arial" w:cs="Arial"/>
          <w:bCs/>
          <w:sz w:val="24"/>
          <w:szCs w:val="24"/>
        </w:rPr>
      </w:pPr>
      <w:r w:rsidRPr="00B51DDE">
        <w:rPr>
          <w:rFonts w:ascii="Arial" w:hAnsi="Arial" w:cs="Arial"/>
          <w:bCs/>
          <w:sz w:val="24"/>
          <w:szCs w:val="24"/>
        </w:rPr>
        <w:t>Collaborating with experts in belting</w:t>
      </w:r>
    </w:p>
    <w:p w14:paraId="2E9B5828" w14:textId="77777777" w:rsidR="0089588A" w:rsidRPr="00B51DDE" w:rsidRDefault="0089588A" w:rsidP="00AE2080">
      <w:pPr>
        <w:pStyle w:val="ListParagraph"/>
        <w:numPr>
          <w:ilvl w:val="0"/>
          <w:numId w:val="7"/>
        </w:numPr>
        <w:spacing w:after="200" w:line="360" w:lineRule="auto"/>
        <w:jc w:val="both"/>
        <w:rPr>
          <w:rFonts w:ascii="Arial" w:hAnsi="Arial" w:cs="Arial"/>
          <w:bCs/>
          <w:sz w:val="24"/>
          <w:szCs w:val="24"/>
        </w:rPr>
      </w:pPr>
      <w:r w:rsidRPr="00B51DDE">
        <w:rPr>
          <w:rFonts w:ascii="Arial" w:hAnsi="Arial" w:cs="Arial"/>
          <w:bCs/>
          <w:sz w:val="24"/>
          <w:szCs w:val="24"/>
        </w:rPr>
        <w:t>Research</w:t>
      </w:r>
    </w:p>
    <w:p w14:paraId="1891C85B" w14:textId="77777777" w:rsidR="0089588A" w:rsidRPr="00B51DDE" w:rsidRDefault="0089588A" w:rsidP="00AE2080">
      <w:pPr>
        <w:pStyle w:val="ListParagraph"/>
        <w:numPr>
          <w:ilvl w:val="0"/>
          <w:numId w:val="7"/>
        </w:numPr>
        <w:spacing w:after="200" w:line="360" w:lineRule="auto"/>
        <w:jc w:val="both"/>
        <w:rPr>
          <w:rFonts w:ascii="Arial" w:hAnsi="Arial" w:cs="Arial"/>
          <w:bCs/>
          <w:sz w:val="24"/>
          <w:szCs w:val="24"/>
        </w:rPr>
      </w:pPr>
      <w:r w:rsidRPr="00B51DDE">
        <w:rPr>
          <w:rFonts w:ascii="Arial" w:hAnsi="Arial" w:cs="Arial"/>
          <w:bCs/>
          <w:sz w:val="24"/>
          <w:szCs w:val="24"/>
        </w:rPr>
        <w:t>Use in singing lessons to evaluate its impact on students’ learning experience</w:t>
      </w:r>
    </w:p>
    <w:p w14:paraId="2BC00C06" w14:textId="39F55CE0"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 xml:space="preserve">Student evaluations of belt training in lessons were a form of collaboration which both developed the belt training </w:t>
      </w:r>
      <w:r w:rsidR="002679E9" w:rsidRPr="00B51DDE">
        <w:rPr>
          <w:rFonts w:ascii="Arial" w:hAnsi="Arial" w:cs="Arial"/>
          <w:bCs/>
          <w:sz w:val="24"/>
          <w:szCs w:val="24"/>
        </w:rPr>
        <w:t>process</w:t>
      </w:r>
      <w:r w:rsidR="00D31633" w:rsidRPr="00B51DDE">
        <w:rPr>
          <w:rFonts w:ascii="Arial" w:hAnsi="Arial" w:cs="Arial"/>
          <w:bCs/>
          <w:sz w:val="24"/>
          <w:szCs w:val="24"/>
        </w:rPr>
        <w:t xml:space="preserve"> </w:t>
      </w:r>
      <w:r w:rsidRPr="00B51DDE">
        <w:rPr>
          <w:rFonts w:ascii="Arial" w:hAnsi="Arial" w:cs="Arial"/>
          <w:bCs/>
          <w:sz w:val="24"/>
          <w:szCs w:val="24"/>
        </w:rPr>
        <w:t xml:space="preserve">and fed into an assessment of the impact of this study on my professional development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(CEEA)","id":"ITEM-2","issued":{"date-parts":[["2011"]]},"page":"166-171","title":"New Approaches To Design Practice","type":"article-journal"},"uris":["http://www.mendeley.com/documents/?uuid=b3c6f641-b7e3-402a-9b47-0d0ca649366d"]}],"mendeley":{"formattedCitation":"(Hung &lt;i&gt;et al.&lt;/i&gt;, 2010; MacLeod, 2011)","plainTextFormattedCitation":"(Hung et al., 2010; MacLeod, 2011)","previouslyFormattedCitation":"(Hung &lt;i&gt;et al.&lt;/i&gt;, 2010; MacLeod, 2011)"},"properties":{"noteIndex":0},"schema":"https://github.com/citation-style-language/schema/raw/master/csl-citation.json"}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 MacLeod, 2011)</w:t>
      </w:r>
      <w:r w:rsidRPr="00B51DDE">
        <w:rPr>
          <w:rFonts w:ascii="Arial" w:hAnsi="Arial" w:cs="Arial"/>
          <w:bCs/>
          <w:sz w:val="24"/>
          <w:szCs w:val="24"/>
        </w:rPr>
        <w:fldChar w:fldCharType="end"/>
      </w:r>
      <w:r w:rsidRPr="00B51DDE">
        <w:rPr>
          <w:rFonts w:ascii="Arial" w:hAnsi="Arial" w:cs="Arial"/>
          <w:bCs/>
          <w:sz w:val="24"/>
          <w:szCs w:val="24"/>
        </w:rPr>
        <w:t>.</w:t>
      </w:r>
    </w:p>
    <w:p w14:paraId="0D37FFC3" w14:textId="3F6671CA"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 xml:space="preserve">This study was conducted at an </w:t>
      </w:r>
      <w:r w:rsidRPr="00B51DDE">
        <w:rPr>
          <w:rFonts w:ascii="Arial" w:hAnsi="Arial" w:cs="Arial"/>
          <w:b/>
          <w:bCs/>
          <w:i/>
          <w:iCs/>
          <w:sz w:val="24"/>
          <w:szCs w:val="24"/>
        </w:rPr>
        <w:t>intersection of interpretive and transformative</w:t>
      </w:r>
      <w:r w:rsidRPr="00B51DDE">
        <w:rPr>
          <w:rFonts w:ascii="Arial" w:hAnsi="Arial" w:cs="Arial"/>
          <w:sz w:val="24"/>
          <w:szCs w:val="24"/>
        </w:rPr>
        <w:t xml:space="preserve"> paradigms. A </w:t>
      </w:r>
      <w:r w:rsidRPr="00B51DDE">
        <w:rPr>
          <w:rFonts w:ascii="Arial" w:hAnsi="Arial" w:cs="Arial"/>
          <w:b/>
          <w:bCs/>
          <w:i/>
          <w:iCs/>
          <w:sz w:val="24"/>
          <w:szCs w:val="24"/>
        </w:rPr>
        <w:t>pragmatic paradigm</w:t>
      </w:r>
      <w:r w:rsidRPr="00B51DDE">
        <w:rPr>
          <w:rFonts w:ascii="Arial" w:hAnsi="Arial" w:cs="Arial"/>
          <w:sz w:val="24"/>
          <w:szCs w:val="24"/>
        </w:rPr>
        <w:t xml:space="preserve"> overarches the study, as data gathering and analysis w</w:t>
      </w:r>
      <w:r w:rsidR="009D078E" w:rsidRPr="00B51DDE">
        <w:rPr>
          <w:rFonts w:ascii="Arial" w:hAnsi="Arial" w:cs="Arial"/>
          <w:sz w:val="24"/>
          <w:szCs w:val="24"/>
        </w:rPr>
        <w:t>ere</w:t>
      </w:r>
      <w:r w:rsidRPr="00B51DDE">
        <w:rPr>
          <w:rFonts w:ascii="Arial" w:hAnsi="Arial" w:cs="Arial"/>
          <w:sz w:val="24"/>
          <w:szCs w:val="24"/>
        </w:rPr>
        <w:t xml:space="preserve"> tailored to suit the practicalities of my voice studio, participant sampling, the necessities of being a lone researcher, and the time constraints involved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edition)","type":"book","volume":"12"},"uris":["http://www.mendeley.com/documents/?uuid=f5513cbe-0be6-4d1f-9224-ae451442e4af"]},{"id":"ITEM-2","itemData":{"DOI":"10.1177/2345678906292430","ISSN":"15586901","abstract":"This article presents a discussion of mixed methods (MM) sampling techniques. MM sampling involves combining well-established qualitative and quantitative techniques in creative ways to answer research questions posed by MM research designs. Several issues germane to MM sampling are presented including the differences between probability and purposive sampling and the probability-mixed-purposive sampling continuum. Four MM sampling prototypes are introduced: basic MM sampling strategies, sequential MM sampling, concurrent MM sampling, and multilevel MM sampling. Examples of each of these techniques are given as illustrations of how researchers actually generate MM samples. Finally, eight guidelines for MM sampling are presented. © 2007, SAGE Publications. All rights reserved.","author":[{"dropping-particle":"","family":"Teddlie","given":"Charles","non-dropping-particle":"","parse-names":false,"suffix":""},{"dropping-particle":"","family":"Yu","given":"Fen","non-dropping-particle":"","parse-names":false,"suffix":""}],"container-title":"Journal of Mixed Methods Research","id":"ITEM-2","issue":"1","issued":{"date-parts":[["2007"]]},"page":"77-100","title":"Mixed Methods Sampling: A Typology With Examples","type":"article-journal","volume":"1"},"uris":["http://www.mendeley.com/documents/?uuid=db7b6d44-aef2-4a32-b4f7-1cd9839e690e"]}],"mendeley":{"formattedCitation":"(Teddlie and Yu, 2007; Saldaña, 2013)","plainTextFormattedCitation":"(Teddlie and Yu, 2007; Saldaña, 2013)","previouslyFormattedCitation":"(Teddlie and Yu, 2007; Saldaña, 2013)"},"properties":{"noteIndex":0},"schema":"https://github.com/citation-style-language/schema/raw/master/csl-citation.json"}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(Teddlie and Yu, 2007; Saldaña, 2013)</w:t>
      </w:r>
      <w:r w:rsidRPr="00B51DDE">
        <w:rPr>
          <w:rFonts w:ascii="Arial" w:hAnsi="Arial" w:cs="Arial"/>
          <w:sz w:val="24"/>
          <w:szCs w:val="24"/>
        </w:rPr>
        <w:fldChar w:fldCharType="end"/>
      </w:r>
      <w:r w:rsidRPr="00B51DDE">
        <w:rPr>
          <w:rFonts w:ascii="Arial" w:hAnsi="Arial" w:cs="Arial"/>
          <w:sz w:val="24"/>
          <w:szCs w:val="24"/>
        </w:rPr>
        <w:t xml:space="preserve">. The interpretive aspects arose from </w:t>
      </w:r>
      <w:r w:rsidR="007E1593" w:rsidRPr="00B51DDE">
        <w:rPr>
          <w:rFonts w:ascii="Arial" w:hAnsi="Arial" w:cs="Arial"/>
          <w:sz w:val="24"/>
          <w:szCs w:val="24"/>
        </w:rPr>
        <w:t xml:space="preserve">Thematic Analysis </w:t>
      </w:r>
      <w:r w:rsidR="00224887" w:rsidRPr="00B51DDE">
        <w:rPr>
          <w:rFonts w:ascii="Arial" w:hAnsi="Arial" w:cs="Arial"/>
          <w:sz w:val="24"/>
          <w:szCs w:val="24"/>
        </w:rPr>
        <w:t xml:space="preserve">(TA) of </w:t>
      </w:r>
      <w:r w:rsidRPr="00B51DDE">
        <w:rPr>
          <w:rFonts w:ascii="Arial" w:hAnsi="Arial" w:cs="Arial"/>
          <w:sz w:val="24"/>
          <w:szCs w:val="24"/>
        </w:rPr>
        <w:t>data</w:t>
      </w:r>
      <w:r w:rsidR="007E1593" w:rsidRPr="00B51DDE">
        <w:rPr>
          <w:rFonts w:ascii="Arial" w:hAnsi="Arial" w:cs="Arial"/>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{"citationItems":[{"id":"ITEM-1","itemData":{"author":[{"dropping-particle":"","family":"Kawulich","given":"Barbara","non-dropping-particle":"","parse-names":false,"suffix":""}],"id":"ITEM-1","issue":"January 2012","issued":{"date-parts":[["2001"]]},"page":"1-21","title":"9.13 Selecting a research approach: paradigm, methodology and methods","type":"article-journal"},"uris":["http://www.mendeley.com/documents/?uuid=e2c1475e-3889-4bfe-8d89-2939beeb7a8e"]}],"mendeley":{"formattedCitation":"(Kawulich, 2001)","plainTextFormattedCitation":"(Kawulich, 2001)","previouslyFormattedCitation":"(Kawulich, 2001)"},"properties":{"noteIndex":0},"schema":"https://github.com/citation-style-language/schema/raw/master/csl-citation.json"}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(Kawulich, 2001)</w:t>
      </w:r>
      <w:r w:rsidRPr="00B51DDE">
        <w:rPr>
          <w:rFonts w:ascii="Arial" w:hAnsi="Arial" w:cs="Arial"/>
          <w:sz w:val="24"/>
          <w:szCs w:val="24"/>
        </w:rPr>
        <w:fldChar w:fldCharType="end"/>
      </w:r>
      <w:r w:rsidRPr="00B51DDE">
        <w:rPr>
          <w:rFonts w:ascii="Arial" w:hAnsi="Arial" w:cs="Arial"/>
          <w:sz w:val="24"/>
          <w:szCs w:val="24"/>
        </w:rPr>
        <w:t xml:space="preserve">. Gaining knowledge from singing teachers with belting expertise was a bricolage opportunity to improve my ability to teach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{"citationItems":[{"id":"ITEM-1","itemData":{"DOI":"10.46743/2160-3715/2012.1704","ISSN":"1052-0147","abstract":"Within the last decade, bricolage, as an approach to qualitative inquiry, has gained popularity in academic circles. However, while conceptual and concrete precedents exist, the approach has remained relatively misunderstood, and unpopular, in broader research communities. This may be because the complexity of the approach has stymied widespread discussions and commentary. This article means to address this concern by providing a thick, yet accessible, introduction to bricolage as an approach to qualitative inquiry. While researchers and scholars have conceptualized bricolage, few have attempted to provide an overview of how the concept emerged in relation to qualitative research. Further, while the literature on bricolage offers invaluable conceptual insights, lacking is a survey that provides clear examples of how bricolage has been implemented in research contexts. Therefore, while greatest attention in this article is devoted to contextualizing bricolage and introducing influential theorists, it also provides key examples of research that adopts the bricolage approach. In drawing on a plurality of sources, the article provides a thick discussion of the complex bricolage project; one that can be beneficial to both novice and seasoned researchers who pursue alternative methodological approaches.","author":[{"dropping-particle":"","family":"Rogers","given":"Matt","non-dropping-particle":"","parse-names":false,"suffix":""}],"container-title":"The Qualitative Report","id":"ITEM-1","issued":{"date-parts":[["2015"]]},"page":"1-17","title":"Contextualizing Theories and Practices of Bricolage Research","type":"article-journal","volume":"17"},"uris":["http://www.mendeley.com/documents/?uuid=85d1644f-182c-445e-b94a-9bf77549988c"]}],"mendeley":{"formattedCitation":"(Rogers, 2015)","plainTextFormattedCitation":"(Rogers, 2015)","previouslyFormattedCitation":"(Rogers,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(Rogers, 2015)</w:t>
      </w:r>
      <w:r w:rsidRPr="00B51DDE">
        <w:rPr>
          <w:rFonts w:ascii="Arial" w:hAnsi="Arial" w:cs="Arial"/>
          <w:sz w:val="24"/>
          <w:szCs w:val="24"/>
        </w:rPr>
        <w:fldChar w:fldCharType="end"/>
      </w:r>
      <w:r w:rsidRPr="00B51DDE">
        <w:rPr>
          <w:rFonts w:ascii="Arial" w:hAnsi="Arial" w:cs="Arial"/>
          <w:sz w:val="24"/>
          <w:szCs w:val="24"/>
        </w:rPr>
        <w:t>. The transformative part of the study came from the study</w:t>
      </w:r>
      <w:r w:rsidR="00E50C85" w:rsidRPr="00B51DDE">
        <w:rPr>
          <w:rFonts w:ascii="Arial" w:hAnsi="Arial" w:cs="Arial"/>
          <w:sz w:val="24"/>
          <w:szCs w:val="24"/>
        </w:rPr>
        <w:t>’s</w:t>
      </w:r>
      <w:r w:rsidRPr="00B51DDE">
        <w:rPr>
          <w:rFonts w:ascii="Arial" w:hAnsi="Arial" w:cs="Arial"/>
          <w:sz w:val="24"/>
          <w:szCs w:val="24"/>
        </w:rPr>
        <w:t xml:space="preserve"> </w:t>
      </w:r>
      <w:r w:rsidR="00E50C85" w:rsidRPr="00B51DDE">
        <w:rPr>
          <w:rFonts w:ascii="Arial" w:hAnsi="Arial" w:cs="Arial"/>
          <w:sz w:val="24"/>
          <w:szCs w:val="24"/>
        </w:rPr>
        <w:t>intent of</w:t>
      </w:r>
      <w:r w:rsidRPr="00B51DDE">
        <w:rPr>
          <w:rFonts w:ascii="Arial" w:hAnsi="Arial" w:cs="Arial"/>
          <w:sz w:val="24"/>
          <w:szCs w:val="24"/>
        </w:rPr>
        <w:t xml:space="preserve"> empowering singers and singing teachers through knowledge and ‘myth busting’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{"citationItems":[{"id":"ITEM-1","itemData":{"author":[{"dropping-particle":"","family":"Kawulich","given":"Barbara","non-dropping-particle":"","parse-names":false,"suffix":""}],"id":"ITEM-1","issue":"January 2012","issued":{"date-parts":[["2001"]]},"page":"1-21","title":"9.13 Selecting a research approach: paradigm, methodology and methods","type":"article-journal"},"uris":["http://www.mendeley.com/documents/?uuid=e2c1475e-3889-4bfe-8d89-2939beeb7a8e"]}],"mendeley":{"formattedCitation":"(Kawulich, 2001)","plainTextFormattedCitation":"(Kawulich, 2001)","previouslyFormattedCitation":"(Kawulich, 2001)"},"properties":{"noteIndex":0},"schema":"https://github.com/citation-style-language/schema/raw/master/csl-citation.json"}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(Kawulich, 2001)</w:t>
      </w:r>
      <w:r w:rsidRPr="00B51DDE">
        <w:rPr>
          <w:rFonts w:ascii="Arial" w:hAnsi="Arial" w:cs="Arial"/>
          <w:sz w:val="24"/>
          <w:szCs w:val="24"/>
        </w:rPr>
        <w:fldChar w:fldCharType="end"/>
      </w:r>
      <w:r w:rsidRPr="00B51DDE">
        <w:rPr>
          <w:rFonts w:ascii="Arial" w:hAnsi="Arial" w:cs="Arial"/>
          <w:sz w:val="24"/>
          <w:szCs w:val="24"/>
        </w:rPr>
        <w:t xml:space="preserve">. As the project was multifaceted, it challenged and developed my previous knowledge and beliefs regarding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{"citationItems":[{"id":"ITEM-1","itemData":{"DOI":"10.1111/j.1440-1800.2008.00390.x","ISSN":"13207881","PMID":"18271791","abstract":"In this article, an attempt is made to analyse important implications of the hermeneutic approach in qualitative studies. The article discusses the hermeneutic circle with regard to reasoning contexts, on which the researcher's interpretation is based. Problems in connection with achievement of 'proper' understanding in an interpretative process are discussed in light of Gadamer's hermeneutic philosophy. Some features of qualitative studies are addressed. This is concerned with arguments in the presentation of findings in qualitative studies using the hermeneutic approach. The essence of the article is there are grounds for reasonable understanding, even though it cannot be absolute in the hermeneutic. © 2008 Blackwell Publishing Ltd.","author":[{"dropping-particle":"","family":"Debesay","given":"Jonas","non-dropping-particle":"","parse-names":false,"suffix":""},{"dropping-particle":"","family":"Nåden","given":"Dagfinn","non-dropping-particle":"","parse-names":false,"suffix":""},{"dropping-particle":"","family":"Slettebø","given":"Åshild","non-dropping-particle":"","parse-names":false,"suffix":""}],"container-title":"Nursing Inquiry","id":"ITEM-1","issue":"1","issued":{"date-parts":[["2008"]]},"page":"57-66","title":"How do we close the hermeneutic circle?A Gadamerian approach to justification in interpretation in qualitative studies: Feature","type":"article-journal","volume":"15"},"uris":["http://www.mendeley.com/documents/?uuid=f598e071-c3fe-42a1-939b-34682b08adeb"]}],"mendeley":{"formattedCitation":"(Debesay, Nåden and Slettebø, 2008)","plainTextFormattedCitation":"(Debesay, Nåden and Slettebø, 2008)","previouslyFormattedCitation":"(Debesay, Nåden and Slettebø, 2008)"},"properties":{"noteIndex":0},"schema":"https://github.com/citation-style-language/schema/raw/master/csl-citation.json"}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(Debesay, Nåden and Slettebø, 2008)</w:t>
      </w:r>
      <w:r w:rsidRPr="00B51DDE">
        <w:rPr>
          <w:rFonts w:ascii="Arial" w:hAnsi="Arial" w:cs="Arial"/>
          <w:sz w:val="24"/>
          <w:szCs w:val="24"/>
        </w:rPr>
        <w:fldChar w:fldCharType="end"/>
      </w:r>
      <w:r w:rsidRPr="00B51DDE">
        <w:rPr>
          <w:rFonts w:ascii="Arial" w:hAnsi="Arial" w:cs="Arial"/>
          <w:sz w:val="24"/>
          <w:szCs w:val="24"/>
        </w:rPr>
        <w:t>.</w:t>
      </w:r>
      <w:r w:rsidR="00BC3F29" w:rsidRPr="00B51DDE">
        <w:rPr>
          <w:rFonts w:ascii="Arial" w:hAnsi="Arial" w:cs="Arial"/>
          <w:sz w:val="24"/>
          <w:szCs w:val="24"/>
        </w:rPr>
        <w:t xml:space="preserve"> </w:t>
      </w:r>
      <w:r w:rsidRPr="00B51DDE">
        <w:rPr>
          <w:rFonts w:ascii="Arial" w:hAnsi="Arial" w:cs="Arial"/>
          <w:sz w:val="24"/>
          <w:szCs w:val="24"/>
        </w:rPr>
        <w:t xml:space="preserve">As a researcher emic in the study, I was aware of the impact of the possibility </w:t>
      </w:r>
      <w:r w:rsidR="005633D2" w:rsidRPr="00B51DDE">
        <w:rPr>
          <w:rFonts w:ascii="Arial" w:hAnsi="Arial" w:cs="Arial"/>
          <w:sz w:val="24"/>
          <w:szCs w:val="24"/>
        </w:rPr>
        <w:t>of</w:t>
      </w:r>
      <w:r w:rsidRPr="00B51DDE">
        <w:rPr>
          <w:rFonts w:ascii="Arial" w:hAnsi="Arial" w:cs="Arial"/>
          <w:sz w:val="24"/>
          <w:szCs w:val="24"/>
        </w:rPr>
        <w:t xml:space="preserve"> bias in the interpretation of the data. The feedback from students, with whom I have an existing relationship, was another aspect of potential bias in the study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{"citationItems":[{"id":"ITEM-1","itemData":{"DOI":"10.34293/education.v8i4.3232","ISSN":"2320-2653","abstract":"Masters and PhD student researchers in the social sciences are often required to explore and explain their positionality, as, in the social world, it is recognized that their ontological and epistemological beliefs influence their research. Yet novice researchers often struggle with identifying their positionality. This paper explores researcher positionality and its influence on and place in the research process. Its purpose is to help new postgraduate researchers better understand positionality so that they may incorporate a reflexive approach to their research and start to clarify their positionality.","author":[{"dropping-particle":"","family":"Darwin Holmes","given":"Andrew Gary","non-dropping-particle":"","parse-names":false,"suffix":""}],"container-title":"Shanlax International Journal of Education","id":"ITEM-1","issue":"4","issued":{"date-parts":[["2020"]]},"note":"P 5 outsider vs inside advantages/ disadvantages\n\nP7 Insider - Outsider + posottionaity","page":"1-10","title":"Researcher Positionality - A Consideration of Its Influence and Place in Qualitative Research - A New Researcher Guide","type":"article-journal","volume":"8"},"uris":["http://www.mendeley.com/documents/?uuid=7323e017-ad9d-4ab8-a5ae-645f1446e3e7"]},{"id":"ITEM-2","itemData":{"abstract":"This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B51DDE">
        <w:rPr>
          <w:rFonts w:ascii="Cambria Math" w:hAnsi="Cambria Math" w:cs="Cambria Math"/>
          <w:sz w:val="24"/>
          <w:szCs w:val="24"/>
        </w:rPr>
        <w:instrText>‐</w:instrText>
      </w:r>
      <w:r w:rsidRPr="00B51DDE">
        <w:rPr>
          <w:rFonts w:ascii="Arial" w:hAnsi="Arial" w:cs="Arial"/>
          <w:sz w:val="24"/>
          <w:szCs w:val="24"/>
        </w:rPr>
        <w:instrText>year two</w:instrText>
      </w:r>
      <w:r w:rsidRPr="00B51DDE">
        <w:rPr>
          <w:rFonts w:ascii="Cambria Math" w:hAnsi="Cambria Math" w:cs="Cambria Math"/>
          <w:sz w:val="24"/>
          <w:szCs w:val="24"/>
        </w:rPr>
        <w:instrText>‐</w:instrText>
      </w:r>
      <w:r w:rsidRPr="00B51DDE">
        <w:rPr>
          <w:rFonts w:ascii="Arial" w:hAnsi="Arial" w:cs="Arial"/>
          <w:sz w:val="24"/>
          <w:szCs w:val="24"/>
        </w:rPr>
        <w:instrText>site study are critiqued.","author":[{"dropping-particle":"","family":"Mercer","given":"Justine","non-dropping-particle":"","parse-names":false,"suffix":""}],"container-title":"Oxford Review of Education","id":"ITEM-2","issue":"1","issued":{"date-parts":[["2007"]]},"page":"1-17","title":"The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Leicester.","type":"article-journal","volume":"33"},"uris":["http://www.mendeley.com/documents/?uuid=fe067fbf-5130-4070-9927-bdf8727d610e"]},{"id":"ITEM-3","itemData":{"DOI":"10.21070/picecrs.v1i1.563","abstract":"A researcher plays an important role in the success of the topic being researched. Being an insider researcher could help the researcher to have more understanding about their research and the phenomena being studied. However, previous research revealed inconsistent results. Some argue that becoming an insider researcher could lead to a loss of objectivity and bias, while others found that it has potential to balance the ways issues being researched. The objective of this qualitative case study is to explore the potential and challenges of being an insider researcher. Ten excellent teachers were selected using purposive sampling and they were interviewed face to face. The findings revealed some advantages to the insider researcher in understanding the issues being studied as she has the common knowledge of the life, problems and challenges they face as excellent teachers. Moreover, the researcher also managed to reduced “red tape” in getting contact with the participants. The findings from this study enriched the literature on being an insider in educational research from the perspectives of excellent teachers.","author":[{"dropping-particle":"","family":"Saidin","given":"Khaliza","non-dropping-particle":"","parse-names":false,"suffix":""}],"container-title":"Proceedings of the ICECRS","id":"ITEM-3","issue":"1","issued":{"date-parts":[["2017"]]},"page":"849-854","title":"Insider Researchers: Challenges &amp; Opportunities","type":"article-journal","volume":"1"},"uris":["http://www.mendeley.com/documents/?uuid=7c3a5f1d-d695-42c5-bd21-3557b839f8ab"]}],"mendeley":{"formattedCitation":"(Mercer, 2007; Saidin, 2017; Darwin Holmes, 2020)","plainTextFormattedCitation":"(Mercer, 2007; Saidin, 2017; Darwin Holmes, 2020)","previouslyFormattedCitation":"(Mercer, 2007; Saidin, 2017; Darwin Holmes, 2020)"},"properties":{"noteIndex":0},"schema":"https://github.com/citation-style-language/schema/raw/master/csl-citation.json"}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(Mercer, 2007; Saidin, 2017; Darwin Holmes, 2020)</w:t>
      </w:r>
      <w:r w:rsidRPr="00B51DDE">
        <w:rPr>
          <w:rFonts w:ascii="Arial" w:hAnsi="Arial" w:cs="Arial"/>
          <w:sz w:val="24"/>
          <w:szCs w:val="24"/>
        </w:rPr>
        <w:fldChar w:fldCharType="end"/>
      </w:r>
      <w:r w:rsidRPr="00B51DDE">
        <w:rPr>
          <w:rFonts w:ascii="Arial" w:hAnsi="Arial" w:cs="Arial"/>
          <w:sz w:val="24"/>
          <w:szCs w:val="24"/>
        </w:rPr>
        <w:t>. The existing rapport and trust could be viewed as a beneficial bias as this can encourage candour when giving feedback</w:t>
      </w:r>
      <w:r w:rsidR="00BC3F29" w:rsidRPr="00B51DDE">
        <w:rPr>
          <w:rFonts w:ascii="Arial" w:hAnsi="Arial" w:cs="Arial"/>
          <w:sz w:val="24"/>
          <w:szCs w:val="24"/>
        </w:rPr>
        <w:t xml:space="preserve"> and adding clarity to my interpretation of the feedback</w:t>
      </w:r>
      <w:r w:rsidRPr="00B51DDE">
        <w:rPr>
          <w:rFonts w:ascii="Arial" w:hAnsi="Arial" w:cs="Arial"/>
          <w:sz w:val="24"/>
          <w:szCs w:val="24"/>
        </w:rPr>
        <w:t>; as such th</w:t>
      </w:r>
      <w:r w:rsidR="00BC3F29" w:rsidRPr="00B51DDE">
        <w:rPr>
          <w:rFonts w:ascii="Arial" w:hAnsi="Arial" w:cs="Arial"/>
          <w:sz w:val="24"/>
          <w:szCs w:val="24"/>
        </w:rPr>
        <w:t>e</w:t>
      </w:r>
      <w:r w:rsidRPr="00B51DDE">
        <w:rPr>
          <w:rFonts w:ascii="Arial" w:hAnsi="Arial" w:cs="Arial"/>
          <w:sz w:val="24"/>
          <w:szCs w:val="24"/>
        </w:rPr>
        <w:t>s</w:t>
      </w:r>
      <w:r w:rsidR="00BC3F29" w:rsidRPr="00B51DDE">
        <w:rPr>
          <w:rFonts w:ascii="Arial" w:hAnsi="Arial" w:cs="Arial"/>
          <w:sz w:val="24"/>
          <w:szCs w:val="24"/>
        </w:rPr>
        <w:t>e</w:t>
      </w:r>
      <w:r w:rsidRPr="00B51DDE">
        <w:rPr>
          <w:rFonts w:ascii="Arial" w:hAnsi="Arial" w:cs="Arial"/>
          <w:sz w:val="24"/>
          <w:szCs w:val="24"/>
        </w:rPr>
        <w:t xml:space="preserve"> bias</w:t>
      </w:r>
      <w:r w:rsidR="00BC3F29" w:rsidRPr="00B51DDE">
        <w:rPr>
          <w:rFonts w:ascii="Arial" w:hAnsi="Arial" w:cs="Arial"/>
          <w:sz w:val="24"/>
          <w:szCs w:val="24"/>
        </w:rPr>
        <w:t>es</w:t>
      </w:r>
      <w:r w:rsidRPr="00B51DDE">
        <w:rPr>
          <w:rFonts w:ascii="Arial" w:hAnsi="Arial" w:cs="Arial"/>
          <w:sz w:val="24"/>
          <w:szCs w:val="24"/>
        </w:rPr>
        <w:t xml:space="preserve"> w</w:t>
      </w:r>
      <w:r w:rsidR="00BC3F29" w:rsidRPr="00B51DDE">
        <w:rPr>
          <w:rFonts w:ascii="Arial" w:hAnsi="Arial" w:cs="Arial"/>
          <w:sz w:val="24"/>
          <w:szCs w:val="24"/>
        </w:rPr>
        <w:t>ere</w:t>
      </w:r>
      <w:r w:rsidRPr="00B51DDE">
        <w:rPr>
          <w:rFonts w:ascii="Arial" w:hAnsi="Arial" w:cs="Arial"/>
          <w:sz w:val="24"/>
          <w:szCs w:val="24"/>
        </w:rPr>
        <w:t xml:space="preserve"> considered a part of the study not to be eliminated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B51DDE">
        <w:rPr>
          <w:rFonts w:ascii="Cambria Math" w:hAnsi="Cambria Math" w:cs="Cambria Math"/>
          <w:sz w:val="24"/>
          <w:szCs w:val="24"/>
        </w:rPr>
        <w:instrText>‐</w:instrText>
      </w:r>
      <w:r w:rsidRPr="00B51DDE">
        <w:rPr>
          <w:rFonts w:ascii="Arial" w:hAnsi="Arial" w:cs="Arial"/>
          <w:sz w:val="24"/>
          <w:szCs w:val="24"/>
        </w:rPr>
        <w:instrText>year two</w:instrText>
      </w:r>
      <w:r w:rsidRPr="00B51DDE">
        <w:rPr>
          <w:rFonts w:ascii="Cambria Math" w:hAnsi="Cambria Math" w:cs="Cambria Math"/>
          <w:sz w:val="24"/>
          <w:szCs w:val="24"/>
        </w:rPr>
        <w:instrText>‐</w:instrText>
      </w:r>
      <w:r w:rsidRPr="00B51DDE">
        <w:rPr>
          <w:rFonts w:ascii="Arial" w:hAnsi="Arial" w:cs="Arial"/>
          <w:sz w:val="24"/>
          <w:szCs w:val="24"/>
        </w:rPr>
        <w:instrText>site study are critiqued.","author":[{"dropping-particle":"","family":"Mercer","given":"Justine","non-dropping-particle":"","parse-names":false,"suffix":""}],"container-title":"Oxford Review of Education","id":"ITEM-1","issue":"1","issued":{"date-parts":[["2007"]]},"page":"1-17","title":"The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Leicester.","type":"article-journal","volume":"33"},"uris":["http://www.mendeley.com/documents/?uuid=fe067fbf-5130-4070-9927-bdf8727d610e"]}],"mendeley":{"formattedCitation":"(Mercer, 2007)","plainTextFormattedCitation":"(Mercer, 2007)","previouslyFormattedCitation":"(Mercer, 2007)"},"properties":{"noteIndex":0},"schema":"https://github.com/citation-style-language/schema/raw/master/csl-citation.json"}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(Mercer, 2007)</w:t>
      </w:r>
      <w:r w:rsidRPr="00B51DDE">
        <w:rPr>
          <w:rFonts w:ascii="Arial" w:hAnsi="Arial" w:cs="Arial"/>
          <w:sz w:val="24"/>
          <w:szCs w:val="24"/>
        </w:rPr>
        <w:fldChar w:fldCharType="end"/>
      </w:r>
      <w:r w:rsidRPr="00B51DDE">
        <w:rPr>
          <w:rFonts w:ascii="Arial" w:hAnsi="Arial" w:cs="Arial"/>
          <w:sz w:val="24"/>
          <w:szCs w:val="24"/>
        </w:rPr>
        <w:t>.</w:t>
      </w:r>
      <w:r w:rsidRPr="00B51DDE">
        <w:rPr>
          <w:rFonts w:ascii="Arial" w:hAnsi="Arial" w:cs="Arial"/>
          <w:sz w:val="24"/>
          <w:szCs w:val="24"/>
        </w:rPr>
        <w:br w:type="page"/>
      </w:r>
    </w:p>
    <w:p w14:paraId="385BA0C7" w14:textId="77777777" w:rsidR="0089588A" w:rsidRPr="00B51DDE" w:rsidRDefault="0089588A" w:rsidP="00AE2080">
      <w:pPr>
        <w:spacing w:line="360" w:lineRule="auto"/>
        <w:rPr>
          <w:rFonts w:ascii="Arial" w:hAnsi="Arial" w:cs="Arial"/>
          <w:b/>
          <w:bCs/>
          <w:sz w:val="24"/>
          <w:szCs w:val="24"/>
        </w:rPr>
      </w:pPr>
      <w:r w:rsidRPr="00B51DDE">
        <w:rPr>
          <w:rFonts w:ascii="Arial" w:hAnsi="Arial" w:cs="Arial"/>
          <w:b/>
          <w:bCs/>
          <w:sz w:val="24"/>
          <w:szCs w:val="24"/>
        </w:rPr>
        <w:lastRenderedPageBreak/>
        <w:t>Development of the theoretical belt training process</w:t>
      </w:r>
    </w:p>
    <w:p w14:paraId="2E33B578" w14:textId="02DC4AD4"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 xml:space="preserve">In my previous study, </w:t>
      </w:r>
      <w:r w:rsidR="004B6434" w:rsidRPr="00B51DDE">
        <w:rPr>
          <w:rFonts w:ascii="Arial" w:hAnsi="Arial" w:cs="Arial"/>
          <w:sz w:val="24"/>
          <w:szCs w:val="24"/>
        </w:rPr>
        <w:t>EBVP</w:t>
      </w:r>
      <w:r w:rsidRPr="00B51DDE">
        <w:rPr>
          <w:rFonts w:ascii="Arial" w:hAnsi="Arial" w:cs="Arial"/>
          <w:sz w:val="24"/>
          <w:szCs w:val="24"/>
        </w:rPr>
        <w:t xml:space="preserve"> was the ethos used to synthesise a belt training process. EBVP aims to keep voice pedagogy at the intersection of voice research, voice teacher expertise and experience, and student goals and perspectives</w:t>
      </w:r>
      <w:r w:rsidR="00334EA5" w:rsidRPr="00B51DDE">
        <w:rPr>
          <w:rFonts w:ascii="Arial" w:hAnsi="Arial" w:cs="Arial"/>
          <w:sz w:val="24"/>
          <w:szCs w:val="24"/>
        </w:rPr>
        <w:t xml:space="preserve"> </w:t>
      </w:r>
      <w:bookmarkStart w:id="5" w:name="EBVPVenn"/>
      <w:r w:rsidR="00334EA5" w:rsidRPr="00B51DDE">
        <w:rPr>
          <w:rFonts w:ascii="Arial" w:hAnsi="Arial" w:cs="Arial"/>
          <w:sz w:val="24"/>
          <w:szCs w:val="24"/>
        </w:rPr>
        <w:fldChar w:fldCharType="begin"/>
      </w:r>
      <w:r w:rsidR="00334EA5" w:rsidRPr="00B51DDE">
        <w:rPr>
          <w:rFonts w:ascii="Arial" w:hAnsi="Arial" w:cs="Arial"/>
          <w:sz w:val="24"/>
          <w:szCs w:val="24"/>
        </w:rPr>
        <w:instrText>HYPERLINK  \l "EBVPVenn"</w:instrText>
      </w:r>
      <w:r w:rsidR="00334EA5" w:rsidRPr="00B51DDE">
        <w:rPr>
          <w:rFonts w:ascii="Arial" w:hAnsi="Arial" w:cs="Arial"/>
          <w:sz w:val="24"/>
          <w:szCs w:val="24"/>
        </w:rPr>
      </w:r>
      <w:r w:rsidR="00334EA5" w:rsidRPr="00B51DDE">
        <w:rPr>
          <w:rFonts w:ascii="Arial" w:hAnsi="Arial" w:cs="Arial"/>
          <w:sz w:val="24"/>
          <w:szCs w:val="24"/>
        </w:rPr>
        <w:fldChar w:fldCharType="separate"/>
      </w:r>
      <w:r w:rsidR="00334EA5" w:rsidRPr="00B51DDE">
        <w:rPr>
          <w:rStyle w:val="Hyperlink"/>
          <w:rFonts w:ascii="Arial" w:hAnsi="Arial" w:cs="Arial"/>
          <w:sz w:val="24"/>
          <w:szCs w:val="24"/>
        </w:rPr>
        <w:t>(</w:t>
      </w:r>
      <w:r w:rsidR="00B750E2" w:rsidRPr="00B51DDE">
        <w:rPr>
          <w:rStyle w:val="Hyperlink"/>
          <w:rFonts w:ascii="Arial" w:hAnsi="Arial" w:cs="Arial"/>
          <w:sz w:val="24"/>
          <w:szCs w:val="24"/>
        </w:rPr>
        <w:t>F</w:t>
      </w:r>
      <w:r w:rsidR="00334EA5" w:rsidRPr="00B51DDE">
        <w:rPr>
          <w:rStyle w:val="Hyperlink"/>
          <w:rFonts w:ascii="Arial" w:hAnsi="Arial" w:cs="Arial"/>
          <w:sz w:val="24"/>
          <w:szCs w:val="24"/>
        </w:rPr>
        <w:t>ig</w:t>
      </w:r>
      <w:r w:rsidR="00B750E2" w:rsidRPr="00B51DDE">
        <w:rPr>
          <w:rStyle w:val="Hyperlink"/>
          <w:rFonts w:ascii="Arial" w:hAnsi="Arial" w:cs="Arial"/>
          <w:sz w:val="24"/>
          <w:szCs w:val="24"/>
        </w:rPr>
        <w:t>ure</w:t>
      </w:r>
      <w:r w:rsidR="00334EA5" w:rsidRPr="00B51DDE">
        <w:rPr>
          <w:rStyle w:val="Hyperlink"/>
          <w:rFonts w:ascii="Arial" w:hAnsi="Arial" w:cs="Arial"/>
          <w:sz w:val="24"/>
          <w:szCs w:val="24"/>
        </w:rPr>
        <w:t xml:space="preserve"> 2)</w:t>
      </w:r>
      <w:r w:rsidR="00334EA5" w:rsidRPr="00B51DDE">
        <w:rPr>
          <w:rFonts w:ascii="Arial" w:hAnsi="Arial" w:cs="Arial"/>
          <w:sz w:val="24"/>
          <w:szCs w:val="24"/>
        </w:rPr>
        <w:fldChar w:fldCharType="end"/>
      </w:r>
      <w:r w:rsidRPr="00B51DDE">
        <w:rPr>
          <w:rFonts w:ascii="Arial" w:hAnsi="Arial" w:cs="Arial"/>
          <w:sz w:val="24"/>
          <w:szCs w:val="24"/>
        </w:rPr>
        <w:t xml:space="preserve"> </w:t>
      </w:r>
      <w:bookmarkEnd w:id="5"/>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Perspectives","type":"article-journal","volume":"78"},"uris":["http://www.mendeley.com/documents/?uuid=f77b2c75-21fd-413f-badf-fe2971b5f8ec"]}],"mendeley":{"formattedCitation":"(Bozeman and Ragan, 2021; Ragan and Maxfield, 2021; Helding and Ragan, 2022)","plainTextFormattedCitation":"(Bozeman and Ragan, 2021; Ragan and Maxfield, 2021; Helding and Ragan, 2022)","previouslyFormattedCitation":"(Bozeman and Ragan, 2021; Ragan and Maxfield, 2021; Helding and Ragan, 2022)"},"properties":{"noteIndex":0},"schema":"https://github.com/citation-style-language/schema/raw/master/csl-citation.json"}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(Bozeman and Ragan, 2021; Ragan and Maxfield, 2021; Helding and Ragan, 2022)</w:t>
      </w:r>
      <w:r w:rsidRPr="00B51DDE">
        <w:rPr>
          <w:rFonts w:ascii="Arial" w:hAnsi="Arial" w:cs="Arial"/>
          <w:sz w:val="24"/>
          <w:szCs w:val="24"/>
        </w:rPr>
        <w:fldChar w:fldCharType="end"/>
      </w:r>
      <w:r w:rsidRPr="00B51DDE">
        <w:rPr>
          <w:rFonts w:ascii="Arial" w:hAnsi="Arial" w:cs="Arial"/>
          <w:sz w:val="24"/>
          <w:szCs w:val="24"/>
        </w:rPr>
        <w:t xml:space="preserve">. </w:t>
      </w:r>
    </w:p>
    <w:p w14:paraId="2B139E60" w14:textId="56ECF823" w:rsidR="00334EA5" w:rsidRPr="00B51DDE" w:rsidRDefault="00334EA5" w:rsidP="00AE2080">
      <w:pPr>
        <w:spacing w:line="360" w:lineRule="auto"/>
        <w:jc w:val="both"/>
        <w:rPr>
          <w:rFonts w:ascii="Arial" w:hAnsi="Arial" w:cs="Arial"/>
          <w:sz w:val="24"/>
          <w:szCs w:val="24"/>
        </w:rPr>
      </w:pPr>
      <w:r w:rsidRPr="00B51DDE">
        <w:rPr>
          <w:rFonts w:ascii="Arial" w:hAnsi="Arial" w:cs="Arial"/>
          <w:sz w:val="24"/>
          <w:szCs w:val="24"/>
        </w:rPr>
        <w:t>Figure 2: Evidence-Based Voice Pedagogy Venn diagram</w:t>
      </w:r>
    </w:p>
    <w:p w14:paraId="10C57D2F" w14:textId="77777777" w:rsidR="0089588A" w:rsidRPr="00B51DDE" w:rsidRDefault="0089588A" w:rsidP="00AE2080">
      <w:pPr>
        <w:spacing w:line="360" w:lineRule="auto"/>
        <w:jc w:val="center"/>
        <w:rPr>
          <w:rFonts w:ascii="Arial" w:hAnsi="Arial" w:cs="Arial"/>
          <w:sz w:val="24"/>
          <w:szCs w:val="24"/>
        </w:rPr>
      </w:pPr>
      <w:r w:rsidRPr="00B51DDE">
        <w:rPr>
          <w:rFonts w:ascii="Arial" w:hAnsi="Arial" w:cs="Arial"/>
          <w:noProof/>
          <w:sz w:val="24"/>
          <w:szCs w:val="24"/>
        </w:rPr>
        <w:drawing>
          <wp:inline distT="0" distB="0" distL="0" distR="0" wp14:anchorId="76C506C4" wp14:editId="491DD056">
            <wp:extent cx="3686175" cy="2764836"/>
            <wp:effectExtent l="0" t="0" r="0" b="0"/>
            <wp:docPr id="1105305051" name="Picture 2" descr="A diagram of a pedago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305051" name="Picture 2" descr="A diagram of a pedagog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06532" cy="2780105"/>
                    </a:xfrm>
                    <a:prstGeom prst="rect">
                      <a:avLst/>
                    </a:prstGeom>
                  </pic:spPr>
                </pic:pic>
              </a:graphicData>
            </a:graphic>
          </wp:inline>
        </w:drawing>
      </w:r>
    </w:p>
    <w:p w14:paraId="5A233F99" w14:textId="53F76657" w:rsidR="00334EA5" w:rsidRPr="00B51DDE" w:rsidRDefault="00334EA5" w:rsidP="00AE2080">
      <w:pPr>
        <w:spacing w:line="360" w:lineRule="auto"/>
        <w:jc w:val="right"/>
        <w:rPr>
          <w:rFonts w:ascii="Arial" w:hAnsi="Arial" w:cs="Arial"/>
          <w:sz w:val="24"/>
          <w:szCs w:val="24"/>
        </w:rPr>
      </w:pPr>
      <w:r w:rsidRPr="00B51DDE">
        <w:rPr>
          <w:rFonts w:ascii="Arial" w:hAnsi="Arial" w:cs="Arial"/>
          <w:sz w:val="24"/>
          <w:szCs w:val="24"/>
        </w:rPr>
        <w:fldChar w:fldCharType="begin" w:fldLock="1"/>
      </w:r>
      <w:r w:rsidR="0081352A" w:rsidRPr="00B51DDE">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(Morris, 2023)</w:t>
      </w:r>
      <w:r w:rsidRPr="00B51DDE">
        <w:rPr>
          <w:rFonts w:ascii="Arial" w:hAnsi="Arial" w:cs="Arial"/>
          <w:sz w:val="24"/>
          <w:szCs w:val="24"/>
        </w:rPr>
        <w:fldChar w:fldCharType="end"/>
      </w:r>
    </w:p>
    <w:p w14:paraId="03603D95" w14:textId="3DDA6791"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 xml:space="preserve">Previously, singing teacher expertise was sourced from YouTube belt training tutorials. The justification was that the internet </w:t>
      </w:r>
      <w:r w:rsidR="00986C8B" w:rsidRPr="00B51DDE">
        <w:rPr>
          <w:rFonts w:ascii="Arial" w:hAnsi="Arial" w:cs="Arial"/>
          <w:sz w:val="24"/>
          <w:szCs w:val="24"/>
        </w:rPr>
        <w:t>is an</w:t>
      </w:r>
      <w:r w:rsidRPr="00B51DDE">
        <w:rPr>
          <w:rFonts w:ascii="Arial" w:hAnsi="Arial" w:cs="Arial"/>
          <w:sz w:val="24"/>
          <w:szCs w:val="24"/>
        </w:rPr>
        <w:t xml:space="preserve"> increasingly popular source of information for the public, therefore singers may enter a voice studio with belt training concepts from YouTube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{"citationItems":[{"id":"ITEM-1","itemData":{"DOI":"10.1007/s11845-018-1790-5","ISBN":"1184501817905","ISSN":"18634362","PMID":"29594693","abstract":"Background: While patients accessing the Internet can be a positive step towards health literacy and self-efficacy, these resources vary in quality. Aims: In 2007, Kulasegarah et al. assessed the information available to patients on the Internet on three common ENT procedures (tonsillectomy, septoplasty, and myringoplasty), looking at the quality of the information in terms of completeness and accuracy. This is a follow-on study to examine how this information has changed after 10 years. Methods: Following a Google search, the top 20 webpages on each of the three ENT procedures, tonsillectomy, septoplasty, and myringoplasty, were analyzed. Results: Webpages gave on average 50.6% of the critical information a patient should know prior to undergoing surgery. This is a drop from 2007 (65.5%). Over 96.8% were found to have no inaccuracies identified on the available information provided on the websites. This was slightly higher than in 2007 (94.7%). YouTube (10%) and hospital webpages (10%) were among the new subcategories that were not present in the 2007 study. Conclusions: Due to the reduced completeness of information available to patients online, it is important that health professionals direct patients to appropriate websites if they wish to do their own research.","author":[{"dropping-particle":"","family":"Kulasegarah","given":"Jeyanthi","non-dropping-particle":"","parse-names":false,"suffix":""},{"dropping-particle":"","family":"McGregor","given":"Kassandra","non-dropping-particle":"","parse-names":false,"suffix":""},{"dropping-particle":"","family":"Mahadevan","given":"Murali","non-dropping-particle":"","parse-names":false,"suffix":""}],"container-title":"Irish Journal of Medical Science","id":"ITEM-1","issue":"4","issued":{"date-parts":[["2018"]]},"page":"873-876","publisher":"Irish Journal of Medical Science (1971 -)","title":"Quality of information on the Internet—has a decade made a difference?","type":"article-journal","volume":"187"},"uris":["http://www.mendeley.com/documents/?uuid=99b55a8c-f479-4337-9247-4a28fcb68a4d"]},{"id":"ITEM-2","itemData":{"ISSN":"10867732","author":[{"dropping-particle":"","family":"Helding","given":"Lynn","non-dropping-particle":"","parse-names":false,"suffix":""}],"container-title":"Journal of Singing","id":"ITEM-2","issue":"4","issued":{"date-parts":[["2012"]]},"page":"451-455","title":"MINDFUL VOICE. The Multitasking Monster.","type":"article-journal","volume":"68"},"uris":["http://www.mendeley.com/documents/?uuid=040c9599-5688-4449-b47d-b284ca7fd977"]},{"id":"ITEM-3","itemData":{"DOI":"10.14742/ajet.1936","ISSN":"14495554","abstract":"In Web 2.0 environments, the quality of published information can vary significantly and much of the information on the Internet is unproven. This unverified information hinders rather than facilitates student learning, especially among undergraduate students who depend heavily on Internet resources for their studies. Currently, we do not have clear understanding of how students assess information quality and how this process affects their learning. This study argues that students' perceptions of Internet information quality influence their use of Internet information in their learning. The objectives of this research were to improve our understanding of how students evaluate Internet information by examining their perceptions of information quality and their use of information in learning, and to develop an information acceptance model that effectively measures and predicts students' use of Internet information. The study participants were undergraduate students at a Hong Kong university (n=299). We used confirmatory factor analysis and structured equation models to develop an information acceptance model based on Klein's (2002) 15 information quality dimensions. Our results suggested that 8 out of the 15 information quality dimensions were significant in predicting students' use of Internet information in their academic work.","author":[{"dropping-particle":"","family":"Pow","given":"Jacky","non-dropping-particle":"","parse-names":false,"suffix":""},{"dropping-particle":"","family":"Li","given":"Sandy C.","non-dropping-particle":"","parse-names":false,"suffix":""}],"container-title":"Australasian Journal of Educational Technology","id":"ITEM-3","issue":"4","issued":{"date-parts":[["2015"]]},"page":"439-457","title":"The effect of students' perceptions of Internet information quality on their use of Internet information in inquiry-based learning","type":"article-journal","volume":"31"},"uris":["http://www.mendeley.com/documents/?uuid=c5ea9aaa-12af-4dd6-9fd6-21f58e0559c0"]}],"mendeley":{"formattedCitation":"(Helding, 2012; Pow and Li, 2015; Kulasegarah, McGregor and Mahadevan, 2018)","plainTextFormattedCitation":"(Helding, 2012; Pow and Li, 2015; Kulasegarah, McGregor and Mahadevan, 2018)","previouslyFormattedCitation":"(Helding, 2012; Pow and Li, 2015; Kulasegarah, McGregor and Mahadevan, 2018)"},"properties":{"noteIndex":0},"schema":"https://github.com/citation-style-language/schema/raw/master/csl-citation.json"}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(Helding, 2012; Pow and Li, 2015; Kulasegarah, McGregor and Mahadevan, 2018)</w:t>
      </w:r>
      <w:r w:rsidRPr="00B51DDE">
        <w:rPr>
          <w:rFonts w:ascii="Arial" w:hAnsi="Arial" w:cs="Arial"/>
          <w:sz w:val="24"/>
          <w:szCs w:val="24"/>
        </w:rPr>
        <w:fldChar w:fldCharType="end"/>
      </w:r>
      <w:r w:rsidRPr="00B51DDE">
        <w:rPr>
          <w:rFonts w:ascii="Arial" w:hAnsi="Arial" w:cs="Arial"/>
          <w:sz w:val="24"/>
          <w:szCs w:val="24"/>
        </w:rPr>
        <w:t xml:space="preserve">. Awareness of the impact of </w:t>
      </w:r>
      <w:r w:rsidR="002161C1" w:rsidRPr="00B51DDE">
        <w:rPr>
          <w:rFonts w:ascii="Arial" w:hAnsi="Arial" w:cs="Arial"/>
          <w:sz w:val="24"/>
          <w:szCs w:val="24"/>
        </w:rPr>
        <w:t>I</w:t>
      </w:r>
      <w:r w:rsidRPr="00B51DDE">
        <w:rPr>
          <w:rFonts w:ascii="Arial" w:hAnsi="Arial" w:cs="Arial"/>
          <w:sz w:val="24"/>
          <w:szCs w:val="24"/>
        </w:rPr>
        <w:t>nternet learning was an aspect of the previous study. YouTube singing teacher expertise was analysed and cross-referenced with an archive review of peer-reviewed voice research. From this</w:t>
      </w:r>
      <w:r w:rsidR="00CF092E" w:rsidRPr="00B51DDE">
        <w:rPr>
          <w:rFonts w:ascii="Arial" w:hAnsi="Arial" w:cs="Arial"/>
          <w:sz w:val="24"/>
          <w:szCs w:val="24"/>
        </w:rPr>
        <w:t>,</w:t>
      </w:r>
      <w:r w:rsidRPr="00B51DDE">
        <w:rPr>
          <w:rFonts w:ascii="Arial" w:hAnsi="Arial" w:cs="Arial"/>
          <w:sz w:val="24"/>
          <w:szCs w:val="24"/>
        </w:rPr>
        <w:t xml:space="preserve"> a process of qualitative evidence synthesis was used to develop the theoretical belt training process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Systems","id":"ITEM-1","issue":"1","issued":{"date-parts":[["2019"]]},"page":"1-12","publisher":"Health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recommendations","type":"article-journal","volume":"17"},"uris":["http://www.mendeley.com/documents/?uuid=77a72055-176a-426d-8972-d79d1c8adf98"]},{"id":"ITEM-2","itemData":{"DOI":"10.1111/j.1365-2648.2005.03380.x","ISSN":"03092402","PMID":"15788085","abstract":"Aim. This paper discusses the purpose and stages of meta-synthesis and the epistemological status of knowledge generated from the technique. Particular attention is paid to exploring the contested areas of the method that remain. Background. There is a growing interest in meta-synthesis as a technique for generating new insights and understanding from qualitative health care research. An increasing number of meta-synthesis papers are appearing in the nursing and midwifery literature. Methods. Literature on the technique of meta-synthesis and examples of meta-synthesis papers were searched and reviewed. A meta-synthesis exercise was undertaken, and this informed reflection and critique of the method. Findings. Meta-synthesis attempts to integrate results from a number of different but inter-related qualitative studies. The technique has an interpretive, rather than aggregating, intent, in contrast to meta-analysis of quantitative studies. Examples from the literature indicate that some aspects of the technique are not yet fully established. Conclusion. Despite the contingent nature of evidence gleaned from meta-synthesis and current lack of consensus about some of its aspects, meta-synthesis is an important technique for qualitative researchers and can deepen understanding of the contextual dimensions of health care. © 2005 Blackwell Publishing Ltd.","author":[{"dropping-particle":"","family":"Walsh","given":"Denis","non-dropping-particle":"","parse-names":false,"suffix":""},{"dropping-particle":"","family":"Downe","given":"Soo","non-dropping-particle":"","parse-names":false,"suffix":""}],"container-title":"Journal of Advanced Nursing","id":"ITEM-2","issue":"2","issued":{"date-parts":[["2005"]]},"page":"204-211","title":"Meta-synthesis method for qualitative research: A literature review","type":"article-journal","volume":"50"},"uris":["http://www.mendeley.com/documents/?uuid=67e0c58e-9797-468e-94a8-ae38e3c7201b"]}],"mendeley":{"formattedCitation":"(Walsh and Downe, 2005; Downe &lt;i&gt;et al.&lt;/i&gt;, 2019)","plainTextFormattedCitation":"(Walsh and Downe, 2005; Downe et al., 2019)","previouslyFormattedCitation":"(Walsh and Downe, 2005; Downe &lt;i&gt;et al.&lt;/i&gt;, 2019)"},"properties":{"noteIndex":0},"schema":"https://github.com/citation-style-language/schema/raw/master/csl-citation.json"}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(Walsh and Downe, 2005; Downe </w:t>
      </w:r>
      <w:r w:rsidRPr="00B51DDE">
        <w:rPr>
          <w:rFonts w:ascii="Arial" w:hAnsi="Arial" w:cs="Arial"/>
          <w:i/>
          <w:noProof/>
          <w:sz w:val="24"/>
          <w:szCs w:val="24"/>
        </w:rPr>
        <w:t>et al.</w:t>
      </w:r>
      <w:r w:rsidRPr="00B51DDE">
        <w:rPr>
          <w:rFonts w:ascii="Arial" w:hAnsi="Arial" w:cs="Arial"/>
          <w:noProof/>
          <w:sz w:val="24"/>
          <w:szCs w:val="24"/>
        </w:rPr>
        <w:t>, 2019)</w:t>
      </w:r>
      <w:r w:rsidRPr="00B51DDE">
        <w:rPr>
          <w:rFonts w:ascii="Arial" w:hAnsi="Arial" w:cs="Arial"/>
          <w:sz w:val="24"/>
          <w:szCs w:val="24"/>
        </w:rPr>
        <w:fldChar w:fldCharType="end"/>
      </w:r>
      <w:r w:rsidRPr="00B51DDE">
        <w:rPr>
          <w:rFonts w:ascii="Arial" w:hAnsi="Arial" w:cs="Arial"/>
          <w:sz w:val="24"/>
          <w:szCs w:val="24"/>
        </w:rPr>
        <w:t xml:space="preserve">. </w:t>
      </w:r>
      <w:r w:rsidR="00CF092E" w:rsidRPr="00B51DDE">
        <w:rPr>
          <w:rFonts w:ascii="Arial" w:hAnsi="Arial" w:cs="Arial"/>
          <w:sz w:val="24"/>
          <w:szCs w:val="24"/>
        </w:rPr>
        <w:t xml:space="preserve">The previous belt training process aimed </w:t>
      </w:r>
      <w:r w:rsidR="00AD0AFE" w:rsidRPr="00B51DDE">
        <w:rPr>
          <w:rFonts w:ascii="Arial" w:hAnsi="Arial" w:cs="Arial"/>
          <w:sz w:val="24"/>
          <w:szCs w:val="24"/>
        </w:rPr>
        <w:t xml:space="preserve">to </w:t>
      </w:r>
      <w:r w:rsidRPr="00B51DDE">
        <w:rPr>
          <w:rFonts w:ascii="Arial" w:hAnsi="Arial" w:cs="Arial"/>
          <w:sz w:val="24"/>
          <w:szCs w:val="24"/>
        </w:rPr>
        <w:t>guid</w:t>
      </w:r>
      <w:r w:rsidR="00AD0AFE" w:rsidRPr="00B51DDE">
        <w:rPr>
          <w:rFonts w:ascii="Arial" w:hAnsi="Arial" w:cs="Arial"/>
          <w:sz w:val="24"/>
          <w:szCs w:val="24"/>
        </w:rPr>
        <w:t>e the initial training of</w:t>
      </w:r>
      <w:r w:rsidRPr="00B51DDE">
        <w:rPr>
          <w:rFonts w:ascii="Arial" w:hAnsi="Arial" w:cs="Arial"/>
          <w:sz w:val="24"/>
          <w:szCs w:val="24"/>
        </w:rPr>
        <w:t xml:space="preserve"> </w:t>
      </w:r>
      <w:r w:rsidR="00AD0AFE" w:rsidRPr="00B51DDE">
        <w:rPr>
          <w:rFonts w:ascii="Arial" w:hAnsi="Arial" w:cs="Arial"/>
          <w:sz w:val="24"/>
          <w:szCs w:val="24"/>
        </w:rPr>
        <w:t xml:space="preserve">singing teachers and </w:t>
      </w:r>
      <w:r w:rsidRPr="00B51DDE">
        <w:rPr>
          <w:rFonts w:ascii="Arial" w:hAnsi="Arial" w:cs="Arial"/>
          <w:sz w:val="24"/>
          <w:szCs w:val="24"/>
        </w:rPr>
        <w:t xml:space="preserve">students new to </w:t>
      </w:r>
      <w:r w:rsidR="00BC3F29" w:rsidRPr="00B51DDE">
        <w:rPr>
          <w:rFonts w:ascii="Arial" w:hAnsi="Arial" w:cs="Arial"/>
          <w:sz w:val="24"/>
          <w:szCs w:val="24"/>
        </w:rPr>
        <w:t>belting</w:t>
      </w:r>
      <w:r w:rsidRPr="00B51DDE">
        <w:rPr>
          <w:rFonts w:ascii="Arial" w:hAnsi="Arial" w:cs="Arial"/>
          <w:sz w:val="24"/>
          <w:szCs w:val="24"/>
        </w:rPr>
        <w:t>. This study</w:t>
      </w:r>
      <w:r w:rsidR="00DE5C40" w:rsidRPr="00B51DDE">
        <w:rPr>
          <w:rFonts w:ascii="Arial" w:hAnsi="Arial" w:cs="Arial"/>
          <w:sz w:val="24"/>
          <w:szCs w:val="24"/>
        </w:rPr>
        <w:t xml:space="preserve"> </w:t>
      </w:r>
      <w:r w:rsidR="00882FA3" w:rsidRPr="00B51DDE">
        <w:rPr>
          <w:rFonts w:ascii="Arial" w:hAnsi="Arial" w:cs="Arial"/>
          <w:sz w:val="24"/>
          <w:szCs w:val="24"/>
        </w:rPr>
        <w:t xml:space="preserve">continued and further developed </w:t>
      </w:r>
      <w:r w:rsidR="00E14F13" w:rsidRPr="00B51DDE">
        <w:rPr>
          <w:rFonts w:ascii="Arial" w:hAnsi="Arial" w:cs="Arial"/>
          <w:sz w:val="24"/>
          <w:szCs w:val="24"/>
        </w:rPr>
        <w:t>this ai</w:t>
      </w:r>
      <w:r w:rsidR="00882FA3" w:rsidRPr="00B51DDE">
        <w:rPr>
          <w:rFonts w:ascii="Arial" w:hAnsi="Arial" w:cs="Arial"/>
          <w:sz w:val="24"/>
          <w:szCs w:val="24"/>
        </w:rPr>
        <w:t>m</w:t>
      </w:r>
      <w:r w:rsidRPr="00B51DDE">
        <w:rPr>
          <w:rFonts w:ascii="Arial" w:hAnsi="Arial" w:cs="Arial"/>
          <w:sz w:val="24"/>
          <w:szCs w:val="24"/>
        </w:rPr>
        <w:t>.</w:t>
      </w:r>
      <w:r w:rsidRPr="00B51DDE">
        <w:rPr>
          <w:rFonts w:ascii="Arial" w:hAnsi="Arial" w:cs="Arial"/>
          <w:sz w:val="24"/>
          <w:szCs w:val="24"/>
        </w:rPr>
        <w:br w:type="page"/>
      </w:r>
    </w:p>
    <w:p w14:paraId="1E2737E0" w14:textId="5E303A15" w:rsidR="0089588A" w:rsidRPr="00B51DDE" w:rsidRDefault="000468AD" w:rsidP="00AE2080">
      <w:pPr>
        <w:spacing w:line="360" w:lineRule="auto"/>
        <w:jc w:val="both"/>
        <w:rPr>
          <w:rFonts w:ascii="Arial" w:hAnsi="Arial" w:cs="Arial"/>
          <w:b/>
          <w:sz w:val="24"/>
          <w:szCs w:val="24"/>
        </w:rPr>
      </w:pPr>
      <w:r w:rsidRPr="00B51DDE">
        <w:rPr>
          <w:rFonts w:ascii="Arial" w:hAnsi="Arial" w:cs="Arial"/>
          <w:b/>
          <w:sz w:val="24"/>
          <w:szCs w:val="24"/>
        </w:rPr>
        <w:lastRenderedPageBreak/>
        <w:t xml:space="preserve">Justification of </w:t>
      </w:r>
      <w:r w:rsidR="00B51DDE">
        <w:rPr>
          <w:rFonts w:ascii="Arial" w:hAnsi="Arial" w:cs="Arial"/>
          <w:b/>
          <w:sz w:val="24"/>
          <w:szCs w:val="24"/>
        </w:rPr>
        <w:t>m</w:t>
      </w:r>
      <w:r w:rsidRPr="00B51DDE">
        <w:rPr>
          <w:rFonts w:ascii="Arial" w:hAnsi="Arial" w:cs="Arial"/>
          <w:b/>
          <w:sz w:val="24"/>
          <w:szCs w:val="24"/>
        </w:rPr>
        <w:t>ethodology</w:t>
      </w:r>
    </w:p>
    <w:p w14:paraId="32612E02" w14:textId="16BA57C3" w:rsidR="00667BEB"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The theoretical belt training process feeding into this stud</w:t>
      </w:r>
      <w:r w:rsidR="00A258FF" w:rsidRPr="00B51DDE">
        <w:rPr>
          <w:rFonts w:ascii="Arial" w:hAnsi="Arial" w:cs="Arial"/>
          <w:bCs/>
          <w:sz w:val="24"/>
          <w:szCs w:val="24"/>
        </w:rPr>
        <w:t>y</w:t>
      </w:r>
      <w:r w:rsidRPr="00B51DDE">
        <w:rPr>
          <w:rFonts w:ascii="Arial" w:hAnsi="Arial" w:cs="Arial"/>
          <w:bCs/>
          <w:sz w:val="24"/>
          <w:szCs w:val="24"/>
        </w:rPr>
        <w:t xml:space="preserve"> was designed with the ethos of EBVP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VOICE","type":"article-journal","volume":"77"},"uris":["http://www.mendeley.com/documents/?uuid=ddb037f3-69bf-41ee-8534-060fb40556f4"]}],"mendeley":{"formattedCitation":"(Ragan and Maxfield, 2021)","plainTextFormattedCitation":"(Ragan and Maxfield, 2021)","previouslyFormattedCitation":"(Ragan and Maxfield, 2021)"},"properties":{"noteIndex":0},"schema":"https://github.com/citation-style-language/schema/raw/master/csl-citation.json"}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(Ragan and Maxfield, 2021)</w:t>
      </w:r>
      <w:r w:rsidRPr="00B51DDE">
        <w:rPr>
          <w:rFonts w:ascii="Arial" w:hAnsi="Arial" w:cs="Arial"/>
          <w:bCs/>
          <w:sz w:val="24"/>
          <w:szCs w:val="24"/>
        </w:rPr>
        <w:fldChar w:fldCharType="end"/>
      </w:r>
      <w:r w:rsidRPr="00B51DDE">
        <w:rPr>
          <w:rFonts w:ascii="Arial" w:hAnsi="Arial" w:cs="Arial"/>
          <w:bCs/>
          <w:sz w:val="24"/>
          <w:szCs w:val="24"/>
        </w:rPr>
        <w:t xml:space="preserve">. Further development of the </w:t>
      </w:r>
      <w:r w:rsidR="00277DEB" w:rsidRPr="00B51DDE">
        <w:rPr>
          <w:rFonts w:ascii="Arial" w:hAnsi="Arial" w:cs="Arial"/>
          <w:bCs/>
          <w:sz w:val="24"/>
          <w:szCs w:val="24"/>
        </w:rPr>
        <w:t xml:space="preserve">belt </w:t>
      </w:r>
      <w:r w:rsidRPr="00B51DDE">
        <w:rPr>
          <w:rFonts w:ascii="Arial" w:hAnsi="Arial" w:cs="Arial"/>
          <w:bCs/>
          <w:sz w:val="24"/>
          <w:szCs w:val="24"/>
        </w:rPr>
        <w:t xml:space="preserve">training process aimed to work in harmony with this ethos. </w:t>
      </w:r>
      <w:r w:rsidR="00887992" w:rsidRPr="00B51DDE">
        <w:rPr>
          <w:rFonts w:ascii="Arial" w:hAnsi="Arial" w:cs="Arial"/>
          <w:bCs/>
          <w:sz w:val="24"/>
          <w:szCs w:val="24"/>
        </w:rPr>
        <w:t>Design-</w:t>
      </w:r>
      <w:r w:rsidR="005967DC" w:rsidRPr="00B51DDE">
        <w:rPr>
          <w:rFonts w:ascii="Arial" w:hAnsi="Arial" w:cs="Arial"/>
          <w:bCs/>
          <w:sz w:val="24"/>
          <w:szCs w:val="24"/>
        </w:rPr>
        <w:t>b</w:t>
      </w:r>
      <w:r w:rsidR="00887992" w:rsidRPr="00B51DDE">
        <w:rPr>
          <w:rFonts w:ascii="Arial" w:hAnsi="Arial" w:cs="Arial"/>
          <w:bCs/>
          <w:sz w:val="24"/>
          <w:szCs w:val="24"/>
        </w:rPr>
        <w:t xml:space="preserve">ased </w:t>
      </w:r>
      <w:r w:rsidR="005967DC" w:rsidRPr="00B51DDE">
        <w:rPr>
          <w:rFonts w:ascii="Arial" w:hAnsi="Arial" w:cs="Arial"/>
          <w:bCs/>
          <w:sz w:val="24"/>
          <w:szCs w:val="24"/>
        </w:rPr>
        <w:t>r</w:t>
      </w:r>
      <w:r w:rsidRPr="00B51DDE">
        <w:rPr>
          <w:rFonts w:ascii="Arial" w:hAnsi="Arial" w:cs="Arial"/>
          <w:bCs/>
          <w:sz w:val="24"/>
          <w:szCs w:val="24"/>
        </w:rPr>
        <w:t xml:space="preserve">esearch (DBR) encompasses empirical education research and theory-driven design, aiming to solve complex educational problems and to advance understanding and knowledge of their practical application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research","type":"article-journal"},"uris":["http://www.mendeley.com/documents/?uuid=3d903e11-a75e-401c-b864-4f301aac1ac9"]}],"mendeley":{"formattedCitation":"(Hoadley &lt;i&gt;et al.&lt;/i&gt;, 2002; Plomp and Nieveen, 2010)","plainTextFormattedCitation":"(Hoadley et al., 2002; Plomp and Nieveen, 2010)","previouslyFormattedCitation":"(Hoadley &lt;i&gt;et al.&lt;/i&gt;, 2002; 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(Hoadley </w:t>
      </w:r>
      <w:r w:rsidRPr="00B51DDE">
        <w:rPr>
          <w:rFonts w:ascii="Arial" w:hAnsi="Arial" w:cs="Arial"/>
          <w:bCs/>
          <w:i/>
          <w:noProof/>
          <w:sz w:val="24"/>
          <w:szCs w:val="24"/>
        </w:rPr>
        <w:t>et al.</w:t>
      </w:r>
      <w:r w:rsidRPr="00B51DDE">
        <w:rPr>
          <w:rFonts w:ascii="Arial" w:hAnsi="Arial" w:cs="Arial"/>
          <w:bCs/>
          <w:noProof/>
          <w:sz w:val="24"/>
          <w:szCs w:val="24"/>
        </w:rPr>
        <w:t>, 2002; Plomp and Nieveen, 2010)</w:t>
      </w:r>
      <w:r w:rsidRPr="00B51DDE">
        <w:rPr>
          <w:rFonts w:ascii="Arial" w:hAnsi="Arial" w:cs="Arial"/>
          <w:bCs/>
          <w:sz w:val="24"/>
          <w:szCs w:val="24"/>
        </w:rPr>
        <w:fldChar w:fldCharType="end"/>
      </w:r>
      <w:r w:rsidRPr="00B51DDE">
        <w:rPr>
          <w:rFonts w:ascii="Arial" w:hAnsi="Arial" w:cs="Arial"/>
          <w:bCs/>
          <w:sz w:val="24"/>
          <w:szCs w:val="24"/>
        </w:rPr>
        <w:t xml:space="preserve">. </w:t>
      </w:r>
      <w:r w:rsidR="00F90E5E" w:rsidRPr="00B51DDE">
        <w:rPr>
          <w:rFonts w:ascii="Arial" w:hAnsi="Arial" w:cs="Arial"/>
          <w:bCs/>
          <w:sz w:val="24"/>
          <w:szCs w:val="24"/>
        </w:rPr>
        <w:t xml:space="preserve">As </w:t>
      </w:r>
      <w:r w:rsidRPr="00B51DDE">
        <w:rPr>
          <w:rFonts w:ascii="Arial" w:hAnsi="Arial" w:cs="Arial"/>
          <w:bCs/>
          <w:sz w:val="24"/>
          <w:szCs w:val="24"/>
        </w:rPr>
        <w:t xml:space="preserve">DBR has complementary aims it was used to </w:t>
      </w:r>
      <w:r w:rsidR="00196C58" w:rsidRPr="00B51DDE">
        <w:rPr>
          <w:rFonts w:ascii="Arial" w:hAnsi="Arial" w:cs="Arial"/>
          <w:bCs/>
          <w:sz w:val="24"/>
          <w:szCs w:val="24"/>
        </w:rPr>
        <w:t>guide</w:t>
      </w:r>
      <w:r w:rsidRPr="00B51DDE">
        <w:rPr>
          <w:rFonts w:ascii="Arial" w:hAnsi="Arial" w:cs="Arial"/>
          <w:bCs/>
          <w:sz w:val="24"/>
          <w:szCs w:val="24"/>
        </w:rPr>
        <w:t xml:space="preserve"> this study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Inquiry","type":"article-journal","volume":"32"},"uris":["http://www.mendeley.com/documents/?uuid=b43c7288-c64a-424e-bb77-bf33da21147a"]}],"mendeley":{"formattedCitation":"(Hoadley &lt;i&gt;et al.&lt;/i&gt;, 2002)","plainTextFormattedCitation":"(Hoadley et al., 2002)","previouslyFormattedCitation":"(Hoadley &lt;i&gt;et al.&lt;/i&gt;, 2002)"},"properties":{"noteIndex":0},"schema":"https://github.com/citation-style-language/schema/raw/master/csl-citation.json"}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(Hoadley </w:t>
      </w:r>
      <w:r w:rsidRPr="00B51DDE">
        <w:rPr>
          <w:rFonts w:ascii="Arial" w:hAnsi="Arial" w:cs="Arial"/>
          <w:bCs/>
          <w:i/>
          <w:noProof/>
          <w:sz w:val="24"/>
          <w:szCs w:val="24"/>
        </w:rPr>
        <w:t>et al.</w:t>
      </w:r>
      <w:r w:rsidRPr="00B51DDE">
        <w:rPr>
          <w:rFonts w:ascii="Arial" w:hAnsi="Arial" w:cs="Arial"/>
          <w:bCs/>
          <w:noProof/>
          <w:sz w:val="24"/>
          <w:szCs w:val="24"/>
        </w:rPr>
        <w:t>, 2002)</w:t>
      </w:r>
      <w:r w:rsidRPr="00B51DDE">
        <w:rPr>
          <w:rFonts w:ascii="Arial" w:hAnsi="Arial" w:cs="Arial"/>
          <w:bCs/>
          <w:sz w:val="24"/>
          <w:szCs w:val="24"/>
        </w:rPr>
        <w:fldChar w:fldCharType="end"/>
      </w:r>
      <w:r w:rsidRPr="00B51DDE">
        <w:rPr>
          <w:rFonts w:ascii="Arial" w:hAnsi="Arial" w:cs="Arial"/>
          <w:bCs/>
          <w:sz w:val="24"/>
          <w:szCs w:val="24"/>
        </w:rPr>
        <w:t>:</w:t>
      </w:r>
    </w:p>
    <w:p w14:paraId="04CF44F9" w14:textId="15E5D41A" w:rsidR="0089588A" w:rsidRPr="00B51DDE" w:rsidRDefault="0089588A" w:rsidP="00AE2080">
      <w:pPr>
        <w:pStyle w:val="ListParagraph"/>
        <w:numPr>
          <w:ilvl w:val="0"/>
          <w:numId w:val="5"/>
        </w:numPr>
        <w:spacing w:after="200" w:line="360" w:lineRule="auto"/>
        <w:jc w:val="both"/>
        <w:rPr>
          <w:rFonts w:ascii="Arial" w:hAnsi="Arial" w:cs="Arial"/>
          <w:bCs/>
          <w:sz w:val="24"/>
          <w:szCs w:val="24"/>
        </w:rPr>
      </w:pPr>
      <w:r w:rsidRPr="00B51DDE">
        <w:rPr>
          <w:rFonts w:ascii="Arial" w:hAnsi="Arial" w:cs="Arial"/>
          <w:bCs/>
          <w:sz w:val="24"/>
          <w:szCs w:val="24"/>
        </w:rPr>
        <w:t xml:space="preserve">To research the complexities of </w:t>
      </w:r>
      <w:r w:rsidR="00693B3C" w:rsidRPr="00B51DDE">
        <w:rPr>
          <w:rFonts w:ascii="Arial" w:hAnsi="Arial" w:cs="Arial"/>
          <w:bCs/>
          <w:sz w:val="24"/>
          <w:szCs w:val="24"/>
        </w:rPr>
        <w:t xml:space="preserve">an </w:t>
      </w:r>
      <w:r w:rsidRPr="00B51DDE">
        <w:rPr>
          <w:rFonts w:ascii="Arial" w:hAnsi="Arial" w:cs="Arial"/>
          <w:bCs/>
          <w:sz w:val="24"/>
          <w:szCs w:val="24"/>
        </w:rPr>
        <w:t>educational environment</w:t>
      </w:r>
    </w:p>
    <w:p w14:paraId="0C2A9BB0" w14:textId="77777777" w:rsidR="00693B3C" w:rsidRPr="00B51DDE" w:rsidRDefault="0089588A" w:rsidP="00AE2080">
      <w:pPr>
        <w:pStyle w:val="ListParagraph"/>
        <w:numPr>
          <w:ilvl w:val="0"/>
          <w:numId w:val="5"/>
        </w:numPr>
        <w:spacing w:after="200" w:line="360" w:lineRule="auto"/>
        <w:jc w:val="both"/>
        <w:rPr>
          <w:rFonts w:ascii="Arial" w:hAnsi="Arial" w:cs="Arial"/>
          <w:bCs/>
          <w:sz w:val="24"/>
          <w:szCs w:val="24"/>
        </w:rPr>
      </w:pPr>
      <w:r w:rsidRPr="00B51DDE">
        <w:rPr>
          <w:rFonts w:ascii="Arial" w:hAnsi="Arial" w:cs="Arial"/>
          <w:bCs/>
          <w:sz w:val="24"/>
          <w:szCs w:val="24"/>
        </w:rPr>
        <w:t>To discover the factors which most impact learning</w:t>
      </w:r>
    </w:p>
    <w:p w14:paraId="1E95AA4C" w14:textId="6665AC1F" w:rsidR="0089588A" w:rsidRPr="00B51DDE" w:rsidRDefault="00693B3C" w:rsidP="00AE2080">
      <w:pPr>
        <w:pStyle w:val="ListParagraph"/>
        <w:numPr>
          <w:ilvl w:val="0"/>
          <w:numId w:val="5"/>
        </w:numPr>
        <w:spacing w:after="200" w:line="360" w:lineRule="auto"/>
        <w:jc w:val="both"/>
        <w:rPr>
          <w:rFonts w:ascii="Arial" w:hAnsi="Arial" w:cs="Arial"/>
          <w:bCs/>
          <w:sz w:val="24"/>
          <w:szCs w:val="24"/>
        </w:rPr>
      </w:pPr>
      <w:r w:rsidRPr="00B51DDE">
        <w:rPr>
          <w:rFonts w:ascii="Arial" w:hAnsi="Arial" w:cs="Arial"/>
          <w:bCs/>
          <w:sz w:val="24"/>
          <w:szCs w:val="24"/>
        </w:rPr>
        <w:t xml:space="preserve">To </w:t>
      </w:r>
      <w:r w:rsidR="0089588A" w:rsidRPr="00B51DDE">
        <w:rPr>
          <w:rFonts w:ascii="Arial" w:hAnsi="Arial" w:cs="Arial"/>
          <w:bCs/>
          <w:sz w:val="24"/>
          <w:szCs w:val="24"/>
        </w:rPr>
        <w:t>create usable knowledge.</w:t>
      </w:r>
    </w:p>
    <w:p w14:paraId="3BFCD459" w14:textId="43086150" w:rsidR="006C38A9"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DBR methodology was applied to my existing theoretical belt training process and involved an iterative process. Successive iterations of research and development involved in DBR develop knowledge systematically in similar ways to experimentation in quantitative research</w:t>
      </w:r>
      <w:r w:rsidR="00334EA5" w:rsidRPr="00B51DDE">
        <w:rPr>
          <w:rFonts w:ascii="Arial" w:hAnsi="Arial" w:cs="Arial"/>
          <w:bCs/>
          <w:sz w:val="24"/>
          <w:szCs w:val="24"/>
        </w:rPr>
        <w:t xml:space="preserve"> </w:t>
      </w:r>
      <w:hyperlink w:anchor="DBRIterativeProcess" w:history="1">
        <w:r w:rsidR="00334EA5" w:rsidRPr="00B51DDE">
          <w:rPr>
            <w:rStyle w:val="Hyperlink"/>
            <w:rFonts w:ascii="Arial" w:hAnsi="Arial" w:cs="Arial"/>
            <w:bCs/>
            <w:sz w:val="24"/>
            <w:szCs w:val="24"/>
          </w:rPr>
          <w:t>(</w:t>
        </w:r>
        <w:r w:rsidR="0017645D" w:rsidRPr="00B51DDE">
          <w:rPr>
            <w:rStyle w:val="Hyperlink"/>
            <w:rFonts w:ascii="Arial" w:hAnsi="Arial" w:cs="Arial"/>
            <w:bCs/>
            <w:sz w:val="24"/>
            <w:szCs w:val="24"/>
          </w:rPr>
          <w:t>F</w:t>
        </w:r>
        <w:r w:rsidR="00334EA5" w:rsidRPr="00B51DDE">
          <w:rPr>
            <w:rStyle w:val="Hyperlink"/>
            <w:rFonts w:ascii="Arial" w:hAnsi="Arial" w:cs="Arial"/>
            <w:bCs/>
            <w:sz w:val="24"/>
            <w:szCs w:val="24"/>
          </w:rPr>
          <w:t>ig</w:t>
        </w:r>
        <w:r w:rsidR="0017645D" w:rsidRPr="00B51DDE">
          <w:rPr>
            <w:rStyle w:val="Hyperlink"/>
            <w:rFonts w:ascii="Arial" w:hAnsi="Arial" w:cs="Arial"/>
            <w:bCs/>
            <w:sz w:val="24"/>
            <w:szCs w:val="24"/>
          </w:rPr>
          <w:t>ure</w:t>
        </w:r>
        <w:r w:rsidR="00334EA5" w:rsidRPr="00B51DDE">
          <w:rPr>
            <w:rStyle w:val="Hyperlink"/>
            <w:rFonts w:ascii="Arial" w:hAnsi="Arial" w:cs="Arial"/>
            <w:bCs/>
            <w:sz w:val="24"/>
            <w:szCs w:val="24"/>
          </w:rPr>
          <w:t xml:space="preserve"> </w:t>
        </w:r>
        <w:r w:rsidR="006C38A9" w:rsidRPr="00B51DDE">
          <w:rPr>
            <w:rStyle w:val="Hyperlink"/>
            <w:rFonts w:ascii="Arial" w:hAnsi="Arial" w:cs="Arial"/>
            <w:bCs/>
            <w:sz w:val="24"/>
            <w:szCs w:val="24"/>
          </w:rPr>
          <w:t>3</w:t>
        </w:r>
        <w:r w:rsidR="00334EA5" w:rsidRPr="00B51DDE">
          <w:rPr>
            <w:rStyle w:val="Hyperlink"/>
            <w:rFonts w:ascii="Arial" w:hAnsi="Arial" w:cs="Arial"/>
            <w:bCs/>
            <w:sz w:val="24"/>
            <w:szCs w:val="24"/>
          </w:rPr>
          <w:t>)</w:t>
        </w:r>
      </w:hyperlink>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Research","type":"article-journal","volume":"32"},"uris":["http://www.mendeley.com/documents/?uuid=08ff44a2-ac79-4703-bd67-cf31ab07f305"]}],"mendeley":{"formattedCitation":"(Cobb &lt;i&gt;et al.&lt;/i&gt;, 2003)","plainTextFormattedCitation":"(Cobb et al., 2003)","previouslyFormattedCitation":"(Cobb &lt;i&gt;et al.&lt;/i&gt;, 2003)"},"properties":{"noteIndex":0},"schema":"https://github.com/citation-style-language/schema/raw/master/csl-citation.json"}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(Cobb </w:t>
      </w:r>
      <w:r w:rsidRPr="00B51DDE">
        <w:rPr>
          <w:rFonts w:ascii="Arial" w:hAnsi="Arial" w:cs="Arial"/>
          <w:bCs/>
          <w:i/>
          <w:noProof/>
          <w:sz w:val="24"/>
          <w:szCs w:val="24"/>
        </w:rPr>
        <w:t>et al.</w:t>
      </w:r>
      <w:r w:rsidRPr="00B51DDE">
        <w:rPr>
          <w:rFonts w:ascii="Arial" w:hAnsi="Arial" w:cs="Arial"/>
          <w:bCs/>
          <w:noProof/>
          <w:sz w:val="24"/>
          <w:szCs w:val="24"/>
        </w:rPr>
        <w:t>, 2003)</w:t>
      </w:r>
      <w:r w:rsidRPr="00B51DDE">
        <w:rPr>
          <w:rFonts w:ascii="Arial" w:hAnsi="Arial" w:cs="Arial"/>
          <w:bCs/>
          <w:sz w:val="24"/>
          <w:szCs w:val="24"/>
        </w:rPr>
        <w:fldChar w:fldCharType="end"/>
      </w:r>
      <w:r w:rsidRPr="00B51DDE">
        <w:rPr>
          <w:rFonts w:ascii="Arial" w:hAnsi="Arial" w:cs="Arial"/>
          <w:bCs/>
          <w:sz w:val="24"/>
          <w:szCs w:val="24"/>
        </w:rPr>
        <w:t>.</w:t>
      </w:r>
      <w:bookmarkStart w:id="6" w:name="DBRIterativeProcess"/>
    </w:p>
    <w:p w14:paraId="02679917" w14:textId="5501C161" w:rsidR="00334EA5" w:rsidRPr="00B51DDE" w:rsidRDefault="00334EA5" w:rsidP="00AE2080">
      <w:pPr>
        <w:spacing w:line="360" w:lineRule="auto"/>
        <w:jc w:val="both"/>
        <w:rPr>
          <w:rFonts w:ascii="Arial" w:hAnsi="Arial" w:cs="Arial"/>
          <w:bCs/>
          <w:sz w:val="24"/>
          <w:szCs w:val="24"/>
        </w:rPr>
      </w:pPr>
      <w:r w:rsidRPr="00B51DDE">
        <w:rPr>
          <w:rFonts w:ascii="Arial" w:hAnsi="Arial" w:cs="Arial"/>
          <w:bCs/>
          <w:sz w:val="24"/>
          <w:szCs w:val="24"/>
        </w:rPr>
        <w:t xml:space="preserve">Figure </w:t>
      </w:r>
      <w:r w:rsidR="006C38A9" w:rsidRPr="00B51DDE">
        <w:rPr>
          <w:rFonts w:ascii="Arial" w:hAnsi="Arial" w:cs="Arial"/>
          <w:bCs/>
          <w:sz w:val="24"/>
          <w:szCs w:val="24"/>
        </w:rPr>
        <w:t>3</w:t>
      </w:r>
      <w:r w:rsidRPr="00B51DDE">
        <w:rPr>
          <w:rFonts w:ascii="Arial" w:hAnsi="Arial" w:cs="Arial"/>
          <w:bCs/>
          <w:sz w:val="24"/>
          <w:szCs w:val="24"/>
        </w:rPr>
        <w:t>: Illustration of</w:t>
      </w:r>
      <w:r w:rsidR="00F572DC" w:rsidRPr="00B51DDE">
        <w:rPr>
          <w:rFonts w:ascii="Arial" w:hAnsi="Arial" w:cs="Arial"/>
          <w:bCs/>
          <w:sz w:val="24"/>
          <w:szCs w:val="24"/>
        </w:rPr>
        <w:t xml:space="preserve"> a</w:t>
      </w:r>
      <w:r w:rsidRPr="00B51DDE">
        <w:rPr>
          <w:rFonts w:ascii="Arial" w:hAnsi="Arial" w:cs="Arial"/>
          <w:bCs/>
          <w:sz w:val="24"/>
          <w:szCs w:val="24"/>
        </w:rPr>
        <w:t xml:space="preserve"> DBR iterative process</w:t>
      </w:r>
    </w:p>
    <w:bookmarkEnd w:id="6"/>
    <w:p w14:paraId="626F226C" w14:textId="77777777" w:rsidR="0089588A" w:rsidRPr="00B51DDE" w:rsidRDefault="0089588A" w:rsidP="00AE2080">
      <w:pPr>
        <w:spacing w:line="360" w:lineRule="auto"/>
        <w:jc w:val="center"/>
        <w:rPr>
          <w:rFonts w:ascii="Arial" w:hAnsi="Arial" w:cs="Arial"/>
          <w:bCs/>
          <w:sz w:val="24"/>
          <w:szCs w:val="24"/>
        </w:rPr>
      </w:pPr>
      <w:r w:rsidRPr="00B51DDE">
        <w:rPr>
          <w:rFonts w:ascii="Arial" w:hAnsi="Arial" w:cs="Arial"/>
          <w:bCs/>
          <w:noProof/>
          <w:sz w:val="24"/>
          <w:szCs w:val="24"/>
        </w:rPr>
        <w:drawing>
          <wp:inline distT="0" distB="0" distL="0" distR="0" wp14:anchorId="72648FD7" wp14:editId="16EF229E">
            <wp:extent cx="5731510" cy="1887855"/>
            <wp:effectExtent l="0" t="0" r="2540" b="0"/>
            <wp:docPr id="138614016" name="Picture 1" descr="A diagram of 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4016" name="Picture 1" descr="A diagram of a diagram of a proces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887855"/>
                    </a:xfrm>
                    <a:prstGeom prst="rect">
                      <a:avLst/>
                    </a:prstGeom>
                  </pic:spPr>
                </pic:pic>
              </a:graphicData>
            </a:graphic>
          </wp:inline>
        </w:drawing>
      </w:r>
    </w:p>
    <w:p w14:paraId="5C888670" w14:textId="77777777" w:rsidR="0089588A" w:rsidRPr="00B51DDE" w:rsidRDefault="0089588A" w:rsidP="00AE2080">
      <w:pPr>
        <w:spacing w:line="360" w:lineRule="auto"/>
        <w:jc w:val="right"/>
        <w:rPr>
          <w:rFonts w:ascii="Arial" w:hAnsi="Arial" w:cs="Arial"/>
          <w:bCs/>
          <w:sz w:val="24"/>
          <w:szCs w:val="24"/>
        </w:rPr>
      </w:pP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{"citationItems":[{"id":"ITEM-1","itemData":{"URL":"https://talkingaboutdesign.com/two-perspectives-on-design-based-research/","abstract":"Two Perspectives on Design-Based Research","accessed":{"date-parts":[["2023","12","2"]]},"author":[{"dropping-particle":"","family":"Cortez","given":"Luis Perez","non-dropping-particle":"","parse-names":false,"suffix":""},{"dropping-particle":"","family":"Warr","given":"Melissa","non-dropping-particle":"","parse-names":false,"suffix":""}],"container-title":"Talking About Design","id":"ITEM-1","issued":{"date-parts":[["2021"]]},"title":"DBR cycle diagram","type":"webpage"},"uris":["http://www.mendeley.com/documents/?uuid=0a25b003-601f-4913-920b-bd853a770ac6"]}],"mendeley":{"formattedCitation":"(Cortez and Warr, 2021)","plainTextFormattedCitation":"(Cortez and Warr, 2021)","previouslyFormattedCitation":"(Cortez and Warr, 2021)"},"properties":{"noteIndex":0},"schema":"https://github.com/citation-style-language/schema/raw/master/csl-citation.json"}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(Cortez and Warr, 2021)</w:t>
      </w:r>
      <w:r w:rsidRPr="00B51DDE">
        <w:rPr>
          <w:rFonts w:ascii="Arial" w:hAnsi="Arial" w:cs="Arial"/>
          <w:bCs/>
          <w:sz w:val="24"/>
          <w:szCs w:val="24"/>
        </w:rPr>
        <w:fldChar w:fldCharType="end"/>
      </w:r>
    </w:p>
    <w:p w14:paraId="4A0F9A2F" w14:textId="79A04ABB"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t>The DBR iterations of this study were</w:t>
      </w:r>
      <w:r w:rsidR="007C041D">
        <w:rPr>
          <w:rFonts w:ascii="Arial" w:hAnsi="Arial" w:cs="Arial"/>
          <w:bCs/>
          <w:sz w:val="24"/>
          <w:szCs w:val="24"/>
        </w:rPr>
        <w:t>:</w:t>
      </w:r>
      <w:r w:rsidRPr="00B51DDE">
        <w:rPr>
          <w:rFonts w:ascii="Arial" w:hAnsi="Arial" w:cs="Arial"/>
          <w:bCs/>
          <w:sz w:val="24"/>
          <w:szCs w:val="24"/>
        </w:rPr>
        <w:t xml:space="preserve"> gaining expert knowledge, conducting a literature review, application of the refined </w:t>
      </w:r>
      <w:r w:rsidR="00097B38" w:rsidRPr="00B51DDE">
        <w:rPr>
          <w:rFonts w:ascii="Arial" w:hAnsi="Arial" w:cs="Arial"/>
          <w:bCs/>
          <w:sz w:val="24"/>
          <w:szCs w:val="24"/>
        </w:rPr>
        <w:t xml:space="preserve">belt </w:t>
      </w:r>
      <w:r w:rsidRPr="00B51DDE">
        <w:rPr>
          <w:rFonts w:ascii="Arial" w:hAnsi="Arial" w:cs="Arial"/>
          <w:bCs/>
          <w:sz w:val="24"/>
          <w:szCs w:val="24"/>
        </w:rPr>
        <w:t xml:space="preserve">training </w:t>
      </w:r>
      <w:r w:rsidR="002679E9" w:rsidRPr="00B51DDE">
        <w:rPr>
          <w:rFonts w:ascii="Arial" w:hAnsi="Arial" w:cs="Arial"/>
          <w:bCs/>
          <w:sz w:val="24"/>
          <w:szCs w:val="24"/>
        </w:rPr>
        <w:t>process</w:t>
      </w:r>
      <w:r w:rsidRPr="00B51DDE">
        <w:rPr>
          <w:rFonts w:ascii="Arial" w:hAnsi="Arial" w:cs="Arial"/>
          <w:bCs/>
          <w:sz w:val="24"/>
          <w:szCs w:val="24"/>
        </w:rPr>
        <w:t xml:space="preserve"> to lessons, and </w:t>
      </w:r>
      <w:r w:rsidR="007818AC" w:rsidRPr="00B51DDE">
        <w:rPr>
          <w:rFonts w:ascii="Arial" w:hAnsi="Arial" w:cs="Arial"/>
          <w:bCs/>
          <w:sz w:val="24"/>
          <w:szCs w:val="24"/>
        </w:rPr>
        <w:t xml:space="preserve">analysing </w:t>
      </w:r>
      <w:r w:rsidRPr="00B51DDE">
        <w:rPr>
          <w:rFonts w:ascii="Arial" w:hAnsi="Arial" w:cs="Arial"/>
          <w:bCs/>
          <w:sz w:val="24"/>
          <w:szCs w:val="24"/>
        </w:rPr>
        <w:t>student feedback. Each stage was used to seek cumulative refinements to the belt training process</w:t>
      </w:r>
      <w:r w:rsidR="006C58D2" w:rsidRPr="00B51DDE">
        <w:rPr>
          <w:rFonts w:ascii="Arial" w:hAnsi="Arial" w:cs="Arial"/>
          <w:bCs/>
          <w:sz w:val="24"/>
          <w:szCs w:val="24"/>
        </w:rPr>
        <w:t>,</w:t>
      </w:r>
      <w:r w:rsidR="00016D22" w:rsidRPr="00B51DDE">
        <w:rPr>
          <w:rFonts w:ascii="Arial" w:hAnsi="Arial" w:cs="Arial"/>
          <w:bCs/>
          <w:sz w:val="24"/>
          <w:szCs w:val="24"/>
        </w:rPr>
        <w:t xml:space="preserve"> forming a practical evidence base for singing teachers</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(Plomp and Nieveen, 2010)</w:t>
      </w:r>
      <w:r w:rsidRPr="00B51DDE">
        <w:rPr>
          <w:rFonts w:ascii="Arial" w:hAnsi="Arial" w:cs="Arial"/>
          <w:bCs/>
          <w:sz w:val="24"/>
          <w:szCs w:val="24"/>
        </w:rPr>
        <w:fldChar w:fldCharType="end"/>
      </w:r>
      <w:r w:rsidRPr="00B51DDE">
        <w:rPr>
          <w:rFonts w:ascii="Arial" w:hAnsi="Arial" w:cs="Arial"/>
          <w:bCs/>
          <w:sz w:val="24"/>
          <w:szCs w:val="24"/>
        </w:rPr>
        <w:t>. The final evaluation assesse</w:t>
      </w:r>
      <w:r w:rsidR="000032DF" w:rsidRPr="00B51DDE">
        <w:rPr>
          <w:rFonts w:ascii="Arial" w:hAnsi="Arial" w:cs="Arial"/>
          <w:bCs/>
          <w:sz w:val="24"/>
          <w:szCs w:val="24"/>
        </w:rPr>
        <w:t>d</w:t>
      </w:r>
      <w:r w:rsidRPr="00B51DDE">
        <w:rPr>
          <w:rFonts w:ascii="Arial" w:hAnsi="Arial" w:cs="Arial"/>
          <w:bCs/>
          <w:sz w:val="24"/>
          <w:szCs w:val="24"/>
        </w:rPr>
        <w:t xml:space="preserve"> the impact of this study on my CPD.</w:t>
      </w:r>
      <w:r w:rsidRPr="00B51DDE">
        <w:rPr>
          <w:rFonts w:ascii="Arial" w:hAnsi="Arial" w:cs="Arial"/>
          <w:bCs/>
          <w:sz w:val="24"/>
          <w:szCs w:val="24"/>
        </w:rPr>
        <w:br w:type="page"/>
      </w:r>
    </w:p>
    <w:p w14:paraId="539AE2C0" w14:textId="2F91FF07" w:rsidR="0089588A" w:rsidRPr="00B51DDE" w:rsidRDefault="0089588A" w:rsidP="00AE2080">
      <w:pPr>
        <w:spacing w:line="360" w:lineRule="auto"/>
        <w:jc w:val="both"/>
        <w:rPr>
          <w:rFonts w:ascii="Arial" w:hAnsi="Arial" w:cs="Arial"/>
          <w:bCs/>
          <w:sz w:val="24"/>
          <w:szCs w:val="24"/>
        </w:rPr>
      </w:pPr>
      <w:r w:rsidRPr="00B51DDE">
        <w:rPr>
          <w:rFonts w:ascii="Arial" w:hAnsi="Arial" w:cs="Arial"/>
          <w:bCs/>
          <w:sz w:val="24"/>
          <w:szCs w:val="24"/>
        </w:rPr>
        <w:lastRenderedPageBreak/>
        <w:t xml:space="preserve">DBR has facets which support the aim and objectives of this </w:t>
      </w:r>
      <w:r w:rsidR="008C5B89" w:rsidRPr="00B51DDE">
        <w:rPr>
          <w:rFonts w:ascii="Arial" w:hAnsi="Arial" w:cs="Arial"/>
          <w:bCs/>
          <w:sz w:val="24"/>
          <w:szCs w:val="24"/>
        </w:rPr>
        <w:t>project</w:t>
      </w:r>
      <w:r w:rsidRPr="00B51DDE">
        <w:rPr>
          <w:rFonts w:ascii="Arial" w:hAnsi="Arial" w:cs="Arial"/>
          <w:bCs/>
          <w:sz w:val="24"/>
          <w:szCs w:val="24"/>
        </w:rPr>
        <w:t xml:space="preserve">: educational design, development, and evaluation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2010)","plainTextFormattedCitation":"(Hung et al., 2010)","previouslyFormattedCitation":"(Hung &lt;i&gt;et al.&lt;/i&gt;,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w:t>
      </w:r>
      <w:r w:rsidRPr="00B51DDE">
        <w:rPr>
          <w:rFonts w:ascii="Arial" w:hAnsi="Arial" w:cs="Arial"/>
          <w:bCs/>
          <w:sz w:val="24"/>
          <w:szCs w:val="24"/>
        </w:rPr>
        <w:fldChar w:fldCharType="end"/>
      </w:r>
      <w:r w:rsidRPr="00B51DDE">
        <w:rPr>
          <w:rFonts w:ascii="Arial" w:hAnsi="Arial" w:cs="Arial"/>
          <w:bCs/>
          <w:sz w:val="24"/>
          <w:szCs w:val="24"/>
        </w:rPr>
        <w:t>. DBR harnesses the power of expert participants to evaluate a problem which guides future research</w:t>
      </w:r>
      <w:r w:rsidR="00C57681" w:rsidRPr="00B51DDE">
        <w:rPr>
          <w:rFonts w:ascii="Arial" w:hAnsi="Arial" w:cs="Arial"/>
          <w:bCs/>
          <w:sz w:val="24"/>
          <w:szCs w:val="24"/>
        </w:rPr>
        <w:t>,</w:t>
      </w:r>
      <w:r w:rsidRPr="00B51DDE">
        <w:rPr>
          <w:rFonts w:ascii="Arial" w:hAnsi="Arial" w:cs="Arial"/>
          <w:bCs/>
          <w:sz w:val="24"/>
          <w:szCs w:val="24"/>
        </w:rPr>
        <w:t xml:space="preserve"> forming and refining an educational intervention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2010)","plainTextFormattedCitation":"(Hung et al., 2010)","previouslyFormattedCitation":"(Hung &lt;i&gt;et al.&lt;/i&gt;,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 xml:space="preserve">(Hung </w:t>
      </w:r>
      <w:r w:rsidRPr="00B51DDE">
        <w:rPr>
          <w:rFonts w:ascii="Arial" w:hAnsi="Arial" w:cs="Arial"/>
          <w:bCs/>
          <w:i/>
          <w:noProof/>
          <w:sz w:val="24"/>
          <w:szCs w:val="24"/>
        </w:rPr>
        <w:t>et al.</w:t>
      </w:r>
      <w:r w:rsidRPr="00B51DDE">
        <w:rPr>
          <w:rFonts w:ascii="Arial" w:hAnsi="Arial" w:cs="Arial"/>
          <w:bCs/>
          <w:noProof/>
          <w:sz w:val="24"/>
          <w:szCs w:val="24"/>
        </w:rPr>
        <w:t>, 2010)</w:t>
      </w:r>
      <w:r w:rsidRPr="00B51DDE">
        <w:rPr>
          <w:rFonts w:ascii="Arial" w:hAnsi="Arial" w:cs="Arial"/>
          <w:bCs/>
          <w:sz w:val="24"/>
          <w:szCs w:val="24"/>
        </w:rPr>
        <w:fldChar w:fldCharType="end"/>
      </w:r>
      <w:r w:rsidRPr="00B51DDE">
        <w:rPr>
          <w:rFonts w:ascii="Arial" w:hAnsi="Arial" w:cs="Arial"/>
          <w:bCs/>
          <w:sz w:val="24"/>
          <w:szCs w:val="24"/>
        </w:rPr>
        <w:t xml:space="preserve">. </w:t>
      </w:r>
      <w:r w:rsidRPr="00B51DDE">
        <w:rPr>
          <w:rFonts w:ascii="Arial" w:hAnsi="Arial" w:cs="Arial"/>
          <w:bCs/>
          <w:iCs/>
          <w:noProof/>
          <w:sz w:val="24"/>
          <w:szCs w:val="24"/>
        </w:rPr>
        <w:t>DBR methodology has the potential to improve the instructional information for singing teachers</w:t>
      </w:r>
      <w:r w:rsidR="006A345B" w:rsidRPr="00B51DDE">
        <w:rPr>
          <w:rFonts w:ascii="Arial" w:hAnsi="Arial" w:cs="Arial"/>
          <w:bCs/>
          <w:iCs/>
          <w:noProof/>
          <w:sz w:val="24"/>
          <w:szCs w:val="24"/>
        </w:rPr>
        <w:t>,</w:t>
      </w:r>
      <w:r w:rsidRPr="00B51DDE">
        <w:rPr>
          <w:rFonts w:ascii="Arial" w:hAnsi="Arial" w:cs="Arial"/>
          <w:bCs/>
          <w:iCs/>
          <w:noProof/>
          <w:sz w:val="24"/>
          <w:szCs w:val="24"/>
        </w:rPr>
        <w:t xml:space="preserve"> furthering teache</w:t>
      </w:r>
      <w:r w:rsidR="00E21210" w:rsidRPr="00B51DDE">
        <w:rPr>
          <w:rFonts w:ascii="Arial" w:hAnsi="Arial" w:cs="Arial"/>
          <w:bCs/>
          <w:iCs/>
          <w:noProof/>
          <w:sz w:val="24"/>
          <w:szCs w:val="24"/>
        </w:rPr>
        <w:t>r</w:t>
      </w:r>
      <w:r w:rsidR="00204A58" w:rsidRPr="00B51DDE">
        <w:rPr>
          <w:rFonts w:ascii="Arial" w:hAnsi="Arial" w:cs="Arial"/>
          <w:bCs/>
          <w:iCs/>
          <w:noProof/>
          <w:sz w:val="24"/>
          <w:szCs w:val="24"/>
        </w:rPr>
        <w:t xml:space="preserve"> development</w:t>
      </w:r>
      <w:r w:rsidRPr="00B51DDE">
        <w:rPr>
          <w:rFonts w:ascii="Arial" w:hAnsi="Arial" w:cs="Arial"/>
          <w:bCs/>
          <w:iCs/>
          <w:noProof/>
          <w:sz w:val="24"/>
          <w:szCs w:val="24"/>
        </w:rPr>
        <w:t xml:space="preserve"> and student goals </w:t>
      </w:r>
      <w:r w:rsidRPr="00B51DDE">
        <w:rPr>
          <w:rFonts w:ascii="Arial" w:hAnsi="Arial" w:cs="Arial"/>
          <w:bCs/>
          <w:iCs/>
          <w:noProof/>
          <w:sz w:val="24"/>
          <w:szCs w:val="24"/>
        </w:rPr>
        <w:fldChar w:fldCharType="begin" w:fldLock="1"/>
      </w:r>
      <w:r w:rsidRPr="00B51DDE">
        <w:rPr>
          <w:rFonts w:ascii="Arial" w:hAnsi="Arial" w:cs="Arial"/>
          <w:bCs/>
          <w:iCs/>
          <w:noProof/>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2010)","manualFormatting":"(Hung et al., 2010, p78)","plainTextFormattedCitation":"(Hung et al., 2010)","previouslyFormattedCitation":"(Hung &lt;i&gt;et al.&lt;/i&gt;, 2010)"},"properties":{"noteIndex":0},"schema":"https://github.com/citation-style-language/schema/raw/master/csl-citation.json"}</w:instrText>
      </w:r>
      <w:r w:rsidRPr="00B51DDE">
        <w:rPr>
          <w:rFonts w:ascii="Arial" w:hAnsi="Arial" w:cs="Arial"/>
          <w:bCs/>
          <w:iCs/>
          <w:noProof/>
          <w:sz w:val="24"/>
          <w:szCs w:val="24"/>
        </w:rPr>
        <w:fldChar w:fldCharType="separate"/>
      </w:r>
      <w:r w:rsidRPr="00B51DDE">
        <w:rPr>
          <w:rFonts w:ascii="Arial" w:hAnsi="Arial" w:cs="Arial"/>
          <w:bCs/>
          <w:iCs/>
          <w:noProof/>
          <w:sz w:val="24"/>
          <w:szCs w:val="24"/>
        </w:rPr>
        <w:t xml:space="preserve">(Hung </w:t>
      </w:r>
      <w:r w:rsidRPr="00B51DDE">
        <w:rPr>
          <w:rFonts w:ascii="Arial" w:hAnsi="Arial" w:cs="Arial"/>
          <w:bCs/>
          <w:i/>
          <w:iCs/>
          <w:noProof/>
          <w:sz w:val="24"/>
          <w:szCs w:val="24"/>
        </w:rPr>
        <w:t>et al.</w:t>
      </w:r>
      <w:r w:rsidRPr="00B51DDE">
        <w:rPr>
          <w:rFonts w:ascii="Arial" w:hAnsi="Arial" w:cs="Arial"/>
          <w:bCs/>
          <w:iCs/>
          <w:noProof/>
          <w:sz w:val="24"/>
          <w:szCs w:val="24"/>
        </w:rPr>
        <w:t>, 2010, p78)</w:t>
      </w:r>
      <w:r w:rsidRPr="00B51DDE">
        <w:rPr>
          <w:rFonts w:ascii="Arial" w:hAnsi="Arial" w:cs="Arial"/>
          <w:bCs/>
          <w:iCs/>
          <w:noProof/>
          <w:sz w:val="24"/>
          <w:szCs w:val="24"/>
        </w:rPr>
        <w:fldChar w:fldCharType="end"/>
      </w:r>
      <w:r w:rsidRPr="00B51DDE">
        <w:rPr>
          <w:rFonts w:ascii="Arial" w:hAnsi="Arial" w:cs="Arial"/>
          <w:bCs/>
          <w:iCs/>
          <w:noProof/>
          <w:sz w:val="24"/>
          <w:szCs w:val="24"/>
        </w:rPr>
        <w:t xml:space="preserve">. Iterative stages of inquiry, analysis, development, testing, and evaluation are at the core of the DBR methodology; these processes were used in this study to support systematic development of the belt training process </w:t>
      </w:r>
      <w:r w:rsidRPr="00B51DDE">
        <w:rPr>
          <w:rFonts w:ascii="Arial" w:hAnsi="Arial" w:cs="Arial"/>
          <w:bCs/>
          <w:iCs/>
          <w:noProof/>
          <w:sz w:val="24"/>
          <w:szCs w:val="24"/>
        </w:rPr>
        <w:fldChar w:fldCharType="begin" w:fldLock="1"/>
      </w:r>
      <w:r w:rsidRPr="00B51DDE">
        <w:rPr>
          <w:rFonts w:ascii="Arial" w:hAnsi="Arial" w:cs="Arial"/>
          <w:bCs/>
          <w:iCs/>
          <w:noProof/>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Research","type":"book"},"uris":["http://www.mendeley.com/documents/?uuid=f0a0c8d9-5e9b-48c7-85fc-7981f990d40b"]}],"mendeley":{"formattedCitation":"(Hung &lt;i&gt;et al.&lt;/i&gt;, 2010; Merriam and Tisdell, 2016)","plainTextFormattedCitation":"(Hung et al., 2010; Merriam and Tisdell, 2016)","previouslyFormattedCitation":"(Hung &lt;i&gt;et al.&lt;/i&gt;, 2010; Merriam and Tisdell, 2016)"},"properties":{"noteIndex":0},"schema":"https://github.com/citation-style-language/schema/raw/master/csl-citation.json"}</w:instrText>
      </w:r>
      <w:r w:rsidRPr="00B51DDE">
        <w:rPr>
          <w:rFonts w:ascii="Arial" w:hAnsi="Arial" w:cs="Arial"/>
          <w:bCs/>
          <w:iCs/>
          <w:noProof/>
          <w:sz w:val="24"/>
          <w:szCs w:val="24"/>
        </w:rPr>
        <w:fldChar w:fldCharType="separate"/>
      </w:r>
      <w:r w:rsidRPr="00B51DDE">
        <w:rPr>
          <w:rFonts w:ascii="Arial" w:hAnsi="Arial" w:cs="Arial"/>
          <w:bCs/>
          <w:iCs/>
          <w:noProof/>
          <w:sz w:val="24"/>
          <w:szCs w:val="24"/>
        </w:rPr>
        <w:t xml:space="preserve">(Hung </w:t>
      </w:r>
      <w:r w:rsidRPr="00B51DDE">
        <w:rPr>
          <w:rFonts w:ascii="Arial" w:hAnsi="Arial" w:cs="Arial"/>
          <w:bCs/>
          <w:i/>
          <w:iCs/>
          <w:noProof/>
          <w:sz w:val="24"/>
          <w:szCs w:val="24"/>
        </w:rPr>
        <w:t>et al.</w:t>
      </w:r>
      <w:r w:rsidRPr="00B51DDE">
        <w:rPr>
          <w:rFonts w:ascii="Arial" w:hAnsi="Arial" w:cs="Arial"/>
          <w:bCs/>
          <w:iCs/>
          <w:noProof/>
          <w:sz w:val="24"/>
          <w:szCs w:val="24"/>
        </w:rPr>
        <w:t>, 2010; Merriam and Tisdell, 2016)</w:t>
      </w:r>
      <w:r w:rsidRPr="00B51DDE">
        <w:rPr>
          <w:rFonts w:ascii="Arial" w:hAnsi="Arial" w:cs="Arial"/>
          <w:bCs/>
          <w:iCs/>
          <w:noProof/>
          <w:sz w:val="24"/>
          <w:szCs w:val="24"/>
        </w:rPr>
        <w:fldChar w:fldCharType="end"/>
      </w:r>
      <w:r w:rsidRPr="00B51DDE">
        <w:rPr>
          <w:rFonts w:ascii="Arial" w:hAnsi="Arial" w:cs="Arial"/>
          <w:bCs/>
          <w:iCs/>
          <w:noProof/>
          <w:sz w:val="24"/>
          <w:szCs w:val="24"/>
        </w:rPr>
        <w:t>.</w:t>
      </w:r>
    </w:p>
    <w:p w14:paraId="77F9CC3E" w14:textId="77777777" w:rsidR="0089588A" w:rsidRPr="00B51DDE" w:rsidRDefault="0089588A" w:rsidP="00AE2080">
      <w:pPr>
        <w:spacing w:line="360" w:lineRule="auto"/>
        <w:jc w:val="both"/>
        <w:rPr>
          <w:rFonts w:ascii="Arial" w:hAnsi="Arial" w:cs="Arial"/>
          <w:sz w:val="24"/>
          <w:szCs w:val="24"/>
        </w:rPr>
      </w:pPr>
      <w:r w:rsidRPr="00B51DDE">
        <w:rPr>
          <w:rFonts w:ascii="Arial" w:hAnsi="Arial" w:cs="Arial"/>
          <w:sz w:val="24"/>
          <w:szCs w:val="24"/>
        </w:rPr>
        <w:t>Summary of objectives:</w:t>
      </w:r>
    </w:p>
    <w:p w14:paraId="58972CD7"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use a Design-based research methodology to guide the study</w:t>
      </w:r>
    </w:p>
    <w:p w14:paraId="3AA025C6"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theoretical belt training process with independent experts</w:t>
      </w:r>
    </w:p>
    <w:p w14:paraId="2CD5E576"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engage in a literature review to assimilate relevant knowledge</w:t>
      </w:r>
    </w:p>
    <w:p w14:paraId="24D0B31D"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refine the belt training process with the knowledge gained at each stage of the study</w:t>
      </w:r>
    </w:p>
    <w:p w14:paraId="757431CE"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introduce the belt training process to participants</w:t>
      </w:r>
    </w:p>
    <w:p w14:paraId="05A7969D"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use the belt training process in lessons</w:t>
      </w:r>
    </w:p>
    <w:p w14:paraId="0949B25F"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gather qualitative data from the student participants</w:t>
      </w:r>
    </w:p>
    <w:p w14:paraId="6B4C95DD"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analyse the qualitative data</w:t>
      </w:r>
    </w:p>
    <w:p w14:paraId="741E37B1"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reflect on the impact of the belt training process on the learning experience</w:t>
      </w:r>
    </w:p>
    <w:p w14:paraId="464B7D9B" w14:textId="77777777" w:rsidR="00A55B86" w:rsidRPr="00B51DDE" w:rsidRDefault="00A55B86" w:rsidP="00A55B86">
      <w:pPr>
        <w:pStyle w:val="ListParagraph"/>
        <w:numPr>
          <w:ilvl w:val="0"/>
          <w:numId w:val="3"/>
        </w:numPr>
        <w:spacing w:after="200" w:line="360" w:lineRule="auto"/>
        <w:jc w:val="both"/>
        <w:rPr>
          <w:rFonts w:ascii="Arial" w:hAnsi="Arial" w:cs="Arial"/>
          <w:sz w:val="24"/>
          <w:szCs w:val="24"/>
        </w:rPr>
      </w:pPr>
      <w:r w:rsidRPr="00B51DDE">
        <w:rPr>
          <w:rFonts w:ascii="Arial" w:hAnsi="Arial" w:cs="Arial"/>
          <w:sz w:val="24"/>
          <w:szCs w:val="24"/>
        </w:rPr>
        <w:t>To evaluate the impact of this study on my professional development</w:t>
      </w:r>
    </w:p>
    <w:p w14:paraId="79313718" w14:textId="77777777" w:rsidR="0089588A" w:rsidRPr="00B51DDE" w:rsidRDefault="0089588A" w:rsidP="00AE2080">
      <w:pPr>
        <w:spacing w:line="360" w:lineRule="auto"/>
        <w:jc w:val="both"/>
        <w:rPr>
          <w:rFonts w:ascii="Arial" w:hAnsi="Arial" w:cs="Arial"/>
          <w:b/>
          <w:sz w:val="24"/>
          <w:szCs w:val="24"/>
        </w:rPr>
      </w:pPr>
      <w:r w:rsidRPr="00B51DDE">
        <w:rPr>
          <w:rFonts w:ascii="Arial" w:hAnsi="Arial" w:cs="Arial"/>
          <w:b/>
          <w:sz w:val="24"/>
          <w:szCs w:val="24"/>
        </w:rPr>
        <w:br w:type="page"/>
      </w:r>
    </w:p>
    <w:p w14:paraId="701B8FB9" w14:textId="77777777" w:rsidR="0089588A" w:rsidRPr="00B51DDE" w:rsidRDefault="0089588A" w:rsidP="00AE2080">
      <w:pPr>
        <w:spacing w:line="360" w:lineRule="auto"/>
        <w:jc w:val="both"/>
        <w:rPr>
          <w:rFonts w:ascii="Arial" w:hAnsi="Arial" w:cs="Arial"/>
          <w:b/>
          <w:sz w:val="24"/>
          <w:szCs w:val="24"/>
        </w:rPr>
      </w:pPr>
      <w:r w:rsidRPr="00B51DDE">
        <w:rPr>
          <w:rFonts w:ascii="Arial" w:hAnsi="Arial" w:cs="Arial"/>
          <w:b/>
          <w:sz w:val="24"/>
          <w:szCs w:val="24"/>
        </w:rPr>
        <w:lastRenderedPageBreak/>
        <w:t>Methods</w:t>
      </w:r>
    </w:p>
    <w:p w14:paraId="54EDE8A0" w14:textId="2EBABA4C" w:rsidR="00025ABE" w:rsidRPr="00B51DDE" w:rsidRDefault="0089588A" w:rsidP="00AE2080">
      <w:pPr>
        <w:pStyle w:val="Default"/>
        <w:spacing w:line="360" w:lineRule="auto"/>
        <w:jc w:val="both"/>
        <w:rPr>
          <w:color w:val="auto"/>
        </w:rPr>
      </w:pPr>
      <w:r w:rsidRPr="00B51DDE">
        <w:rPr>
          <w:color w:val="auto"/>
        </w:rPr>
        <w:t xml:space="preserve">The project was a </w:t>
      </w:r>
      <w:r w:rsidRPr="00B51DDE">
        <w:rPr>
          <w:b/>
          <w:bCs/>
          <w:i/>
          <w:iCs/>
          <w:color w:val="auto"/>
        </w:rPr>
        <w:t>qualitative research study</w:t>
      </w:r>
      <w:r w:rsidRPr="00B51DDE">
        <w:rPr>
          <w:color w:val="auto"/>
        </w:rPr>
        <w:t xml:space="preserve"> using triangulation of data sources and methods to improve validity, analys</w:t>
      </w:r>
      <w:r w:rsidR="00720607" w:rsidRPr="00B51DDE">
        <w:rPr>
          <w:color w:val="auto"/>
        </w:rPr>
        <w:t>i</w:t>
      </w:r>
      <w:r w:rsidRPr="00B51DDE">
        <w:rPr>
          <w:color w:val="auto"/>
        </w:rPr>
        <w:t xml:space="preserve">s, and conclusions drawn </w:t>
      </w:r>
      <w:r w:rsidRPr="00B51DDE">
        <w:rPr>
          <w:color w:val="auto"/>
        </w:rPr>
        <w:fldChar w:fldCharType="begin" w:fldLock="1"/>
      </w:r>
      <w:r w:rsidRPr="00B51DDE">
        <w:rPr>
          <w:color w:val="auto"/>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research","type":"article-journal"},"uris":["http://www.mendeley.com/documents/?uuid=3d903e11-a75e-401c-b864-4f301aac1ac9"]},{"id":"ITEM-2","itemData":{"DOI":"10.1111/j.1365-2648.2005.03380.x","ISSN":"03092402","PMID":"15788085","abstract":"Aim. This paper discusses the purpose and stages of meta-synthesis and the epistemological status of knowledge generated from the technique. Particular attention is paid to exploring the contested areas of the method that remain. Background. There is a growing interest in meta-synthesis as a technique for generating new insights and understanding from qualitative health care research. An increasing number of meta-synthesis papers are appearing in the nursing and midwifery literature. Methods. Literature on the technique of meta-synthesis and examples of meta-synthesis papers were searched and reviewed. A meta-synthesis exercise was undertaken, and this informed reflection and critique of the method. Findings. Meta-synthesis attempts to integrate results from a number of different but inter-related qualitative studies. The technique has an interpretive, rather than aggregating, intent, in contrast to meta-analysis of quantitative studies. Examples from the literature indicate that some aspects of the technique are not yet fully established. Conclusion. Despite the contingent nature of evidence gleaned from meta-synthesis and current lack of consensus about some of its aspects, meta-synthesis is an important technique for qualitative researchers and can deepen understanding of the contextual dimensions of health care. © 2005 Blackwell Publishing Ltd.","author":[{"dropping-particle":"","family":"Walsh","given":"Denis","non-dropping-particle":"","parse-names":false,"suffix":""},{"dropping-particle":"","family":"Downe","given":"Soo","non-dropping-particle":"","parse-names":false,"suffix":""}],"container-title":"Journal of Advanced Nursing","id":"ITEM-2","issue":"2","issued":{"date-parts":[["2005"]]},"page":"204-211","title":"Meta-synthesis method for qualitative research: A literature review","type":"article-journal","volume":"50"},"uris":["http://www.mendeley.com/documents/?uuid=67e0c58e-9797-468e-94a8-ae38e3c7201b"]}],"mendeley":{"formattedCitation":"(Walsh and Downe, 2005; Plomp and Nieveen, 2010)","plainTextFormattedCitation":"(Walsh and Downe, 2005; Plomp and Nieveen, 2010)","previouslyFormattedCitation":"(Walsh and Downe, 2005; Plomp and Nieveen, 2010)"},"properties":{"noteIndex":0},"schema":"https://github.com/citation-style-language/schema/raw/master/csl-citation.json"}</w:instrText>
      </w:r>
      <w:r w:rsidRPr="00B51DDE">
        <w:rPr>
          <w:color w:val="auto"/>
        </w:rPr>
        <w:fldChar w:fldCharType="separate"/>
      </w:r>
      <w:r w:rsidRPr="00B51DDE">
        <w:rPr>
          <w:noProof/>
          <w:color w:val="auto"/>
        </w:rPr>
        <w:t>(Walsh and Downe, 2005; Plomp and Nieveen, 2010)</w:t>
      </w:r>
      <w:r w:rsidRPr="00B51DDE">
        <w:rPr>
          <w:color w:val="auto"/>
        </w:rPr>
        <w:fldChar w:fldCharType="end"/>
      </w:r>
      <w:r w:rsidRPr="00B51DDE">
        <w:rPr>
          <w:color w:val="auto"/>
        </w:rPr>
        <w:t xml:space="preserve">. Maintaining consistency with DBR, each stage of data collection involved </w:t>
      </w:r>
      <w:r w:rsidRPr="00B51DDE">
        <w:rPr>
          <w:b/>
          <w:i/>
          <w:noProof/>
        </w:rPr>
        <w:t>inquiry and analysis</w:t>
      </w:r>
      <w:r w:rsidRPr="00B51DDE">
        <w:rPr>
          <w:bCs/>
          <w:i/>
          <w:noProof/>
        </w:rPr>
        <w:t xml:space="preserve"> </w:t>
      </w:r>
      <w:r w:rsidRPr="00B51DDE">
        <w:rPr>
          <w:bCs/>
          <w:i/>
          <w:noProof/>
        </w:rPr>
        <w:fldChar w:fldCharType="begin" w:fldLock="1"/>
      </w:r>
      <w:r w:rsidRPr="00B51DDE">
        <w:rPr>
          <w:bCs/>
          <w:i/>
          <w:noProof/>
        </w:rPr>
        <w:instrText>ADDIN CSL_CITATION {"citationItems":[{"id":"ITEM-1","itemData":{"DOI":"10.1080/09523987.2013.843832","ISBN":"9780415618038","ISSN":"0952-3987","abstract":"Many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International","id":"ITEM-1","issue":"3","issued":{"date-parts":[["2013"]]},"number-of-pages":"226-227","title":"Conducting educational design research","type":"book","volume":"50"},"uris":["http://www.mendeley.com/documents/?uuid=65fe1a69-feb3-481a-bae9-8feec0fc6a15"]},{"id":"ITEM-2","itemData":{"abstract":"The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Researcher","id":"ITEM-2","issue":"1","issued":{"date-parts":[["2002"]]},"page":"5-8","title":"Design-Based Research: An Emerging Paradigm for Educational Inquiry","type":"article-journal","volume":"32"},"uris":["http://www.mendeley.com/documents/?uuid=b43c7288-c64a-424e-bb77-bf33da21147a"]}],"mendeley":{"formattedCitation":"(Hoadley &lt;i&gt;et al.&lt;/i&gt;, 2002; Valentine and Kopcha, 2013)","plainTextFormattedCitation":"(Hoadley et al., 2002; Valentine and Kopcha, 2013)","previouslyFormattedCitation":"(Hoadley &lt;i&gt;et al.&lt;/i&gt;, 2002; Valentine and Kopcha, 2013)"},"properties":{"noteIndex":0},"schema":"https://github.com/citation-style-language/schema/raw/master/csl-citation.json"}</w:instrText>
      </w:r>
      <w:r w:rsidRPr="00B51DDE">
        <w:rPr>
          <w:bCs/>
          <w:i/>
          <w:noProof/>
        </w:rPr>
        <w:fldChar w:fldCharType="separate"/>
      </w:r>
      <w:r w:rsidRPr="00B51DDE">
        <w:rPr>
          <w:bCs/>
          <w:noProof/>
        </w:rPr>
        <w:t xml:space="preserve">(Hoadley </w:t>
      </w:r>
      <w:r w:rsidRPr="00B51DDE">
        <w:rPr>
          <w:bCs/>
          <w:i/>
          <w:noProof/>
        </w:rPr>
        <w:t>et al.</w:t>
      </w:r>
      <w:r w:rsidRPr="00B51DDE">
        <w:rPr>
          <w:bCs/>
          <w:noProof/>
        </w:rPr>
        <w:t>, 2002; Valentine and Kopcha, 2013)</w:t>
      </w:r>
      <w:r w:rsidRPr="00B51DDE">
        <w:rPr>
          <w:bCs/>
          <w:i/>
          <w:noProof/>
        </w:rPr>
        <w:fldChar w:fldCharType="end"/>
      </w:r>
      <w:r w:rsidRPr="00B51DDE">
        <w:rPr>
          <w:bCs/>
          <w:iCs/>
          <w:noProof/>
        </w:rPr>
        <w:t xml:space="preserve">. The expert interview </w:t>
      </w:r>
      <w:r w:rsidRPr="00B51DDE">
        <w:rPr>
          <w:bCs/>
          <w:i/>
          <w:noProof/>
        </w:rPr>
        <w:t>analysis</w:t>
      </w:r>
      <w:r w:rsidRPr="00B51DDE">
        <w:rPr>
          <w:bCs/>
          <w:iCs/>
          <w:noProof/>
        </w:rPr>
        <w:t xml:space="preserve"> led to areas of research in the literature review which is</w:t>
      </w:r>
      <w:r w:rsidR="00143891" w:rsidRPr="00B51DDE">
        <w:rPr>
          <w:bCs/>
          <w:iCs/>
          <w:noProof/>
        </w:rPr>
        <w:t xml:space="preserve"> also</w:t>
      </w:r>
      <w:r w:rsidRPr="00B51DDE">
        <w:rPr>
          <w:bCs/>
          <w:iCs/>
          <w:noProof/>
        </w:rPr>
        <w:t xml:space="preserve"> an </w:t>
      </w:r>
      <w:r w:rsidRPr="00B51DDE">
        <w:rPr>
          <w:bCs/>
          <w:i/>
          <w:noProof/>
        </w:rPr>
        <w:t xml:space="preserve">inquiry and analysis </w:t>
      </w:r>
      <w:r w:rsidRPr="00B51DDE">
        <w:rPr>
          <w:bCs/>
          <w:iCs/>
          <w:noProof/>
        </w:rPr>
        <w:fldChar w:fldCharType="begin" w:fldLock="1"/>
      </w:r>
      <w:r w:rsidRPr="00B51DDE">
        <w:rPr>
          <w:bCs/>
          <w:iCs/>
          <w:noProof/>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bCs/>
          <w:iCs/>
          <w:noProof/>
        </w:rPr>
        <w:fldChar w:fldCharType="separate"/>
      </w:r>
      <w:r w:rsidRPr="00B51DDE">
        <w:rPr>
          <w:bCs/>
          <w:iCs/>
          <w:noProof/>
        </w:rPr>
        <w:t>(Plomp and Nieveen, 2010)</w:t>
      </w:r>
      <w:r w:rsidRPr="00B51DDE">
        <w:rPr>
          <w:bCs/>
          <w:iCs/>
          <w:noProof/>
        </w:rPr>
        <w:fldChar w:fldCharType="end"/>
      </w:r>
      <w:r w:rsidRPr="00B51DDE">
        <w:rPr>
          <w:bCs/>
          <w:iCs/>
          <w:noProof/>
        </w:rPr>
        <w:t xml:space="preserve">. The cumulative </w:t>
      </w:r>
      <w:r w:rsidRPr="00B51DDE">
        <w:rPr>
          <w:bCs/>
          <w:i/>
          <w:noProof/>
        </w:rPr>
        <w:t>analysis</w:t>
      </w:r>
      <w:r w:rsidRPr="00B51DDE">
        <w:rPr>
          <w:bCs/>
          <w:iCs/>
          <w:noProof/>
        </w:rPr>
        <w:t xml:space="preserve"> at this stage steered to </w:t>
      </w:r>
      <w:r w:rsidRPr="00B51DDE">
        <w:rPr>
          <w:b/>
          <w:i/>
          <w:noProof/>
        </w:rPr>
        <w:t>development</w:t>
      </w:r>
      <w:r w:rsidRPr="00B51DDE">
        <w:rPr>
          <w:bCs/>
          <w:iCs/>
          <w:noProof/>
        </w:rPr>
        <w:t xml:space="preserve"> of </w:t>
      </w:r>
      <w:r w:rsidR="00B73FE1" w:rsidRPr="00B51DDE">
        <w:rPr>
          <w:bCs/>
          <w:iCs/>
          <w:noProof/>
        </w:rPr>
        <w:t>the</w:t>
      </w:r>
      <w:r w:rsidRPr="00B51DDE">
        <w:rPr>
          <w:bCs/>
          <w:iCs/>
          <w:noProof/>
        </w:rPr>
        <w:t xml:space="preserve"> belt training </w:t>
      </w:r>
      <w:r w:rsidR="002679E9" w:rsidRPr="00B51DDE">
        <w:rPr>
          <w:bCs/>
          <w:iCs/>
          <w:noProof/>
        </w:rPr>
        <w:t>process</w:t>
      </w:r>
      <w:r w:rsidR="0009281B" w:rsidRPr="00B51DDE">
        <w:rPr>
          <w:bCs/>
          <w:iCs/>
          <w:noProof/>
        </w:rPr>
        <w:t xml:space="preserve"> with a greater research and expertise evidence base</w:t>
      </w:r>
      <w:r w:rsidRPr="00B51DDE">
        <w:rPr>
          <w:bCs/>
          <w:iCs/>
          <w:noProof/>
        </w:rPr>
        <w:t xml:space="preserve"> </w:t>
      </w:r>
      <w:r w:rsidRPr="00B51DDE">
        <w:rPr>
          <w:bCs/>
          <w:iCs/>
          <w:noProof/>
        </w:rPr>
        <w:fldChar w:fldCharType="begin" w:fldLock="1"/>
      </w:r>
      <w:r w:rsidRPr="00B51DDE">
        <w:rPr>
          <w:bCs/>
          <w:iCs/>
          <w:noProof/>
        </w:rPr>
        <w:instrText>ADDIN CSL_CITATION {"citationItems":[{"id":"ITEM-1","itemData":{"DOI":"10.1007/978-1-4614-3185-5","ISBN":"9781461431855","abstract":"The 4th edition of the Handbook of Research on Educational Communications and Technology expands upon the previous 3 versions, providing a comprehensive update on research pertaining to new and emerging educational technologies. Chapters that are no longer pertinent have been eliminated in this edition, with most chapters being completely rewritten, expanded, and updated Additionally, new chapters pertaining to research methodologies in educational technology have been added due to expressed reader interest. Each chapter now contains an extensive literature review, documenting and explaining the most recent, outstanding research, including major findings and methodologies employed. The Handbook authors continue to be international leaders in their respective fields; the list is cross disciplinary by design and great effort was taken to invite authors outside of the traditional instructional design and technology community.","author":[{"dropping-particle":"","family":"Spector","given":"J. Michael","non-dropping-particle":"","parse-names":false,"suffix":""},{"dropping-particle":"","family":"Merrill","given":"M. David","non-dropping-particle":"","parse-names":false,"suffix":""},{"dropping-particle":"","family":"Elen","given":"Jan","non-dropping-particle":"","parse-names":false,"suffix":""},{"dropping-particle":"","family":"Bishop","given":"M. J.","non-dropping-particle":"","parse-names":false,"suffix":""}],"container-title":"Handbook of Research on Educational Communications and Technology: Fourth Edition","id":"ITEM-1","issue":"May","issued":{"date-parts":[["2014"]]},"page":"1-1005","title":"Handbook of research on educational communications and technology: Fourth edition","type":"article-journal"},"uris":["http://www.mendeley.com/documents/?uuid=ee8e75d9-cffc-4c5e-8a16-37ce3c288417"]},{"id":"ITEM-2","itemData":{"DOI":"10.1080/09523987.2013.843832","ISBN":"9780415618038","ISSN":"0952-3987","abstract":"Many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International","id":"ITEM-2","issue":"3","issued":{"date-parts":[["2013"]]},"number-of-pages":"226-227","title":"Conducting educational design research","type":"book","volume":"50"},"uris":["http://www.mendeley.com/documents/?uuid=65fe1a69-feb3-481a-bae9-8feec0fc6a15"]}],"mendeley":{"formattedCitation":"(Valentine and Kopcha, 2013; Spector &lt;i&gt;et al.&lt;/i&gt;, 2014)","plainTextFormattedCitation":"(Valentine and Kopcha, 2013; Spector et al., 2014)","previouslyFormattedCitation":"(Valentine and Kopcha, 2013; Spector &lt;i&gt;et al.&lt;/i&gt;, 2014)"},"properties":{"noteIndex":0},"schema":"https://github.com/citation-style-language/schema/raw/master/csl-citation.json"}</w:instrText>
      </w:r>
      <w:r w:rsidRPr="00B51DDE">
        <w:rPr>
          <w:bCs/>
          <w:iCs/>
          <w:noProof/>
        </w:rPr>
        <w:fldChar w:fldCharType="separate"/>
      </w:r>
      <w:r w:rsidRPr="00B51DDE">
        <w:rPr>
          <w:bCs/>
          <w:iCs/>
          <w:noProof/>
        </w:rPr>
        <w:t xml:space="preserve">(Valentine and Kopcha, 2013; Spector </w:t>
      </w:r>
      <w:r w:rsidRPr="00B51DDE">
        <w:rPr>
          <w:bCs/>
          <w:i/>
          <w:iCs/>
          <w:noProof/>
        </w:rPr>
        <w:t>et al.</w:t>
      </w:r>
      <w:r w:rsidRPr="00B51DDE">
        <w:rPr>
          <w:bCs/>
          <w:iCs/>
          <w:noProof/>
        </w:rPr>
        <w:t>, 2014)</w:t>
      </w:r>
      <w:r w:rsidRPr="00B51DDE">
        <w:rPr>
          <w:bCs/>
          <w:iCs/>
          <w:noProof/>
        </w:rPr>
        <w:fldChar w:fldCharType="end"/>
      </w:r>
      <w:r w:rsidRPr="00B51DDE">
        <w:rPr>
          <w:bCs/>
          <w:iCs/>
          <w:noProof/>
        </w:rPr>
        <w:t xml:space="preserve">. This refined version of the belt training </w:t>
      </w:r>
      <w:r w:rsidR="002679E9" w:rsidRPr="00B51DDE">
        <w:rPr>
          <w:bCs/>
          <w:iCs/>
          <w:noProof/>
        </w:rPr>
        <w:t>process</w:t>
      </w:r>
      <w:r w:rsidRPr="00B51DDE">
        <w:rPr>
          <w:bCs/>
          <w:iCs/>
          <w:noProof/>
        </w:rPr>
        <w:t xml:space="preserve"> was then used in singing lessons with participant singers and formed another stage of </w:t>
      </w:r>
      <w:r w:rsidRPr="00B51DDE">
        <w:rPr>
          <w:bCs/>
          <w:i/>
          <w:noProof/>
        </w:rPr>
        <w:t>inquiry and analysis</w:t>
      </w:r>
      <w:r w:rsidR="0017325A" w:rsidRPr="00B51DDE">
        <w:rPr>
          <w:bCs/>
          <w:i/>
          <w:noProof/>
        </w:rPr>
        <w:t xml:space="preserve">: </w:t>
      </w:r>
      <w:r w:rsidR="0017325A" w:rsidRPr="00B51DDE">
        <w:rPr>
          <w:bCs/>
          <w:iCs/>
          <w:noProof/>
        </w:rPr>
        <w:t xml:space="preserve">the </w:t>
      </w:r>
      <w:r w:rsidR="0017325A" w:rsidRPr="00B51DDE">
        <w:rPr>
          <w:color w:val="auto"/>
        </w:rPr>
        <w:t xml:space="preserve">practice logs, and the </w:t>
      </w:r>
      <w:r w:rsidRPr="00B51DDE">
        <w:rPr>
          <w:color w:val="auto"/>
        </w:rPr>
        <w:t xml:space="preserve">pre- and post-study </w:t>
      </w:r>
      <w:r w:rsidR="0017325A" w:rsidRPr="00B51DDE">
        <w:rPr>
          <w:color w:val="auto"/>
        </w:rPr>
        <w:t>surveys</w:t>
      </w:r>
      <w:r w:rsidRPr="00B51DDE">
        <w:rPr>
          <w:color w:val="auto"/>
        </w:rPr>
        <w:t xml:space="preserve">. </w:t>
      </w:r>
      <w:r w:rsidR="00B65E47" w:rsidRPr="00B51DDE">
        <w:rPr>
          <w:color w:val="auto"/>
        </w:rPr>
        <w:t xml:space="preserve">The </w:t>
      </w:r>
      <w:r w:rsidR="00B65E47" w:rsidRPr="00B51DDE">
        <w:rPr>
          <w:b/>
          <w:bCs/>
          <w:i/>
          <w:iCs/>
          <w:color w:val="auto"/>
        </w:rPr>
        <w:t>E</w:t>
      </w:r>
      <w:r w:rsidRPr="00B51DDE">
        <w:rPr>
          <w:b/>
          <w:bCs/>
          <w:i/>
          <w:iCs/>
          <w:color w:val="auto"/>
        </w:rPr>
        <w:t>valuation</w:t>
      </w:r>
      <w:r w:rsidRPr="00B51DDE">
        <w:rPr>
          <w:color w:val="auto"/>
        </w:rPr>
        <w:t xml:space="preserve"> </w:t>
      </w:r>
      <w:r w:rsidR="00B65E47" w:rsidRPr="00B51DDE">
        <w:rPr>
          <w:color w:val="auto"/>
        </w:rPr>
        <w:t>will assess the impact of design-based research on</w:t>
      </w:r>
      <w:r w:rsidRPr="00B51DDE">
        <w:rPr>
          <w:color w:val="auto"/>
        </w:rPr>
        <w:t xml:space="preserve"> the belt training </w:t>
      </w:r>
      <w:r w:rsidR="002679E9" w:rsidRPr="00B51DDE">
        <w:rPr>
          <w:color w:val="auto"/>
        </w:rPr>
        <w:t>process</w:t>
      </w:r>
      <w:r w:rsidRPr="00B51DDE">
        <w:rPr>
          <w:color w:val="auto"/>
        </w:rPr>
        <w:t xml:space="preserve"> and </w:t>
      </w:r>
      <w:r w:rsidR="00B65E47" w:rsidRPr="00B51DDE">
        <w:rPr>
          <w:color w:val="auto"/>
        </w:rPr>
        <w:t>the</w:t>
      </w:r>
      <w:r w:rsidRPr="00B51DDE">
        <w:rPr>
          <w:color w:val="auto"/>
        </w:rPr>
        <w:t xml:space="preserve"> impact </w:t>
      </w:r>
      <w:r w:rsidR="00B65E47" w:rsidRPr="00B51DDE">
        <w:rPr>
          <w:color w:val="auto"/>
        </w:rPr>
        <w:t xml:space="preserve">of the study </w:t>
      </w:r>
      <w:r w:rsidRPr="00B51DDE">
        <w:rPr>
          <w:color w:val="auto"/>
        </w:rPr>
        <w:t xml:space="preserve">on my CPD </w:t>
      </w:r>
      <w:r w:rsidRPr="00B51DDE">
        <w:rPr>
          <w:color w:val="auto"/>
        </w:rPr>
        <w:fldChar w:fldCharType="begin" w:fldLock="1"/>
      </w:r>
      <w:r w:rsidRPr="00B51DDE">
        <w:rPr>
          <w:color w:val="auto"/>
        </w:rPr>
        <w:instrText>ADDIN CSL_CITATION {"citationItems":[{"id":"ITEM-1","itemData":{"DOI":"10.1007/978-1-4614-3185-5","ISBN":"9781461431855","abstract":"The 4th edition of the Handbook of Research on Educational Communications and Technology expands upon the previous 3 versions, providing a comprehensive update on research pertaining to new and emerging educational technologies. Chapters that are no longer pertinent have been eliminated in this edition, with most chapters being completely rewritten, expanded, and updated Additionally, new chapters pertaining to research methodologies in educational technology have been added due to expressed reader interest. Each chapter now contains an extensive literature review, documenting and explaining the most recent, outstanding research, including major findings and methodologies employed. The Handbook authors continue to be international leaders in their respective fields; the list is cross disciplinary by design and great effort was taken to invite authors outside of the traditional instructional design and technology community.","author":[{"dropping-particle":"","family":"Spector","given":"J. Michael","non-dropping-particle":"","parse-names":false,"suffix":""},{"dropping-particle":"","family":"Merrill","given":"M. David","non-dropping-particle":"","parse-names":false,"suffix":""},{"dropping-particle":"","family":"Elen","given":"Jan","non-dropping-particle":"","parse-names":false,"suffix":""},{"dropping-particle":"","family":"Bishop","given":"M. J.","non-dropping-particle":"","parse-names":false,"suffix":""}],"container-title":"Handbook of Research on Educational Communications and Technology: Fourth Edition","id":"ITEM-1","issue":"May","issued":{"date-parts":[["2014"]]},"page":"1-1005","title":"Handbook of research on educational communications and technology: Fourth edition","type":"article-journal"},"uris":["http://www.mendeley.com/documents/?uuid=ee8e75d9-cffc-4c5e-8a16-37ce3c288417"]},{"id":"ITEM-2","itemData":{"DOI":"10.1007/s11423-007-9080-3","ISSN":"10421629","abstract":"This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Development","id":"ITEM-2","issue":"1","issued":{"date-parts":[["2010"]]},"page":"61-80","title":"Development research of a teachers' educational performance support system: The practices of design, development, and evaluation","type":"article-journal","volume":"58"},"uris":["http://www.mendeley.com/documents/?uuid=c470c2f9-c646-4910-8bf2-5fe79776a13c"]}],"mendeley":{"formattedCitation":"(Hung &lt;i&gt;et al.&lt;/i&gt;, 2010; Spector &lt;i&gt;et al.&lt;/i&gt;, 2014)","plainTextFormattedCitation":"(Hung et al., 2010; Spector et al., 2014)","previouslyFormattedCitation":"(Hung &lt;i&gt;et al.&lt;/i&gt;, 2010; Spector &lt;i&gt;et al.&lt;/i&gt;, 2014)"},"properties":{"noteIndex":0},"schema":"https://github.com/citation-style-language/schema/raw/master/csl-citation.json"}</w:instrText>
      </w:r>
      <w:r w:rsidRPr="00B51DDE">
        <w:rPr>
          <w:color w:val="auto"/>
        </w:rPr>
        <w:fldChar w:fldCharType="separate"/>
      </w:r>
      <w:r w:rsidRPr="00B51DDE">
        <w:rPr>
          <w:noProof/>
          <w:color w:val="auto"/>
        </w:rPr>
        <w:t xml:space="preserve">(Hung </w:t>
      </w:r>
      <w:r w:rsidRPr="00B51DDE">
        <w:rPr>
          <w:i/>
          <w:noProof/>
          <w:color w:val="auto"/>
        </w:rPr>
        <w:t>et al.</w:t>
      </w:r>
      <w:r w:rsidRPr="00B51DDE">
        <w:rPr>
          <w:noProof/>
          <w:color w:val="auto"/>
        </w:rPr>
        <w:t xml:space="preserve">, 2010; Spector </w:t>
      </w:r>
      <w:r w:rsidRPr="00B51DDE">
        <w:rPr>
          <w:i/>
          <w:noProof/>
          <w:color w:val="auto"/>
        </w:rPr>
        <w:t>et al.</w:t>
      </w:r>
      <w:r w:rsidRPr="00B51DDE">
        <w:rPr>
          <w:noProof/>
          <w:color w:val="auto"/>
        </w:rPr>
        <w:t>, 2014)</w:t>
      </w:r>
      <w:r w:rsidRPr="00B51DDE">
        <w:rPr>
          <w:color w:val="auto"/>
        </w:rPr>
        <w:fldChar w:fldCharType="end"/>
      </w:r>
      <w:r w:rsidRPr="00B51DDE">
        <w:rPr>
          <w:color w:val="auto"/>
        </w:rPr>
        <w:t>.</w:t>
      </w:r>
    </w:p>
    <w:p w14:paraId="5911AEBF" w14:textId="77777777" w:rsidR="00025ABE" w:rsidRPr="00B51DDE" w:rsidRDefault="00025ABE" w:rsidP="00AE2080">
      <w:pPr>
        <w:pStyle w:val="Default"/>
        <w:spacing w:line="360" w:lineRule="auto"/>
        <w:jc w:val="both"/>
        <w:rPr>
          <w:color w:val="auto"/>
        </w:rPr>
      </w:pPr>
    </w:p>
    <w:p w14:paraId="1160A33E" w14:textId="6E158B60" w:rsidR="0089588A" w:rsidRPr="00B51DDE" w:rsidRDefault="0004047E" w:rsidP="00AE2080">
      <w:pPr>
        <w:pStyle w:val="Default"/>
        <w:spacing w:line="360" w:lineRule="auto"/>
        <w:jc w:val="both"/>
        <w:rPr>
          <w:color w:val="auto"/>
        </w:rPr>
      </w:pPr>
      <w:r w:rsidRPr="00B51DDE">
        <w:rPr>
          <w:color w:val="auto"/>
        </w:rPr>
        <w:t>TA</w:t>
      </w:r>
      <w:r w:rsidR="0089588A" w:rsidRPr="00B51DDE">
        <w:rPr>
          <w:color w:val="auto"/>
        </w:rPr>
        <w:t xml:space="preserve"> was used to explore themes in all the stages of inquiry. Interpretive rigour was increased by the systematic approach of TA </w:t>
      </w:r>
      <w:r w:rsidR="0089588A" w:rsidRPr="00B51DDE">
        <w:rPr>
          <w:color w:val="auto"/>
        </w:rPr>
        <w:fldChar w:fldCharType="begin" w:fldLock="1"/>
      </w:r>
      <w:r w:rsidR="00880CAC" w:rsidRPr="00B51DDE">
        <w:rPr>
          <w:color w:val="auto"/>
        </w:rPr>
        <w:instrText>ADDIN CSL_CITATION {"citationItems":[{"id":"ITEM-1","itemData":{"ISBN":"1412974178, 9781412974172","author":[{"dropping-particle":"","family":"Lincoln","given":"Yvonna S","non-dropping-particle":"","parse-names":false,"suffix":""},{"dropping-particle":"","family":"Lynham","given":"Susan","non-dropping-particle":"","parse-names":false,"suffix":""},{"dropping-particle":"","family":"Guba","given":"Egon G.","non-dropping-particle":"","parse-names":false,"suffix":""}],"container-title":"The SAGE Handbook of Qualitative Research","edition":"4th","id":"ITEM-1","issued":{"date-parts":[["2011"]]},"publisher":"SAGE, 2011","title":"Chapter: Paradigmatic controversies, contradictions, and emerging confluences revisited","type":"chapter"},"uris":["http://www.mendeley.com/documents/?uuid=4b8a96af-5ca4-4b15-972d-ea6e6febea4c"]}],"mendeley":{"formattedCitation":"(Lincoln, Lynham and Guba, 2011)","plainTextFormattedCitation":"(Lincoln, Lynham and Guba, 2011)","previouslyFormattedCitation":"(Lincoln, Lynham and Guba, 2011)"},"properties":{"noteIndex":0},"schema":"https://github.com/citation-style-language/schema/raw/master/csl-citation.json"}</w:instrText>
      </w:r>
      <w:r w:rsidR="0089588A" w:rsidRPr="00B51DDE">
        <w:rPr>
          <w:color w:val="auto"/>
        </w:rPr>
        <w:fldChar w:fldCharType="separate"/>
      </w:r>
      <w:r w:rsidR="0089588A" w:rsidRPr="00B51DDE">
        <w:rPr>
          <w:noProof/>
          <w:color w:val="auto"/>
        </w:rPr>
        <w:t>(Lincoln, Lynham and Guba, 2011)</w:t>
      </w:r>
      <w:r w:rsidR="0089588A" w:rsidRPr="00B51DDE">
        <w:rPr>
          <w:color w:val="auto"/>
        </w:rPr>
        <w:fldChar w:fldCharType="end"/>
      </w:r>
      <w:r w:rsidR="0089588A" w:rsidRPr="00B51DDE">
        <w:rPr>
          <w:color w:val="auto"/>
        </w:rPr>
        <w:t xml:space="preserve">. TA theme development and reflexive notes serve to maintain the researcher’s awareness of themselves in the analysis and conclusions due to its </w:t>
      </w:r>
      <w:r w:rsidR="00564B14" w:rsidRPr="00B51DDE">
        <w:rPr>
          <w:color w:val="auto"/>
        </w:rPr>
        <w:t xml:space="preserve">embedded </w:t>
      </w:r>
      <w:r w:rsidR="0089588A" w:rsidRPr="00B51DDE">
        <w:rPr>
          <w:color w:val="auto"/>
        </w:rPr>
        <w:t xml:space="preserve">systematic process and rigour </w:t>
      </w:r>
      <w:r w:rsidR="0089588A" w:rsidRPr="00B51DDE">
        <w:rPr>
          <w:color w:val="auto"/>
        </w:rPr>
        <w:fldChar w:fldCharType="begin" w:fldLock="1"/>
      </w:r>
      <w:r w:rsidR="0089588A" w:rsidRPr="00B51DDE">
        <w:rPr>
          <w:color w:val="auto"/>
        </w:rPr>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 Braun and Clarke, 2019)","plainTextFormattedCitation":"(Merriam and Tisdell, 2016; Braun and Clarke, 2019)","previouslyFormattedCitation":"(Merriam and Tisdell, 2016; Braun and Clarke, 2019)"},"properties":{"noteIndex":0},"schema":"https://github.com/citation-style-language/schema/raw/master/csl-citation.json"}</w:instrText>
      </w:r>
      <w:r w:rsidR="0089588A" w:rsidRPr="00B51DDE">
        <w:rPr>
          <w:color w:val="auto"/>
        </w:rPr>
        <w:fldChar w:fldCharType="separate"/>
      </w:r>
      <w:r w:rsidR="0089588A" w:rsidRPr="00B51DDE">
        <w:rPr>
          <w:noProof/>
          <w:color w:val="auto"/>
        </w:rPr>
        <w:t>(Merriam and Tisdell, 2016; Braun and Clarke, 2019)</w:t>
      </w:r>
      <w:r w:rsidR="0089588A" w:rsidRPr="00B51DDE">
        <w:rPr>
          <w:color w:val="auto"/>
        </w:rPr>
        <w:fldChar w:fldCharType="end"/>
      </w:r>
      <w:r w:rsidR="0089588A" w:rsidRPr="00B51DDE">
        <w:rPr>
          <w:color w:val="auto"/>
        </w:rPr>
        <w:t>.</w:t>
      </w:r>
    </w:p>
    <w:p w14:paraId="72CCAF33" w14:textId="77777777" w:rsidR="00025ABE" w:rsidRPr="00B51DDE" w:rsidRDefault="00025ABE" w:rsidP="00AE2080">
      <w:pPr>
        <w:pStyle w:val="Default"/>
        <w:spacing w:line="360" w:lineRule="auto"/>
        <w:jc w:val="both"/>
        <w:rPr>
          <w:color w:val="auto"/>
        </w:rPr>
      </w:pPr>
    </w:p>
    <w:p w14:paraId="514283AB" w14:textId="74303D37" w:rsidR="0089588A" w:rsidRPr="00B51DDE" w:rsidRDefault="0089588A" w:rsidP="00AE2080">
      <w:pPr>
        <w:pStyle w:val="Default"/>
        <w:spacing w:line="360" w:lineRule="auto"/>
        <w:jc w:val="both"/>
        <w:rPr>
          <w:b/>
          <w:bCs/>
          <w:color w:val="auto"/>
        </w:rPr>
      </w:pPr>
      <w:r w:rsidRPr="00B51DDE">
        <w:rPr>
          <w:color w:val="auto"/>
        </w:rPr>
        <w:t>Data gathering methods used in this study:</w:t>
      </w:r>
    </w:p>
    <w:p w14:paraId="7FC22530" w14:textId="77777777" w:rsidR="0089588A" w:rsidRPr="00B51DDE" w:rsidRDefault="0089588A" w:rsidP="00AE2080">
      <w:pPr>
        <w:pStyle w:val="Default"/>
        <w:spacing w:line="360" w:lineRule="auto"/>
        <w:jc w:val="both"/>
        <w:rPr>
          <w:color w:val="auto"/>
        </w:rPr>
      </w:pPr>
    </w:p>
    <w:p w14:paraId="56199C1F" w14:textId="77777777" w:rsidR="0089588A" w:rsidRPr="00B51DDE" w:rsidRDefault="0089588A" w:rsidP="00AE2080">
      <w:pPr>
        <w:pStyle w:val="Default"/>
        <w:numPr>
          <w:ilvl w:val="0"/>
          <w:numId w:val="2"/>
        </w:numPr>
        <w:spacing w:line="360" w:lineRule="auto"/>
        <w:jc w:val="both"/>
      </w:pPr>
      <w:r w:rsidRPr="00B51DDE">
        <w:t>Semi-structured interviews or written interviews with experts</w:t>
      </w:r>
    </w:p>
    <w:p w14:paraId="2F872A81" w14:textId="77777777" w:rsidR="0089588A" w:rsidRPr="00B51DDE" w:rsidRDefault="0089588A" w:rsidP="00AE2080">
      <w:pPr>
        <w:pStyle w:val="Default"/>
        <w:numPr>
          <w:ilvl w:val="0"/>
          <w:numId w:val="2"/>
        </w:numPr>
        <w:spacing w:line="360" w:lineRule="auto"/>
        <w:jc w:val="both"/>
      </w:pPr>
      <w:r w:rsidRPr="00B51DDE">
        <w:t xml:space="preserve">A literature </w:t>
      </w:r>
      <w:proofErr w:type="gramStart"/>
      <w:r w:rsidRPr="00B51DDE">
        <w:t>review</w:t>
      </w:r>
      <w:proofErr w:type="gramEnd"/>
    </w:p>
    <w:p w14:paraId="6F765726" w14:textId="30640D95" w:rsidR="0089588A" w:rsidRPr="00B51DDE" w:rsidRDefault="0089588A" w:rsidP="00AE2080">
      <w:pPr>
        <w:pStyle w:val="Default"/>
        <w:numPr>
          <w:ilvl w:val="0"/>
          <w:numId w:val="2"/>
        </w:numPr>
        <w:spacing w:line="360" w:lineRule="auto"/>
        <w:jc w:val="both"/>
      </w:pPr>
      <w:r w:rsidRPr="00B51DDE">
        <w:t xml:space="preserve">Pre- and post-study interviews with </w:t>
      </w:r>
      <w:r w:rsidR="003828B1" w:rsidRPr="00B51DDE">
        <w:t>s</w:t>
      </w:r>
      <w:r w:rsidRPr="00B51DDE">
        <w:t>tudent participants</w:t>
      </w:r>
    </w:p>
    <w:p w14:paraId="29FA472A" w14:textId="2B822A41" w:rsidR="0089588A" w:rsidRPr="00B51DDE" w:rsidRDefault="00D579B5" w:rsidP="00AE2080">
      <w:pPr>
        <w:pStyle w:val="Default"/>
        <w:numPr>
          <w:ilvl w:val="0"/>
          <w:numId w:val="2"/>
        </w:numPr>
        <w:spacing w:line="360" w:lineRule="auto"/>
        <w:jc w:val="both"/>
      </w:pPr>
      <w:r w:rsidRPr="00B51DDE">
        <w:t>Application of</w:t>
      </w:r>
      <w:r w:rsidR="0089588A" w:rsidRPr="00B51DDE">
        <w:t xml:space="preserve"> the belt training process in lessons</w:t>
      </w:r>
    </w:p>
    <w:p w14:paraId="0188E191" w14:textId="77777777" w:rsidR="0089588A" w:rsidRPr="00B51DDE" w:rsidRDefault="0089588A" w:rsidP="00AE2080">
      <w:pPr>
        <w:pStyle w:val="Default"/>
        <w:numPr>
          <w:ilvl w:val="0"/>
          <w:numId w:val="2"/>
        </w:numPr>
        <w:spacing w:line="360" w:lineRule="auto"/>
        <w:jc w:val="both"/>
        <w:rPr>
          <w:color w:val="auto"/>
        </w:rPr>
      </w:pPr>
      <w:r w:rsidRPr="00B51DDE">
        <w:t>Student practice logs</w:t>
      </w:r>
      <w:r w:rsidRPr="00B51DDE">
        <w:rPr>
          <w:color w:val="auto"/>
        </w:rPr>
        <w:br w:type="page"/>
      </w:r>
    </w:p>
    <w:p w14:paraId="164AF4C2" w14:textId="1399DE59" w:rsidR="00787F66" w:rsidRPr="00B51DDE" w:rsidRDefault="00AC5E4F" w:rsidP="00AE2080">
      <w:pPr>
        <w:autoSpaceDE w:val="0"/>
        <w:autoSpaceDN w:val="0"/>
        <w:adjustRightInd w:val="0"/>
        <w:spacing w:line="360" w:lineRule="auto"/>
        <w:jc w:val="both"/>
        <w:rPr>
          <w:rFonts w:ascii="Arial" w:hAnsi="Arial" w:cs="Arial"/>
          <w:sz w:val="24"/>
          <w:szCs w:val="24"/>
        </w:rPr>
      </w:pPr>
      <w:r w:rsidRPr="00B51DDE">
        <w:rPr>
          <w:rFonts w:ascii="Arial" w:hAnsi="Arial" w:cs="Arial"/>
          <w:sz w:val="24"/>
          <w:szCs w:val="24"/>
        </w:rPr>
        <w:lastRenderedPageBreak/>
        <w:t>Anonymity-cod</w:t>
      </w:r>
      <w:r w:rsidR="00A60A1E" w:rsidRPr="00B51DDE">
        <w:rPr>
          <w:rFonts w:ascii="Arial" w:hAnsi="Arial" w:cs="Arial"/>
          <w:sz w:val="24"/>
          <w:szCs w:val="24"/>
        </w:rPr>
        <w:t>ing</w:t>
      </w:r>
      <w:r w:rsidRPr="00B51DDE">
        <w:rPr>
          <w:rFonts w:ascii="Arial" w:hAnsi="Arial" w:cs="Arial"/>
          <w:sz w:val="24"/>
          <w:szCs w:val="24"/>
        </w:rPr>
        <w:t xml:space="preserve"> was applied to all</w:t>
      </w:r>
      <w:r w:rsidR="00787F66" w:rsidRPr="00B51DDE">
        <w:rPr>
          <w:rFonts w:ascii="Arial" w:hAnsi="Arial" w:cs="Arial"/>
          <w:sz w:val="24"/>
          <w:szCs w:val="24"/>
        </w:rPr>
        <w:t xml:space="preserve"> expert and student data</w:t>
      </w:r>
      <w:r w:rsidR="00034144" w:rsidRPr="00B51DDE">
        <w:rPr>
          <w:rFonts w:ascii="Arial" w:hAnsi="Arial" w:cs="Arial"/>
          <w:sz w:val="24"/>
          <w:szCs w:val="24"/>
        </w:rPr>
        <w:t xml:space="preserve"> to ensure privacy</w:t>
      </w:r>
      <w:r w:rsidR="00787F66" w:rsidRPr="00B51DDE">
        <w:rPr>
          <w:rFonts w:ascii="Arial" w:hAnsi="Arial" w:cs="Arial"/>
          <w:sz w:val="24"/>
          <w:szCs w:val="24"/>
        </w:rPr>
        <w:t>. Participant interactions fell within the ethical protocols of the university and us</w:t>
      </w:r>
      <w:r w:rsidR="00E065B8" w:rsidRPr="00B51DDE">
        <w:rPr>
          <w:rFonts w:ascii="Arial" w:hAnsi="Arial" w:cs="Arial"/>
          <w:sz w:val="24"/>
          <w:szCs w:val="24"/>
        </w:rPr>
        <w:t>ed</w:t>
      </w:r>
      <w:r w:rsidR="00787F66" w:rsidRPr="00B51DDE">
        <w:rPr>
          <w:rFonts w:ascii="Arial" w:hAnsi="Arial" w:cs="Arial"/>
          <w:sz w:val="24"/>
          <w:szCs w:val="24"/>
        </w:rPr>
        <w:t xml:space="preserve"> an approach of ‘privacy by design’ within the study </w:t>
      </w:r>
      <w:r w:rsidR="00787F66" w:rsidRPr="00B51DDE">
        <w:rPr>
          <w:rFonts w:ascii="Arial" w:hAnsi="Arial" w:cs="Arial"/>
          <w:sz w:val="24"/>
          <w:szCs w:val="24"/>
        </w:rPr>
        <w:fldChar w:fldCharType="begin" w:fldLock="1"/>
      </w:r>
      <w:r w:rsidR="00787F66" w:rsidRPr="00B51DDE">
        <w:rPr>
          <w:rFonts w:ascii="Arial" w:hAnsi="Arial" w:cs="Arial"/>
          <w:sz w:val="24"/>
          <w:szCs w:val="24"/>
        </w:rPr>
        <w:instrText>ADDIN CSL_CITATION {"citationItems":[{"id":"ITEM-1","itemData":{"DOI":"10.1177/1747016116673135","ISSN":"20476094","abstract":"Privacy by Design, a globally accepted framework for personal data management and privacy protection, advances the view that privacy cannot be assured solely by compliance with regulatory frameworks but must become an organisation’s default mode of operation. We are proposing a similar template for the research ethics review process. The Research Ethics by Design framework involves research ethics committees engaging researchers during the design phase of the proposal so that ethical considerations may be directly embedded in the science as opposed to being viewed as addendums after the fact. This collaborative research design proposal results in the establishment of a culture of ethical research rather than research with ethical oversight. Both researchers and research ethics committees come to view the review process as one in which individual protection and collective benefit co-exist in a doubly-enabling positive-sum manner.","author":[{"dropping-particle":"","family":"Borrett","given":"Donald S.","non-dropping-particle":"","parse-names":false,"suffix":""},{"dropping-particle":"","family":"Sampson","given":"Heather","non-dropping-particle":"","parse-names":false,"suffix":""},{"dropping-particle":"","family":"Cavoukian","given":"Ann","non-dropping-particle":"","parse-names":false,"suffix":""}],"container-title":"Research Ethics","id":"ITEM-1","issue":"2","issued":{"date-parts":[["2017"]]},"page":"84-91","title":"Research ethics by design: A collaborative research design proposal","type":"article-journal","volume":"13"},"uris":["http://www.mendeley.com/documents/?uuid=0213322c-0c11-40c6-af35-39bfecc2ccab"]},{"id":"ITEM-2","itemData":{"author":[{"dropping-particle":"","family":"University of Wales Trinity Saint David","given":"","non-dropping-particle":"","parse-names":false,"suffix":""}],"id":"ITEM-2","issued":{"date-parts":[["2015"]]},"page":"1-17","title":"Integrity Code of Practice","type":"article"},"uris":["http://www.mendeley.com/documents/?uuid=d22eab58-a747-4734-bed1-31084b6fcb24"]}],"mendeley":{"formattedCitation":"(University of Wales Trinity Saint David, 2015; Borrett, Sampson and Cavoukian, 2017)","plainTextFormattedCitation":"(University of Wales Trinity Saint David, 2015; Borrett, Sampson and Cavoukian, 2017)","previouslyFormattedCitation":"(University of Wales Trinity Saint David, 2015; Borrett, Sampson and Cavoukian, 2017)"},"properties":{"noteIndex":0},"schema":"https://github.com/citation-style-language/schema/raw/master/csl-citation.json"}</w:instrText>
      </w:r>
      <w:r w:rsidR="00787F66" w:rsidRPr="00B51DDE">
        <w:rPr>
          <w:rFonts w:ascii="Arial" w:hAnsi="Arial" w:cs="Arial"/>
          <w:sz w:val="24"/>
          <w:szCs w:val="24"/>
        </w:rPr>
        <w:fldChar w:fldCharType="separate"/>
      </w:r>
      <w:r w:rsidR="00787F66" w:rsidRPr="00B51DDE">
        <w:rPr>
          <w:rFonts w:ascii="Arial" w:hAnsi="Arial" w:cs="Arial"/>
          <w:noProof/>
          <w:sz w:val="24"/>
          <w:szCs w:val="24"/>
        </w:rPr>
        <w:t>(University of Wales Trinity Saint David, 2015; Borrett, Sampson and Cavoukian, 2017)</w:t>
      </w:r>
      <w:r w:rsidR="00787F66" w:rsidRPr="00B51DDE">
        <w:rPr>
          <w:rFonts w:ascii="Arial" w:hAnsi="Arial" w:cs="Arial"/>
          <w:sz w:val="24"/>
          <w:szCs w:val="24"/>
        </w:rPr>
        <w:fldChar w:fldCharType="end"/>
      </w:r>
      <w:r w:rsidR="00BF62F2" w:rsidRPr="00B51DDE">
        <w:rPr>
          <w:rFonts w:ascii="Arial" w:hAnsi="Arial" w:cs="Arial"/>
          <w:sz w:val="24"/>
          <w:szCs w:val="24"/>
        </w:rPr>
        <w:t>.</w:t>
      </w:r>
    </w:p>
    <w:p w14:paraId="7B4219D7" w14:textId="0EB3367F" w:rsidR="0089588A" w:rsidRPr="00B51DDE" w:rsidRDefault="0089588A" w:rsidP="00AE2080">
      <w:pPr>
        <w:autoSpaceDE w:val="0"/>
        <w:autoSpaceDN w:val="0"/>
        <w:adjustRightInd w:val="0"/>
        <w:spacing w:line="360" w:lineRule="auto"/>
        <w:jc w:val="both"/>
        <w:rPr>
          <w:rFonts w:ascii="Arial" w:hAnsi="Arial" w:cs="Arial"/>
          <w:bCs/>
          <w:sz w:val="24"/>
          <w:szCs w:val="24"/>
        </w:rPr>
      </w:pPr>
      <w:r w:rsidRPr="00B51DDE">
        <w:rPr>
          <w:rFonts w:ascii="Arial" w:hAnsi="Arial" w:cs="Arial"/>
          <w:sz w:val="24"/>
          <w:szCs w:val="24"/>
        </w:rPr>
        <w:t xml:space="preserve">The </w:t>
      </w:r>
      <w:r w:rsidRPr="00B51DDE">
        <w:rPr>
          <w:rFonts w:ascii="Arial" w:hAnsi="Arial" w:cs="Arial"/>
          <w:b/>
          <w:bCs/>
          <w:i/>
          <w:iCs/>
          <w:sz w:val="24"/>
          <w:szCs w:val="24"/>
        </w:rPr>
        <w:t>first iteration of the DBR process</w:t>
      </w:r>
      <w:r w:rsidRPr="00B51DDE">
        <w:rPr>
          <w:rFonts w:ascii="Arial" w:hAnsi="Arial" w:cs="Arial"/>
          <w:sz w:val="24"/>
          <w:szCs w:val="24"/>
        </w:rPr>
        <w:t xml:space="preserve"> was an inquiry via </w:t>
      </w:r>
      <w:r w:rsidRPr="00B51DDE">
        <w:rPr>
          <w:rFonts w:ascii="Arial" w:hAnsi="Arial" w:cs="Arial"/>
          <w:b/>
          <w:bCs/>
          <w:sz w:val="24"/>
          <w:szCs w:val="24"/>
        </w:rPr>
        <w:t>e</w:t>
      </w:r>
      <w:r w:rsidRPr="00B51DDE">
        <w:rPr>
          <w:rFonts w:ascii="Arial" w:hAnsi="Arial" w:cs="Arial"/>
          <w:b/>
          <w:bCs/>
          <w:i/>
          <w:iCs/>
          <w:sz w:val="24"/>
          <w:szCs w:val="24"/>
        </w:rPr>
        <w:t>xpert interviews</w:t>
      </w:r>
      <w:r w:rsidRPr="00B51DDE">
        <w:rPr>
          <w:rFonts w:ascii="Arial" w:hAnsi="Arial" w:cs="Arial"/>
          <w:sz w:val="24"/>
          <w:szCs w:val="24"/>
        </w:rPr>
        <w:t>.</w:t>
      </w:r>
      <w:r w:rsidR="00C80CBF" w:rsidRPr="00B51DDE">
        <w:rPr>
          <w:rFonts w:ascii="Arial" w:hAnsi="Arial" w:cs="Arial"/>
          <w:bCs/>
          <w:sz w:val="24"/>
          <w:szCs w:val="24"/>
        </w:rPr>
        <w:t xml:space="preserve"> Independent expert volunteers were sought with experience of training singers to belt and </w:t>
      </w:r>
      <w:r w:rsidR="007C041D">
        <w:rPr>
          <w:rFonts w:ascii="Arial" w:hAnsi="Arial" w:cs="Arial"/>
          <w:bCs/>
          <w:sz w:val="24"/>
          <w:szCs w:val="24"/>
        </w:rPr>
        <w:t xml:space="preserve">of </w:t>
      </w:r>
      <w:r w:rsidR="00C80CBF" w:rsidRPr="00B51DDE">
        <w:rPr>
          <w:rFonts w:ascii="Arial" w:hAnsi="Arial" w:cs="Arial"/>
          <w:bCs/>
          <w:sz w:val="24"/>
          <w:szCs w:val="24"/>
        </w:rPr>
        <w:t>researching singing.</w:t>
      </w:r>
      <w:r w:rsidRPr="00B51DDE">
        <w:rPr>
          <w:rFonts w:ascii="Arial" w:hAnsi="Arial" w:cs="Arial"/>
          <w:sz w:val="24"/>
          <w:szCs w:val="24"/>
        </w:rPr>
        <w:t xml:space="preserve"> Experts were invited to evaluate the existing belt training process and to offer modifications, pedagogical insight, and relevant research.</w:t>
      </w:r>
      <w:r w:rsidR="00BF62F2" w:rsidRPr="00B51DDE">
        <w:rPr>
          <w:rFonts w:ascii="Arial" w:hAnsi="Arial" w:cs="Arial"/>
          <w:sz w:val="24"/>
          <w:szCs w:val="24"/>
        </w:rPr>
        <w:t xml:space="preserve"> </w:t>
      </w:r>
      <w:r w:rsidRPr="00B51DDE">
        <w:rPr>
          <w:rFonts w:ascii="Arial" w:hAnsi="Arial" w:cs="Arial"/>
          <w:sz w:val="24"/>
          <w:szCs w:val="24"/>
        </w:rPr>
        <w:t xml:space="preserve">In planning, it was hoped that the expert feedback would lead to improvements through expansion, reduction, or refinement of the belt training process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Guide","type":"book"},"uris":["http://www.mendeley.com/documents/?uuid=f0f8632a-34fe-4332-acd9-274e093fbb0b"]},{"id":"ITEM-3","itemData":{"ISBN":"978-90-329-2329-7","abstract":"Edited Book","author":[{"dropping-particle":"","family":"Plomp","given":"T","non-dropping-particle":"","parse-names":false,"suffix":""},{"dropping-particle":"","family":"Nieveen","given":"N M","non-dropping-particle":"","parse-names":false,"suffix":""}],"id":"ITEM-3","issued":{"date-parts":[["2010"]]},"title":"An introduction to educational design research","type":"article-journal"},"uris":["http://www.mendeley.com/documents/?uuid=3d903e11-a75e-401c-b864-4f301aac1ac9"]}],"mendeley":{"formattedCitation":"(Hoadley &lt;i&gt;et al.&lt;/i&gt;, 2002; Plomp and Nieveen, 2010; Denscombe, 2014)","plainTextFormattedCitation":"(Hoadley et al., 2002; Plomp and Nieveen, 2010; Denscombe, 2014)","previouslyFormattedCitation":"(Hoadley &lt;i&gt;et al.&lt;/i&gt;, 2002; Plomp and Nieveen, 2010; Denscombe,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(Hoadley </w:t>
      </w:r>
      <w:r w:rsidRPr="00B51DDE">
        <w:rPr>
          <w:rFonts w:ascii="Arial" w:hAnsi="Arial" w:cs="Arial"/>
          <w:i/>
          <w:noProof/>
          <w:sz w:val="24"/>
          <w:szCs w:val="24"/>
        </w:rPr>
        <w:t>et al.</w:t>
      </w:r>
      <w:r w:rsidRPr="00B51DDE">
        <w:rPr>
          <w:rFonts w:ascii="Arial" w:hAnsi="Arial" w:cs="Arial"/>
          <w:noProof/>
          <w:sz w:val="24"/>
          <w:szCs w:val="24"/>
        </w:rPr>
        <w:t>, 2002; Plomp and Nieveen, 2010; Denscombe, 2014)</w:t>
      </w:r>
      <w:r w:rsidRPr="00B51DDE">
        <w:rPr>
          <w:rFonts w:ascii="Arial" w:hAnsi="Arial" w:cs="Arial"/>
          <w:sz w:val="24"/>
          <w:szCs w:val="24"/>
        </w:rPr>
        <w:fldChar w:fldCharType="end"/>
      </w:r>
      <w:r w:rsidRPr="00B51DDE">
        <w:rPr>
          <w:rFonts w:ascii="Arial" w:hAnsi="Arial" w:cs="Arial"/>
          <w:sz w:val="24"/>
          <w:szCs w:val="24"/>
        </w:rPr>
        <w:t xml:space="preserve">. </w:t>
      </w:r>
      <w:r w:rsidR="00902A66" w:rsidRPr="00B51DDE">
        <w:rPr>
          <w:rFonts w:ascii="Arial" w:hAnsi="Arial" w:cs="Arial"/>
          <w:bCs/>
          <w:sz w:val="24"/>
          <w:szCs w:val="24"/>
        </w:rPr>
        <w:t xml:space="preserve">During the planning stages, the number of potential experts was limited to four to allow time for quality analysis to balance the challenges of working as a lone researcher </w:t>
      </w:r>
      <w:r w:rsidR="00902A66" w:rsidRPr="00B51DDE">
        <w:rPr>
          <w:rFonts w:ascii="Arial" w:hAnsi="Arial" w:cs="Arial"/>
          <w:bCs/>
          <w:sz w:val="24"/>
          <w:szCs w:val="24"/>
        </w:rPr>
        <w:fldChar w:fldCharType="begin" w:fldLock="1"/>
      </w:r>
      <w:r w:rsidR="00902A66" w:rsidRPr="00B51DDE">
        <w:rPr>
          <w:rFonts w:ascii="Arial" w:hAnsi="Arial" w:cs="Arial"/>
          <w:bCs/>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ISBN":"9780335243389","author":[{"dropping-particle":"","family":"Bell","given":"Judith","non-dropping-particle":"","parse-names":false,"suffix":""},{"dropping-particle":"","family":"Waters","given":"Stephen","non-dropping-particle":"","parse-names":false,"suffix":""}],"edition":"7th","id":"ITEM-2","issued":{"date-parts":[["2018"]]},"publisher":"Open University Press","publisher-place":"London","title":"Doing Your Research Project","type":"book"},"uris":["http://www.mendeley.com/documents/?uuid=43783c7b-cfea-4cf4-af50-e606e2484f1a"]}],"mendeley":{"formattedCitation":"(Denscombe, 2014; Bell and Waters, 2018)","plainTextFormattedCitation":"(Denscombe, 2014; Bell and Waters, 2018)","previouslyFormattedCitation":"(Denscombe, 2014; Bell and Waters, 2018)"},"properties":{"noteIndex":0},"schema":"https://github.com/citation-style-language/schema/raw/master/csl-citation.json"}</w:instrText>
      </w:r>
      <w:r w:rsidR="00902A66" w:rsidRPr="00B51DDE">
        <w:rPr>
          <w:rFonts w:ascii="Arial" w:hAnsi="Arial" w:cs="Arial"/>
          <w:bCs/>
          <w:sz w:val="24"/>
          <w:szCs w:val="24"/>
        </w:rPr>
        <w:fldChar w:fldCharType="separate"/>
      </w:r>
      <w:r w:rsidR="00902A66" w:rsidRPr="00B51DDE">
        <w:rPr>
          <w:rFonts w:ascii="Arial" w:hAnsi="Arial" w:cs="Arial"/>
          <w:bCs/>
          <w:noProof/>
          <w:sz w:val="24"/>
          <w:szCs w:val="24"/>
        </w:rPr>
        <w:t>(Denscombe, 2014; Bell and Waters, 2018)</w:t>
      </w:r>
      <w:r w:rsidR="00902A66" w:rsidRPr="00B51DDE">
        <w:rPr>
          <w:rFonts w:ascii="Arial" w:hAnsi="Arial" w:cs="Arial"/>
          <w:bCs/>
          <w:sz w:val="24"/>
          <w:szCs w:val="24"/>
        </w:rPr>
        <w:fldChar w:fldCharType="end"/>
      </w:r>
      <w:r w:rsidR="00902A66" w:rsidRPr="00B51DDE">
        <w:rPr>
          <w:rFonts w:ascii="Arial" w:hAnsi="Arial" w:cs="Arial"/>
          <w:bCs/>
          <w:sz w:val="24"/>
          <w:szCs w:val="24"/>
        </w:rPr>
        <w:t xml:space="preserve">. </w:t>
      </w:r>
      <w:r w:rsidRPr="00B51DDE">
        <w:rPr>
          <w:rFonts w:ascii="Arial" w:hAnsi="Arial" w:cs="Arial"/>
          <w:sz w:val="24"/>
          <w:szCs w:val="24"/>
        </w:rPr>
        <w:t>Two of the four potential expe</w:t>
      </w:r>
      <w:r w:rsidR="00902A66" w:rsidRPr="00B51DDE">
        <w:rPr>
          <w:rFonts w:ascii="Arial" w:hAnsi="Arial" w:cs="Arial"/>
          <w:sz w:val="24"/>
          <w:szCs w:val="24"/>
        </w:rPr>
        <w:t>r</w:t>
      </w:r>
      <w:r w:rsidRPr="00B51DDE">
        <w:rPr>
          <w:rFonts w:ascii="Arial" w:hAnsi="Arial" w:cs="Arial"/>
          <w:sz w:val="24"/>
          <w:szCs w:val="24"/>
        </w:rPr>
        <w:t xml:space="preserve">ts were available </w:t>
      </w:r>
      <w:r w:rsidRPr="00B51DDE">
        <w:rPr>
          <w:rFonts w:ascii="Arial" w:hAnsi="Arial" w:cs="Arial"/>
          <w:bCs/>
          <w:sz w:val="24"/>
          <w:szCs w:val="24"/>
        </w:rPr>
        <w:t xml:space="preserve">in the consultation stage of the project. As the study was being conducted by a lone researcher, a pragmatic decision was made to </w:t>
      </w:r>
      <w:r w:rsidR="00902A66" w:rsidRPr="00B51DDE">
        <w:rPr>
          <w:rFonts w:ascii="Arial" w:hAnsi="Arial" w:cs="Arial"/>
          <w:bCs/>
          <w:sz w:val="24"/>
          <w:szCs w:val="24"/>
        </w:rPr>
        <w:t>continue with the two experts. V</w:t>
      </w:r>
      <w:r w:rsidRPr="00B51DDE">
        <w:rPr>
          <w:rFonts w:ascii="Arial" w:hAnsi="Arial" w:cs="Arial"/>
          <w:bCs/>
          <w:sz w:val="24"/>
          <w:szCs w:val="24"/>
        </w:rPr>
        <w:t>alidity and reliability</w:t>
      </w:r>
      <w:r w:rsidR="00902A66" w:rsidRPr="00B51DDE">
        <w:rPr>
          <w:rFonts w:ascii="Arial" w:hAnsi="Arial" w:cs="Arial"/>
          <w:bCs/>
          <w:sz w:val="24"/>
          <w:szCs w:val="24"/>
        </w:rPr>
        <w:t xml:space="preserve"> would be impacted but </w:t>
      </w:r>
      <w:r w:rsidR="008134F6" w:rsidRPr="00B51DDE">
        <w:rPr>
          <w:rFonts w:ascii="Arial" w:hAnsi="Arial" w:cs="Arial"/>
          <w:bCs/>
          <w:sz w:val="24"/>
          <w:szCs w:val="24"/>
        </w:rPr>
        <w:t>data analysis</w:t>
      </w:r>
      <w:r w:rsidR="00902A66" w:rsidRPr="00B51DDE">
        <w:rPr>
          <w:rFonts w:ascii="Arial" w:hAnsi="Arial" w:cs="Arial"/>
          <w:bCs/>
          <w:sz w:val="24"/>
          <w:szCs w:val="24"/>
        </w:rPr>
        <w:t xml:space="preserve"> timescales</w:t>
      </w:r>
      <w:r w:rsidR="008134F6" w:rsidRPr="00B51DDE">
        <w:rPr>
          <w:rFonts w:ascii="Arial" w:hAnsi="Arial" w:cs="Arial"/>
          <w:bCs/>
          <w:sz w:val="24"/>
          <w:szCs w:val="24"/>
        </w:rPr>
        <w:t xml:space="preserve"> of the project planning</w:t>
      </w:r>
      <w:r w:rsidR="00902A66" w:rsidRPr="00B51DDE">
        <w:rPr>
          <w:rFonts w:ascii="Arial" w:hAnsi="Arial" w:cs="Arial"/>
          <w:bCs/>
          <w:sz w:val="24"/>
          <w:szCs w:val="24"/>
        </w:rPr>
        <w:t xml:space="preserve"> did not allow for adding a new expert at that stage</w:t>
      </w:r>
      <w:r w:rsidRPr="00B51DDE">
        <w:rPr>
          <w:rFonts w:ascii="Arial" w:hAnsi="Arial" w:cs="Arial"/>
          <w:bCs/>
          <w:sz w:val="24"/>
          <w:szCs w:val="24"/>
        </w:rPr>
        <w:t xml:space="preserve">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(Plomp and Nieveen, 2010)</w:t>
      </w:r>
      <w:r w:rsidRPr="00B51DDE">
        <w:rPr>
          <w:rFonts w:ascii="Arial" w:hAnsi="Arial" w:cs="Arial"/>
          <w:bCs/>
          <w:sz w:val="24"/>
          <w:szCs w:val="24"/>
        </w:rPr>
        <w:fldChar w:fldCharType="end"/>
      </w:r>
      <w:r w:rsidRPr="00B51DDE">
        <w:rPr>
          <w:rFonts w:ascii="Arial" w:hAnsi="Arial" w:cs="Arial"/>
          <w:bCs/>
          <w:sz w:val="24"/>
          <w:szCs w:val="24"/>
        </w:rPr>
        <w:t xml:space="preserve">. Researcher adherence to the DBR, TA, and ethical protocols aimed to maintain good standards of trustworthiness, validity, and reliability in the study </w:t>
      </w:r>
      <w:r w:rsidRPr="00B51DDE">
        <w:rPr>
          <w:rFonts w:ascii="Arial" w:hAnsi="Arial" w:cs="Arial"/>
          <w:bCs/>
          <w:i/>
          <w:iCs/>
          <w:sz w:val="24"/>
          <w:szCs w:val="24"/>
        </w:rPr>
        <w:fldChar w:fldCharType="begin" w:fldLock="1"/>
      </w:r>
      <w:r w:rsidRPr="00B51DDE">
        <w:rPr>
          <w:rFonts w:ascii="Arial" w:hAnsi="Arial" w:cs="Arial"/>
          <w:bCs/>
          <w:i/>
          <w:iCs/>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2016)","manualFormatting":"(Merriam and Tisdell, 2016)","plainTextFormattedCitation":"(Merriam and Tisdell, 2016)","previouslyFormattedCitation":"(Merriam and Tisdell, 2016)"},"properties":{"noteIndex":0},"schema":"https://github.com/citation-style-language/schema/raw/master/csl-citation.json"}</w:instrText>
      </w:r>
      <w:r w:rsidRPr="00B51DDE">
        <w:rPr>
          <w:rFonts w:ascii="Arial" w:hAnsi="Arial" w:cs="Arial"/>
          <w:bCs/>
          <w:i/>
          <w:iCs/>
          <w:sz w:val="24"/>
          <w:szCs w:val="24"/>
        </w:rPr>
        <w:fldChar w:fldCharType="separate"/>
      </w:r>
      <w:r w:rsidRPr="00B51DDE">
        <w:rPr>
          <w:rFonts w:ascii="Arial" w:hAnsi="Arial" w:cs="Arial"/>
          <w:bCs/>
          <w:iCs/>
          <w:noProof/>
          <w:sz w:val="24"/>
          <w:szCs w:val="24"/>
        </w:rPr>
        <w:t>(Merriam and Tisdell, 2016)</w:t>
      </w:r>
      <w:r w:rsidRPr="00B51DDE">
        <w:rPr>
          <w:rFonts w:ascii="Arial" w:hAnsi="Arial" w:cs="Arial"/>
          <w:bCs/>
          <w:i/>
          <w:iCs/>
          <w:sz w:val="24"/>
          <w:szCs w:val="24"/>
        </w:rPr>
        <w:fldChar w:fldCharType="end"/>
      </w:r>
      <w:r w:rsidRPr="00B51DDE">
        <w:rPr>
          <w:rFonts w:ascii="Arial" w:hAnsi="Arial" w:cs="Arial"/>
          <w:bCs/>
          <w:i/>
          <w:iCs/>
          <w:sz w:val="24"/>
          <w:szCs w:val="24"/>
        </w:rPr>
        <w:t>.</w:t>
      </w:r>
    </w:p>
    <w:p w14:paraId="31E646B7" w14:textId="77777777" w:rsidR="0089588A" w:rsidRPr="00B51DDE" w:rsidRDefault="0089588A" w:rsidP="00AE2080">
      <w:pPr>
        <w:autoSpaceDE w:val="0"/>
        <w:autoSpaceDN w:val="0"/>
        <w:adjustRightInd w:val="0"/>
        <w:spacing w:line="360" w:lineRule="auto"/>
        <w:jc w:val="both"/>
        <w:rPr>
          <w:rFonts w:ascii="Arial" w:hAnsi="Arial" w:cs="Arial"/>
          <w:bCs/>
          <w:sz w:val="24"/>
          <w:szCs w:val="24"/>
        </w:rPr>
      </w:pPr>
      <w:r w:rsidRPr="00B51DDE">
        <w:rPr>
          <w:rFonts w:ascii="Arial" w:hAnsi="Arial" w:cs="Arial"/>
          <w:bCs/>
          <w:sz w:val="24"/>
          <w:szCs w:val="24"/>
        </w:rPr>
        <w:t>Expert consultations included:</w:t>
      </w:r>
    </w:p>
    <w:p w14:paraId="6A33B85D" w14:textId="77777777" w:rsidR="0089588A" w:rsidRPr="00B51DDE" w:rsidRDefault="0089588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 xml:space="preserve">A written introduction to the </w:t>
      </w:r>
      <w:r w:rsidRPr="00B51DDE">
        <w:rPr>
          <w:rFonts w:ascii="Arial" w:hAnsi="Arial" w:cs="Arial"/>
          <w:sz w:val="24"/>
          <w:szCs w:val="24"/>
        </w:rPr>
        <w:t>belt training process</w:t>
      </w:r>
      <w:r w:rsidRPr="00B51DDE">
        <w:rPr>
          <w:rFonts w:ascii="Arial" w:hAnsi="Arial" w:cs="Arial"/>
          <w:bCs/>
          <w:sz w:val="24"/>
          <w:szCs w:val="24"/>
        </w:rPr>
        <w:t xml:space="preserve"> </w:t>
      </w:r>
    </w:p>
    <w:p w14:paraId="5D34B87A" w14:textId="77777777" w:rsidR="0089588A" w:rsidRPr="00B51DDE" w:rsidRDefault="0089588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written interview</w:t>
      </w:r>
    </w:p>
    <w:p w14:paraId="4A96015A" w14:textId="77777777" w:rsidR="0089588A" w:rsidRPr="00B51DDE" w:rsidRDefault="0089588A" w:rsidP="00AE2080">
      <w:pPr>
        <w:numPr>
          <w:ilvl w:val="0"/>
          <w:numId w:val="1"/>
        </w:numPr>
        <w:autoSpaceDE w:val="0"/>
        <w:autoSpaceDN w:val="0"/>
        <w:adjustRightInd w:val="0"/>
        <w:spacing w:after="200" w:line="360" w:lineRule="auto"/>
        <w:jc w:val="both"/>
        <w:rPr>
          <w:rFonts w:ascii="Arial" w:hAnsi="Arial" w:cs="Arial"/>
          <w:bCs/>
          <w:sz w:val="24"/>
          <w:szCs w:val="24"/>
        </w:rPr>
      </w:pPr>
      <w:r w:rsidRPr="00B51DDE">
        <w:rPr>
          <w:rFonts w:ascii="Arial" w:hAnsi="Arial" w:cs="Arial"/>
          <w:bCs/>
          <w:sz w:val="24"/>
          <w:szCs w:val="24"/>
        </w:rPr>
        <w:t>A follow-up interview (online)</w:t>
      </w:r>
    </w:p>
    <w:p w14:paraId="77BEBC26" w14:textId="3CCA0183" w:rsidR="0089588A" w:rsidRPr="00B51DDE" w:rsidRDefault="0089588A" w:rsidP="00AE2080">
      <w:pPr>
        <w:autoSpaceDE w:val="0"/>
        <w:autoSpaceDN w:val="0"/>
        <w:adjustRightInd w:val="0"/>
        <w:spacing w:line="360" w:lineRule="auto"/>
        <w:jc w:val="both"/>
        <w:rPr>
          <w:rFonts w:ascii="Arial" w:hAnsi="Arial" w:cs="Arial"/>
          <w:sz w:val="24"/>
          <w:szCs w:val="24"/>
        </w:rPr>
      </w:pPr>
      <w:r w:rsidRPr="00B51DDE">
        <w:rPr>
          <w:rFonts w:ascii="Arial" w:hAnsi="Arial" w:cs="Arial"/>
          <w:bCs/>
          <w:sz w:val="24"/>
          <w:szCs w:val="24"/>
        </w:rPr>
        <w:t xml:space="preserve">The data gathered from these interviews was analysed using TA approaches to uncover concepts and knowledge which could improve the belt training process </w:t>
      </w:r>
      <w:r w:rsidRPr="00B51DDE">
        <w:rPr>
          <w:rFonts w:ascii="Arial" w:hAnsi="Arial" w:cs="Arial"/>
          <w:bCs/>
          <w:sz w:val="24"/>
          <w:szCs w:val="24"/>
        </w:rPr>
        <w:fldChar w:fldCharType="begin" w:fldLock="1"/>
      </w:r>
      <w:r w:rsidRPr="00B51DDE">
        <w:rPr>
          <w:rFonts w:ascii="Arial" w:hAnsi="Arial" w:cs="Arial"/>
          <w:bCs/>
          <w:sz w:val="24"/>
          <w:szCs w:val="24"/>
        </w:rPr>
        <w:instrText>ADDIN CSL_CITATION {"citationItems":[{"id":"ITEM-1","itemData":{"DOI":"10.1191/1478088706qp063oa","ISSN":"14780887","abstract":"Thematic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Psychology","id":"ITEM-1","issue":"2","issued":{"date-parts":[["2006"]]},"note":"Highlights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analysis","type":"article-journal","volume":"11"},"uris":["http://www.mendeley.com/documents/?uuid=e24d767a-9c14-4ae2-b026-6f8fa0177c0e"]}],"mendeley":{"formattedCitation":"(Braun and Clarke, 2006, 2019)","plainTextFormattedCitation":"(Braun and Clarke, 2006, 2019)","previouslyFormattedCitation":"(Braun and Clarke, 2006, 2019)"},"properties":{"noteIndex":0},"schema":"https://github.com/citation-style-language/schema/raw/master/csl-citation.json"}</w:instrText>
      </w:r>
      <w:r w:rsidRPr="00B51DDE">
        <w:rPr>
          <w:rFonts w:ascii="Arial" w:hAnsi="Arial" w:cs="Arial"/>
          <w:bCs/>
          <w:sz w:val="24"/>
          <w:szCs w:val="24"/>
        </w:rPr>
        <w:fldChar w:fldCharType="separate"/>
      </w:r>
      <w:r w:rsidRPr="00B51DDE">
        <w:rPr>
          <w:rFonts w:ascii="Arial" w:hAnsi="Arial" w:cs="Arial"/>
          <w:bCs/>
          <w:noProof/>
          <w:sz w:val="24"/>
          <w:szCs w:val="24"/>
        </w:rPr>
        <w:t>(Braun and Clarke, 2006, 2019)</w:t>
      </w:r>
      <w:r w:rsidRPr="00B51DDE">
        <w:rPr>
          <w:rFonts w:ascii="Arial" w:hAnsi="Arial" w:cs="Arial"/>
          <w:bCs/>
          <w:sz w:val="24"/>
          <w:szCs w:val="24"/>
        </w:rPr>
        <w:fldChar w:fldCharType="end"/>
      </w:r>
      <w:r w:rsidRPr="00B51DDE">
        <w:rPr>
          <w:rFonts w:ascii="Arial" w:hAnsi="Arial" w:cs="Arial"/>
          <w:bCs/>
          <w:sz w:val="24"/>
          <w:szCs w:val="24"/>
        </w:rPr>
        <w:t xml:space="preserve">. Interview analyses were used to give direction to the </w:t>
      </w:r>
      <w:r w:rsidRPr="00B51DDE">
        <w:rPr>
          <w:rFonts w:ascii="Arial" w:hAnsi="Arial" w:cs="Arial"/>
          <w:b/>
          <w:i/>
          <w:iCs/>
          <w:sz w:val="24"/>
          <w:szCs w:val="24"/>
        </w:rPr>
        <w:t>literature review: the</w:t>
      </w:r>
      <w:r w:rsidRPr="00B51DDE">
        <w:rPr>
          <w:rFonts w:ascii="Arial" w:hAnsi="Arial" w:cs="Arial"/>
          <w:bCs/>
          <w:sz w:val="24"/>
          <w:szCs w:val="24"/>
        </w:rPr>
        <w:t xml:space="preserve"> </w:t>
      </w:r>
      <w:r w:rsidRPr="00B51DDE">
        <w:rPr>
          <w:rFonts w:ascii="Arial" w:hAnsi="Arial" w:cs="Arial"/>
          <w:b/>
          <w:i/>
          <w:iCs/>
          <w:sz w:val="24"/>
          <w:szCs w:val="24"/>
        </w:rPr>
        <w:t xml:space="preserve">second iteration of the DBR process </w:t>
      </w:r>
      <w:r w:rsidRPr="00B51DDE">
        <w:rPr>
          <w:rFonts w:ascii="Arial" w:hAnsi="Arial" w:cs="Arial"/>
          <w:b/>
          <w:i/>
          <w:iCs/>
          <w:sz w:val="24"/>
          <w:szCs w:val="24"/>
        </w:rPr>
        <w:fldChar w:fldCharType="begin" w:fldLock="1"/>
      </w:r>
      <w:r w:rsidRPr="00B51DDE">
        <w:rPr>
          <w:rFonts w:ascii="Arial" w:hAnsi="Arial" w:cs="Arial"/>
          <w:b/>
          <w:i/>
          <w:iCs/>
          <w:sz w:val="24"/>
          <w:szCs w:val="24"/>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research","type":"article-journal"},"uris":["http://www.mendeley.com/documents/?uuid=3d903e11-a75e-401c-b864-4f301aac1ac9"]}],"mendeley":{"formattedCitation":"(Hung &lt;i&gt;et al.&lt;/i&gt;, 2010; Plomp and Nieveen, 2010)","plainTextFormattedCitation":"(Hung et al., 2010; Plomp and Nieveen, 2010)","previouslyFormattedCitation":"(Hung &lt;i&gt;et al.&lt;/i&gt;, 2010; Plomp and Nieveen, 2010)"},"properties":{"noteIndex":0},"schema":"https://github.com/citation-style-language/schema/raw/master/csl-citation.json"}</w:instrText>
      </w:r>
      <w:r w:rsidRPr="00B51DDE">
        <w:rPr>
          <w:rFonts w:ascii="Arial" w:hAnsi="Arial" w:cs="Arial"/>
          <w:b/>
          <w:i/>
          <w:iCs/>
          <w:sz w:val="24"/>
          <w:szCs w:val="24"/>
        </w:rPr>
        <w:fldChar w:fldCharType="separate"/>
      </w:r>
      <w:r w:rsidRPr="00B51DDE">
        <w:rPr>
          <w:rFonts w:ascii="Arial" w:hAnsi="Arial" w:cs="Arial"/>
          <w:iCs/>
          <w:noProof/>
          <w:sz w:val="24"/>
          <w:szCs w:val="24"/>
        </w:rPr>
        <w:t xml:space="preserve">(Hung </w:t>
      </w:r>
      <w:r w:rsidRPr="00B51DDE">
        <w:rPr>
          <w:rFonts w:ascii="Arial" w:hAnsi="Arial" w:cs="Arial"/>
          <w:i/>
          <w:iCs/>
          <w:noProof/>
          <w:sz w:val="24"/>
          <w:szCs w:val="24"/>
        </w:rPr>
        <w:t>et al.</w:t>
      </w:r>
      <w:r w:rsidRPr="00B51DDE">
        <w:rPr>
          <w:rFonts w:ascii="Arial" w:hAnsi="Arial" w:cs="Arial"/>
          <w:iCs/>
          <w:noProof/>
          <w:sz w:val="24"/>
          <w:szCs w:val="24"/>
        </w:rPr>
        <w:t>, 2010; Plomp and Nieveen, 2010)</w:t>
      </w:r>
      <w:r w:rsidRPr="00B51DDE">
        <w:rPr>
          <w:rFonts w:ascii="Arial" w:hAnsi="Arial" w:cs="Arial"/>
          <w:b/>
          <w:i/>
          <w:iCs/>
          <w:sz w:val="24"/>
          <w:szCs w:val="24"/>
        </w:rPr>
        <w:fldChar w:fldCharType="end"/>
      </w:r>
      <w:r w:rsidRPr="00B51DDE">
        <w:rPr>
          <w:rFonts w:ascii="Arial" w:hAnsi="Arial" w:cs="Arial"/>
          <w:bCs/>
          <w:sz w:val="24"/>
          <w:szCs w:val="24"/>
        </w:rPr>
        <w:t xml:space="preserve">. Expert interviews uncovered new areas of research and broadened the evidence base of the belt training process. </w:t>
      </w:r>
      <w:r w:rsidR="00CA4B06" w:rsidRPr="00B51DDE">
        <w:rPr>
          <w:rFonts w:ascii="Arial" w:hAnsi="Arial" w:cs="Arial"/>
          <w:bCs/>
          <w:sz w:val="24"/>
          <w:szCs w:val="24"/>
        </w:rPr>
        <w:t>A</w:t>
      </w:r>
      <w:r w:rsidRPr="00B51DDE">
        <w:rPr>
          <w:rFonts w:ascii="Arial" w:hAnsi="Arial" w:cs="Arial"/>
          <w:bCs/>
          <w:sz w:val="24"/>
          <w:szCs w:val="24"/>
        </w:rPr>
        <w:t xml:space="preserve"> literature review</w:t>
      </w:r>
      <w:r w:rsidRPr="00B51DDE">
        <w:rPr>
          <w:rFonts w:ascii="Arial" w:hAnsi="Arial" w:cs="Arial"/>
          <w:b/>
          <w:bCs/>
          <w:i/>
          <w:iCs/>
          <w:sz w:val="24"/>
          <w:szCs w:val="24"/>
        </w:rPr>
        <w:t xml:space="preserve"> </w:t>
      </w:r>
      <w:r w:rsidRPr="00B51DDE">
        <w:rPr>
          <w:rFonts w:ascii="Arial" w:hAnsi="Arial" w:cs="Arial"/>
          <w:sz w:val="24"/>
          <w:szCs w:val="24"/>
        </w:rPr>
        <w:t xml:space="preserve">is an </w:t>
      </w:r>
      <w:r w:rsidRPr="00B51DDE">
        <w:rPr>
          <w:rFonts w:ascii="Arial" w:hAnsi="Arial" w:cs="Arial"/>
          <w:sz w:val="24"/>
          <w:szCs w:val="24"/>
        </w:rPr>
        <w:lastRenderedPageBreak/>
        <w:t xml:space="preserve">opportunity to increase understanding of the expert input, bolster the evidence base, and allow for </w:t>
      </w:r>
      <w:r w:rsidR="00640D1B" w:rsidRPr="00B51DDE">
        <w:rPr>
          <w:rFonts w:ascii="Arial" w:hAnsi="Arial" w:cs="Arial"/>
          <w:sz w:val="24"/>
          <w:szCs w:val="24"/>
        </w:rPr>
        <w:t xml:space="preserve">the </w:t>
      </w:r>
      <w:r w:rsidRPr="00B51DDE">
        <w:rPr>
          <w:rFonts w:ascii="Arial" w:hAnsi="Arial" w:cs="Arial"/>
          <w:sz w:val="24"/>
          <w:szCs w:val="24"/>
        </w:rPr>
        <w:t xml:space="preserve">assimilation of knowledge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Research","type":"book"},"uris":["http://www.mendeley.com/documents/?uuid=f0a0c8d9-5e9b-48c7-85fc-7981f990d40b"]},{"id":"ITEM-2","itemData":{"DOI":"10.1186/s12874-018-0545-3","ISBN":"1287401805","ISSN":"14712288","PMID":"30107788","abstract":"Background: Systematic literature searching is recognised as a critical component of the systematic review process. It involves a systematic search for studies and aims for a transparent report of study identification, leaving readers clear about what was done to identify studies, and how the findings of the review are situated in the relevant evidence. Information specialists and review teams appear to work from a shared and tacit model of the literature search process. How this tacit model has developed and evolved is unclear, and it has not been explicitly examined before. The purpose of this review is to determine if a shared model of the literature searching process can be detected across systematic review guidance documents and, if so, how this process is reported in the guidance and supported by published studies. Method: A literature review. Two types of literature were reviewed: guidance and published studies. Nine guidance documents were identified, including: The Cochrane and Campbell Handbooks. Published studies were identified through 'pearl growing', citation chasing, a search of PubMed using the systematic review methods filter, and the authors' topic knowledge. The relevant sections within each guidance document were then read and re-read, with the aim of determining key methodological stages. Methodological stages were identified and defined. This data was reviewed to identify agreements and areas of unique guidance between guidance documents. Consensus across multiple guidance documents was used to inform selection of 'key stages' in the process of literature searching. Results: Eight key stages were determined relating specifically to literature searching in systematic reviews. They were: who should literature search, aims and purpose of literature searching, preparation, the search strategy, searching databases, supplementary searching, managing references and reporting the search process. Conclusions: Eight key stages to the process of literature searching in systematic reviews were identified. These key stages are consistently reported in the nine guidance documents, suggesting consensus on the key stages of literature searching, and therefore the process of literature searching as a whole, in systematic reviews. Further research to determine the suitability of using the same process of literature searching for all types of systematic review is indicated.","author":[{"dropping-particle":"","family":"Cooper","given":"Chris","non-dropping-particle":"","parse-names":false,"suffix":""},{"dropping-particle":"","family":"Booth","given":"Andrew","non-dropping-particle":"","parse-names":false,"suffix":""},{"dropping-particle":"","family":"Varley-Campbell","given":"Jo","non-dropping-particle":"","parse-names":false,"suffix":""},{"dropping-particle":"","family":"Britten","given":"Nicky","non-dropping-particle":"","parse-names":false,"suffix":""},{"dropping-particle":"","family":"Garside","given":"Ruth","non-dropping-particle":"","parse-names":false,"suffix":""}],"container-title":"BMC Medical Research Methodology","id":"ITEM-2","issue":"1","issued":{"date-parts":[["2018"]]},"page":"1-14","publisher":"BMC Medical Research Methodology","title":"Defining the process to literature searching in systematic reviews: A literature review of guidance and supporting studies","type":"article-journal","volume":"18"},"uris":["http://www.mendeley.com/documents/?uuid=7ba89b86-7ef1-4246-a794-0d22b80bbf69"]}],"mendeley":{"formattedCitation":"(Merriam and Tisdell, 2016; Cooper &lt;i&gt;et al.&lt;/i&gt;, 2018)","plainTextFormattedCitation":"(Merriam and Tisdell, 2016; Cooper et al., 2018)","previouslyFormattedCitation":"(Merriam and Tisdell, 2016; Cooper &lt;i&gt;et al.&lt;/i&gt;, 2018)"},"properties":{"noteIndex":0},"schema":"https://github.com/citation-style-language/schema/raw/master/csl-citation.json"}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(Merriam and Tisdell, 2016; Cooper </w:t>
      </w:r>
      <w:r w:rsidRPr="00B51DDE">
        <w:rPr>
          <w:rFonts w:ascii="Arial" w:hAnsi="Arial" w:cs="Arial"/>
          <w:i/>
          <w:noProof/>
          <w:sz w:val="24"/>
          <w:szCs w:val="24"/>
        </w:rPr>
        <w:t>et al.</w:t>
      </w:r>
      <w:r w:rsidRPr="00B51DDE">
        <w:rPr>
          <w:rFonts w:ascii="Arial" w:hAnsi="Arial" w:cs="Arial"/>
          <w:noProof/>
          <w:sz w:val="24"/>
          <w:szCs w:val="24"/>
        </w:rPr>
        <w:t>, 2018)</w:t>
      </w:r>
      <w:r w:rsidRPr="00B51DDE">
        <w:rPr>
          <w:rFonts w:ascii="Arial" w:hAnsi="Arial" w:cs="Arial"/>
          <w:sz w:val="24"/>
          <w:szCs w:val="24"/>
        </w:rPr>
        <w:fldChar w:fldCharType="end"/>
      </w:r>
      <w:r w:rsidRPr="00B51DDE">
        <w:rPr>
          <w:rFonts w:ascii="Arial" w:hAnsi="Arial" w:cs="Arial"/>
          <w:sz w:val="24"/>
          <w:szCs w:val="24"/>
        </w:rPr>
        <w:t>.</w:t>
      </w:r>
    </w:p>
    <w:p w14:paraId="6B44F191" w14:textId="10834F83" w:rsidR="0089588A" w:rsidRPr="00B51DDE" w:rsidRDefault="0089588A" w:rsidP="00AE2080">
      <w:pPr>
        <w:pStyle w:val="Default"/>
        <w:spacing w:line="360" w:lineRule="auto"/>
        <w:jc w:val="both"/>
        <w:rPr>
          <w:color w:val="auto"/>
        </w:rPr>
      </w:pPr>
      <w:r w:rsidRPr="00B51DDE">
        <w:rPr>
          <w:color w:val="auto"/>
        </w:rPr>
        <w:t xml:space="preserve">The </w:t>
      </w:r>
      <w:r w:rsidRPr="00B51DDE">
        <w:rPr>
          <w:b/>
          <w:bCs/>
          <w:i/>
          <w:iCs/>
          <w:color w:val="auto"/>
        </w:rPr>
        <w:t>third iteration of the DBR process</w:t>
      </w:r>
      <w:r w:rsidRPr="00B51DDE">
        <w:rPr>
          <w:color w:val="auto"/>
        </w:rPr>
        <w:t xml:space="preserve"> was </w:t>
      </w:r>
      <w:r w:rsidR="003C6C41" w:rsidRPr="00B51DDE">
        <w:rPr>
          <w:color w:val="auto"/>
        </w:rPr>
        <w:t xml:space="preserve">the </w:t>
      </w:r>
      <w:r w:rsidR="0035319C" w:rsidRPr="00B51DDE">
        <w:rPr>
          <w:b/>
          <w:bCs/>
          <w:i/>
          <w:iCs/>
          <w:color w:val="auto"/>
        </w:rPr>
        <w:t xml:space="preserve">practical </w:t>
      </w:r>
      <w:r w:rsidR="002A166A" w:rsidRPr="00B51DDE">
        <w:rPr>
          <w:b/>
          <w:bCs/>
          <w:i/>
          <w:iCs/>
          <w:color w:val="auto"/>
        </w:rPr>
        <w:t>application</w:t>
      </w:r>
      <w:r w:rsidRPr="00B51DDE">
        <w:rPr>
          <w:b/>
          <w:bCs/>
          <w:i/>
          <w:iCs/>
          <w:color w:val="auto"/>
        </w:rPr>
        <w:t xml:space="preserve"> </w:t>
      </w:r>
      <w:r w:rsidR="00756CB0" w:rsidRPr="00B51DDE">
        <w:rPr>
          <w:b/>
          <w:bCs/>
          <w:i/>
          <w:iCs/>
          <w:color w:val="auto"/>
        </w:rPr>
        <w:t xml:space="preserve">of </w:t>
      </w:r>
      <w:r w:rsidRPr="00B51DDE">
        <w:rPr>
          <w:b/>
          <w:bCs/>
          <w:i/>
          <w:iCs/>
          <w:color w:val="auto"/>
        </w:rPr>
        <w:t xml:space="preserve">the belt training </w:t>
      </w:r>
      <w:r w:rsidR="002679E9" w:rsidRPr="00B51DDE">
        <w:rPr>
          <w:b/>
          <w:bCs/>
          <w:i/>
          <w:iCs/>
          <w:color w:val="auto"/>
        </w:rPr>
        <w:t>process</w:t>
      </w:r>
      <w:r w:rsidRPr="00B51DDE">
        <w:rPr>
          <w:b/>
          <w:bCs/>
          <w:i/>
          <w:iCs/>
          <w:color w:val="auto"/>
        </w:rPr>
        <w:t xml:space="preserve"> </w:t>
      </w:r>
      <w:r w:rsidRPr="00B51DDE">
        <w:rPr>
          <w:color w:val="auto"/>
        </w:rPr>
        <w:t>in singing lessons. This was conducted with informed consent from the participant singers. Data collected was used to assess the teaching and learning experience</w:t>
      </w:r>
      <w:r w:rsidR="003E6607" w:rsidRPr="00B51DDE">
        <w:rPr>
          <w:color w:val="auto"/>
        </w:rPr>
        <w:t xml:space="preserve">, the </w:t>
      </w:r>
      <w:r w:rsidRPr="00B51DDE">
        <w:rPr>
          <w:color w:val="auto"/>
        </w:rPr>
        <w:t xml:space="preserve">analysis of which fed into an </w:t>
      </w:r>
      <w:r w:rsidRPr="00B51DDE">
        <w:rPr>
          <w:b/>
          <w:bCs/>
          <w:i/>
          <w:iCs/>
          <w:color w:val="auto"/>
        </w:rPr>
        <w:t xml:space="preserve">evaluation </w:t>
      </w:r>
      <w:r w:rsidRPr="00B51DDE">
        <w:rPr>
          <w:color w:val="auto"/>
        </w:rPr>
        <w:t xml:space="preserve">of the belt training </w:t>
      </w:r>
      <w:r w:rsidR="002679E9" w:rsidRPr="00B51DDE">
        <w:rPr>
          <w:color w:val="auto"/>
        </w:rPr>
        <w:t>process</w:t>
      </w:r>
      <w:r w:rsidRPr="00B51DDE">
        <w:rPr>
          <w:color w:val="auto"/>
        </w:rPr>
        <w:t xml:space="preserve">, and the impact </w:t>
      </w:r>
      <w:r w:rsidR="00F914CB" w:rsidRPr="00B51DDE">
        <w:rPr>
          <w:color w:val="auto"/>
        </w:rPr>
        <w:t xml:space="preserve">of </w:t>
      </w:r>
      <w:r w:rsidRPr="00B51DDE">
        <w:rPr>
          <w:color w:val="auto"/>
        </w:rPr>
        <w:t xml:space="preserve">this study </w:t>
      </w:r>
      <w:r w:rsidR="00756CB0" w:rsidRPr="00B51DDE">
        <w:rPr>
          <w:color w:val="auto"/>
        </w:rPr>
        <w:t xml:space="preserve">had </w:t>
      </w:r>
      <w:r w:rsidRPr="00B51DDE">
        <w:rPr>
          <w:color w:val="auto"/>
        </w:rPr>
        <w:t xml:space="preserve">on my professional development. The discussion and evaluation can be considered as a </w:t>
      </w:r>
      <w:r w:rsidRPr="00B51DDE">
        <w:rPr>
          <w:b/>
          <w:bCs/>
          <w:i/>
          <w:iCs/>
          <w:color w:val="auto"/>
        </w:rPr>
        <w:t xml:space="preserve">final iteration of the DBR process </w:t>
      </w:r>
      <w:r w:rsidRPr="00B51DDE">
        <w:rPr>
          <w:b/>
          <w:bCs/>
          <w:i/>
          <w:iCs/>
          <w:color w:val="auto"/>
        </w:rPr>
        <w:fldChar w:fldCharType="begin" w:fldLock="1"/>
      </w:r>
      <w:r w:rsidRPr="00B51DDE">
        <w:rPr>
          <w:b/>
          <w:bCs/>
          <w:i/>
          <w:iCs/>
          <w:color w:val="auto"/>
        </w:rPr>
        <w:instrText>ADDIN CSL_CITATION {"citationItems":[{"id":"ITEM-1","itemData":{"DOI":"10.3102/0013189X032001009","ISSN":"0013189X","abstract":"In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Researcher","id":"ITEM-1","issue":"1","issued":{"date-parts":[["2003"]]},"page":"9-13","title":"Design Experiments in Educational Research","type":"article-journal","volume":"32"},"uris":["http://www.mendeley.com/documents/?uuid=08ff44a2-ac79-4703-bd67-cf31ab07f305"]}],"mendeley":{"formattedCitation":"(Cobb &lt;i&gt;et al.&lt;/i&gt;, 2003)","plainTextFormattedCitation":"(Cobb et al., 2003)","previouslyFormattedCitation":"(Cobb &lt;i&gt;et al.&lt;/i&gt;, 2003)"},"properties":{"noteIndex":0},"schema":"https://github.com/citation-style-language/schema/raw/master/csl-citation.json"}</w:instrText>
      </w:r>
      <w:r w:rsidRPr="00B51DDE">
        <w:rPr>
          <w:b/>
          <w:bCs/>
          <w:i/>
          <w:iCs/>
          <w:color w:val="auto"/>
        </w:rPr>
        <w:fldChar w:fldCharType="separate"/>
      </w:r>
      <w:r w:rsidRPr="00B51DDE">
        <w:rPr>
          <w:bCs/>
          <w:iCs/>
          <w:noProof/>
          <w:color w:val="auto"/>
        </w:rPr>
        <w:t xml:space="preserve">(Cobb </w:t>
      </w:r>
      <w:r w:rsidRPr="00B51DDE">
        <w:rPr>
          <w:bCs/>
          <w:i/>
          <w:iCs/>
          <w:noProof/>
          <w:color w:val="auto"/>
        </w:rPr>
        <w:t>et al.</w:t>
      </w:r>
      <w:r w:rsidRPr="00B51DDE">
        <w:rPr>
          <w:bCs/>
          <w:iCs/>
          <w:noProof/>
          <w:color w:val="auto"/>
        </w:rPr>
        <w:t>, 2003)</w:t>
      </w:r>
      <w:r w:rsidRPr="00B51DDE">
        <w:rPr>
          <w:b/>
          <w:bCs/>
          <w:i/>
          <w:iCs/>
          <w:color w:val="auto"/>
        </w:rPr>
        <w:fldChar w:fldCharType="end"/>
      </w:r>
      <w:r w:rsidRPr="00B51DDE">
        <w:rPr>
          <w:b/>
          <w:bCs/>
          <w:i/>
          <w:iCs/>
          <w:color w:val="auto"/>
        </w:rPr>
        <w:t>.</w:t>
      </w:r>
      <w:r w:rsidRPr="00B51DDE">
        <w:rPr>
          <w:color w:val="auto"/>
        </w:rPr>
        <w:t xml:space="preserve"> After an introduction session participants received a </w:t>
      </w:r>
      <w:r w:rsidRPr="00B51DDE">
        <w:rPr>
          <w:b/>
          <w:bCs/>
          <w:i/>
          <w:iCs/>
          <w:color w:val="auto"/>
        </w:rPr>
        <w:t xml:space="preserve">series of </w:t>
      </w:r>
      <w:r w:rsidR="000E4DE1" w:rsidRPr="00B51DDE">
        <w:rPr>
          <w:b/>
          <w:bCs/>
          <w:i/>
          <w:iCs/>
          <w:color w:val="auto"/>
        </w:rPr>
        <w:t xml:space="preserve">six </w:t>
      </w:r>
      <w:r w:rsidRPr="00B51DDE">
        <w:rPr>
          <w:b/>
          <w:bCs/>
          <w:i/>
          <w:iCs/>
          <w:color w:val="auto"/>
        </w:rPr>
        <w:t xml:space="preserve">singing lessons </w:t>
      </w:r>
      <w:r w:rsidRPr="00B51DDE">
        <w:rPr>
          <w:color w:val="auto"/>
        </w:rPr>
        <w:t xml:space="preserve">with the belt training </w:t>
      </w:r>
      <w:r w:rsidR="002679E9" w:rsidRPr="00B51DDE">
        <w:rPr>
          <w:color w:val="auto"/>
        </w:rPr>
        <w:t>process</w:t>
      </w:r>
      <w:r w:rsidRPr="00B51DDE">
        <w:rPr>
          <w:color w:val="auto"/>
        </w:rPr>
        <w:t xml:space="preserve"> informing the work. Data gathering from participants included </w:t>
      </w:r>
      <w:r w:rsidRPr="00B51DDE">
        <w:rPr>
          <w:b/>
          <w:bCs/>
          <w:i/>
          <w:iCs/>
          <w:color w:val="auto"/>
        </w:rPr>
        <w:t>pre- and post-study</w:t>
      </w:r>
      <w:r w:rsidRPr="00B51DDE">
        <w:rPr>
          <w:color w:val="auto"/>
        </w:rPr>
        <w:t xml:space="preserve"> interviews </w:t>
      </w:r>
      <w:r w:rsidR="00EB37AC" w:rsidRPr="00B51DDE">
        <w:rPr>
          <w:color w:val="auto"/>
        </w:rPr>
        <w:t xml:space="preserve">which </w:t>
      </w:r>
      <w:r w:rsidRPr="00B51DDE">
        <w:rPr>
          <w:color w:val="auto"/>
        </w:rPr>
        <w:t>form</w:t>
      </w:r>
      <w:r w:rsidR="00234024" w:rsidRPr="00B51DDE">
        <w:rPr>
          <w:color w:val="auto"/>
        </w:rPr>
        <w:t>ed</w:t>
      </w:r>
      <w:r w:rsidRPr="00B51DDE">
        <w:rPr>
          <w:color w:val="auto"/>
        </w:rPr>
        <w:t xml:space="preserve"> an inquiry into student </w:t>
      </w:r>
      <w:r w:rsidR="00415A24" w:rsidRPr="00B51DDE">
        <w:rPr>
          <w:color w:val="auto"/>
        </w:rPr>
        <w:t xml:space="preserve">experiences, knowledge, and </w:t>
      </w:r>
      <w:r w:rsidRPr="00B51DDE">
        <w:rPr>
          <w:color w:val="auto"/>
        </w:rPr>
        <w:t xml:space="preserve">feelings </w:t>
      </w:r>
      <w:r w:rsidR="00415A24" w:rsidRPr="00B51DDE">
        <w:rPr>
          <w:color w:val="auto"/>
        </w:rPr>
        <w:t>about</w:t>
      </w:r>
      <w:r w:rsidRPr="00B51DDE">
        <w:rPr>
          <w:color w:val="auto"/>
        </w:rPr>
        <w:t xml:space="preserve"> belting. Additional data gathering used </w:t>
      </w:r>
      <w:r w:rsidRPr="00B51DDE">
        <w:rPr>
          <w:b/>
          <w:bCs/>
          <w:i/>
          <w:iCs/>
          <w:color w:val="auto"/>
        </w:rPr>
        <w:t xml:space="preserve">student practice logs </w:t>
      </w:r>
      <w:r w:rsidRPr="00B51DDE">
        <w:rPr>
          <w:color w:val="auto"/>
        </w:rPr>
        <w:t xml:space="preserve">with ghosted templates encouraging freeform responses regarding </w:t>
      </w:r>
      <w:r w:rsidR="00632D44" w:rsidRPr="00B51DDE">
        <w:rPr>
          <w:color w:val="auto"/>
        </w:rPr>
        <w:t xml:space="preserve">their belt training and </w:t>
      </w:r>
      <w:r w:rsidRPr="00B51DDE">
        <w:rPr>
          <w:color w:val="auto"/>
        </w:rPr>
        <w:t>learning experience</w:t>
      </w:r>
      <w:r w:rsidR="00632D44" w:rsidRPr="00B51DDE">
        <w:rPr>
          <w:color w:val="auto"/>
        </w:rPr>
        <w:t>s</w:t>
      </w:r>
      <w:r w:rsidR="00F23C91" w:rsidRPr="00B51DDE">
        <w:rPr>
          <w:color w:val="auto"/>
        </w:rPr>
        <w:t xml:space="preserve"> during the study</w:t>
      </w:r>
      <w:r w:rsidR="00FF5A56">
        <w:rPr>
          <w:color w:val="auto"/>
        </w:rPr>
        <w:t xml:space="preserve"> (appendices 7, 8, and 9)</w:t>
      </w:r>
      <w:r w:rsidRPr="00B51DDE">
        <w:rPr>
          <w:color w:val="auto"/>
        </w:rPr>
        <w:t xml:space="preserve">. </w:t>
      </w:r>
      <w:r w:rsidR="00AD692B" w:rsidRPr="00B51DDE">
        <w:rPr>
          <w:color w:val="auto"/>
        </w:rPr>
        <w:t>The surveys and p</w:t>
      </w:r>
      <w:r w:rsidRPr="00B51DDE">
        <w:rPr>
          <w:color w:val="auto"/>
        </w:rPr>
        <w:t>ractice logs were a further opportunity for inquiry by encouraging student reflections on their learning experience</w:t>
      </w:r>
      <w:r w:rsidR="00415A24" w:rsidRPr="00B51DDE">
        <w:rPr>
          <w:color w:val="auto"/>
        </w:rPr>
        <w:t xml:space="preserve"> and</w:t>
      </w:r>
      <w:r w:rsidRPr="00B51DDE">
        <w:rPr>
          <w:color w:val="auto"/>
        </w:rPr>
        <w:t xml:space="preserve"> the belt training process</w:t>
      </w:r>
      <w:r w:rsidR="00415A24" w:rsidRPr="00B51DDE">
        <w:rPr>
          <w:color w:val="auto"/>
        </w:rPr>
        <w:t xml:space="preserve"> which</w:t>
      </w:r>
      <w:r w:rsidRPr="00B51DDE">
        <w:rPr>
          <w:color w:val="auto"/>
        </w:rPr>
        <w:t xml:space="preserve"> ultimately offer insight into my CPD </w:t>
      </w:r>
      <w:r w:rsidRPr="00B51DDE">
        <w:rPr>
          <w:color w:val="auto"/>
        </w:rPr>
        <w:fldChar w:fldCharType="begin" w:fldLock="1"/>
      </w:r>
      <w:r w:rsidRPr="00B51DDE">
        <w:rPr>
          <w:color w:val="auto"/>
        </w:rPr>
        <w:instrText>ADDIN CSL_CITATION {"citationItems":[{"id":"ITEM-1","itemData":{"DOI":"10.1007/s11423-007-9080-3","ISSN":"10421629","abstract":"This study adopted design and development research methodology (Richey &amp; Klein, Design and development research: Methods, strategies, and issues, 2007) to systematically investigate the process of applying instructional design principles, human-computer interaction, and software engineering to a performance support system (PSS) for behavior management in a classroom. The purpose was to examine how a proposed instructional design framework based on Ausubel's (The psychology of meaningful verbal learning, 1963) advance organizer theoretical approach could be used to address inherent problems of technically driven PSSs. Development data were collected from a six-phase participatory rapid prototyping process using both qualitative and quantitative methods. Findings indicated that (a) the advance organizer concept combined with a matrix design metaphor provided an effective way to illustrate conceptual connections and relations among PSS modules and their elaborated information, (b) the system served as a reference to support participants for exchanging ideas with other teachers as well as with parents of students, and (c) the rapid prototyping process established parameters that helped the project team maintain a focus on users and collect data useful for advancing to a higher phase of system development. Potential drawbacks pertaining to the proposed design strategies and their possible corrective actions are also reported and discussed. © 2007 Association for Educational Communications and Technology.","author":[{"dropping-particle":"","family":"Hung","given":"Wei Chen","non-dropping-particle":"","parse-names":false,"suffix":""},{"dropping-particle":"","family":"Smith","given":"Thomas J.","non-dropping-particle":"","parse-names":false,"suffix":""},{"dropping-particle":"","family":"Harris","given":"Marian S.","non-dropping-particle":"","parse-names":false,"suffix":""},{"dropping-particle":"","family":"Lockard","given":"James","non-dropping-particle":"","parse-names":false,"suffix":""}],"container-title":"Educational Technology Research and Development","id":"ITEM-1","issue":"1","issued":{"date-parts":[["2010"]]},"page":"61-80","title":"Development research of a teachers' educational performance support system: The practices of design, development, and evaluation","type":"article-journal","volume":"58"},"uris":["http://www.mendeley.com/documents/?uuid=c470c2f9-c646-4910-8bf2-5fe79776a13c"]},{"id":"ITEM-2","itemData":{"DOI":"10.1080/09523987.2013.843832","ISBN":"9780415618038","ISSN":"0952-3987","abstract":"Many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International","id":"ITEM-2","issue":"3","issued":{"date-parts":[["2013"]]},"number-of-pages":"226-227","title":"Conducting educational design research","type":"book","volume":"50"},"uris":["http://www.mendeley.com/documents/?uuid=65fe1a69-feb3-481a-bae9-8feec0fc6a15"]}],"mendeley":{"formattedCitation":"(Hung &lt;i&gt;et al.&lt;/i&gt;, 2010; Valentine and Kopcha, 2013)","plainTextFormattedCitation":"(Hung et al., 2010; Valentine and Kopcha, 2013)","previouslyFormattedCitation":"(Hung &lt;i&gt;et al.&lt;/i&gt;, 2010; Valentine and Kopcha, 2013)"},"properties":{"noteIndex":0},"schema":"https://github.com/citation-style-language/schema/raw/master/csl-citation.json"}</w:instrText>
      </w:r>
      <w:r w:rsidRPr="00B51DDE">
        <w:rPr>
          <w:color w:val="auto"/>
        </w:rPr>
        <w:fldChar w:fldCharType="separate"/>
      </w:r>
      <w:r w:rsidRPr="00B51DDE">
        <w:rPr>
          <w:noProof/>
          <w:color w:val="auto"/>
        </w:rPr>
        <w:t xml:space="preserve">(Hung </w:t>
      </w:r>
      <w:r w:rsidRPr="00B51DDE">
        <w:rPr>
          <w:i/>
          <w:noProof/>
          <w:color w:val="auto"/>
        </w:rPr>
        <w:t>et al.</w:t>
      </w:r>
      <w:r w:rsidRPr="00B51DDE">
        <w:rPr>
          <w:noProof/>
          <w:color w:val="auto"/>
        </w:rPr>
        <w:t>, 2010; Valentine and Kopcha, 2013)</w:t>
      </w:r>
      <w:r w:rsidRPr="00B51DDE">
        <w:rPr>
          <w:color w:val="auto"/>
        </w:rPr>
        <w:fldChar w:fldCharType="end"/>
      </w:r>
      <w:r w:rsidRPr="00B51DDE">
        <w:rPr>
          <w:color w:val="auto"/>
        </w:rPr>
        <w:t>. Evaluation of the study assessed if usable knowledge ha</w:t>
      </w:r>
      <w:r w:rsidR="00BB2015" w:rsidRPr="00B51DDE">
        <w:rPr>
          <w:color w:val="auto"/>
        </w:rPr>
        <w:t>d</w:t>
      </w:r>
      <w:r w:rsidRPr="00B51DDE">
        <w:rPr>
          <w:color w:val="auto"/>
        </w:rPr>
        <w:t xml:space="preserve"> been uncovered, and whether this knowledge aided the teaching and learning in a complex ‘real-life’ setting. This was the method which measured the impact of this study on my CPD </w:t>
      </w:r>
      <w:r w:rsidRPr="00B51DDE">
        <w:rPr>
          <w:color w:val="auto"/>
        </w:rPr>
        <w:fldChar w:fldCharType="begin" w:fldLock="1"/>
      </w:r>
      <w:r w:rsidRPr="00B51DDE">
        <w:rPr>
          <w:color w:val="auto"/>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Inquiry","type":"article-journal","volume":"32"},"uris":["http://www.mendeley.com/documents/?uuid=b43c7288-c64a-424e-bb77-bf33da21147a"]},{"id":"ITEM-2","itemData":{"DOI":"10.1007/978-1-4614-3185-5","ISBN":"9781461431855","abstract":"The 4th edition of the Handbook of Research on Educational Communications and Technology expands upon the previous 3 versions, providing a comprehensive update on research pertaining to new and emerging educational technologies. Chapters that are no longer pertinent have been eliminated in this edition, with most chapters being completely rewritten, expanded, and updated Additionally, new chapters pertaining to research methodologies in educational technology have been added due to expressed reader interest. Each chapter now contains an extensive literature review, documenting and explaining the most recent, outstanding research, including major findings and methodologies employed. The Handbook authors continue to be international leaders in their respective fields; the list is cross disciplinary by design and great effort was taken to invite authors outside of the traditional instructional design and technology community.","author":[{"dropping-particle":"","family":"Spector","given":"J. Michael","non-dropping-particle":"","parse-names":false,"suffix":""},{"dropping-particle":"","family":"Merrill","given":"M. David","non-dropping-particle":"","parse-names":false,"suffix":""},{"dropping-particle":"","family":"Elen","given":"Jan","non-dropping-particle":"","parse-names":false,"suffix":""},{"dropping-particle":"","family":"Bishop","given":"M. J.","non-dropping-particle":"","parse-names":false,"suffix":""}],"container-title":"Handbook of Research on Educational Communications and Technology: Fourth Edition","id":"ITEM-2","issue":"May","issued":{"date-parts":[["2014"]]},"page":"1-1005","title":"Handbook of research on educational communications and technology: Fourth edition","type":"article-journal"},"uris":["http://www.mendeley.com/documents/?uuid=ee8e75d9-cffc-4c5e-8a16-37ce3c288417"]}],"mendeley":{"formattedCitation":"(Hoadley &lt;i&gt;et al.&lt;/i&gt;, 2002; Spector &lt;i&gt;et al.&lt;/i&gt;, 2014)","plainTextFormattedCitation":"(Hoadley et al., 2002; Spector et al., 2014)","previouslyFormattedCitation":"(Hoadley &lt;i&gt;et al.&lt;/i&gt;, 2002; Spector &lt;i&gt;et al.&lt;/i&gt;, 2014)"},"properties":{"noteIndex":0},"schema":"https://github.com/citation-style-language/schema/raw/master/csl-citation.json"}</w:instrText>
      </w:r>
      <w:r w:rsidRPr="00B51DDE">
        <w:rPr>
          <w:color w:val="auto"/>
        </w:rPr>
        <w:fldChar w:fldCharType="separate"/>
      </w:r>
      <w:r w:rsidRPr="00B51DDE">
        <w:rPr>
          <w:noProof/>
          <w:color w:val="auto"/>
        </w:rPr>
        <w:t xml:space="preserve">(Hoadley </w:t>
      </w:r>
      <w:r w:rsidRPr="00B51DDE">
        <w:rPr>
          <w:i/>
          <w:noProof/>
          <w:color w:val="auto"/>
        </w:rPr>
        <w:t>et al.</w:t>
      </w:r>
      <w:r w:rsidRPr="00B51DDE">
        <w:rPr>
          <w:noProof/>
          <w:color w:val="auto"/>
        </w:rPr>
        <w:t xml:space="preserve">, 2002; Spector </w:t>
      </w:r>
      <w:r w:rsidRPr="00B51DDE">
        <w:rPr>
          <w:i/>
          <w:noProof/>
          <w:color w:val="auto"/>
        </w:rPr>
        <w:t>et al.</w:t>
      </w:r>
      <w:r w:rsidRPr="00B51DDE">
        <w:rPr>
          <w:noProof/>
          <w:color w:val="auto"/>
        </w:rPr>
        <w:t>, 2014)</w:t>
      </w:r>
      <w:r w:rsidRPr="00B51DDE">
        <w:rPr>
          <w:color w:val="auto"/>
        </w:rPr>
        <w:fldChar w:fldCharType="end"/>
      </w:r>
      <w:r w:rsidRPr="00B51DDE">
        <w:rPr>
          <w:color w:val="auto"/>
        </w:rPr>
        <w:t>.</w:t>
      </w:r>
    </w:p>
    <w:p w14:paraId="689B989D" w14:textId="77777777" w:rsidR="00E3496E" w:rsidRPr="00B51DDE" w:rsidRDefault="00E3496E" w:rsidP="00AE2080">
      <w:pPr>
        <w:pStyle w:val="Default"/>
        <w:spacing w:line="360" w:lineRule="auto"/>
        <w:jc w:val="both"/>
        <w:rPr>
          <w:color w:val="auto"/>
        </w:rPr>
      </w:pPr>
    </w:p>
    <w:p w14:paraId="4EF439F1" w14:textId="77777777" w:rsidR="0089588A" w:rsidRPr="00B51DDE" w:rsidRDefault="0089588A" w:rsidP="00AE2080">
      <w:pPr>
        <w:spacing w:line="360" w:lineRule="auto"/>
        <w:jc w:val="both"/>
        <w:rPr>
          <w:rFonts w:ascii="Arial" w:hAnsi="Arial" w:cs="Arial"/>
          <w:b/>
          <w:bCs/>
          <w:sz w:val="24"/>
          <w:szCs w:val="24"/>
        </w:rPr>
      </w:pPr>
      <w:r w:rsidRPr="00B51DDE">
        <w:rPr>
          <w:rFonts w:ascii="Arial" w:hAnsi="Arial" w:cs="Arial"/>
          <w:b/>
          <w:bCs/>
          <w:sz w:val="24"/>
          <w:szCs w:val="24"/>
        </w:rPr>
        <w:t>Participants</w:t>
      </w:r>
    </w:p>
    <w:p w14:paraId="685BB973" w14:textId="77777777" w:rsidR="004704AE" w:rsidRPr="00B51DDE" w:rsidRDefault="0089588A" w:rsidP="00AE2080">
      <w:pPr>
        <w:pStyle w:val="Default"/>
        <w:spacing w:line="360" w:lineRule="auto"/>
        <w:jc w:val="both"/>
        <w:rPr>
          <w:color w:val="auto"/>
        </w:rPr>
      </w:pPr>
      <w:r w:rsidRPr="00B51DDE">
        <w:rPr>
          <w:color w:val="auto"/>
        </w:rPr>
        <w:t xml:space="preserve">Validity in the study was addressed using triangulation of data sources with the involvement of the two experts, </w:t>
      </w:r>
      <w:r w:rsidR="008B6AAE" w:rsidRPr="00B51DDE">
        <w:rPr>
          <w:color w:val="auto"/>
        </w:rPr>
        <w:t xml:space="preserve">the </w:t>
      </w:r>
      <w:r w:rsidRPr="00B51DDE">
        <w:rPr>
          <w:color w:val="auto"/>
        </w:rPr>
        <w:t xml:space="preserve">literature review, and the three female participant singers </w:t>
      </w:r>
      <w:r w:rsidRPr="00B51DDE">
        <w:rPr>
          <w:color w:val="auto"/>
        </w:rPr>
        <w:fldChar w:fldCharType="begin" w:fldLock="1"/>
      </w:r>
      <w:r w:rsidRPr="00B51DDE">
        <w:rPr>
          <w:color w:val="auto"/>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research","type":"article-journal"},"uris":["http://www.mendeley.com/documents/?uuid=3d903e11-a75e-401c-b864-4f301aac1ac9"]}],"mendeley":{"formattedCitation":"(Plomp and Nieveen, 2010)","plainTextFormattedCitation":"(Plomp and Nieveen, 2010)","previouslyFormattedCitation":"(Plomp and Nieveen, 2010)"},"properties":{"noteIndex":0},"schema":"https://github.com/citation-style-language/schema/raw/master/csl-citation.json"}</w:instrText>
      </w:r>
      <w:r w:rsidRPr="00B51DDE">
        <w:rPr>
          <w:color w:val="auto"/>
        </w:rPr>
        <w:fldChar w:fldCharType="separate"/>
      </w:r>
      <w:r w:rsidRPr="00B51DDE">
        <w:rPr>
          <w:noProof/>
          <w:color w:val="auto"/>
        </w:rPr>
        <w:t>(Plomp and Nieveen, 2010)</w:t>
      </w:r>
      <w:r w:rsidRPr="00B51DDE">
        <w:rPr>
          <w:color w:val="auto"/>
        </w:rPr>
        <w:fldChar w:fldCharType="end"/>
      </w:r>
      <w:r w:rsidRPr="00B51DDE">
        <w:rPr>
          <w:color w:val="auto"/>
        </w:rPr>
        <w:t xml:space="preserve">. </w:t>
      </w:r>
      <w:r w:rsidRPr="00B51DDE">
        <w:rPr>
          <w:color w:val="auto"/>
          <w:shd w:val="clear" w:color="auto" w:fill="FFFFFF"/>
        </w:rPr>
        <w:t>Due to personal reasons</w:t>
      </w:r>
      <w:r w:rsidR="008B6AAE" w:rsidRPr="00B51DDE">
        <w:rPr>
          <w:color w:val="auto"/>
          <w:shd w:val="clear" w:color="auto" w:fill="FFFFFF"/>
        </w:rPr>
        <w:t>,</w:t>
      </w:r>
      <w:r w:rsidRPr="00B51DDE">
        <w:rPr>
          <w:color w:val="auto"/>
          <w:shd w:val="clear" w:color="auto" w:fill="FFFFFF"/>
        </w:rPr>
        <w:t xml:space="preserve"> one student participant could not complete the project and an additional participant was added to maintain the desired number of singers</w:t>
      </w:r>
      <w:r w:rsidR="00323B8E" w:rsidRPr="00B51DDE">
        <w:rPr>
          <w:color w:val="auto"/>
          <w:shd w:val="clear" w:color="auto" w:fill="FFFFFF"/>
        </w:rPr>
        <w:t xml:space="preserve"> and lessons</w:t>
      </w:r>
      <w:r w:rsidRPr="00B51DDE">
        <w:rPr>
          <w:color w:val="auto"/>
          <w:shd w:val="clear" w:color="auto" w:fill="FFFFFF"/>
        </w:rPr>
        <w:t>.</w:t>
      </w:r>
      <w:r w:rsidRPr="00B51DDE">
        <w:rPr>
          <w:b/>
          <w:bCs/>
          <w:i/>
          <w:iCs/>
          <w:color w:val="auto"/>
        </w:rPr>
        <w:t xml:space="preserve"> Convenience sampling</w:t>
      </w:r>
      <w:r w:rsidRPr="00B51DDE">
        <w:rPr>
          <w:color w:val="auto"/>
        </w:rPr>
        <w:t xml:space="preserve"> was used to source </w:t>
      </w:r>
      <w:r w:rsidRPr="00B51DDE">
        <w:rPr>
          <w:b/>
          <w:bCs/>
          <w:i/>
          <w:iCs/>
          <w:color w:val="auto"/>
        </w:rPr>
        <w:t>participant singers</w:t>
      </w:r>
      <w:r w:rsidRPr="00B51DDE">
        <w:rPr>
          <w:color w:val="auto"/>
        </w:rPr>
        <w:t xml:space="preserve"> within my client base, by their interest in learning to belt, little or no belt training, and their availability </w:t>
      </w:r>
      <w:r w:rsidRPr="00B51DDE">
        <w:rPr>
          <w:color w:val="auto"/>
        </w:rPr>
        <w:fldChar w:fldCharType="begin" w:fldLock="1"/>
      </w:r>
      <w:r w:rsidRPr="00B51DDE">
        <w:rPr>
          <w:color w:val="auto"/>
        </w:rPr>
        <w:instrText>ADDIN CSL_CITATION {"citationItems":[{"id":"ITEM-1","itemData":{"DOI":"10.1177/2345678906292430","ISSN":"15586901","abstract":"This article presents a discussion of mixed methods (MM) sampling techniques. MM sampling involves combining well-established qualitative and quantitative techniques in creative ways to answer research questions posed by MM research designs. Several issues germane to MM sampling are presented including the differences between probability and purposive sampling and the probability-mixed-purposive sampling continuum. Four MM sampling prototypes are introduced: basic MM sampling strategies, sequential MM sampling, concurrent MM sampling, and multilevel MM sampling. Examples of each of these techniques are given as illustrations of how researchers actually generate MM samples. Finally, eight guidelines for MM sampling are presented. © 2007, SAGE Publications. All rights reserved.","author":[{"dropping-particle":"","family":"Teddlie","given":"Charles","non-dropping-particle":"","parse-names":false,"suffix":""},{"dropping-particle":"","family":"Yu","given":"Fen","non-dropping-particle":"","parse-names":false,"suffix":""}],"container-title":"Journal of Mixed Methods Research","id":"ITEM-1","issue":"1","issued":{"date-parts":[["2007"]]},"page":"77-100","title":"Mixed Methods Sampling: A Typology With Examples","type":"article-journal","volume":"1"},"uris":["http://www.mendeley.com/documents/?uuid=db7b6d44-aef2-4a32-b4f7-1cd9839e690e"]},{"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Guide","type":"book"},"uris":["http://www.mendeley.com/documents/?uuid=f0f8632a-34fe-4332-acd9-274e093fbb0b"]}],"mendeley":{"formattedCitation":"(Teddlie and Yu, 2007; Denscombe, 2014)","plainTextFormattedCitation":"(Teddlie and Yu, 2007; Denscombe, 2014)","previouslyFormattedCitation":"(Teddlie and Yu, 2007; Denscombe, 2014)"},"properties":{"noteIndex":0},"schema":"https://github.com/citation-style-language/schema/raw/master/csl-citation.json"}</w:instrText>
      </w:r>
      <w:r w:rsidRPr="00B51DDE">
        <w:rPr>
          <w:color w:val="auto"/>
        </w:rPr>
        <w:fldChar w:fldCharType="separate"/>
      </w:r>
      <w:r w:rsidRPr="00B51DDE">
        <w:rPr>
          <w:noProof/>
          <w:color w:val="auto"/>
        </w:rPr>
        <w:t>(Teddlie and Yu, 2007; Denscombe, 2014)</w:t>
      </w:r>
      <w:r w:rsidRPr="00B51DDE">
        <w:rPr>
          <w:color w:val="auto"/>
        </w:rPr>
        <w:fldChar w:fldCharType="end"/>
      </w:r>
      <w:r w:rsidRPr="00B51DDE">
        <w:rPr>
          <w:color w:val="auto"/>
        </w:rPr>
        <w:t xml:space="preserve">. The participant students received an introduction to the study and belt singing. Discussion </w:t>
      </w:r>
      <w:r w:rsidRPr="00B51DDE">
        <w:rPr>
          <w:color w:val="auto"/>
        </w:rPr>
        <w:lastRenderedPageBreak/>
        <w:t>and the opportunity for students to seek clarification w</w:t>
      </w:r>
      <w:r w:rsidR="00C43A4F" w:rsidRPr="00B51DDE">
        <w:rPr>
          <w:color w:val="auto"/>
        </w:rPr>
        <w:t>ere</w:t>
      </w:r>
      <w:r w:rsidRPr="00B51DDE">
        <w:rPr>
          <w:color w:val="auto"/>
        </w:rPr>
        <w:t xml:space="preserve"> part of th</w:t>
      </w:r>
      <w:r w:rsidR="003F0694" w:rsidRPr="00B51DDE">
        <w:rPr>
          <w:color w:val="auto"/>
        </w:rPr>
        <w:t>e introduction</w:t>
      </w:r>
      <w:r w:rsidR="006112E6" w:rsidRPr="00B51DDE">
        <w:rPr>
          <w:color w:val="auto"/>
        </w:rPr>
        <w:t xml:space="preserve"> session</w:t>
      </w:r>
      <w:r w:rsidRPr="00B51DDE">
        <w:rPr>
          <w:color w:val="auto"/>
        </w:rPr>
        <w:t xml:space="preserve">. The </w:t>
      </w:r>
      <w:r w:rsidR="006112E6" w:rsidRPr="00B51DDE">
        <w:rPr>
          <w:color w:val="auto"/>
        </w:rPr>
        <w:t xml:space="preserve">project </w:t>
      </w:r>
      <w:r w:rsidRPr="00B51DDE">
        <w:rPr>
          <w:color w:val="auto"/>
        </w:rPr>
        <w:t xml:space="preserve">introduction and accompanying documents were the basis on which the participants gave informed consent </w:t>
      </w:r>
      <w:r w:rsidRPr="00B51DDE">
        <w:rPr>
          <w:color w:val="auto"/>
        </w:rPr>
        <w:fldChar w:fldCharType="begin" w:fldLock="1"/>
      </w:r>
      <w:r w:rsidRPr="00B51DDE">
        <w:rPr>
          <w:color w:val="auto"/>
        </w:rPr>
        <w:instrText>ADDIN CSL_CITATION {"citationItems":[{"id":"ITEM-1","itemData":{"author":[{"dropping-particle":"","family":"University of Wales Trinity Saint David","given":"","non-dropping-particle":"","parse-names":false,"suffix":""}],"id":"ITEM-1","issued":{"date-parts":[["2015"]]},"page":"1-17","title":"Integrity Code of Practice","type":"article"},"uris":["http://www.mendeley.com/documents/?uuid=d22eab58-a747-4734-bed1-31084b6fcb24"]}],"mendeley":{"formattedCitation":"(University of Wales Trinity Saint David, 2015)","plainTextFormattedCitation":"(University of Wales Trinity Saint David, 2015)","previouslyFormattedCitation":"(University of Wales Trinity Saint David, 2015)"},"properties":{"noteIndex":0},"schema":"https://github.com/citation-style-language/schema/raw/master/csl-citation.json"}</w:instrText>
      </w:r>
      <w:r w:rsidRPr="00B51DDE">
        <w:rPr>
          <w:color w:val="auto"/>
        </w:rPr>
        <w:fldChar w:fldCharType="separate"/>
      </w:r>
      <w:r w:rsidRPr="00B51DDE">
        <w:rPr>
          <w:noProof/>
          <w:color w:val="auto"/>
        </w:rPr>
        <w:t>(University of Wales Trinity Saint David, 2015)</w:t>
      </w:r>
      <w:r w:rsidRPr="00B51DDE">
        <w:rPr>
          <w:color w:val="auto"/>
        </w:rPr>
        <w:fldChar w:fldCharType="end"/>
      </w:r>
      <w:r w:rsidRPr="00B51DDE">
        <w:rPr>
          <w:color w:val="auto"/>
        </w:rPr>
        <w:t xml:space="preserve">. </w:t>
      </w:r>
    </w:p>
    <w:p w14:paraId="0A5FAC8B" w14:textId="5BD37483" w:rsidR="0089588A" w:rsidRPr="00B51DDE" w:rsidRDefault="0089588A" w:rsidP="00AE2080">
      <w:pPr>
        <w:pStyle w:val="Default"/>
        <w:spacing w:line="360" w:lineRule="auto"/>
        <w:jc w:val="both"/>
        <w:rPr>
          <w:color w:val="auto"/>
        </w:rPr>
      </w:pPr>
      <w:r w:rsidRPr="00B51DDE">
        <w:rPr>
          <w:b/>
          <w:bCs/>
          <w:i/>
          <w:iCs/>
          <w:color w:val="auto"/>
        </w:rPr>
        <w:t>Expert participants</w:t>
      </w:r>
      <w:r w:rsidRPr="00B51DDE">
        <w:rPr>
          <w:color w:val="auto"/>
        </w:rPr>
        <w:t xml:space="preserve"> were sought through the </w:t>
      </w:r>
      <w:r w:rsidR="004704AE" w:rsidRPr="00B51DDE">
        <w:rPr>
          <w:color w:val="auto"/>
        </w:rPr>
        <w:t>‘</w:t>
      </w:r>
      <w:r w:rsidRPr="00B51DDE">
        <w:rPr>
          <w:color w:val="auto"/>
        </w:rPr>
        <w:t>Voice Geek</w:t>
      </w:r>
      <w:r w:rsidR="004704AE" w:rsidRPr="00B51DDE">
        <w:rPr>
          <w:color w:val="auto"/>
        </w:rPr>
        <w:t>’</w:t>
      </w:r>
      <w:r w:rsidRPr="00B51DDE">
        <w:rPr>
          <w:color w:val="auto"/>
        </w:rPr>
        <w:t xml:space="preserve"> Facebook forum. Independent experts were professionals invited to volunteer in the study </w:t>
      </w:r>
      <w:r w:rsidRPr="00B51DDE">
        <w:rPr>
          <w:color w:val="auto"/>
        </w:rPr>
        <w:fldChar w:fldCharType="begin" w:fldLock="1"/>
      </w:r>
      <w:r w:rsidRPr="00B51DDE">
        <w:rPr>
          <w:color w:val="auto"/>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Guide","type":"book"},"uris":["http://www.mendeley.com/documents/?uuid=f0f8632a-34fe-4332-acd9-274e093fbb0b"]}],"mendeley":{"formattedCitation":"(Denscombe, 2014)","plainTextFormattedCitation":"(Denscombe, 2014)","previouslyFormattedCitation":"(Denscombe, 2014)"},"properties":{"noteIndex":0},"schema":"https://github.com/citation-style-language/schema/raw/master/csl-citation.json"}</w:instrText>
      </w:r>
      <w:r w:rsidRPr="00B51DDE">
        <w:rPr>
          <w:color w:val="auto"/>
        </w:rPr>
        <w:fldChar w:fldCharType="separate"/>
      </w:r>
      <w:r w:rsidRPr="00B51DDE">
        <w:rPr>
          <w:noProof/>
          <w:color w:val="auto"/>
        </w:rPr>
        <w:t>(Denscombe, 2014)</w:t>
      </w:r>
      <w:r w:rsidRPr="00B51DDE">
        <w:rPr>
          <w:color w:val="auto"/>
        </w:rPr>
        <w:fldChar w:fldCharType="end"/>
      </w:r>
      <w:r w:rsidRPr="00B51DDE">
        <w:rPr>
          <w:color w:val="auto"/>
        </w:rPr>
        <w:t xml:space="preserve">. The advert called for an expression of interest and contained information about the study. Preference for inclusion was given to qualified </w:t>
      </w:r>
      <w:r w:rsidR="00DA403F" w:rsidRPr="00B51DDE">
        <w:rPr>
          <w:color w:val="auto"/>
        </w:rPr>
        <w:t xml:space="preserve">belting </w:t>
      </w:r>
      <w:r w:rsidRPr="00B51DDE">
        <w:rPr>
          <w:color w:val="auto"/>
        </w:rPr>
        <w:t xml:space="preserve">experts with greater experience in the field of voice teaching and research as this supported a comprehensive and systematic literature review </w:t>
      </w:r>
      <w:r w:rsidRPr="00B51DDE">
        <w:rPr>
          <w:color w:val="auto"/>
        </w:rPr>
        <w:fldChar w:fldCharType="begin" w:fldLock="1"/>
      </w:r>
      <w:r w:rsidRPr="00B51DDE">
        <w:rPr>
          <w:color w:val="auto"/>
        </w:rPr>
        <w:instrText>ADDIN CSL_CITATION {"citationItems":[{"id":"ITEM-1","itemData":{"DOI":"10.1186/s12874-018-0545-3","ISBN":"1287401805","ISSN":"14712288","PMID":"30107788","abstract":"Background: Systematic literature searching is recognised as a critical component of the systematic review process. It involves a systematic search for studies and aims for a transparent report of study identification, leaving readers clear about what was done to identify studies, and how the findings of the review are situated in the relevant evidence. Information specialists and review teams appear to work from a shared and tacit model of the literature search process. How this tacit model has developed and evolved is unclear, and it has not been explicitly examined before. The purpose of this review is to determine if a shared model of the literature searching process can be detected across systematic review guidance documents and, if so, how this process is reported in the guidance and supported by published studies. Method: A literature review. Two types of literature were reviewed: guidance and published studies. Nine guidance documents were identified, including: The Cochrane and Campbell Handbooks. Published studies were identified through 'pearl growing', citation chasing, a search of PubMed using the systematic review methods filter, and the authors' topic knowledge. The relevant sections within each guidance document were then read and re-read, with the aim of determining key methodological stages. Methodological stages were identified and defined. This data was reviewed to identify agreements and areas of unique guidance between guidance documents. Consensus across multiple guidance documents was used to inform selection of 'key stages' in the process of literature searching. Results: Eight key stages were determined relating specifically to literature searching in systematic reviews. They were: who should literature search, aims and purpose of literature searching, preparation, the search strategy, searching databases, supplementary searching, managing references and reporting the search process. Conclusions: Eight key stages to the process of literature searching in systematic reviews were identified. These key stages are consistently reported in the nine guidance documents, suggesting consensus on the key stages of literature searching, and therefore the process of literature searching as a whole, in systematic reviews. Further research to determine the suitability of using the same process of literature searching for all types of systematic review is indicated.","author":[{"dropping-particle":"","family":"Cooper","given":"Chris","non-dropping-particle":"","parse-names":false,"suffix":""},{"dropping-particle":"","family":"Booth","given":"Andrew","non-dropping-particle":"","parse-names":false,"suffix":""},{"dropping-particle":"","family":"Varley-Campbell","given":"Jo","non-dropping-particle":"","parse-names":false,"suffix":""},{"dropping-particle":"","family":"Britten","given":"Nicky","non-dropping-particle":"","parse-names":false,"suffix":""},{"dropping-particle":"","family":"Garside","given":"Ruth","non-dropping-particle":"","parse-names":false,"suffix":""}],"container-title":"BMC Medical Research Methodology","id":"ITEM-1","issue":"1","issued":{"date-parts":[["2018"]]},"page":"1-14","publisher":"BMC Medical Research Methodology","title":"Defining the process to literature searching in systematic reviews: A literature review of guidance and supporting studies","type":"article-journal","volume":"18"},"uris":["http://www.mendeley.com/documents/?uuid=7ba89b86-7ef1-4246-a794-0d22b80bbf69"]}],"mendeley":{"formattedCitation":"(Cooper &lt;i&gt;et al.&lt;/i&gt;, 2018)","plainTextFormattedCitation":"(Cooper et al., 2018)","previouslyFormattedCitation":"(Cooper &lt;i&gt;et al.&lt;/i&gt;, 2018)"},"properties":{"noteIndex":0},"schema":"https://github.com/citation-style-language/schema/raw/master/csl-citation.json"}</w:instrText>
      </w:r>
      <w:r w:rsidRPr="00B51DDE">
        <w:rPr>
          <w:color w:val="auto"/>
        </w:rPr>
        <w:fldChar w:fldCharType="separate"/>
      </w:r>
      <w:r w:rsidRPr="00B51DDE">
        <w:rPr>
          <w:noProof/>
          <w:color w:val="auto"/>
        </w:rPr>
        <w:t xml:space="preserve">(Cooper </w:t>
      </w:r>
      <w:r w:rsidRPr="00B51DDE">
        <w:rPr>
          <w:i/>
          <w:noProof/>
          <w:color w:val="auto"/>
        </w:rPr>
        <w:t>et al.</w:t>
      </w:r>
      <w:r w:rsidRPr="00B51DDE">
        <w:rPr>
          <w:noProof/>
          <w:color w:val="auto"/>
        </w:rPr>
        <w:t>, 2018)</w:t>
      </w:r>
      <w:r w:rsidRPr="00B51DDE">
        <w:rPr>
          <w:color w:val="auto"/>
        </w:rPr>
        <w:fldChar w:fldCharType="end"/>
      </w:r>
      <w:r w:rsidRPr="00B51DDE">
        <w:rPr>
          <w:color w:val="auto"/>
        </w:rPr>
        <w:t xml:space="preserve">. Experts received a written introduction to the study and </w:t>
      </w:r>
      <w:r w:rsidR="00BF25A4">
        <w:rPr>
          <w:color w:val="auto"/>
        </w:rPr>
        <w:t>given</w:t>
      </w:r>
      <w:r w:rsidRPr="00B51DDE">
        <w:rPr>
          <w:color w:val="auto"/>
        </w:rPr>
        <w:t xml:space="preserve"> the opportunity to ask questions before agreeing to participate. All participants gave informed consent based on the </w:t>
      </w:r>
      <w:r w:rsidR="00F14FD6" w:rsidRPr="00B51DDE">
        <w:rPr>
          <w:color w:val="auto"/>
        </w:rPr>
        <w:t>u</w:t>
      </w:r>
      <w:r w:rsidRPr="00B51DDE">
        <w:rPr>
          <w:color w:val="auto"/>
        </w:rPr>
        <w:t xml:space="preserve">niversity’s guidelines </w:t>
      </w:r>
      <w:r w:rsidRPr="00B51DDE">
        <w:rPr>
          <w:color w:val="auto"/>
        </w:rPr>
        <w:fldChar w:fldCharType="begin" w:fldLock="1"/>
      </w:r>
      <w:r w:rsidRPr="00B51DDE">
        <w:rPr>
          <w:color w:val="auto"/>
        </w:rPr>
        <w:instrText>ADDIN CSL_CITATION {"citationItems":[{"id":"ITEM-1","itemData":{"author":[{"dropping-particle":"","family":"University of Wales Trinity Saint David","given":"","non-dropping-particle":"","parse-names":false,"suffix":""}],"id":"ITEM-1","issued":{"date-parts":[["2015"]]},"page":"1-17","title":"Integrity Code of Practice","type":"article"},"uris":["http://www.mendeley.com/documents/?uuid=d22eab58-a747-4734-bed1-31084b6fcb24"]}],"mendeley":{"formattedCitation":"(University of Wales Trinity Saint David, 2015)","plainTextFormattedCitation":"(University of Wales Trinity Saint David, 2015)","previouslyFormattedCitation":"(University of Wales Trinity Saint David, 2015)"},"properties":{"noteIndex":0},"schema":"https://github.com/citation-style-language/schema/raw/master/csl-citation.json"}</w:instrText>
      </w:r>
      <w:r w:rsidRPr="00B51DDE">
        <w:rPr>
          <w:color w:val="auto"/>
        </w:rPr>
        <w:fldChar w:fldCharType="separate"/>
      </w:r>
      <w:r w:rsidRPr="00B51DDE">
        <w:rPr>
          <w:noProof/>
          <w:color w:val="auto"/>
        </w:rPr>
        <w:t>(University of Wales Trinity Saint David, 2015)</w:t>
      </w:r>
      <w:r w:rsidRPr="00B51DDE">
        <w:rPr>
          <w:color w:val="auto"/>
        </w:rPr>
        <w:fldChar w:fldCharType="end"/>
      </w:r>
      <w:r w:rsidRPr="00B51DDE">
        <w:rPr>
          <w:color w:val="auto"/>
        </w:rPr>
        <w:t>.</w:t>
      </w:r>
    </w:p>
    <w:p w14:paraId="744718FD" w14:textId="77777777" w:rsidR="00025ABE" w:rsidRPr="00B51DDE" w:rsidRDefault="00025ABE" w:rsidP="00AE2080">
      <w:pPr>
        <w:pStyle w:val="Default"/>
        <w:spacing w:line="360" w:lineRule="auto"/>
        <w:jc w:val="both"/>
        <w:rPr>
          <w:color w:val="auto"/>
        </w:rPr>
      </w:pPr>
    </w:p>
    <w:p w14:paraId="136B09BF" w14:textId="07938AC5" w:rsidR="0089588A" w:rsidRPr="00B51DDE" w:rsidRDefault="0089588A" w:rsidP="00AE2080">
      <w:pPr>
        <w:pStyle w:val="Default"/>
        <w:spacing w:line="360" w:lineRule="auto"/>
        <w:jc w:val="both"/>
        <w:rPr>
          <w:color w:val="auto"/>
        </w:rPr>
      </w:pPr>
      <w:r w:rsidRPr="00B51DDE">
        <w:rPr>
          <w:color w:val="auto"/>
        </w:rPr>
        <w:t xml:space="preserve">The structure of this report is underpinned by the iterative nature of the DBR methodology. </w:t>
      </w:r>
      <w:r w:rsidR="00F60036" w:rsidRPr="00B51DDE">
        <w:rPr>
          <w:color w:val="auto"/>
        </w:rPr>
        <w:t>Each stage of the report</w:t>
      </w:r>
      <w:r w:rsidRPr="00B51DDE">
        <w:rPr>
          <w:color w:val="auto"/>
        </w:rPr>
        <w:t xml:space="preserve"> </w:t>
      </w:r>
      <w:r w:rsidR="00894FC1" w:rsidRPr="00B51DDE">
        <w:rPr>
          <w:color w:val="auto"/>
        </w:rPr>
        <w:t xml:space="preserve">has embedded </w:t>
      </w:r>
      <w:r w:rsidR="00F8553F" w:rsidRPr="00B51DDE">
        <w:rPr>
          <w:color w:val="auto"/>
        </w:rPr>
        <w:t>d</w:t>
      </w:r>
      <w:r w:rsidRPr="00B51DDE">
        <w:rPr>
          <w:color w:val="auto"/>
        </w:rPr>
        <w:t>ata</w:t>
      </w:r>
      <w:r w:rsidR="00F8553F" w:rsidRPr="00B51DDE">
        <w:rPr>
          <w:color w:val="auto"/>
        </w:rPr>
        <w:t>,</w:t>
      </w:r>
      <w:r w:rsidRPr="00B51DDE">
        <w:rPr>
          <w:color w:val="auto"/>
        </w:rPr>
        <w:t xml:space="preserve"> analys</w:t>
      </w:r>
      <w:r w:rsidR="00F60036" w:rsidRPr="00B51DDE">
        <w:rPr>
          <w:color w:val="auto"/>
        </w:rPr>
        <w:t>e</w:t>
      </w:r>
      <w:r w:rsidRPr="00B51DDE">
        <w:rPr>
          <w:color w:val="auto"/>
        </w:rPr>
        <w:t xml:space="preserve">s, </w:t>
      </w:r>
      <w:r w:rsidR="00894FC1" w:rsidRPr="00B51DDE">
        <w:rPr>
          <w:color w:val="auto"/>
        </w:rPr>
        <w:t>reflections,</w:t>
      </w:r>
      <w:r w:rsidRPr="00B51DDE">
        <w:rPr>
          <w:color w:val="auto"/>
        </w:rPr>
        <w:t xml:space="preserve"> and pedagogical implications </w:t>
      </w:r>
      <w:r w:rsidR="006B6772" w:rsidRPr="00B51DDE">
        <w:rPr>
          <w:color w:val="auto"/>
        </w:rPr>
        <w:t>included</w:t>
      </w:r>
      <w:r w:rsidR="001E5102" w:rsidRPr="00B51DDE">
        <w:rPr>
          <w:color w:val="auto"/>
        </w:rPr>
        <w:t xml:space="preserve"> </w:t>
      </w:r>
      <w:r w:rsidR="00894FC1" w:rsidRPr="00B51DDE">
        <w:rPr>
          <w:color w:val="auto"/>
        </w:rPr>
        <w:t>the iterative cycles of the</w:t>
      </w:r>
      <w:r w:rsidRPr="00B51DDE">
        <w:rPr>
          <w:color w:val="auto"/>
        </w:rPr>
        <w:t xml:space="preserve"> DBR </w:t>
      </w:r>
      <w:r w:rsidR="00894FC1" w:rsidRPr="00B51DDE">
        <w:rPr>
          <w:color w:val="auto"/>
        </w:rPr>
        <w:t>methodology</w:t>
      </w:r>
      <w:r w:rsidRPr="00B51DDE">
        <w:rPr>
          <w:color w:val="auto"/>
        </w:rPr>
        <w:t>:</w:t>
      </w:r>
    </w:p>
    <w:p w14:paraId="1DC06545" w14:textId="77777777" w:rsidR="00894FC1" w:rsidRPr="00B51DDE" w:rsidRDefault="00894FC1" w:rsidP="00AE2080">
      <w:pPr>
        <w:pStyle w:val="Default"/>
        <w:spacing w:line="360" w:lineRule="auto"/>
        <w:jc w:val="both"/>
        <w:rPr>
          <w:color w:val="auto"/>
        </w:rPr>
      </w:pPr>
    </w:p>
    <w:p w14:paraId="0C618F2D" w14:textId="3B43C231" w:rsidR="0089588A" w:rsidRPr="00B51DDE" w:rsidRDefault="0089588A" w:rsidP="00AE2080">
      <w:pPr>
        <w:pStyle w:val="Default"/>
        <w:numPr>
          <w:ilvl w:val="0"/>
          <w:numId w:val="6"/>
        </w:numPr>
        <w:spacing w:line="360" w:lineRule="auto"/>
        <w:jc w:val="both"/>
        <w:rPr>
          <w:color w:val="auto"/>
        </w:rPr>
      </w:pPr>
      <w:r w:rsidRPr="00B51DDE">
        <w:rPr>
          <w:b/>
          <w:bCs/>
          <w:color w:val="auto"/>
        </w:rPr>
        <w:t>D</w:t>
      </w:r>
      <w:r w:rsidR="001B7457" w:rsidRPr="00B51DDE">
        <w:rPr>
          <w:b/>
          <w:bCs/>
          <w:color w:val="auto"/>
        </w:rPr>
        <w:t>esign-</w:t>
      </w:r>
      <w:r w:rsidR="00F12A28">
        <w:rPr>
          <w:b/>
          <w:bCs/>
          <w:color w:val="auto"/>
        </w:rPr>
        <w:t>b</w:t>
      </w:r>
      <w:r w:rsidR="001B7457" w:rsidRPr="00B51DDE">
        <w:rPr>
          <w:b/>
          <w:bCs/>
          <w:color w:val="auto"/>
        </w:rPr>
        <w:t xml:space="preserve">ased </w:t>
      </w:r>
      <w:r w:rsidR="00F12A28">
        <w:rPr>
          <w:b/>
          <w:bCs/>
          <w:color w:val="auto"/>
        </w:rPr>
        <w:t>r</w:t>
      </w:r>
      <w:r w:rsidR="001B7457" w:rsidRPr="00B51DDE">
        <w:rPr>
          <w:b/>
          <w:bCs/>
          <w:color w:val="auto"/>
        </w:rPr>
        <w:t>esearch</w:t>
      </w:r>
      <w:r w:rsidRPr="00B51DDE">
        <w:rPr>
          <w:b/>
          <w:bCs/>
          <w:color w:val="auto"/>
        </w:rPr>
        <w:t xml:space="preserve"> stage 1: </w:t>
      </w:r>
      <w:r w:rsidR="00E33797">
        <w:rPr>
          <w:b/>
          <w:bCs/>
          <w:color w:val="auto"/>
        </w:rPr>
        <w:t>e</w:t>
      </w:r>
      <w:r w:rsidRPr="00B51DDE">
        <w:rPr>
          <w:b/>
          <w:bCs/>
          <w:color w:val="auto"/>
        </w:rPr>
        <w:t xml:space="preserve">xpert </w:t>
      </w:r>
      <w:r w:rsidR="00E33797">
        <w:rPr>
          <w:b/>
          <w:bCs/>
          <w:color w:val="auto"/>
        </w:rPr>
        <w:t>c</w:t>
      </w:r>
      <w:r w:rsidRPr="00B51DDE">
        <w:rPr>
          <w:b/>
          <w:bCs/>
          <w:color w:val="auto"/>
        </w:rPr>
        <w:t>onsultations</w:t>
      </w:r>
      <w:r w:rsidR="00291334">
        <w:rPr>
          <w:b/>
          <w:bCs/>
          <w:color w:val="auto"/>
        </w:rPr>
        <w:t>.</w:t>
      </w:r>
      <w:r w:rsidR="00291334">
        <w:rPr>
          <w:color w:val="auto"/>
        </w:rPr>
        <w:t xml:space="preserve"> This </w:t>
      </w:r>
      <w:r w:rsidR="00647C0A" w:rsidRPr="00B51DDE">
        <w:rPr>
          <w:color w:val="auto"/>
        </w:rPr>
        <w:t>i</w:t>
      </w:r>
      <w:r w:rsidRPr="00B51DDE">
        <w:rPr>
          <w:color w:val="auto"/>
        </w:rPr>
        <w:t>nclud</w:t>
      </w:r>
      <w:r w:rsidR="00647C0A" w:rsidRPr="00B51DDE">
        <w:rPr>
          <w:color w:val="auto"/>
        </w:rPr>
        <w:t>e</w:t>
      </w:r>
      <w:r w:rsidR="00291334">
        <w:rPr>
          <w:color w:val="auto"/>
        </w:rPr>
        <w:t>s</w:t>
      </w:r>
      <w:r w:rsidRPr="00B51DDE">
        <w:rPr>
          <w:color w:val="auto"/>
        </w:rPr>
        <w:t xml:space="preserve"> findings, analysis, and belt </w:t>
      </w:r>
      <w:r w:rsidR="00DD563D" w:rsidRPr="00B51DDE">
        <w:rPr>
          <w:color w:val="auto"/>
        </w:rPr>
        <w:t xml:space="preserve">training </w:t>
      </w:r>
      <w:r w:rsidRPr="00B51DDE">
        <w:rPr>
          <w:color w:val="auto"/>
        </w:rPr>
        <w:t>process suggestions for improvement</w:t>
      </w:r>
    </w:p>
    <w:p w14:paraId="15BE59F6" w14:textId="0D1E5EF7" w:rsidR="0089588A" w:rsidRPr="00B51DDE" w:rsidRDefault="001B7457" w:rsidP="00AE2080">
      <w:pPr>
        <w:pStyle w:val="Default"/>
        <w:numPr>
          <w:ilvl w:val="0"/>
          <w:numId w:val="6"/>
        </w:numPr>
        <w:spacing w:line="360" w:lineRule="auto"/>
        <w:jc w:val="both"/>
        <w:rPr>
          <w:color w:val="auto"/>
        </w:rPr>
      </w:pPr>
      <w:r w:rsidRPr="00B51DDE">
        <w:rPr>
          <w:b/>
          <w:bCs/>
          <w:color w:val="auto"/>
        </w:rPr>
        <w:t>Design-</w:t>
      </w:r>
      <w:r w:rsidR="00F12A28">
        <w:rPr>
          <w:b/>
          <w:bCs/>
          <w:color w:val="auto"/>
        </w:rPr>
        <w:t>b</w:t>
      </w:r>
      <w:r w:rsidRPr="00B51DDE">
        <w:rPr>
          <w:b/>
          <w:bCs/>
          <w:color w:val="auto"/>
        </w:rPr>
        <w:t xml:space="preserve">ased </w:t>
      </w:r>
      <w:r w:rsidR="00F12A28">
        <w:rPr>
          <w:b/>
          <w:bCs/>
          <w:color w:val="auto"/>
        </w:rPr>
        <w:t>r</w:t>
      </w:r>
      <w:r w:rsidRPr="00B51DDE">
        <w:rPr>
          <w:b/>
          <w:bCs/>
          <w:color w:val="auto"/>
        </w:rPr>
        <w:t>esearch</w:t>
      </w:r>
      <w:r w:rsidR="0089588A" w:rsidRPr="00B51DDE">
        <w:rPr>
          <w:b/>
          <w:bCs/>
          <w:color w:val="auto"/>
        </w:rPr>
        <w:t xml:space="preserve"> stage 2: </w:t>
      </w:r>
      <w:r w:rsidR="00E33797">
        <w:rPr>
          <w:b/>
          <w:bCs/>
          <w:color w:val="auto"/>
        </w:rPr>
        <w:t>l</w:t>
      </w:r>
      <w:r w:rsidR="0089588A" w:rsidRPr="00B51DDE">
        <w:rPr>
          <w:b/>
          <w:bCs/>
          <w:color w:val="auto"/>
        </w:rPr>
        <w:t xml:space="preserve">iterature </w:t>
      </w:r>
      <w:r w:rsidR="00E33797">
        <w:rPr>
          <w:b/>
          <w:bCs/>
          <w:color w:val="auto"/>
        </w:rPr>
        <w:t>r</w:t>
      </w:r>
      <w:r w:rsidR="0089588A" w:rsidRPr="00B51DDE">
        <w:rPr>
          <w:b/>
          <w:bCs/>
          <w:color w:val="auto"/>
        </w:rPr>
        <w:t>eview</w:t>
      </w:r>
      <w:r w:rsidR="0058326F" w:rsidRPr="00B51DDE">
        <w:rPr>
          <w:color w:val="auto"/>
        </w:rPr>
        <w:t xml:space="preserve">. This </w:t>
      </w:r>
      <w:r w:rsidR="00FE5CFF" w:rsidRPr="00B51DDE">
        <w:rPr>
          <w:color w:val="auto"/>
        </w:rPr>
        <w:t>was</w:t>
      </w:r>
      <w:r w:rsidR="0058326F" w:rsidRPr="00B51DDE">
        <w:rPr>
          <w:color w:val="auto"/>
        </w:rPr>
        <w:t xml:space="preserve"> </w:t>
      </w:r>
      <w:r w:rsidR="0089588A" w:rsidRPr="00B51DDE">
        <w:rPr>
          <w:color w:val="auto"/>
        </w:rPr>
        <w:t>informed by the expert consultations</w:t>
      </w:r>
      <w:r w:rsidR="00031277">
        <w:rPr>
          <w:color w:val="auto"/>
        </w:rPr>
        <w:t>, i</w:t>
      </w:r>
      <w:r w:rsidR="0089588A" w:rsidRPr="00B51DDE">
        <w:rPr>
          <w:color w:val="auto"/>
        </w:rPr>
        <w:t xml:space="preserve">ncluding an analysis to reveal ideas for improvement of </w:t>
      </w:r>
      <w:r w:rsidR="00682DDD" w:rsidRPr="00B51DDE">
        <w:rPr>
          <w:color w:val="auto"/>
        </w:rPr>
        <w:t xml:space="preserve">the </w:t>
      </w:r>
      <w:r w:rsidR="0089588A" w:rsidRPr="00B51DDE">
        <w:rPr>
          <w:color w:val="auto"/>
        </w:rPr>
        <w:t>belt</w:t>
      </w:r>
      <w:r w:rsidR="005637F3" w:rsidRPr="00B51DDE">
        <w:rPr>
          <w:color w:val="auto"/>
        </w:rPr>
        <w:t xml:space="preserve"> training</w:t>
      </w:r>
      <w:r w:rsidR="0089588A" w:rsidRPr="00B51DDE">
        <w:rPr>
          <w:color w:val="auto"/>
        </w:rPr>
        <w:t xml:space="preserve"> process</w:t>
      </w:r>
    </w:p>
    <w:p w14:paraId="428DF714" w14:textId="705BAD0D" w:rsidR="0089588A" w:rsidRPr="00B51DDE" w:rsidRDefault="001B7457" w:rsidP="00AE2080">
      <w:pPr>
        <w:pStyle w:val="Default"/>
        <w:numPr>
          <w:ilvl w:val="0"/>
          <w:numId w:val="6"/>
        </w:numPr>
        <w:spacing w:line="360" w:lineRule="auto"/>
        <w:jc w:val="both"/>
        <w:rPr>
          <w:color w:val="auto"/>
        </w:rPr>
      </w:pPr>
      <w:r w:rsidRPr="00B51DDE">
        <w:rPr>
          <w:b/>
          <w:bCs/>
          <w:color w:val="auto"/>
        </w:rPr>
        <w:t>Design-</w:t>
      </w:r>
      <w:r w:rsidR="00F12A28">
        <w:rPr>
          <w:b/>
          <w:bCs/>
          <w:color w:val="auto"/>
        </w:rPr>
        <w:t>b</w:t>
      </w:r>
      <w:r w:rsidRPr="00B51DDE">
        <w:rPr>
          <w:b/>
          <w:bCs/>
          <w:color w:val="auto"/>
        </w:rPr>
        <w:t xml:space="preserve">ased </w:t>
      </w:r>
      <w:r w:rsidR="00F12A28">
        <w:rPr>
          <w:b/>
          <w:bCs/>
          <w:color w:val="auto"/>
        </w:rPr>
        <w:t>r</w:t>
      </w:r>
      <w:r w:rsidRPr="00B51DDE">
        <w:rPr>
          <w:b/>
          <w:bCs/>
          <w:color w:val="auto"/>
        </w:rPr>
        <w:t>esearch</w:t>
      </w:r>
      <w:r w:rsidR="0089588A" w:rsidRPr="00B51DDE">
        <w:rPr>
          <w:b/>
          <w:bCs/>
          <w:color w:val="auto"/>
        </w:rPr>
        <w:t xml:space="preserve"> stage 3: </w:t>
      </w:r>
      <w:r w:rsidR="00E33797">
        <w:rPr>
          <w:b/>
          <w:bCs/>
          <w:color w:val="auto"/>
        </w:rPr>
        <w:t>a</w:t>
      </w:r>
      <w:r w:rsidR="0089588A" w:rsidRPr="00B51DDE">
        <w:rPr>
          <w:b/>
          <w:bCs/>
          <w:color w:val="auto"/>
        </w:rPr>
        <w:t xml:space="preserve">ssessing </w:t>
      </w:r>
      <w:r w:rsidR="00E33797">
        <w:rPr>
          <w:b/>
          <w:bCs/>
          <w:color w:val="auto"/>
        </w:rPr>
        <w:t>p</w:t>
      </w:r>
      <w:r w:rsidR="0089588A" w:rsidRPr="00B51DDE">
        <w:rPr>
          <w:b/>
          <w:bCs/>
          <w:color w:val="auto"/>
        </w:rPr>
        <w:t xml:space="preserve">ractical </w:t>
      </w:r>
      <w:r w:rsidR="00E33797">
        <w:rPr>
          <w:b/>
          <w:bCs/>
          <w:color w:val="auto"/>
        </w:rPr>
        <w:t>a</w:t>
      </w:r>
      <w:r w:rsidR="0089588A" w:rsidRPr="00B51DDE">
        <w:rPr>
          <w:b/>
          <w:bCs/>
          <w:color w:val="auto"/>
        </w:rPr>
        <w:t>pplication</w:t>
      </w:r>
      <w:r w:rsidR="0089588A" w:rsidRPr="00B51DDE">
        <w:rPr>
          <w:color w:val="auto"/>
        </w:rPr>
        <w:t>. Data gathering and analysis</w:t>
      </w:r>
      <w:r w:rsidR="00BC74B5" w:rsidRPr="00B51DDE">
        <w:rPr>
          <w:color w:val="auto"/>
        </w:rPr>
        <w:t xml:space="preserve"> of student feedback and logs</w:t>
      </w:r>
    </w:p>
    <w:p w14:paraId="5B4C8365" w14:textId="76D56D91" w:rsidR="0089588A" w:rsidRPr="00B51DDE" w:rsidRDefault="0089588A" w:rsidP="00AE2080">
      <w:pPr>
        <w:pStyle w:val="Default"/>
        <w:numPr>
          <w:ilvl w:val="0"/>
          <w:numId w:val="6"/>
        </w:numPr>
        <w:spacing w:line="360" w:lineRule="auto"/>
        <w:jc w:val="both"/>
        <w:rPr>
          <w:color w:val="auto"/>
        </w:rPr>
      </w:pPr>
      <w:r w:rsidRPr="00B51DDE">
        <w:rPr>
          <w:b/>
          <w:bCs/>
          <w:color w:val="auto"/>
        </w:rPr>
        <w:t>Discussion:</w:t>
      </w:r>
      <w:r w:rsidRPr="00B51DDE">
        <w:rPr>
          <w:color w:val="auto"/>
        </w:rPr>
        <w:t xml:space="preserve"> Analysis and evaluation of the DBR process and the study</w:t>
      </w:r>
    </w:p>
    <w:p w14:paraId="21599E53" w14:textId="77777777" w:rsidR="0089588A" w:rsidRPr="00B51DDE" w:rsidRDefault="0089588A" w:rsidP="00AE2080">
      <w:pPr>
        <w:pStyle w:val="Default"/>
        <w:numPr>
          <w:ilvl w:val="0"/>
          <w:numId w:val="6"/>
        </w:numPr>
        <w:spacing w:line="360" w:lineRule="auto"/>
        <w:jc w:val="both"/>
        <w:rPr>
          <w:color w:val="auto"/>
        </w:rPr>
      </w:pPr>
      <w:r w:rsidRPr="00B51DDE">
        <w:rPr>
          <w:b/>
          <w:bCs/>
          <w:color w:val="auto"/>
        </w:rPr>
        <w:t>Reflections and evaluation</w:t>
      </w:r>
    </w:p>
    <w:p w14:paraId="061B8776" w14:textId="61BBF3B0" w:rsidR="0089588A" w:rsidRPr="00B51DDE" w:rsidRDefault="0089588A" w:rsidP="00AE2080">
      <w:pPr>
        <w:pStyle w:val="Default"/>
        <w:numPr>
          <w:ilvl w:val="0"/>
          <w:numId w:val="6"/>
        </w:numPr>
        <w:spacing w:line="360" w:lineRule="auto"/>
        <w:jc w:val="both"/>
        <w:rPr>
          <w:b/>
          <w:bCs/>
          <w:color w:val="auto"/>
        </w:rPr>
      </w:pPr>
      <w:r w:rsidRPr="00B51DDE">
        <w:rPr>
          <w:b/>
          <w:bCs/>
          <w:color w:val="auto"/>
        </w:rPr>
        <w:t>Conclusion</w:t>
      </w:r>
    </w:p>
    <w:p w14:paraId="4C347A74" w14:textId="77A1F42E" w:rsidR="0089588A" w:rsidRPr="00B51DDE" w:rsidRDefault="0089588A" w:rsidP="00AE2080">
      <w:pPr>
        <w:pStyle w:val="Default"/>
        <w:spacing w:line="360" w:lineRule="auto"/>
        <w:jc w:val="both"/>
        <w:rPr>
          <w:bCs/>
          <w:color w:val="auto"/>
        </w:rPr>
      </w:pPr>
      <w:r w:rsidRPr="00B51DDE">
        <w:rPr>
          <w:bCs/>
          <w:color w:val="auto"/>
        </w:rPr>
        <w:t>All preparation, analysis, coordination and writing-up was conducted by me. Workload planning has culminated in the following workflow (see G</w:t>
      </w:r>
      <w:r w:rsidR="008A3801" w:rsidRPr="00B51DDE">
        <w:rPr>
          <w:bCs/>
          <w:color w:val="auto"/>
        </w:rPr>
        <w:t xml:space="preserve">ANNT </w:t>
      </w:r>
      <w:r w:rsidRPr="00B51DDE">
        <w:rPr>
          <w:bCs/>
          <w:color w:val="auto"/>
        </w:rPr>
        <w:t>chart following</w:t>
      </w:r>
      <w:r w:rsidR="008A3801" w:rsidRPr="00B51DDE">
        <w:rPr>
          <w:bCs/>
          <w:color w:val="auto"/>
        </w:rPr>
        <w:t xml:space="preserve">, </w:t>
      </w:r>
      <w:hyperlink w:anchor="GANNT" w:history="1">
        <w:r w:rsidR="00E74A3F" w:rsidRPr="00B51DDE">
          <w:rPr>
            <w:rStyle w:val="Hyperlink"/>
            <w:bCs/>
          </w:rPr>
          <w:t>F</w:t>
        </w:r>
        <w:r w:rsidR="008A3801" w:rsidRPr="00B51DDE">
          <w:rPr>
            <w:rStyle w:val="Hyperlink"/>
            <w:bCs/>
          </w:rPr>
          <w:t>ig</w:t>
        </w:r>
        <w:r w:rsidR="00E74A3F" w:rsidRPr="00B51DDE">
          <w:rPr>
            <w:rStyle w:val="Hyperlink"/>
            <w:bCs/>
          </w:rPr>
          <w:t>ure</w:t>
        </w:r>
        <w:r w:rsidR="008A3801" w:rsidRPr="00B51DDE">
          <w:rPr>
            <w:rStyle w:val="Hyperlink"/>
            <w:bCs/>
          </w:rPr>
          <w:t xml:space="preserve"> </w:t>
        </w:r>
        <w:r w:rsidR="009D38C7" w:rsidRPr="00B51DDE">
          <w:rPr>
            <w:rStyle w:val="Hyperlink"/>
            <w:bCs/>
          </w:rPr>
          <w:t>4</w:t>
        </w:r>
      </w:hyperlink>
      <w:r w:rsidRPr="00B51DDE">
        <w:rPr>
          <w:bCs/>
          <w:color w:val="auto"/>
        </w:rPr>
        <w:t>).</w:t>
      </w:r>
      <w:r w:rsidRPr="00B51DDE">
        <w:rPr>
          <w:bCs/>
          <w:color w:val="auto"/>
        </w:rPr>
        <w:br w:type="page"/>
      </w:r>
    </w:p>
    <w:p w14:paraId="3273D745" w14:textId="2DEC364A" w:rsidR="008A3801" w:rsidRPr="00B51DDE" w:rsidRDefault="008A3801" w:rsidP="00AE2080">
      <w:pPr>
        <w:spacing w:line="360" w:lineRule="auto"/>
        <w:rPr>
          <w:rFonts w:ascii="Arial" w:hAnsi="Arial" w:cs="Arial"/>
          <w:sz w:val="24"/>
          <w:szCs w:val="24"/>
        </w:rPr>
      </w:pPr>
      <w:bookmarkStart w:id="7" w:name="GANNT"/>
      <w:r w:rsidRPr="00B51DDE">
        <w:rPr>
          <w:rFonts w:ascii="Arial" w:hAnsi="Arial" w:cs="Arial"/>
          <w:sz w:val="24"/>
          <w:szCs w:val="24"/>
        </w:rPr>
        <w:lastRenderedPageBreak/>
        <w:t xml:space="preserve">Figure </w:t>
      </w:r>
      <w:r w:rsidR="009D38C7" w:rsidRPr="00B51DDE">
        <w:rPr>
          <w:rFonts w:ascii="Arial" w:hAnsi="Arial" w:cs="Arial"/>
          <w:sz w:val="24"/>
          <w:szCs w:val="24"/>
        </w:rPr>
        <w:t>4</w:t>
      </w:r>
      <w:r w:rsidRPr="00B51DDE">
        <w:rPr>
          <w:rFonts w:ascii="Arial" w:hAnsi="Arial" w:cs="Arial"/>
          <w:sz w:val="24"/>
          <w:szCs w:val="24"/>
        </w:rPr>
        <w:t>: Project planning GANNT chart</w:t>
      </w:r>
    </w:p>
    <w:bookmarkEnd w:id="7"/>
    <w:p w14:paraId="00EF4E7B" w14:textId="468FFBEE" w:rsidR="00970E6D" w:rsidRPr="002E015D" w:rsidRDefault="00480333" w:rsidP="00AE2080">
      <w:pPr>
        <w:spacing w:line="360" w:lineRule="auto"/>
        <w:jc w:val="center"/>
        <w:rPr>
          <w:rFonts w:ascii="Arial" w:hAnsi="Arial" w:cs="Arial"/>
          <w:sz w:val="24"/>
          <w:szCs w:val="24"/>
        </w:rPr>
      </w:pPr>
      <w:r>
        <w:rPr>
          <w:rFonts w:ascii="Arial" w:hAnsi="Arial" w:cs="Arial"/>
          <w:noProof/>
          <w:sz w:val="24"/>
          <w:szCs w:val="24"/>
        </w:rPr>
        <w:drawing>
          <wp:inline distT="0" distB="0" distL="0" distR="0" wp14:anchorId="1CC0C06A" wp14:editId="71DDE522">
            <wp:extent cx="5731510" cy="4683760"/>
            <wp:effectExtent l="0" t="0" r="2540" b="2540"/>
            <wp:docPr id="64993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32946" name="Picture 649932946"/>
                    <pic:cNvPicPr/>
                  </pic:nvPicPr>
                  <pic:blipFill>
                    <a:blip r:embed="rId14">
                      <a:extLst>
                        <a:ext uri="{28A0092B-C50C-407E-A947-70E740481C1C}">
                          <a14:useLocalDpi xmlns:a14="http://schemas.microsoft.com/office/drawing/2010/main" val="0"/>
                        </a:ext>
                      </a:extLst>
                    </a:blip>
                    <a:stretch>
                      <a:fillRect/>
                    </a:stretch>
                  </pic:blipFill>
                  <pic:spPr>
                    <a:xfrm>
                      <a:off x="0" y="0"/>
                      <a:ext cx="5731510" cy="4683760"/>
                    </a:xfrm>
                    <a:prstGeom prst="rect">
                      <a:avLst/>
                    </a:prstGeom>
                  </pic:spPr>
                </pic:pic>
              </a:graphicData>
            </a:graphic>
          </wp:inline>
        </w:drawing>
      </w:r>
    </w:p>
    <w:p w14:paraId="29488715" w14:textId="376F3EF2" w:rsidR="00754785" w:rsidRPr="00AE2080" w:rsidRDefault="00754785" w:rsidP="00AE2080">
      <w:pPr>
        <w:spacing w:line="360" w:lineRule="auto"/>
        <w:jc w:val="center"/>
        <w:rPr>
          <w:rFonts w:ascii="Arial" w:hAnsi="Arial" w:cs="Arial"/>
          <w:b/>
          <w:bCs/>
          <w:sz w:val="24"/>
          <w:szCs w:val="24"/>
        </w:rPr>
      </w:pPr>
      <w:r w:rsidRPr="00AE2080">
        <w:rPr>
          <w:rFonts w:ascii="Arial" w:hAnsi="Arial" w:cs="Arial"/>
          <w:b/>
          <w:bCs/>
          <w:sz w:val="24"/>
          <w:szCs w:val="24"/>
        </w:rPr>
        <w:br w:type="page"/>
      </w:r>
    </w:p>
    <w:p w14:paraId="4300E3B9" w14:textId="52D36A34" w:rsidR="00C50C35" w:rsidRPr="00AE2080" w:rsidRDefault="002A4E2F" w:rsidP="00AE2080">
      <w:pPr>
        <w:spacing w:line="360" w:lineRule="auto"/>
        <w:rPr>
          <w:rFonts w:ascii="Arial" w:hAnsi="Arial" w:cs="Arial"/>
          <w:b/>
          <w:bCs/>
          <w:sz w:val="24"/>
          <w:szCs w:val="24"/>
        </w:rPr>
      </w:pPr>
      <w:bookmarkStart w:id="8" w:name="DBRStage1"/>
      <w:r w:rsidRPr="002A4E2F">
        <w:rPr>
          <w:rFonts w:ascii="Arial" w:hAnsi="Arial" w:cs="Arial"/>
          <w:b/>
          <w:bCs/>
          <w:sz w:val="24"/>
          <w:szCs w:val="24"/>
        </w:rPr>
        <w:lastRenderedPageBreak/>
        <w:t>Design-</w:t>
      </w:r>
      <w:r w:rsidR="00A538BD">
        <w:rPr>
          <w:rFonts w:ascii="Arial" w:hAnsi="Arial" w:cs="Arial"/>
          <w:b/>
          <w:bCs/>
          <w:sz w:val="24"/>
          <w:szCs w:val="24"/>
        </w:rPr>
        <w:t>b</w:t>
      </w:r>
      <w:r w:rsidRPr="002A4E2F">
        <w:rPr>
          <w:rFonts w:ascii="Arial" w:hAnsi="Arial" w:cs="Arial"/>
          <w:b/>
          <w:bCs/>
          <w:sz w:val="24"/>
          <w:szCs w:val="24"/>
        </w:rPr>
        <w:t xml:space="preserve">ased </w:t>
      </w:r>
      <w:r w:rsidR="00A538BD">
        <w:rPr>
          <w:rFonts w:ascii="Arial" w:hAnsi="Arial" w:cs="Arial"/>
          <w:b/>
          <w:bCs/>
          <w:sz w:val="24"/>
          <w:szCs w:val="24"/>
        </w:rPr>
        <w:t>r</w:t>
      </w:r>
      <w:r w:rsidRPr="002A4E2F">
        <w:rPr>
          <w:rFonts w:ascii="Arial" w:hAnsi="Arial" w:cs="Arial"/>
          <w:b/>
          <w:bCs/>
          <w:sz w:val="24"/>
          <w:szCs w:val="24"/>
        </w:rPr>
        <w:t>esearch</w:t>
      </w:r>
      <w:r w:rsidR="00C50C35" w:rsidRPr="00AE2080">
        <w:rPr>
          <w:rFonts w:ascii="Arial" w:hAnsi="Arial" w:cs="Arial"/>
          <w:b/>
          <w:bCs/>
          <w:sz w:val="24"/>
          <w:szCs w:val="24"/>
        </w:rPr>
        <w:t xml:space="preserve"> </w:t>
      </w:r>
      <w:r w:rsidR="001F2F93">
        <w:rPr>
          <w:rFonts w:ascii="Arial" w:hAnsi="Arial" w:cs="Arial"/>
          <w:b/>
          <w:bCs/>
          <w:sz w:val="24"/>
          <w:szCs w:val="24"/>
        </w:rPr>
        <w:t>s</w:t>
      </w:r>
      <w:r w:rsidR="00C50C35" w:rsidRPr="00AE2080">
        <w:rPr>
          <w:rFonts w:ascii="Arial" w:hAnsi="Arial" w:cs="Arial"/>
          <w:b/>
          <w:bCs/>
          <w:sz w:val="24"/>
          <w:szCs w:val="24"/>
        </w:rPr>
        <w:t xml:space="preserve">tage 1: </w:t>
      </w:r>
      <w:bookmarkEnd w:id="8"/>
      <w:r w:rsidR="00A538BD">
        <w:rPr>
          <w:rFonts w:ascii="Arial" w:hAnsi="Arial" w:cs="Arial"/>
          <w:b/>
          <w:bCs/>
          <w:sz w:val="24"/>
          <w:szCs w:val="24"/>
        </w:rPr>
        <w:t>e</w:t>
      </w:r>
      <w:r w:rsidR="00C50C35" w:rsidRPr="00AE2080">
        <w:rPr>
          <w:rFonts w:ascii="Arial" w:hAnsi="Arial" w:cs="Arial"/>
          <w:b/>
          <w:bCs/>
          <w:sz w:val="24"/>
          <w:szCs w:val="24"/>
        </w:rPr>
        <w:t xml:space="preserve">xpert </w:t>
      </w:r>
      <w:r w:rsidR="00C068BF">
        <w:rPr>
          <w:rFonts w:ascii="Arial" w:hAnsi="Arial" w:cs="Arial"/>
          <w:b/>
          <w:bCs/>
          <w:sz w:val="24"/>
          <w:szCs w:val="24"/>
        </w:rPr>
        <w:t>c</w:t>
      </w:r>
      <w:r w:rsidR="00C50C35" w:rsidRPr="00AE2080">
        <w:rPr>
          <w:rFonts w:ascii="Arial" w:hAnsi="Arial" w:cs="Arial"/>
          <w:b/>
          <w:bCs/>
          <w:sz w:val="24"/>
          <w:szCs w:val="24"/>
        </w:rPr>
        <w:t>ollaboration</w:t>
      </w:r>
    </w:p>
    <w:p w14:paraId="142CF7EB" w14:textId="62B66F5C"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Experts were given a copy of the theoretical belt training process with information about its development. A written interview was used to seek their expertise and feedback</w:t>
      </w:r>
      <w:r w:rsidR="00411128">
        <w:rPr>
          <w:rFonts w:ascii="Arial" w:hAnsi="Arial" w:cs="Arial"/>
          <w:sz w:val="24"/>
          <w:szCs w:val="24"/>
        </w:rPr>
        <w:t xml:space="preserve"> (</w:t>
      </w:r>
      <w:r w:rsidR="00B17CF4">
        <w:rPr>
          <w:rFonts w:ascii="Arial" w:hAnsi="Arial" w:cs="Arial"/>
          <w:sz w:val="24"/>
          <w:szCs w:val="24"/>
        </w:rPr>
        <w:t xml:space="preserve">transcripts are included in </w:t>
      </w:r>
      <w:r w:rsidR="00411128">
        <w:rPr>
          <w:rFonts w:ascii="Arial" w:hAnsi="Arial" w:cs="Arial"/>
          <w:sz w:val="24"/>
          <w:szCs w:val="24"/>
        </w:rPr>
        <w:t>appendices 5 and 6)</w:t>
      </w:r>
      <w:r w:rsidRPr="00AE2080">
        <w:rPr>
          <w:rFonts w:ascii="Arial" w:hAnsi="Arial" w:cs="Arial"/>
          <w:sz w:val="24"/>
          <w:szCs w:val="24"/>
        </w:rPr>
        <w:t xml:space="preserve">. A </w:t>
      </w:r>
      <w:r w:rsidR="003A1D7C">
        <w:rPr>
          <w:rFonts w:ascii="Arial" w:hAnsi="Arial" w:cs="Arial"/>
          <w:sz w:val="24"/>
          <w:szCs w:val="24"/>
        </w:rPr>
        <w:t xml:space="preserve">live </w:t>
      </w:r>
      <w:r w:rsidRPr="00AE2080">
        <w:rPr>
          <w:rFonts w:ascii="Arial" w:hAnsi="Arial" w:cs="Arial"/>
          <w:sz w:val="24"/>
          <w:szCs w:val="24"/>
        </w:rPr>
        <w:t xml:space="preserve">follow-up interview was conducted </w:t>
      </w:r>
      <w:r w:rsidR="007D08E8">
        <w:rPr>
          <w:rFonts w:ascii="Arial" w:hAnsi="Arial" w:cs="Arial"/>
          <w:sz w:val="24"/>
          <w:szCs w:val="24"/>
        </w:rPr>
        <w:t>with</w:t>
      </w:r>
      <w:r w:rsidRPr="00AE2080">
        <w:rPr>
          <w:rFonts w:ascii="Arial" w:hAnsi="Arial" w:cs="Arial"/>
          <w:sz w:val="24"/>
          <w:szCs w:val="24"/>
        </w:rPr>
        <w:t xml:space="preserve"> both experts to ensure clarity of communication in the understanding of their responses to increase </w:t>
      </w:r>
      <w:r w:rsidR="003A3A8F">
        <w:rPr>
          <w:rFonts w:ascii="Arial" w:hAnsi="Arial" w:cs="Arial"/>
          <w:sz w:val="24"/>
          <w:szCs w:val="24"/>
        </w:rPr>
        <w:t xml:space="preserve">the </w:t>
      </w:r>
      <w:r w:rsidRPr="00AE2080">
        <w:rPr>
          <w:rFonts w:ascii="Arial" w:hAnsi="Arial" w:cs="Arial"/>
          <w:sz w:val="24"/>
          <w:szCs w:val="24"/>
        </w:rPr>
        <w:t xml:space="preserve">quality of data analysis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edition)","type":"book","volume":"12"},"uris":["http://www.mendeley.com/documents/?uuid=f5513cbe-0be6-4d1f-9224-ae451442e4af"]},{"id":"ITEM-2","itemData":{"DOI":"10.1201/b19093","ISBN":"9781482253436","abstract":"Qualitative methods, such as depth interviews (Chapter 23) and group interviews (Chapter 24), are increasingly popular as investigators explore the broader context of pharmacy services (e.g. the behaviours and attitudes of users and providers of pharmaceutical services). The use of qualitative methods in pharmacy practice research, as in much health services research, produces analytical insights from recounted experiences, beliefs and views.","author":[{"dropping-particle":"","family":"Harding","given":"Geoffrey","non-dropping-particle":"","parse-names":false,"suffix":""},{"dropping-particle":"","family":"Gantley","given":"Madeleine","non-dropping-particle":"","parse-names":false,"suffix":""},{"dropping-particle":"","family":"Taylor","given":"Kevin","non-dropping-particle":"","parse-names":false,"suffix":""}],"container-title":"Pharmacy Practice: Second Edition","id":"ITEM-2","issue":"January","issued":{"date-parts":[["2017"]]},"page":"417-423","title":"Analysing qualitative data","type":"article-journal","volume":"320"},"uris":["http://www.mendeley.com/documents/?uuid=665045dc-6ef0-4689-b4ae-b97af850018b"]},{"id":"ITEM-3","itemData":{"DOI":"10.1038/bdj.2008.192","ISSN":"00070610","PMID":"18356873","abstract":"This paper explores the most common methods of data collection used in qualitative research: interviews and focus groups. The paper examines each method in detail, focusing on how they work in practice, when their use is appropriate and what they can offer dentistry. Examples of empirical studies that have used interviews or focus groups are also provided. © 2008 Nature Publishing Group.","author":[{"dropping-particle":"","family":"Gill","given":"P.","non-dropping-particle":"","parse-names":false,"suffix":""},{"dropping-particle":"","family":"Stewart","given":"K.","non-dropping-particle":"","parse-names":false,"suffix":""},{"dropping-particle":"","family":"Treasure","given":"E.","non-dropping-particle":"","parse-names":false,"suffix":""},{"dropping-particle":"","family":"Chadwick","given":"B.","non-dropping-particle":"","parse-names":false,"suffix":""}],"container-title":"British Dental Journal","id":"ITEM-3","issue":"6","issued":{"date-parts":[["2008"]]},"page":"291-295","title":"Methods of data collection in qualitative research: Interviews and focus groups","type":"article-journal","volume":"204"},"uris":["http://www.mendeley.com/documents/?uuid=8f834e18-5830-4186-b8b1-e56fdf70c8d8"]}],"mendeley":{"formattedCitation":"(Gill &lt;i&gt;et al.&lt;/i&gt;, 2008; Saldaña, 2013; Harding, Gantley and Taylor, 2017)","plainTextFormattedCitation":"(Gill et al., 2008; Saldaña, 2013; Harding, Gantley and Taylor, 2017)","previouslyFormattedCitation":"(Gill &lt;i&gt;et al.&lt;/i&gt;, 2008; Saldaña, 2013; Harding, Gantley and Taylor, 2017)"},"properties":{"noteIndex":0},"schema":"https://github.com/citation-style-language/schema/raw/master/csl-citation.json"}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(Gill </w:t>
      </w:r>
      <w:r w:rsidRPr="00AE2080">
        <w:rPr>
          <w:rFonts w:ascii="Arial" w:hAnsi="Arial" w:cs="Arial"/>
          <w:i/>
          <w:noProof/>
          <w:sz w:val="24"/>
          <w:szCs w:val="24"/>
        </w:rPr>
        <w:t>et al.</w:t>
      </w:r>
      <w:r w:rsidRPr="00AE2080">
        <w:rPr>
          <w:rFonts w:ascii="Arial" w:hAnsi="Arial" w:cs="Arial"/>
          <w:noProof/>
          <w:sz w:val="24"/>
          <w:szCs w:val="24"/>
        </w:rPr>
        <w:t>, 2008; Saldaña, 2013; Harding, Gantley and Taylor, 2017)</w:t>
      </w:r>
      <w:r w:rsidRPr="00AE2080">
        <w:rPr>
          <w:rFonts w:ascii="Arial" w:hAnsi="Arial" w:cs="Arial"/>
          <w:sz w:val="24"/>
          <w:szCs w:val="24"/>
        </w:rPr>
        <w:fldChar w:fldCharType="end"/>
      </w:r>
      <w:r w:rsidRPr="00AE2080">
        <w:rPr>
          <w:rFonts w:ascii="Arial" w:hAnsi="Arial" w:cs="Arial"/>
          <w:sz w:val="24"/>
          <w:szCs w:val="24"/>
        </w:rPr>
        <w:t xml:space="preserve">. </w:t>
      </w:r>
      <w:r w:rsidR="00AF496B" w:rsidRPr="00AE2080">
        <w:rPr>
          <w:rFonts w:ascii="Arial" w:hAnsi="Arial" w:cs="Arial"/>
          <w:sz w:val="24"/>
          <w:szCs w:val="24"/>
        </w:rPr>
        <w:t xml:space="preserve">The expert input data </w:t>
      </w:r>
      <w:r w:rsidR="00397657">
        <w:rPr>
          <w:rFonts w:ascii="Arial" w:hAnsi="Arial" w:cs="Arial"/>
          <w:sz w:val="24"/>
          <w:szCs w:val="24"/>
        </w:rPr>
        <w:t>was</w:t>
      </w:r>
      <w:r w:rsidR="00AF496B" w:rsidRPr="00AE2080">
        <w:rPr>
          <w:rFonts w:ascii="Arial" w:hAnsi="Arial" w:cs="Arial"/>
          <w:sz w:val="24"/>
          <w:szCs w:val="24"/>
        </w:rPr>
        <w:t xml:space="preserve"> analysed for its implications in the practical application of belt training.</w:t>
      </w:r>
    </w:p>
    <w:p w14:paraId="1C2F9F55" w14:textId="77777777" w:rsidR="00C50C35" w:rsidRPr="00AE2080" w:rsidRDefault="00C50C35" w:rsidP="00AE2080">
      <w:pPr>
        <w:spacing w:line="360" w:lineRule="auto"/>
        <w:rPr>
          <w:rFonts w:ascii="Arial" w:hAnsi="Arial" w:cs="Arial"/>
          <w:b/>
          <w:bCs/>
          <w:sz w:val="24"/>
          <w:szCs w:val="24"/>
        </w:rPr>
      </w:pPr>
      <w:r w:rsidRPr="00AE2080">
        <w:rPr>
          <w:rFonts w:ascii="Arial" w:hAnsi="Arial" w:cs="Arial"/>
          <w:b/>
          <w:bCs/>
          <w:sz w:val="24"/>
          <w:szCs w:val="24"/>
        </w:rPr>
        <w:t>Expert interview data analysis</w:t>
      </w:r>
    </w:p>
    <w:p w14:paraId="6A0032C1" w14:textId="3AE0AB29"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The experts agreed with the themes which were present </w:t>
      </w:r>
      <w:r w:rsidR="00F513F0">
        <w:rPr>
          <w:rFonts w:ascii="Arial" w:hAnsi="Arial" w:cs="Arial"/>
          <w:sz w:val="24"/>
          <w:szCs w:val="24"/>
        </w:rPr>
        <w:t>in</w:t>
      </w:r>
      <w:r w:rsidRPr="00AE2080">
        <w:rPr>
          <w:rFonts w:ascii="Arial" w:hAnsi="Arial" w:cs="Arial"/>
          <w:sz w:val="24"/>
          <w:szCs w:val="24"/>
        </w:rPr>
        <w:t xml:space="preserve"> the initial synthesis of the belt training process. An area of difference evident in the interviews was that of vocabulary. Expert 2 referred to this challenge in the singing profession as the </w:t>
      </w:r>
      <w:r w:rsidRPr="00AE2080">
        <w:rPr>
          <w:rFonts w:ascii="Arial" w:hAnsi="Arial" w:cs="Arial"/>
          <w:i/>
          <w:iCs/>
          <w:sz w:val="24"/>
          <w:szCs w:val="24"/>
        </w:rPr>
        <w:t xml:space="preserve">‘vocabulary jungle’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(2, 2023)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An example of this was the belting prerequisite called ‘breathing training’. The intention of that label was to be broad enough to encompass any aspects of singing linked to airflow and air pressure.</w:t>
      </w:r>
    </w:p>
    <w:p w14:paraId="24A7FCC4" w14:textId="6EA2E43B" w:rsidR="00C50C35" w:rsidRPr="00AE2080" w:rsidRDefault="00C50C35" w:rsidP="00AE2080">
      <w:pPr>
        <w:spacing w:line="360" w:lineRule="auto"/>
        <w:jc w:val="center"/>
        <w:rPr>
          <w:rFonts w:ascii="Arial" w:hAnsi="Arial" w:cs="Arial"/>
          <w:i/>
          <w:iCs/>
          <w:sz w:val="24"/>
          <w:szCs w:val="24"/>
        </w:rPr>
      </w:pPr>
      <w:r w:rsidRPr="00AE2080">
        <w:rPr>
          <w:rFonts w:ascii="Arial" w:hAnsi="Arial" w:cs="Arial"/>
          <w:sz w:val="24"/>
          <w:szCs w:val="24"/>
        </w:rPr>
        <w:t>‘</w:t>
      </w:r>
      <w:r w:rsidRPr="00AE2080">
        <w:rPr>
          <w:rFonts w:ascii="Arial" w:hAnsi="Arial" w:cs="Arial"/>
          <w:i/>
          <w:iCs/>
          <w:sz w:val="24"/>
          <w:szCs w:val="24"/>
        </w:rPr>
        <w:t>Breathing training is not necessary because we already know how to breathe</w:t>
      </w:r>
      <w:r w:rsidRPr="00AE2080">
        <w:rPr>
          <w:rFonts w:ascii="Arial" w:hAnsi="Arial" w:cs="Arial"/>
          <w:sz w:val="24"/>
          <w:szCs w:val="24"/>
        </w:rPr>
        <w:t xml:space="preserve">. </w:t>
      </w:r>
      <w:r w:rsidRPr="00AE2080">
        <w:rPr>
          <w:rFonts w:ascii="Arial" w:hAnsi="Arial" w:cs="Arial"/>
          <w:i/>
          <w:iCs/>
          <w:sz w:val="24"/>
          <w:szCs w:val="24"/>
        </w:rPr>
        <w:t xml:space="preserve">To produce a </w:t>
      </w:r>
      <w:r w:rsidR="004F6AA1">
        <w:rPr>
          <w:rFonts w:ascii="Arial" w:hAnsi="Arial" w:cs="Arial"/>
          <w:i/>
          <w:iCs/>
          <w:sz w:val="24"/>
          <w:szCs w:val="24"/>
        </w:rPr>
        <w:t>high-intensity</w:t>
      </w:r>
      <w:r w:rsidRPr="00AE2080">
        <w:rPr>
          <w:rFonts w:ascii="Arial" w:hAnsi="Arial" w:cs="Arial"/>
          <w:i/>
          <w:iCs/>
          <w:sz w:val="24"/>
          <w:szCs w:val="24"/>
        </w:rPr>
        <w:t xml:space="preserve"> sound in a healthy way, the important thing is to lengthen the closing phase of the phonatory cycle…’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p>
    <w:p w14:paraId="5B98BF32" w14:textId="5194AAD1" w:rsidR="001F77EB"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This statement </w:t>
      </w:r>
      <w:r w:rsidR="007F5049">
        <w:rPr>
          <w:rFonts w:ascii="Arial" w:hAnsi="Arial" w:cs="Arial"/>
          <w:sz w:val="24"/>
          <w:szCs w:val="24"/>
        </w:rPr>
        <w:t>wa</w:t>
      </w:r>
      <w:r w:rsidRPr="00AE2080">
        <w:rPr>
          <w:rFonts w:ascii="Arial" w:hAnsi="Arial" w:cs="Arial"/>
          <w:sz w:val="24"/>
          <w:szCs w:val="24"/>
        </w:rPr>
        <w:t>s very helpful in indicating areas of research in the literature review. Later in the interview, Expert 1 suggested</w:t>
      </w:r>
      <w:r w:rsidR="00366453">
        <w:rPr>
          <w:rFonts w:ascii="Arial" w:hAnsi="Arial" w:cs="Arial"/>
          <w:sz w:val="24"/>
          <w:szCs w:val="24"/>
        </w:rPr>
        <w:t xml:space="preserve"> that</w:t>
      </w:r>
      <w:r w:rsidRPr="00AE2080">
        <w:rPr>
          <w:rFonts w:ascii="Arial" w:hAnsi="Arial" w:cs="Arial"/>
          <w:sz w:val="24"/>
          <w:szCs w:val="24"/>
        </w:rPr>
        <w:t xml:space="preserve"> </w:t>
      </w:r>
      <w:r w:rsidRPr="00AE2080">
        <w:rPr>
          <w:rFonts w:ascii="Arial" w:hAnsi="Arial" w:cs="Arial"/>
          <w:i/>
          <w:iCs/>
          <w:sz w:val="24"/>
          <w:szCs w:val="24"/>
        </w:rPr>
        <w:t xml:space="preserve">‘it is essential not to use deep breaths’ </w:t>
      </w:r>
      <w:r w:rsidRPr="00AE2080">
        <w:rPr>
          <w:rFonts w:ascii="Arial" w:hAnsi="Arial" w:cs="Arial"/>
          <w:sz w:val="24"/>
          <w:szCs w:val="24"/>
        </w:rPr>
        <w:t xml:space="preserve">for belting. Both statements could be construed as having a connection with the breathing system. Pedagogical implications of this information relate to a teacher being able to teach a student to lengthen the closing phase of the phonatory cycle and to support a singer not to use deep breaths. Both experts agreed that teachers need knowledge of how belting is produced and to have a clear way of explaining concepts to students to avoid confusion in the </w:t>
      </w:r>
      <w:r w:rsidRPr="00AE2080">
        <w:rPr>
          <w:rFonts w:ascii="Arial" w:hAnsi="Arial" w:cs="Arial"/>
          <w:i/>
          <w:iCs/>
          <w:sz w:val="24"/>
          <w:szCs w:val="24"/>
        </w:rPr>
        <w:t xml:space="preserve">‘vocabulary jungle’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(2, 2023)</w:t>
      </w:r>
      <w:r w:rsidRPr="00AE2080">
        <w:rPr>
          <w:rFonts w:ascii="Arial" w:hAnsi="Arial" w:cs="Arial"/>
          <w:i/>
          <w:iCs/>
          <w:sz w:val="24"/>
          <w:szCs w:val="24"/>
        </w:rPr>
        <w:fldChar w:fldCharType="end"/>
      </w:r>
      <w:r w:rsidRPr="00AE2080">
        <w:rPr>
          <w:rFonts w:ascii="Arial" w:hAnsi="Arial" w:cs="Arial"/>
          <w:i/>
          <w:iCs/>
          <w:sz w:val="24"/>
          <w:szCs w:val="24"/>
        </w:rPr>
        <w:t>.</w:t>
      </w:r>
      <w:r w:rsidR="00E52585" w:rsidRPr="00AE2080">
        <w:rPr>
          <w:rFonts w:ascii="Arial" w:hAnsi="Arial" w:cs="Arial"/>
          <w:i/>
          <w:iCs/>
          <w:sz w:val="24"/>
          <w:szCs w:val="24"/>
        </w:rPr>
        <w:t xml:space="preserve"> </w:t>
      </w:r>
      <w:r w:rsidR="00E52585" w:rsidRPr="00AE2080">
        <w:rPr>
          <w:rFonts w:ascii="Arial" w:hAnsi="Arial" w:cs="Arial"/>
          <w:sz w:val="24"/>
          <w:szCs w:val="24"/>
        </w:rPr>
        <w:t xml:space="preserve">Other prerequisites of the training process </w:t>
      </w:r>
      <w:r w:rsidR="00E968A4">
        <w:rPr>
          <w:rFonts w:ascii="Arial" w:hAnsi="Arial" w:cs="Arial"/>
          <w:sz w:val="24"/>
          <w:szCs w:val="24"/>
        </w:rPr>
        <w:t xml:space="preserve">are </w:t>
      </w:r>
      <w:r w:rsidR="00E52585" w:rsidRPr="00AE2080">
        <w:rPr>
          <w:rFonts w:ascii="Arial" w:hAnsi="Arial" w:cs="Arial"/>
          <w:sz w:val="24"/>
          <w:szCs w:val="24"/>
        </w:rPr>
        <w:t>included</w:t>
      </w:r>
      <w:r w:rsidR="00B4149C" w:rsidRPr="00AE2080">
        <w:rPr>
          <w:rFonts w:ascii="Arial" w:hAnsi="Arial" w:cs="Arial"/>
          <w:sz w:val="24"/>
          <w:szCs w:val="24"/>
        </w:rPr>
        <w:t xml:space="preserve"> </w:t>
      </w:r>
      <w:r w:rsidR="00AB3A24">
        <w:rPr>
          <w:rFonts w:ascii="Arial" w:hAnsi="Arial" w:cs="Arial"/>
          <w:sz w:val="24"/>
          <w:szCs w:val="24"/>
        </w:rPr>
        <w:t xml:space="preserve">in the </w:t>
      </w:r>
      <w:r w:rsidR="00E968A4">
        <w:rPr>
          <w:rFonts w:ascii="Arial" w:hAnsi="Arial" w:cs="Arial"/>
          <w:sz w:val="24"/>
          <w:szCs w:val="24"/>
        </w:rPr>
        <w:t xml:space="preserve">analysis of </w:t>
      </w:r>
      <w:r w:rsidR="00B4149C" w:rsidRPr="00AE2080">
        <w:rPr>
          <w:rFonts w:ascii="Arial" w:hAnsi="Arial" w:cs="Arial"/>
          <w:sz w:val="24"/>
          <w:szCs w:val="24"/>
        </w:rPr>
        <w:t xml:space="preserve">‘high belt’ and ‘traditional’ belt training </w:t>
      </w:r>
      <w:r w:rsidR="00D32CBF">
        <w:rPr>
          <w:rFonts w:ascii="Arial" w:hAnsi="Arial" w:cs="Arial"/>
          <w:sz w:val="24"/>
          <w:szCs w:val="24"/>
        </w:rPr>
        <w:t>discussions</w:t>
      </w:r>
      <w:r w:rsidR="00B4149C" w:rsidRPr="00AE2080">
        <w:rPr>
          <w:rFonts w:ascii="Arial" w:hAnsi="Arial" w:cs="Arial"/>
          <w:sz w:val="24"/>
          <w:szCs w:val="24"/>
        </w:rPr>
        <w:t xml:space="preserve">. </w:t>
      </w:r>
      <w:r w:rsidR="001F66B0">
        <w:rPr>
          <w:rFonts w:ascii="Arial" w:hAnsi="Arial" w:cs="Arial"/>
          <w:sz w:val="24"/>
          <w:szCs w:val="24"/>
        </w:rPr>
        <w:t>The</w:t>
      </w:r>
      <w:r w:rsidR="00B4149C" w:rsidRPr="00AE2080">
        <w:rPr>
          <w:rFonts w:ascii="Arial" w:hAnsi="Arial" w:cs="Arial"/>
          <w:sz w:val="24"/>
          <w:szCs w:val="24"/>
        </w:rPr>
        <w:t xml:space="preserve"> </w:t>
      </w:r>
      <w:r w:rsidR="00334EA5" w:rsidRPr="00AE2080">
        <w:rPr>
          <w:rFonts w:ascii="Arial" w:hAnsi="Arial" w:cs="Arial"/>
          <w:sz w:val="24"/>
          <w:szCs w:val="24"/>
        </w:rPr>
        <w:t>discussion of develop</w:t>
      </w:r>
      <w:r w:rsidR="001F66B0">
        <w:rPr>
          <w:rFonts w:ascii="Arial" w:hAnsi="Arial" w:cs="Arial"/>
          <w:sz w:val="24"/>
          <w:szCs w:val="24"/>
        </w:rPr>
        <w:t>ing</w:t>
      </w:r>
      <w:r w:rsidR="00334EA5" w:rsidRPr="00AE2080">
        <w:rPr>
          <w:rFonts w:ascii="Arial" w:hAnsi="Arial" w:cs="Arial"/>
          <w:sz w:val="24"/>
          <w:szCs w:val="24"/>
        </w:rPr>
        <w:t xml:space="preserve"> twang</w:t>
      </w:r>
      <w:r w:rsidR="001F66B0">
        <w:rPr>
          <w:rFonts w:ascii="Arial" w:hAnsi="Arial" w:cs="Arial"/>
          <w:sz w:val="24"/>
          <w:szCs w:val="24"/>
        </w:rPr>
        <w:t xml:space="preserve"> and</w:t>
      </w:r>
      <w:r w:rsidR="00334EA5" w:rsidRPr="00AE2080">
        <w:rPr>
          <w:rFonts w:ascii="Arial" w:hAnsi="Arial" w:cs="Arial"/>
          <w:sz w:val="24"/>
          <w:szCs w:val="24"/>
        </w:rPr>
        <w:t xml:space="preserve"> high belting </w:t>
      </w:r>
      <w:r w:rsidR="001F66B0">
        <w:rPr>
          <w:rFonts w:ascii="Arial" w:hAnsi="Arial" w:cs="Arial"/>
          <w:sz w:val="24"/>
          <w:szCs w:val="24"/>
        </w:rPr>
        <w:t xml:space="preserve">part </w:t>
      </w:r>
      <w:r w:rsidR="00B4149C" w:rsidRPr="00AE2080">
        <w:rPr>
          <w:rFonts w:ascii="Arial" w:hAnsi="Arial" w:cs="Arial"/>
          <w:sz w:val="24"/>
          <w:szCs w:val="24"/>
        </w:rPr>
        <w:t xml:space="preserve">of the </w:t>
      </w:r>
      <w:r w:rsidR="001F66B0">
        <w:rPr>
          <w:rFonts w:ascii="Arial" w:hAnsi="Arial" w:cs="Arial"/>
          <w:sz w:val="24"/>
          <w:szCs w:val="24"/>
        </w:rPr>
        <w:t xml:space="preserve">belt training </w:t>
      </w:r>
      <w:r w:rsidR="00B4149C" w:rsidRPr="00AE2080">
        <w:rPr>
          <w:rFonts w:ascii="Arial" w:hAnsi="Arial" w:cs="Arial"/>
          <w:sz w:val="24"/>
          <w:szCs w:val="24"/>
        </w:rPr>
        <w:t xml:space="preserve">process </w:t>
      </w:r>
      <w:r w:rsidR="001F66B0">
        <w:rPr>
          <w:rFonts w:ascii="Arial" w:hAnsi="Arial" w:cs="Arial"/>
          <w:sz w:val="24"/>
          <w:szCs w:val="24"/>
        </w:rPr>
        <w:t xml:space="preserve">follows </w:t>
      </w:r>
      <w:r w:rsidR="001F77EB" w:rsidRPr="00AE2080">
        <w:rPr>
          <w:rFonts w:ascii="Arial" w:hAnsi="Arial" w:cs="Arial"/>
          <w:sz w:val="24"/>
          <w:szCs w:val="24"/>
        </w:rPr>
        <w:t>(</w:t>
      </w:r>
      <w:hyperlink w:anchor="HighBeltPathway" w:history="1">
        <w:r w:rsidR="001F77EB" w:rsidRPr="00AE2080">
          <w:rPr>
            <w:rStyle w:val="Hyperlink"/>
            <w:rFonts w:ascii="Arial" w:hAnsi="Arial" w:cs="Arial"/>
            <w:sz w:val="24"/>
            <w:szCs w:val="24"/>
          </w:rPr>
          <w:t>Fig</w:t>
        </w:r>
        <w:r w:rsidR="00F976FC" w:rsidRPr="00AE2080">
          <w:rPr>
            <w:rStyle w:val="Hyperlink"/>
            <w:rFonts w:ascii="Arial" w:hAnsi="Arial" w:cs="Arial"/>
            <w:sz w:val="24"/>
            <w:szCs w:val="24"/>
          </w:rPr>
          <w:t>ure</w:t>
        </w:r>
        <w:r w:rsidR="001F77EB" w:rsidRPr="00AE2080">
          <w:rPr>
            <w:rStyle w:val="Hyperlink"/>
            <w:rFonts w:ascii="Arial" w:hAnsi="Arial" w:cs="Arial"/>
            <w:sz w:val="24"/>
            <w:szCs w:val="24"/>
          </w:rPr>
          <w:t xml:space="preserve"> </w:t>
        </w:r>
        <w:r w:rsidR="00B9661D">
          <w:rPr>
            <w:rStyle w:val="Hyperlink"/>
            <w:rFonts w:ascii="Arial" w:hAnsi="Arial" w:cs="Arial"/>
            <w:sz w:val="24"/>
            <w:szCs w:val="24"/>
          </w:rPr>
          <w:t>5</w:t>
        </w:r>
      </w:hyperlink>
      <w:r w:rsidR="001F77EB" w:rsidRPr="00AE2080">
        <w:rPr>
          <w:rFonts w:ascii="Arial" w:hAnsi="Arial" w:cs="Arial"/>
          <w:sz w:val="24"/>
          <w:szCs w:val="24"/>
        </w:rPr>
        <w:t>)</w:t>
      </w:r>
      <w:r w:rsidR="008A3801" w:rsidRPr="00AE2080">
        <w:rPr>
          <w:rFonts w:ascii="Arial" w:hAnsi="Arial" w:cs="Arial"/>
          <w:sz w:val="24"/>
          <w:szCs w:val="24"/>
        </w:rPr>
        <w:t>.</w:t>
      </w:r>
      <w:r w:rsidR="001F77EB" w:rsidRPr="00AE2080">
        <w:rPr>
          <w:rFonts w:ascii="Arial" w:hAnsi="Arial" w:cs="Arial"/>
          <w:sz w:val="24"/>
          <w:szCs w:val="24"/>
        </w:rPr>
        <w:br w:type="page"/>
      </w:r>
    </w:p>
    <w:p w14:paraId="0DEBD2C2" w14:textId="2944A895" w:rsidR="00C50C35" w:rsidRPr="00FF190A" w:rsidRDefault="00334EA5" w:rsidP="00AE2080">
      <w:pPr>
        <w:spacing w:line="360" w:lineRule="auto"/>
        <w:jc w:val="both"/>
        <w:rPr>
          <w:rFonts w:ascii="Arial" w:hAnsi="Arial" w:cs="Arial"/>
          <w:sz w:val="24"/>
          <w:szCs w:val="24"/>
        </w:rPr>
      </w:pPr>
      <w:bookmarkStart w:id="9" w:name="HighBeltPathway"/>
      <w:r w:rsidRPr="00FF190A">
        <w:rPr>
          <w:rFonts w:ascii="Arial" w:hAnsi="Arial" w:cs="Arial"/>
          <w:sz w:val="24"/>
          <w:szCs w:val="24"/>
        </w:rPr>
        <w:lastRenderedPageBreak/>
        <w:t xml:space="preserve">Figure </w:t>
      </w:r>
      <w:r w:rsidR="00B9661D">
        <w:rPr>
          <w:rFonts w:ascii="Arial" w:hAnsi="Arial" w:cs="Arial"/>
          <w:sz w:val="24"/>
          <w:szCs w:val="24"/>
        </w:rPr>
        <w:t>5</w:t>
      </w:r>
      <w:r w:rsidR="00F86450" w:rsidRPr="00FF190A">
        <w:rPr>
          <w:rFonts w:ascii="Arial" w:hAnsi="Arial" w:cs="Arial"/>
          <w:sz w:val="24"/>
          <w:szCs w:val="24"/>
        </w:rPr>
        <w:t>:</w:t>
      </w:r>
      <w:r w:rsidR="008A3801" w:rsidRPr="00FF190A">
        <w:rPr>
          <w:rFonts w:ascii="Arial" w:hAnsi="Arial" w:cs="Arial"/>
          <w:sz w:val="24"/>
          <w:szCs w:val="24"/>
        </w:rPr>
        <w:t xml:space="preserve"> </w:t>
      </w:r>
      <w:r w:rsidR="00C50C35" w:rsidRPr="00FF190A">
        <w:rPr>
          <w:rFonts w:ascii="Arial" w:hAnsi="Arial" w:cs="Arial"/>
          <w:sz w:val="24"/>
          <w:szCs w:val="24"/>
        </w:rPr>
        <w:t>Developing twang and high belt exercises</w:t>
      </w:r>
    </w:p>
    <w:bookmarkEnd w:id="9"/>
    <w:p w14:paraId="2DCD2627" w14:textId="41D4C3A3" w:rsidR="00CD5959" w:rsidRDefault="00CD5959" w:rsidP="00AE2080">
      <w:pPr>
        <w:spacing w:line="360" w:lineRule="auto"/>
        <w:jc w:val="center"/>
        <w:rPr>
          <w:rFonts w:ascii="Arial" w:hAnsi="Arial" w:cs="Arial"/>
          <w:sz w:val="24"/>
          <w:szCs w:val="24"/>
        </w:rPr>
      </w:pPr>
    </w:p>
    <w:p w14:paraId="2B011E0A" w14:textId="2CE5573D" w:rsidR="00C50C35" w:rsidRPr="00AE2080" w:rsidRDefault="00A80DB7" w:rsidP="00CD5959">
      <w:pPr>
        <w:spacing w:line="360" w:lineRule="auto"/>
        <w:jc w:val="right"/>
        <w:rPr>
          <w:rFonts w:ascii="Arial" w:hAnsi="Arial" w:cs="Arial"/>
          <w:sz w:val="24"/>
          <w:szCs w:val="24"/>
        </w:rPr>
      </w:pPr>
      <w:r>
        <w:rPr>
          <w:rFonts w:ascii="Arial" w:hAnsi="Arial" w:cs="Arial"/>
          <w:noProof/>
          <w:sz w:val="24"/>
          <w:szCs w:val="24"/>
        </w:rPr>
        <w:drawing>
          <wp:inline distT="0" distB="0" distL="0" distR="0" wp14:anchorId="7550885D" wp14:editId="353573EE">
            <wp:extent cx="5258534" cy="6763694"/>
            <wp:effectExtent l="0" t="0" r="0" b="0"/>
            <wp:docPr id="249062913" name="Picture 3" descr="A screenshot of a music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62913" name="Picture 3" descr="A screenshot of a music shee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58534" cy="6763694"/>
                    </a:xfrm>
                    <a:prstGeom prst="rect">
                      <a:avLst/>
                    </a:prstGeom>
                  </pic:spPr>
                </pic:pic>
              </a:graphicData>
            </a:graphic>
          </wp:inline>
        </w:drawing>
      </w:r>
      <w:r w:rsidR="00CD5959">
        <w:rPr>
          <w:rFonts w:ascii="Arial" w:hAnsi="Arial" w:cs="Arial"/>
          <w:sz w:val="24"/>
          <w:szCs w:val="24"/>
        </w:rPr>
        <w:fldChar w:fldCharType="begin" w:fldLock="1"/>
      </w:r>
      <w:r w:rsidR="00BF6B19">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sidR="00CD5959">
        <w:rPr>
          <w:rFonts w:ascii="Arial" w:hAnsi="Arial" w:cs="Arial"/>
          <w:sz w:val="24"/>
          <w:szCs w:val="24"/>
        </w:rPr>
        <w:fldChar w:fldCharType="separate"/>
      </w:r>
      <w:r w:rsidR="00CD5959" w:rsidRPr="00CD5959">
        <w:rPr>
          <w:rFonts w:ascii="Arial" w:hAnsi="Arial" w:cs="Arial"/>
          <w:noProof/>
          <w:sz w:val="24"/>
          <w:szCs w:val="24"/>
        </w:rPr>
        <w:t>(Morris, 2023)</w:t>
      </w:r>
      <w:r w:rsidR="00CD5959">
        <w:rPr>
          <w:rFonts w:ascii="Arial" w:hAnsi="Arial" w:cs="Arial"/>
          <w:sz w:val="24"/>
          <w:szCs w:val="24"/>
        </w:rPr>
        <w:fldChar w:fldCharType="end"/>
      </w:r>
      <w:r w:rsidR="00C50C35" w:rsidRPr="00AE2080">
        <w:rPr>
          <w:rFonts w:ascii="Arial" w:hAnsi="Arial" w:cs="Arial"/>
          <w:sz w:val="24"/>
          <w:szCs w:val="24"/>
        </w:rPr>
        <w:br w:type="page"/>
      </w:r>
    </w:p>
    <w:p w14:paraId="64EA3CFF" w14:textId="77777777" w:rsidR="00C50C35" w:rsidRPr="00AE2080" w:rsidRDefault="00C50C35" w:rsidP="00AE2080">
      <w:pPr>
        <w:spacing w:line="360" w:lineRule="auto"/>
        <w:jc w:val="center"/>
        <w:rPr>
          <w:rFonts w:ascii="Arial" w:hAnsi="Arial" w:cs="Arial"/>
          <w:sz w:val="24"/>
          <w:szCs w:val="24"/>
        </w:rPr>
      </w:pPr>
      <w:r w:rsidRPr="00AE2080">
        <w:rPr>
          <w:rFonts w:ascii="Arial" w:hAnsi="Arial" w:cs="Arial"/>
          <w:i/>
          <w:iCs/>
          <w:sz w:val="24"/>
          <w:szCs w:val="24"/>
        </w:rPr>
        <w:lastRenderedPageBreak/>
        <w:t xml:space="preserve">‘Since most students learn by imitation at first, you have to be very careful about the examples you give them.’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p>
    <w:p w14:paraId="0932FAE6" w14:textId="759F0231"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Using imitation and examples can play an important role in developing belting. A teacher would need the knowledge to make judgements about which examples are beneficial to a student’s learning.</w:t>
      </w:r>
    </w:p>
    <w:p w14:paraId="03D0117D" w14:textId="4E8CB7DE" w:rsidR="00C50C35" w:rsidRDefault="00C50C35" w:rsidP="00AE2080">
      <w:pPr>
        <w:spacing w:line="360" w:lineRule="auto"/>
        <w:jc w:val="both"/>
        <w:rPr>
          <w:rFonts w:ascii="Arial" w:hAnsi="Arial" w:cs="Arial"/>
          <w:sz w:val="24"/>
          <w:szCs w:val="24"/>
        </w:rPr>
      </w:pPr>
      <w:r w:rsidRPr="00AE2080">
        <w:rPr>
          <w:rFonts w:ascii="Arial" w:eastAsia="Arial" w:hAnsi="Arial" w:cs="Arial"/>
          <w:b/>
          <w:bCs/>
          <w:i/>
          <w:iCs/>
          <w:sz w:val="24"/>
          <w:szCs w:val="24"/>
        </w:rPr>
        <w:t>Familiarisation with twang</w:t>
      </w:r>
      <w:r w:rsidRPr="00AE2080">
        <w:rPr>
          <w:rFonts w:ascii="Arial" w:eastAsia="Arial" w:hAnsi="Arial" w:cs="Arial"/>
          <w:i/>
          <w:iCs/>
          <w:sz w:val="24"/>
          <w:szCs w:val="24"/>
        </w:rPr>
        <w:t xml:space="preserve"> ‘can be very useful to get access to the upper harmonics’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(2, 2023)</w:t>
      </w:r>
      <w:r w:rsidRPr="00AE2080">
        <w:rPr>
          <w:rFonts w:ascii="Arial" w:eastAsia="Arial" w:hAnsi="Arial" w:cs="Arial"/>
          <w:sz w:val="24"/>
          <w:szCs w:val="24"/>
        </w:rPr>
        <w:fldChar w:fldCharType="end"/>
      </w:r>
      <w:r w:rsidRPr="00AE2080">
        <w:rPr>
          <w:rFonts w:ascii="Arial" w:eastAsia="Arial" w:hAnsi="Arial" w:cs="Arial"/>
          <w:sz w:val="24"/>
          <w:szCs w:val="24"/>
        </w:rPr>
        <w:t xml:space="preserve">. Both experts said they had used twang exercises </w:t>
      </w:r>
      <w:r w:rsidR="003C5D24" w:rsidRPr="00AE2080">
        <w:rPr>
          <w:rFonts w:ascii="Arial" w:eastAsia="Arial" w:hAnsi="Arial" w:cs="Arial"/>
          <w:sz w:val="24"/>
          <w:szCs w:val="24"/>
        </w:rPr>
        <w:t>like</w:t>
      </w:r>
      <w:r w:rsidRPr="00AE2080">
        <w:rPr>
          <w:rFonts w:ascii="Arial" w:eastAsia="Arial" w:hAnsi="Arial" w:cs="Arial"/>
          <w:sz w:val="24"/>
          <w:szCs w:val="24"/>
        </w:rPr>
        <w:t xml:space="preserve"> those in the existing flow chart</w:t>
      </w:r>
      <w:r w:rsidR="00CE62B3">
        <w:rPr>
          <w:rFonts w:ascii="Arial" w:eastAsia="Arial" w:hAnsi="Arial" w:cs="Arial"/>
          <w:sz w:val="24"/>
          <w:szCs w:val="24"/>
        </w:rPr>
        <w:t xml:space="preserve"> </w:t>
      </w:r>
      <w:hyperlink w:anchor="HighBeltPathway" w:history="1">
        <w:r w:rsidR="00CE62B3" w:rsidRPr="00812AD5">
          <w:rPr>
            <w:rStyle w:val="Hyperlink"/>
            <w:rFonts w:ascii="Arial" w:eastAsia="Arial" w:hAnsi="Arial" w:cs="Arial"/>
            <w:sz w:val="24"/>
            <w:szCs w:val="24"/>
          </w:rPr>
          <w:t>(figure</w:t>
        </w:r>
        <w:r w:rsidR="001C1F66" w:rsidRPr="00812AD5">
          <w:rPr>
            <w:rStyle w:val="Hyperlink"/>
            <w:rFonts w:ascii="Arial" w:eastAsia="Arial" w:hAnsi="Arial" w:cs="Arial"/>
            <w:sz w:val="24"/>
            <w:szCs w:val="24"/>
          </w:rPr>
          <w:t xml:space="preserve"> </w:t>
        </w:r>
        <w:r w:rsidR="00812AD5" w:rsidRPr="00812AD5">
          <w:rPr>
            <w:rStyle w:val="Hyperlink"/>
            <w:rFonts w:ascii="Arial" w:eastAsia="Arial" w:hAnsi="Arial" w:cs="Arial"/>
            <w:sz w:val="24"/>
            <w:szCs w:val="24"/>
          </w:rPr>
          <w:t>5</w:t>
        </w:r>
        <w:r w:rsidR="00CE62B3" w:rsidRPr="00812AD5">
          <w:rPr>
            <w:rStyle w:val="Hyperlink"/>
            <w:rFonts w:ascii="Arial" w:eastAsia="Arial" w:hAnsi="Arial" w:cs="Arial"/>
            <w:sz w:val="24"/>
            <w:szCs w:val="24"/>
          </w:rPr>
          <w:t>)</w:t>
        </w:r>
      </w:hyperlink>
      <w:r w:rsidRPr="00AE2080">
        <w:rPr>
          <w:rFonts w:ascii="Arial" w:eastAsia="Arial" w:hAnsi="Arial" w:cs="Arial"/>
          <w:sz w:val="24"/>
          <w:szCs w:val="24"/>
        </w:rPr>
        <w:t xml:space="preserve">. Additional suggestions were to use a </w:t>
      </w:r>
      <w:r w:rsidRPr="00AE2080">
        <w:rPr>
          <w:rFonts w:ascii="Arial" w:eastAsia="Arial" w:hAnsi="Arial" w:cs="Arial"/>
          <w:i/>
          <w:iCs/>
          <w:sz w:val="24"/>
          <w:szCs w:val="24"/>
        </w:rPr>
        <w:t xml:space="preserve">‘very whiney impression of a toddler having a tantrum or making fun’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(2, 2023)</w:t>
      </w:r>
      <w:r w:rsidRPr="00AE2080">
        <w:rPr>
          <w:rFonts w:ascii="Arial" w:eastAsia="Arial" w:hAnsi="Arial" w:cs="Arial"/>
          <w:i/>
          <w:iCs/>
          <w:sz w:val="24"/>
          <w:szCs w:val="24"/>
        </w:rPr>
        <w:fldChar w:fldCharType="end"/>
      </w:r>
      <w:r w:rsidRPr="00AE2080">
        <w:rPr>
          <w:rFonts w:ascii="Arial" w:eastAsia="Arial" w:hAnsi="Arial" w:cs="Arial"/>
          <w:sz w:val="24"/>
          <w:szCs w:val="24"/>
        </w:rPr>
        <w:t xml:space="preserve"> and not</w:t>
      </w:r>
      <w:r w:rsidRPr="00AE2080">
        <w:rPr>
          <w:rFonts w:ascii="Arial" w:hAnsi="Arial" w:cs="Arial"/>
          <w:sz w:val="24"/>
          <w:szCs w:val="24"/>
        </w:rPr>
        <w:t xml:space="preserve"> </w:t>
      </w:r>
      <w:r w:rsidR="00FA4D67">
        <w:rPr>
          <w:rFonts w:ascii="Arial" w:hAnsi="Arial" w:cs="Arial"/>
          <w:sz w:val="24"/>
          <w:szCs w:val="24"/>
        </w:rPr>
        <w:t xml:space="preserve">to </w:t>
      </w:r>
      <w:r w:rsidRPr="00AE2080">
        <w:rPr>
          <w:rFonts w:ascii="Arial" w:hAnsi="Arial" w:cs="Arial"/>
          <w:sz w:val="24"/>
          <w:szCs w:val="24"/>
        </w:rPr>
        <w:t>practic</w:t>
      </w:r>
      <w:r w:rsidR="00FA4D67">
        <w:rPr>
          <w:rFonts w:ascii="Arial" w:hAnsi="Arial" w:cs="Arial"/>
          <w:sz w:val="24"/>
          <w:szCs w:val="24"/>
        </w:rPr>
        <w:t>e belting</w:t>
      </w:r>
      <w:r w:rsidRPr="00AE2080">
        <w:rPr>
          <w:rFonts w:ascii="Arial" w:hAnsi="Arial" w:cs="Arial"/>
          <w:sz w:val="24"/>
          <w:szCs w:val="24"/>
        </w:rPr>
        <w:t xml:space="preserve"> in ‘</w:t>
      </w:r>
      <w:r w:rsidRPr="00AE2080">
        <w:rPr>
          <w:rFonts w:ascii="Arial" w:hAnsi="Arial" w:cs="Arial"/>
          <w:i/>
          <w:iCs/>
          <w:sz w:val="24"/>
          <w:szCs w:val="24"/>
        </w:rPr>
        <w:t xml:space="preserve">a particularly low vocal range’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(1, 2023)</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eastAsia="Arial" w:hAnsi="Arial" w:cs="Arial"/>
          <w:sz w:val="24"/>
          <w:szCs w:val="24"/>
        </w:rPr>
        <w:t xml:space="preserve">Developing </w:t>
      </w:r>
      <w:r w:rsidRPr="00AE2080">
        <w:rPr>
          <w:rFonts w:ascii="Arial" w:eastAsia="Arial" w:hAnsi="Arial" w:cs="Arial"/>
          <w:b/>
          <w:bCs/>
          <w:i/>
          <w:iCs/>
          <w:sz w:val="24"/>
          <w:szCs w:val="24"/>
        </w:rPr>
        <w:t>twang can lead to high belting</w:t>
      </w:r>
      <w:r w:rsidRPr="00AE2080">
        <w:rPr>
          <w:rFonts w:ascii="Arial" w:eastAsia="Arial" w:hAnsi="Arial" w:cs="Arial"/>
          <w:sz w:val="24"/>
          <w:szCs w:val="24"/>
        </w:rPr>
        <w:t xml:space="preserve"> because</w:t>
      </w:r>
      <w:r w:rsidRPr="00AE2080">
        <w:rPr>
          <w:rFonts w:ascii="Arial" w:hAnsi="Arial" w:cs="Arial"/>
          <w:sz w:val="24"/>
          <w:szCs w:val="24"/>
        </w:rPr>
        <w:t xml:space="preserve"> </w:t>
      </w:r>
      <w:r w:rsidRPr="00AE2080">
        <w:rPr>
          <w:rFonts w:ascii="Arial" w:hAnsi="Arial" w:cs="Arial"/>
          <w:i/>
          <w:iCs/>
          <w:sz w:val="24"/>
          <w:szCs w:val="24"/>
        </w:rPr>
        <w:t>‘high belt uses higher frequencies to give</w:t>
      </w:r>
      <w:r w:rsidR="0075585D">
        <w:rPr>
          <w:rFonts w:ascii="Arial" w:hAnsi="Arial" w:cs="Arial"/>
          <w:i/>
          <w:iCs/>
          <w:sz w:val="24"/>
          <w:szCs w:val="24"/>
        </w:rPr>
        <w:t xml:space="preserve"> [the] </w:t>
      </w:r>
      <w:r w:rsidRPr="00AE2080">
        <w:rPr>
          <w:rFonts w:ascii="Arial" w:hAnsi="Arial" w:cs="Arial"/>
          <w:i/>
          <w:iCs/>
          <w:sz w:val="24"/>
          <w:szCs w:val="24"/>
        </w:rPr>
        <w:t xml:space="preserve">impression of loud without thick folds.’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sz w:val="24"/>
          <w:szCs w:val="24"/>
        </w:rPr>
        <w:t xml:space="preserve">. Expert 1 suggested </w:t>
      </w:r>
      <w:r w:rsidRPr="00AE2080">
        <w:rPr>
          <w:rFonts w:ascii="Arial" w:hAnsi="Arial" w:cs="Arial"/>
          <w:i/>
          <w:iCs/>
          <w:sz w:val="24"/>
          <w:szCs w:val="24"/>
        </w:rPr>
        <w:t>‘nasal consonants can reduce vocal fold closure’</w:t>
      </w:r>
      <w:r w:rsidRPr="00AE2080">
        <w:rPr>
          <w:rFonts w:ascii="Arial" w:hAnsi="Arial" w:cs="Arial"/>
          <w:sz w:val="24"/>
          <w:szCs w:val="24"/>
        </w:rPr>
        <w:t xml:space="preserve">. Conversely, the consonants </w:t>
      </w:r>
      <w:r w:rsidRPr="00AE2080">
        <w:rPr>
          <w:rFonts w:ascii="Arial" w:hAnsi="Arial" w:cs="Arial"/>
          <w:i/>
          <w:iCs/>
          <w:sz w:val="24"/>
          <w:szCs w:val="24"/>
        </w:rPr>
        <w:t>‘b, t, and g’</w:t>
      </w:r>
      <w:r w:rsidRPr="00AE2080">
        <w:rPr>
          <w:rFonts w:ascii="Arial" w:hAnsi="Arial" w:cs="Arial"/>
          <w:sz w:val="24"/>
          <w:szCs w:val="24"/>
        </w:rPr>
        <w:t xml:space="preserve"> can </w:t>
      </w:r>
      <w:r w:rsidRPr="00AE2080">
        <w:rPr>
          <w:rFonts w:ascii="Arial" w:hAnsi="Arial" w:cs="Arial"/>
          <w:i/>
          <w:iCs/>
          <w:sz w:val="24"/>
          <w:szCs w:val="24"/>
        </w:rPr>
        <w:t xml:space="preserve">‘use too much glottal pressure’ </w:t>
      </w:r>
      <w:r w:rsidRPr="00AE2080">
        <w:rPr>
          <w:rFonts w:ascii="Arial" w:hAnsi="Arial" w:cs="Arial"/>
          <w:sz w:val="24"/>
          <w:szCs w:val="24"/>
        </w:rPr>
        <w:t xml:space="preserve">and </w:t>
      </w:r>
      <w:r w:rsidRPr="00AE2080">
        <w:rPr>
          <w:rFonts w:ascii="Arial" w:hAnsi="Arial" w:cs="Arial"/>
          <w:i/>
          <w:iCs/>
          <w:sz w:val="24"/>
          <w:szCs w:val="24"/>
        </w:rPr>
        <w:t xml:space="preserve">‘y can help the onset’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(1, 2023)</w:t>
      </w:r>
      <w:r w:rsidRPr="00AE2080">
        <w:rPr>
          <w:rFonts w:ascii="Arial" w:hAnsi="Arial" w:cs="Arial"/>
          <w:sz w:val="24"/>
          <w:szCs w:val="24"/>
        </w:rPr>
        <w:fldChar w:fldCharType="end"/>
      </w:r>
      <w:r w:rsidRPr="00AE2080">
        <w:rPr>
          <w:rFonts w:ascii="Arial" w:hAnsi="Arial" w:cs="Arial"/>
          <w:sz w:val="24"/>
          <w:szCs w:val="24"/>
        </w:rPr>
        <w:t>.</w:t>
      </w:r>
    </w:p>
    <w:p w14:paraId="019C1CAB" w14:textId="15618081" w:rsidR="00DE3AF1"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Expert 2 suggested the benefits of a teacher’s </w:t>
      </w:r>
      <w:r w:rsidRPr="00AE2080">
        <w:rPr>
          <w:rFonts w:ascii="Arial" w:eastAsia="Arial" w:hAnsi="Arial" w:cs="Arial"/>
          <w:i/>
          <w:iCs/>
          <w:sz w:val="24"/>
          <w:szCs w:val="24"/>
        </w:rPr>
        <w:t>‘understanding of which vowels will… avoid just being in twang and get into the F1/H2 relationship’</w:t>
      </w:r>
      <w:r w:rsidRPr="00AE2080">
        <w:rPr>
          <w:rFonts w:ascii="Arial" w:eastAsia="Arial" w:hAnsi="Arial" w:cs="Arial"/>
          <w:sz w:val="24"/>
          <w:szCs w:val="24"/>
        </w:rPr>
        <w:t xml:space="preserve"> required for </w:t>
      </w:r>
      <w:r w:rsidRPr="00AE2080">
        <w:rPr>
          <w:rFonts w:ascii="Arial" w:eastAsia="Arial" w:hAnsi="Arial" w:cs="Arial"/>
          <w:b/>
          <w:bCs/>
          <w:i/>
          <w:iCs/>
          <w:sz w:val="24"/>
          <w:szCs w:val="24"/>
        </w:rPr>
        <w:t>traditional belting</w:t>
      </w:r>
      <w:r w:rsidRPr="00AE2080">
        <w:rPr>
          <w:rFonts w:ascii="Arial" w:eastAsia="Arial" w:hAnsi="Arial" w:cs="Arial"/>
          <w:sz w:val="24"/>
          <w:szCs w:val="24"/>
        </w:rPr>
        <w:t xml:space="preserv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(2, 2023)</w:t>
      </w:r>
      <w:r w:rsidRPr="00AE2080">
        <w:rPr>
          <w:rFonts w:ascii="Arial" w:eastAsia="Arial" w:hAnsi="Arial" w:cs="Arial"/>
          <w:sz w:val="24"/>
          <w:szCs w:val="24"/>
        </w:rPr>
        <w:fldChar w:fldCharType="end"/>
      </w:r>
      <w:r w:rsidRPr="00AE2080">
        <w:rPr>
          <w:rFonts w:ascii="Arial" w:eastAsia="Arial" w:hAnsi="Arial" w:cs="Arial"/>
          <w:sz w:val="24"/>
          <w:szCs w:val="24"/>
        </w:rPr>
        <w:t>. They specified the benefit of a teacher having a sound understanding of basic</w:t>
      </w:r>
      <w:r w:rsidRPr="00AE2080">
        <w:rPr>
          <w:rFonts w:ascii="Arial" w:eastAsia="Arial" w:hAnsi="Arial" w:cs="Arial"/>
          <w:b/>
          <w:bCs/>
          <w:i/>
          <w:iCs/>
          <w:sz w:val="24"/>
          <w:szCs w:val="24"/>
        </w:rPr>
        <w:t xml:space="preserve"> vocal acoustics </w:t>
      </w:r>
      <w:r w:rsidRPr="00AE2080">
        <w:rPr>
          <w:rFonts w:ascii="Arial" w:eastAsia="Arial" w:hAnsi="Arial" w:cs="Arial"/>
          <w:sz w:val="24"/>
          <w:szCs w:val="24"/>
        </w:rPr>
        <w:t>when training belting. Discussing how much to open the jaw for traditional belting, Expert 1 had concerns about ‘</w:t>
      </w:r>
      <w:r w:rsidRPr="00AE2080">
        <w:rPr>
          <w:rFonts w:ascii="Arial" w:eastAsia="Arial" w:hAnsi="Arial" w:cs="Arial"/>
          <w:i/>
          <w:iCs/>
          <w:sz w:val="24"/>
          <w:szCs w:val="24"/>
        </w:rPr>
        <w:t xml:space="preserve">developing </w:t>
      </w:r>
      <w:r w:rsidRPr="00AE2080">
        <w:rPr>
          <w:rFonts w:ascii="Arial" w:hAnsi="Arial" w:cs="Arial"/>
          <w:i/>
          <w:iCs/>
          <w:sz w:val="24"/>
          <w:szCs w:val="24"/>
        </w:rPr>
        <w:t xml:space="preserve">fixed opening measurements’ </w:t>
      </w:r>
      <w:r w:rsidRPr="00AE2080">
        <w:rPr>
          <w:rFonts w:ascii="Arial" w:hAnsi="Arial" w:cs="Arial"/>
          <w:sz w:val="24"/>
          <w:szCs w:val="24"/>
        </w:rPr>
        <w:t>as they felt this could impair</w:t>
      </w:r>
      <w:r w:rsidR="00637FD2">
        <w:rPr>
          <w:rFonts w:ascii="Arial" w:hAnsi="Arial" w:cs="Arial"/>
          <w:sz w:val="24"/>
          <w:szCs w:val="24"/>
        </w:rPr>
        <w:t xml:space="preserve"> the</w:t>
      </w:r>
      <w:r w:rsidRPr="00AE2080">
        <w:rPr>
          <w:rFonts w:ascii="Arial" w:hAnsi="Arial" w:cs="Arial"/>
          <w:sz w:val="24"/>
          <w:szCs w:val="24"/>
        </w:rPr>
        <w:t xml:space="preserve"> individualisation </w:t>
      </w:r>
      <w:r w:rsidR="00E542D2">
        <w:rPr>
          <w:rFonts w:ascii="Arial" w:hAnsi="Arial" w:cs="Arial"/>
          <w:sz w:val="24"/>
          <w:szCs w:val="24"/>
        </w:rPr>
        <w:t>when</w:t>
      </w:r>
      <w:r w:rsidRPr="00AE2080">
        <w:rPr>
          <w:rFonts w:ascii="Arial" w:hAnsi="Arial" w:cs="Arial"/>
          <w:sz w:val="24"/>
          <w:szCs w:val="24"/>
        </w:rPr>
        <w:t xml:space="preserve"> teaching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sz w:val="24"/>
          <w:szCs w:val="24"/>
        </w:rPr>
        <w:t xml:space="preserve">. </w:t>
      </w:r>
      <w:bookmarkStart w:id="10" w:name="TraditionalBeltPathway"/>
      <w:r w:rsidR="00DE3AF1" w:rsidRPr="00AE2080">
        <w:rPr>
          <w:rFonts w:ascii="Arial" w:hAnsi="Arial" w:cs="Arial"/>
          <w:sz w:val="24"/>
          <w:szCs w:val="24"/>
        </w:rPr>
        <w:t xml:space="preserve">Referring to </w:t>
      </w:r>
      <w:r w:rsidR="00537B7C" w:rsidRPr="00AE2080">
        <w:rPr>
          <w:rFonts w:ascii="Arial" w:hAnsi="Arial" w:cs="Arial"/>
          <w:sz w:val="24"/>
          <w:szCs w:val="24"/>
        </w:rPr>
        <w:t>aspects</w:t>
      </w:r>
      <w:r w:rsidR="00DE3AF1" w:rsidRPr="00AE2080">
        <w:rPr>
          <w:rFonts w:ascii="Arial" w:hAnsi="Arial" w:cs="Arial"/>
          <w:sz w:val="24"/>
          <w:szCs w:val="24"/>
        </w:rPr>
        <w:t xml:space="preserve"> ‘training the </w:t>
      </w:r>
      <w:r w:rsidR="00537B7C" w:rsidRPr="00AE2080">
        <w:rPr>
          <w:rFonts w:ascii="Arial" w:hAnsi="Arial" w:cs="Arial"/>
          <w:sz w:val="24"/>
          <w:szCs w:val="24"/>
        </w:rPr>
        <w:t>vocal tract’ (</w:t>
      </w:r>
      <w:r w:rsidR="00AB11A9">
        <w:rPr>
          <w:rFonts w:ascii="Arial" w:hAnsi="Arial" w:cs="Arial"/>
          <w:sz w:val="24"/>
          <w:szCs w:val="24"/>
        </w:rPr>
        <w:t xml:space="preserve">see </w:t>
      </w:r>
      <w:hyperlink w:anchor="TraditionalBeltPathway" w:history="1">
        <w:r w:rsidR="00537B7C" w:rsidRPr="00561FFF">
          <w:rPr>
            <w:rStyle w:val="Hyperlink"/>
            <w:rFonts w:ascii="Arial" w:hAnsi="Arial" w:cs="Arial"/>
            <w:sz w:val="24"/>
            <w:szCs w:val="24"/>
          </w:rPr>
          <w:t xml:space="preserve">Figure </w:t>
        </w:r>
        <w:r w:rsidR="00911C4B" w:rsidRPr="00561FFF">
          <w:rPr>
            <w:rStyle w:val="Hyperlink"/>
            <w:rFonts w:ascii="Arial" w:hAnsi="Arial" w:cs="Arial"/>
            <w:sz w:val="24"/>
            <w:szCs w:val="24"/>
          </w:rPr>
          <w:t>6</w:t>
        </w:r>
      </w:hyperlink>
      <w:r w:rsidR="00537B7C" w:rsidRPr="00AE2080">
        <w:rPr>
          <w:rFonts w:ascii="Arial" w:hAnsi="Arial" w:cs="Arial"/>
          <w:sz w:val="24"/>
          <w:szCs w:val="24"/>
        </w:rPr>
        <w:t>).</w:t>
      </w:r>
    </w:p>
    <w:p w14:paraId="7495BDFA" w14:textId="72EE632B" w:rsidR="00A91441" w:rsidRPr="00AE2080" w:rsidRDefault="00A91441" w:rsidP="00AE2080">
      <w:pPr>
        <w:spacing w:line="360" w:lineRule="auto"/>
        <w:jc w:val="both"/>
        <w:rPr>
          <w:rFonts w:ascii="Arial" w:hAnsi="Arial" w:cs="Arial"/>
          <w:sz w:val="24"/>
          <w:szCs w:val="24"/>
        </w:rPr>
      </w:pPr>
      <w:r w:rsidRPr="00AE2080">
        <w:rPr>
          <w:rFonts w:ascii="Arial" w:hAnsi="Arial" w:cs="Arial"/>
          <w:sz w:val="24"/>
          <w:szCs w:val="24"/>
        </w:rPr>
        <w:t xml:space="preserve">Discussing the important developments in their ability to teach belting, Expert 2 said: </w:t>
      </w:r>
    </w:p>
    <w:p w14:paraId="3BB8231F" w14:textId="7C921E25" w:rsidR="00537B7C" w:rsidRDefault="00537B7C" w:rsidP="00AE2080">
      <w:pPr>
        <w:spacing w:line="360" w:lineRule="auto"/>
        <w:jc w:val="center"/>
        <w:rPr>
          <w:rFonts w:ascii="Arial" w:eastAsia="Arial" w:hAnsi="Arial" w:cs="Arial"/>
          <w:sz w:val="24"/>
          <w:szCs w:val="24"/>
        </w:rPr>
      </w:pPr>
      <w:r w:rsidRPr="00AE2080">
        <w:rPr>
          <w:rFonts w:ascii="Arial" w:eastAsia="Arial" w:hAnsi="Arial" w:cs="Arial"/>
          <w:i/>
          <w:iCs/>
          <w:sz w:val="24"/>
          <w:szCs w:val="24"/>
        </w:rPr>
        <w:t>‘For myself it was a combination of twang and reduction in subglottal pressure and developing a strong “mix” and “head voice”, which I could then lean into acoustically. I do define “muscle belt</w:t>
      </w:r>
      <w:r w:rsidR="00877512">
        <w:rPr>
          <w:rFonts w:ascii="Arial" w:eastAsia="Arial" w:hAnsi="Arial" w:cs="Arial"/>
          <w:i/>
          <w:iCs/>
          <w:sz w:val="24"/>
          <w:szCs w:val="24"/>
        </w:rPr>
        <w:t>”</w:t>
      </w:r>
      <w:r w:rsidRPr="00AE2080">
        <w:rPr>
          <w:rFonts w:ascii="Arial" w:eastAsia="Arial" w:hAnsi="Arial" w:cs="Arial"/>
          <w:i/>
          <w:iCs/>
          <w:sz w:val="24"/>
          <w:szCs w:val="24"/>
        </w:rPr>
        <w:t xml:space="preserve"> and “Acoustic belt” with my students</w:t>
      </w:r>
      <w:r w:rsidR="003E2E72">
        <w:rPr>
          <w:rFonts w:ascii="Arial" w:eastAsia="Arial" w:hAnsi="Arial" w:cs="Arial"/>
          <w:i/>
          <w:iCs/>
          <w:sz w:val="24"/>
          <w:szCs w:val="24"/>
        </w:rPr>
        <w:t>.</w:t>
      </w:r>
      <w:r w:rsidRPr="00AE2080">
        <w:rPr>
          <w:rFonts w:ascii="Arial" w:eastAsia="Arial" w:hAnsi="Arial" w:cs="Arial"/>
          <w:i/>
          <w:iCs/>
          <w:sz w:val="24"/>
          <w:szCs w:val="24"/>
        </w:rPr>
        <w:t xml:space="preserv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(2, 2023)</w:t>
      </w:r>
      <w:r w:rsidRPr="00AE2080">
        <w:rPr>
          <w:rFonts w:ascii="Arial" w:eastAsia="Arial" w:hAnsi="Arial" w:cs="Arial"/>
          <w:sz w:val="24"/>
          <w:szCs w:val="24"/>
        </w:rPr>
        <w:fldChar w:fldCharType="end"/>
      </w:r>
    </w:p>
    <w:p w14:paraId="16A10E8E" w14:textId="24735D24" w:rsidR="00537B7C" w:rsidRPr="00AE2080" w:rsidRDefault="00537B7C" w:rsidP="00AE2080">
      <w:pPr>
        <w:spacing w:line="360" w:lineRule="auto"/>
        <w:jc w:val="both"/>
        <w:rPr>
          <w:rFonts w:ascii="Arial" w:hAnsi="Arial" w:cs="Arial"/>
          <w:sz w:val="24"/>
          <w:szCs w:val="24"/>
        </w:rPr>
      </w:pPr>
      <w:r w:rsidRPr="00AE2080">
        <w:rPr>
          <w:rFonts w:ascii="Arial" w:hAnsi="Arial" w:cs="Arial"/>
          <w:sz w:val="24"/>
          <w:szCs w:val="24"/>
        </w:rPr>
        <w:t xml:space="preserve">These two variations of belting seem to provide a connection between the technique sensations and the sound. This seems to line up with the other expert’s descriptions of the two types of belting and is worth considering in the literature review and pedagogical implications. Both experts offered some specific research and researchers to support a deepening of the evidence base underpinning the belt training process. </w:t>
      </w:r>
      <w:r w:rsidRPr="00AE2080">
        <w:rPr>
          <w:rFonts w:ascii="Arial" w:hAnsi="Arial" w:cs="Arial"/>
          <w:sz w:val="24"/>
          <w:szCs w:val="24"/>
        </w:rPr>
        <w:br w:type="page"/>
      </w:r>
    </w:p>
    <w:p w14:paraId="246458A6" w14:textId="297B2B32" w:rsidR="00DE3AF1" w:rsidRPr="00FF190A" w:rsidRDefault="00DE3AF1" w:rsidP="00AE2080">
      <w:pPr>
        <w:spacing w:line="360" w:lineRule="auto"/>
        <w:jc w:val="both"/>
        <w:rPr>
          <w:rFonts w:ascii="Arial" w:hAnsi="Arial" w:cs="Arial"/>
          <w:sz w:val="24"/>
          <w:szCs w:val="24"/>
        </w:rPr>
      </w:pPr>
      <w:r w:rsidRPr="00FF190A">
        <w:rPr>
          <w:rFonts w:ascii="Arial" w:hAnsi="Arial" w:cs="Arial"/>
          <w:sz w:val="24"/>
          <w:szCs w:val="24"/>
        </w:rPr>
        <w:lastRenderedPageBreak/>
        <w:t xml:space="preserve">Figure </w:t>
      </w:r>
      <w:r w:rsidR="00911C4B">
        <w:rPr>
          <w:rFonts w:ascii="Arial" w:hAnsi="Arial" w:cs="Arial"/>
          <w:sz w:val="24"/>
          <w:szCs w:val="24"/>
        </w:rPr>
        <w:t>6</w:t>
      </w:r>
      <w:r w:rsidRPr="00FF190A">
        <w:rPr>
          <w:rFonts w:ascii="Arial" w:hAnsi="Arial" w:cs="Arial"/>
          <w:sz w:val="24"/>
          <w:szCs w:val="24"/>
        </w:rPr>
        <w:t>: Developing traditional belt</w:t>
      </w:r>
    </w:p>
    <w:bookmarkEnd w:id="10"/>
    <w:p w14:paraId="56E11068" w14:textId="47C465E2" w:rsidR="00DE3AF1" w:rsidRDefault="00A80DB7" w:rsidP="00AE2080">
      <w:pPr>
        <w:spacing w:line="360" w:lineRule="auto"/>
        <w:jc w:val="center"/>
        <w:rPr>
          <w:rFonts w:ascii="Arial" w:hAnsi="Arial" w:cs="Arial"/>
          <w:sz w:val="24"/>
          <w:szCs w:val="24"/>
        </w:rPr>
      </w:pPr>
      <w:r>
        <w:rPr>
          <w:rFonts w:ascii="Arial" w:hAnsi="Arial" w:cs="Arial"/>
          <w:noProof/>
          <w:sz w:val="24"/>
          <w:szCs w:val="24"/>
        </w:rPr>
        <w:drawing>
          <wp:inline distT="0" distB="0" distL="0" distR="0" wp14:anchorId="5485650B" wp14:editId="65F780FB">
            <wp:extent cx="3839111" cy="7964011"/>
            <wp:effectExtent l="0" t="0" r="9525" b="0"/>
            <wp:docPr id="1244990307" name="Picture 4" descr="A green and white sign with arrows pointing to a vocal tra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90307" name="Picture 4" descr="A green and white sign with arrows pointing to a vocal trac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839111" cy="7964011"/>
                    </a:xfrm>
                    <a:prstGeom prst="rect">
                      <a:avLst/>
                    </a:prstGeom>
                  </pic:spPr>
                </pic:pic>
              </a:graphicData>
            </a:graphic>
          </wp:inline>
        </w:drawing>
      </w:r>
    </w:p>
    <w:p w14:paraId="1BDBF849" w14:textId="73CBC6C0" w:rsidR="00BF6B19" w:rsidRDefault="00BF6B19" w:rsidP="00BF6B19">
      <w:pPr>
        <w:spacing w:line="360" w:lineRule="auto"/>
        <w:jc w:val="right"/>
        <w:rPr>
          <w:rFonts w:ascii="Arial" w:hAnsi="Arial" w:cs="Arial"/>
          <w:sz w:val="24"/>
          <w:szCs w:val="24"/>
        </w:rPr>
      </w:pPr>
      <w:r>
        <w:rPr>
          <w:rFonts w:ascii="Arial" w:hAnsi="Arial" w:cs="Arial"/>
          <w:sz w:val="24"/>
          <w:szCs w:val="24"/>
        </w:rPr>
        <w:fldChar w:fldCharType="begin" w:fldLock="1"/>
      </w:r>
      <w:r w:rsidR="00681DEB">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Pr>
          <w:rFonts w:ascii="Arial" w:hAnsi="Arial" w:cs="Arial"/>
          <w:sz w:val="24"/>
          <w:szCs w:val="24"/>
        </w:rPr>
        <w:fldChar w:fldCharType="separate"/>
      </w:r>
      <w:r w:rsidRPr="00BF6B19">
        <w:rPr>
          <w:rFonts w:ascii="Arial" w:hAnsi="Arial" w:cs="Arial"/>
          <w:noProof/>
          <w:sz w:val="24"/>
          <w:szCs w:val="24"/>
        </w:rPr>
        <w:t>(Morris, 2023)</w:t>
      </w:r>
      <w:r>
        <w:rPr>
          <w:rFonts w:ascii="Arial" w:hAnsi="Arial" w:cs="Arial"/>
          <w:sz w:val="24"/>
          <w:szCs w:val="24"/>
        </w:rPr>
        <w:fldChar w:fldCharType="end"/>
      </w:r>
      <w:r>
        <w:rPr>
          <w:rFonts w:ascii="Arial" w:hAnsi="Arial" w:cs="Arial"/>
          <w:sz w:val="24"/>
          <w:szCs w:val="24"/>
        </w:rPr>
        <w:br w:type="page"/>
      </w:r>
    </w:p>
    <w:p w14:paraId="0D489216" w14:textId="3CF7EB6D"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lastRenderedPageBreak/>
        <w:t xml:space="preserve">Expert 1 suggested the importance of </w:t>
      </w:r>
      <w:r w:rsidRPr="00AE2080">
        <w:rPr>
          <w:rFonts w:ascii="Arial" w:hAnsi="Arial" w:cs="Arial"/>
          <w:i/>
          <w:iCs/>
          <w:sz w:val="24"/>
          <w:szCs w:val="24"/>
        </w:rPr>
        <w:t>‘exposure to loud sounds’</w:t>
      </w:r>
      <w:r w:rsidRPr="00AE2080">
        <w:rPr>
          <w:rFonts w:ascii="Arial" w:hAnsi="Arial" w:cs="Arial"/>
          <w:sz w:val="24"/>
          <w:szCs w:val="24"/>
        </w:rPr>
        <w:t xml:space="preserve">, </w:t>
      </w:r>
      <w:r w:rsidRPr="00AE2080">
        <w:rPr>
          <w:rFonts w:ascii="Arial" w:hAnsi="Arial" w:cs="Arial"/>
          <w:i/>
          <w:iCs/>
          <w:sz w:val="24"/>
          <w:szCs w:val="24"/>
        </w:rPr>
        <w:t>‘allowing yourself to be loud’</w:t>
      </w:r>
      <w:r w:rsidRPr="00AE2080">
        <w:rPr>
          <w:rFonts w:ascii="Arial" w:hAnsi="Arial" w:cs="Arial"/>
          <w:sz w:val="24"/>
          <w:szCs w:val="24"/>
        </w:rPr>
        <w:t xml:space="preserve">, having an active body, a </w:t>
      </w:r>
      <w:r w:rsidRPr="00AE2080">
        <w:rPr>
          <w:rFonts w:ascii="Arial" w:hAnsi="Arial" w:cs="Arial"/>
          <w:i/>
          <w:iCs/>
          <w:sz w:val="24"/>
          <w:szCs w:val="24"/>
        </w:rPr>
        <w:t>‘relatable way in’</w:t>
      </w:r>
      <w:r w:rsidRPr="00AE2080">
        <w:rPr>
          <w:rFonts w:ascii="Arial" w:hAnsi="Arial" w:cs="Arial"/>
          <w:sz w:val="24"/>
          <w:szCs w:val="24"/>
        </w:rPr>
        <w:t>, and practice in their personal development of belting and their students</w:t>
      </w:r>
      <w:r w:rsidR="00E06D7F">
        <w:rPr>
          <w:rFonts w:ascii="Arial" w:hAnsi="Arial" w:cs="Arial"/>
          <w:sz w:val="24"/>
          <w:szCs w:val="24"/>
        </w:rPr>
        <w:t>’</w:t>
      </w:r>
      <w:r w:rsidR="00C4379F">
        <w:rPr>
          <w:rFonts w:ascii="Arial" w:hAnsi="Arial" w:cs="Arial"/>
          <w:sz w:val="24"/>
          <w:szCs w:val="24"/>
        </w:rPr>
        <w:t xml:space="preserve"> belt training</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(1, 2023)</w:t>
      </w:r>
      <w:r w:rsidRPr="00AE2080">
        <w:rPr>
          <w:rFonts w:ascii="Arial" w:hAnsi="Arial" w:cs="Arial"/>
          <w:sz w:val="24"/>
          <w:szCs w:val="24"/>
        </w:rPr>
        <w:fldChar w:fldCharType="end"/>
      </w:r>
      <w:r w:rsidRPr="00AE2080">
        <w:rPr>
          <w:rFonts w:ascii="Arial" w:hAnsi="Arial" w:cs="Arial"/>
          <w:sz w:val="24"/>
          <w:szCs w:val="24"/>
        </w:rPr>
        <w:t>.</w:t>
      </w:r>
    </w:p>
    <w:p w14:paraId="34191F46" w14:textId="7E43B29F"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Other themes suggested to increase teaching effectiveness are broader teaching skills and knowledge:</w:t>
      </w:r>
    </w:p>
    <w:p w14:paraId="42D18CA2"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Student psycho-social factors</w:t>
      </w:r>
    </w:p>
    <w:p w14:paraId="7C0CF246"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Randomised practice structure</w:t>
      </w:r>
    </w:p>
    <w:p w14:paraId="17B755F4"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Habituation and proprioception</w:t>
      </w:r>
    </w:p>
    <w:p w14:paraId="6F69221E"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Asking students about their sensations when they make attempts to belt</w:t>
      </w:r>
    </w:p>
    <w:p w14:paraId="2F4EC6BF" w14:textId="77777777" w:rsidR="00C50C35" w:rsidRPr="00AE2080" w:rsidRDefault="00C50C35" w:rsidP="00AE2080">
      <w:pPr>
        <w:pStyle w:val="ListParagraph"/>
        <w:numPr>
          <w:ilvl w:val="0"/>
          <w:numId w:val="8"/>
        </w:numPr>
        <w:spacing w:line="360" w:lineRule="auto"/>
        <w:jc w:val="both"/>
        <w:rPr>
          <w:rFonts w:ascii="Arial" w:hAnsi="Arial" w:cs="Arial"/>
          <w:sz w:val="24"/>
          <w:szCs w:val="24"/>
        </w:rPr>
      </w:pPr>
      <w:r w:rsidRPr="00AE2080">
        <w:rPr>
          <w:rFonts w:ascii="Arial" w:hAnsi="Arial" w:cs="Arial"/>
          <w:sz w:val="24"/>
          <w:szCs w:val="24"/>
        </w:rPr>
        <w:t>Challenges around vocabulary associated with belting and potential confusion which could stem from this</w:t>
      </w:r>
    </w:p>
    <w:p w14:paraId="7C2B4BF3" w14:textId="77777777" w:rsidR="00C50C35" w:rsidRDefault="00C50C35" w:rsidP="00AE2080">
      <w:pPr>
        <w:tabs>
          <w:tab w:val="left" w:pos="20"/>
          <w:tab w:val="left" w:pos="260"/>
        </w:tabs>
        <w:autoSpaceDE w:val="0"/>
        <w:autoSpaceDN w:val="0"/>
        <w:adjustRightInd w:val="0"/>
        <w:spacing w:line="360" w:lineRule="auto"/>
        <w:jc w:val="center"/>
        <w:rPr>
          <w:rFonts w:ascii="Arial" w:hAnsi="Arial" w:cs="Arial"/>
          <w:i/>
          <w:iCs/>
          <w:color w:val="000000"/>
          <w:sz w:val="24"/>
          <w:szCs w:val="24"/>
          <w:lang w:val="en-US"/>
        </w:rPr>
      </w:pPr>
      <w:r w:rsidRPr="00AE2080">
        <w:rPr>
          <w:rFonts w:ascii="Arial" w:hAnsi="Arial" w:cs="Arial"/>
          <w:i/>
          <w:iCs/>
          <w:color w:val="000000"/>
          <w:sz w:val="24"/>
          <w:szCs w:val="24"/>
          <w:lang w:val="en-US"/>
        </w:rPr>
        <w:t xml:space="preserve">‘The training to be able to belt will also comprise an emotional and social acceptance and non-rejection of sound and body training, not only vocal training.’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p>
    <w:p w14:paraId="240D9CD2" w14:textId="127B58B4" w:rsidR="00C50C35"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A </w:t>
      </w:r>
      <w:r w:rsidRPr="00AE2080">
        <w:rPr>
          <w:rFonts w:ascii="Arial" w:hAnsi="Arial" w:cs="Arial"/>
          <w:b/>
          <w:bCs/>
          <w:i/>
          <w:iCs/>
          <w:sz w:val="24"/>
          <w:szCs w:val="24"/>
        </w:rPr>
        <w:t>psycho-social factor</w:t>
      </w:r>
      <w:r w:rsidRPr="00AE2080">
        <w:rPr>
          <w:rFonts w:ascii="Arial" w:hAnsi="Arial" w:cs="Arial"/>
          <w:sz w:val="24"/>
          <w:szCs w:val="24"/>
        </w:rPr>
        <w:t xml:space="preserve"> suggested as an important precursor to belting was a student’s emotional connection with the idea of being loud. It was offered that it can be </w:t>
      </w:r>
      <w:r w:rsidRPr="00AE2080">
        <w:rPr>
          <w:rFonts w:ascii="Arial" w:hAnsi="Arial" w:cs="Arial"/>
          <w:i/>
          <w:iCs/>
          <w:sz w:val="24"/>
          <w:szCs w:val="24"/>
        </w:rPr>
        <w:t xml:space="preserve">‘helpful if the student can become familiar with these types of sounds’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Expert 1</w:t>
      </w:r>
      <w:r w:rsidRPr="00AE2080">
        <w:rPr>
          <w:rFonts w:ascii="Arial" w:hAnsi="Arial" w:cs="Arial"/>
          <w:i/>
          <w:iCs/>
          <w:sz w:val="24"/>
          <w:szCs w:val="24"/>
        </w:rPr>
        <w:t xml:space="preserve"> </w:t>
      </w:r>
      <w:r w:rsidRPr="00AE2080">
        <w:rPr>
          <w:rFonts w:ascii="Arial" w:hAnsi="Arial" w:cs="Arial"/>
          <w:sz w:val="24"/>
          <w:szCs w:val="24"/>
        </w:rPr>
        <w:t xml:space="preserve">was suggesting cultural and experiential associations with being loud or quiet in social interactions can influence a singer’s comfort with making loud sounds. </w:t>
      </w:r>
      <w:r w:rsidRPr="00AE2080">
        <w:rPr>
          <w:rFonts w:ascii="Arial" w:hAnsi="Arial" w:cs="Arial"/>
          <w:i/>
          <w:iCs/>
          <w:sz w:val="24"/>
          <w:szCs w:val="24"/>
        </w:rPr>
        <w:t>‘The student has to "allow" himself to be able to make this sound’</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A student’s sense of self-efficacy can be </w:t>
      </w:r>
      <w:r w:rsidR="00133694">
        <w:rPr>
          <w:rFonts w:ascii="Arial" w:hAnsi="Arial" w:cs="Arial"/>
          <w:sz w:val="24"/>
          <w:szCs w:val="24"/>
        </w:rPr>
        <w:t>affected</w:t>
      </w:r>
      <w:r w:rsidRPr="00AE2080">
        <w:rPr>
          <w:rFonts w:ascii="Arial" w:hAnsi="Arial" w:cs="Arial"/>
          <w:sz w:val="24"/>
          <w:szCs w:val="24"/>
        </w:rPr>
        <w:t xml:space="preserve"> by social factors which can influence their singing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{"citationItems":[{"id":"ITEM-1","itemData":{"DOI":"10.1155/2022/2876474","ISSN":"16879813","PMID":"36120139","abstract":"The tertiary industry occupies a large area in China's economic system, and it plays an important function in the growth of China's economic development. It is of positive significance to study the relationship between emotional labor and occupational self-efficacy of singing artists in the tertiary industry. This paper mainly studies the correlation between the emotional labor of singing artists and their professional self-efficacy and analyzes the strength of the correlation. This paper selects 150 singing art personnel in the singing art association in city A to conduct a questionnaire survey and conducts data processing on the questionnaire. This paper explores the influencing factors of emotional labor and four dimensions of occupational self-efficacy. This paper firstly analyzes the differences of the influencing factors of emotional labor and then tests the interaction of the different factors selected. It then conducts a significant test on the four dimensions of professional self-efficacy and finally studies the correlation between the two based on the previous analysis results. This paper concludes that there is a highly significant relationship between the emotional labor and professional ego efficacy of singing artists. And the correlation coefficient and determination coefficient are 0.293 and 0.087, respectively. It shows that 8.7% of the total variance in occupational self-efficacy variables can be explained by emotional labor. There was no significant correlation between surface acting and occupational self-efficacy. Deep acting has the greatest correlation with the physical and mental efficacy dimension of occupational self-efficacy, with a correlation coefficient of 0.391. There were significant correlations between natural performance and the four dimensions of occupational self-efficacy. The highest value is interpersonal efficacy, which is 0.337. The research conclusions of this paper have certain reference value for exploring the relationship between emotional labor and professional self-efficacy of singing artists.","author":[{"dropping-particle":"","family":"Liu","given":"Ziyu","non-dropping-particle":"","parse-names":false,"suffix":""}],"container-title":"Journal of environmental and public health","id":"ITEM-1","issued":{"date-parts":[["2022"]]},"page":"2876474","title":"Correlation Analysis between Emotion Control and Professional Self-Efficacy of Singing Artists Based on Multidimensional Environment","type":"article-journal","volume":"2022"},"uris":["http://www.mendeley.com/documents/?uuid=5cf9f41b-1d90-48a1-9155-e88efc7bf2c4"]},{"id":"ITEM-2","itemData":{"DOI":"10.1177/02557614221074057","ISBN":"0255761422107","ISSN":"1744795X","abstract":"Fostering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Education","id":"ITEM-2","issued":{"date-parts":[["2022"]]},"title":"“It’s your body, it’s part of who you are!”: Influences upon collegiate vocalists’ performance self-efficacy beliefs","type":"article-journal"},"uris":["http://www.mendeley.com/documents/?uuid=d1469298-0bbc-4c76-afcd-e0c4086da712"]}],"mendeley":{"formattedCitation":"(Lewis and Hendricks, 2022; Liu, 2022)","plainTextFormattedCitation":"(Lewis and Hendricks, 2022; Liu, 2022)","previouslyFormattedCitation":"(Lewis and Hendricks, 2022; Liu,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(Lewis and Hendricks, 2022; Liu, 2022)</w:t>
      </w:r>
      <w:r w:rsidRPr="00AE2080">
        <w:rPr>
          <w:rFonts w:ascii="Arial" w:hAnsi="Arial" w:cs="Arial"/>
          <w:sz w:val="24"/>
          <w:szCs w:val="24"/>
        </w:rPr>
        <w:fldChar w:fldCharType="end"/>
      </w:r>
      <w:r w:rsidRPr="00AE2080">
        <w:rPr>
          <w:rFonts w:ascii="Arial" w:hAnsi="Arial" w:cs="Arial"/>
          <w:sz w:val="24"/>
          <w:szCs w:val="24"/>
        </w:rPr>
        <w:t>. In a case where a singer is uncomfortable making loud sounds, Expert 1 suggested building comfort with being loud should be explored before belting. Expert 2 highlighted the importance of a teacher’s understanding</w:t>
      </w:r>
      <w:r w:rsidR="00CF3A09">
        <w:rPr>
          <w:rFonts w:ascii="Arial" w:hAnsi="Arial" w:cs="Arial"/>
          <w:sz w:val="24"/>
          <w:szCs w:val="24"/>
        </w:rPr>
        <w:t xml:space="preserve"> of</w:t>
      </w:r>
      <w:r w:rsidRPr="00AE2080">
        <w:rPr>
          <w:rFonts w:ascii="Arial" w:hAnsi="Arial" w:cs="Arial"/>
          <w:sz w:val="24"/>
          <w:szCs w:val="24"/>
        </w:rPr>
        <w:t xml:space="preserve"> a singer’s history with </w:t>
      </w:r>
      <w:r w:rsidRPr="00AE2080">
        <w:rPr>
          <w:rFonts w:ascii="Arial" w:hAnsi="Arial" w:cs="Arial"/>
          <w:b/>
          <w:bCs/>
          <w:i/>
          <w:iCs/>
          <w:sz w:val="24"/>
          <w:szCs w:val="24"/>
        </w:rPr>
        <w:t>singing at higher energy levels</w:t>
      </w:r>
      <w:r w:rsidRPr="00AE2080">
        <w:rPr>
          <w:rFonts w:ascii="Arial" w:hAnsi="Arial" w:cs="Arial"/>
          <w:sz w:val="24"/>
          <w:szCs w:val="24"/>
        </w:rPr>
        <w:t>. They suggested that some students need to ‘</w:t>
      </w:r>
      <w:r w:rsidRPr="00AE2080">
        <w:rPr>
          <w:rFonts w:ascii="Arial" w:eastAsia="Arial" w:hAnsi="Arial" w:cs="Arial"/>
          <w:i/>
          <w:iCs/>
          <w:sz w:val="24"/>
          <w:szCs w:val="24"/>
        </w:rPr>
        <w:t xml:space="preserve">re-balance’ </w:t>
      </w:r>
      <w:r w:rsidRPr="00AE2080">
        <w:rPr>
          <w:rFonts w:ascii="Arial" w:eastAsia="Arial" w:hAnsi="Arial" w:cs="Arial"/>
          <w:sz w:val="24"/>
          <w:szCs w:val="24"/>
        </w:rPr>
        <w:t>before</w:t>
      </w:r>
      <w:r w:rsidRPr="00AE2080">
        <w:rPr>
          <w:rFonts w:ascii="Arial" w:hAnsi="Arial" w:cs="Arial"/>
          <w:i/>
          <w:iCs/>
          <w:sz w:val="24"/>
          <w:szCs w:val="24"/>
        </w:rPr>
        <w:t xml:space="preserve"> </w:t>
      </w:r>
      <w:r w:rsidRPr="00AE2080">
        <w:rPr>
          <w:rFonts w:ascii="Arial" w:hAnsi="Arial" w:cs="Arial"/>
          <w:sz w:val="24"/>
          <w:szCs w:val="24"/>
        </w:rPr>
        <w:t xml:space="preserve">working at progressively higher energy levels before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(2, 2023)</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i/>
          <w:iCs/>
          <w:sz w:val="24"/>
          <w:szCs w:val="24"/>
        </w:rPr>
        <w:t>‘High</w:t>
      </w:r>
      <w:r w:rsidR="004F6AA1">
        <w:rPr>
          <w:rFonts w:ascii="Arial" w:hAnsi="Arial" w:cs="Arial"/>
          <w:i/>
          <w:iCs/>
          <w:sz w:val="24"/>
          <w:szCs w:val="24"/>
        </w:rPr>
        <w:t>-</w:t>
      </w:r>
      <w:r w:rsidRPr="00AE2080">
        <w:rPr>
          <w:rFonts w:ascii="Arial" w:hAnsi="Arial" w:cs="Arial"/>
          <w:i/>
          <w:iCs/>
          <w:sz w:val="24"/>
          <w:szCs w:val="24"/>
        </w:rPr>
        <w:t>intensity</w:t>
      </w:r>
      <w:r w:rsidR="00736444">
        <w:rPr>
          <w:rFonts w:ascii="Arial" w:hAnsi="Arial" w:cs="Arial"/>
          <w:i/>
          <w:iCs/>
          <w:sz w:val="24"/>
          <w:szCs w:val="24"/>
        </w:rPr>
        <w:t xml:space="preserve"> </w:t>
      </w:r>
      <w:r w:rsidRPr="00AE2080">
        <w:rPr>
          <w:rFonts w:ascii="Arial" w:hAnsi="Arial" w:cs="Arial"/>
          <w:i/>
          <w:iCs/>
          <w:sz w:val="24"/>
          <w:szCs w:val="24"/>
        </w:rPr>
        <w:t xml:space="preserve">vocal work needs the help of muscular body structures beyond the larynx’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Singing teachers would need to assess a singer’s history and comfort with high</w:t>
      </w:r>
      <w:r w:rsidR="00736444">
        <w:rPr>
          <w:rFonts w:ascii="Arial" w:hAnsi="Arial" w:cs="Arial"/>
          <w:sz w:val="24"/>
          <w:szCs w:val="24"/>
        </w:rPr>
        <w:t>-</w:t>
      </w:r>
      <w:r w:rsidRPr="00AE2080">
        <w:rPr>
          <w:rFonts w:ascii="Arial" w:hAnsi="Arial" w:cs="Arial"/>
          <w:sz w:val="24"/>
          <w:szCs w:val="24"/>
        </w:rPr>
        <w:t>energy singing. When and how to work at ‘</w:t>
      </w:r>
      <w:r w:rsidRPr="00AE2080">
        <w:rPr>
          <w:rFonts w:ascii="Arial" w:hAnsi="Arial" w:cs="Arial"/>
          <w:i/>
          <w:iCs/>
          <w:sz w:val="24"/>
          <w:szCs w:val="24"/>
        </w:rPr>
        <w:t>high</w:t>
      </w:r>
      <w:r w:rsidR="004F6AA1">
        <w:rPr>
          <w:rFonts w:ascii="Arial" w:hAnsi="Arial" w:cs="Arial"/>
          <w:i/>
          <w:iCs/>
          <w:sz w:val="24"/>
          <w:szCs w:val="24"/>
        </w:rPr>
        <w:t>-</w:t>
      </w:r>
      <w:r w:rsidRPr="00AE2080">
        <w:rPr>
          <w:rFonts w:ascii="Arial" w:hAnsi="Arial" w:cs="Arial"/>
          <w:i/>
          <w:iCs/>
          <w:sz w:val="24"/>
          <w:szCs w:val="24"/>
        </w:rPr>
        <w:t>intensity’</w:t>
      </w:r>
      <w:r w:rsidRPr="00AE2080">
        <w:rPr>
          <w:rFonts w:ascii="Arial" w:hAnsi="Arial" w:cs="Arial"/>
          <w:sz w:val="24"/>
          <w:szCs w:val="24"/>
        </w:rPr>
        <w:t xml:space="preserve"> to create a belt sound </w:t>
      </w:r>
      <w:r w:rsidR="002759AD">
        <w:rPr>
          <w:rFonts w:ascii="Arial" w:hAnsi="Arial" w:cs="Arial"/>
          <w:sz w:val="24"/>
          <w:szCs w:val="24"/>
        </w:rPr>
        <w:t>are</w:t>
      </w:r>
      <w:r w:rsidRPr="00AE2080">
        <w:rPr>
          <w:rFonts w:ascii="Arial" w:hAnsi="Arial" w:cs="Arial"/>
          <w:sz w:val="24"/>
          <w:szCs w:val="24"/>
        </w:rPr>
        <w:t xml:space="preserve"> questions </w:t>
      </w:r>
      <w:r w:rsidR="002759AD">
        <w:rPr>
          <w:rFonts w:ascii="Arial" w:hAnsi="Arial" w:cs="Arial"/>
          <w:sz w:val="24"/>
          <w:szCs w:val="24"/>
        </w:rPr>
        <w:t xml:space="preserve">with important answers </w:t>
      </w:r>
      <w:r w:rsidRPr="00AE2080">
        <w:rPr>
          <w:rFonts w:ascii="Arial" w:hAnsi="Arial" w:cs="Arial"/>
          <w:sz w:val="24"/>
          <w:szCs w:val="24"/>
        </w:rPr>
        <w:t xml:space="preserve">for a teacher and a singer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{"citationItems":[{"id":"ITEM-1","itemData":{"DOI":"10.1016/j.jvoice.2021.08.006","ISSN":"18734588","abstract":"Objective: To document and quantify vocal dose and student-singers' self-assessment during rehearsals for a contemporary musical theater production. Methods/Design: Six student singers fastened the sensor from the KayPentax APM 3200 dosimeter to the lower neck to capture neck vibration data during their preparation for the musical Wonderland by Frank Wildhorn. Data were collected during 8-hour periods, at four different stages throughout the rehearsal process: beginning (music and choreography learning phase), middle (staging phase), and end (running the entire show/dress rehearsal phase), plus a post-production day once the production had concluded to establish a baseline vocal load. Students concurrently completed the EASE questionnaire1 after each data collection day. Results: The EASE score (Appendix 1) and demographics/perceptual questionnaire (Appendix 2) revealed that all subjects (three males and three females) found the singing role vocally and physically demanding but only two found the roles to be emotionally challenging. The musical score demanded a higher usage of chest register (judged perceptually) than mixed register from lead singers. All subjects’ maximum fundamental frequency range exceeded the pitch range required by the score. The mean vibration dose (distance dose) across all singers for rehearsal days was higher for females, 1,100,000 meters, than males, 900,000 meters, and the subjects’ self-ratings on the EASE were not correlated with the distance dose. Conclusions: A review of Wonderland's score and perceptual judgment of the singers’ performances revealed extensive use of chest register, with belting and mix vocal strategies being the predominant stylistic choices. Students described the singing roles’ vocal and physical requirements as more challenging than the character's emotional components. This pilot study provides information on the vocal dose for lead and ensemble singers in rehearsal for a Contemporary Musical Theatre production. Singers and voice professionals may find dosimetry a valuable tool for monitoring the vocal dose during rehearsals and performances.","author":[{"dropping-particle":"","family":"Zuim","given":"Ana Flavia","non-dropping-particle":"","parse-names":false,"suffix":""},{"dropping-particle":"","family":"Stewart","given":"Celia F.","non-dropping-particle":"","parse-names":false,"suffix":""},{"dropping-particle":"","family":"Titze","given":"Ingo R.","non-dropping-particle":"","parse-names":false,"suffix":""}],"container-title":"Journal of Voice","id":"ITEM-1","issued":{"date-parts":[["2021"]]},"page":"1-16","publisher":"Elsevier Inc.","title":"Vocal Dose and Vocal Demands in Contemporary Musical Theatre","type":"article-journal"},"uris":["http://www.mendeley.com/documents/?uuid=2d356760-21e6-462e-afe0-72c6cf2a3a37"]},{"id":"ITEM-2","itemData":{"DOI":"10.1016/S0892-1997(00)80027-2","ISSN":"08921997","PMID":"10875571","abstract":"This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Voice","id":"ITEM-2","issue":"2","issued":{"date-parts":[["2000"]]},"page":"194-204","title":"Resonance strategies for the belting style: Results of a single female subject study","type":"article-journal","volume":"14"},"uris":["http://www.mendeley.com/documents/?uuid=69e60786-bdad-41b2-bca6-289dc340c496"]},{"id":"ITEM-3","itemData":{"DOI":"10.1016/j.jvoice.2009.02.004","ISSN":"08921997","PMID":"19900789","abstract":"The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Voice","id":"ITEM-3","issue":"6","issued":{"date-parts":[["2010"]]},"page":"678-689","publisher":"Elsevier Ltd","title":"Perceptual findings on the broadway belt voice","type":"article-journal","volume":"24"},"uris":["http://www.mendeley.com/documents/?uuid=6c55d39f-8945-4dfd-aa49-75cdbc6d62fa"]},{"id":"ITEM-4","itemData":{"DOI":"10.1016/j.jvoice.2014.09.018","ISSN":"18734588","PMID":"25819162","abstract":"Summary Objectives Belt is a style of singing commonly used in nonclassical genres. Its respiratory, phonatory, and resonatory characteristics are unclear. Design Basic research. Methods Six female singers, professionally performing in the belt styles since many years, sang an excerpt of a song in belt and nonbelt/neutral style, two times with the lyrics and two times replacing the lyrics with /pae/ syllables. On separate channels, recordings were made of audio, oral pressure, and rib cage and abdominal wall movements, as picked up by respiratory inductive plethysmography. Lung volume and breathing patterns during inhalation and phonation were normalized with respect to duration and averaged. Voice source was analyzed in terms of flow glottograms derived from the audio signal by inverse filtering. Results Belt was produced with higher pressures and yielded higher sound levels, but no consistent breathing pattern was observed, neither for the belt, nor for the neutral style. Voice source differences suggested that belt was produced with firmer glottal adduction than neutral. Also, in four of the singers, the first formant was closer to a spectrum harmonic in belt than in neutral. Conclusions Belt style of singing is not associated with a characteristic breathing behavior but is produced with higher subglottal pressures, higher sound levels, and firmer glottal adduction than a neutral style of singing.","author":[{"dropping-particle":"","family":"Sundberg","given":"Johan","non-dropping-particle":"","parse-names":false,"suffix":""},{"dropping-particle":"","family":"Thalén","given":"Margareta","non-dropping-particle":"","parse-names":false,"suffix":""}],"container-title":"Journal of Voice","id":"ITEM-4","issue":"4","issued":{"date-parts":[["2015"]]},"note":"Key:\nOpera/Classical - Yellow \nTeaching - Red\nCCM - Green\nMT - Purple\nCross-training - Blue\nStudy/ writing ideas - Pink\nVocal acoustics - grey\nTechnology - orange \n\nThemes:\n\nBelt\n'Nautal style of singing'\nAnalysis (audio, oral pressure, rib cage, abdominal wall movemenets)\nCCM\n'Legit' Classical\nReferring to an except of music\n\n\n\nConnections:","page":"418-425","title":"Respiratory and Acoustical Differences Between Belt and Neutral Style of Singing","type":"article-journal","volume":"29"},"uris":["http://www.mendeley.com/documents/?uuid=6a017ad1-d66b-4dc5-b81c-8f60d70c4a13"]}],"mendeley":{"formattedCitation":"(Bestebreurtje and Schutte, 2000; Deleo Leborgne &lt;i&gt;et al.&lt;/i&gt;, 2010; Sundberg and Thalén, 2015; Zuim, Stewart and Titze, 2021)","plainTextFormattedCitation":"(Bestebreurtje and Schutte, 2000; Deleo Leborgne et al., 2010; Sundberg and Thalén, 2015; Zuim, Stewart and Titze, 2021)","previouslyFormattedCitation":"(Bestebreurtje and Schutte, 2000; Deleo Leborgne &lt;i&gt;et al.&lt;/i&gt;, 2010; Sundberg and Thalén, 2015; Zuim, Stewart and Titze,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(Bestebreurtje and Schutte, 2000; Deleo Leborgne </w:t>
      </w:r>
      <w:r w:rsidRPr="00AE2080">
        <w:rPr>
          <w:rFonts w:ascii="Arial" w:hAnsi="Arial" w:cs="Arial"/>
          <w:i/>
          <w:noProof/>
          <w:sz w:val="24"/>
          <w:szCs w:val="24"/>
        </w:rPr>
        <w:t>et al.</w:t>
      </w:r>
      <w:r w:rsidRPr="00AE2080">
        <w:rPr>
          <w:rFonts w:ascii="Arial" w:hAnsi="Arial" w:cs="Arial"/>
          <w:noProof/>
          <w:sz w:val="24"/>
          <w:szCs w:val="24"/>
        </w:rPr>
        <w:t>, 2010; Sundberg and Thalén, 2015; Zuim, Stewart and Titze, 2021)</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sz w:val="24"/>
          <w:szCs w:val="24"/>
        </w:rPr>
        <w:lastRenderedPageBreak/>
        <w:t>These situations are examples where both experts indicated the need for a teacher to have knowledge which enables them to individualise the process.</w:t>
      </w:r>
    </w:p>
    <w:p w14:paraId="3945DB5D" w14:textId="155B6904" w:rsidR="00C50C35" w:rsidRPr="00AE2080" w:rsidRDefault="00C50C35" w:rsidP="00AE2080">
      <w:pPr>
        <w:spacing w:line="360" w:lineRule="auto"/>
        <w:jc w:val="both"/>
        <w:rPr>
          <w:rFonts w:ascii="Arial" w:hAnsi="Arial" w:cs="Arial"/>
          <w:sz w:val="24"/>
          <w:szCs w:val="24"/>
        </w:rPr>
      </w:pPr>
      <w:r w:rsidRPr="00AE2080">
        <w:rPr>
          <w:rFonts w:ascii="Arial" w:hAnsi="Arial" w:cs="Arial"/>
          <w:b/>
          <w:bCs/>
          <w:i/>
          <w:iCs/>
          <w:sz w:val="24"/>
          <w:szCs w:val="24"/>
        </w:rPr>
        <w:t xml:space="preserve">Randomised practice structure </w:t>
      </w:r>
      <w:r w:rsidRPr="00AE2080">
        <w:rPr>
          <w:rFonts w:ascii="Arial" w:hAnsi="Arial" w:cs="Arial"/>
          <w:sz w:val="24"/>
          <w:szCs w:val="24"/>
        </w:rPr>
        <w:t xml:space="preserve">from Motor Learning Theory (MLT) was suggested as important in training. This is where </w:t>
      </w:r>
      <w:r w:rsidRPr="00AE2080">
        <w:rPr>
          <w:rFonts w:ascii="Arial" w:hAnsi="Arial" w:cs="Arial"/>
          <w:i/>
          <w:iCs/>
          <w:sz w:val="24"/>
          <w:szCs w:val="24"/>
        </w:rPr>
        <w:t xml:space="preserve">‘a variety of motor skills are exercised in no particular order…increases in retention and transfer of new motor skills’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w:t>
      </w:r>
      <w:r w:rsidR="00AD1AF0">
        <w:rPr>
          <w:rFonts w:ascii="Arial" w:hAnsi="Arial" w:cs="Arial"/>
          <w:i/>
          <w:iCs/>
          <w:sz w:val="24"/>
          <w:szCs w:val="24"/>
        </w:rPr>
        <w:t xml:space="preserve"> </w:t>
      </w:r>
      <w:r w:rsidRPr="00AE2080">
        <w:rPr>
          <w:rFonts w:ascii="Arial" w:hAnsi="Arial" w:cs="Arial"/>
          <w:sz w:val="24"/>
          <w:szCs w:val="24"/>
        </w:rPr>
        <w:t>The pedagogical implication of this is that teachers would</w:t>
      </w:r>
      <w:r w:rsidR="00AD1AF0">
        <w:rPr>
          <w:rFonts w:ascii="Arial" w:hAnsi="Arial" w:cs="Arial"/>
          <w:sz w:val="24"/>
          <w:szCs w:val="24"/>
        </w:rPr>
        <w:t xml:space="preserve"> </w:t>
      </w:r>
      <w:r w:rsidRPr="00AE2080">
        <w:rPr>
          <w:rFonts w:ascii="Arial" w:hAnsi="Arial" w:cs="Arial"/>
          <w:sz w:val="24"/>
          <w:szCs w:val="24"/>
        </w:rPr>
        <w:t>‘</w:t>
      </w:r>
      <w:r w:rsidRPr="00AE2080">
        <w:rPr>
          <w:rFonts w:ascii="Arial" w:hAnsi="Arial" w:cs="Arial"/>
          <w:i/>
          <w:iCs/>
          <w:sz w:val="24"/>
          <w:szCs w:val="24"/>
        </w:rPr>
        <w:t>not always be able to use the same exercises or resources’</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w:t>
      </w:r>
      <w:r w:rsidR="00AD1AF0">
        <w:rPr>
          <w:rFonts w:ascii="Arial" w:hAnsi="Arial" w:cs="Arial"/>
          <w:i/>
          <w:iCs/>
          <w:sz w:val="24"/>
          <w:szCs w:val="24"/>
        </w:rPr>
        <w:t xml:space="preserve"> </w:t>
      </w:r>
      <w:r w:rsidRPr="00AE2080">
        <w:rPr>
          <w:rFonts w:ascii="Arial" w:hAnsi="Arial" w:cs="Arial"/>
          <w:sz w:val="24"/>
          <w:szCs w:val="24"/>
        </w:rPr>
        <w:t>Expert 1 suggested that teachers ‘</w:t>
      </w:r>
      <w:r w:rsidRPr="00AE2080">
        <w:rPr>
          <w:rFonts w:ascii="Arial" w:hAnsi="Arial" w:cs="Arial"/>
          <w:i/>
          <w:iCs/>
          <w:sz w:val="24"/>
          <w:szCs w:val="24"/>
        </w:rPr>
        <w:t xml:space="preserve">incorporate different feedback strategies constantly’ </w:t>
      </w:r>
      <w:r w:rsidRPr="00AE2080">
        <w:rPr>
          <w:rFonts w:ascii="Arial" w:hAnsi="Arial" w:cs="Arial"/>
          <w:sz w:val="24"/>
          <w:szCs w:val="24"/>
        </w:rPr>
        <w:t>to reap the benefits of MLT research regarding feedback. They further suggested that teaching and learning can be improved when a ‘</w:t>
      </w:r>
      <w:r w:rsidRPr="00AE2080">
        <w:rPr>
          <w:rFonts w:ascii="Arial" w:hAnsi="Arial" w:cs="Arial"/>
          <w:i/>
          <w:iCs/>
          <w:sz w:val="24"/>
          <w:szCs w:val="24"/>
        </w:rPr>
        <w:t xml:space="preserve">student gives the missing information from their proprioception’ </w:t>
      </w:r>
      <w:r w:rsidRPr="00AE2080">
        <w:rPr>
          <w:rFonts w:ascii="Arial" w:hAnsi="Arial" w:cs="Arial"/>
          <w:sz w:val="24"/>
          <w:szCs w:val="24"/>
        </w:rPr>
        <w:t xml:space="preserve">and later gave a caution about habituation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r w:rsidRPr="00AE2080">
        <w:rPr>
          <w:rFonts w:ascii="Arial" w:hAnsi="Arial" w:cs="Arial"/>
          <w:i/>
          <w:iCs/>
          <w:sz w:val="24"/>
          <w:szCs w:val="24"/>
        </w:rPr>
        <w:t>.</w:t>
      </w:r>
    </w:p>
    <w:p w14:paraId="47FD45AB" w14:textId="51B9C003" w:rsidR="00C50C35" w:rsidRPr="00AE2080" w:rsidRDefault="00C50C35" w:rsidP="00AE2080">
      <w:pPr>
        <w:spacing w:line="360" w:lineRule="auto"/>
        <w:jc w:val="center"/>
        <w:rPr>
          <w:rFonts w:ascii="Arial" w:hAnsi="Arial" w:cs="Arial"/>
          <w:i/>
          <w:iCs/>
          <w:sz w:val="24"/>
          <w:szCs w:val="24"/>
        </w:rPr>
      </w:pPr>
      <w:r w:rsidRPr="00AE2080">
        <w:rPr>
          <w:rFonts w:ascii="Arial" w:hAnsi="Arial" w:cs="Arial"/>
          <w:i/>
          <w:iCs/>
          <w:sz w:val="24"/>
          <w:szCs w:val="24"/>
        </w:rPr>
        <w:t>‘</w:t>
      </w:r>
      <w:r w:rsidR="00960CDB">
        <w:rPr>
          <w:rFonts w:ascii="Arial" w:hAnsi="Arial" w:cs="Arial"/>
          <w:i/>
          <w:iCs/>
          <w:sz w:val="24"/>
          <w:szCs w:val="24"/>
        </w:rPr>
        <w:t>[</w:t>
      </w:r>
      <w:r w:rsidR="00761B48">
        <w:rPr>
          <w:rFonts w:ascii="Arial" w:hAnsi="Arial" w:cs="Arial"/>
          <w:i/>
          <w:iCs/>
          <w:sz w:val="24"/>
          <w:szCs w:val="24"/>
        </w:rPr>
        <w:t xml:space="preserve">Habituation </w:t>
      </w:r>
      <w:r w:rsidR="00AE338A">
        <w:rPr>
          <w:rFonts w:ascii="Arial" w:hAnsi="Arial" w:cs="Arial"/>
          <w:i/>
          <w:iCs/>
          <w:sz w:val="24"/>
          <w:szCs w:val="24"/>
        </w:rPr>
        <w:t>is when]</w:t>
      </w:r>
      <w:r w:rsidRPr="00AE2080">
        <w:rPr>
          <w:rFonts w:ascii="Arial" w:hAnsi="Arial" w:cs="Arial"/>
          <w:i/>
          <w:iCs/>
          <w:sz w:val="24"/>
          <w:szCs w:val="24"/>
        </w:rPr>
        <w:t xml:space="preserve"> you do for a long time, because of the dynamic nature of proprioception, it will stop "feeling" difficult or laborious…’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(1, 2023)</w:t>
      </w:r>
      <w:r w:rsidRPr="00AE2080">
        <w:rPr>
          <w:rFonts w:ascii="Arial" w:hAnsi="Arial" w:cs="Arial"/>
          <w:i/>
          <w:iCs/>
          <w:sz w:val="24"/>
          <w:szCs w:val="24"/>
        </w:rPr>
        <w:fldChar w:fldCharType="end"/>
      </w:r>
    </w:p>
    <w:p w14:paraId="5A668484" w14:textId="77777777" w:rsidR="00C50C35"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A teacher’s seeking information from a student’s sensations </w:t>
      </w:r>
      <w:r w:rsidRPr="00AE2080">
        <w:rPr>
          <w:rFonts w:ascii="Arial" w:hAnsi="Arial" w:cs="Arial"/>
          <w:b/>
          <w:bCs/>
          <w:i/>
          <w:iCs/>
          <w:sz w:val="24"/>
          <w:szCs w:val="24"/>
        </w:rPr>
        <w:t>internal feedback</w:t>
      </w:r>
      <w:r w:rsidRPr="00AE2080">
        <w:rPr>
          <w:rFonts w:ascii="Arial" w:hAnsi="Arial" w:cs="Arial"/>
          <w:sz w:val="24"/>
          <w:szCs w:val="24"/>
        </w:rPr>
        <w:t xml:space="preserve"> and </w:t>
      </w:r>
      <w:r w:rsidRPr="00AE2080">
        <w:rPr>
          <w:rFonts w:ascii="Arial" w:hAnsi="Arial" w:cs="Arial"/>
          <w:b/>
          <w:bCs/>
          <w:i/>
          <w:iCs/>
          <w:sz w:val="24"/>
          <w:szCs w:val="24"/>
        </w:rPr>
        <w:t>habituation</w:t>
      </w:r>
      <w:r w:rsidRPr="00AE2080">
        <w:rPr>
          <w:rFonts w:ascii="Arial" w:hAnsi="Arial" w:cs="Arial"/>
          <w:sz w:val="24"/>
          <w:szCs w:val="24"/>
        </w:rPr>
        <w:t xml:space="preserve"> suggests researching MLT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{"citationItems":[{"id":"ITEM-1","itemData":{"DOI":"10.1371/journal.pone.0201689","ISBN":"1111111111","ISSN":"19326203","PMID":"30092007","abstract":"Mindfulness based stress reduction (MBSR) training has been proposed to improve attentional skills by modulating thalamo-cortical loops that affect the sensitivity of relevant cortical areas like the somatosensory cortex. This modulation may be reflected in the electroencephalographic (EEG) alpha rhythm, and could affect the processing of subsequently applied intracutaneous electrical stimuli. Participants took part in an MBSR training and participated in two EEG sessions. EEG was measured in variants of an endogenous orienting paradigm in which attention had to be directed to the left or right forearm. After the orienting interval, the electrical stimulus was applied, equally likely on the attended or the unattended forearm. One group of participants took part in the EEG session before and after the training, while the other group took part after the training, and another time, eight weeks later. The influence of the MBSR training and spatial attention were examined with behavioral measures, lateralized alpha power within the orienting interval, and with event-related potentials (ERPs) evoked by the electrical stimuli. Self-reported mindfulness was clearly affected by the training, but no influence was found on other behavioral measures. Alpha power was clearly lateralized due to spatial attention and several ERP components (N130, N180, P340) were modulated by spatial attention but no support was found for an influence of the MBSR training. Finally, analyses revealed that individual differences in training time modulated some of the observed effects, but no support was found for an influence on attentional orienting.","author":[{"dropping-particle":"","family":"Lubbe","given":"Rob H.J.","non-dropping-particle":"Van der","parse-names":false,"suffix":""},{"dropping-particle":"","family":"Kleine","given":"Elian","non-dropping-particle":"De","parse-names":false,"suffix":""},{"dropping-particle":"","family":"Schreurs","given":"Karlein M.G.","non-dropping-particle":"","parse-names":false,"suffix":""},{"dropping-particle":"","family":"Bohlmeijer","given":"Ernst T.","non-dropping-particle":"","parse-names":false,"suffix":""}],"container-title":"PLoS ONE","id":"ITEM-1","issue":"8","issued":{"date-parts":[["2018"]]},"note":"M/fness med neurophysiological level, this filter- ing might occur by selective modulation ofthalamo-cortical loops to relevant sensory areas, which is controlled by prefrontal cortical areas.\n\nIn short, spatial attention has major effects on the orienting towards and the processing ofintracutaneous electrical stimuli, but no clear support was obtained that MBSR training modulates these effects.","page":"1-30","title":"Does mindfulness training modulate the influence of spatial attention on the processing of intracutaneous electrical stimuli?","type":"article-journal","volume":"13"},"uris":["http://www.mendeley.com/documents/?uuid=70930069-b7bf-49f0-8a0a-97774ed37e56"]},{"id":"ITEM-2","itemData":{"ISBN":"978-0-7360-4258-1","author":[{"dropping-particle":"","family":"Schmidt","given":"Richard A","non-dropping-particle":"","parse-names":false,"suffix":""},{"dropping-particle":"","family":"Lee","given":"Timothy D","non-dropping-particle":"","parse-names":false,"suffix":""}],"edition":"4th","id":"ITEM-2","issued":{"date-parts":[["2005"]]},"publisher":"Champaign, IL: Human Kietics","title":"Motor Control and Learning: A behavioural Emphasis","type":"book"},"uris":["http://www.mendeley.com/documents/?uuid=8b7e9cf7-0a2b-424b-873b-2ddfc7ee213b"]},{"id":"ITEM-3","itemData":{"author":[{"dropping-particle":"","family":"Maxfield","given":"Lynn","non-dropping-particle":"","parse-names":false,"suffix":""}],"container-title":"Journal of Singing","id":"ITEM-3","issue":"June","issued":{"date-parts":[["2019"]]},"page":"583-587","title":"Your Model of Motor Learning","type":"article-journal"},"uris":["http://www.mendeley.com/documents/?uuid=5d4fae0a-36a6-46fd-b7b4-97444d81bdeb"]}],"mendeley":{"formattedCitation":"(Schmidt and Lee, 2005; Van der Lubbe &lt;i&gt;et al.&lt;/i&gt;, 2018; Maxfield, 2019)","plainTextFormattedCitation":"(Schmidt and Lee, 2005; Van der Lubbe et al., 2018; Maxfield, 2019)","previouslyFormattedCitation":"(Schmidt and Lee, 2005; Van der Lubbe &lt;i&gt;et al.&lt;/i&gt;, 2018; Maxfield, 2019)"},"properties":{"noteIndex":0},"schema":"https://github.com/citation-style-language/schema/raw/master/csl-citation.json"}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(Schmidt and Lee, 2005; Van der Lubbe </w:t>
      </w:r>
      <w:r w:rsidRPr="00AE2080">
        <w:rPr>
          <w:rFonts w:ascii="Arial" w:hAnsi="Arial" w:cs="Arial"/>
          <w:i/>
          <w:noProof/>
          <w:sz w:val="24"/>
          <w:szCs w:val="24"/>
        </w:rPr>
        <w:t>et al.</w:t>
      </w:r>
      <w:r w:rsidRPr="00AE2080">
        <w:rPr>
          <w:rFonts w:ascii="Arial" w:hAnsi="Arial" w:cs="Arial"/>
          <w:noProof/>
          <w:sz w:val="24"/>
          <w:szCs w:val="24"/>
        </w:rPr>
        <w:t>, 2018; Maxfield, 2019)</w:t>
      </w:r>
      <w:r w:rsidRPr="00AE2080">
        <w:rPr>
          <w:rFonts w:ascii="Arial" w:hAnsi="Arial" w:cs="Arial"/>
          <w:sz w:val="24"/>
          <w:szCs w:val="24"/>
        </w:rPr>
        <w:fldChar w:fldCharType="end"/>
      </w:r>
      <w:r w:rsidRPr="00AE2080">
        <w:rPr>
          <w:rFonts w:ascii="Arial" w:hAnsi="Arial" w:cs="Arial"/>
          <w:sz w:val="24"/>
          <w:szCs w:val="24"/>
        </w:rPr>
        <w:t>. These teaching skill themes are investigated in the literature review.</w:t>
      </w:r>
    </w:p>
    <w:p w14:paraId="29F69C2A" w14:textId="77777777" w:rsidR="00C50C35" w:rsidRDefault="00C50C35" w:rsidP="00AE2080">
      <w:pPr>
        <w:spacing w:line="360" w:lineRule="auto"/>
        <w:jc w:val="center"/>
        <w:rPr>
          <w:rFonts w:ascii="Arial" w:hAnsi="Arial" w:cs="Arial"/>
          <w:i/>
          <w:iCs/>
          <w:color w:val="000000"/>
          <w:sz w:val="24"/>
          <w:szCs w:val="24"/>
          <w:lang w:val="en-US"/>
        </w:rPr>
      </w:pPr>
      <w:r w:rsidRPr="00AE2080">
        <w:rPr>
          <w:rFonts w:ascii="Arial" w:hAnsi="Arial" w:cs="Arial"/>
          <w:i/>
          <w:iCs/>
          <w:sz w:val="24"/>
          <w:szCs w:val="24"/>
        </w:rPr>
        <w:t xml:space="preserve">‘Belt quality is used on a very ad hoc basis, at very specific times… the more the student knows his or her voice, the easier it becomes’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p>
    <w:p w14:paraId="74D1B36C" w14:textId="55328913" w:rsidR="00C50C35" w:rsidRPr="00AE2080" w:rsidRDefault="00C50C35" w:rsidP="00AE2080">
      <w:pPr>
        <w:spacing w:line="360" w:lineRule="auto"/>
        <w:jc w:val="both"/>
        <w:rPr>
          <w:rFonts w:ascii="Arial" w:hAnsi="Arial" w:cs="Arial"/>
          <w:color w:val="000000"/>
          <w:sz w:val="24"/>
          <w:szCs w:val="24"/>
          <w:lang w:val="en-US"/>
        </w:rPr>
      </w:pPr>
      <w:r w:rsidRPr="00AE2080">
        <w:rPr>
          <w:rFonts w:ascii="Arial" w:hAnsi="Arial" w:cs="Arial"/>
          <w:color w:val="000000"/>
          <w:sz w:val="24"/>
          <w:szCs w:val="24"/>
          <w:lang w:val="en-US"/>
        </w:rPr>
        <w:t xml:space="preserve">Themes related to the </w:t>
      </w:r>
      <w:r w:rsidRPr="00AE2080">
        <w:rPr>
          <w:rFonts w:ascii="Arial" w:hAnsi="Arial" w:cs="Arial"/>
          <w:i/>
          <w:iCs/>
          <w:color w:val="000000"/>
          <w:sz w:val="24"/>
          <w:szCs w:val="24"/>
          <w:lang w:val="en-US"/>
        </w:rPr>
        <w:t xml:space="preserve">arc of </w:t>
      </w:r>
      <w:r w:rsidRPr="00AE2080">
        <w:rPr>
          <w:rFonts w:ascii="Arial" w:hAnsi="Arial" w:cs="Arial"/>
          <w:b/>
          <w:bCs/>
          <w:i/>
          <w:iCs/>
          <w:color w:val="000000"/>
          <w:sz w:val="24"/>
          <w:szCs w:val="24"/>
          <w:lang w:val="en-US"/>
        </w:rPr>
        <w:t>vocal abilities</w:t>
      </w:r>
      <w:r w:rsidRPr="00AE2080">
        <w:rPr>
          <w:rFonts w:ascii="Arial" w:hAnsi="Arial" w:cs="Arial"/>
          <w:color w:val="000000"/>
          <w:sz w:val="24"/>
          <w:szCs w:val="24"/>
          <w:lang w:val="en-US"/>
        </w:rPr>
        <w:t xml:space="preserve"> and maintaining </w:t>
      </w:r>
      <w:r w:rsidRPr="00AE2080">
        <w:rPr>
          <w:rFonts w:ascii="Arial" w:hAnsi="Arial" w:cs="Arial"/>
          <w:b/>
          <w:bCs/>
          <w:i/>
          <w:iCs/>
          <w:color w:val="000000"/>
          <w:sz w:val="24"/>
          <w:szCs w:val="24"/>
          <w:lang w:val="en-US"/>
        </w:rPr>
        <w:t>vocal health</w:t>
      </w:r>
      <w:r w:rsidRPr="00AE2080">
        <w:rPr>
          <w:rFonts w:ascii="Arial" w:hAnsi="Arial" w:cs="Arial"/>
          <w:color w:val="000000"/>
          <w:sz w:val="24"/>
          <w:szCs w:val="24"/>
          <w:lang w:val="en-US"/>
        </w:rPr>
        <w:t xml:space="preserve"> were present in the interviews. Expert 1 warned that with a ‘</w:t>
      </w:r>
      <w:r w:rsidR="004F6AA1">
        <w:rPr>
          <w:rFonts w:ascii="Arial" w:hAnsi="Arial" w:cs="Arial"/>
          <w:i/>
          <w:iCs/>
          <w:sz w:val="24"/>
          <w:szCs w:val="24"/>
        </w:rPr>
        <w:t>high-intensity</w:t>
      </w:r>
      <w:r w:rsidRPr="00AE2080">
        <w:rPr>
          <w:rFonts w:ascii="Arial" w:hAnsi="Arial" w:cs="Arial"/>
          <w:i/>
          <w:iCs/>
          <w:sz w:val="24"/>
          <w:szCs w:val="24"/>
        </w:rPr>
        <w:t xml:space="preserve"> vocal task, the danger will always be greater than with low</w:t>
      </w:r>
      <w:r w:rsidR="004F6AA1">
        <w:rPr>
          <w:rFonts w:ascii="Arial" w:hAnsi="Arial" w:cs="Arial"/>
          <w:i/>
          <w:iCs/>
          <w:sz w:val="24"/>
          <w:szCs w:val="24"/>
        </w:rPr>
        <w:t>-</w:t>
      </w:r>
      <w:r w:rsidRPr="00AE2080">
        <w:rPr>
          <w:rFonts w:ascii="Arial" w:hAnsi="Arial" w:cs="Arial"/>
          <w:i/>
          <w:iCs/>
          <w:sz w:val="24"/>
          <w:szCs w:val="24"/>
        </w:rPr>
        <w:t xml:space="preserve">intensity tasks.’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r w:rsidRPr="00AE2080">
        <w:rPr>
          <w:rFonts w:ascii="Arial" w:hAnsi="Arial" w:cs="Arial"/>
          <w:i/>
          <w:iCs/>
          <w:color w:val="000000"/>
          <w:sz w:val="24"/>
          <w:szCs w:val="24"/>
          <w:lang w:val="en-US"/>
        </w:rPr>
        <w:t xml:space="preserve">. </w:t>
      </w:r>
      <w:r w:rsidRPr="00AE2080">
        <w:rPr>
          <w:rFonts w:ascii="Arial" w:hAnsi="Arial" w:cs="Arial"/>
          <w:color w:val="000000"/>
          <w:sz w:val="24"/>
          <w:szCs w:val="24"/>
          <w:lang w:val="en-US"/>
        </w:rPr>
        <w:t xml:space="preserve">Helping a student to understand the </w:t>
      </w:r>
      <w:r w:rsidRPr="00AE2080">
        <w:rPr>
          <w:rFonts w:ascii="Arial" w:eastAsia="Arial" w:hAnsi="Arial" w:cs="Arial"/>
          <w:i/>
          <w:iCs/>
          <w:sz w:val="24"/>
          <w:szCs w:val="24"/>
        </w:rPr>
        <w:t>‘balance between effort/tension’</w:t>
      </w:r>
      <w:r w:rsidRPr="00AE2080">
        <w:rPr>
          <w:rFonts w:ascii="Arial" w:eastAsia="Arial" w:hAnsi="Arial" w:cs="Arial"/>
          <w:sz w:val="24"/>
          <w:szCs w:val="24"/>
        </w:rPr>
        <w:t xml:space="preserve"> and being ‘</w:t>
      </w:r>
      <w:r w:rsidRPr="00AE2080">
        <w:rPr>
          <w:rFonts w:ascii="Arial" w:eastAsia="Arial" w:hAnsi="Arial" w:cs="Arial"/>
          <w:i/>
          <w:iCs/>
          <w:sz w:val="24"/>
          <w:szCs w:val="24"/>
        </w:rPr>
        <w:t xml:space="preserve">active but not rigid or tense’ </w:t>
      </w:r>
      <w:r w:rsidRPr="00AE2080">
        <w:rPr>
          <w:rFonts w:ascii="Arial" w:eastAsia="Arial" w:hAnsi="Arial" w:cs="Arial"/>
          <w:sz w:val="24"/>
          <w:szCs w:val="24"/>
        </w:rPr>
        <w:t xml:space="preserve">were suggested as important in the </w:t>
      </w:r>
      <w:r w:rsidR="00321E5D">
        <w:rPr>
          <w:rFonts w:ascii="Arial" w:eastAsia="Arial" w:hAnsi="Arial" w:cs="Arial"/>
          <w:sz w:val="24"/>
          <w:szCs w:val="24"/>
        </w:rPr>
        <w:t xml:space="preserve">belt </w:t>
      </w:r>
      <w:r w:rsidRPr="00AE2080">
        <w:rPr>
          <w:rFonts w:ascii="Arial" w:eastAsia="Arial" w:hAnsi="Arial" w:cs="Arial"/>
          <w:sz w:val="24"/>
          <w:szCs w:val="24"/>
        </w:rPr>
        <w:t xml:space="preserve">training process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(2, 2023)</w:t>
      </w:r>
      <w:r w:rsidRPr="00AE2080">
        <w:rPr>
          <w:rFonts w:ascii="Arial" w:eastAsia="Arial" w:hAnsi="Arial" w:cs="Arial"/>
          <w:i/>
          <w:iCs/>
          <w:sz w:val="24"/>
          <w:szCs w:val="24"/>
        </w:rPr>
        <w:fldChar w:fldCharType="end"/>
      </w:r>
      <w:r w:rsidRPr="00AE2080">
        <w:rPr>
          <w:rFonts w:ascii="Arial" w:eastAsia="Arial" w:hAnsi="Arial" w:cs="Arial"/>
          <w:sz w:val="24"/>
          <w:szCs w:val="24"/>
        </w:rPr>
        <w:t>.</w:t>
      </w:r>
    </w:p>
    <w:p w14:paraId="2BDD30F8" w14:textId="12523A65" w:rsidR="00C50C35" w:rsidRPr="00AE2080" w:rsidRDefault="00C50C35" w:rsidP="00AE2080">
      <w:pPr>
        <w:spacing w:line="360" w:lineRule="auto"/>
        <w:jc w:val="center"/>
        <w:rPr>
          <w:rFonts w:ascii="Arial" w:hAnsi="Arial" w:cs="Arial"/>
          <w:i/>
          <w:iCs/>
          <w:sz w:val="24"/>
          <w:szCs w:val="24"/>
        </w:rPr>
      </w:pPr>
      <w:r w:rsidRPr="00AE2080">
        <w:rPr>
          <w:rFonts w:ascii="Arial" w:eastAsia="Arial" w:hAnsi="Arial" w:cs="Arial"/>
          <w:i/>
          <w:iCs/>
          <w:sz w:val="24"/>
          <w:szCs w:val="24"/>
        </w:rPr>
        <w:t>‘</w:t>
      </w:r>
      <w:r w:rsidRPr="00AE2080">
        <w:rPr>
          <w:rFonts w:ascii="Arial" w:hAnsi="Arial" w:cs="Arial"/>
          <w:i/>
          <w:iCs/>
          <w:sz w:val="24"/>
          <w:szCs w:val="24"/>
        </w:rPr>
        <w:t>For new belters, help students not to do more…get them to use a positive emotion</w:t>
      </w:r>
      <w:r w:rsidR="004C5AD1">
        <w:rPr>
          <w:rFonts w:ascii="Arial" w:hAnsi="Arial" w:cs="Arial"/>
          <w:i/>
          <w:iCs/>
          <w:sz w:val="24"/>
          <w:szCs w:val="24"/>
        </w:rPr>
        <w:t>:</w:t>
      </w:r>
      <w:r w:rsidRPr="00AE2080">
        <w:rPr>
          <w:rFonts w:ascii="Arial" w:hAnsi="Arial" w:cs="Arial"/>
          <w:i/>
          <w:iCs/>
          <w:sz w:val="24"/>
          <w:szCs w:val="24"/>
        </w:rPr>
        <w:t xml:space="preserve"> joy with a loud voice. Help them to find the way in. Speak first. Find the start point for the student and work from there.’ </w:t>
      </w:r>
      <w:r w:rsidRPr="00AE2080">
        <w:rPr>
          <w:rFonts w:ascii="Arial" w:hAnsi="Arial" w:cs="Arial"/>
          <w:i/>
          <w:iCs/>
          <w:color w:val="000000"/>
          <w:sz w:val="24"/>
          <w:szCs w:val="24"/>
          <w:lang w:val="en-US"/>
        </w:rPr>
        <w:fldChar w:fldCharType="begin" w:fldLock="1"/>
      </w:r>
      <w:r w:rsidRPr="00AE2080">
        <w:rPr>
          <w:rFonts w:ascii="Arial" w:hAnsi="Arial" w:cs="Arial"/>
          <w:i/>
          <w:iCs/>
          <w:color w:val="000000"/>
          <w:sz w:val="24"/>
          <w:szCs w:val="24"/>
          <w:lang w:val="en-US"/>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AE2080">
        <w:rPr>
          <w:rFonts w:ascii="Arial" w:hAnsi="Arial" w:cs="Arial"/>
          <w:i/>
          <w:iCs/>
          <w:color w:val="000000"/>
          <w:sz w:val="24"/>
          <w:szCs w:val="24"/>
          <w:lang w:val="en-US"/>
        </w:rPr>
        <w:fldChar w:fldCharType="separate"/>
      </w:r>
      <w:r w:rsidRPr="00AE2080">
        <w:rPr>
          <w:rFonts w:ascii="Arial" w:hAnsi="Arial" w:cs="Arial"/>
          <w:iCs/>
          <w:noProof/>
          <w:color w:val="000000"/>
          <w:sz w:val="24"/>
          <w:szCs w:val="24"/>
          <w:lang w:val="en-US"/>
        </w:rPr>
        <w:t>(1, 2023)</w:t>
      </w:r>
      <w:r w:rsidRPr="00AE2080">
        <w:rPr>
          <w:rFonts w:ascii="Arial" w:hAnsi="Arial" w:cs="Arial"/>
          <w:i/>
          <w:iCs/>
          <w:color w:val="000000"/>
          <w:sz w:val="24"/>
          <w:szCs w:val="24"/>
          <w:lang w:val="en-US"/>
        </w:rPr>
        <w:fldChar w:fldCharType="end"/>
      </w:r>
    </w:p>
    <w:p w14:paraId="5FAC61F3" w14:textId="3268ABAF" w:rsidR="00C50C35"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Vocabulary </w:t>
      </w:r>
      <w:r w:rsidR="0005481C">
        <w:rPr>
          <w:rFonts w:ascii="Arial" w:hAnsi="Arial" w:cs="Arial"/>
          <w:sz w:val="24"/>
          <w:szCs w:val="24"/>
        </w:rPr>
        <w:t>wa</w:t>
      </w:r>
      <w:r w:rsidRPr="00AE2080">
        <w:rPr>
          <w:rFonts w:ascii="Arial" w:hAnsi="Arial" w:cs="Arial"/>
          <w:sz w:val="24"/>
          <w:szCs w:val="24"/>
        </w:rPr>
        <w:t xml:space="preserve">s researched and </w:t>
      </w:r>
      <w:r w:rsidR="0005481C">
        <w:rPr>
          <w:rFonts w:ascii="Arial" w:hAnsi="Arial" w:cs="Arial"/>
          <w:sz w:val="24"/>
          <w:szCs w:val="24"/>
        </w:rPr>
        <w:t xml:space="preserve">is </w:t>
      </w:r>
      <w:r w:rsidRPr="00AE2080">
        <w:rPr>
          <w:rFonts w:ascii="Arial" w:hAnsi="Arial" w:cs="Arial"/>
          <w:sz w:val="24"/>
          <w:szCs w:val="24"/>
        </w:rPr>
        <w:t xml:space="preserve">discussed in the literature review to raise awareness of this potential challenge in teaching. New terminology can evolve and branded methods of singing </w:t>
      </w:r>
      <w:r w:rsidR="00A01DD6">
        <w:rPr>
          <w:rFonts w:ascii="Arial" w:hAnsi="Arial" w:cs="Arial"/>
          <w:sz w:val="24"/>
          <w:szCs w:val="24"/>
        </w:rPr>
        <w:t xml:space="preserve">sometimes </w:t>
      </w:r>
      <w:r w:rsidRPr="00AE2080">
        <w:rPr>
          <w:rFonts w:ascii="Arial" w:hAnsi="Arial" w:cs="Arial"/>
          <w:sz w:val="24"/>
          <w:szCs w:val="24"/>
        </w:rPr>
        <w:t xml:space="preserve">create </w:t>
      </w:r>
      <w:r w:rsidR="003C675A">
        <w:rPr>
          <w:rFonts w:ascii="Arial" w:hAnsi="Arial" w:cs="Arial"/>
          <w:sz w:val="24"/>
          <w:szCs w:val="24"/>
        </w:rPr>
        <w:t xml:space="preserve">new </w:t>
      </w:r>
      <w:r w:rsidRPr="00AE2080">
        <w:rPr>
          <w:rFonts w:ascii="Arial" w:hAnsi="Arial" w:cs="Arial"/>
          <w:sz w:val="24"/>
          <w:szCs w:val="24"/>
        </w:rPr>
        <w:t xml:space="preserve">terminology, such as Estill or </w:t>
      </w:r>
      <w:r w:rsidRPr="00AE2080">
        <w:rPr>
          <w:rFonts w:ascii="Arial" w:hAnsi="Arial" w:cs="Arial"/>
          <w:sz w:val="24"/>
          <w:szCs w:val="24"/>
        </w:rPr>
        <w:lastRenderedPageBreak/>
        <w:t xml:space="preserve">Complete Vocal Technique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-87-992436-1-7","author":[{"dropping-particle":"","family":"Sadolin","given":"Catherine","non-dropping-particle":"","parse-names":false,"suffix":""}],"id":"ITEM-1","issued":{"date-parts":[["2021"]]},"publisher":"Publications, CVI","publisher-place":"Copenhagen","title":"Complete Vocal Technique","type":"book"},"uris":["http://www.mendeley.com/documents/?uuid=77d53592-e228-457b-953f-2f2f3aa37d84"]},{"id":"ITEM-2","itemData":{"DOI":"10.1016/j.jvoice.2016.09.006","ISSN":"18734588","PMID":"27876301","abstract":"Objectives We aimed to study the categorizations “Overdrive” and “Edge” from the pedagogical method Complete Vocal Technique as refiners of the often ill-defined concept of “belting” by means of audio perception, laryngostroboscopic imaging, acoustics, long-term average spectrum (LTAS), and electroglottography (EGG). Study Design This is a case-control study. Methods Twenty singers were recorded singing sustained vowels in a “belting” quality refined by audio perception as “Overdrive” and “Edge.” Two studies were performed: (1) a laryngostroboscopic examination using a videonasoendoscopic camera system (Olympus) and the Laryngostrobe program (Laryngograph); (2) a simultaneous recording of the EGG and acoustic signals using Speech Studio (Laryngograph). The images were analyzed based on consensus agreement. Statistical analysis of the acoustic, LTAS, and EGG parameters was undertaken using the Student paired t test. Results The two modes of singing determined by audio perception have visibly different laryngeal gestures: Edge has a more constricted setting than that of Overdrive, where the ventricular folds seem to cover more of the vocal folds, the aryepiglottic folds show a sharper edge in Edge, and the cuneiform cartilages are rolled in anteromedially. LTAS analysis shows a statistical difference, particularly after the ninth harmonic, with a coinciding first formant. The combined group showed statistical differences in shimmer, harmonics-to-noise ratio, normalized noise energy, and mean sound pressure level (P ≤ 0.05). Conclusion “Belting” sounds can be categorized using audio perception into two modes of singing: “Overdrive” and “Edge.” This study demonstrates consistent visibly different laryngeal gestures between these modes and with some correspondingly significant differences in LTAS, EGG, and acoustic measures.","author":[{"dropping-particle":"","family":"McGlashan","given":"Julian","non-dropping-particle":"","parse-names":false,"suffix":""},{"dropping-particle":"","family":"Thuesen","given":"Mathias Aaen","non-dropping-particle":"","parse-names":false,"suffix":""},{"dropping-particle":"","family":"Sadolin","given":"Cathrine","non-dropping-particle":"","parse-names":false,"suffix":""}],"container-title":"Journal of Voice","id":"ITEM-2","issue":"3","issued":{"date-parts":[["2017"]]},"page":"385.e11-385.e22","publisher":"Elsevier Inc.","title":"Overdrive and Edge as Refiners of “Belting”?: An Empirical Study Qualifying and Categorizing “Belting” Based on Audio Perception, Laryngostroboscopic Imaging, Acoustics, LTAS, and EGG","type":"article-journal","volume":"31"},"uris":["http://www.mendeley.com/documents/?uuid=81f57811-66a7-4ce4-af40-d387f5874979"]},{"id":"ITEM-3","itemData":{"DOI":"10.13075/mp.5893.01201","ISSN":"23531339","PMID":"35133326","abstract":"Singers,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Pracy","id":"ITEM-3","issue":"1","issued":{"date-parts":[["2022"]]},"note":"Key:\nOpera/Classical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Aspects","type":"article-journal","volume":"73"},"uris":["http://www.mendeley.com/documents/?uuid=ff0659a5-b881-41e5-a677-f36a5bae306a"]},{"id":"ITEM-4","itemData":{"DOI":"10.1016/j.jvoice.2017.08.007","ISSN":"18734588","PMID":"28888666","abstract":"Objective: Research examining contemporary commercial music styles of singing has increased significantly over the last 10 years. While acoustic analysis has helped determine which characteristics define various vocal genres, a discrepancy still exists in how those acoustic characteristics are perceived, described, and evaluated. Methods: The current study recorded seven novice and four professional musical theater singers performing belt, legit, and mix vocal samples. Novice singers were defined as first- and second-year students in an undergraduate musical theater program, while professional singers were defined as having played at least one major role in a music theater production in regional Equity theaters. Five regional Equity casting directors listened to the recordings and rated each sample on the basis of style (belt versus legit) and tone quality (brassy versus fluty and bright versus dark). Results were compared across experience level (novice/professional) and pitch. Additionally, relationships between style (belt/legit) and quality (brassy/fluty, bright/dark) were examined. Results: The statistically significant correlation emerged between the raters' perceived singing style and the singers' indicated singing style. Auditors identified the style (belt/legit) more reliably for the professional singers than for novice singers, and ratings of other qualities varied significantly between raters. Conclusions: The singers were successfully able to produce voicing styles that matched the perceptual expectations of the casting directors. Not surprisingly, professional singers were somewhat more successful in this regard than were the novices. There appears to be little consensus among the auditors, however, about which acoustical qualities define a belt, mix, or legit style.","author":[{"dropping-particle":"","family":"Maxfield","given":"Lynn","non-dropping-particle":"","parse-names":false,"suffix":""},{"dropping-particle":"","family":"Manternach","given":"Brian","non-dropping-particle":"","parse-names":false,"suffix":""}],"container-title":"Journal of Voice","id":"ITEM-4","issue":"5","issued":{"date-parts":[["2018"]]},"page":"572-577","publisher":"Elsevier Inc.","title":"Perceptual Differences between Novice and Professional Music Theater Singers","type":"article-journal","volume":"32"},"uris":["http://www.mendeley.com/documents/?uuid=d50eb1fe-1939-48f3-bee0-009094ea1529"]}],"mendeley":{"formattedCitation":"(McGlashan, Thuesen and Sadolin, 2017; Maxfield and Manternach, 2018; Sadolin, 2021; Morawska, Niebudek-Bogusz and Pietruszewska, 2022)","plainTextFormattedCitation":"(McGlashan, Thuesen and Sadolin, 2017; Maxfield and Manternach, 2018; Sadolin, 2021; Morawska, Niebudek-Bogusz and Pietruszewska, 2022)","previouslyFormattedCitation":"(McGlashan, Thuesen and Sadolin, 2017; Maxfield and Manternach, 2018; Sadolin, 2021; Morawska, Niebudek-Bogusz and Pietruszewska,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(McGlashan, Thuesen and Sadolin, 2017; Maxfield and Manternach, 2018; Sadolin, 2021; Morawska, Niebudek-Bogusz and Pietruszewska, 2022)</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i/>
          <w:iCs/>
          <w:sz w:val="24"/>
          <w:szCs w:val="24"/>
        </w:rPr>
        <w:t>‘</w:t>
      </w:r>
      <w:r w:rsidR="00CD52F7">
        <w:rPr>
          <w:rFonts w:ascii="Arial" w:hAnsi="Arial" w:cs="Arial"/>
          <w:i/>
          <w:iCs/>
          <w:sz w:val="24"/>
          <w:szCs w:val="24"/>
        </w:rPr>
        <w:t>M</w:t>
      </w:r>
      <w:r w:rsidRPr="00AE2080">
        <w:rPr>
          <w:rFonts w:ascii="Arial" w:hAnsi="Arial" w:cs="Arial"/>
          <w:i/>
          <w:iCs/>
          <w:sz w:val="24"/>
          <w:szCs w:val="24"/>
        </w:rPr>
        <w:t xml:space="preserve">any </w:t>
      </w:r>
      <w:r w:rsidRPr="00AE2080">
        <w:rPr>
          <w:rFonts w:ascii="Arial" w:eastAsia="Arial" w:hAnsi="Arial" w:cs="Arial"/>
          <w:i/>
          <w:iCs/>
          <w:sz w:val="24"/>
          <w:szCs w:val="24"/>
        </w:rPr>
        <w:t>methodologies [with different] trademarking and branding</w:t>
      </w:r>
      <w:r w:rsidRPr="00AE2080">
        <w:rPr>
          <w:rFonts w:ascii="Arial" w:hAnsi="Arial" w:cs="Arial"/>
          <w:sz w:val="24"/>
          <w:szCs w:val="24"/>
        </w:rPr>
        <w:t xml:space="preserve">’ </w:t>
      </w:r>
      <w:r w:rsidR="00CD52F7">
        <w:rPr>
          <w:rFonts w:ascii="Arial" w:hAnsi="Arial" w:cs="Arial"/>
          <w:sz w:val="24"/>
          <w:szCs w:val="24"/>
        </w:rPr>
        <w:t>have the potential to</w:t>
      </w:r>
      <w:r w:rsidRPr="00AE2080">
        <w:rPr>
          <w:rFonts w:ascii="Arial" w:hAnsi="Arial" w:cs="Arial"/>
          <w:sz w:val="24"/>
          <w:szCs w:val="24"/>
        </w:rPr>
        <w:t xml:space="preserve"> create challenges or </w:t>
      </w:r>
      <w:r w:rsidR="00CD52F7">
        <w:rPr>
          <w:rFonts w:ascii="Arial" w:hAnsi="Arial" w:cs="Arial"/>
          <w:sz w:val="24"/>
          <w:szCs w:val="24"/>
        </w:rPr>
        <w:t xml:space="preserve">give </w:t>
      </w:r>
      <w:r w:rsidRPr="00AE2080">
        <w:rPr>
          <w:rFonts w:ascii="Arial" w:hAnsi="Arial" w:cs="Arial"/>
          <w:sz w:val="24"/>
          <w:szCs w:val="24"/>
        </w:rPr>
        <w:t>additional clarity</w:t>
      </w:r>
      <w:r w:rsidR="00CD52F7">
        <w:rPr>
          <w:rFonts w:ascii="Arial" w:hAnsi="Arial" w:cs="Arial"/>
          <w:sz w:val="24"/>
          <w:szCs w:val="24"/>
        </w:rPr>
        <w:t xml:space="preserve"> to </w:t>
      </w:r>
      <w:r w:rsidR="00CD52F7" w:rsidRPr="00AE2080">
        <w:rPr>
          <w:rFonts w:ascii="Arial" w:hAnsi="Arial" w:cs="Arial"/>
          <w:sz w:val="24"/>
          <w:szCs w:val="24"/>
        </w:rPr>
        <w:t>teaching and learning</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(2, 2023)</w:t>
      </w:r>
      <w:r w:rsidRPr="00AE2080">
        <w:rPr>
          <w:rFonts w:ascii="Arial" w:hAnsi="Arial" w:cs="Arial"/>
          <w:sz w:val="24"/>
          <w:szCs w:val="24"/>
        </w:rPr>
        <w:fldChar w:fldCharType="end"/>
      </w:r>
      <w:r w:rsidRPr="00AE2080">
        <w:rPr>
          <w:rFonts w:ascii="Arial" w:hAnsi="Arial" w:cs="Arial"/>
          <w:sz w:val="24"/>
          <w:szCs w:val="24"/>
        </w:rPr>
        <w:t>.</w:t>
      </w:r>
      <w:r w:rsidR="00AD1AF0">
        <w:rPr>
          <w:rFonts w:ascii="Arial" w:hAnsi="Arial" w:cs="Arial"/>
          <w:sz w:val="24"/>
          <w:szCs w:val="24"/>
        </w:rPr>
        <w:t xml:space="preserve"> </w:t>
      </w:r>
      <w:r w:rsidRPr="00AE2080">
        <w:rPr>
          <w:rFonts w:ascii="Arial" w:hAnsi="Arial" w:cs="Arial"/>
          <w:sz w:val="24"/>
          <w:szCs w:val="24"/>
        </w:rPr>
        <w:t>Since the development of the term CCM</w:t>
      </w:r>
      <w:r w:rsidR="00E67483">
        <w:rPr>
          <w:rFonts w:ascii="Arial" w:hAnsi="Arial" w:cs="Arial"/>
          <w:sz w:val="24"/>
          <w:szCs w:val="24"/>
        </w:rPr>
        <w:t>,</w:t>
      </w:r>
      <w:r w:rsidRPr="00AE2080">
        <w:rPr>
          <w:rFonts w:ascii="Arial" w:hAnsi="Arial" w:cs="Arial"/>
          <w:sz w:val="24"/>
          <w:szCs w:val="24"/>
        </w:rPr>
        <w:t xml:space="preserve"> there has been an increase in research which can support CPD for those teaching CCM vocal techniques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{"citationItems":[{"id":"ITEM-1","itemData":{"author":[{"dropping-particle":"","family":"Naismith","given":"Marisa Lee","non-dropping-particle":"","parse-names":false,"suffix":""},{"dropping-particle":"","family":"Bartlett","given":"Irene","non-dropping-particle":"","parse-names":false,"suffix":""}],"container-title":"Journal of Singing","id":"ITEM-1","issue":"3","issued":{"date-parts":[["2020"]]},"page":"273-282","title":"An Investigation of Contemporary Commercial Music (CCM) Voice Pedagogy: A Class of its Own?","type":"article-journal","volume":"76"},"uris":["http://www.mendeley.com/documents/?uuid=ae01dd51-b652-45f2-9141-13603b69bd70"]},{"id":"ITEM-2","itemData":{"DOI":"10.1016/j.jvoice.2015.07.008","ISSN":"18734588","PMID":"26296854","abstract":"Background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Singers","type":"article-journal","volume":"30"},"uris":["http://www.mendeley.com/documents/?uuid=38644f2f-538f-4d06-8628-46c02201698d"]}],"mendeley":{"formattedCitation":"(Roll, 2016; Naismith and Bartlett, 2020)","plainTextFormattedCitation":"(Roll, 2016; Naismith and Bartlett, 2020)","previouslyFormattedCitation":"(Roll, 2016; Naismith and Bartlett,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(Roll, 2016; Naismith and Bartlett, 2020)</w:t>
      </w:r>
      <w:r w:rsidRPr="00AE2080">
        <w:rPr>
          <w:rFonts w:ascii="Arial" w:hAnsi="Arial" w:cs="Arial"/>
          <w:sz w:val="24"/>
          <w:szCs w:val="24"/>
        </w:rPr>
        <w:fldChar w:fldCharType="end"/>
      </w:r>
      <w:r w:rsidRPr="00AE2080">
        <w:rPr>
          <w:rFonts w:ascii="Arial" w:hAnsi="Arial" w:cs="Arial"/>
          <w:sz w:val="24"/>
          <w:szCs w:val="24"/>
        </w:rPr>
        <w:t xml:space="preserve">. Terminology can differ between qualified, experienced professionals when analysing and describing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Singers","type":"article-journal","volume":"30"},"uris":["http://www.mendeley.com/documents/?uuid=38644f2f-538f-4d06-8628-46c02201698d"]}],"mendeley":{"formattedCitation":"(Bourne and Kenny, 2016; Roll, 2016)","plainTextFormattedCitation":"(Bourne and Kenny, 2016; Roll, 2016)","previouslyFormattedCitation":"(Bourne and Kenny, 2016; Roll,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(Bourne and Kenny, 2016; Roll, 2016)</w:t>
      </w:r>
      <w:r w:rsidRPr="00AE2080">
        <w:rPr>
          <w:rFonts w:ascii="Arial" w:hAnsi="Arial" w:cs="Arial"/>
          <w:sz w:val="24"/>
          <w:szCs w:val="24"/>
        </w:rPr>
        <w:fldChar w:fldCharType="end"/>
      </w:r>
      <w:r w:rsidRPr="00AE2080">
        <w:rPr>
          <w:rFonts w:ascii="Arial" w:hAnsi="Arial" w:cs="Arial"/>
          <w:sz w:val="24"/>
          <w:szCs w:val="24"/>
        </w:rPr>
        <w:t xml:space="preserve">. This aspect of the review will aim to aid an awareness of the variation of vocabulary used in relation to </w:t>
      </w:r>
      <w:proofErr w:type="gramStart"/>
      <w:r w:rsidRPr="00AE2080">
        <w:rPr>
          <w:rFonts w:ascii="Arial" w:hAnsi="Arial" w:cs="Arial"/>
          <w:sz w:val="24"/>
          <w:szCs w:val="24"/>
        </w:rPr>
        <w:t>belt</w:t>
      </w:r>
      <w:r w:rsidR="001F5629">
        <w:rPr>
          <w:rFonts w:ascii="Arial" w:hAnsi="Arial" w:cs="Arial"/>
          <w:sz w:val="24"/>
          <w:szCs w:val="24"/>
        </w:rPr>
        <w:t>ing</w:t>
      </w:r>
      <w:proofErr w:type="gramEnd"/>
      <w:r w:rsidRPr="00AE2080">
        <w:rPr>
          <w:rFonts w:ascii="Arial" w:hAnsi="Arial" w:cs="Arial"/>
          <w:sz w:val="24"/>
          <w:szCs w:val="24"/>
        </w:rPr>
        <w:t>. Teachers and singers will need to navigate this with a teacher needing to make their own decision</w:t>
      </w:r>
      <w:r w:rsidR="00D33929">
        <w:rPr>
          <w:rFonts w:ascii="Arial" w:hAnsi="Arial" w:cs="Arial"/>
          <w:sz w:val="24"/>
          <w:szCs w:val="24"/>
        </w:rPr>
        <w:t>s</w:t>
      </w:r>
      <w:r w:rsidRPr="00AE2080">
        <w:rPr>
          <w:rFonts w:ascii="Arial" w:hAnsi="Arial" w:cs="Arial"/>
          <w:sz w:val="24"/>
          <w:szCs w:val="24"/>
        </w:rPr>
        <w:t xml:space="preserve"> </w:t>
      </w:r>
      <w:r w:rsidR="00D33929">
        <w:rPr>
          <w:rFonts w:ascii="Arial" w:hAnsi="Arial" w:cs="Arial"/>
          <w:sz w:val="24"/>
          <w:szCs w:val="24"/>
        </w:rPr>
        <w:t>about which</w:t>
      </w:r>
      <w:r w:rsidRPr="00AE2080">
        <w:rPr>
          <w:rFonts w:ascii="Arial" w:hAnsi="Arial" w:cs="Arial"/>
          <w:sz w:val="24"/>
          <w:szCs w:val="24"/>
        </w:rPr>
        <w:t xml:space="preserve"> terminology is appropriate for their teaching and students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(Denscombe, 2014; Merriam and Tisdell, 2016)</w:t>
      </w:r>
      <w:r w:rsidRPr="00AE2080">
        <w:rPr>
          <w:rFonts w:ascii="Arial" w:hAnsi="Arial" w:cs="Arial"/>
          <w:sz w:val="24"/>
          <w:szCs w:val="24"/>
        </w:rPr>
        <w:fldChar w:fldCharType="end"/>
      </w:r>
      <w:r w:rsidRPr="00AE2080">
        <w:rPr>
          <w:rFonts w:ascii="Arial" w:hAnsi="Arial" w:cs="Arial"/>
          <w:sz w:val="24"/>
          <w:szCs w:val="24"/>
        </w:rPr>
        <w:t>.</w:t>
      </w:r>
    </w:p>
    <w:p w14:paraId="54BADF28" w14:textId="16FA4B2B" w:rsidR="002F5511" w:rsidRDefault="00C50C35" w:rsidP="00AE2080">
      <w:pPr>
        <w:spacing w:line="360" w:lineRule="auto"/>
        <w:jc w:val="both"/>
        <w:rPr>
          <w:rFonts w:ascii="Arial" w:hAnsi="Arial" w:cs="Arial"/>
          <w:sz w:val="24"/>
          <w:szCs w:val="24"/>
        </w:rPr>
      </w:pPr>
      <w:r w:rsidRPr="00AE2080">
        <w:rPr>
          <w:rFonts w:ascii="Arial" w:hAnsi="Arial" w:cs="Arial"/>
          <w:sz w:val="24"/>
          <w:szCs w:val="24"/>
        </w:rPr>
        <w:t>The broad sentiment of the feedback from the experts was that the belt training process is a good starting point for teachers, which is its intended purpose. The experts agreed with the idea that teachers should aim to be able to individualise training to suit student needs.</w:t>
      </w:r>
      <w:r w:rsidR="00422C9F">
        <w:rPr>
          <w:rFonts w:ascii="Arial" w:hAnsi="Arial" w:cs="Arial"/>
          <w:sz w:val="24"/>
          <w:szCs w:val="24"/>
        </w:rPr>
        <w:t xml:space="preserve"> </w:t>
      </w:r>
      <w:r w:rsidRPr="00AE2080">
        <w:rPr>
          <w:rFonts w:ascii="Arial" w:hAnsi="Arial" w:cs="Arial"/>
          <w:sz w:val="24"/>
          <w:szCs w:val="24"/>
        </w:rPr>
        <w:t xml:space="preserve">Individualisation </w:t>
      </w:r>
      <w:r w:rsidR="00131E52">
        <w:rPr>
          <w:rFonts w:ascii="Arial" w:hAnsi="Arial" w:cs="Arial"/>
          <w:sz w:val="24"/>
          <w:szCs w:val="24"/>
        </w:rPr>
        <w:t>went</w:t>
      </w:r>
      <w:r w:rsidRPr="00AE2080">
        <w:rPr>
          <w:rFonts w:ascii="Arial" w:hAnsi="Arial" w:cs="Arial"/>
          <w:sz w:val="24"/>
          <w:szCs w:val="24"/>
        </w:rPr>
        <w:t xml:space="preserve"> beyond the original scope of the belt training process</w:t>
      </w:r>
      <w:r w:rsidR="009A720F">
        <w:rPr>
          <w:rFonts w:ascii="Arial" w:hAnsi="Arial" w:cs="Arial"/>
          <w:sz w:val="24"/>
          <w:szCs w:val="24"/>
        </w:rPr>
        <w:t xml:space="preserve"> a</w:t>
      </w:r>
      <w:r w:rsidRPr="00AE2080">
        <w:rPr>
          <w:rFonts w:ascii="Arial" w:hAnsi="Arial" w:cs="Arial"/>
          <w:sz w:val="24"/>
          <w:szCs w:val="24"/>
        </w:rPr>
        <w:t xml:space="preserve">s the experts agreed with the foundation of the process and </w:t>
      </w:r>
      <w:r w:rsidR="009A720F">
        <w:rPr>
          <w:rFonts w:ascii="Arial" w:hAnsi="Arial" w:cs="Arial"/>
          <w:sz w:val="24"/>
          <w:szCs w:val="24"/>
        </w:rPr>
        <w:t xml:space="preserve">suggested </w:t>
      </w:r>
      <w:r w:rsidRPr="00AE2080">
        <w:rPr>
          <w:rFonts w:ascii="Arial" w:hAnsi="Arial" w:cs="Arial"/>
          <w:sz w:val="24"/>
          <w:szCs w:val="24"/>
        </w:rPr>
        <w:t>the need to individualise it. A</w:t>
      </w:r>
      <w:r w:rsidR="009A720F">
        <w:rPr>
          <w:rFonts w:ascii="Arial" w:hAnsi="Arial" w:cs="Arial"/>
          <w:sz w:val="24"/>
          <w:szCs w:val="24"/>
        </w:rPr>
        <w:t>s</w:t>
      </w:r>
      <w:r w:rsidRPr="00AE2080">
        <w:rPr>
          <w:rFonts w:ascii="Arial" w:hAnsi="Arial" w:cs="Arial"/>
          <w:sz w:val="24"/>
          <w:szCs w:val="24"/>
        </w:rPr>
        <w:t xml:space="preserve"> a result the literature review was retargeted to deepen the evidence base and broaden the knowledge </w:t>
      </w:r>
      <w:r w:rsidR="009A720F">
        <w:rPr>
          <w:rFonts w:ascii="Arial" w:hAnsi="Arial" w:cs="Arial"/>
          <w:sz w:val="24"/>
          <w:szCs w:val="24"/>
        </w:rPr>
        <w:t xml:space="preserve">of </w:t>
      </w:r>
      <w:r w:rsidRPr="00AE2080">
        <w:rPr>
          <w:rFonts w:ascii="Arial" w:hAnsi="Arial" w:cs="Arial"/>
          <w:sz w:val="24"/>
          <w:szCs w:val="24"/>
        </w:rPr>
        <w:t>a teacher</w:t>
      </w:r>
      <w:r w:rsidR="00FB5FF3">
        <w:rPr>
          <w:rFonts w:ascii="Arial" w:hAnsi="Arial" w:cs="Arial"/>
          <w:sz w:val="24"/>
          <w:szCs w:val="24"/>
        </w:rPr>
        <w:t>s</w:t>
      </w:r>
      <w:r w:rsidRPr="00AE2080">
        <w:rPr>
          <w:rFonts w:ascii="Arial" w:hAnsi="Arial" w:cs="Arial"/>
          <w:sz w:val="24"/>
          <w:szCs w:val="24"/>
        </w:rPr>
        <w:t xml:space="preserve"> in service of individualised belt training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challenges","type":"article-journal","volume":"65"},"uris":["http://www.mendeley.com/documents/?uuid=fdb52a8b-a11e-4406-903f-a400d8280c27"]},{"id":"ITEM-2","itemData":{"ISBN":"9780335214006","abstract":"maintain theoretical coherence and epistemological innovation. Such multidisciplinarity demands a new level of research self-consciousness and awareness of the numerous contexts in which any researcher is operating. As one labours to expose the various structures that covertly shape our own and other scholars' research narratives, the bricolage highlights the relationship between a researcher's ways of seeing and the social location of his or her personal history. Appreciating research as a power-driven act, the researcher-as-bricoleur abandons the quest for some naive concept of realism, focusing instead on the clarification of his or her position in the web of reality and the social locations of other researchers and the ways they shape the production and interpretation of knowledge. In this context bricoleurs move into the domain of complexity. The bricolage exists out of respect for the complexity of the lived world. Indeed, it is grounded on an epistemology of complexity. One dimension of this complexity can be illustrated by the relationship between research and the domain of social theory. All observations of the world are shaped either consciously or unconsciously by social theory – such theory pro-vides the framework that highlights or erases what might be observed. Theory in a modernist empiricist mode is a way of understanding that operates without variation in every context. Since theory is a cultural and linguistic artefact, its interpretation of the object of its observation is inseparable from the historical dynamics that have shaped it. The task of the bricoleur is to attack this complexity, uncovering the invisible arte-facts of power and culture, and documenting the nature of their influ-ence not only on their own scholarship but also on scholarship in general. In this process bricoleurs act upon the concept that theory is not an explanation of the world – it is more an explanation of our relation to the world. In its hard labours in the domain of complexity the bricolage views research methods actively rather than passively, meaning that we actively construct our research methods from the tools at hand rather than passively receiving the 'correct', universally applicable methodolo-gies. Avoiding modes of reasoning that come from certified processes of logical analysis, bricoleurs also steer clear of pre-existing guidelines and checklists developed outside the specific demands of the inquiry at hand. In its embrace of complexity, the b…","author":[{"dropping-particle":"","family":"Kincheloe","given":"Jl","non-dropping-particle":"","parse-names":false,"suffix":""}],"container-title":"Rigour and Complexity in Educational Research: Conceptualizing the bricolage.","id":"ITEM-2","issued":{"date-parts":[["2004"]]},"page":"1-22","title":"Introduction: The power of the bricolage: Expanding research methods","type":"article-journal"},"uris":["http://www.mendeley.com/documents/?uuid=0f52b925-d313-4407-8945-955d9e784bb6"]},{"id":"ITEM-3","itemData":{"DOI":"10.1177/1558689811416940","ISSN":"15586898","abstract":"This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\"progressive engagement\" process involving \"multidisciplinary functioning,\" \"unambiguous protocols,\" and \"participant-centered procedures.\"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 © SAGE Publications 2011.","author":[{"dropping-particle":"","family":"Robinson","given":"Andrew L.","non-dropping-particle":"","parse-names":false,"suffix":""},{"dropping-particle":"","family":"Emden","given":"Carolyn G.","non-dropping-particle":"","parse-names":false,"suffix":""},{"dropping-particle":"","family":"Croft","given":"Tobias D.","non-dropping-particle":"","parse-names":false,"suffix":""},{"dropping-particle":"","family":"Vosper","given":"Gillian C.","non-dropping-particle":"","parse-names":false,"suffix":""},{"dropping-particle":"","family":"Elder","given":"Jean A.","non-dropping-particle":"","parse-names":false,"suffix":""},{"dropping-particle":"","family":"Stirling","given":"Christine","non-dropping-particle":"","parse-names":false,"suffix":""},{"dropping-particle":"","family":"Vickers","given":"James C.","non-dropping-particle":"","parse-names":false,"suffix":""}],"container-title":"Journal of Mixed Methods Research","id":"ITEM-3","issue":"4","issued":{"date-parts":[["2011"]]},"page":"330-344","title":"Mixed methods data collection in dementia research: A \"progressive engagement\" approach","type":"article-journal","volume":"5"},"uris":["http://www.mendeley.com/documents/?uuid=a5ebf958-e328-4cde-976e-b3facb5dc636"]}],"mendeley":{"formattedCitation":"(Kincheloe, 2004; Robinson &lt;i&gt;et al.&lt;/i&gt;, 2011; Lindqvist &lt;i&gt;et al.&lt;/i&gt;, 2023)","plainTextFormattedCitation":"(Kincheloe, 2004; Robinson et al., 2011; Lindqvist et al., 2023)","previouslyFormattedCitation":"(Kincheloe, 2004; Robinson &lt;i&gt;et al.&lt;/i&gt;, 2011;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(Kincheloe, 2004; Robinson </w:t>
      </w:r>
      <w:r w:rsidRPr="00AE2080">
        <w:rPr>
          <w:rFonts w:ascii="Arial" w:hAnsi="Arial" w:cs="Arial"/>
          <w:i/>
          <w:noProof/>
          <w:sz w:val="24"/>
          <w:szCs w:val="24"/>
        </w:rPr>
        <w:t>et al.</w:t>
      </w:r>
      <w:r w:rsidRPr="00AE2080">
        <w:rPr>
          <w:rFonts w:ascii="Arial" w:hAnsi="Arial" w:cs="Arial"/>
          <w:noProof/>
          <w:sz w:val="24"/>
          <w:szCs w:val="24"/>
        </w:rPr>
        <w:t xml:space="preserve">, 2011;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As such the process flow chart was simplified by removing the exercises and references.</w:t>
      </w:r>
      <w:r w:rsidR="00AD1AF0">
        <w:rPr>
          <w:rFonts w:ascii="Arial" w:hAnsi="Arial" w:cs="Arial"/>
          <w:sz w:val="24"/>
          <w:szCs w:val="24"/>
        </w:rPr>
        <w:t xml:space="preserve"> </w:t>
      </w:r>
      <w:r w:rsidRPr="00AE2080">
        <w:rPr>
          <w:rFonts w:ascii="Arial" w:hAnsi="Arial" w:cs="Arial"/>
          <w:sz w:val="24"/>
          <w:szCs w:val="24"/>
        </w:rPr>
        <w:t>Students</w:t>
      </w:r>
      <w:r w:rsidR="00712208">
        <w:rPr>
          <w:rFonts w:ascii="Arial" w:hAnsi="Arial" w:cs="Arial"/>
          <w:sz w:val="24"/>
          <w:szCs w:val="24"/>
        </w:rPr>
        <w:t>’</w:t>
      </w:r>
      <w:r w:rsidRPr="00AE2080">
        <w:rPr>
          <w:rFonts w:ascii="Arial" w:hAnsi="Arial" w:cs="Arial"/>
          <w:sz w:val="24"/>
          <w:szCs w:val="24"/>
        </w:rPr>
        <w:t xml:space="preserve"> learning and teaching efficiency in lessons can be supported with this simplified resource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{"citationItems":[{"id":"ITEM-1","itemData":{"DOI":"10.1080/15424065.2020.1829233","ISSN":"15424073","abstract":"Libraries and librarians are face many challenges remaining open and providing services during natural disasters and pandemics. Although remote access is now becoming commonplace, that doesn’t guarantee that users will always remember that they have librarians and library resources still available to them. It is the job of librarians to promote and reinvent their services and resources to ensure patrons use their libraries when they need them most. It is through tool creation, learning programs, and new resource reviews, that libraries can keep their doors open even when they literally cannot.","author":[{"dropping-particle":"","family":"Becker","given":"Danielle A.","non-dropping-particle":"","parse-names":false,"suffix":""}],"container-title":"Journal of Electronic Resources in Medical Libraries","id":"ITEM-1","issue":"3-4","issued":{"date-parts":[["2020"]]},"page":"105-112","publisher":"Routledge","title":"Creating Online Teaching Resources and Suggesting Mobile Apps in the Time of COVID 19","type":"article-journal","volume":"17"},"uris":["http://www.mendeley.com/documents/?uuid=e192cce9-3de1-47e9-ab95-5c5d0e5f1ded"]}],"mendeley":{"formattedCitation":"(Becker, 2020)","plainTextFormattedCitation":"(Becker, 2020)","previouslyFormattedCitation":"(Becker,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(Becker, 2020)</w:t>
      </w:r>
      <w:r w:rsidRPr="00AE2080">
        <w:rPr>
          <w:rFonts w:ascii="Arial" w:hAnsi="Arial" w:cs="Arial"/>
          <w:sz w:val="24"/>
          <w:szCs w:val="24"/>
        </w:rPr>
        <w:fldChar w:fldCharType="end"/>
      </w:r>
      <w:r w:rsidRPr="00AE2080">
        <w:rPr>
          <w:rFonts w:ascii="Arial" w:hAnsi="Arial" w:cs="Arial"/>
          <w:sz w:val="24"/>
          <w:szCs w:val="24"/>
        </w:rPr>
        <w:t>. Supplementary information is now separated from the flow chart which allows the process to be accessible to students as a learning resource.</w:t>
      </w:r>
    </w:p>
    <w:p w14:paraId="7FB63BA4" w14:textId="0FAF9C14" w:rsidR="00F86450" w:rsidRPr="00AE2080" w:rsidRDefault="00C50C35" w:rsidP="00AE2080">
      <w:pPr>
        <w:spacing w:line="360" w:lineRule="auto"/>
        <w:jc w:val="both"/>
        <w:rPr>
          <w:rFonts w:ascii="Arial" w:hAnsi="Arial" w:cs="Arial"/>
          <w:sz w:val="24"/>
          <w:szCs w:val="24"/>
        </w:rPr>
      </w:pPr>
      <w:r w:rsidRPr="00AE2080">
        <w:rPr>
          <w:rFonts w:ascii="Arial" w:hAnsi="Arial" w:cs="Arial"/>
          <w:sz w:val="24"/>
          <w:szCs w:val="24"/>
        </w:rPr>
        <w:t xml:space="preserve">The literature review and analysis included in DBR stage 2 is a learning opportunity for novice teachers of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(IJHI)","id":"ITEM-1","issue":"1","issued":{"date-parts":[["2021"]]},"page":"1-4","title":"Teaching and learning process to enhance teaching effectiveness: literature review","type":"article-journal","volume":"4"},"uris":["http://www.mendeley.com/documents/?uuid=8cf3da37-aefa-4726-a62b-3a64b2c39dc5"]}],"mendeley":{"formattedCitation":"(Munna and Kalam, 2021)","plainTextFormattedCitation":"(Munna and Kalam, 2021)","previouslyFormattedCitation":"(Munna and Kalam,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(Munna and Kalam, 2021)</w:t>
      </w:r>
      <w:r w:rsidRPr="00AE2080">
        <w:rPr>
          <w:rFonts w:ascii="Arial" w:hAnsi="Arial" w:cs="Arial"/>
          <w:sz w:val="24"/>
          <w:szCs w:val="24"/>
        </w:rPr>
        <w:fldChar w:fldCharType="end"/>
      </w:r>
      <w:r w:rsidRPr="00AE2080">
        <w:rPr>
          <w:rFonts w:ascii="Arial" w:hAnsi="Arial" w:cs="Arial"/>
          <w:sz w:val="24"/>
          <w:szCs w:val="24"/>
        </w:rPr>
        <w:t xml:space="preserve">. It is suggested that teachers assimilate the information </w:t>
      </w:r>
      <w:r w:rsidR="00105C44">
        <w:rPr>
          <w:rFonts w:ascii="Arial" w:hAnsi="Arial" w:cs="Arial"/>
          <w:sz w:val="24"/>
          <w:szCs w:val="24"/>
        </w:rPr>
        <w:t xml:space="preserve">and </w:t>
      </w:r>
      <w:r w:rsidRPr="00AE2080">
        <w:rPr>
          <w:rFonts w:ascii="Arial" w:hAnsi="Arial" w:cs="Arial"/>
          <w:sz w:val="24"/>
          <w:szCs w:val="24"/>
        </w:rPr>
        <w:t>then synthesise their own resource</w:t>
      </w:r>
      <w:r w:rsidR="00D66923" w:rsidRPr="00AE2080">
        <w:rPr>
          <w:rFonts w:ascii="Arial" w:hAnsi="Arial" w:cs="Arial"/>
          <w:sz w:val="24"/>
          <w:szCs w:val="24"/>
        </w:rPr>
        <w:t>s</w:t>
      </w:r>
      <w:r w:rsidRPr="00AE2080">
        <w:rPr>
          <w:rFonts w:ascii="Arial" w:hAnsi="Arial" w:cs="Arial"/>
          <w:sz w:val="24"/>
          <w:szCs w:val="24"/>
        </w:rPr>
        <w:t xml:space="preserve"> to inform their teaching decisions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Systems","id":"ITEM-1","issue":"1","issued":{"date-parts":[["2019"]]},"page":"1-12","publisher":"Health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2019)","plainTextFormattedCitation":"(Downe et al., 2019)","previouslyFormattedCitation":"(Downe &lt;i&gt;et al.&lt;/i&gt;, 2019)"},"properties":{"noteIndex":0},"schema":"https://github.com/citation-style-language/schema/raw/master/csl-citation.json"}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(Downe </w:t>
      </w:r>
      <w:r w:rsidRPr="00AE2080">
        <w:rPr>
          <w:rFonts w:ascii="Arial" w:hAnsi="Arial" w:cs="Arial"/>
          <w:i/>
          <w:noProof/>
          <w:sz w:val="24"/>
          <w:szCs w:val="24"/>
        </w:rPr>
        <w:t>et al.</w:t>
      </w:r>
      <w:r w:rsidRPr="00AE2080">
        <w:rPr>
          <w:rFonts w:ascii="Arial" w:hAnsi="Arial" w:cs="Arial"/>
          <w:noProof/>
          <w:sz w:val="24"/>
          <w:szCs w:val="24"/>
        </w:rPr>
        <w:t>, 2019)</w:t>
      </w:r>
      <w:r w:rsidRPr="00AE2080">
        <w:rPr>
          <w:rFonts w:ascii="Arial" w:hAnsi="Arial" w:cs="Arial"/>
          <w:sz w:val="24"/>
          <w:szCs w:val="24"/>
        </w:rPr>
        <w:fldChar w:fldCharType="end"/>
      </w:r>
      <w:r w:rsidRPr="00AE2080">
        <w:rPr>
          <w:rFonts w:ascii="Arial" w:hAnsi="Arial" w:cs="Arial"/>
          <w:sz w:val="24"/>
          <w:szCs w:val="24"/>
        </w:rPr>
        <w:t xml:space="preserve">. The </w:t>
      </w:r>
      <w:r w:rsidR="00AF4110">
        <w:rPr>
          <w:rFonts w:ascii="Arial" w:hAnsi="Arial" w:cs="Arial"/>
          <w:sz w:val="24"/>
          <w:szCs w:val="24"/>
        </w:rPr>
        <w:t xml:space="preserve">process of </w:t>
      </w:r>
      <w:r w:rsidRPr="00AE2080">
        <w:rPr>
          <w:rFonts w:ascii="Arial" w:hAnsi="Arial" w:cs="Arial"/>
          <w:sz w:val="24"/>
          <w:szCs w:val="24"/>
        </w:rPr>
        <w:t xml:space="preserve">assimilation and synthesis allows teachers to make their assessment of </w:t>
      </w:r>
      <w:r w:rsidR="005A36A5">
        <w:rPr>
          <w:rFonts w:ascii="Arial" w:hAnsi="Arial" w:cs="Arial"/>
          <w:sz w:val="24"/>
          <w:szCs w:val="24"/>
        </w:rPr>
        <w:t>how information</w:t>
      </w:r>
      <w:r w:rsidRPr="00AE2080">
        <w:rPr>
          <w:rFonts w:ascii="Arial" w:hAnsi="Arial" w:cs="Arial"/>
          <w:sz w:val="24"/>
          <w:szCs w:val="24"/>
        </w:rPr>
        <w:t xml:space="preserve"> appli</w:t>
      </w:r>
      <w:r w:rsidR="00AF4110">
        <w:rPr>
          <w:rFonts w:ascii="Arial" w:hAnsi="Arial" w:cs="Arial"/>
          <w:sz w:val="24"/>
          <w:szCs w:val="24"/>
        </w:rPr>
        <w:t>es</w:t>
      </w:r>
      <w:r w:rsidRPr="00AE2080">
        <w:rPr>
          <w:rFonts w:ascii="Arial" w:hAnsi="Arial" w:cs="Arial"/>
          <w:sz w:val="24"/>
          <w:szCs w:val="24"/>
        </w:rPr>
        <w:t xml:space="preserve"> to their knowledge base and teaching practice in which they are the experts </w:t>
      </w:r>
      <w:r w:rsidRPr="00AE2080">
        <w:rPr>
          <w:rFonts w:ascii="Arial" w:hAnsi="Arial" w:cs="Arial"/>
          <w:bCs/>
          <w:sz w:val="24"/>
          <w:szCs w:val="24"/>
        </w:rPr>
        <w:fldChar w:fldCharType="begin" w:fldLock="1"/>
      </w:r>
      <w:r w:rsidRPr="00AE2080">
        <w:rPr>
          <w:rFonts w:ascii="Arial" w:hAnsi="Arial" w:cs="Arial"/>
          <w:bCs/>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AE2080">
        <w:rPr>
          <w:rFonts w:ascii="Arial" w:hAnsi="Arial" w:cs="Arial"/>
          <w:bCs/>
          <w:sz w:val="24"/>
          <w:szCs w:val="24"/>
        </w:rPr>
        <w:fldChar w:fldCharType="separate"/>
      </w:r>
      <w:r w:rsidRPr="00AE2080">
        <w:rPr>
          <w:rFonts w:ascii="Arial" w:hAnsi="Arial" w:cs="Arial"/>
          <w:bCs/>
          <w:noProof/>
          <w:sz w:val="24"/>
          <w:szCs w:val="24"/>
        </w:rPr>
        <w:t xml:space="preserve">(Denscombe, </w:t>
      </w:r>
      <w:r w:rsidRPr="00AE2080">
        <w:rPr>
          <w:rFonts w:ascii="Arial" w:hAnsi="Arial" w:cs="Arial"/>
          <w:bCs/>
          <w:noProof/>
          <w:sz w:val="24"/>
          <w:szCs w:val="24"/>
        </w:rPr>
        <w:lastRenderedPageBreak/>
        <w:t>2014; Merriam and Tisdell, 2016)</w:t>
      </w:r>
      <w:r w:rsidRPr="00AE2080">
        <w:rPr>
          <w:rFonts w:ascii="Arial" w:hAnsi="Arial" w:cs="Arial"/>
          <w:bCs/>
          <w:sz w:val="24"/>
          <w:szCs w:val="24"/>
        </w:rPr>
        <w:fldChar w:fldCharType="end"/>
      </w:r>
      <w:r w:rsidRPr="00AE2080">
        <w:rPr>
          <w:rFonts w:ascii="Arial" w:hAnsi="Arial" w:cs="Arial"/>
          <w:bCs/>
          <w:sz w:val="24"/>
          <w:szCs w:val="24"/>
        </w:rPr>
        <w:t>.</w:t>
      </w:r>
      <w:r w:rsidR="00BD5CCE">
        <w:rPr>
          <w:rFonts w:ascii="Arial" w:hAnsi="Arial" w:cs="Arial"/>
          <w:bCs/>
          <w:sz w:val="24"/>
          <w:szCs w:val="24"/>
        </w:rPr>
        <w:t xml:space="preserve"> </w:t>
      </w:r>
      <w:r w:rsidR="000734B3">
        <w:rPr>
          <w:rFonts w:ascii="Arial" w:hAnsi="Arial" w:cs="Arial"/>
          <w:bCs/>
          <w:sz w:val="24"/>
          <w:szCs w:val="24"/>
        </w:rPr>
        <w:t>Considering</w:t>
      </w:r>
      <w:r w:rsidR="00076D25">
        <w:rPr>
          <w:rFonts w:ascii="Arial" w:hAnsi="Arial" w:cs="Arial"/>
          <w:bCs/>
          <w:sz w:val="24"/>
          <w:szCs w:val="24"/>
        </w:rPr>
        <w:t xml:space="preserve"> the </w:t>
      </w:r>
      <w:r w:rsidR="00A50E7C">
        <w:rPr>
          <w:rFonts w:ascii="Arial" w:hAnsi="Arial" w:cs="Arial"/>
          <w:bCs/>
          <w:sz w:val="24"/>
          <w:szCs w:val="24"/>
        </w:rPr>
        <w:t xml:space="preserve">expert </w:t>
      </w:r>
      <w:r w:rsidR="00076D25">
        <w:rPr>
          <w:rFonts w:ascii="Arial" w:hAnsi="Arial" w:cs="Arial"/>
          <w:bCs/>
          <w:sz w:val="24"/>
          <w:szCs w:val="24"/>
        </w:rPr>
        <w:t xml:space="preserve">feedback regarding the </w:t>
      </w:r>
      <w:r w:rsidR="00677C4A">
        <w:rPr>
          <w:rFonts w:ascii="Arial" w:hAnsi="Arial" w:cs="Arial"/>
          <w:bCs/>
          <w:sz w:val="24"/>
          <w:szCs w:val="24"/>
        </w:rPr>
        <w:t>belt training prerequisite ‘breathing</w:t>
      </w:r>
      <w:r w:rsidR="009B3F9D">
        <w:rPr>
          <w:rFonts w:ascii="Arial" w:hAnsi="Arial" w:cs="Arial"/>
          <w:bCs/>
          <w:sz w:val="24"/>
          <w:szCs w:val="24"/>
        </w:rPr>
        <w:t xml:space="preserve"> training’, </w:t>
      </w:r>
      <w:r w:rsidR="005C1132">
        <w:rPr>
          <w:rFonts w:ascii="Arial" w:hAnsi="Arial" w:cs="Arial"/>
          <w:bCs/>
          <w:sz w:val="24"/>
          <w:szCs w:val="24"/>
        </w:rPr>
        <w:t>‘</w:t>
      </w:r>
      <w:r w:rsidR="00740273">
        <w:rPr>
          <w:rFonts w:ascii="Arial" w:hAnsi="Arial" w:cs="Arial"/>
          <w:bCs/>
          <w:sz w:val="24"/>
          <w:szCs w:val="24"/>
        </w:rPr>
        <w:t>a</w:t>
      </w:r>
      <w:r w:rsidR="006C14A2">
        <w:rPr>
          <w:rFonts w:ascii="Arial" w:hAnsi="Arial" w:cs="Arial"/>
          <w:bCs/>
          <w:sz w:val="24"/>
          <w:szCs w:val="24"/>
        </w:rPr>
        <w:t xml:space="preserve">ppropriate </w:t>
      </w:r>
      <w:r w:rsidR="00AF44CC">
        <w:rPr>
          <w:rFonts w:ascii="Arial" w:hAnsi="Arial" w:cs="Arial"/>
          <w:bCs/>
          <w:sz w:val="24"/>
          <w:szCs w:val="24"/>
        </w:rPr>
        <w:t>control</w:t>
      </w:r>
      <w:r w:rsidR="00B81919">
        <w:rPr>
          <w:rFonts w:ascii="Arial" w:hAnsi="Arial" w:cs="Arial"/>
          <w:bCs/>
          <w:sz w:val="24"/>
          <w:szCs w:val="24"/>
        </w:rPr>
        <w:t xml:space="preserve"> o</w:t>
      </w:r>
      <w:r w:rsidR="00F95542">
        <w:rPr>
          <w:rFonts w:ascii="Arial" w:hAnsi="Arial" w:cs="Arial"/>
          <w:bCs/>
          <w:sz w:val="24"/>
          <w:szCs w:val="24"/>
        </w:rPr>
        <w:t xml:space="preserve">f </w:t>
      </w:r>
      <w:r w:rsidR="005C396F">
        <w:rPr>
          <w:rFonts w:ascii="Arial" w:hAnsi="Arial" w:cs="Arial"/>
          <w:bCs/>
          <w:sz w:val="24"/>
          <w:szCs w:val="24"/>
        </w:rPr>
        <w:t>airflow and air pressure’</w:t>
      </w:r>
      <w:r w:rsidR="00BF5349">
        <w:rPr>
          <w:rFonts w:ascii="Arial" w:hAnsi="Arial" w:cs="Arial"/>
          <w:bCs/>
          <w:sz w:val="24"/>
          <w:szCs w:val="24"/>
        </w:rPr>
        <w:t xml:space="preserve"> a rewording has been </w:t>
      </w:r>
      <w:r w:rsidR="00740273">
        <w:rPr>
          <w:rFonts w:ascii="Arial" w:hAnsi="Arial" w:cs="Arial"/>
          <w:bCs/>
          <w:sz w:val="24"/>
          <w:szCs w:val="24"/>
        </w:rPr>
        <w:t>included in the revised</w:t>
      </w:r>
      <w:r w:rsidR="0008200D">
        <w:rPr>
          <w:rFonts w:ascii="Arial" w:hAnsi="Arial" w:cs="Arial"/>
          <w:bCs/>
          <w:sz w:val="24"/>
          <w:szCs w:val="24"/>
        </w:rPr>
        <w:t xml:space="preserve"> flow chart</w:t>
      </w:r>
      <w:r w:rsidR="006B6010">
        <w:rPr>
          <w:rFonts w:ascii="Arial" w:hAnsi="Arial" w:cs="Arial"/>
          <w:bCs/>
          <w:sz w:val="24"/>
          <w:szCs w:val="24"/>
        </w:rPr>
        <w:t xml:space="preserve"> </w:t>
      </w:r>
      <w:hyperlink w:anchor="RevisedBeltTrainingProcess" w:history="1">
        <w:r w:rsidR="006B6010" w:rsidRPr="00AE2080">
          <w:rPr>
            <w:rStyle w:val="Hyperlink"/>
            <w:rFonts w:ascii="Arial" w:hAnsi="Arial" w:cs="Arial"/>
            <w:sz w:val="24"/>
            <w:szCs w:val="24"/>
          </w:rPr>
          <w:t xml:space="preserve">(Figure </w:t>
        </w:r>
        <w:r w:rsidR="00373871">
          <w:rPr>
            <w:rStyle w:val="Hyperlink"/>
            <w:rFonts w:ascii="Arial" w:hAnsi="Arial" w:cs="Arial"/>
            <w:sz w:val="24"/>
            <w:szCs w:val="24"/>
          </w:rPr>
          <w:t>7</w:t>
        </w:r>
        <w:r w:rsidR="006B6010" w:rsidRPr="00AE2080">
          <w:rPr>
            <w:rStyle w:val="Hyperlink"/>
            <w:rFonts w:ascii="Arial" w:hAnsi="Arial" w:cs="Arial"/>
            <w:sz w:val="24"/>
            <w:szCs w:val="24"/>
          </w:rPr>
          <w:t>).</w:t>
        </w:r>
      </w:hyperlink>
      <w:r w:rsidR="008A2090">
        <w:rPr>
          <w:rFonts w:ascii="Arial" w:hAnsi="Arial" w:cs="Arial"/>
          <w:bCs/>
          <w:sz w:val="24"/>
          <w:szCs w:val="24"/>
        </w:rPr>
        <w:t xml:space="preserve"> The</w:t>
      </w:r>
      <w:r w:rsidRPr="00AE2080">
        <w:rPr>
          <w:rFonts w:ascii="Arial" w:hAnsi="Arial" w:cs="Arial"/>
          <w:sz w:val="24"/>
          <w:szCs w:val="24"/>
        </w:rPr>
        <w:t xml:space="preserve"> simplified presentation of the flow chart </w:t>
      </w:r>
      <w:r w:rsidR="008A2090">
        <w:rPr>
          <w:rFonts w:ascii="Arial" w:hAnsi="Arial" w:cs="Arial"/>
          <w:sz w:val="24"/>
          <w:szCs w:val="24"/>
        </w:rPr>
        <w:t>forms</w:t>
      </w:r>
      <w:r w:rsidRPr="00AE2080">
        <w:rPr>
          <w:rFonts w:ascii="Arial" w:hAnsi="Arial" w:cs="Arial"/>
          <w:sz w:val="24"/>
          <w:szCs w:val="24"/>
        </w:rPr>
        <w:t xml:space="preserve"> a</w:t>
      </w:r>
      <w:r w:rsidR="008A2090">
        <w:rPr>
          <w:rFonts w:ascii="Arial" w:hAnsi="Arial" w:cs="Arial"/>
          <w:sz w:val="24"/>
          <w:szCs w:val="24"/>
        </w:rPr>
        <w:t xml:space="preserve"> belt training</w:t>
      </w:r>
      <w:r w:rsidRPr="00AE2080">
        <w:rPr>
          <w:rFonts w:ascii="Arial" w:hAnsi="Arial" w:cs="Arial"/>
          <w:sz w:val="24"/>
          <w:szCs w:val="24"/>
        </w:rPr>
        <w:t xml:space="preserve"> </w:t>
      </w:r>
      <w:r w:rsidR="00BC7E89">
        <w:rPr>
          <w:rFonts w:ascii="Arial" w:hAnsi="Arial" w:cs="Arial"/>
          <w:sz w:val="24"/>
          <w:szCs w:val="24"/>
        </w:rPr>
        <w:t xml:space="preserve">tool </w:t>
      </w:r>
      <w:r w:rsidR="003313C5">
        <w:rPr>
          <w:rFonts w:ascii="Arial" w:hAnsi="Arial" w:cs="Arial"/>
          <w:sz w:val="24"/>
          <w:szCs w:val="24"/>
        </w:rPr>
        <w:t>support</w:t>
      </w:r>
      <w:r w:rsidR="00BC7E89">
        <w:rPr>
          <w:rFonts w:ascii="Arial" w:hAnsi="Arial" w:cs="Arial"/>
          <w:sz w:val="24"/>
          <w:szCs w:val="24"/>
        </w:rPr>
        <w:t>ing</w:t>
      </w:r>
      <w:r w:rsidRPr="00AE2080">
        <w:rPr>
          <w:rFonts w:ascii="Arial" w:hAnsi="Arial" w:cs="Arial"/>
          <w:sz w:val="24"/>
          <w:szCs w:val="24"/>
        </w:rPr>
        <w:t xml:space="preserve"> teach</w:t>
      </w:r>
      <w:r w:rsidR="003313C5">
        <w:rPr>
          <w:rFonts w:ascii="Arial" w:hAnsi="Arial" w:cs="Arial"/>
          <w:sz w:val="24"/>
          <w:szCs w:val="24"/>
        </w:rPr>
        <w:t>ing choices</w:t>
      </w:r>
      <w:r w:rsidRPr="00AE2080">
        <w:rPr>
          <w:rFonts w:ascii="Arial" w:hAnsi="Arial" w:cs="Arial"/>
          <w:sz w:val="24"/>
          <w:szCs w:val="24"/>
        </w:rPr>
        <w:t xml:space="preserve"> and could be used as a learning resource for students</w:t>
      </w:r>
      <w:r w:rsidR="006B6010">
        <w:rPr>
          <w:rFonts w:ascii="Arial" w:hAnsi="Arial" w:cs="Arial"/>
          <w:sz w:val="24"/>
          <w:szCs w:val="24"/>
        </w:rPr>
        <w:t>.</w:t>
      </w:r>
    </w:p>
    <w:p w14:paraId="455D1521" w14:textId="1F391F48" w:rsidR="00C50C35" w:rsidRPr="00AE2080" w:rsidRDefault="00F86450" w:rsidP="00AE2080">
      <w:pPr>
        <w:spacing w:line="360" w:lineRule="auto"/>
        <w:jc w:val="both"/>
        <w:rPr>
          <w:rFonts w:ascii="Arial" w:hAnsi="Arial" w:cs="Arial"/>
          <w:sz w:val="24"/>
          <w:szCs w:val="24"/>
        </w:rPr>
      </w:pPr>
      <w:bookmarkStart w:id="11" w:name="RevisedBeltTrainingProcess"/>
      <w:r w:rsidRPr="00AE2080">
        <w:rPr>
          <w:rFonts w:ascii="Arial" w:hAnsi="Arial" w:cs="Arial"/>
          <w:sz w:val="24"/>
          <w:szCs w:val="24"/>
        </w:rPr>
        <w:t xml:space="preserve">Figure </w:t>
      </w:r>
      <w:r w:rsidR="00373871">
        <w:rPr>
          <w:rFonts w:ascii="Arial" w:hAnsi="Arial" w:cs="Arial"/>
          <w:sz w:val="24"/>
          <w:szCs w:val="24"/>
        </w:rPr>
        <w:t>7</w:t>
      </w:r>
      <w:r w:rsidRPr="00AE2080">
        <w:rPr>
          <w:rFonts w:ascii="Arial" w:hAnsi="Arial" w:cs="Arial"/>
          <w:sz w:val="24"/>
          <w:szCs w:val="24"/>
        </w:rPr>
        <w:t xml:space="preserve">: Revised belt </w:t>
      </w:r>
      <w:r w:rsidR="00292026">
        <w:rPr>
          <w:rFonts w:ascii="Arial" w:hAnsi="Arial" w:cs="Arial"/>
          <w:sz w:val="24"/>
          <w:szCs w:val="24"/>
        </w:rPr>
        <w:t xml:space="preserve">training </w:t>
      </w:r>
      <w:r w:rsidRPr="00AE2080">
        <w:rPr>
          <w:rFonts w:ascii="Arial" w:hAnsi="Arial" w:cs="Arial"/>
          <w:sz w:val="24"/>
          <w:szCs w:val="24"/>
        </w:rPr>
        <w:t>process</w:t>
      </w:r>
    </w:p>
    <w:bookmarkEnd w:id="11"/>
    <w:p w14:paraId="1F007D9D" w14:textId="6CC44186" w:rsidR="00C50C35" w:rsidRDefault="001B631E" w:rsidP="00AE2080">
      <w:pPr>
        <w:spacing w:line="360" w:lineRule="auto"/>
        <w:jc w:val="center"/>
        <w:rPr>
          <w:rFonts w:ascii="Arial" w:hAnsi="Arial" w:cs="Arial"/>
          <w:sz w:val="24"/>
          <w:szCs w:val="24"/>
        </w:rPr>
      </w:pPr>
      <w:r>
        <w:rPr>
          <w:rFonts w:ascii="Arial" w:hAnsi="Arial" w:cs="Arial"/>
          <w:noProof/>
          <w:sz w:val="24"/>
          <w:szCs w:val="24"/>
        </w:rPr>
        <w:drawing>
          <wp:inline distT="0" distB="0" distL="0" distR="0" wp14:anchorId="40129256" wp14:editId="45B7C1E5">
            <wp:extent cx="4657060" cy="6605052"/>
            <wp:effectExtent l="0" t="0" r="0" b="5715"/>
            <wp:docPr id="213791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18541" name="Picture 2137918541"/>
                    <pic:cNvPicPr/>
                  </pic:nvPicPr>
                  <pic:blipFill>
                    <a:blip r:embed="rId17">
                      <a:extLst>
                        <a:ext uri="{28A0092B-C50C-407E-A947-70E740481C1C}">
                          <a14:useLocalDpi xmlns:a14="http://schemas.microsoft.com/office/drawing/2010/main" val="0"/>
                        </a:ext>
                      </a:extLst>
                    </a:blip>
                    <a:stretch>
                      <a:fillRect/>
                    </a:stretch>
                  </pic:blipFill>
                  <pic:spPr>
                    <a:xfrm>
                      <a:off x="0" y="0"/>
                      <a:ext cx="4670608" cy="6624267"/>
                    </a:xfrm>
                    <a:prstGeom prst="rect">
                      <a:avLst/>
                    </a:prstGeom>
                  </pic:spPr>
                </pic:pic>
              </a:graphicData>
            </a:graphic>
          </wp:inline>
        </w:drawing>
      </w:r>
    </w:p>
    <w:p w14:paraId="73E44472" w14:textId="3C034B4A" w:rsidR="002F5511" w:rsidRDefault="00681DEB" w:rsidP="00681DEB">
      <w:pPr>
        <w:spacing w:line="360" w:lineRule="auto"/>
        <w:jc w:val="right"/>
        <w:rPr>
          <w:rFonts w:ascii="Arial" w:hAnsi="Arial" w:cs="Arial"/>
          <w:sz w:val="24"/>
          <w:szCs w:val="24"/>
        </w:rPr>
      </w:pPr>
      <w:r>
        <w:rPr>
          <w:rFonts w:ascii="Arial" w:hAnsi="Arial" w:cs="Arial"/>
          <w:sz w:val="24"/>
          <w:szCs w:val="24"/>
        </w:rPr>
        <w:fldChar w:fldCharType="begin" w:fldLock="1"/>
      </w:r>
      <w:r w:rsidR="001D54E5">
        <w:rPr>
          <w:rFonts w:ascii="Arial" w:hAnsi="Arial" w:cs="Arial"/>
          <w:sz w:val="24"/>
          <w:szCs w:val="24"/>
        </w:rPr>
        <w:instrText>ADDIN CSL_CITATION {"citationItems":[{"id":"ITEM-1","itemData":{"abstract":"How can evidence-based teaching strategies facilitate a student’s desire to learn ‘belt-style’ singing?","author":[{"dropping-particle":"","family":"Morris","given":"Jon","non-dropping-particle":"","parse-names":false,"suffix":""}],"id":"ITEM-1","issued":{"date-parts":[["2023"]]},"title":"Module 5: Independent Study BMPF7013","type":"report"},"uris":["http://www.mendeley.com/documents/?uuid=d4d26ac7-90cc-44c9-afdf-a54eed7c16d3"]}],"mendeley":{"formattedCitation":"(Morris, 2023)","plainTextFormattedCitation":"(Morris, 2023)","previouslyFormattedCitation":"(Morris, 2023)"},"properties":{"noteIndex":0},"schema":"https://github.com/citation-style-language/schema/raw/master/csl-citation.json"}</w:instrText>
      </w:r>
      <w:r>
        <w:rPr>
          <w:rFonts w:ascii="Arial" w:hAnsi="Arial" w:cs="Arial"/>
          <w:sz w:val="24"/>
          <w:szCs w:val="24"/>
        </w:rPr>
        <w:fldChar w:fldCharType="separate"/>
      </w:r>
      <w:r w:rsidRPr="00681DEB">
        <w:rPr>
          <w:rFonts w:ascii="Arial" w:hAnsi="Arial" w:cs="Arial"/>
          <w:noProof/>
          <w:sz w:val="24"/>
          <w:szCs w:val="24"/>
        </w:rPr>
        <w:t>(Morris, 2023)</w:t>
      </w:r>
      <w:r>
        <w:rPr>
          <w:rFonts w:ascii="Arial" w:hAnsi="Arial" w:cs="Arial"/>
          <w:sz w:val="24"/>
          <w:szCs w:val="24"/>
        </w:rPr>
        <w:fldChar w:fldCharType="end"/>
      </w:r>
      <w:r w:rsidR="002F5511">
        <w:rPr>
          <w:rFonts w:ascii="Arial" w:hAnsi="Arial" w:cs="Arial"/>
          <w:sz w:val="24"/>
          <w:szCs w:val="24"/>
        </w:rPr>
        <w:br w:type="page"/>
      </w:r>
    </w:p>
    <w:p w14:paraId="03565EBC" w14:textId="3E7B7DF1" w:rsidR="006E49AD" w:rsidRPr="00AE2080" w:rsidRDefault="001F2F93" w:rsidP="00AE2080">
      <w:pPr>
        <w:pStyle w:val="NormalWeb"/>
        <w:spacing w:line="360" w:lineRule="auto"/>
        <w:jc w:val="both"/>
        <w:rPr>
          <w:rFonts w:ascii="Arial" w:hAnsi="Arial" w:cs="Arial"/>
          <w:b/>
          <w:bCs/>
          <w:color w:val="000000"/>
        </w:rPr>
      </w:pPr>
      <w:bookmarkStart w:id="12" w:name="DBRStage2"/>
      <w:r w:rsidRPr="002A4E2F">
        <w:rPr>
          <w:rFonts w:ascii="Arial" w:hAnsi="Arial" w:cs="Arial"/>
          <w:b/>
          <w:bCs/>
        </w:rPr>
        <w:lastRenderedPageBreak/>
        <w:t>Design-</w:t>
      </w:r>
      <w:r>
        <w:rPr>
          <w:rFonts w:ascii="Arial" w:hAnsi="Arial" w:cs="Arial"/>
          <w:b/>
          <w:bCs/>
        </w:rPr>
        <w:t>b</w:t>
      </w:r>
      <w:r w:rsidRPr="002A4E2F">
        <w:rPr>
          <w:rFonts w:ascii="Arial" w:hAnsi="Arial" w:cs="Arial"/>
          <w:b/>
          <w:bCs/>
        </w:rPr>
        <w:t xml:space="preserve">ased </w:t>
      </w:r>
      <w:r>
        <w:rPr>
          <w:rFonts w:ascii="Arial" w:hAnsi="Arial" w:cs="Arial"/>
          <w:b/>
          <w:bCs/>
        </w:rPr>
        <w:t>r</w:t>
      </w:r>
      <w:r w:rsidRPr="002A4E2F">
        <w:rPr>
          <w:rFonts w:ascii="Arial" w:hAnsi="Arial" w:cs="Arial"/>
          <w:b/>
          <w:bCs/>
        </w:rPr>
        <w:t>esearch</w:t>
      </w:r>
      <w:r w:rsidRPr="00AE2080">
        <w:rPr>
          <w:rFonts w:ascii="Arial" w:hAnsi="Arial" w:cs="Arial"/>
          <w:b/>
          <w:bCs/>
        </w:rPr>
        <w:t xml:space="preserve"> </w:t>
      </w:r>
      <w:r>
        <w:rPr>
          <w:rFonts w:ascii="Arial" w:hAnsi="Arial" w:cs="Arial"/>
          <w:b/>
          <w:bCs/>
        </w:rPr>
        <w:t>s</w:t>
      </w:r>
      <w:r w:rsidRPr="00AE2080">
        <w:rPr>
          <w:rFonts w:ascii="Arial" w:hAnsi="Arial" w:cs="Arial"/>
          <w:b/>
          <w:bCs/>
        </w:rPr>
        <w:t xml:space="preserve">tage </w:t>
      </w:r>
      <w:r w:rsidR="006E49AD" w:rsidRPr="00AE2080">
        <w:rPr>
          <w:rFonts w:ascii="Arial" w:hAnsi="Arial" w:cs="Arial"/>
          <w:b/>
          <w:bCs/>
        </w:rPr>
        <w:t xml:space="preserve">2: </w:t>
      </w:r>
      <w:bookmarkEnd w:id="12"/>
      <w:r>
        <w:rPr>
          <w:rFonts w:ascii="Arial" w:hAnsi="Arial" w:cs="Arial"/>
          <w:b/>
          <w:bCs/>
          <w:color w:val="000000"/>
        </w:rPr>
        <w:t>l</w:t>
      </w:r>
      <w:r w:rsidR="006E49AD" w:rsidRPr="00AE2080">
        <w:rPr>
          <w:rFonts w:ascii="Arial" w:hAnsi="Arial" w:cs="Arial"/>
          <w:b/>
          <w:bCs/>
          <w:color w:val="000000"/>
        </w:rPr>
        <w:t xml:space="preserve">iterature </w:t>
      </w:r>
      <w:r>
        <w:rPr>
          <w:rFonts w:ascii="Arial" w:hAnsi="Arial" w:cs="Arial"/>
          <w:b/>
          <w:bCs/>
          <w:color w:val="000000"/>
        </w:rPr>
        <w:t>r</w:t>
      </w:r>
      <w:r w:rsidR="006E49AD" w:rsidRPr="00AE2080">
        <w:rPr>
          <w:rFonts w:ascii="Arial" w:hAnsi="Arial" w:cs="Arial"/>
          <w:b/>
          <w:bCs/>
          <w:color w:val="000000"/>
        </w:rPr>
        <w:t>eview</w:t>
      </w:r>
    </w:p>
    <w:p w14:paraId="0F93D02F" w14:textId="372956CA" w:rsidR="006E49AD" w:rsidRPr="00B51DDE" w:rsidRDefault="006E49AD" w:rsidP="00AE2080">
      <w:pPr>
        <w:pStyle w:val="NormalWeb"/>
        <w:spacing w:line="360" w:lineRule="auto"/>
        <w:jc w:val="both"/>
        <w:rPr>
          <w:rFonts w:ascii="Arial" w:hAnsi="Arial" w:cs="Arial"/>
          <w:color w:val="000000"/>
        </w:rPr>
      </w:pPr>
      <w:r w:rsidRPr="00B51DDE">
        <w:rPr>
          <w:rFonts w:ascii="Arial" w:hAnsi="Arial" w:cs="Arial"/>
          <w:color w:val="000000"/>
        </w:rPr>
        <w:t xml:space="preserve">Voice research has identified a shift of demand on musical theatre singers from classical techniques to an increased use of belting and </w:t>
      </w:r>
      <w:r w:rsidR="009B2017" w:rsidRPr="00B51DDE">
        <w:rPr>
          <w:rFonts w:ascii="Arial" w:hAnsi="Arial" w:cs="Arial"/>
          <w:color w:val="000000"/>
        </w:rPr>
        <w:t xml:space="preserve">belting </w:t>
      </w:r>
      <w:r w:rsidRPr="00B51DDE">
        <w:rPr>
          <w:rFonts w:ascii="Arial" w:hAnsi="Arial" w:cs="Arial"/>
          <w:color w:val="000000"/>
        </w:rPr>
        <w:t xml:space="preserve">to higher pitches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{"citationItems":[{"id":"ITEM-1","itemData":{"DOI":"10.1016/j.jvoice.2013.10.007","ISSN":"18734588","PMID":"24467880","abstract":"Objectives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author":[{"dropping-particle":"","family":"Green","given":"Kathryn","non-dropping-particle":"","parse-names":false,"suffix":""},{"dropping-particle":"","family":"Freeman","given":"Warren","non-dropping-particle":"","parse-names":false,"suffix":""},{"dropping-particle":"","family":"Edwards","given":"Matthew","non-dropping-particle":"","parse-names":false,"suffix":""},{"dropping-particle":"","family":"Meyer","given":"David","non-dropping-particle":"","parse-names":false,"suffix":""}],"container-title":"Journal of Voice","id":"ITEM-1","issue":"3","issued":{"date-parts":[["2014"]]},"page":"324-327","publisher":"Elsevier Ltd","title":"Trends in musical theatre voice: An analysis of audition requirements for singers","type":"article-journal","volume":"28"},"uris":["http://www.mendeley.com/documents/?uuid=6c5c7ab8-2117-4022-bd21-e16aa8ee37d9"]},{"id":"ITEM-2","itemData":{"abstract":"The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CENTURY","type":"article-journal"},"uris":["http://www.mendeley.com/documents/?uuid=5030bbb6-60db-47c9-8cfb-a9da980f8b89"]}],"mendeley":{"formattedCitation":"(Green &lt;i&gt;et al.&lt;/i&gt;, 2014; Roll, 2014)","plainTextFormattedCitation":"(Green et al., 2014; Roll, 2014)","previouslyFormattedCitation":"(Green &lt;i&gt;et al.&lt;/i&gt;, 2014; Roll, 2014)"},"properties":{"noteIndex":0},"schema":"https://github.com/citation-style-language/schema/raw/master/csl-citation.json"}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 xml:space="preserve">(Green </w:t>
      </w:r>
      <w:r w:rsidRPr="00B51DDE">
        <w:rPr>
          <w:rFonts w:ascii="Arial" w:hAnsi="Arial" w:cs="Arial"/>
          <w:i/>
          <w:noProof/>
          <w:color w:val="000000"/>
        </w:rPr>
        <w:t>et al.</w:t>
      </w:r>
      <w:r w:rsidRPr="00B51DDE">
        <w:rPr>
          <w:rFonts w:ascii="Arial" w:hAnsi="Arial" w:cs="Arial"/>
          <w:noProof/>
          <w:color w:val="000000"/>
        </w:rPr>
        <w:t>, 2014; Roll, 2014)</w:t>
      </w:r>
      <w:r w:rsidRPr="00B51DDE">
        <w:rPr>
          <w:rFonts w:ascii="Arial" w:hAnsi="Arial" w:cs="Arial"/>
          <w:color w:val="000000"/>
        </w:rPr>
        <w:fldChar w:fldCharType="end"/>
      </w:r>
      <w:r w:rsidRPr="00B51DDE">
        <w:rPr>
          <w:rFonts w:ascii="Arial" w:hAnsi="Arial" w:cs="Arial"/>
          <w:color w:val="000000"/>
        </w:rPr>
        <w:t xml:space="preserve">. Singers and their teachers need to develop techniques to execute the demands of music in current performance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2014)","plainTextFormattedCitation":"(Roll, 2014)","previouslyFormattedCitation":"(Roll, 2014)"},"properties":{"noteIndex":0},"schema":"https://github.com/citation-style-language/schema/raw/master/csl-citation.json"}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(Roll, 2014)</w:t>
      </w:r>
      <w:r w:rsidRPr="00B51DDE">
        <w:rPr>
          <w:rFonts w:ascii="Arial" w:hAnsi="Arial" w:cs="Arial"/>
          <w:color w:val="000000"/>
        </w:rPr>
        <w:fldChar w:fldCharType="end"/>
      </w:r>
      <w:r w:rsidRPr="00B51DDE">
        <w:rPr>
          <w:rFonts w:ascii="Arial" w:hAnsi="Arial" w:cs="Arial"/>
          <w:color w:val="000000"/>
        </w:rPr>
        <w:t>. Music professionals have been shown to have differing opinions and descriptions of belting which could be a source of confusion for teachers developing their skill</w:t>
      </w:r>
      <w:r w:rsidR="00A0336B" w:rsidRPr="00B51DDE">
        <w:rPr>
          <w:rFonts w:ascii="Arial" w:hAnsi="Arial" w:cs="Arial"/>
          <w:color w:val="000000"/>
        </w:rPr>
        <w:t>s</w:t>
      </w:r>
      <w:r w:rsidRPr="00B51DDE">
        <w:rPr>
          <w:rFonts w:ascii="Arial" w:hAnsi="Arial" w:cs="Arial"/>
          <w:color w:val="000000"/>
        </w:rPr>
        <w:t xml:space="preserve"> in this area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Voice","id":"ITEM-2","issue":"1","issued":{"date-parts":[["2016"]]},"page":"128.e1-128.e12","publisher":"Elsevier Ltd","title":"Vocal Qualities in Music Theater Voice: Perceptions of Expert Pedagogues","type":"article-journal","volume":"30"},"uris":["http://www.mendeley.com/documents/?uuid=4706de4e-157f-47ca-96aa-d6b4c276968b"]}],"mendeley":{"formattedCitation":"(Roll, 2014; Bourne and Kenny, 2016)","plainTextFormattedCitation":"(Roll, 2014; Bourne and Kenny, 2016)","previouslyFormattedCitation":"(Roll, 2014; Bourne and Kenny, 2016)"},"properties":{"noteIndex":0},"schema":"https://github.com/citation-style-language/schema/raw/master/csl-citation.json"}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(Roll, 2014; Bourne and Kenny, 2016)</w:t>
      </w:r>
      <w:r w:rsidRPr="00B51DDE">
        <w:rPr>
          <w:rFonts w:ascii="Arial" w:hAnsi="Arial" w:cs="Arial"/>
          <w:color w:val="000000"/>
        </w:rPr>
        <w:fldChar w:fldCharType="end"/>
      </w:r>
      <w:r w:rsidRPr="00B51DDE">
        <w:rPr>
          <w:rFonts w:ascii="Arial" w:hAnsi="Arial" w:cs="Arial"/>
          <w:color w:val="000000"/>
        </w:rPr>
        <w:t xml:space="preserve">. Historically much voice research and training has been centred on classical singing, potentially leaving some teachers with CPD needs related to CCM styles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{"citationItems":[{"id":"ITEM-1","itemData":{"author":[{"dropping-particle":"","family":"Naismith","given":"Marisa Lee","non-dropping-particle":"","parse-names":false,"suffix":""},{"dropping-particle":"","family":"Bartlett","given":"Irene","non-dropping-particle":"","parse-names":false,"suffix":""}],"container-title":"Journal of Singing","id":"ITEM-1","issue":"3","issued":{"date-parts":[["2020"]]},"page":"273-282","title":"An Investigation of Contemporary Commercial Music (CCM) Voice Pedagogy: A Class of its Own?","type":"article-journal","volume":"76"},"uris":["http://www.mendeley.com/documents/?uuid=ae01dd51-b652-45f2-9141-13603b69bd70"]}],"mendeley":{"formattedCitation":"(Naismith and Bartlett, 2020)","plainTextFormattedCitation":"(Naismith and Bartlett, 2020)","previouslyFormattedCitation":"(Naismith and Bartlett, 2020)"},"properties":{"noteIndex":0},"schema":"https://github.com/citation-style-language/schema/raw/master/csl-citation.json"}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(Naismith and Bartlett, 2020)</w:t>
      </w:r>
      <w:r w:rsidRPr="00B51DDE">
        <w:rPr>
          <w:rFonts w:ascii="Arial" w:hAnsi="Arial" w:cs="Arial"/>
          <w:color w:val="000000"/>
        </w:rPr>
        <w:fldChar w:fldCharType="end"/>
      </w:r>
      <w:r w:rsidRPr="00B51DDE">
        <w:rPr>
          <w:rFonts w:ascii="Arial" w:hAnsi="Arial" w:cs="Arial"/>
          <w:color w:val="000000"/>
        </w:rPr>
        <w:t xml:space="preserve">. As voice research has broadened to cover CCM, aesthetic bias is shifting from classical singing as being the only ‘right technique’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{"citationItems":[{"id":"ITEM-1","itemData":{"DOI":"10.1080/23268263.2019.1605707","ISSN":"23268271","abstract":"Vocal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training.","author":[{"dropping-particle":"","family":"Steinhauer","given":"Kimberly M.","non-dropping-particle":"","parse-names":false,"suffix":""},{"dropping-particle":"","family":"McDonald Klimek","given":"Mary","non-dropping-particle":"","parse-names":false,"suffix":""}],"container-title":"Voice and Speech Review","id":"ITEM-1","issue":"3","issued":{"date-parts":[["2019"]]},"page":"354-359","publisher":"Routledge","title":"Vocal Traditions: Estill Voice Training®","type":"article-journal","volume":"13"},"uris":["http://www.mendeley.com/documents/?uuid=0689d439-53d4-4da4-85a1-aafad9ed995a"]},{"id":"ITEM-2","itemData":{"ISBN":"978-87-992436-1-7","author":[{"dropping-particle":"","family":"Sadolin","given":"Catherine","non-dropping-particle":"","parse-names":false,"suffix":""}],"id":"ITEM-2","issued":{"date-parts":[["2021"]]},"publisher":"Publications, CVI","publisher-place":"Copenhagen","title":"Complete Vocal Technique","type":"book"},"uris":["http://www.mendeley.com/documents/?uuid=77d53592-e228-457b-953f-2f2f3aa37d84"]}],"mendeley":{"formattedCitation":"(Steinhauer and McDonald Klimek, 2019; Sadolin, 2021)","plainTextFormattedCitation":"(Steinhauer and McDonald Klimek, 2019; Sadolin, 2021)","previouslyFormattedCitation":"(Steinhauer and McDonald Klimek, 2019; Sadolin, 2021)"},"properties":{"noteIndex":0},"schema":"https://github.com/citation-style-language/schema/raw/master/csl-citation.json"}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(Steinhauer and McDonald Klimek, 2019; Sadolin, 2021)</w:t>
      </w:r>
      <w:r w:rsidRPr="00B51DDE">
        <w:rPr>
          <w:rFonts w:ascii="Arial" w:hAnsi="Arial" w:cs="Arial"/>
          <w:color w:val="000000"/>
        </w:rPr>
        <w:fldChar w:fldCharType="end"/>
      </w:r>
      <w:r w:rsidRPr="00B51DDE">
        <w:rPr>
          <w:rFonts w:ascii="Arial" w:hAnsi="Arial" w:cs="Arial"/>
          <w:color w:val="000000"/>
        </w:rPr>
        <w:t>.</w:t>
      </w:r>
      <w:r w:rsidR="00B224D6" w:rsidRPr="00B51DDE">
        <w:rPr>
          <w:rFonts w:ascii="Arial" w:hAnsi="Arial" w:cs="Arial"/>
          <w:color w:val="000000"/>
        </w:rPr>
        <w:t xml:space="preserve"> </w:t>
      </w:r>
      <w:r w:rsidRPr="00B51DDE">
        <w:rPr>
          <w:rFonts w:ascii="Arial" w:hAnsi="Arial" w:cs="Arial"/>
          <w:color w:val="000000"/>
        </w:rPr>
        <w:t>This belt training process was originally intended as a start</w:t>
      </w:r>
      <w:r w:rsidR="0042749F" w:rsidRPr="00B51DDE">
        <w:rPr>
          <w:rFonts w:ascii="Arial" w:hAnsi="Arial" w:cs="Arial"/>
          <w:color w:val="000000"/>
        </w:rPr>
        <w:t>ing</w:t>
      </w:r>
      <w:r w:rsidRPr="00B51DDE">
        <w:rPr>
          <w:rFonts w:ascii="Arial" w:hAnsi="Arial" w:cs="Arial"/>
          <w:color w:val="000000"/>
        </w:rPr>
        <w:t xml:space="preserve"> point for a teacher in the first stages of their ability to teach belting. Feedback from the experts in the DBR stage 1 of this project has focused </w:t>
      </w:r>
      <w:r w:rsidR="00462449" w:rsidRPr="00B51DDE">
        <w:rPr>
          <w:rFonts w:ascii="Arial" w:hAnsi="Arial" w:cs="Arial"/>
          <w:color w:val="000000"/>
        </w:rPr>
        <w:t xml:space="preserve">on </w:t>
      </w:r>
      <w:r w:rsidRPr="00B51DDE">
        <w:rPr>
          <w:rFonts w:ascii="Arial" w:hAnsi="Arial" w:cs="Arial"/>
          <w:color w:val="000000"/>
        </w:rPr>
        <w:t xml:space="preserve">the aim of this review. The experts of this study agreed that any application of the belt training process should be individualised </w:t>
      </w:r>
      <w:r w:rsidR="006E18DD" w:rsidRPr="00B51DDE">
        <w:rPr>
          <w:rFonts w:ascii="Arial" w:hAnsi="Arial" w:cs="Arial"/>
          <w:color w:val="000000"/>
        </w:rPr>
        <w:t>for</w:t>
      </w:r>
      <w:r w:rsidRPr="00B51DDE">
        <w:rPr>
          <w:rFonts w:ascii="Arial" w:hAnsi="Arial" w:cs="Arial"/>
          <w:color w:val="000000"/>
        </w:rPr>
        <w:t xml:space="preserve"> each singer. In addition to building</w:t>
      </w:r>
      <w:r w:rsidR="009345E8" w:rsidRPr="00B51DDE">
        <w:rPr>
          <w:rFonts w:ascii="Arial" w:hAnsi="Arial" w:cs="Arial"/>
          <w:color w:val="000000"/>
        </w:rPr>
        <w:t xml:space="preserve"> </w:t>
      </w:r>
      <w:r w:rsidR="002B05DE" w:rsidRPr="00B51DDE">
        <w:rPr>
          <w:rFonts w:ascii="Arial" w:hAnsi="Arial" w:cs="Arial"/>
          <w:color w:val="000000"/>
        </w:rPr>
        <w:t>an</w:t>
      </w:r>
      <w:r w:rsidRPr="00B51DDE">
        <w:rPr>
          <w:rFonts w:ascii="Arial" w:hAnsi="Arial" w:cs="Arial"/>
          <w:color w:val="000000"/>
        </w:rPr>
        <w:t xml:space="preserve"> evidence base of belting in support of individualisation, the narrative of this review aims to support teachers in deciding the next steps of their belting CPD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(Warwick, 2007)</w:t>
      </w:r>
      <w:r w:rsidRPr="00B51DDE">
        <w:rPr>
          <w:rFonts w:ascii="Arial" w:hAnsi="Arial" w:cs="Arial"/>
          <w:color w:val="000000"/>
        </w:rPr>
        <w:fldChar w:fldCharType="end"/>
      </w:r>
      <w:r w:rsidRPr="00B51DDE">
        <w:rPr>
          <w:rFonts w:ascii="Arial" w:hAnsi="Arial" w:cs="Arial"/>
          <w:color w:val="000000"/>
        </w:rPr>
        <w:t xml:space="preserve">. The themes of </w:t>
      </w:r>
      <w:r w:rsidR="00027FEA" w:rsidRPr="00B51DDE">
        <w:rPr>
          <w:rFonts w:ascii="Arial" w:hAnsi="Arial" w:cs="Arial"/>
          <w:color w:val="000000"/>
        </w:rPr>
        <w:t xml:space="preserve">the </w:t>
      </w:r>
      <w:r w:rsidRPr="00B51DDE">
        <w:rPr>
          <w:rFonts w:ascii="Arial" w:hAnsi="Arial" w:cs="Arial"/>
          <w:color w:val="000000"/>
        </w:rPr>
        <w:t xml:space="preserve">literature review will form a narrative which links voice research to the expert data </w:t>
      </w:r>
      <w:r w:rsidRPr="00B51DDE">
        <w:rPr>
          <w:rFonts w:ascii="Arial" w:hAnsi="Arial" w:cs="Arial"/>
          <w:color w:val="000000"/>
        </w:rPr>
        <w:fldChar w:fldCharType="begin" w:fldLock="1"/>
      </w:r>
      <w:r w:rsidRPr="00B51DDE">
        <w:rPr>
          <w:rFonts w:ascii="Arial" w:hAnsi="Arial" w:cs="Arial"/>
          <w:color w:val="000000"/>
        </w:rPr>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Psychology","id":"ITEM-2","issue":"2","issued":{"date-parts":[["2006"]]},"note":"Highlights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psychology","type":"article-journal","volume":"3"},"uris":["http://www.mendeley.com/documents/?uuid=d79a4bb1-1383-4be0-9dfb-77bad2f80283"]},{"id":"ITEM-3","itemData":{"DOI":"10.1057/ejis.2011.51","ISSN":"14769344","abstract":"This paper offers guidance to conducting a rigorous literature review. We present this in the form of a five-stage process in which we use Grounded Theory as a method. We first probe the guidelines explicated by Webster and Watson, and then we show the added value of Grounded Theory for rigorously analyzing a carefully chosen set of studies; it assures solidly legitimized, in-depth analyses of empirical facts and related insights. This includes, the emergence of new themes, issues and opportunities; interrelationships and dependencies in or beyond a particular area; as well as inconsistencies. If carried out meticulously, reviewing a well-carved out piece of literature by following this guide is likely to lead to more integrated and fruitful theory emergence, something that would enrich many fields in the social sciences. © 2013 Operational Research Society Ltd. All rights reserved.","author":[{"dropping-particle":"","family":"Wolfswinkel","given":"Joost F.","non-dropping-particle":"","parse-names":false,"suffix":""},{"dropping-particle":"","family":"Furtmueller","given":"Elfi","non-dropping-particle":"","parse-names":false,"suffix":""},{"dropping-particle":"","family":"Wilderom","given":"Celeste P.M.","non-dropping-particle":"","parse-names":false,"suffix":""}],"container-title":"European Journal of Information Systems","id":"ITEM-3","issue":"1","issued":{"date-parts":[["2013"]]},"page":"45-55","publisher":"Nature Publishing Group","title":"Using grounded theory as a method for rigorously reviewing literature","type":"article-journal","volume":"22"},"uris":["http://www.mendeley.com/documents/?uuid=8640c09c-58a5-48d4-b868-716ecdb2c17f"]}],"mendeley":{"formattedCitation":"(Braun and Clarke, 2006, 2019; Wolfswinkel, Furtmueller and Wilderom, 2013)","plainTextFormattedCitation":"(Braun and Clarke, 2006, 2019; Wolfswinkel, Furtmueller and Wilderom, 2013)","previouslyFormattedCitation":"(Braun and Clarke, 2006, 2019; Wolfswinkel, Furtmueller and Wilderom, 2013)"},"properties":{"noteIndex":0},"schema":"https://github.com/citation-style-language/schema/raw/master/csl-citation.json"}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(Braun and Clarke, 2006, 2019; Wolfswinkel, Furtmueller and Wilderom, 2013)</w:t>
      </w:r>
      <w:r w:rsidRPr="00B51DDE">
        <w:rPr>
          <w:rFonts w:ascii="Arial" w:hAnsi="Arial" w:cs="Arial"/>
          <w:color w:val="000000"/>
        </w:rPr>
        <w:fldChar w:fldCharType="end"/>
      </w:r>
      <w:r w:rsidRPr="00B51DDE">
        <w:rPr>
          <w:rFonts w:ascii="Arial" w:hAnsi="Arial" w:cs="Arial"/>
          <w:color w:val="000000"/>
        </w:rPr>
        <w:t>.</w:t>
      </w:r>
    </w:p>
    <w:p w14:paraId="34A66225" w14:textId="34F39869" w:rsidR="004A5EA8" w:rsidRPr="00B51DDE" w:rsidRDefault="006E49AD" w:rsidP="00AE2080">
      <w:pPr>
        <w:pStyle w:val="NormalWeb"/>
        <w:spacing w:line="360" w:lineRule="auto"/>
        <w:jc w:val="both"/>
        <w:rPr>
          <w:rFonts w:ascii="Arial" w:hAnsi="Arial" w:cs="Arial"/>
        </w:rPr>
      </w:pPr>
      <w:r w:rsidRPr="00B51DDE">
        <w:rPr>
          <w:rFonts w:ascii="Arial" w:hAnsi="Arial" w:cs="Arial"/>
          <w:color w:val="000000"/>
        </w:rPr>
        <w:t xml:space="preserve">The review is tied to prerequisites from the belt training process and expert suggestions regarding </w:t>
      </w:r>
      <w:r w:rsidR="00362F21" w:rsidRPr="00B51DDE">
        <w:rPr>
          <w:rFonts w:ascii="Arial" w:hAnsi="Arial" w:cs="Arial"/>
          <w:color w:val="000000"/>
        </w:rPr>
        <w:t xml:space="preserve">the </w:t>
      </w:r>
      <w:r w:rsidRPr="00B51DDE">
        <w:rPr>
          <w:rFonts w:ascii="Arial" w:hAnsi="Arial" w:cs="Arial"/>
          <w:color w:val="000000"/>
        </w:rPr>
        <w:t>knowledge a teacher requires for individualising belt training. The first section covers themes regarding s</w:t>
      </w:r>
      <w:r w:rsidRPr="00B51DDE">
        <w:rPr>
          <w:rFonts w:ascii="Arial" w:hAnsi="Arial" w:cs="Arial"/>
        </w:rPr>
        <w:t xml:space="preserve">tudent associations with being loud, familiarisation with twang and belt sounds and physiological descriptions of twang and belting. </w:t>
      </w:r>
      <w:r w:rsidR="00E55E3F" w:rsidRPr="00B51DDE">
        <w:rPr>
          <w:rFonts w:ascii="Arial" w:hAnsi="Arial" w:cs="Arial"/>
        </w:rPr>
        <w:t>The following section covers o</w:t>
      </w:r>
      <w:r w:rsidR="009558C9" w:rsidRPr="00B51DDE">
        <w:rPr>
          <w:rFonts w:ascii="Arial" w:hAnsi="Arial" w:cs="Arial"/>
        </w:rPr>
        <w:t>ther</w:t>
      </w:r>
      <w:r w:rsidRPr="00B51DDE">
        <w:rPr>
          <w:rFonts w:ascii="Arial" w:hAnsi="Arial" w:cs="Arial"/>
        </w:rPr>
        <w:t xml:space="preserve"> themes suggested by the experts</w:t>
      </w:r>
      <w:r w:rsidR="00E55E3F" w:rsidRPr="00B51DDE">
        <w:rPr>
          <w:rFonts w:ascii="Arial" w:hAnsi="Arial" w:cs="Arial"/>
        </w:rPr>
        <w:t xml:space="preserve">: </w:t>
      </w:r>
      <w:r w:rsidRPr="00B51DDE">
        <w:rPr>
          <w:rFonts w:ascii="Arial" w:hAnsi="Arial" w:cs="Arial"/>
        </w:rPr>
        <w:t xml:space="preserve">good teaching practice vocal mimicry, audiation, and MLT. </w:t>
      </w:r>
      <w:r w:rsidR="00EF27D3" w:rsidRPr="00B51DDE">
        <w:rPr>
          <w:rFonts w:ascii="Arial" w:hAnsi="Arial" w:cs="Arial"/>
        </w:rPr>
        <w:t>The next section discusses the themes of</w:t>
      </w:r>
      <w:r w:rsidRPr="00B51DDE">
        <w:rPr>
          <w:rFonts w:ascii="Arial" w:hAnsi="Arial" w:cs="Arial"/>
        </w:rPr>
        <w:t xml:space="preserve"> vocal acoustics, </w:t>
      </w:r>
      <w:r w:rsidR="002A5E00" w:rsidRPr="00B51DDE">
        <w:rPr>
          <w:rFonts w:ascii="Arial" w:hAnsi="Arial" w:cs="Arial"/>
        </w:rPr>
        <w:t>subglo</w:t>
      </w:r>
      <w:r w:rsidRPr="00B51DDE">
        <w:rPr>
          <w:rFonts w:ascii="Arial" w:hAnsi="Arial" w:cs="Arial"/>
        </w:rPr>
        <w:t xml:space="preserve">ttal air pressure, and </w:t>
      </w:r>
      <w:r w:rsidR="009F136E" w:rsidRPr="00B51DDE">
        <w:rPr>
          <w:rFonts w:ascii="Arial" w:hAnsi="Arial" w:cs="Arial"/>
        </w:rPr>
        <w:t xml:space="preserve">the </w:t>
      </w:r>
      <w:r w:rsidRPr="00B51DDE">
        <w:rPr>
          <w:rFonts w:ascii="Arial" w:hAnsi="Arial" w:cs="Arial"/>
        </w:rPr>
        <w:t xml:space="preserve">vocal folds </w:t>
      </w:r>
      <w:r w:rsidR="00EF27D3" w:rsidRPr="00B51DDE">
        <w:rPr>
          <w:rFonts w:ascii="Arial" w:hAnsi="Arial" w:cs="Arial"/>
        </w:rPr>
        <w:t>which</w:t>
      </w:r>
      <w:r w:rsidRPr="00B51DDE">
        <w:rPr>
          <w:rFonts w:ascii="Arial" w:hAnsi="Arial" w:cs="Arial"/>
        </w:rPr>
        <w:t xml:space="preserve"> lead</w:t>
      </w:r>
      <w:r w:rsidR="00EF27D3" w:rsidRPr="00B51DDE">
        <w:rPr>
          <w:rFonts w:ascii="Arial" w:hAnsi="Arial" w:cs="Arial"/>
        </w:rPr>
        <w:t>s</w:t>
      </w:r>
      <w:r w:rsidRPr="00B51DDE">
        <w:rPr>
          <w:rFonts w:ascii="Arial" w:hAnsi="Arial" w:cs="Arial"/>
        </w:rPr>
        <w:t xml:space="preserve"> to a discussion of vocal health.</w:t>
      </w:r>
      <w:r w:rsidR="004A5EA8" w:rsidRPr="00B51DDE">
        <w:rPr>
          <w:rFonts w:ascii="Arial" w:hAnsi="Arial" w:cs="Arial"/>
        </w:rPr>
        <w:br w:type="page"/>
      </w:r>
    </w:p>
    <w:p w14:paraId="6E0FF713" w14:textId="5A181B36" w:rsidR="006E49AD" w:rsidRPr="00B51DDE" w:rsidRDefault="004324B6" w:rsidP="00AE2080">
      <w:pPr>
        <w:spacing w:line="360" w:lineRule="auto"/>
        <w:jc w:val="both"/>
        <w:rPr>
          <w:rFonts w:ascii="Arial" w:hAnsi="Arial" w:cs="Arial"/>
          <w:sz w:val="24"/>
          <w:szCs w:val="24"/>
        </w:rPr>
      </w:pPr>
      <w:r w:rsidRPr="00B51DDE">
        <w:rPr>
          <w:rFonts w:ascii="Arial" w:hAnsi="Arial" w:cs="Arial"/>
          <w:b/>
          <w:bCs/>
          <w:i/>
          <w:iCs/>
          <w:sz w:val="24"/>
          <w:szCs w:val="24"/>
        </w:rPr>
        <w:lastRenderedPageBreak/>
        <w:t>‘</w:t>
      </w:r>
      <w:r w:rsidR="006E49AD" w:rsidRPr="00B51DDE">
        <w:rPr>
          <w:rFonts w:ascii="Arial" w:hAnsi="Arial" w:cs="Arial"/>
          <w:b/>
          <w:bCs/>
          <w:i/>
          <w:iCs/>
          <w:sz w:val="24"/>
          <w:szCs w:val="24"/>
        </w:rPr>
        <w:t>Student associations with being loud</w:t>
      </w:r>
      <w:r w:rsidRPr="00B51DDE">
        <w:rPr>
          <w:rFonts w:ascii="Arial" w:hAnsi="Arial" w:cs="Arial"/>
          <w:b/>
          <w:bCs/>
          <w:i/>
          <w:iCs/>
          <w:sz w:val="24"/>
          <w:szCs w:val="24"/>
        </w:rPr>
        <w:t>’</w:t>
      </w:r>
      <w:r w:rsidR="006E49AD" w:rsidRPr="00B51DDE">
        <w:rPr>
          <w:rFonts w:ascii="Arial" w:hAnsi="Arial" w:cs="Arial"/>
          <w:sz w:val="24"/>
          <w:szCs w:val="24"/>
        </w:rPr>
        <w:t xml:space="preserve"> is the first theme which came from the expert interviews and could impact any attempts to belt. It was suggested that there are many reasons which may cause discomfort around being loud for a student. Although individual responses may vary, cultural and societal influences could impact a singer’s association with being loud, influences such as sexism, racism, and sexuality or gender-based prejudices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{"citationItems":[{"id":"ITEM-1","itemData":{"DOI":"10.1177/0255761415619392","ISSN":"1744795X","abstract":"Jazz has long been recognized as a male-dominated field, with females traditionally having only limited acceptance, often in the roles of singer and pianist. Researchers have explored sources of the gender imbalance in the field of jazz and jazz education, but there is no theory or framework to organize such findings. This directed content analysis of the journal Jazz Changes, the official magazine of the International Association of Schools of Jazz published from 1994 to 2000, analyzed published answers to the following question posited by the journal editors, \"Women in Jazz: Why aren't there more women in jazz education?\" Analysis suggests a model including three social-psychological theories to describe the female experience in jazz. The theories include Rosabeth Kanter's theory of tokenism, which describes a learning environment that females might perceive or experience in jazz; Claude Steele and Joshua Aronson's theory of stereotype threat, which offers insight into why female musicians might make a choice to not participate, or discontinue participation, in the jazz idiom; and Albert Bandura's theory of self-efficacy, which is offered as a possible guide to providing instruction in jazz that fosters female participation. These theories are offered together as a model framework for future study of both historical and present experiences in gender and jazz.","author":[{"dropping-particle":"","family":"Wehr","given":"Erin L.","non-dropping-particle":"","parse-names":false,"suffix":""}],"container-title":"International Journal of Music Education","id":"ITEM-1","issue":"4","issued":{"date-parts":[["2016"]]},"page":"472-487","title":"Understanding the experiences of women in jazz: A suggested model","type":"article-journal","volume":"34"},"uris":["http://www.mendeley.com/documents/?uuid=add8c84d-1eb5-4330-b55e-bec3d25a4f5d"]},{"id":"ITEM-2","itemData":{"DOI":"10.1353/aq.2006.0059","ISSN":"10806490","author":[{"dropping-particle":"","family":"Fouché","given":"Rayvon","non-dropping-particle":"","parse-names":false,"suffix":""}],"container-title":"American Quarterly","id":"ITEM-2","issue":"3","issued":{"date-parts":[["2006"]]},"page":"639-661","title":"Say it loud, I'm black and I'm proud: African Americans, American artifactual culture, and black vernacular technological creativity","type":"article-journal","volume":"58"},"uris":["http://www.mendeley.com/documents/?uuid=46fa631b-c63a-4018-b86f-801f935d40b0"]},{"id":"ITEM-3","itemData":{"DOI":"10.17169/fqs-10.1.1218","ISSN":"1438-5627","abstract":"STENHOUSE's (1981) differentiation between research on education and research in education contributed much to the development of practitioner research in educational settings, yet exemplars of university teachers researching their own practice are rare. Even rarer, in spite of pleas from \"international students\" for reciprocal dialogue with local academics and students to recognise the value of many different realities and knowledges (KOEHNE, 2006), are practitioners who reflect critically on the personal and professional impact of cultural diversity in higher education (BRUNNER, 2006). In this article, I critique how a narrative inquiry paradigm supported and challenged me to explore different realities and knowledges about learning and teaching in a UK higher education context in my doctoral research with postgraduate students from many different cultures. Practitioner research is, inevitably, an iterative process—research and practice are inextricably linked and continuously evolving. Thus, through the autoethnographic exploration of my own practice, my \"subject positions, social locations, interpretations, and personal experiences\" continue to be examined \"through the refracted medium of narrators' voices\" (CHASE, 2005, p.666), glimpses of which will be seen as the article unfolds.","author":[{"dropping-particle":"","family":"Trahar","given":"Sheila","non-dropping-particle":"","parse-names":false,"suffix":""}],"container-title":"Beyond the Story Itself: Narrative Inquiry and Autoethnography in Intercultural Research in Higher Education","id":"ITEM-3","issue":"1","issued":{"date-parts":[["2009"]]},"page":"20","title":"Beyond the Story Itself: Narrative Inquiry and Autoethnography in Intercultural Research in Higher Education","type":"article-journal","volume":"10"},"uris":["http://www.mendeley.com/documents/?uuid=7085802e-95f3-4281-82ae-d5ea6ce85e88"]},{"id":"ITEM-4","itemData":{"DOI":"10.5406/blacmusiresej.35.1.0097","ISSN":"02763605","author":[{"dropping-particle":"","family":"Redmond","given":"Shana L.","non-dropping-particle":"","parse-names":false,"suffix":""}],"container-title":"Black Music Research Journal","id":"ITEM-4","issue":"1","issued":{"date-parts":[["2015"]]},"page":"97-118","title":"Indivisible: The nation and its anthem in black musical performance","type":"article-journal","volume":"35"},"uris":["http://www.mendeley.com/documents/?uuid=886e846f-3bcb-4cd0-9407-c6cff32effce"]},{"id":"ITEM-5","itemData":{"DOI":"10.3102/0002831218816059","ISSN":"19351011","abstract":"Discourses of achievement often overlook the interdependence of classroom contexts, students’ identities, and academic performance. This narrative analysis explores how high-achieving students of color construct identities-in-practice in a diverse urban middle school. By documenting explicit moments in which students construct identities-in-practice such as being “loud,” which are positioned as incompatible with “being smart,” I argue that high-achieving lower income students of color are disproportionately regulated by achievement discourses that position White middle-class norms as neutral. This article documents tensions between what it takes to achieve academically and students’ raced, classed, and gendered identities in order to reframe educational equity based on a theoretical framing of identities and academic achievement as interrelated and highly contextual.","author":[{"dropping-particle":"","family":"Caraballo","given":"Limarys","non-dropping-particle":"","parse-names":false,"suffix":""}],"container-title":"American Educational Research Journal","id":"ITEM-5","issue":"4","issued":{"date-parts":[["2019"]]},"page":"1281-1317","title":"Being “Loud”: Identities-in-Practice in a Figured World of Achievement","type":"article-journal","volume":"56"},"uris":["http://www.mendeley.com/documents/?uuid=87fdf59a-92e5-4b18-8044-cb42c03c32fe"]},{"id":"ITEM-6","itemData":{"DOI":"10.1080/15299710802142259","ISSN":"15299716","abstract":"This article presents the results of a survey conducted during the 2002 Universites d'Ete Euromediterraneennes des Homosexualites (UEEH)-The Euromediterranean Summer School for Homosexualities, which took place in Marseilles. The authors sought to understand biphobia among gay men and lesbians and to encourage discussion about bisexuality, which had been practically nonexistent during the previous years' conferences. With this intention, in addition to promoting discussions about the attitudes of gay men and lesbians toward bisexuals, a one-page questionnaire titled \"Le Gueuloir Bi\" was widely circulated with the collaboration of several colleagues, Catherine Deschamps, Alexandre Clemens, Sandrine Pache (Vogay Lausanne), and Stephane Levraro (BiCause). The word gueuler is a colloquial expression for shouting and protesting. The researchers invited gay men and lesbians who were in Marseilles that year to share their thoughts about bisexuality. Their critique of biphobia also showed the researchers' own desire to feel at home in the lesbian, gay, bisexual, transgender (LGBT) community, as is the case for many bisexuals in other countries. Ninety-three persons answered the \"gueuloir\": 21 women, of whom one identified as bisexual, 69 men, of whom one identified as bisexual, two individuals who identified as transgender, and one person who identified as \"bigender.\" The smaller number of female respondents reflects their representation at the UEEH. Most of the participants were in fact spokespersons, representatives, or activists, as well as members of the associations and collectives forming the intellectual and activist elite of gay and lesbian communities. One can thus say that the reactions to the \"gueuloir\" represent significant trends in the perception of bisexuals and bisexuality in France. © The Haworth Press.","author":[{"dropping-particle":"","family":"Welzer-Lang","given":"Daniel","non-dropping-particle":"","parse-names":false,"suffix":""}],"container-title":"Journal of Bisexuality","id":"ITEM-6","issue":"1-2","issued":{"date-parts":[["2008"]]},"page":"81-95","title":"Speaking out loud about bisexuality: Biphobia in the gay and lesbian community","type":"article-journal","volume":"8"},"uris":["http://www.mendeley.com/documents/?uuid=8a3b2f18-66d4-4b78-a61a-cc16bc663f9c"]}],"mendeley":{"formattedCitation":"(Fouché, 2006; Welzer-Lang, 2008; Trahar, 2009; Redmond, 2015; Wehr, 2016; Caraballo, 2019)","plainTextFormattedCitation":"(Fouché, 2006; Welzer-Lang, 2008; Trahar, 2009; Redmond, 2015; Wehr, 2016; Caraballo, 2019)","previouslyFormattedCitation":"(Fouché, 2006; Welzer-Lang, 2008; Trahar, 2009; Redmond, 2015; Wehr, 2016; Caraballo, 2019)"},"properties":{"noteIndex":0},"schema":"https://github.com/citation-style-language/schema/raw/master/csl-citation.json"}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(Fouché, 2006; Welzer-Lang, 2008; Trahar, 2009; Redmond, 2015; Wehr, 2016; Caraballo, 2019)</w:t>
      </w:r>
      <w:r w:rsidR="006E49AD" w:rsidRPr="00B51DDE">
        <w:rPr>
          <w:rFonts w:ascii="Arial" w:hAnsi="Arial" w:cs="Arial"/>
          <w:sz w:val="24"/>
          <w:szCs w:val="24"/>
        </w:rPr>
        <w:fldChar w:fldCharType="end"/>
      </w:r>
      <w:r w:rsidR="006E49AD" w:rsidRPr="00B51DDE">
        <w:rPr>
          <w:rFonts w:ascii="Arial" w:hAnsi="Arial" w:cs="Arial"/>
          <w:sz w:val="24"/>
          <w:szCs w:val="24"/>
        </w:rPr>
        <w:t xml:space="preserve">. The effects of societal influences have been found to feed into the developing sense of self in young people which in turn can influence learning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{"citationItems":[{"id":"ITEM-1","itemData":{"DOI":"10.46743/2160-3715/2017.2963","ISSN":"21603715","abstract":"Students with vision impairment who attend mainstream secondary schools in Australia may not experience education as an inclusive and positive experience. This study of one senior secondary student with vision impairment provides a rare opportunity to give voice and provide understandings of the experience from the perspective of the student. The research question that drove this study was: What is the experience of mainstream schooling for a student with a vision impairment? The participant in this Interpretative Phenomenological Analysis study was Edward (pseudonym), a student in his final year of secondary schooling. Edward encountered significant barriers to inclusion, specifically teaching, technology, administrative inflexibility, and restricted social engagement. The participant has become resilient with a strong sense of self and has developed a range of personal strategies to address his challenges. It is evident that Edward was rarely asked about his needs and perceptions, rather decisions were made for and about him by those without a vision impairment. Educators require a clearer understanding of vision impairment and the impact that their often unintentionally exclusionary teaching practices may have on the educational experiences of their students.","author":[{"dropping-particle":"","family":"Opie","given":"Jill","non-dropping-particle":"","parse-names":false,"suffix":""},{"dropping-particle":"","family":"Southcott","given":"Jane","non-dropping-particle":"","parse-names":false,"suffix":""},{"dropping-particle":"","family":"Deppeler","given":"Joanne","non-dropping-particle":"","parse-names":false,"suffix":""}],"container-title":"Qualitative Report","id":"ITEM-1","issue":"9","issued":{"date-parts":[["2017"]]},"page":"2369-2384","title":"It helps if you are a loud person: Listening to the voice of a school student with a vision impairment","type":"article-journal","volume":"22"},"uris":["http://www.mendeley.com/documents/?uuid=adede0ed-7eea-4952-a9f0-07b0d4a67c5d"]}],"mendeley":{"formattedCitation":"(Opie, Southcott and Deppeler, 2017)","plainTextFormattedCitation":"(Opie, Southcott and Deppeler, 2017)","previouslyFormattedCitation":"(Opie, Southcott and Deppeler, 2017)"},"properties":{"noteIndex":0},"schema":"https://github.com/citation-style-language/schema/raw/master/csl-citation.json"}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(Opie, Southcott and Deppeler, 2017)</w:t>
      </w:r>
      <w:r w:rsidR="006E49AD" w:rsidRPr="00B51DDE">
        <w:rPr>
          <w:rFonts w:ascii="Arial" w:hAnsi="Arial" w:cs="Arial"/>
          <w:sz w:val="24"/>
          <w:szCs w:val="24"/>
        </w:rPr>
        <w:fldChar w:fldCharType="end"/>
      </w:r>
      <w:r w:rsidR="006E49AD" w:rsidRPr="00B51DDE">
        <w:rPr>
          <w:rFonts w:ascii="Arial" w:hAnsi="Arial" w:cs="Arial"/>
          <w:sz w:val="24"/>
          <w:szCs w:val="24"/>
        </w:rPr>
        <w:t xml:space="preserve">. A positive learning environment can support the development of a student’s self-efficacy leading to improved attempts when learning a new skill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Teachers.","type":"article-journal","volume":"74"},"uris":["http://www.mendeley.com/documents/?uuid=4030f552-7b94-4abf-bab4-c0b97b7babca"]},{"id":"ITEM-4","itemData":{"DOI":"10.1177/1321103X20930426","ISSN":"18345530","abstract":"The purpose of this phenomenological study was to gain insight into experiences of adults who expressed personal discomfort with singing, either alone or when others might hear them. Singing agency in music learning, one’s belief in one’s own capacity to sing aloud, served as the guiding lens for the study. Narrative analysis of interview data, from 15 adults who self-identified as non-singers, provided understanding of experiences that they believed undermined their capacity for singing agency. Four initial themes emerged as participants described wounding incidents with resultant perceptions of deficit, disability, and shame; personal strategies to enhance or protect singing agency; perceived obstacles to singing agency; and personal definitions of good singing. Findings describe vocal skill development through emotional differentiation, linking singing agency with principles that underlie a social constructivist approach to music learning and teaching and a Universal Design for Learning.","author":[{"dropping-particle":"","family":"Hogle","given":"Lauri A.","non-dropping-particle":"","parse-names":false,"suffix":""}],"container-title":"Research Studies in Music Education","id":"ITEM-4","issue":"2","issued":{"date-parts":[["2021"]]},"page":"179-194","title":"Fostering singing agency through emotional differentiation in an inclusive singing environment","type":"article-journal","volume":"43"},"uris":["http://www.mendeley.com/documents/?uuid=df4ddb6b-d417-411f-9261-d87aba0aa367"]}],"mendeley":{"formattedCitation":"(Creech and Hallam, 2015; Stephenson, 2018; Hogle, 2021; Lewis and Hendricks, 2022)","plainTextFormattedCitation":"(Creech and Hallam, 2015; Stephenson, 2018; Hogle, 2021; Lewis and Hendricks, 2022)","previouslyFormattedCitation":"(Creech and Hallam, 2015; Stephenson, 2018; Hogle, 2021; Lewis and Hendricks, 2022)"},"properties":{"noteIndex":0},"schema":"https://github.com/citation-style-language/schema/raw/master/csl-citation.json"}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(Creech and Hallam, 2015; Stephenson, 2018; Hogle, 2021; Lewis and Hendricks, 2022)</w:t>
      </w:r>
      <w:r w:rsidR="006E49AD" w:rsidRPr="00B51DDE">
        <w:rPr>
          <w:rFonts w:ascii="Arial" w:hAnsi="Arial" w:cs="Arial"/>
          <w:sz w:val="24"/>
          <w:szCs w:val="24"/>
        </w:rPr>
        <w:fldChar w:fldCharType="end"/>
      </w:r>
      <w:r w:rsidR="006E49AD" w:rsidRPr="00B51DDE">
        <w:rPr>
          <w:rFonts w:ascii="Arial" w:hAnsi="Arial" w:cs="Arial"/>
          <w:sz w:val="24"/>
          <w:szCs w:val="24"/>
        </w:rPr>
        <w:t>. It is possible that increase</w:t>
      </w:r>
      <w:r w:rsidR="00B96352" w:rsidRPr="00B51DDE">
        <w:rPr>
          <w:rFonts w:ascii="Arial" w:hAnsi="Arial" w:cs="Arial"/>
          <w:sz w:val="24"/>
          <w:szCs w:val="24"/>
        </w:rPr>
        <w:t xml:space="preserve">d </w:t>
      </w:r>
      <w:r w:rsidR="006E49AD" w:rsidRPr="00B51DDE">
        <w:rPr>
          <w:rFonts w:ascii="Arial" w:hAnsi="Arial" w:cs="Arial"/>
          <w:sz w:val="24"/>
          <w:szCs w:val="24"/>
        </w:rPr>
        <w:t xml:space="preserve">awareness of voice disorders could lead to fears of loud singing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Pracy","id":"ITEM-1","issue":"1","issued":{"date-parts":[["2022"]]},"note":"Key:\nOpera/Classical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Aspects","type":"article-journal","volume":"73"},"uris":["http://www.mendeley.com/documents/?uuid=ff0659a5-b881-41e5-a677-f36a5bae306a"]}],"mendeley":{"formattedCitation":"(Morawska, Niebudek-Bogusz and Pietruszewska, 2022)","plainTextFormattedCitation":"(Morawska, Niebudek-Bogusz and Pietruszewska, 2022)","previouslyFormattedCitation":"(Morawska, Niebudek-Bogusz and Pietruszewska, 2022)"},"properties":{"noteIndex":0},"schema":"https://github.com/citation-style-language/schema/raw/master/csl-citation.json"}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(Morawska, Niebudek-Bogusz and Pietruszewska, 2022)</w:t>
      </w:r>
      <w:r w:rsidR="006E49AD" w:rsidRPr="00B51DDE">
        <w:rPr>
          <w:rFonts w:ascii="Arial" w:hAnsi="Arial" w:cs="Arial"/>
          <w:sz w:val="24"/>
          <w:szCs w:val="24"/>
        </w:rPr>
        <w:fldChar w:fldCharType="end"/>
      </w:r>
      <w:r w:rsidR="006E49AD" w:rsidRPr="00B51DDE">
        <w:rPr>
          <w:rFonts w:ascii="Arial" w:hAnsi="Arial" w:cs="Arial"/>
          <w:sz w:val="24"/>
          <w:szCs w:val="24"/>
        </w:rPr>
        <w:t xml:space="preserve">. Following the </w:t>
      </w:r>
      <w:r w:rsidR="002A5E00" w:rsidRPr="00B51DDE">
        <w:rPr>
          <w:rFonts w:ascii="Arial" w:hAnsi="Arial" w:cs="Arial"/>
          <w:sz w:val="24"/>
          <w:szCs w:val="24"/>
        </w:rPr>
        <w:t>EBVP</w:t>
      </w:r>
      <w:r w:rsidR="006E49AD" w:rsidRPr="00B51DDE">
        <w:rPr>
          <w:rFonts w:ascii="Arial" w:hAnsi="Arial" w:cs="Arial"/>
          <w:sz w:val="24"/>
          <w:szCs w:val="24"/>
        </w:rPr>
        <w:t xml:space="preserve"> ethos has the potential to empower teachers with knowledge, including </w:t>
      </w:r>
      <w:r w:rsidR="006E49AD" w:rsidRPr="00B51DDE">
        <w:rPr>
          <w:rFonts w:ascii="Arial" w:hAnsi="Arial" w:cs="Arial"/>
          <w:b/>
          <w:bCs/>
          <w:i/>
          <w:iCs/>
          <w:sz w:val="24"/>
          <w:szCs w:val="24"/>
        </w:rPr>
        <w:t>vocal health</w:t>
      </w:r>
      <w:r w:rsidR="006E49AD" w:rsidRPr="00B51DDE">
        <w:rPr>
          <w:rFonts w:ascii="Arial" w:hAnsi="Arial" w:cs="Arial"/>
          <w:sz w:val="24"/>
          <w:szCs w:val="24"/>
        </w:rPr>
        <w:t xml:space="preserve">, which can guide a student to their goals </w:t>
      </w:r>
      <w:r w:rsidR="006E49AD" w:rsidRPr="00B51DDE">
        <w:rPr>
          <w:rFonts w:ascii="Arial" w:hAnsi="Arial" w:cs="Arial"/>
          <w:sz w:val="24"/>
          <w:szCs w:val="24"/>
        </w:rPr>
        <w:fldChar w:fldCharType="begin" w:fldLock="1"/>
      </w:r>
      <w:r w:rsidR="006E49AD" w:rsidRPr="00B51DDE">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VOICE","type":"article-journal","volume":"77"},"uris":["http://www.mendeley.com/documents/?uuid=ddb037f3-69bf-41ee-8534-060fb40556f4"]}],"mendeley":{"formattedCitation":"(Ragan and Maxfield, 2021)","plainTextFormattedCitation":"(Ragan and Maxfield, 2021)","previouslyFormattedCitation":"(Ragan and Maxfield, 2021)"},"properties":{"noteIndex":0},"schema":"https://github.com/citation-style-language/schema/raw/master/csl-citation.json"}</w:instrText>
      </w:r>
      <w:r w:rsidR="006E49AD" w:rsidRPr="00B51DDE">
        <w:rPr>
          <w:rFonts w:ascii="Arial" w:hAnsi="Arial" w:cs="Arial"/>
          <w:sz w:val="24"/>
          <w:szCs w:val="24"/>
        </w:rPr>
        <w:fldChar w:fldCharType="separate"/>
      </w:r>
      <w:r w:rsidR="006E49AD" w:rsidRPr="00B51DDE">
        <w:rPr>
          <w:rFonts w:ascii="Arial" w:hAnsi="Arial" w:cs="Arial"/>
          <w:noProof/>
          <w:sz w:val="24"/>
          <w:szCs w:val="24"/>
        </w:rPr>
        <w:t>(Ragan and Maxfield, 2021)</w:t>
      </w:r>
      <w:r w:rsidR="006E49AD" w:rsidRPr="00B51DDE">
        <w:rPr>
          <w:rFonts w:ascii="Arial" w:hAnsi="Arial" w:cs="Arial"/>
          <w:sz w:val="24"/>
          <w:szCs w:val="24"/>
        </w:rPr>
        <w:fldChar w:fldCharType="end"/>
      </w:r>
      <w:r w:rsidR="006E49AD" w:rsidRPr="00B51DDE">
        <w:rPr>
          <w:rFonts w:ascii="Arial" w:hAnsi="Arial" w:cs="Arial"/>
          <w:sz w:val="24"/>
          <w:szCs w:val="24"/>
        </w:rPr>
        <w:t>.</w:t>
      </w:r>
    </w:p>
    <w:p w14:paraId="75867CFD" w14:textId="6988D994" w:rsidR="00FF3D74"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The theme of </w:t>
      </w:r>
      <w:r w:rsidRPr="00B51DDE">
        <w:rPr>
          <w:rFonts w:ascii="Arial" w:hAnsi="Arial" w:cs="Arial"/>
          <w:b/>
          <w:bCs/>
          <w:i/>
          <w:iCs/>
          <w:sz w:val="24"/>
          <w:szCs w:val="24"/>
        </w:rPr>
        <w:t>body activation</w:t>
      </w:r>
      <w:r w:rsidRPr="00B51DDE">
        <w:rPr>
          <w:rFonts w:ascii="Arial" w:hAnsi="Arial" w:cs="Arial"/>
          <w:sz w:val="24"/>
          <w:szCs w:val="24"/>
        </w:rPr>
        <w:t xml:space="preserve"> came from the expert interviews as supporting the development of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(1, 2023)</w:t>
      </w:r>
      <w:r w:rsidRPr="00B51DDE">
        <w:rPr>
          <w:rFonts w:ascii="Arial" w:hAnsi="Arial" w:cs="Arial"/>
          <w:sz w:val="24"/>
          <w:szCs w:val="24"/>
        </w:rPr>
        <w:fldChar w:fldCharType="end"/>
      </w:r>
      <w:r w:rsidRPr="00B51DDE">
        <w:rPr>
          <w:rFonts w:ascii="Arial" w:hAnsi="Arial" w:cs="Arial"/>
          <w:sz w:val="24"/>
          <w:szCs w:val="24"/>
        </w:rPr>
        <w:t xml:space="preserve">. It has been found that physical exercise can positively impact voice production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{"citationItems":[{"id":"ITEM-1","itemData":{"DOI":"10.1016/j.jvoice.2015.08.011","ISSN":"18734588","PMID":"26381083","abstract":"Objectives This study was designed to determine the impact of aerobic exercise on vocal warm-up. Study design This is a cohort experimental study. Methods Sixteen graduate and six undergraduate students in an academic vocal performance program participated. They completed a 30-minute treadmill workout in their target aerobic heart range. Aerodynamic data during singing were acquired before and after the treadmill workout. In full voice, participants sang the first seven notes of the Star Spangled Banner on “pah,” repeating the seventh note seven times, at 1.5 syllables/s after an inhalation. The key was determined by voice type, with the target note within the range of passaggio for men, and in head voice for women. Results Paired t tests were performed on the data from 17 singers who maintained or increased sound pressure level (SPL) after exercise. Significant pre- to post-exercise increases were found for mean SPL and mean airflow during voicing, although increased estimated subglottal pressure approached significance. These measures were essentially unchanged in individuals who decreased SPL after exercise. There was no significant difference in vocal efficiency after the aerobic exercise, primarily due to large standard deviations within the pre- and post-exercise conditions. Conclusions Most participants demonstrated favorable aerodynamic changes during singing after aerobic exercise. It is possible that in certain situations, a general aerobic warm-up could set the stage for a less-demanding vocal-specific warm-up, especially for a high voice performing early in the morning.","author":[{"dropping-particle":"","family":"McHenry","given":"Monica","non-dropping-particle":"","parse-names":false,"suffix":""},{"dropping-particle":"","family":"Evans","given":"Joseph","non-dropping-particle":"","parse-names":false,"suffix":""}],"container-title":"Journal of Voice","id":"ITEM-1","issue":"6","issued":{"date-parts":[["2016"]]},"page":"693-697","publisher":"Elsevier Ltd","title":"Aerobic Exercise as a Warm-Up for Singing: Aerodynamic Changes","type":"article-journal","volume":"30"},"uris":["http://www.mendeley.com/documents/?uuid=02b6cbbe-f72c-485f-8f6a-b129f2bf9b8f"]}],"mendeley":{"formattedCitation":"(McHenry and Evans, 2016)","plainTextFormattedCitation":"(McHenry and Evans, 2016)","previouslyFormattedCitation":"(McHenry and Evans,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(McHenry and Evans, 2016)</w:t>
      </w:r>
      <w:r w:rsidRPr="00B51DDE">
        <w:rPr>
          <w:rFonts w:ascii="Arial" w:hAnsi="Arial" w:cs="Arial"/>
          <w:sz w:val="24"/>
          <w:szCs w:val="24"/>
        </w:rPr>
        <w:fldChar w:fldCharType="end"/>
      </w:r>
      <w:r w:rsidRPr="00B51DDE">
        <w:rPr>
          <w:rFonts w:ascii="Arial" w:hAnsi="Arial" w:cs="Arial"/>
          <w:sz w:val="24"/>
          <w:szCs w:val="24"/>
        </w:rPr>
        <w:t xml:space="preserve">. The study by </w:t>
      </w:r>
      <w:r w:rsidRPr="00B51DDE">
        <w:rPr>
          <w:rFonts w:ascii="Arial" w:hAnsi="Arial" w:cs="Arial"/>
          <w:noProof/>
          <w:sz w:val="24"/>
          <w:szCs w:val="24"/>
        </w:rPr>
        <w:t>McHenry and Evans</w:t>
      </w:r>
      <w:r w:rsidRPr="00B51DDE">
        <w:rPr>
          <w:rFonts w:ascii="Arial" w:hAnsi="Arial" w:cs="Arial"/>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{"citationItems":[{"id":"ITEM-1","itemData":{"DOI":"10.1016/j.jvoice.2015.08.011","ISSN":"18734588","PMID":"26381083","abstract":"Objectives This study was designed to determine the impact of aerobic exercise on vocal warm-up. Study design This is a cohort experimental study. Methods Sixteen graduate and six undergraduate students in an academic vocal performance program participated. They completed a 30-minute treadmill workout in their target aerobic heart range. Aerodynamic data during singing were acquired before and after the treadmill workout. In full voice, participants sang the first seven notes of the Star Spangled Banner on “pah,” repeating the seventh note seven times, at 1.5 syllables/s after an inhalation. The key was determined by voice type, with the target note within the range of passaggio for men, and in head voice for women. Results Paired t tests were performed on the data from 17 singers who maintained or increased sound pressure level (SPL) after exercise. Significant pre- to post-exercise increases were found for mean SPL and mean airflow during voicing, although increased estimated subglottal pressure approached significance. These measures were essentially unchanged in individuals who decreased SPL after exercise. There was no significant difference in vocal efficiency after the aerobic exercise, primarily due to large standard deviations within the pre- and post-exercise conditions. Conclusions Most participants demonstrated favorable aerodynamic changes during singing after aerobic exercise. It is possible that in certain situations, a general aerobic warm-up could set the stage for a less-demanding vocal-specific warm-up, especially for a high voice performing early in the morning.","author":[{"dropping-particle":"","family":"McHenry","given":"Monica","non-dropping-particle":"","parse-names":false,"suffix":""},{"dropping-particle":"","family":"Evans","given":"Joseph","non-dropping-particle":"","parse-names":false,"suffix":""}],"container-title":"Journal of Voice","id":"ITEM-1","issue":"6","issued":{"date-parts":[["2016"]]},"page":"693-697","publisher":"Elsevier Ltd","title":"Aerobic Exercise as a Warm-Up for Singing: Aerodynamic Changes","type":"article-journal","volume":"30"},"uris":["http://www.mendeley.com/documents/?uuid=02b6cbbe-f72c-485f-8f6a-b129f2bf9b8f"]}],"mendeley":{"formattedCitation":"(McHenry and Evans, 2016)","manualFormatting":"(2016)","plainTextFormattedCitation":"(McHenry and Evans, 2016)","previouslyFormattedCitation":"(McHenry and Evans,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(2016)</w:t>
      </w:r>
      <w:r w:rsidRPr="00B51DDE">
        <w:rPr>
          <w:rFonts w:ascii="Arial" w:hAnsi="Arial" w:cs="Arial"/>
          <w:sz w:val="24"/>
          <w:szCs w:val="24"/>
        </w:rPr>
        <w:fldChar w:fldCharType="end"/>
      </w:r>
      <w:r w:rsidRPr="00B51DDE">
        <w:rPr>
          <w:rFonts w:ascii="Arial" w:hAnsi="Arial" w:cs="Arial"/>
          <w:sz w:val="24"/>
          <w:szCs w:val="24"/>
        </w:rPr>
        <w:t xml:space="preserve"> showed that, without a vocal warmup, physical exercise improved estimated subglottal pressure, airflow, and vocal efficiency, aspects of technique which could have positive impacts on </w:t>
      </w:r>
      <w:r w:rsidR="006341F3" w:rsidRPr="00B51DDE">
        <w:rPr>
          <w:rFonts w:ascii="Arial" w:hAnsi="Arial" w:cs="Arial"/>
          <w:sz w:val="24"/>
          <w:szCs w:val="24"/>
        </w:rPr>
        <w:t>‘</w:t>
      </w:r>
      <w:r w:rsidR="006341F3" w:rsidRPr="00B51DDE">
        <w:rPr>
          <w:rFonts w:ascii="Arial" w:hAnsi="Arial" w:cs="Arial"/>
          <w:i/>
          <w:iCs/>
          <w:sz w:val="24"/>
          <w:szCs w:val="24"/>
        </w:rPr>
        <w:t>greater effort levels’</w:t>
      </w:r>
      <w:r w:rsidR="006341F3" w:rsidRPr="00B51DDE">
        <w:rPr>
          <w:rFonts w:ascii="Arial" w:hAnsi="Arial" w:cs="Arial"/>
          <w:sz w:val="24"/>
          <w:szCs w:val="24"/>
        </w:rPr>
        <w:t xml:space="preserve"> </w:t>
      </w:r>
      <w:r w:rsidRPr="00B51DDE">
        <w:rPr>
          <w:rFonts w:ascii="Arial" w:hAnsi="Arial" w:cs="Arial"/>
          <w:sz w:val="24"/>
          <w:szCs w:val="24"/>
        </w:rPr>
        <w:t>belting</w:t>
      </w:r>
      <w:r w:rsidR="006341F3" w:rsidRPr="00B51DDE">
        <w:rPr>
          <w:rFonts w:ascii="Arial" w:hAnsi="Arial" w:cs="Arial"/>
          <w:sz w:val="24"/>
          <w:szCs w:val="24"/>
        </w:rPr>
        <w:t xml:space="preserve"> requires </w:t>
      </w:r>
      <w:r w:rsidR="006341F3" w:rsidRPr="00B51DDE">
        <w:rPr>
          <w:rFonts w:ascii="Arial" w:hAnsi="Arial" w:cs="Arial"/>
          <w:sz w:val="24"/>
          <w:szCs w:val="24"/>
        </w:rPr>
        <w:fldChar w:fldCharType="begin" w:fldLock="1"/>
      </w:r>
      <w:r w:rsidR="003469CB" w:rsidRPr="00B51DDE">
        <w:rPr>
          <w:rFonts w:ascii="Arial" w:hAnsi="Arial" w:cs="Arial"/>
          <w:sz w:val="24"/>
          <w:szCs w:val="24"/>
        </w:rPr>
        <w:instrText>ADDIN CSL_CITATION {"citationItems":[{"id":"ITEM-1","itemData":{"DOI":"10.1016/j.jvoice.2015.03.008","ISSN":"18734588","PMID":"25882989","abstract":"Objectives/Hypothesis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Voice","id":"ITEM-1","issue":"1","issued":{"date-parts":[["2016"]]},"page":"128.e1-128.e12","publisher":"Elsevier Ltd","title":"Vocal Qualities in Music Theater Voice: Perceptions of Expert Pedagogues","type":"article-journal","volume":"30"},"uris":["http://www.mendeley.com/documents/?uuid=4706de4e-157f-47ca-96aa-d6b4c276968b"]}],"mendeley":{"formattedCitation":"(Bourne and Kenny, 2016)","plainTextFormattedCitation":"(Bourne and Kenny, 2016)","previouslyFormattedCitation":"(Bourne and Kenny, 2016)"},"properties":{"noteIndex":0},"schema":"https://github.com/citation-style-language/schema/raw/master/csl-citation.json"}</w:instrText>
      </w:r>
      <w:r w:rsidR="006341F3" w:rsidRPr="00B51DDE">
        <w:rPr>
          <w:rFonts w:ascii="Arial" w:hAnsi="Arial" w:cs="Arial"/>
          <w:sz w:val="24"/>
          <w:szCs w:val="24"/>
        </w:rPr>
        <w:fldChar w:fldCharType="separate"/>
      </w:r>
      <w:r w:rsidR="006341F3" w:rsidRPr="00B51DDE">
        <w:rPr>
          <w:rFonts w:ascii="Arial" w:hAnsi="Arial" w:cs="Arial"/>
          <w:noProof/>
          <w:sz w:val="24"/>
          <w:szCs w:val="24"/>
        </w:rPr>
        <w:t>(Bourne and Kenny, 2016)</w:t>
      </w:r>
      <w:r w:rsidR="006341F3" w:rsidRPr="00B51DDE">
        <w:rPr>
          <w:rFonts w:ascii="Arial" w:hAnsi="Arial" w:cs="Arial"/>
          <w:sz w:val="24"/>
          <w:szCs w:val="24"/>
        </w:rPr>
        <w:fldChar w:fldCharType="end"/>
      </w:r>
      <w:r w:rsidRPr="00B51DDE">
        <w:rPr>
          <w:rFonts w:ascii="Arial" w:hAnsi="Arial" w:cs="Arial"/>
          <w:sz w:val="24"/>
          <w:szCs w:val="24"/>
        </w:rPr>
        <w:t xml:space="preserve">. That study excluded participants who were fatigued from the exercise and acknowledged further questions around the application of exercise before singing. Physical therapy, stress management, and exercise are used for remedial benefits to the voice, such as Muscle Tension Dysphonia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{"citationItems":[{"id":"ITEM-1","itemData":{"DOI":"10.2522/ptj.20130547","ISSN":"15386724","PMID":"25256740","abstract":"Background and Purpose. Muscle tension dysphonia (MTD), a common voice disorder that is not commonly referred for physical therapy intervention, is characterized by excessive muscle recruitment, resulting in incorrect vibratory patterns of vocal folds and an alteration in voice production. This case series was conducted to determine whether physical therapy including manual therapy, exercise, and stress management education would be beneficial to this population by reducing excess muscle tension.\nCase Description. Nine patients with MTD completed a minimum of 9 sessions of the intervention. Patient-reported outcomes of pain, function, and quality of life were assessed at baseline and the conclusion of treatment. The outcome measures were the numeric rating scale (NRS), Patient-Specific Functional Scale (PSFS), and Voice Handicap Index (VHI). Cervical and jaw range of motion also were assessed at baseline and postintervention using standard goniometric measurements.\nOutcomes. Eight of the patients had no pain after treatment. All 9 of the patients demonstrated an improvement in PSFS score, with 7 patients exceeding a clinically meaningful improvement at the conclusion of the intervention. Three of the patients also had a clinically meaningful change in VHI scores. All 9 of the patients demonstrated improvement in cervical flexion and lateral flexion and jaw opening, whereas 8 patients improved in cervical extension and rotation postintervention.\nDiscussion. The findings suggest that physical therapists can feasibly implement an intervention to improve outcomes in patients with MTD. However, a randomized clinical trial is needed to confirm the results of this case series and the efficacy of the intervention. A clinical implication is the expansion of physical therapy to include referrals from voice centers for the treatment of MTD.","author":[{"dropping-particle":"","family":"Tomlinson","given":"Carey A.","non-dropping-particle":"","parse-names":false,"suffix":""},{"dropping-particle":"","family":"Archer","given":"Kristin R.","non-dropping-particle":"","parse-names":false,"suffix":""}],"container-title":"Physical Therapy","id":"ITEM-1","issue":"1","issued":{"date-parts":[["2015"]]},"page":"117-128","title":"Manual therapy and exercise to improve outcomes in patients with muscle tension dysphonia: A case series","type":"article-journal","volume":"95"},"uris":["http://www.mendeley.com/documents/?uuid=99d0f286-98b3-4344-b545-de083d6ee386"]}],"mendeley":{"formattedCitation":"(Tomlinson and Archer, 2015)","plainTextFormattedCitation":"(Tomlinson and Archer, 2015)","previouslyFormattedCitation":"(Tomlinson and Archer,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(Tomlinson and Archer, 2015)</w:t>
      </w:r>
      <w:r w:rsidRPr="00B51DDE">
        <w:rPr>
          <w:rFonts w:ascii="Arial" w:hAnsi="Arial" w:cs="Arial"/>
          <w:sz w:val="24"/>
          <w:szCs w:val="24"/>
        </w:rPr>
        <w:fldChar w:fldCharType="end"/>
      </w:r>
      <w:r w:rsidRPr="00B51DDE">
        <w:rPr>
          <w:rFonts w:ascii="Arial" w:hAnsi="Arial" w:cs="Arial"/>
          <w:sz w:val="24"/>
          <w:szCs w:val="24"/>
        </w:rPr>
        <w:t>. Appropriate use of exercise could support the voice as a preventative measure, although specific research would need to be carried out to ascertain the most beneficial use</w:t>
      </w:r>
      <w:r w:rsidR="00D15334" w:rsidRPr="00B51DDE">
        <w:rPr>
          <w:rFonts w:ascii="Arial" w:hAnsi="Arial" w:cs="Arial"/>
          <w:sz w:val="24"/>
          <w:szCs w:val="24"/>
        </w:rPr>
        <w:t>,</w:t>
      </w:r>
      <w:r w:rsidRPr="00B51DDE">
        <w:rPr>
          <w:rFonts w:ascii="Arial" w:hAnsi="Arial" w:cs="Arial"/>
          <w:sz w:val="24"/>
          <w:szCs w:val="24"/>
        </w:rPr>
        <w:t xml:space="preserve"> such as individualisation and timing before a performance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{"citationItems":[{"id":"ITEM-1","itemData":{"DOI":"10.1016/j.jvoice.2015.08.011","ISSN":"18734588","PMID":"26381083","abstract":"Objectives This study was designed to determine the impact of aerobic exercise on vocal warm-up. Study design This is a cohort experimental study. Methods Sixteen graduate and six undergraduate students in an academic vocal performance program participated. They completed a 30-minute treadmill workout in their target aerobic heart range. Aerodynamic data during singing were acquired before and after the treadmill workout. In full voice, participants sang the first seven notes of the Star Spangled Banner on “pah,” repeating the seventh note seven times, at 1.5 syllables/s after an inhalation. The key was determined by voice type, with the target note within the range of passaggio for men, and in head voice for women. Results Paired t tests were performed on the data from 17 singers who maintained or increased sound pressure level (SPL) after exercise. Significant pre- to post-exercise increases were found for mean SPL and mean airflow during voicing, although increased estimated subglottal pressure approached significance. These measures were essentially unchanged in individuals who decreased SPL after exercise. There was no significant difference in vocal efficiency after the aerobic exercise, primarily due to large standard deviations within the pre- and post-exercise conditions. Conclusions Most participants demonstrated favorable aerodynamic changes during singing after aerobic exercise. It is possible that in certain situations, a general aerobic warm-up could set the stage for a less-demanding vocal-specific warm-up, especially for a high voice performing early in the morning.","author":[{"dropping-particle":"","family":"McHenry","given":"Monica","non-dropping-particle":"","parse-names":false,"suffix":""},{"dropping-particle":"","family":"Evans","given":"Joseph","non-dropping-particle":"","parse-names":false,"suffix":""}],"container-title":"Journal of Voice","id":"ITEM-1","issue":"6","issued":{"date-parts":[["2016"]]},"page":"693-697","publisher":"Elsevier Ltd","title":"Aerobic Exercise as a Warm-Up for Singing: Aerodynamic Changes","type":"article-journal","volume":"30"},"uris":["http://www.mendeley.com/documents/?uuid=02b6cbbe-f72c-485f-8f6a-b129f2bf9b8f"]}],"mendeley":{"formattedCitation":"(McHenry and Evans, 2016)","plainTextFormattedCitation":"(McHenry and Evans, 2016)","previouslyFormattedCitation":"(McHenry and Evans,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(McHenry and Evans, 2016)</w:t>
      </w:r>
      <w:r w:rsidRPr="00B51DDE">
        <w:rPr>
          <w:rFonts w:ascii="Arial" w:hAnsi="Arial" w:cs="Arial"/>
          <w:sz w:val="24"/>
          <w:szCs w:val="24"/>
        </w:rPr>
        <w:fldChar w:fldCharType="end"/>
      </w:r>
      <w:r w:rsidRPr="00B51DDE">
        <w:rPr>
          <w:rFonts w:ascii="Arial" w:hAnsi="Arial" w:cs="Arial"/>
          <w:sz w:val="24"/>
          <w:szCs w:val="24"/>
        </w:rPr>
        <w:t>.</w:t>
      </w:r>
      <w:r w:rsidR="00FF3D74" w:rsidRPr="00B51DDE">
        <w:rPr>
          <w:rFonts w:ascii="Arial" w:hAnsi="Arial" w:cs="Arial"/>
          <w:sz w:val="24"/>
          <w:szCs w:val="24"/>
        </w:rPr>
        <w:br w:type="page"/>
      </w:r>
    </w:p>
    <w:p w14:paraId="4375D97D" w14:textId="626512A3" w:rsidR="006E49AD" w:rsidRPr="00B51DDE" w:rsidRDefault="006E49AD" w:rsidP="00AE2080">
      <w:pPr>
        <w:spacing w:line="360" w:lineRule="auto"/>
        <w:jc w:val="both"/>
        <w:rPr>
          <w:rFonts w:ascii="Arial" w:hAnsi="Arial" w:cs="Arial"/>
          <w:color w:val="000000"/>
          <w:sz w:val="24"/>
          <w:szCs w:val="24"/>
        </w:rPr>
      </w:pPr>
      <w:r w:rsidRPr="00B51DDE">
        <w:rPr>
          <w:rFonts w:ascii="Arial" w:hAnsi="Arial" w:cs="Arial"/>
          <w:color w:val="000000"/>
          <w:sz w:val="24"/>
          <w:szCs w:val="24"/>
        </w:rPr>
        <w:lastRenderedPageBreak/>
        <w:t xml:space="preserve">The experts agreed that being </w:t>
      </w:r>
      <w:r w:rsidRPr="00B51DDE">
        <w:rPr>
          <w:rFonts w:ascii="Arial" w:hAnsi="Arial" w:cs="Arial"/>
          <w:b/>
          <w:bCs/>
          <w:i/>
          <w:iCs/>
          <w:color w:val="000000"/>
          <w:sz w:val="24"/>
          <w:szCs w:val="24"/>
        </w:rPr>
        <w:t>familiar with the sounds of belting</w:t>
      </w:r>
      <w:r w:rsidRPr="00B51DDE">
        <w:rPr>
          <w:rFonts w:ascii="Arial" w:hAnsi="Arial" w:cs="Arial"/>
          <w:color w:val="000000"/>
          <w:sz w:val="24"/>
          <w:szCs w:val="24"/>
        </w:rPr>
        <w:t xml:space="preserve"> </w:t>
      </w:r>
      <w:r w:rsidRPr="00B51DDE">
        <w:rPr>
          <w:rFonts w:ascii="Arial" w:hAnsi="Arial" w:cs="Arial"/>
          <w:b/>
          <w:bCs/>
          <w:i/>
          <w:iCs/>
          <w:color w:val="000000"/>
          <w:sz w:val="24"/>
          <w:szCs w:val="24"/>
        </w:rPr>
        <w:t xml:space="preserve">and twang </w:t>
      </w:r>
      <w:r w:rsidRPr="00B51DDE">
        <w:rPr>
          <w:rFonts w:ascii="Arial" w:hAnsi="Arial" w:cs="Arial"/>
          <w:color w:val="000000"/>
          <w:sz w:val="24"/>
          <w:szCs w:val="24"/>
        </w:rPr>
        <w:t xml:space="preserve">would help belt training. The expert collaboration reinforced the need to clarify the difference between traditional belting and high belting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2014)","plainTextFormattedCitation":"(Roll, 2014)","previouslyFormattedCitation":"(Roll, 2014)"},"properties":{"noteIndex":0},"schema":"https://github.com/citation-style-language/schema/raw/master/csl-citation.json"}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(Roll, 2014)</w:t>
      </w:r>
      <w:r w:rsidRPr="00B51DDE">
        <w:rPr>
          <w:rFonts w:ascii="Arial" w:hAnsi="Arial" w:cs="Arial"/>
          <w:color w:val="000000"/>
          <w:sz w:val="24"/>
          <w:szCs w:val="24"/>
        </w:rPr>
        <w:fldChar w:fldCharType="end"/>
      </w:r>
      <w:r w:rsidRPr="00B51DDE">
        <w:rPr>
          <w:rFonts w:ascii="Arial" w:hAnsi="Arial" w:cs="Arial"/>
          <w:color w:val="000000"/>
          <w:sz w:val="24"/>
          <w:szCs w:val="24"/>
        </w:rPr>
        <w:t>. The interviews supported my growing understanding of the two forms of belting and twang. The experts discussed the importance of having good</w:t>
      </w:r>
      <w:r w:rsidR="00D90822" w:rsidRPr="00B51DDE">
        <w:rPr>
          <w:rFonts w:ascii="Arial" w:hAnsi="Arial" w:cs="Arial"/>
          <w:color w:val="000000"/>
          <w:sz w:val="24"/>
          <w:szCs w:val="24"/>
        </w:rPr>
        <w:t>-</w:t>
      </w:r>
      <w:r w:rsidRPr="00B51DDE">
        <w:rPr>
          <w:rFonts w:ascii="Arial" w:hAnsi="Arial" w:cs="Arial"/>
          <w:color w:val="000000"/>
          <w:sz w:val="24"/>
          <w:szCs w:val="24"/>
        </w:rPr>
        <w:t xml:space="preserve">quality examples for a student. Analysis of the expert interviews revealed themes implying that teachers need to be familiar with the sounds of belting and to have a comprehensive understanding </w:t>
      </w:r>
      <w:r w:rsidR="00085C22" w:rsidRPr="00B51DDE">
        <w:rPr>
          <w:rFonts w:ascii="Arial" w:hAnsi="Arial" w:cs="Arial"/>
          <w:color w:val="000000"/>
          <w:sz w:val="24"/>
          <w:szCs w:val="24"/>
        </w:rPr>
        <w:t xml:space="preserve">of </w:t>
      </w:r>
      <w:r w:rsidRPr="00B51DDE">
        <w:rPr>
          <w:rFonts w:ascii="Arial" w:hAnsi="Arial" w:cs="Arial"/>
          <w:color w:val="000000"/>
          <w:sz w:val="24"/>
          <w:szCs w:val="24"/>
        </w:rPr>
        <w:t>belting.</w:t>
      </w:r>
      <w:r w:rsidR="00EA0D32" w:rsidRPr="00B51DDE">
        <w:rPr>
          <w:rFonts w:ascii="Arial" w:hAnsi="Arial" w:cs="Arial"/>
          <w:color w:val="000000"/>
          <w:sz w:val="24"/>
          <w:szCs w:val="24"/>
        </w:rPr>
        <w:t xml:space="preserve"> </w:t>
      </w:r>
      <w:bookmarkStart w:id="13" w:name="_Hlk158994391"/>
      <w:r w:rsidRPr="00B51DDE">
        <w:rPr>
          <w:rFonts w:ascii="Arial" w:hAnsi="Arial" w:cs="Arial"/>
          <w:color w:val="000000"/>
          <w:sz w:val="24"/>
          <w:szCs w:val="24"/>
        </w:rPr>
        <w:t xml:space="preserve">Teachers must be capable of demonstrating </w:t>
      </w:r>
      <w:r w:rsidR="005E27A5" w:rsidRPr="00B51DDE">
        <w:rPr>
          <w:rFonts w:ascii="Arial" w:hAnsi="Arial" w:cs="Arial"/>
          <w:color w:val="000000"/>
          <w:sz w:val="24"/>
          <w:szCs w:val="24"/>
        </w:rPr>
        <w:t xml:space="preserve">sounds in training </w:t>
      </w:r>
      <w:r w:rsidRPr="00B51DDE">
        <w:rPr>
          <w:rFonts w:ascii="Arial" w:hAnsi="Arial" w:cs="Arial"/>
          <w:color w:val="000000"/>
          <w:sz w:val="24"/>
          <w:szCs w:val="24"/>
        </w:rPr>
        <w:t xml:space="preserve">and selecting demonstration recordings which support effective learning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Singing","id":"ITEM-1","issue":"3","issued":{"date-parts":[["2023"]]},"page":"379-385","title":"What Garcia Got Right: Understanding Cortical Signaling of the Glottis","type":"article-journal","volume":"79"},"uris":["http://www.mendeley.com/documents/?uuid=e26884ce-2081-4f89-a2b4-192525f0d364"]},{"id":"ITEM-2","itemData":{"author":[{"dropping-particle":"","family":"Moss Erickson","given":"Heidi","non-dropping-particle":"","parse-names":false,"suffix":""}],"id":"ITEM-2","issued":{"date-parts":[["2019"]]},"title":"Singing in the Brain","type":"report"},"uris":["http://www.mendeley.com/documents/?uuid=a910bf0b-29b7-45b8-b437-da0822581361"]},{"id":"ITEM-3","itemData":{"DOI":"10.1080/026404102320675648","ISSN":"02640414","PMID":"12363296","abstract":"In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demonstration","type":"article-journal","volume":"20"},"uris":["http://www.mendeley.com/documents/?uuid=dc6d014f-f07d-4894-b4f8-0c5a942cbcf9"]}],"mendeley":{"formattedCitation":"(Hodges and Franks, 2002; Moss Erickson, 2019, 2023)","plainTextFormattedCitation":"(Hodges and Franks, 2002; Moss Erickson, 2019, 2023)","previouslyFormattedCitation":"(Hodges and Franks, 2002; Moss Erickson, 2019,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(Hodges and Franks, 2002; Moss Erickson, 2019, 2023)</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w:t>
      </w:r>
      <w:bookmarkEnd w:id="13"/>
      <w:r w:rsidRPr="00B51DDE">
        <w:rPr>
          <w:rFonts w:ascii="Arial" w:hAnsi="Arial" w:cs="Arial"/>
          <w:noProof/>
          <w:sz w:val="24"/>
          <w:szCs w:val="24"/>
        </w:rPr>
        <w:t>Expert 1 highlighted the potential negative outcomes of a student learning from a low</w:t>
      </w:r>
      <w:r w:rsidR="00714FF0" w:rsidRPr="00B51DDE">
        <w:rPr>
          <w:rFonts w:ascii="Arial" w:hAnsi="Arial" w:cs="Arial"/>
          <w:noProof/>
          <w:sz w:val="24"/>
          <w:szCs w:val="24"/>
        </w:rPr>
        <w:t>-</w:t>
      </w:r>
      <w:r w:rsidRPr="00B51DDE">
        <w:rPr>
          <w:rFonts w:ascii="Arial" w:hAnsi="Arial" w:cs="Arial"/>
          <w:noProof/>
          <w:sz w:val="24"/>
          <w:szCs w:val="24"/>
        </w:rPr>
        <w:t>quality execution in</w:t>
      </w:r>
      <w:r w:rsidR="00AD1AF0" w:rsidRPr="00B51DDE">
        <w:rPr>
          <w:rFonts w:ascii="Arial" w:hAnsi="Arial" w:cs="Arial"/>
          <w:noProof/>
          <w:sz w:val="24"/>
          <w:szCs w:val="24"/>
        </w:rPr>
        <w:t xml:space="preserve"> </w:t>
      </w:r>
      <w:r w:rsidRPr="00B51DDE">
        <w:rPr>
          <w:rFonts w:ascii="Arial" w:hAnsi="Arial" w:cs="Arial"/>
          <w:noProof/>
          <w:sz w:val="24"/>
          <w:szCs w:val="24"/>
        </w:rPr>
        <w:t>recording or demonstration. Their concern was that a demo</w:t>
      </w:r>
      <w:r w:rsidR="00C4073A" w:rsidRPr="00B51DDE">
        <w:rPr>
          <w:rFonts w:ascii="Arial" w:hAnsi="Arial" w:cs="Arial"/>
          <w:noProof/>
          <w:sz w:val="24"/>
          <w:szCs w:val="24"/>
        </w:rPr>
        <w:t>n</w:t>
      </w:r>
      <w:r w:rsidRPr="00B51DDE">
        <w:rPr>
          <w:rFonts w:ascii="Arial" w:hAnsi="Arial" w:cs="Arial"/>
          <w:noProof/>
          <w:sz w:val="24"/>
          <w:szCs w:val="24"/>
        </w:rPr>
        <w:t xml:space="preserve">stration with an imbalanced coordination may cause a student to learn that imbalance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sources","type":"article"},"uris":["http://www.mendeley.com/documents/?uuid=8176b77e-de74-4a97-bd11-35252f740a16"]},{"id":"ITEM-2","itemData":{"author":[{"dropping-particle":"","family":"Moss Erickson","given":"Heidi","non-dropping-particle":"","parse-names":false,"suffix":""}],"id":"ITEM-2","issued":{"date-parts":[["2019"]]},"title":"Singing in the Brain","type":"report"},"uris":["http://www.mendeley.com/documents/?uuid=a910bf0b-29b7-45b8-b437-da0822581361"]}],"mendeley":{"formattedCitation":"(Moss Erickson, 2019; 1, 2023)","plainTextFormattedCitation":"(Moss Erickson, 2019; 1, 2023)","previouslyFormattedCitation":"(Moss Erickson, 2019; 1,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(Moss Erickson, 2019; 1, 2023)</w:t>
      </w:r>
      <w:r w:rsidRPr="00B51DDE">
        <w:rPr>
          <w:rFonts w:ascii="Arial" w:hAnsi="Arial" w:cs="Arial"/>
          <w:noProof/>
          <w:sz w:val="24"/>
          <w:szCs w:val="24"/>
        </w:rPr>
        <w:fldChar w:fldCharType="end"/>
      </w:r>
      <w:r w:rsidRPr="00B51DDE">
        <w:rPr>
          <w:rFonts w:ascii="Arial" w:hAnsi="Arial" w:cs="Arial"/>
          <w:noProof/>
          <w:sz w:val="24"/>
          <w:szCs w:val="24"/>
        </w:rPr>
        <w:t xml:space="preserve">. </w:t>
      </w:r>
      <w:bookmarkStart w:id="14" w:name="_Hlk158994419"/>
      <w:r w:rsidRPr="00B51DDE">
        <w:rPr>
          <w:rFonts w:ascii="Arial" w:hAnsi="Arial" w:cs="Arial"/>
          <w:color w:val="000000"/>
          <w:sz w:val="24"/>
          <w:szCs w:val="24"/>
        </w:rPr>
        <w:t xml:space="preserve">Guidance from a mentor would support a teacher </w:t>
      </w:r>
      <w:r w:rsidR="005D41D2" w:rsidRPr="00B51DDE">
        <w:rPr>
          <w:rFonts w:ascii="Arial" w:hAnsi="Arial" w:cs="Arial"/>
          <w:color w:val="000000"/>
          <w:sz w:val="24"/>
          <w:szCs w:val="24"/>
        </w:rPr>
        <w:t>in</w:t>
      </w:r>
      <w:r w:rsidRPr="00B51DDE">
        <w:rPr>
          <w:rFonts w:ascii="Arial" w:hAnsi="Arial" w:cs="Arial"/>
          <w:color w:val="000000"/>
          <w:sz w:val="24"/>
          <w:szCs w:val="24"/>
        </w:rPr>
        <w:t xml:space="preserve"> developing their ear to discern good examples and good attempts by students in lessons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 xml:space="preserve">(Lindqvist </w:t>
      </w:r>
      <w:r w:rsidRPr="00B51DDE">
        <w:rPr>
          <w:rFonts w:ascii="Arial" w:hAnsi="Arial" w:cs="Arial"/>
          <w:i/>
          <w:noProof/>
          <w:color w:val="000000"/>
          <w:sz w:val="24"/>
          <w:szCs w:val="24"/>
        </w:rPr>
        <w:t>et al.</w:t>
      </w:r>
      <w:r w:rsidRPr="00B51DDE">
        <w:rPr>
          <w:rFonts w:ascii="Arial" w:hAnsi="Arial" w:cs="Arial"/>
          <w:noProof/>
          <w:color w:val="000000"/>
          <w:sz w:val="24"/>
          <w:szCs w:val="24"/>
        </w:rPr>
        <w:t>, 2023)</w:t>
      </w:r>
      <w:r w:rsidRPr="00B51DDE">
        <w:rPr>
          <w:rFonts w:ascii="Arial" w:hAnsi="Arial" w:cs="Arial"/>
          <w:color w:val="000000"/>
          <w:sz w:val="24"/>
          <w:szCs w:val="24"/>
        </w:rPr>
        <w:fldChar w:fldCharType="end"/>
      </w:r>
      <w:r w:rsidRPr="00B51DDE">
        <w:rPr>
          <w:rFonts w:ascii="Arial" w:hAnsi="Arial" w:cs="Arial"/>
          <w:color w:val="000000"/>
          <w:sz w:val="24"/>
          <w:szCs w:val="24"/>
        </w:rPr>
        <w:t>. These collaborations with experienced CCM teachers could solidify a teacher</w:t>
      </w:r>
      <w:r w:rsidR="00270A7C" w:rsidRPr="00B51DDE">
        <w:rPr>
          <w:rFonts w:ascii="Arial" w:hAnsi="Arial" w:cs="Arial"/>
          <w:color w:val="000000"/>
          <w:sz w:val="24"/>
          <w:szCs w:val="24"/>
        </w:rPr>
        <w:t>’</w:t>
      </w:r>
      <w:r w:rsidRPr="00B51DDE">
        <w:rPr>
          <w:rFonts w:ascii="Arial" w:hAnsi="Arial" w:cs="Arial"/>
          <w:color w:val="000000"/>
          <w:sz w:val="24"/>
          <w:szCs w:val="24"/>
        </w:rPr>
        <w:t xml:space="preserve">s knowledge base and secure </w:t>
      </w:r>
      <w:r w:rsidR="00C03712" w:rsidRPr="00B51DDE">
        <w:rPr>
          <w:rFonts w:ascii="Arial" w:hAnsi="Arial" w:cs="Arial"/>
          <w:color w:val="000000"/>
          <w:sz w:val="24"/>
          <w:szCs w:val="24"/>
        </w:rPr>
        <w:t xml:space="preserve">the </w:t>
      </w:r>
      <w:r w:rsidRPr="00B51DDE">
        <w:rPr>
          <w:rFonts w:ascii="Arial" w:hAnsi="Arial" w:cs="Arial"/>
          <w:color w:val="000000"/>
          <w:sz w:val="24"/>
          <w:szCs w:val="24"/>
        </w:rPr>
        <w:t xml:space="preserve">effectiveness of their ability to teach belting sooner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{"citationItems":[{"id":"ITEM-1","itemData":{"DOI":"10.1016/j.system.2005.12.002","ISSN":"0346251X","abstract":"The goal of the study was to test whether student teachers trained using a peer coaching training program after teaching practicum sessions in teaching of English as a foreign language would demonstrate greater improvement on measures of a number of identified instructional skills and self-efficacy than those just receiving traditional supervisor visits. Two groups of student teachers (32 in total) from English language teaching Department of European University of Lefke, North Cyprus doing their Teaching Practicum course (EDU 420) as part of a B.A. teacher education program were compared in regard to their (a) self-efficacy, and (b) development of (clarity) instructional skills. Results showed statistically significant differences in favor of the experimental condition on 7 variables measured. The findings also have implications for how peer coaching can be a vehicle to develop self-efficacy. © 2006 Elsevier Ltd. All rights reserved.","author":[{"dropping-particle":"","family":"Goker","given":"Suleyman Davut","non-dropping-particle":"","parse-names":false,"suffix":""}],"container-title":"System","id":"ITEM-1","issue":"2","issued":{"date-parts":[["2006"]]},"page":"239-254","title":"Impact of peer coaching on self-efficacy and instructional skills in TEFL teacher education","type":"article-journal","volume":"34"},"uris":["http://www.mendeley.com/documents/?uuid=3d58296e-687a-4eda-804d-05c65210b6fb"]},{"id":"ITEM-2","itemData":{"author":[{"dropping-particle":"","family":"Warwick","given":"Paul","non-dropping-particle":"","parse-names":false,"suffix":""}],"id":"ITEM-2","issued":{"date-parts":[["2007"]]},"title":"Reflective practice: some notes on the development of the notion of professional reflection Why have I written this for the Busy Guide?","type":"article-journal"},"uris":["http://www.mendeley.com/documents/?uuid=e5a8b727-e2b0-4741-8f2e-bf841c7ea530"]}],"mendeley":{"formattedCitation":"(Goker, 2006; Warwick, 2007)","plainTextFormattedCitation":"(Goker, 2006; Warwick, 2007)","previouslyFormattedCitation":"(Goker, 2006; Warwick, 2007)"},"properties":{"noteIndex":0},"schema":"https://github.com/citation-style-language/schema/raw/master/csl-citation.json"}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(Goker, 2006; Warwick, 2007)</w:t>
      </w:r>
      <w:r w:rsidRPr="00B51DDE">
        <w:rPr>
          <w:rFonts w:ascii="Arial" w:hAnsi="Arial" w:cs="Arial"/>
          <w:color w:val="000000"/>
          <w:sz w:val="24"/>
          <w:szCs w:val="24"/>
        </w:rPr>
        <w:fldChar w:fldCharType="end"/>
      </w:r>
      <w:r w:rsidRPr="00B51DDE">
        <w:rPr>
          <w:rFonts w:ascii="Arial" w:hAnsi="Arial" w:cs="Arial"/>
          <w:color w:val="000000"/>
          <w:sz w:val="24"/>
          <w:szCs w:val="24"/>
        </w:rPr>
        <w:t>.</w:t>
      </w:r>
      <w:bookmarkEnd w:id="14"/>
    </w:p>
    <w:p w14:paraId="1B2579B0" w14:textId="0685F72F" w:rsidR="006E49AD" w:rsidRPr="00B51DDE" w:rsidRDefault="006E49AD" w:rsidP="00AE2080">
      <w:pPr>
        <w:spacing w:line="360" w:lineRule="auto"/>
        <w:jc w:val="both"/>
        <w:rPr>
          <w:rFonts w:ascii="Arial" w:hAnsi="Arial" w:cs="Arial"/>
          <w:noProof/>
          <w:sz w:val="24"/>
          <w:szCs w:val="24"/>
        </w:rPr>
      </w:pPr>
      <w:r w:rsidRPr="00B51DDE">
        <w:rPr>
          <w:rFonts w:ascii="Arial" w:hAnsi="Arial" w:cs="Arial"/>
          <w:color w:val="000000"/>
          <w:sz w:val="24"/>
          <w:szCs w:val="24"/>
        </w:rPr>
        <w:t xml:space="preserve">Expert 1 offered a </w:t>
      </w:r>
      <w:bookmarkStart w:id="15" w:name="_Hlk158994438"/>
      <w:r w:rsidRPr="00B51DDE">
        <w:rPr>
          <w:rFonts w:ascii="Arial" w:hAnsi="Arial" w:cs="Arial"/>
          <w:b/>
          <w:bCs/>
          <w:i/>
          <w:iCs/>
          <w:color w:val="000000"/>
          <w:sz w:val="24"/>
          <w:szCs w:val="24"/>
        </w:rPr>
        <w:t>physiological description of twang</w:t>
      </w:r>
      <w:bookmarkEnd w:id="15"/>
      <w:r w:rsidRPr="00B51DDE">
        <w:rPr>
          <w:rFonts w:ascii="Arial" w:hAnsi="Arial" w:cs="Arial"/>
          <w:b/>
          <w:bCs/>
          <w:i/>
          <w:iCs/>
          <w:color w:val="000000"/>
          <w:sz w:val="24"/>
          <w:szCs w:val="24"/>
        </w:rPr>
        <w:t xml:space="preserve">: </w:t>
      </w:r>
      <w:bookmarkStart w:id="16" w:name="_Hlk158994469"/>
      <w:r w:rsidRPr="00B51DDE">
        <w:rPr>
          <w:rFonts w:ascii="Arial" w:hAnsi="Arial" w:cs="Arial"/>
          <w:color w:val="000000"/>
          <w:sz w:val="24"/>
          <w:szCs w:val="24"/>
        </w:rPr>
        <w:t xml:space="preserve">retracting the false vocal folds, a higher larynx, </w:t>
      </w:r>
      <w:r w:rsidR="00B92673" w:rsidRPr="00B51DDE">
        <w:rPr>
          <w:rFonts w:ascii="Arial" w:hAnsi="Arial" w:cs="Arial"/>
          <w:color w:val="000000"/>
          <w:sz w:val="24"/>
          <w:szCs w:val="24"/>
        </w:rPr>
        <w:t xml:space="preserve">a </w:t>
      </w:r>
      <w:r w:rsidRPr="00B51DDE">
        <w:rPr>
          <w:rFonts w:ascii="Arial" w:hAnsi="Arial" w:cs="Arial"/>
          <w:color w:val="000000"/>
          <w:sz w:val="24"/>
          <w:szCs w:val="24"/>
        </w:rPr>
        <w:t xml:space="preserve">high tongue, and a narrowing of the epiglottal sphincter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sources","type":"article"},"uris":["http://www.mendeley.com/documents/?uuid=8176b77e-de74-4a97-bd11-35252f740a16"]}],"mendeley":{"formattedCitation":"(1, 2023)","plainTextFormattedCitation":"(1, 2023)","previouslyFormattedCitation":"(1,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(1, 2023)</w:t>
      </w:r>
      <w:r w:rsidRPr="00B51DDE">
        <w:rPr>
          <w:rFonts w:ascii="Arial" w:hAnsi="Arial" w:cs="Arial"/>
          <w:color w:val="000000"/>
          <w:sz w:val="24"/>
          <w:szCs w:val="24"/>
        </w:rPr>
        <w:fldChar w:fldCharType="end"/>
      </w:r>
      <w:r w:rsidRPr="00B51DDE">
        <w:rPr>
          <w:rFonts w:ascii="Arial" w:hAnsi="Arial" w:cs="Arial"/>
          <w:color w:val="000000"/>
          <w:sz w:val="24"/>
          <w:szCs w:val="24"/>
        </w:rPr>
        <w:t>.</w:t>
      </w:r>
      <w:r w:rsidR="00AD1AF0" w:rsidRPr="00B51DDE">
        <w:rPr>
          <w:rFonts w:ascii="Arial" w:hAnsi="Arial" w:cs="Arial"/>
          <w:color w:val="000000"/>
          <w:sz w:val="24"/>
          <w:szCs w:val="24"/>
        </w:rPr>
        <w:t xml:space="preserve"> </w:t>
      </w:r>
      <w:r w:rsidRPr="00B51DDE">
        <w:rPr>
          <w:rFonts w:ascii="Arial" w:hAnsi="Arial" w:cs="Arial"/>
          <w:color w:val="000000"/>
          <w:sz w:val="24"/>
          <w:szCs w:val="24"/>
        </w:rPr>
        <w:t xml:space="preserve">Expert 2 said that training twang can help a student access upper harmonics while training tongue position and the pharynx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(2, 2023)</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Research supports that </w:t>
      </w:r>
      <w:r w:rsidRPr="00B51DDE">
        <w:rPr>
          <w:rFonts w:ascii="Arial" w:hAnsi="Arial" w:cs="Arial"/>
          <w:b/>
          <w:bCs/>
          <w:i/>
          <w:iCs/>
          <w:color w:val="000000"/>
          <w:sz w:val="24"/>
          <w:szCs w:val="24"/>
        </w:rPr>
        <w:t>belting</w:t>
      </w:r>
      <w:r w:rsidRPr="00B51DDE">
        <w:rPr>
          <w:rFonts w:ascii="Arial" w:hAnsi="Arial" w:cs="Arial"/>
          <w:color w:val="000000"/>
          <w:sz w:val="24"/>
          <w:szCs w:val="24"/>
        </w:rPr>
        <w:t xml:space="preserve"> employs a higher tongue position and uses resonance strategies which enhance higher harmonics by modifying vowels to achieve a chest voice sound higher in the range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Voice","id":"ITEM-1","issue":"2","issued":{"date-parts":[["2000"]]},"page":"194-204","title":"Resonance strategies for the belting style: Results of a single female subject study","type":"article-journal","volume":"14"},"uris":["http://www.mendeley.com/documents/?uuid=69e60786-bdad-41b2-bca6-289dc340c496"]}],"mendeley":{"formattedCitation":"(Bestebreurtje and Schutte, 2000)","plainTextFormattedCitation":"(Bestebreurtje and Schutte, 2000)","previouslyFormattedCitation":"(Bestebreurtje and Schutte, 2000)"},"properties":{"noteIndex":0},"schema":"https://github.com/citation-style-language/schema/raw/master/csl-citation.json"}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(Bestebreurtje and Schutte, 2000)</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Physiological similarities between belting and twang are important pedagogical considerations for training belting. </w:t>
      </w:r>
      <w:bookmarkStart w:id="17" w:name="_Hlk158994495"/>
      <w:bookmarkEnd w:id="16"/>
      <w:r w:rsidRPr="00B51DDE">
        <w:rPr>
          <w:rFonts w:ascii="Arial" w:hAnsi="Arial" w:cs="Arial"/>
          <w:color w:val="000000"/>
          <w:sz w:val="24"/>
          <w:szCs w:val="24"/>
        </w:rPr>
        <w:t xml:space="preserve">Research by </w:t>
      </w:r>
      <w:r w:rsidRPr="00B51DDE">
        <w:rPr>
          <w:rFonts w:ascii="Arial" w:hAnsi="Arial" w:cs="Arial"/>
          <w:noProof/>
          <w:color w:val="000000"/>
          <w:sz w:val="24"/>
          <w:szCs w:val="24"/>
        </w:rPr>
        <w:t xml:space="preserve">Echternach </w:t>
      </w:r>
      <w:r w:rsidRPr="00B51DDE">
        <w:rPr>
          <w:rFonts w:ascii="Arial" w:hAnsi="Arial" w:cs="Arial"/>
          <w:i/>
          <w:noProof/>
          <w:color w:val="000000"/>
          <w:sz w:val="24"/>
          <w:szCs w:val="24"/>
        </w:rPr>
        <w:t>et al.</w:t>
      </w:r>
      <w:r w:rsidRPr="00B51DDE">
        <w:rPr>
          <w:rFonts w:ascii="Arial" w:hAnsi="Arial" w:cs="Arial"/>
          <w:color w:val="000000"/>
          <w:sz w:val="24"/>
          <w:szCs w:val="24"/>
        </w:rPr>
        <w:t xml:space="preserve">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{"citationItems":[{"id":"ITEM-1","itemData":{"DOI":"10.1016/j.jvoice.2014.01.011","ISSN":"18734588","PMID":"24810998","abstract":"Objective. Singing styles in Musical Theater singing might differ in many ways from Western Classical singing. However, vocal tract adjustments are not understood in detail. Material and Methods. Vocal tract shapes of a single professional Music Theater female subject were analyzed concerning different aspects of singing styles using dynamic real-time magnetic resonance imaging technology with a frame rate of 8 fps. The different tasks include register differences, belting, and vibrato strategies. Results. Articulatory differences were found between head register, modal register, and belting. Also, some vibrato strategies (\"jazzy\" vibrato) do involve vocal tract adjustments, whereas others (classical vibrato) do not. Conclusions. Vocal tract shaping might contribute to the establishment of different singing functions in Musical Theater singing.","author":[{"dropping-particle":"","family":"Echternach","given":"Matthias","non-dropping-particle":"","parse-names":false,"suffix":""},{"dropping-particle":"","family":"Popeil","given":"Lisa","non-dropping-particle":"","parse-names":false,"suffix":""},{"dropping-particle":"","family":"Traser","given":"Louisa","non-dropping-particle":"","parse-names":false,"suffix":""},{"dropping-particle":"","family":"Wienhausen","given":"Sascha","non-dropping-particle":"","parse-names":false,"suffix":""},{"dropping-particle":"","family":"Richter","given":"Bernhard","non-dropping-particle":"","parse-names":false,"suffix":""}],"container-title":"Journal of Voice","id":"ITEM-1","issue":"5","issued":{"date-parts":[["2014"]]},"page":"653.e1-653.e7","publisher":"Elsevier Ltd","title":"Vocal tract shapes in different singing functions used in musical theater singing-a pilot study","type":"article-journal","volume":"28"},"uris":["http://www.mendeley.com/documents/?uuid=ef7fc61e-6634-4974-8896-12acc9049a4a"]}],"mendeley":{"formattedCitation":"(Echternach &lt;i&gt;et al.&lt;/i&gt;, 2014)","manualFormatting":"(2014)","plainTextFormattedCitation":"(Echternach et al., 2014)","previouslyFormattedCitation":"(Echternach &lt;i&gt;et al.&lt;/i&gt;, 2014)"},"properties":{"noteIndex":0},"schema":"https://github.com/citation-style-language/schema/raw/master/csl-citation.json"}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(2014)</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showed that the pharynx is wider for most vowels in </w:t>
      </w:r>
      <w:r w:rsidR="00912DF5" w:rsidRPr="00B51DDE">
        <w:rPr>
          <w:rFonts w:ascii="Arial" w:hAnsi="Arial" w:cs="Arial"/>
          <w:color w:val="000000"/>
          <w:sz w:val="24"/>
          <w:szCs w:val="24"/>
        </w:rPr>
        <w:t xml:space="preserve">the </w:t>
      </w:r>
      <w:r w:rsidRPr="00B51DDE">
        <w:rPr>
          <w:rFonts w:ascii="Arial" w:hAnsi="Arial" w:cs="Arial"/>
          <w:color w:val="000000"/>
          <w:sz w:val="24"/>
          <w:szCs w:val="24"/>
        </w:rPr>
        <w:t xml:space="preserve">chest register (modal voice) than in belting but not all vowels. The pedagogical implication is that belting is not the same as modal/ chest voice </w:t>
      </w:r>
      <w:r w:rsidRPr="00B51DDE">
        <w:rPr>
          <w:rFonts w:ascii="Arial" w:hAnsi="Arial" w:cs="Arial"/>
          <w:color w:val="000000"/>
          <w:sz w:val="24"/>
          <w:szCs w:val="24"/>
        </w:rPr>
        <w:fldChar w:fldCharType="begin" w:fldLock="1"/>
      </w:r>
      <w:r w:rsidRPr="00B51DDE">
        <w:rPr>
          <w:rFonts w:ascii="Arial" w:hAnsi="Arial" w:cs="Arial"/>
          <w:color w:val="000000"/>
          <w:sz w:val="24"/>
          <w:szCs w:val="24"/>
        </w:rPr>
        <w:instrText>ADDIN CSL_CITATION {"citationItems":[{"id":"ITEM-1","itemData":{"DOI":"10.1016/j.jvoice.2014.01.011","ISSN":"18734588","PMID":"24810998","abstract":"Objective. Singing styles in Musical Theater singing might differ in many ways from Western Classical singing. However, vocal tract adjustments are not understood in detail. Material and Methods. Vocal tract shapes of a single professional Music Theater female subject were analyzed concerning different aspects of singing styles using dynamic real-time magnetic resonance imaging technology with a frame rate of 8 fps. The different tasks include register differences, belting, and vibrato strategies. Results. Articulatory differences were found between head register, modal register, and belting. Also, some vibrato strategies (\"jazzy\" vibrato) do involve vocal tract adjustments, whereas others (classical vibrato) do not. Conclusions. Vocal tract shaping might contribute to the establishment of different singing functions in Musical Theater singing.","author":[{"dropping-particle":"","family":"Echternach","given":"Matthias","non-dropping-particle":"","parse-names":false,"suffix":""},{"dropping-particle":"","family":"Popeil","given":"Lisa","non-dropping-particle":"","parse-names":false,"suffix":""},{"dropping-particle":"","family":"Traser","given":"Louisa","non-dropping-particle":"","parse-names":false,"suffix":""},{"dropping-particle":"","family":"Wienhausen","given":"Sascha","non-dropping-particle":"","parse-names":false,"suffix":""},{"dropping-particle":"","family":"Richter","given":"Bernhard","non-dropping-particle":"","parse-names":false,"suffix":""}],"container-title":"Journal of Voice","id":"ITEM-1","issue":"5","issued":{"date-parts":[["2014"]]},"page":"653.e1-653.e7","publisher":"Elsevier Ltd","title":"Vocal tract shapes in different singing functions used in musical theater singing-a pilot study","type":"article-journal","volume":"28"},"uris":["http://www.mendeley.com/documents/?uuid=ef7fc61e-6634-4974-8896-12acc9049a4a"]}],"mendeley":{"formattedCitation":"(Echternach &lt;i&gt;et al.&lt;/i&gt;, 2014)","plainTextFormattedCitation":"(Echternach et al., 2014)","previouslyFormattedCitation":"(Echternach &lt;i&gt;et al.&lt;/i&gt;, 2014)"},"properties":{"noteIndex":0},"schema":"https://github.com/citation-style-language/schema/raw/master/csl-citation.json"}</w:instrText>
      </w:r>
      <w:r w:rsidRPr="00B51DDE">
        <w:rPr>
          <w:rFonts w:ascii="Arial" w:hAnsi="Arial" w:cs="Arial"/>
          <w:color w:val="000000"/>
          <w:sz w:val="24"/>
          <w:szCs w:val="24"/>
        </w:rPr>
        <w:fldChar w:fldCharType="separate"/>
      </w:r>
      <w:r w:rsidRPr="00B51DDE">
        <w:rPr>
          <w:rFonts w:ascii="Arial" w:hAnsi="Arial" w:cs="Arial"/>
          <w:noProof/>
          <w:color w:val="000000"/>
          <w:sz w:val="24"/>
          <w:szCs w:val="24"/>
        </w:rPr>
        <w:t xml:space="preserve">(Echternach </w:t>
      </w:r>
      <w:r w:rsidRPr="00B51DDE">
        <w:rPr>
          <w:rFonts w:ascii="Arial" w:hAnsi="Arial" w:cs="Arial"/>
          <w:i/>
          <w:noProof/>
          <w:color w:val="000000"/>
          <w:sz w:val="24"/>
          <w:szCs w:val="24"/>
        </w:rPr>
        <w:t>et al.</w:t>
      </w:r>
      <w:r w:rsidRPr="00B51DDE">
        <w:rPr>
          <w:rFonts w:ascii="Arial" w:hAnsi="Arial" w:cs="Arial"/>
          <w:noProof/>
          <w:color w:val="000000"/>
          <w:sz w:val="24"/>
          <w:szCs w:val="24"/>
        </w:rPr>
        <w:t>, 2014)</w:t>
      </w:r>
      <w:r w:rsidRPr="00B51DDE">
        <w:rPr>
          <w:rFonts w:ascii="Arial" w:hAnsi="Arial" w:cs="Arial"/>
          <w:color w:val="000000"/>
          <w:sz w:val="24"/>
          <w:szCs w:val="24"/>
        </w:rPr>
        <w:fldChar w:fldCharType="end"/>
      </w:r>
      <w:r w:rsidRPr="00B51DDE">
        <w:rPr>
          <w:rFonts w:ascii="Arial" w:hAnsi="Arial" w:cs="Arial"/>
          <w:color w:val="000000"/>
          <w:sz w:val="24"/>
          <w:szCs w:val="24"/>
        </w:rPr>
        <w:t xml:space="preserve">. </w:t>
      </w:r>
      <w:bookmarkEnd w:id="17"/>
      <w:r w:rsidRPr="00B51DDE">
        <w:rPr>
          <w:rFonts w:ascii="Arial" w:hAnsi="Arial" w:cs="Arial"/>
          <w:color w:val="000000"/>
          <w:sz w:val="24"/>
          <w:szCs w:val="24"/>
        </w:rPr>
        <w:t xml:space="preserve">Physiologically, </w:t>
      </w:r>
      <w:r w:rsidRPr="00B51DDE">
        <w:rPr>
          <w:rFonts w:ascii="Arial" w:hAnsi="Arial" w:cs="Arial"/>
          <w:noProof/>
          <w:sz w:val="24"/>
          <w:szCs w:val="24"/>
        </w:rPr>
        <w:t xml:space="preserve">twang can be described as </w:t>
      </w:r>
      <w:r w:rsidRPr="00B51DDE">
        <w:rPr>
          <w:rFonts w:ascii="Arial" w:hAnsi="Arial" w:cs="Arial"/>
          <w:sz w:val="24"/>
          <w:szCs w:val="24"/>
        </w:rPr>
        <w:t xml:space="preserve">a high tongue position and </w:t>
      </w:r>
      <w:r w:rsidRPr="00B51DDE">
        <w:rPr>
          <w:rFonts w:ascii="Arial" w:hAnsi="Arial" w:cs="Arial"/>
          <w:noProof/>
          <w:sz w:val="24"/>
          <w:szCs w:val="24"/>
        </w:rPr>
        <w:t>a narrowing of the aryepiglottic sphincter</w:t>
      </w:r>
      <w:r w:rsidR="00AD1AF0" w:rsidRPr="00B51DDE">
        <w:rPr>
          <w:rFonts w:ascii="Arial" w:hAnsi="Arial" w:cs="Arial"/>
          <w:noProof/>
          <w:sz w:val="24"/>
          <w:szCs w:val="24"/>
        </w:rPr>
        <w:t xml:space="preserv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{"citationItems":[{"id":"ITEM-1","itemData":{"DOI":"10.53830/cvfu1590","ISSN":"10867732","abstract":"In this article, the author explores the tongue in light of recent science and explains the practical impact of this research on singing voice pedagogy. After a historical survey writings by García, Lehmann, Vennard, Appelman, Miller, and Ladefoged, the author summarizes her own studies of the tongue through the use of MRI and ultrasound technology. The author advocates rethinking traditional pedagogic maxims associated the tongue and argues for recasting verbiage in a way that dovetails art and science.","author":[{"dropping-particle":"","family":"Nair","given":"Angelika","non-dropping-particle":"","parse-names":false,"suffix":""}],"container-title":"Journal of Singing","id":"ITEM-1","issue":"5","issued":{"date-parts":[["2023"]]},"page":"615-625","title":"The Tongue: Perception versus Physiology","type":"article-journal","volume":"79"},"uris":["http://www.mendeley.com/documents/?uuid=7346e6d7-c2f5-4f58-be85-47d9af1ee245"]},{"id":"ITEM-2","itemData":{"DOI":"10.1016/j.jvoice.2009.03.003","ISSN":"08921997","PMID":"20083379","abstract":"A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Voice","id":"ITEM-2","issue":"6","issued":{"date-parts":[["2010"]]},"page":"654-660","title":"What is \"twang\"?","type":"article-journal","volume":"24"},"uris":["http://www.mendeley.com/documents/?uuid=89f61936-6b9c-4aa2-9ddd-1198bbf3ec09"]},{"id":"ITEM-3","itemData":{"DOI":"10.1016/j.jvoice.2023.04.006","ISSN":"18734588","PMID":"37210322","abstract":"Objectives: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Voice","id":"ITEM-3","issued":{"date-parts":[["2023"]]},"publisher":"Elsevier Inc.","title":"Effect of Practice Structure and Feedback Frequency on Voice Motor Learning in Older Adults","type":"article-journal"},"uris":["http://www.mendeley.com/documents/?uuid=2d2cdb97-d5db-480e-939f-439a3803abfc"]},{"id":"ITEM-4","itemData":{"DOI":"10.1016/j.jvoice.2015.03.008","ISSN":"18734588","PMID":"25882989","abstract":"Objectives/Hypothesis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Voice","id":"ITEM-4","issue":"1","issued":{"date-parts":[["2016"]]},"page":"128.e1-128.e12","publisher":"Elsevier Ltd","title":"Vocal Qualities in Music Theater Voice: Perceptions of Expert Pedagogues","type":"article-journal","volume":"30"},"uris":["http://www.mendeley.com/documents/?uuid=4706de4e-157f-47ca-96aa-d6b4c276968b"]}],"mendeley":{"formattedCitation":"(Sundberg and Thalén, 2010; Bourne and Kenny, 2016; Nair, 2023; Steinhauer and Eichhorn, 2023)","plainTextFormattedCitation":"(Sundberg and Thalén, 2010; Bourne and Kenny, 2016; Nair, 2023; Steinhauer and Eichhorn, 2023)","previouslyFormattedCitation":"(Sundberg and Thalén, 2010; Bourne and Kenny, 2016; Nair, 2023; Steinhauer and Eichhorn,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(Sundberg and Thalén, 2010; Bourne and Kenny, 2016; Nair, 2023; Steinhauer and Eichhorn, 2023)</w:t>
      </w:r>
      <w:r w:rsidRPr="00B51DDE">
        <w:rPr>
          <w:rFonts w:ascii="Arial" w:hAnsi="Arial" w:cs="Arial"/>
          <w:sz w:val="24"/>
          <w:szCs w:val="24"/>
        </w:rPr>
        <w:fldChar w:fldCharType="end"/>
      </w:r>
      <w:r w:rsidRPr="00B51DDE">
        <w:rPr>
          <w:rFonts w:ascii="Arial" w:hAnsi="Arial" w:cs="Arial"/>
          <w:sz w:val="24"/>
          <w:szCs w:val="24"/>
        </w:rPr>
        <w:t>.</w:t>
      </w:r>
      <w:r w:rsidRPr="00B51DDE">
        <w:rPr>
          <w:rFonts w:ascii="Arial" w:hAnsi="Arial" w:cs="Arial"/>
          <w:noProof/>
          <w:sz w:val="24"/>
          <w:szCs w:val="24"/>
        </w:rPr>
        <w:t xml:space="preserve"> </w:t>
      </w:r>
      <w:r w:rsidRPr="00B51DDE">
        <w:rPr>
          <w:rFonts w:ascii="Arial" w:hAnsi="Arial" w:cs="Arial"/>
          <w:b/>
          <w:bCs/>
          <w:i/>
          <w:iCs/>
          <w:noProof/>
          <w:sz w:val="24"/>
          <w:szCs w:val="24"/>
        </w:rPr>
        <w:t>Sound descriptions of twang</w:t>
      </w:r>
      <w:r w:rsidRPr="00B51DDE">
        <w:rPr>
          <w:rFonts w:ascii="Arial" w:hAnsi="Arial" w:cs="Arial"/>
          <w:noProof/>
          <w:sz w:val="24"/>
          <w:szCs w:val="24"/>
        </w:rPr>
        <w:t xml:space="preserve"> are when singing mimics a </w:t>
      </w:r>
      <w:r w:rsidRPr="00B51DDE">
        <w:rPr>
          <w:rFonts w:ascii="Arial" w:hAnsi="Arial" w:cs="Arial"/>
          <w:i/>
          <w:iCs/>
          <w:noProof/>
          <w:sz w:val="24"/>
          <w:szCs w:val="24"/>
        </w:rPr>
        <w:t>plucked guitar string</w:t>
      </w:r>
      <w:r w:rsidRPr="00B51DDE">
        <w:rPr>
          <w:rFonts w:ascii="Arial" w:hAnsi="Arial" w:cs="Arial"/>
          <w:noProof/>
          <w:sz w:val="24"/>
          <w:szCs w:val="24"/>
        </w:rPr>
        <w:t xml:space="preserve"> creating a ‘</w:t>
      </w:r>
      <w:r w:rsidRPr="00B51DDE">
        <w:rPr>
          <w:rFonts w:ascii="Arial" w:hAnsi="Arial" w:cs="Arial"/>
          <w:i/>
          <w:iCs/>
          <w:noProof/>
          <w:sz w:val="24"/>
          <w:szCs w:val="24"/>
        </w:rPr>
        <w:t>bright, ringy, brassy,</w:t>
      </w:r>
      <w:r w:rsidRPr="00B51DDE">
        <w:rPr>
          <w:rFonts w:ascii="Arial" w:hAnsi="Arial" w:cs="Arial"/>
          <w:noProof/>
          <w:sz w:val="24"/>
          <w:szCs w:val="24"/>
        </w:rPr>
        <w:t xml:space="preserve"> or </w:t>
      </w:r>
      <w:r w:rsidRPr="00B51DDE">
        <w:rPr>
          <w:rFonts w:ascii="Arial" w:hAnsi="Arial" w:cs="Arial"/>
          <w:i/>
          <w:iCs/>
          <w:noProof/>
          <w:sz w:val="24"/>
          <w:szCs w:val="24"/>
        </w:rPr>
        <w:t>metallic’,</w:t>
      </w:r>
      <w:r w:rsidRPr="00B51DDE">
        <w:rPr>
          <w:rFonts w:ascii="Arial" w:hAnsi="Arial" w:cs="Arial"/>
          <w:noProof/>
          <w:sz w:val="24"/>
          <w:szCs w:val="24"/>
        </w:rPr>
        <w:t xml:space="preserve"> tone which gives the </w:t>
      </w:r>
      <w:r w:rsidRPr="00B51DDE">
        <w:rPr>
          <w:rFonts w:ascii="Arial" w:hAnsi="Arial" w:cs="Arial"/>
          <w:i/>
          <w:iCs/>
          <w:noProof/>
          <w:sz w:val="24"/>
          <w:szCs w:val="24"/>
        </w:rPr>
        <w:t xml:space="preserve">‘impression of energy and </w:t>
      </w:r>
      <w:r w:rsidRPr="00B51DDE">
        <w:rPr>
          <w:rFonts w:ascii="Arial" w:hAnsi="Arial" w:cs="Arial"/>
          <w:i/>
          <w:iCs/>
          <w:noProof/>
          <w:sz w:val="24"/>
          <w:szCs w:val="24"/>
        </w:rPr>
        <w:lastRenderedPageBreak/>
        <w:t xml:space="preserve">expressivity’ </w:t>
      </w:r>
      <w:r w:rsidRPr="00B51DDE">
        <w:rPr>
          <w:rFonts w:ascii="Arial" w:hAnsi="Arial" w:cs="Arial"/>
          <w:noProof/>
          <w:sz w:val="24"/>
          <w:szCs w:val="24"/>
        </w:rPr>
        <w:fldChar w:fldCharType="begin" w:fldLock="1"/>
      </w:r>
      <w:r w:rsidR="006341F3" w:rsidRPr="00B51DDE">
        <w:rPr>
          <w:rFonts w:ascii="Arial" w:hAnsi="Arial" w:cs="Arial"/>
          <w:noProof/>
          <w:sz w:val="24"/>
          <w:szCs w:val="24"/>
        </w:rPr>
        <w:instrText>ADDIN CSL_CITATION {"citationItems":[{"id":"ITEM-1","itemData":{"DOI":"10.53830/lkzs7620","ISSN":"10867732","author":[{"dropping-particle":"","family":"Titze","given":"Ingo","non-dropping-particle":"","parse-names":false,"suffix":""}],"container-title":"Journal of Singing","id":"ITEM-1","issue":"5","issued":{"date-parts":[["2022"]]},"page":"613-614","title":"The Acoustic Characteristics of Vocal Twang","type":"article-journal","volume":"78"},"uris":["http://www.mendeley.com/documents/?uuid=8124f217-2e75-48f1-a9ea-8451be769401"]},{"id":"ITEM-2","itemData":{"DOI":"10.1016/j.jvoice.2020.02.005","ISSN":"18734588","PMID":"32305174","abstract":"Twang-like vocal qualities have been related to a megaphone-like shape of the vocal tract (epilaryngeal tube and pharyngeal narrowing, and a wider mouth opening), low-frequency spectral changes, and tighter and/or increased vocal fold adduction. Previous studies have focused mainly on loud and high-pitched singing, comfortable low-pitched spoken vowels, or are based on modeling and simulation. There is no data available related to twang-like voices in loud, low-pitched singing. Purpose: This study investigates the possible contribution of the lower and upper vocal tract configurations during loud twang-like singing on high and low pitches in a real subject. Methods: One male contemporary commercial music singer produced a sustained vowel [a:] in his habitual speaking pitch (B2) and loudness. The same vowel was also produced in a loud twang-like singing voice on high (G4) and low pitches (B2). Computerized tomography, acoustic analysis, inverse filtering, and audio-perceptual assessments were performed. Results: Both loud twang-like voices showed a megaphone-like shape of the vocal tract, being more notable on the low pitch. Also, low-frequency spectral changes, a peak of sound energy around 3 kHz and increased vocal fold adduction were found. Results agreed with audio-perceptual evaluation. Conclusions: Loud twang-like phonation seems to be mainly related to low-frequency spectral changes (under 2 kHz) and a more compact formant structure. Twang-like qualities seem to require different degrees of twang-related vocal tract adjustments while phonating in different pitches. A wider mouth opening, pharyngeal constriction, and epilaryngeal tube narrowing may be helpful strategies for maximum power transfer and improved vocal economy in loud contemporary commercial music singing and potentially in loud speech. Further studies should focus on vocal efficiency and vocal economy measurements using modeling and simulation, based on real-singers’ data.","author":[{"dropping-particle":"","family":"Saldías","given":"Marcelo","non-dropping-particle":"","parse-names":false,"suffix":""},{"dropping-particle":"","family":"Laukkanen","given":"Anne Maria","non-dropping-particle":"","parse-names":false,"suffix":""},{"dropping-particle":"","family":"Guzmán","given":"Marco","non-dropping-particle":"","parse-names":false,"suffix":""},{"dropping-particle":"","family":"Miranda","given":"Gonzalo","non-dropping-particle":"","parse-names":false,"suffix":""},{"dropping-particle":"","family":"Stoney","given":"Justin","non-dropping-particle":"","parse-names":false,"suffix":""},{"dropping-particle":"","family":"Alku","given":"Paavo","non-dropping-particle":"","parse-names":false,"suffix":""},{"dropping-particle":"","family":"Sundberg","given":"Johan","non-dropping-particle":"","parse-names":false,"suffix":""}],"container-title":"Journal of Voice","id":"ITEM-2","issue":"5","issued":{"date-parts":[["2021"]]},"page":"807.e1-807.e23","title":"The Vocal Tract in Loud Twang-Like Singing While Producing High and Low Pitches","type":"article-journal","volume":"35"},"uris":["http://www.mendeley.com/documents/?uuid=a1fdb139-a2e0-411f-97b4-5072b30f99a4"]},{"id":"ITEM-3","itemData":{"DOI":"10.1016/j.jvoice.2009.03.003","ISSN":"08921997","PMID":"20083379","abstract":"A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Voice","id":"ITEM-3","issue":"6","issued":{"date-parts":[["2010"]]},"page":"654-660","title":"What is \"twang\"?","type":"article-journal","volume":"24"},"uris":["http://www.mendeley.com/documents/?uuid=89f61936-6b9c-4aa2-9ddd-1198bbf3ec09"]},{"id":"ITEM-4","itemData":{"DOI":"10.1016/j.jvoice.2015.03.008","ISSN":"18734588","PMID":"25882989","abstract":"Objectives/Hypothesis To gather qualitative descriptions of music theater vocal qualities including belt, legit, and mix from expert pedagogues to better define this voice type. Study Design This is a prospective, semistructured interview. Methods Twelve expert teachers from United States, United Kingdom, Asia, and Australia were interviewed by Skype and asked to identify characteristics of music theater vocal qualities including vocal production, physiology, esthetics, pitch range, and pedagogical techniques. Responses were compared with published studies on music theater voice. Results Belt and legit were generally described as distinct sounds with differing physiological and technical requirements. Teachers were concerned that belt should be taught \"safely\" to minimize vocal health risks. There was consensus between teachers and published research on the physiology of the glottis and vocal tract; however, teachers were not in agreement about breathing techniques. Neither were teachers in agreement about the meaning of \"mix.\" Most participants described belt as heavily weighted, thick folds, thyroarytenoid-dominant, or chest register; however, there was no consensus on an appropriate term. Belt substyles were named and generally categorized by weightedness or tone color. Descriptions of male belt were less clear than for female belt. Conclusions This survey provides an overview of expert pedagogical perspectives on the characteristics of belt, legit, and mix qualities in the music theater voice. Although teacher responses are generally in agreement with published research, there are still many controversial issues and gaps in knowledge and understanding of this vocal technique. Breathing techniques, vocal range, mix, male belt, and vocal registers require continuing investigation so that we can learn more about efficient and healthy vocal function in music theater singing.","author":[{"dropping-particle":"","family":"Bourne","given":"Tracy","non-dropping-particle":"","parse-names":false,"suffix":""},{"dropping-particle":"","family":"Kenny","given":"Dianna","non-dropping-particle":"","parse-names":false,"suffix":""}],"container-title":"Journal of Voice","id":"ITEM-4","issue":"1","issued":{"date-parts":[["2016"]]},"page":"128.e1-128.e12","publisher":"Elsevier Ltd","title":"Vocal Qualities in Music Theater Voice: Perceptions of Expert Pedagogues","type":"article-journal","volume":"30"},"uris":["http://www.mendeley.com/documents/?uuid=4706de4e-157f-47ca-96aa-d6b4c276968b"]}],"mendeley":{"formattedCitation":"(Sundberg and Thalén, 2010; Bourne and Kenny, 2016; Saldías &lt;i&gt;et al.&lt;/i&gt;, 2021; Titze, 2022)","plainTextFormattedCitation":"(Sundberg and Thalén, 2010; Bourne and Kenny, 2016; Saldías et al., 2021; Titze, 2022)","previouslyFormattedCitation":"(Sundberg and Thalén, 2010; Bourne and Kenny, 2016; Saldías &lt;i&gt;et al.&lt;/i&gt;, 2021; Titze, 2022)"},"properties":{"noteIndex":0},"schema":"https://github.com/citation-style-language/schema/raw/master/csl-citation.json"}</w:instrText>
      </w:r>
      <w:r w:rsidRPr="00B51DDE">
        <w:rPr>
          <w:rFonts w:ascii="Arial" w:hAnsi="Arial" w:cs="Arial"/>
          <w:noProof/>
          <w:sz w:val="24"/>
          <w:szCs w:val="24"/>
        </w:rPr>
        <w:fldChar w:fldCharType="separate"/>
      </w:r>
      <w:r w:rsidR="001D54E5" w:rsidRPr="00B51DDE">
        <w:rPr>
          <w:rFonts w:ascii="Arial" w:hAnsi="Arial" w:cs="Arial"/>
          <w:noProof/>
          <w:sz w:val="24"/>
          <w:szCs w:val="24"/>
        </w:rPr>
        <w:t xml:space="preserve">(Sundberg and Thalén, 2010; Bourne and Kenny, 2016; Saldías </w:t>
      </w:r>
      <w:r w:rsidR="001D54E5" w:rsidRPr="00B51DDE">
        <w:rPr>
          <w:rFonts w:ascii="Arial" w:hAnsi="Arial" w:cs="Arial"/>
          <w:i/>
          <w:noProof/>
          <w:sz w:val="24"/>
          <w:szCs w:val="24"/>
        </w:rPr>
        <w:t>et al.</w:t>
      </w:r>
      <w:r w:rsidR="001D54E5" w:rsidRPr="00B51DDE">
        <w:rPr>
          <w:rFonts w:ascii="Arial" w:hAnsi="Arial" w:cs="Arial"/>
          <w:noProof/>
          <w:sz w:val="24"/>
          <w:szCs w:val="24"/>
        </w:rPr>
        <w:t>, 2021; Titze, 2022)</w:t>
      </w:r>
      <w:r w:rsidRPr="00B51DDE">
        <w:rPr>
          <w:rFonts w:ascii="Arial" w:hAnsi="Arial" w:cs="Arial"/>
          <w:noProof/>
          <w:sz w:val="24"/>
          <w:szCs w:val="24"/>
        </w:rPr>
        <w:fldChar w:fldCharType="end"/>
      </w:r>
      <w:r w:rsidRPr="00B51DDE">
        <w:rPr>
          <w:rFonts w:ascii="Arial" w:hAnsi="Arial" w:cs="Arial"/>
          <w:noProof/>
          <w:sz w:val="24"/>
          <w:szCs w:val="24"/>
        </w:rPr>
        <w:t xml:space="preserve">. These qualities seem to form the basis of twang’s use in the ‘acoustic recipe’ for </w:t>
      </w:r>
      <w:r w:rsidRPr="00B51DDE">
        <w:rPr>
          <w:rFonts w:ascii="Arial" w:hAnsi="Arial" w:cs="Arial"/>
          <w:b/>
          <w:bCs/>
          <w:i/>
          <w:iCs/>
          <w:noProof/>
          <w:sz w:val="24"/>
          <w:szCs w:val="24"/>
        </w:rPr>
        <w:t>high belting</w:t>
      </w:r>
      <w:r w:rsidRPr="00B51DDE">
        <w:rPr>
          <w:rFonts w:ascii="Arial" w:hAnsi="Arial" w:cs="Arial"/>
          <w:noProof/>
          <w:sz w:val="24"/>
          <w:szCs w:val="24"/>
        </w:rPr>
        <w:t xml:space="preserv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sources","type":"article"},"uris":["http://www.mendeley.com/documents/?uuid=60c32bec-4096-4eff-b411-5a6d48cc81e4"]}],"mendeley":{"formattedCitation":"(1, 2023; 2, 2023)","plainTextFormattedCitation":"(1, 2023; 2, 2023)","previouslyFormattedCitation":"(1, 2023; 2,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(1, 2023; 2, 2023)</w:t>
      </w:r>
      <w:r w:rsidRPr="00B51DDE">
        <w:rPr>
          <w:rFonts w:ascii="Arial" w:hAnsi="Arial" w:cs="Arial"/>
          <w:noProof/>
          <w:sz w:val="24"/>
          <w:szCs w:val="24"/>
        </w:rPr>
        <w:fldChar w:fldCharType="end"/>
      </w:r>
      <w:r w:rsidRPr="00B51DDE">
        <w:rPr>
          <w:rFonts w:ascii="Arial" w:hAnsi="Arial" w:cs="Arial"/>
          <w:noProof/>
          <w:sz w:val="24"/>
          <w:szCs w:val="24"/>
        </w:rPr>
        <w:t>.</w:t>
      </w:r>
    </w:p>
    <w:p w14:paraId="07BA1049" w14:textId="11EBBAE3" w:rsidR="006E49AD" w:rsidRPr="00B51DDE" w:rsidRDefault="006E49AD" w:rsidP="00AE2080">
      <w:pPr>
        <w:pStyle w:val="NormalWeb"/>
        <w:spacing w:line="360" w:lineRule="auto"/>
        <w:jc w:val="both"/>
        <w:rPr>
          <w:rFonts w:ascii="Arial" w:hAnsi="Arial" w:cs="Arial"/>
          <w:noProof/>
        </w:rPr>
      </w:pPr>
      <w:bookmarkStart w:id="18" w:name="_Hlk158994526"/>
      <w:r w:rsidRPr="00B51DDE">
        <w:rPr>
          <w:rFonts w:ascii="Arial" w:hAnsi="Arial" w:cs="Arial"/>
          <w:noProof/>
        </w:rPr>
        <w:t xml:space="preserve">Exploring the area of teacher demonstrations leads to the use of </w:t>
      </w:r>
      <w:r w:rsidRPr="00B51DDE">
        <w:rPr>
          <w:rFonts w:ascii="Arial" w:hAnsi="Arial" w:cs="Arial"/>
          <w:b/>
          <w:bCs/>
          <w:i/>
          <w:iCs/>
          <w:noProof/>
        </w:rPr>
        <w:t>vocal mimicry</w:t>
      </w:r>
      <w:r w:rsidRPr="00B51DDE">
        <w:rPr>
          <w:rFonts w:ascii="Arial" w:hAnsi="Arial" w:cs="Arial"/>
          <w:noProof/>
        </w:rPr>
        <w:t xml:space="preserve"> in singing lessons. Vocal mimicry is an aspect of how singers develop control over the muscles involved in a </w:t>
      </w:r>
      <w:r w:rsidR="00B07DC1" w:rsidRPr="00B51DDE">
        <w:rPr>
          <w:rFonts w:ascii="Arial" w:hAnsi="Arial" w:cs="Arial"/>
          <w:noProof/>
        </w:rPr>
        <w:t>vocal motor skill</w:t>
      </w:r>
      <w:r w:rsidRPr="00B51DDE">
        <w:rPr>
          <w:rFonts w:ascii="Arial" w:hAnsi="Arial" w:cs="Arial"/>
          <w:noProof/>
        </w:rPr>
        <w:t xml:space="preserve"> and feeds into a singer’s sound imagination </w:t>
      </w:r>
      <w:r w:rsidRPr="00B51DDE">
        <w:rPr>
          <w:rFonts w:ascii="Arial" w:hAnsi="Arial" w:cs="Arial"/>
          <w:noProof/>
        </w:rPr>
        <w:fldChar w:fldCharType="begin" w:fldLock="1"/>
      </w:r>
      <w:r w:rsidRPr="00B51DDE">
        <w:rPr>
          <w:rFonts w:ascii="Arial" w:hAnsi="Arial" w:cs="Arial"/>
          <w:noProof/>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(Verdolini, 1998; Hodges and Franks, 2002; Roll, 2014; Moss Erickson, 2019, 2023; Titze, 2022)</w:t>
      </w:r>
      <w:r w:rsidRPr="00B51DDE">
        <w:rPr>
          <w:rFonts w:ascii="Arial" w:hAnsi="Arial" w:cs="Arial"/>
          <w:noProof/>
        </w:rPr>
        <w:fldChar w:fldCharType="end"/>
      </w:r>
      <w:r w:rsidRPr="00B51DDE">
        <w:rPr>
          <w:rFonts w:ascii="Arial" w:hAnsi="Arial" w:cs="Arial"/>
          <w:noProof/>
        </w:rPr>
        <w:t>.</w:t>
      </w:r>
      <w:r w:rsidR="00AD1AF0" w:rsidRPr="00B51DDE">
        <w:rPr>
          <w:rFonts w:ascii="Arial" w:hAnsi="Arial" w:cs="Arial"/>
          <w:noProof/>
        </w:rPr>
        <w:t xml:space="preserve"> </w:t>
      </w:r>
      <w:r w:rsidRPr="00B51DDE">
        <w:rPr>
          <w:rFonts w:ascii="Arial" w:hAnsi="Arial" w:cs="Arial"/>
          <w:noProof/>
        </w:rPr>
        <w:t xml:space="preserve">Sound imagination is </w:t>
      </w:r>
      <w:r w:rsidRPr="00B51DDE">
        <w:rPr>
          <w:rFonts w:ascii="Arial" w:hAnsi="Arial" w:cs="Arial"/>
          <w:b/>
          <w:bCs/>
          <w:i/>
          <w:iCs/>
          <w:noProof/>
        </w:rPr>
        <w:t>audiation</w:t>
      </w:r>
      <w:r w:rsidRPr="00B51DDE">
        <w:rPr>
          <w:rFonts w:ascii="Arial" w:hAnsi="Arial" w:cs="Arial"/>
          <w:noProof/>
        </w:rPr>
        <w:t xml:space="preserve"> and can be used in conju</w:t>
      </w:r>
      <w:r w:rsidR="00EA0D32" w:rsidRPr="00B51DDE">
        <w:rPr>
          <w:rFonts w:ascii="Arial" w:hAnsi="Arial" w:cs="Arial"/>
          <w:noProof/>
        </w:rPr>
        <w:t>n</w:t>
      </w:r>
      <w:r w:rsidRPr="00B51DDE">
        <w:rPr>
          <w:rFonts w:ascii="Arial" w:hAnsi="Arial" w:cs="Arial"/>
          <w:noProof/>
        </w:rPr>
        <w:t xml:space="preserve">ction with memory to reproduce a sound without an external reference </w:t>
      </w:r>
      <w:r w:rsidRPr="00B51DDE">
        <w:rPr>
          <w:rFonts w:ascii="Arial" w:hAnsi="Arial" w:cs="Arial"/>
          <w:noProof/>
        </w:rPr>
        <w:fldChar w:fldCharType="begin" w:fldLock="1"/>
      </w:r>
      <w:r w:rsidRPr="00B51DDE">
        <w:rPr>
          <w:rFonts w:ascii="Arial" w:hAnsi="Arial" w:cs="Arial"/>
          <w:noProof/>
        </w:rPr>
        <w:instrText>ADDIN CSL_CITATION {"citationItems":[{"id":"ITEM-1","itemData":{"DOI":"10.53830/jupv9911","ISSN":"10867732","abstract":"Phonation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Singing","id":"ITEM-1","issue":"3","issued":{"date-parts":[["2023"]]},"page":"379-385","title":"What Garcia Got Right: Understanding Cortical Signaling of the Glottis","type":"article-journal","volume":"79"},"uris":["http://www.mendeley.com/documents/?uuid=e26884ce-2081-4f89-a2b4-192525f0d364"]},{"id":"ITEM-2","itemData":{"author":[{"dropping-particle":"","family":"Moss Erickson","given":"Heidi","non-dropping-particle":"","parse-names":false,"suffix":""}],"id":"ITEM-2","issued":{"date-parts":[["2019"]]},"title":"Singing in the Brain","type":"report"},"uris":["http://www.mendeley.com/documents/?uuid=a910bf0b-29b7-45b8-b437-da0822581361"]}],"mendeley":{"formattedCitation":"(Moss Erickson, 2019, 2023)","plainTextFormattedCitation":"(Moss Erickson, 2019, 2023)","previouslyFormattedCitation":"(Moss Erickson, 2019,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(Moss Erickson, 2019, 2023)</w:t>
      </w:r>
      <w:r w:rsidRPr="00B51DDE">
        <w:rPr>
          <w:rFonts w:ascii="Arial" w:hAnsi="Arial" w:cs="Arial"/>
          <w:noProof/>
        </w:rPr>
        <w:fldChar w:fldCharType="end"/>
      </w:r>
      <w:r w:rsidRPr="00B51DDE">
        <w:rPr>
          <w:rFonts w:ascii="Arial" w:hAnsi="Arial" w:cs="Arial"/>
          <w:noProof/>
        </w:rPr>
        <w:t>.</w:t>
      </w:r>
      <w:bookmarkEnd w:id="18"/>
      <w:r w:rsidRPr="00B51DDE">
        <w:rPr>
          <w:rFonts w:ascii="Arial" w:hAnsi="Arial" w:cs="Arial"/>
          <w:noProof/>
        </w:rPr>
        <w:t xml:space="preserve"> Developing the audiation of belt and twang sounds could support a teacher by fulfilling the need </w:t>
      </w:r>
      <w:r w:rsidR="00862236" w:rsidRPr="00B51DDE">
        <w:rPr>
          <w:rFonts w:ascii="Arial" w:hAnsi="Arial" w:cs="Arial"/>
          <w:noProof/>
        </w:rPr>
        <w:t>to choose</w:t>
      </w:r>
      <w:r w:rsidRPr="00B51DDE">
        <w:rPr>
          <w:rFonts w:ascii="Arial" w:hAnsi="Arial" w:cs="Arial"/>
          <w:noProof/>
        </w:rPr>
        <w:t xml:space="preserve"> good quality examples and giving good demonstrations</w:t>
      </w:r>
      <w:r w:rsidR="00862236" w:rsidRPr="00B51DDE">
        <w:rPr>
          <w:rFonts w:ascii="Arial" w:hAnsi="Arial" w:cs="Arial"/>
          <w:noProof/>
        </w:rPr>
        <w:t>,</w:t>
      </w:r>
      <w:r w:rsidRPr="00B51DDE">
        <w:rPr>
          <w:rFonts w:ascii="Arial" w:hAnsi="Arial" w:cs="Arial"/>
          <w:noProof/>
        </w:rPr>
        <w:t xml:space="preserve"> as encouraged by the experts and voice research. </w:t>
      </w:r>
      <w:bookmarkStart w:id="19" w:name="_Hlk158994603"/>
      <w:r w:rsidRPr="00B51DDE">
        <w:rPr>
          <w:rFonts w:ascii="Arial" w:hAnsi="Arial" w:cs="Arial"/>
          <w:noProof/>
        </w:rPr>
        <w:t xml:space="preserve">Teacher CPD and mentorship is a route which would support a novice teacher of belting to develop the ability to discern and demonstrate good examples in lessons </w:t>
      </w:r>
      <w:r w:rsidRPr="00B51DDE">
        <w:rPr>
          <w:rFonts w:ascii="Arial" w:hAnsi="Arial" w:cs="Arial"/>
          <w:noProof/>
        </w:rPr>
        <w:fldChar w:fldCharType="begin" w:fldLock="1"/>
      </w:r>
      <w:r w:rsidRPr="00B51DDE">
        <w:rPr>
          <w:rFonts w:ascii="Arial" w:hAnsi="Arial" w:cs="Arial"/>
          <w:noProof/>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Theses","id":"ITEM-2","issued":{"date-parts":[["2011"]]},"page":"191","title":"Application of principles from motor-learning theory to the studio voice lesson: Effects of feedback frequency on retention of classical singing technique","type":"article-journal"},"uris":["http://www.mendeley.com/documents/?uuid=92fbf4bf-1473-452d-8fcc-3f4f51740743"]},{"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Guide","type":"book"},"uris":["http://www.mendeley.com/documents/?uuid=f0f8632a-34fe-4332-acd9-274e093fbb0b"]},{"id":"ITEM-4","itemData":{"abstract":"Seiring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Documents","edition":"Fourth","id":"ITEM-4","issued":{"date-parts":[["2016"]]},"note":"There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Research","type":"book"},"uris":["http://www.mendeley.com/documents/?uuid=f0a0c8d9-5e9b-48c7-85fc-7981f990d40b"]}],"mendeley":{"formattedCitation":"(Maxfield, 2011; Saldaña, 2013; Denscombe, 2014; Merriam and Tisdell, 2016)","plainTextFormattedCitation":"(Maxfield, 2011; Saldaña, 2013; Denscombe, 2014; Merriam and Tisdell, 2016)","previouslyFormattedCitation":"(Maxfield, 2011; Saldaña, 2013; Denscombe, 2014; Merriam and Tisdell, 2016)"},"properties":{"noteIndex":0},"schema":"https://github.com/citation-style-language/schema/raw/master/csl-citation.json"}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(Maxfield, 2011; Saldaña, 2013; Denscombe, 2014; Merriam and Tisdell, 2016)</w:t>
      </w:r>
      <w:r w:rsidRPr="00B51DDE">
        <w:rPr>
          <w:rFonts w:ascii="Arial" w:hAnsi="Arial" w:cs="Arial"/>
          <w:noProof/>
        </w:rPr>
        <w:fldChar w:fldCharType="end"/>
      </w:r>
      <w:r w:rsidRPr="00B51DDE">
        <w:rPr>
          <w:rFonts w:ascii="Arial" w:hAnsi="Arial" w:cs="Arial"/>
          <w:noProof/>
        </w:rPr>
        <w:t xml:space="preserve">. </w:t>
      </w:r>
      <w:bookmarkEnd w:id="19"/>
      <w:r w:rsidR="00BF6B45" w:rsidRPr="00B51DDE">
        <w:rPr>
          <w:rFonts w:ascii="Arial" w:hAnsi="Arial" w:cs="Arial"/>
          <w:noProof/>
        </w:rPr>
        <w:t>A</w:t>
      </w:r>
      <w:r w:rsidRPr="00B51DDE">
        <w:rPr>
          <w:rFonts w:ascii="Arial" w:hAnsi="Arial" w:cs="Arial"/>
          <w:noProof/>
        </w:rPr>
        <w:t xml:space="preserve"> teacher </w:t>
      </w:r>
      <w:r w:rsidR="00BF6B45" w:rsidRPr="00B51DDE">
        <w:rPr>
          <w:rFonts w:ascii="Arial" w:hAnsi="Arial" w:cs="Arial"/>
          <w:noProof/>
        </w:rPr>
        <w:t>can</w:t>
      </w:r>
      <w:r w:rsidRPr="00B51DDE">
        <w:rPr>
          <w:rFonts w:ascii="Arial" w:hAnsi="Arial" w:cs="Arial"/>
          <w:noProof/>
        </w:rPr>
        <w:t xml:space="preserve"> develop the ability to hear the different frequency comp</w:t>
      </w:r>
      <w:r w:rsidR="0088594C" w:rsidRPr="00B51DDE">
        <w:rPr>
          <w:rFonts w:ascii="Arial" w:hAnsi="Arial" w:cs="Arial"/>
          <w:noProof/>
        </w:rPr>
        <w:t>on</w:t>
      </w:r>
      <w:r w:rsidRPr="00B51DDE">
        <w:rPr>
          <w:rFonts w:ascii="Arial" w:hAnsi="Arial" w:cs="Arial"/>
          <w:noProof/>
        </w:rPr>
        <w:t xml:space="preserve">ents of sounds </w:t>
      </w:r>
      <w:r w:rsidRPr="00B51DDE">
        <w:rPr>
          <w:rFonts w:ascii="Arial" w:hAnsi="Arial" w:cs="Arial"/>
          <w:noProof/>
        </w:rPr>
        <w:fldChar w:fldCharType="begin" w:fldLock="1"/>
      </w:r>
      <w:r w:rsidRPr="00B51DDE">
        <w:rPr>
          <w:rFonts w:ascii="Arial" w:hAnsi="Arial" w:cs="Arial"/>
          <w:noProof/>
        </w:rPr>
        <w:instrText>ADDIN CSL_CITATION {"citationItems":[{"id":"ITEM-1","itemData":{"ISSN":"00030112","abstract":"Presents the summaries of 20 pedagogy panels convened by the Music Teachers National Association in 1997 to discuss issues concerning the teaching of music.  Includes learning to speak and read music; Teacher process; Observation and intern teaching; Ensemble pianist; Requirements for the development of a healthy musician.","author":[{"dropping-particle":"","family":"Lorince","given":"Margaret","non-dropping-particle":"","parse-names":false,"suffix":""}],"container-title":"American Music Teacher","id":"ITEM-1","issue":"1","issued":{"date-parts":[["1997"]]},"page":"34","title":"Pedagogy saturday.","type":"article-journal","volume":"47"},"uris":["http://www.mendeley.com/documents/?uuid=d5d59e53-24f4-416c-8a57-62766b6feea4"]},{"id":"ITEM-2","itemData":{"DOI":"10.1080/10904018.2016.1174935","ISSN":"1932586X","abstract":"In the theory of the French Ear, Nose and Throat (ENT) doctor Alfred Tomatis, the voice emits the frequencies the ear can perceive. The auditory stimulation, through the treatment elaborated by Tomatis, can determine the stabilization or the improvement of some vocal parameters, as well as the effect on the formants of voice. A group of N = 19 subjects, singers and actors, were assessed by complete clinical ENT evaluations including fibrolaryngoscopy, otoscopy, and clinical audiometry. The voice analysis was carried out with the Multi-Dimensional Voice Program (MDVP) and with the Praat software. The results demonstrate that after the treatment entails an increase in the mean of energy density on the third formant of voice (F3). An improvement in the ability to maintain a constant intensity of the vocal emission resulted from MDVP analysis with a reduction on the standard deviation of the voice amplitude. The improvement in the auditory perception, particularly for 3 kHz, determines a better intelligibility and articulation of the words. The better auditory perception in the zone of 3 kHz reduces the phenomenon of nasalization and gives expressive power to the artistic voice. The decrease of Peak-Amplitude Variation (vAm) lead to a stable voice emission with a better control.","author":[{"dropping-particle":"","family":"Stillitano","given":"Carmela","non-dropping-particle":"","parse-names":false,"suffix":""},{"dropping-particle":"","family":"Rosati","given":"Norma","non-dropping-particle":"","parse-names":false,"suffix":""},{"dropping-particle":"","family":"Cisternino","given":"Sara","non-dropping-particle":"","parse-names":false,"suffix":""},{"dropping-particle":"","family":"Fioretti","given":"Alessandra","non-dropping-particle":"","parse-names":false,"suffix":""},{"dropping-particle":"","family":"Iaconelli","given":"Sara","non-dropping-particle":"","parse-names":false,"suffix":""},{"dropping-particle":"","family":"Eibenstein","given":"Alberto","non-dropping-particle":"","parse-names":false,"suffix":""}],"container-title":"International Journal of Listening","id":"ITEM-2","issue":"2","issued":{"date-parts":[["2017"]]},"page":"113-120","publisher":"Routledge","title":"The Effects of the Tomatis Method on the Artistic Voice","type":"article-journal","volume":"31"},"uris":["http://www.mendeley.com/documents/?uuid=06545604-f24f-4828-9f5c-bbd502df1dd5"]}],"mendeley":{"formattedCitation":"(Lorince, 1997; Stillitano &lt;i&gt;et al.&lt;/i&gt;, 2017)","plainTextFormattedCitation":"(Lorince, 1997; Stillitano et al., 2017)","previouslyFormattedCitation":"(Lorince, 1997; Stillitano &lt;i&gt;et al.&lt;/i&gt;, 2017)"},"properties":{"noteIndex":0},"schema":"https://github.com/citation-style-language/schema/raw/master/csl-citation.json"}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(Lorince, 1997; Stillitano </w:t>
      </w:r>
      <w:r w:rsidRPr="00B51DDE">
        <w:rPr>
          <w:rFonts w:ascii="Arial" w:hAnsi="Arial" w:cs="Arial"/>
          <w:i/>
          <w:noProof/>
        </w:rPr>
        <w:t>et al.</w:t>
      </w:r>
      <w:r w:rsidRPr="00B51DDE">
        <w:rPr>
          <w:rFonts w:ascii="Arial" w:hAnsi="Arial" w:cs="Arial"/>
          <w:noProof/>
        </w:rPr>
        <w:t>, 2017)</w:t>
      </w:r>
      <w:r w:rsidRPr="00B51DDE">
        <w:rPr>
          <w:rFonts w:ascii="Arial" w:hAnsi="Arial" w:cs="Arial"/>
          <w:noProof/>
        </w:rPr>
        <w:fldChar w:fldCharType="end"/>
      </w:r>
      <w:r w:rsidRPr="00B51DDE">
        <w:rPr>
          <w:rFonts w:ascii="Arial" w:hAnsi="Arial" w:cs="Arial"/>
          <w:noProof/>
        </w:rPr>
        <w:t>. This would enable teachers to demonstrate sounds and to choose good</w:t>
      </w:r>
      <w:r w:rsidR="00C2554D" w:rsidRPr="00B51DDE">
        <w:rPr>
          <w:rFonts w:ascii="Arial" w:hAnsi="Arial" w:cs="Arial"/>
          <w:noProof/>
        </w:rPr>
        <w:t>-</w:t>
      </w:r>
      <w:r w:rsidRPr="00B51DDE">
        <w:rPr>
          <w:rFonts w:ascii="Arial" w:hAnsi="Arial" w:cs="Arial"/>
          <w:noProof/>
        </w:rPr>
        <w:t xml:space="preserve">quality examples for student resources. It has been shown that the voice can access sound qualities it can hear </w:t>
      </w:r>
      <w:r w:rsidRPr="00B51DDE">
        <w:rPr>
          <w:rFonts w:ascii="Arial" w:hAnsi="Arial" w:cs="Arial"/>
          <w:noProof/>
        </w:rPr>
        <w:fldChar w:fldCharType="begin" w:fldLock="1"/>
      </w:r>
      <w:r w:rsidRPr="00B51DDE">
        <w:rPr>
          <w:rFonts w:ascii="Arial" w:hAnsi="Arial" w:cs="Arial"/>
          <w:noProof/>
        </w:rPr>
        <w:instrText>ADDIN CSL_CITATION {"citationItems":[{"id":"ITEM-1","itemData":{"ISSN":"00030112","abstract":"Presents the summaries of 20 pedagogy panels convened by the Music Teachers National Association in 1997 to discuss issues concerning the teaching of music.  Includes learning to speak and read music; Teacher process; Observation and intern teaching; Ensemble pianist; Requirements for the development of a healthy musician.","author":[{"dropping-particle":"","family":"Lorince","given":"Margaret","non-dropping-particle":"","parse-names":false,"suffix":""}],"container-title":"American Music Teacher","id":"ITEM-1","issue":"1","issued":{"date-parts":[["1997"]]},"page":"34","title":"Pedagogy saturday.","type":"article-journal","volume":"47"},"uris":["http://www.mendeley.com/documents/?uuid=d5d59e53-24f4-416c-8a57-62766b6feea4"]},{"id":"ITEM-2","itemData":{"DOI":"10.1080/10904018.2016.1174935","ISSN":"1932586X","abstract":"In the theory of the French Ear, Nose and Throat (ENT) doctor Alfred Tomatis, the voice emits the frequencies the ear can perceive. The auditory stimulation, through the treatment elaborated by Tomatis, can determine the stabilization or the improvement of some vocal parameters, as well as the effect on the formants of voice. A group of N = 19 subjects, singers and actors, were assessed by complete clinical ENT evaluations including fibrolaryngoscopy, otoscopy, and clinical audiometry. The voice analysis was carried out with the Multi-Dimensional Voice Program (MDVP) and with the Praat software. The results demonstrate that after the treatment entails an increase in the mean of energy density on the third formant of voice (F3). An improvement in the ability to maintain a constant intensity of the vocal emission resulted from MDVP analysis with a reduction on the standard deviation of the voice amplitude. The improvement in the auditory perception, particularly for 3 kHz, determines a better intelligibility and articulation of the words. The better auditory perception in the zone of 3 kHz reduces the phenomenon of nasalization and gives expressive power to the artistic voice. The decrease of Peak-Amplitude Variation (vAm) lead to a stable voice emission with a better control.","author":[{"dropping-particle":"","family":"Stillitano","given":"Carmela","non-dropping-particle":"","parse-names":false,"suffix":""},{"dropping-particle":"","family":"Rosati","given":"Norma","non-dropping-particle":"","parse-names":false,"suffix":""},{"dropping-particle":"","family":"Cisternino","given":"Sara","non-dropping-particle":"","parse-names":false,"suffix":""},{"dropping-particle":"","family":"Fioretti","given":"Alessandra","non-dropping-particle":"","parse-names":false,"suffix":""},{"dropping-particle":"","family":"Iaconelli","given":"Sara","non-dropping-particle":"","parse-names":false,"suffix":""},{"dropping-particle":"","family":"Eibenstein","given":"Alberto","non-dropping-particle":"","parse-names":false,"suffix":""}],"container-title":"International Journal of Listening","id":"ITEM-2","issue":"2","issued":{"date-parts":[["2017"]]},"page":"113-120","publisher":"Routledge","title":"The Effects of the Tomatis Method on the Artistic Voice","type":"article-journal","volume":"31"},"uris":["http://www.mendeley.com/documents/?uuid=06545604-f24f-4828-9f5c-bbd502df1dd5"]}],"mendeley":{"formattedCitation":"(Lorince, 1997; Stillitano &lt;i&gt;et al.&lt;/i&gt;, 2017)","plainTextFormattedCitation":"(Lorince, 1997; Stillitano et al., 2017)","previouslyFormattedCitation":"(Lorince, 1997; Stillitano &lt;i&gt;et al.&lt;/i&gt;, 2017)"},"properties":{"noteIndex":0},"schema":"https://github.com/citation-style-language/schema/raw/master/csl-citation.json"}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(Lorince, 1997; Stillitano </w:t>
      </w:r>
      <w:r w:rsidRPr="00B51DDE">
        <w:rPr>
          <w:rFonts w:ascii="Arial" w:hAnsi="Arial" w:cs="Arial"/>
          <w:i/>
          <w:noProof/>
        </w:rPr>
        <w:t>et al.</w:t>
      </w:r>
      <w:r w:rsidRPr="00B51DDE">
        <w:rPr>
          <w:rFonts w:ascii="Arial" w:hAnsi="Arial" w:cs="Arial"/>
          <w:noProof/>
        </w:rPr>
        <w:t>, 2017)</w:t>
      </w:r>
      <w:r w:rsidRPr="00B51DDE">
        <w:rPr>
          <w:rFonts w:ascii="Arial" w:hAnsi="Arial" w:cs="Arial"/>
          <w:noProof/>
        </w:rPr>
        <w:fldChar w:fldCharType="end"/>
      </w:r>
      <w:r w:rsidRPr="00B51DDE">
        <w:rPr>
          <w:rFonts w:ascii="Arial" w:hAnsi="Arial" w:cs="Arial"/>
          <w:noProof/>
        </w:rPr>
        <w:t xml:space="preserve">. Teachers should consider if this is an aspect of training which would benefit their students </w:t>
      </w:r>
      <w:r w:rsidRPr="00B51DDE">
        <w:rPr>
          <w:rFonts w:ascii="Arial" w:hAnsi="Arial" w:cs="Arial"/>
          <w:noProof/>
        </w:rPr>
        <w:fldChar w:fldCharType="begin" w:fldLock="1"/>
      </w:r>
      <w:r w:rsidRPr="00B51DDE">
        <w:rPr>
          <w:rFonts w:ascii="Arial" w:hAnsi="Arial" w:cs="Arial"/>
          <w:noProof/>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Psychology","type":"article-journal","volume":"16"},"uris":["http://www.mendeley.com/documents/?uuid=d8ed6243-cdcb-4c4f-b9ac-ec00b829097c"]},{"id":"ITEM-2","itemData":{"DOI":"10.1080/00131881.2023.2234384","ISSN":"14695847","abstract":"Background: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Research","id":"ITEM-2","issue":"3","issued":{"date-parts":[["2023"]]},"page":"392-407","publisher":"Routledge","title":"Work-based learning partnerships: mentor-teachers’ perceptions of student teachers’ challenges","type":"article-journal","volume":"65"},"uris":["http://www.mendeley.com/documents/?uuid=fdb52a8b-a11e-4406-903f-a400d8280c27"]}],"mendeley":{"formattedCitation":"(Dixon, Lee and Ghaye, 2016; Lindqvist &lt;i&gt;et al.&lt;/i&gt;, 2023)","plainTextFormattedCitation":"(Dixon, Lee and Ghaye, 2016; Lindqvist et al., 2023)","previouslyFormattedCitation":"(Dixon, Lee and Ghaye, 2016; Lindqvist &lt;i&gt;et al.&lt;/i&gt;,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(Dixon, Lee and Ghaye, 2016; Lindqvist </w:t>
      </w:r>
      <w:r w:rsidRPr="00B51DDE">
        <w:rPr>
          <w:rFonts w:ascii="Arial" w:hAnsi="Arial" w:cs="Arial"/>
          <w:i/>
          <w:noProof/>
        </w:rPr>
        <w:t>et al.</w:t>
      </w:r>
      <w:r w:rsidRPr="00B51DDE">
        <w:rPr>
          <w:rFonts w:ascii="Arial" w:hAnsi="Arial" w:cs="Arial"/>
          <w:noProof/>
        </w:rPr>
        <w:t>, 2023)</w:t>
      </w:r>
      <w:r w:rsidRPr="00B51DDE">
        <w:rPr>
          <w:rFonts w:ascii="Arial" w:hAnsi="Arial" w:cs="Arial"/>
          <w:noProof/>
        </w:rPr>
        <w:fldChar w:fldCharType="end"/>
      </w:r>
      <w:r w:rsidRPr="00B51DDE">
        <w:rPr>
          <w:rFonts w:ascii="Arial" w:hAnsi="Arial" w:cs="Arial"/>
          <w:noProof/>
        </w:rPr>
        <w:t>.</w:t>
      </w:r>
    </w:p>
    <w:p w14:paraId="080F6E9B" w14:textId="364A99CE" w:rsidR="006E49AD" w:rsidRPr="00B51DDE" w:rsidRDefault="006E49AD" w:rsidP="00AE2080">
      <w:pPr>
        <w:spacing w:line="360" w:lineRule="auto"/>
        <w:jc w:val="both"/>
        <w:rPr>
          <w:rFonts w:ascii="Arial" w:hAnsi="Arial" w:cs="Arial"/>
          <w:noProof/>
          <w:sz w:val="24"/>
          <w:szCs w:val="24"/>
        </w:rPr>
      </w:pPr>
      <w:bookmarkStart w:id="20" w:name="_Hlk158994670"/>
      <w:r w:rsidRPr="00B51DDE">
        <w:rPr>
          <w:rFonts w:ascii="Arial" w:hAnsi="Arial" w:cs="Arial"/>
          <w:sz w:val="24"/>
          <w:szCs w:val="24"/>
        </w:rPr>
        <w:t xml:space="preserve">Practice, regular attempts at a motor skill, has been shown as a key factor in </w:t>
      </w:r>
      <w:r w:rsidRPr="00B51DDE">
        <w:rPr>
          <w:rFonts w:ascii="Arial" w:hAnsi="Arial" w:cs="Arial"/>
          <w:b/>
          <w:bCs/>
          <w:i/>
          <w:iCs/>
          <w:sz w:val="24"/>
          <w:szCs w:val="24"/>
        </w:rPr>
        <w:t xml:space="preserve">motor learning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(Steinhauer and Eichhorn, 2023)</w:t>
      </w:r>
      <w:r w:rsidRPr="00B51DDE">
        <w:rPr>
          <w:rFonts w:ascii="Arial" w:hAnsi="Arial" w:cs="Arial"/>
          <w:sz w:val="24"/>
          <w:szCs w:val="24"/>
        </w:rPr>
        <w:fldChar w:fldCharType="end"/>
      </w:r>
      <w:r w:rsidRPr="00B51DDE">
        <w:rPr>
          <w:rFonts w:ascii="Arial" w:hAnsi="Arial" w:cs="Arial"/>
          <w:sz w:val="24"/>
          <w:szCs w:val="24"/>
        </w:rPr>
        <w:t xml:space="preserve">. </w:t>
      </w:r>
      <w:r w:rsidR="0038150D" w:rsidRPr="00B51DDE">
        <w:rPr>
          <w:rFonts w:ascii="Arial" w:hAnsi="Arial" w:cs="Arial"/>
          <w:sz w:val="24"/>
          <w:szCs w:val="24"/>
        </w:rPr>
        <w:t>S</w:t>
      </w:r>
      <w:r w:rsidRPr="00B51DDE">
        <w:rPr>
          <w:rFonts w:ascii="Arial" w:hAnsi="Arial" w:cs="Arial"/>
          <w:noProof/>
          <w:sz w:val="24"/>
          <w:szCs w:val="24"/>
        </w:rPr>
        <w:t xml:space="preserve">teinhauer and Eichhorn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(2023)</w:t>
      </w:r>
      <w:r w:rsidRPr="00B51DDE">
        <w:rPr>
          <w:rFonts w:ascii="Arial" w:hAnsi="Arial" w:cs="Arial"/>
          <w:noProof/>
          <w:sz w:val="24"/>
          <w:szCs w:val="24"/>
        </w:rPr>
        <w:fldChar w:fldCharType="end"/>
      </w:r>
      <w:r w:rsidRPr="00B51DDE">
        <w:rPr>
          <w:rFonts w:ascii="Arial" w:hAnsi="Arial" w:cs="Arial"/>
          <w:noProof/>
          <w:sz w:val="24"/>
          <w:szCs w:val="24"/>
        </w:rPr>
        <w:t xml:space="preserve"> offered that after </w:t>
      </w:r>
      <w:r w:rsidRPr="00B51DDE">
        <w:rPr>
          <w:rFonts w:ascii="Arial" w:hAnsi="Arial" w:cs="Arial"/>
          <w:b/>
          <w:bCs/>
          <w:i/>
          <w:iCs/>
          <w:noProof/>
          <w:sz w:val="24"/>
          <w:szCs w:val="24"/>
        </w:rPr>
        <w:t>practice and practice structure</w:t>
      </w:r>
      <w:r w:rsidRPr="00B51DDE">
        <w:rPr>
          <w:rFonts w:ascii="Arial" w:hAnsi="Arial" w:cs="Arial"/>
          <w:noProof/>
          <w:sz w:val="24"/>
          <w:szCs w:val="24"/>
        </w:rPr>
        <w:t xml:space="preserve">, feedback was the next most important factor in motor learning. </w:t>
      </w:r>
      <w:bookmarkEnd w:id="20"/>
      <w:r w:rsidRPr="00B51DDE">
        <w:rPr>
          <w:rFonts w:ascii="Arial" w:hAnsi="Arial" w:cs="Arial"/>
          <w:b/>
          <w:bCs/>
          <w:i/>
          <w:iCs/>
          <w:noProof/>
          <w:sz w:val="24"/>
          <w:szCs w:val="24"/>
        </w:rPr>
        <w:t>Feedback</w:t>
      </w:r>
      <w:r w:rsidRPr="00B51DDE">
        <w:rPr>
          <w:rFonts w:ascii="Arial" w:hAnsi="Arial" w:cs="Arial"/>
          <w:noProof/>
          <w:sz w:val="24"/>
          <w:szCs w:val="24"/>
        </w:rPr>
        <w:t xml:space="preserve"> could be in the form of biofeedback or external verbal feedback. Frequent knowledge of results (external verbal feedback) can help a singer in the learning of a new vocal skill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Adults","type":"article-journal"},"uris":["http://www.mendeley.com/documents/?uuid=2d2cdb97-d5db-480e-939f-439a3803abfc"]},{"id":"ITEM-2","itemData":{"ISBN":"10867732","PMID":"85987196","abstract":"The article focuses on the use of feedback and biofeedback in voice studio learning. It states that feedback is only helpful when necessary, with less frequent feedback being more effective. It comments that voice instructors should avoid overloading students with unnecessary information and to wait a few seconds before providing feedback so students can develop the ability to critically evaluate their performances. It talks about differences in prescriptive and descriptive feedback, along with disadvantages of each. It recommends keeping biofeedback in perspective and suggests while it can be beneficial, its use should receive the same consideration as other types of feedback.","author":[{"dropping-particle":"","family":"Maxfield","given":"Lynn","non-dropping-particle":"","parse-names":false,"suffix":""}],"container-title":"Journal of Singing","id":"ITEM-2","issue":"4","issued":{"date-parts":[["2013"]]},"page":"471-478","title":"Improve Your Students' Learning by Improving Your Feedback","type":"article-journal","volume":"69"},"uris":["http://www.mendeley.com/documents/?uuid=666bc0d7-3b6f-4772-b00d-e201036e218f"]}],"mendeley":{"formattedCitation":"(Maxfield, 2013; Steinhauer and Eichhorn, 2023)","plainTextFormattedCitation":"(Maxfield, 2013; Steinhauer and Eichhorn, 2023)","previouslyFormattedCitation":"(Maxfield, 2013; 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(Maxfield, 2013; Steinhauer and Eichhorn, 2023)</w:t>
      </w:r>
      <w:r w:rsidRPr="00B51DDE">
        <w:rPr>
          <w:rFonts w:ascii="Arial" w:hAnsi="Arial" w:cs="Arial"/>
          <w:noProof/>
          <w:sz w:val="24"/>
          <w:szCs w:val="24"/>
        </w:rPr>
        <w:fldChar w:fldCharType="end"/>
      </w:r>
      <w:r w:rsidRPr="00B51DDE">
        <w:rPr>
          <w:rFonts w:ascii="Arial" w:hAnsi="Arial" w:cs="Arial"/>
          <w:noProof/>
          <w:sz w:val="24"/>
          <w:szCs w:val="24"/>
        </w:rPr>
        <w:t xml:space="preserve">. This can be as simple as a teacher saying </w:t>
      </w:r>
      <w:r w:rsidRPr="00B51DDE">
        <w:rPr>
          <w:rFonts w:ascii="Arial" w:hAnsi="Arial" w:cs="Arial"/>
          <w:i/>
          <w:iCs/>
          <w:noProof/>
          <w:sz w:val="24"/>
          <w:szCs w:val="24"/>
        </w:rPr>
        <w:t xml:space="preserve">“That was correct!” or “You missed that one.” </w:t>
      </w:r>
      <w:r w:rsidRPr="00B51DDE">
        <w:rPr>
          <w:rFonts w:ascii="Arial" w:hAnsi="Arial" w:cs="Arial"/>
          <w:noProof/>
          <w:sz w:val="24"/>
          <w:szCs w:val="24"/>
        </w:rPr>
        <w:t xml:space="preserve">immediately after a singer’s attempt </w:t>
      </w:r>
      <w:r w:rsidRPr="00B51DDE">
        <w:rPr>
          <w:rFonts w:ascii="Arial" w:hAnsi="Arial" w:cs="Arial"/>
          <w:i/>
          <w:iCs/>
          <w:noProof/>
          <w:sz w:val="24"/>
          <w:szCs w:val="24"/>
        </w:rPr>
        <w:fldChar w:fldCharType="begin" w:fldLock="1"/>
      </w:r>
      <w:r w:rsidRPr="00B51DDE">
        <w:rPr>
          <w:rFonts w:ascii="Arial" w:hAnsi="Arial" w:cs="Arial"/>
          <w:i/>
          <w:iCs/>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2023)","manualFormatting":"(Steinhauer and Eichhorn, 2023, p2)","plainTextFormattedCitation":"(Steinhauer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i/>
          <w:iCs/>
          <w:noProof/>
          <w:sz w:val="24"/>
          <w:szCs w:val="24"/>
        </w:rPr>
        <w:fldChar w:fldCharType="separate"/>
      </w:r>
      <w:r w:rsidRPr="00B51DDE">
        <w:rPr>
          <w:rFonts w:ascii="Arial" w:hAnsi="Arial" w:cs="Arial"/>
          <w:iCs/>
          <w:noProof/>
          <w:sz w:val="24"/>
          <w:szCs w:val="24"/>
        </w:rPr>
        <w:t>(Steinhauer and Eichhorn, 2023, p2)</w:t>
      </w:r>
      <w:r w:rsidRPr="00B51DDE">
        <w:rPr>
          <w:rFonts w:ascii="Arial" w:hAnsi="Arial" w:cs="Arial"/>
          <w:i/>
          <w:iCs/>
          <w:noProof/>
          <w:sz w:val="24"/>
          <w:szCs w:val="24"/>
        </w:rPr>
        <w:fldChar w:fldCharType="end"/>
      </w:r>
      <w:r w:rsidRPr="00B51DDE">
        <w:rPr>
          <w:rFonts w:ascii="Arial" w:hAnsi="Arial" w:cs="Arial"/>
          <w:noProof/>
          <w:sz w:val="24"/>
          <w:szCs w:val="24"/>
        </w:rPr>
        <w:t xml:space="preserve">. A student’s biofeedback and analysis of their performance are important aspects of learning; waiting a few seconds before teacher feedback is given can allow this to take place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Theses","id":"ITEM-1","issued":{"date-parts":[["2011"]]},"page":"191","title":"Application of principles from motor-learning theory to the studio voice lesson: Effects of feedback frequency on retention of classical singing technique","type":"article-journal"},"uris":["http://www.mendeley.com/documents/?uuid=92fbf4bf-1473-452d-8fcc-3f4f51740743"]}],"mendeley":{"formattedCitation":"(Maxfield, 2011)","plainTextFormattedCitation":"(Maxfield, 2011)","previouslyFormattedCitation":"(Maxfield, 2011)"},"properties":{"noteIndex":0},"schema":"https://github.com/citation-style-language/schema/raw/master/csl-citation.json"}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(Maxfield, 2011)</w:t>
      </w:r>
      <w:r w:rsidRPr="00B51DDE">
        <w:rPr>
          <w:rFonts w:ascii="Arial" w:hAnsi="Arial" w:cs="Arial"/>
          <w:noProof/>
          <w:sz w:val="24"/>
          <w:szCs w:val="24"/>
        </w:rPr>
        <w:fldChar w:fldCharType="end"/>
      </w:r>
      <w:r w:rsidRPr="00B51DDE">
        <w:rPr>
          <w:rFonts w:ascii="Arial" w:hAnsi="Arial" w:cs="Arial"/>
          <w:noProof/>
          <w:sz w:val="24"/>
          <w:szCs w:val="24"/>
        </w:rPr>
        <w:t>.</w:t>
      </w:r>
    </w:p>
    <w:p w14:paraId="5312D89F" w14:textId="662A01C4" w:rsidR="006E49AD" w:rsidRPr="00B51DDE" w:rsidRDefault="006E49AD" w:rsidP="00AE2080">
      <w:pPr>
        <w:spacing w:line="360" w:lineRule="auto"/>
        <w:jc w:val="both"/>
        <w:rPr>
          <w:rFonts w:ascii="Arial" w:hAnsi="Arial" w:cs="Arial"/>
          <w:noProof/>
          <w:sz w:val="24"/>
          <w:szCs w:val="24"/>
        </w:rPr>
      </w:pPr>
      <w:r w:rsidRPr="00B51DDE">
        <w:rPr>
          <w:rFonts w:ascii="Arial" w:hAnsi="Arial" w:cs="Arial"/>
          <w:noProof/>
          <w:sz w:val="24"/>
          <w:szCs w:val="24"/>
        </w:rPr>
        <w:lastRenderedPageBreak/>
        <w:t>Another per</w:t>
      </w:r>
      <w:r w:rsidR="004B7904" w:rsidRPr="00B51DDE">
        <w:rPr>
          <w:rFonts w:ascii="Arial" w:hAnsi="Arial" w:cs="Arial"/>
          <w:noProof/>
          <w:sz w:val="24"/>
          <w:szCs w:val="24"/>
        </w:rPr>
        <w:t>s</w:t>
      </w:r>
      <w:r w:rsidRPr="00B51DDE">
        <w:rPr>
          <w:rFonts w:ascii="Arial" w:hAnsi="Arial" w:cs="Arial"/>
          <w:noProof/>
          <w:sz w:val="24"/>
          <w:szCs w:val="24"/>
        </w:rPr>
        <w:t xml:space="preserve">pective on Nix’s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Singing","id":"ITEM-1","issue":"2","issued":{"date-parts":[["2017"]]},"page":"215-220","title":"Best Practices: Using Exercise Physiology and Motor Learning Principles in the Teaching Studio and the Practice Room","type":"article-journal","volume":"74"},"uris":["http://www.mendeley.com/documents/?uuid=e60cfaa3-8093-408a-b186-ec25f721c664"]}],"mendeley":{"formattedCitation":"(Nix, 2017)","manualFormatting":"(2017)","plainTextFormattedCitation":"(Nix, 2017)","previouslyFormattedCitation":"(Nix, 2017)"},"properties":{"noteIndex":0},"schema":"https://github.com/citation-style-language/schema/raw/master/csl-citation.json"}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(2017)</w:t>
      </w:r>
      <w:r w:rsidRPr="00B51DDE">
        <w:rPr>
          <w:rFonts w:ascii="Arial" w:hAnsi="Arial" w:cs="Arial"/>
          <w:noProof/>
          <w:sz w:val="24"/>
          <w:szCs w:val="24"/>
        </w:rPr>
        <w:fldChar w:fldCharType="end"/>
      </w:r>
      <w:r w:rsidRPr="00B51DDE">
        <w:rPr>
          <w:rFonts w:ascii="Arial" w:hAnsi="Arial" w:cs="Arial"/>
          <w:noProof/>
          <w:sz w:val="24"/>
          <w:szCs w:val="24"/>
        </w:rPr>
        <w:t xml:space="preserve"> study was offered by </w:t>
      </w:r>
      <w:bookmarkStart w:id="21" w:name="_Hlk158994711"/>
      <w:r w:rsidRPr="00B51DDE">
        <w:rPr>
          <w:rFonts w:ascii="Arial" w:hAnsi="Arial" w:cs="Arial"/>
          <w:noProof/>
          <w:sz w:val="24"/>
          <w:szCs w:val="24"/>
        </w:rPr>
        <w:t xml:space="preserve">Steinhauer and Eichhorn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(2023)</w:t>
      </w:r>
      <w:r w:rsidRPr="00B51DDE">
        <w:rPr>
          <w:rFonts w:ascii="Arial" w:hAnsi="Arial" w:cs="Arial"/>
          <w:noProof/>
          <w:sz w:val="24"/>
          <w:szCs w:val="24"/>
        </w:rPr>
        <w:fldChar w:fldCharType="end"/>
      </w:r>
      <w:r w:rsidRPr="00B51DDE">
        <w:rPr>
          <w:rFonts w:ascii="Arial" w:hAnsi="Arial" w:cs="Arial"/>
          <w:noProof/>
          <w:sz w:val="24"/>
          <w:szCs w:val="24"/>
        </w:rPr>
        <w:t xml:space="preserve"> who also noted that </w:t>
      </w:r>
      <w:r w:rsidRPr="00B51DDE">
        <w:rPr>
          <w:rFonts w:ascii="Arial" w:hAnsi="Arial" w:cs="Arial"/>
          <w:b/>
          <w:bCs/>
          <w:i/>
          <w:iCs/>
          <w:noProof/>
          <w:sz w:val="24"/>
          <w:szCs w:val="24"/>
        </w:rPr>
        <w:t>randomised practice structure</w:t>
      </w:r>
      <w:r w:rsidRPr="00B51DDE">
        <w:rPr>
          <w:rFonts w:ascii="Arial" w:hAnsi="Arial" w:cs="Arial"/>
          <w:noProof/>
          <w:sz w:val="24"/>
          <w:szCs w:val="24"/>
        </w:rPr>
        <w:t xml:space="preserve"> in vocal learning was beneficial with moderate to large effects being observed, specifically training twang. </w:t>
      </w:r>
      <w:bookmarkEnd w:id="21"/>
      <w:r w:rsidR="00B84D4D" w:rsidRPr="00B51DDE">
        <w:rPr>
          <w:rFonts w:ascii="Arial" w:hAnsi="Arial" w:cs="Arial"/>
          <w:noProof/>
          <w:sz w:val="24"/>
          <w:szCs w:val="24"/>
        </w:rPr>
        <w:t>However</w:t>
      </w:r>
      <w:r w:rsidRPr="00B51DDE">
        <w:rPr>
          <w:rFonts w:ascii="Arial" w:hAnsi="Arial" w:cs="Arial"/>
          <w:noProof/>
          <w:sz w:val="24"/>
          <w:szCs w:val="24"/>
        </w:rPr>
        <w:t xml:space="preserve">, they advised caution in generalising this idea because of the small sample size. While waiting for further research in this area, teachers need to use their professional judgement about the benefits of </w:t>
      </w:r>
      <w:r w:rsidR="00554E73" w:rsidRPr="00B51DDE">
        <w:rPr>
          <w:rFonts w:ascii="Arial" w:hAnsi="Arial" w:cs="Arial"/>
          <w:noProof/>
          <w:sz w:val="24"/>
          <w:szCs w:val="24"/>
        </w:rPr>
        <w:t xml:space="preserve">a </w:t>
      </w:r>
      <w:r w:rsidRPr="00B51DDE">
        <w:rPr>
          <w:rFonts w:ascii="Arial" w:hAnsi="Arial" w:cs="Arial"/>
          <w:noProof/>
          <w:sz w:val="24"/>
          <w:szCs w:val="24"/>
        </w:rPr>
        <w:t xml:space="preserve">randomised practice structure for each student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(Denscombe, 2014; Merriam and Tisdell, 2016)</w:t>
      </w:r>
      <w:r w:rsidRPr="00B51DDE">
        <w:rPr>
          <w:rFonts w:ascii="Arial" w:hAnsi="Arial" w:cs="Arial"/>
          <w:noProof/>
          <w:sz w:val="24"/>
          <w:szCs w:val="24"/>
        </w:rPr>
        <w:fldChar w:fldCharType="end"/>
      </w:r>
      <w:r w:rsidRPr="00B51DDE">
        <w:rPr>
          <w:rFonts w:ascii="Arial" w:hAnsi="Arial" w:cs="Arial"/>
          <w:noProof/>
          <w:sz w:val="24"/>
          <w:szCs w:val="24"/>
        </w:rPr>
        <w:t xml:space="preserve">. It would be interesting to research any possible physiological and neurological connections between randomised practice structure and Roll’s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Voice","id":"ITEM-1","issue":"5","issued":{"date-parts":[["2016"]]},"page":"639.e1-639.e9","publisher":"Elsevier Ltd","title":"The Evolution of the Female Broadway Belt Voice: Implications for Teachers and Singers","type":"article-journal","volume":"30"},"uris":["http://www.mendeley.com/documents/?uuid=38644f2f-538f-4d06-8628-46c02201698d"]},{"id":"ITEM-2","itemData":{"abstract":"The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CENTURY","type":"article-journal"},"uris":["http://www.mendeley.com/documents/?uuid=5030bbb6-60db-47c9-8cfb-a9da980f8b89"]}],"mendeley":{"formattedCitation":"(Roll, 2014, 2016)","manualFormatting":"(2014, 2016)","plainTextFormattedCitation":"(Roll, 2014, 2016)","previouslyFormattedCitation":"(Roll, 2014,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(2014, 2016)</w:t>
      </w:r>
      <w:r w:rsidRPr="00B51DDE">
        <w:rPr>
          <w:rFonts w:ascii="Arial" w:hAnsi="Arial" w:cs="Arial"/>
          <w:noProof/>
          <w:sz w:val="24"/>
          <w:szCs w:val="24"/>
        </w:rPr>
        <w:fldChar w:fldCharType="end"/>
      </w:r>
      <w:r w:rsidRPr="00B51DDE">
        <w:rPr>
          <w:rFonts w:ascii="Arial" w:hAnsi="Arial" w:cs="Arial"/>
          <w:noProof/>
          <w:sz w:val="24"/>
          <w:szCs w:val="24"/>
        </w:rPr>
        <w:t xml:space="preserve"> </w:t>
      </w:r>
      <w:r w:rsidRPr="00B51DDE">
        <w:rPr>
          <w:rFonts w:ascii="Arial" w:hAnsi="Arial" w:cs="Arial"/>
          <w:i/>
          <w:iCs/>
          <w:noProof/>
          <w:sz w:val="24"/>
          <w:szCs w:val="24"/>
        </w:rPr>
        <w:t>‘arc of vocal abilities’</w:t>
      </w:r>
      <w:r w:rsidR="002E5477" w:rsidRPr="00B51DDE">
        <w:rPr>
          <w:rFonts w:ascii="Arial" w:hAnsi="Arial" w:cs="Arial"/>
          <w:noProof/>
          <w:sz w:val="24"/>
          <w:szCs w:val="24"/>
        </w:rPr>
        <w:t>,</w:t>
      </w:r>
      <w:r w:rsidRPr="00B51DDE">
        <w:rPr>
          <w:rFonts w:ascii="Arial" w:hAnsi="Arial" w:cs="Arial"/>
          <w:noProof/>
          <w:sz w:val="24"/>
          <w:szCs w:val="24"/>
        </w:rPr>
        <w:t xml:space="preserve"> where effective belt training was observed to have regular variation of vocal tone, register, and style within each lesson. Teachers and students should be aware that randomised practice can lead to decreased performance of a novel vocal task in the short term but lead to increased performance in the later stages of motor learning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(Steinhauer and Eichhorn, 2023)</w:t>
      </w:r>
      <w:r w:rsidRPr="00B51DDE">
        <w:rPr>
          <w:rFonts w:ascii="Arial" w:hAnsi="Arial" w:cs="Arial"/>
          <w:noProof/>
          <w:sz w:val="24"/>
          <w:szCs w:val="24"/>
        </w:rPr>
        <w:fldChar w:fldCharType="end"/>
      </w:r>
      <w:r w:rsidRPr="00B51DDE">
        <w:rPr>
          <w:rFonts w:ascii="Arial" w:hAnsi="Arial" w:cs="Arial"/>
          <w:noProof/>
          <w:sz w:val="24"/>
          <w:szCs w:val="24"/>
        </w:rPr>
        <w:t xml:space="preserve">. The belt training process idea of </w:t>
      </w:r>
      <w:r w:rsidR="00A4102F" w:rsidRPr="00B51DDE">
        <w:rPr>
          <w:rFonts w:ascii="Arial" w:hAnsi="Arial" w:cs="Arial"/>
          <w:noProof/>
          <w:sz w:val="24"/>
          <w:szCs w:val="24"/>
        </w:rPr>
        <w:t>‘</w:t>
      </w:r>
      <w:r w:rsidRPr="00B51DDE">
        <w:rPr>
          <w:rFonts w:ascii="Arial" w:hAnsi="Arial" w:cs="Arial"/>
          <w:noProof/>
          <w:sz w:val="24"/>
          <w:szCs w:val="24"/>
        </w:rPr>
        <w:t>working progressively</w:t>
      </w:r>
      <w:r w:rsidR="00A4102F" w:rsidRPr="00B51DDE">
        <w:rPr>
          <w:rFonts w:ascii="Arial" w:hAnsi="Arial" w:cs="Arial"/>
          <w:noProof/>
          <w:sz w:val="24"/>
          <w:szCs w:val="24"/>
        </w:rPr>
        <w:t>’</w:t>
      </w:r>
      <w:r w:rsidRPr="00B51DDE">
        <w:rPr>
          <w:rFonts w:ascii="Arial" w:hAnsi="Arial" w:cs="Arial"/>
          <w:noProof/>
          <w:sz w:val="24"/>
          <w:szCs w:val="24"/>
        </w:rPr>
        <w:t xml:space="preserve"> is supported by the concepts from these studies</w:t>
      </w:r>
      <w:r w:rsidR="001065C3" w:rsidRPr="00B51DDE">
        <w:rPr>
          <w:rFonts w:ascii="Arial" w:hAnsi="Arial" w:cs="Arial"/>
          <w:noProof/>
          <w:sz w:val="24"/>
          <w:szCs w:val="24"/>
        </w:rPr>
        <w:t xml:space="preserve"> and the expert feedback</w:t>
      </w:r>
      <w:r w:rsidRPr="00B51DDE">
        <w:rPr>
          <w:rFonts w:ascii="Arial" w:hAnsi="Arial" w:cs="Arial"/>
          <w:noProof/>
          <w:sz w:val="24"/>
          <w:szCs w:val="24"/>
        </w:rPr>
        <w:t>.</w:t>
      </w:r>
    </w:p>
    <w:p w14:paraId="150D1AF7" w14:textId="4E97F0E8" w:rsidR="006E49AD" w:rsidRPr="00B51DDE" w:rsidRDefault="006E49AD" w:rsidP="00AE2080">
      <w:pPr>
        <w:pStyle w:val="NormalWeb"/>
        <w:spacing w:line="360" w:lineRule="auto"/>
        <w:jc w:val="both"/>
        <w:rPr>
          <w:rFonts w:ascii="Arial" w:hAnsi="Arial" w:cs="Arial"/>
          <w:noProof/>
        </w:rPr>
      </w:pPr>
      <w:r w:rsidRPr="00B51DDE">
        <w:rPr>
          <w:rFonts w:ascii="Arial" w:hAnsi="Arial" w:cs="Arial"/>
          <w:color w:val="000000"/>
        </w:rPr>
        <w:t xml:space="preserve">When discussing twang, the experts suggested that it helps students gain access to ‘upper harmonics’, which they discussed as being particularly important for high belting </w:t>
      </w:r>
      <w:r w:rsidRPr="00B51DDE">
        <w:rPr>
          <w:rFonts w:ascii="Arial" w:hAnsi="Arial" w:cs="Arial"/>
          <w:color w:val="000000"/>
        </w:rPr>
        <w:fldChar w:fldCharType="begin" w:fldLock="1"/>
      </w:r>
      <w:r w:rsidR="00880CAC" w:rsidRPr="00B51DDE">
        <w:rPr>
          <w:rFonts w:ascii="Arial" w:hAnsi="Arial" w:cs="Arial"/>
          <w:color w:val="000000"/>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sources","type":"article"},"uris":["http://www.mendeley.com/documents/?uuid=60c32bec-4096-4eff-b411-5a6d48cc81e4"]}],"mendeley":{"formattedCitation":"(1, 2023; 2, 2023)","plainTextFormattedCitation":"(1, 2023; 2, 2023)","previouslyFormattedCitation":"(1, 2023; 2, 2023)"},"properties":{"noteIndex":0},"schema":"https://github.com/citation-style-language/schema/raw/master/csl-citation.json"}</w:instrText>
      </w:r>
      <w:r w:rsidRPr="00B51DDE">
        <w:rPr>
          <w:rFonts w:ascii="Arial" w:hAnsi="Arial" w:cs="Arial"/>
          <w:color w:val="000000"/>
        </w:rPr>
        <w:fldChar w:fldCharType="separate"/>
      </w:r>
      <w:r w:rsidRPr="00B51DDE">
        <w:rPr>
          <w:rFonts w:ascii="Arial" w:hAnsi="Arial" w:cs="Arial"/>
          <w:noProof/>
          <w:color w:val="000000"/>
        </w:rPr>
        <w:t>(1, 2023; 2, 2023)</w:t>
      </w:r>
      <w:r w:rsidRPr="00B51DDE">
        <w:rPr>
          <w:rFonts w:ascii="Arial" w:hAnsi="Arial" w:cs="Arial"/>
          <w:color w:val="000000"/>
        </w:rPr>
        <w:fldChar w:fldCharType="end"/>
      </w:r>
      <w:r w:rsidRPr="00B51DDE">
        <w:rPr>
          <w:rFonts w:ascii="Arial" w:hAnsi="Arial" w:cs="Arial"/>
          <w:color w:val="000000"/>
        </w:rPr>
        <w:t xml:space="preserve">. The expert explanations of high belt used descriptions such as a </w:t>
      </w:r>
      <w:r w:rsidRPr="00B51DDE">
        <w:rPr>
          <w:rFonts w:ascii="Arial" w:hAnsi="Arial" w:cs="Arial"/>
          <w:i/>
          <w:iCs/>
          <w:color w:val="000000"/>
        </w:rPr>
        <w:t>‘twang recipe’</w:t>
      </w:r>
      <w:r w:rsidRPr="00B51DDE">
        <w:rPr>
          <w:rFonts w:ascii="Arial" w:hAnsi="Arial" w:cs="Arial"/>
          <w:color w:val="000000"/>
        </w:rPr>
        <w:t xml:space="preserve">, </w:t>
      </w:r>
      <w:r w:rsidRPr="00B51DDE">
        <w:rPr>
          <w:rFonts w:ascii="Arial" w:hAnsi="Arial" w:cs="Arial"/>
          <w:i/>
          <w:iCs/>
          <w:color w:val="000000"/>
        </w:rPr>
        <w:t>‘acoustic belt’</w:t>
      </w:r>
      <w:r w:rsidRPr="00B51DDE">
        <w:rPr>
          <w:rFonts w:ascii="Arial" w:hAnsi="Arial" w:cs="Arial"/>
          <w:color w:val="000000"/>
        </w:rPr>
        <w:t xml:space="preserve">, and using high frequencies to give the impression of loud without using thick vocal folds. </w:t>
      </w:r>
      <w:r w:rsidRPr="00B51DDE">
        <w:rPr>
          <w:rFonts w:ascii="Arial" w:hAnsi="Arial" w:cs="Arial"/>
          <w:noProof/>
        </w:rPr>
        <w:t>The expert interviews suggested singing teachers would benefit from having an understanding of vocal acoustics. Measu</w:t>
      </w:r>
      <w:r w:rsidR="00847815" w:rsidRPr="00B51DDE">
        <w:rPr>
          <w:rFonts w:ascii="Arial" w:hAnsi="Arial" w:cs="Arial"/>
          <w:noProof/>
        </w:rPr>
        <w:t>r</w:t>
      </w:r>
      <w:r w:rsidRPr="00B51DDE">
        <w:rPr>
          <w:rFonts w:ascii="Arial" w:hAnsi="Arial" w:cs="Arial"/>
          <w:noProof/>
        </w:rPr>
        <w:t xml:space="preserve">ements of vocal acoustics are used to quantify aspects of singing such as twang and belting in voice research. </w:t>
      </w:r>
      <w:bookmarkStart w:id="22" w:name="_Hlk158994809"/>
      <w:r w:rsidR="00315022" w:rsidRPr="00B51DDE">
        <w:rPr>
          <w:rFonts w:ascii="Arial" w:hAnsi="Arial" w:cs="Arial"/>
          <w:noProof/>
        </w:rPr>
        <w:t>Important t</w:t>
      </w:r>
      <w:r w:rsidRPr="00B51DDE">
        <w:rPr>
          <w:rFonts w:ascii="Arial" w:hAnsi="Arial" w:cs="Arial"/>
          <w:noProof/>
        </w:rPr>
        <w:t>erm</w:t>
      </w:r>
      <w:r w:rsidR="008F5894" w:rsidRPr="00B51DDE">
        <w:rPr>
          <w:rFonts w:ascii="Arial" w:hAnsi="Arial" w:cs="Arial"/>
          <w:noProof/>
        </w:rPr>
        <w:t>i</w:t>
      </w:r>
      <w:r w:rsidRPr="00B51DDE">
        <w:rPr>
          <w:rFonts w:ascii="Arial" w:hAnsi="Arial" w:cs="Arial"/>
          <w:noProof/>
        </w:rPr>
        <w:t xml:space="preserve">nology </w:t>
      </w:r>
      <w:r w:rsidR="00315022" w:rsidRPr="00B51DDE">
        <w:rPr>
          <w:rFonts w:ascii="Arial" w:hAnsi="Arial" w:cs="Arial"/>
          <w:noProof/>
        </w:rPr>
        <w:t xml:space="preserve">frequently </w:t>
      </w:r>
      <w:r w:rsidRPr="00B51DDE">
        <w:rPr>
          <w:rFonts w:ascii="Arial" w:hAnsi="Arial" w:cs="Arial"/>
          <w:noProof/>
        </w:rPr>
        <w:t>used in vocal acou</w:t>
      </w:r>
      <w:r w:rsidR="008F5894" w:rsidRPr="00B51DDE">
        <w:rPr>
          <w:rFonts w:ascii="Arial" w:hAnsi="Arial" w:cs="Arial"/>
          <w:noProof/>
        </w:rPr>
        <w:t>s</w:t>
      </w:r>
      <w:r w:rsidRPr="00B51DDE">
        <w:rPr>
          <w:rFonts w:ascii="Arial" w:hAnsi="Arial" w:cs="Arial"/>
          <w:noProof/>
        </w:rPr>
        <w:t>tics includes descriptors such as ‘upper harmonics’, ‘high</w:t>
      </w:r>
      <w:r w:rsidR="00357F22" w:rsidRPr="00B51DDE">
        <w:rPr>
          <w:rFonts w:ascii="Arial" w:hAnsi="Arial" w:cs="Arial"/>
          <w:noProof/>
        </w:rPr>
        <w:t>-</w:t>
      </w:r>
      <w:r w:rsidRPr="00B51DDE">
        <w:rPr>
          <w:rFonts w:ascii="Arial" w:hAnsi="Arial" w:cs="Arial"/>
          <w:noProof/>
        </w:rPr>
        <w:t xml:space="preserve">frequency components’, and ‘formant tuning’ </w:t>
      </w:r>
      <w:r w:rsidRPr="00B51DDE">
        <w:rPr>
          <w:rFonts w:ascii="Arial" w:hAnsi="Arial" w:cs="Arial"/>
          <w:noProof/>
        </w:rPr>
        <w:fldChar w:fldCharType="begin" w:fldLock="1"/>
      </w:r>
      <w:r w:rsidRPr="00B51DDE">
        <w:rPr>
          <w:rFonts w:ascii="Arial" w:hAnsi="Arial" w:cs="Arial"/>
          <w:noProof/>
        </w:rPr>
        <w:instrText>ADDIN CSL_CITATION {"citationItems":[{"id":"ITEM-1","itemData":{"DOI":"10.1016/S0892-1997(05)80344-3","PMID":"8353628","abstract":"There is a commonly perceived difference in the sound produced in the approximate range D 4-D 5 by female singers in the western opera and concert tradition, on the one hand, and certain other styles, including rock, pop, folk, and some Broadway musicals, on the other. The term “belting” is sometimes used to refer to at least one approach to such “nonclassical” singing. In this study, based on spectrographic, electroglottographic, and sub- and supraglottal pressure measurements on representative voices of the “operatic” and “nonclassical” tradition, acoustic and laryngeal differences between the two traditions are described, and an objective, specific definition of “belting” is offered.","author":[{"dropping-particle":"","family":"Schutte","given":"Harm K.","non-dropping-particle":"","parse-names":false,"suffix":""},{"dropping-particle":"","family":"Miller","given":"Donald G","non-dropping-particle":"","parse-names":false,"suffix":""}],"container-title":"Journal of voice","id":"ITEM-1","issued":{"date-parts":[["1993"]]},"page":"p.142-150","title":"Belting and pop, nonclassical approaches to the female middle voice: some preliminary considerations","type":"article-journal","volume":"Vol.7 (2)"},"uris":["http://www.mendeley.com/documents/?uuid=6c688685-c2d8-42d0-bf9f-79540ddc53bb"]},{"id":"ITEM-2","itemData":{"DOI":"10.1016/S0892-1997(00)80027-2","ISSN":"08921997","PMID":"10875571","abstract":"This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Voice","id":"ITEM-2","issue":"2","issued":{"date-parts":[["2000"]]},"page":"194-204","title":"Resonance strategies for the belting style: Results of a single female subject study","type":"article-journal","volume":"14"},"uris":["http://www.mendeley.com/documents/?uuid=69e60786-bdad-41b2-bca6-289dc340c496"]},{"id":"ITEM-3","itemData":{"DOI":"10.1016/j.jvoice.2013.06.005","ISSN":"08921997","PMID":"24084360","abstract":"Objectives A longitudinal study was performed on the acoustical effects of singing voice training under a given study program, using the voice range profile (VRP). Study Design Pretraining and posttraining recordings were made of students who participated in a 3-year bachelor singing study program. A questionnaire that included questions on optimal range, register use, classification, vocal health and hygiene, mixing technique, and training goals was used to rate and categorize self-assessed voice changes. Based on the responses, a subgroup of 10 classically trained female voices was selected, which was homogeneous enough for effects of training to be identified. Methods The VRP perimeter contour was analyzed for effects of voice training. Also, a mapping within the VRP of voice quality, as expressed by the crest factor, was used to indicate the register boundaries and to monitor the acoustical consequences of the newly learned vocal technique of \"mixed voice.\" VRPs were averaged across subjects. Findings were compared with the self-assessed vocal changes. Results Pre/post comparison of the average VRPs showed, in the midrange, (1) a decrease in the VRP area that was associated with the loud chest voice, (2) a reduction of the crest factor values, and (3) a reduction of maximum sound pressure level values. The students' self-evaluations of the voice changes appeared in some cases to contradict the VRP findings. Conclusions VRPs of individual voices were seen to change over the course of a singing education. These changes were manifest also in the average group. High-resolution computerized recording, complemented with an acoustic register marker, allows a meaningful assessment of some effects of training, on an individual basis and for groups that comprise singers of a specific genre. It is argued that this kind of investigation is possible only within a focused training program, given by a faculty who has agreed on the goals. © 2014 The Voice Foundation.","author":[{"dropping-particle":"","family":"Pabon","given":"Peter","non-dropping-particle":"","parse-names":false,"suffix":""},{"dropping-particle":"","family":"Stallinga","given":"Rob","non-dropping-particle":"","parse-names":false,"suffix":""},{"dropping-particle":"","family":"Södersten","given":"Maria","non-dropping-particle":"","parse-names":false,"suffix":""},{"dropping-particle":"","family":"Ternström","given":"Sten","non-dropping-particle":"","parse-names":false,"suffix":""}],"container-title":"Journal of Voice","id":"ITEM-3","issue":"1","issued":{"date-parts":[["2014"]]},"page":"36-51","title":"Effects on vocal range and voice quality of singing voice training: The classically trained female voice","type":"article-journal","volume":"28"},"uris":["http://www.mendeley.com/documents/?uuid=ff251b0a-5f24-42df-817b-1b10a27b4c3c"]},{"id":"ITEM-4","itemData":{"DOI":"10.1016/j.jvoice.2018.10.006","ISSN":"18734588","PMID":"30409455","abstract":"Purpose: Current research on the female belt voice has generally been limited to the range of C5, which is not representative of the current requirements on Broadway. Additionally, much belt research uses voice teachers or college students. The goal of this study was to acoustically examine both higher and lower belt ranges in 10 women who have performed belt roles on Broadway during the last decade. Method: We analyzed the long-term average spectrum of the middle stable portion of three belted pitches, one from a lower, more traditional belt song and two from a higher, more contemporary belt song. The dB levels of the first three peaks in the long-term average spectrum corresponding to the first three harmonics were extracted and compared across tasks. Age, professional roles played on Broadway, and self-perceived belt strategy were obtained via interview to find potential unifying factors in resonance strategies. Results: Overall, the dB level of the peaks closest to the second and third harmonics were higher than the peak close to the fundamental frequency. The difference between peaks was statistically greater in the lower belt compared to both higher belt tasks, indicating these singers relied more on a single harmonic in the lower belt range than the higher belt range. In the higher belt range, there was less variability between peaks. No patterns emerged between resonance strategies and demographic information. Conclusions: Elite female belters use varying resonance strategies to create commercially viable belt sounds in different belt ranges.","author":[{"dropping-particle":"","family":"Flynn","given":"Amanda","non-dropping-particle":"","parse-names":false,"suffix":""},{"dropping-particle":"","family":"Trudeau","given":"Jared","non-dropping-particle":"","parse-names":false,"suffix":""},{"dropping-particle":"","family":"Johnson","given":"Aaron M.","non-dropping-particle":"","parse-names":false,"suffix":""}],"container-title":"Journal of Voice","id":"ITEM-4","issue":"3","issued":{"date-parts":[["2020"]]},"page":"410-414","publisher":"Elsevier Inc.","title":"Acoustic Comparison of Lower and Higher Belt Ranges in Professional Broadway Actresses","type":"article-journal","volume":"34"},"uris":["http://www.mendeley.com/documents/?uuid=0c06f832-764a-4dba-ae68-5a1b1aef2b2a"]}],"mendeley":{"formattedCitation":"(Schutte and Miller, 1993; Bestebreurtje and Schutte, 2000; Pabon &lt;i&gt;et al.&lt;/i&gt;, 2014; Flynn, Trudeau and Johnson, 2020)","plainTextFormattedCitation":"(Schutte and Miller, 1993; Bestebreurtje and Schutte, 2000; Pabon et al., 2014; Flynn, Trudeau and Johnson, 2020)","previouslyFormattedCitation":"(Schutte and Miller, 1993; Bestebreurtje and Schutte, 2000; Pabon &lt;i&gt;et al.&lt;/i&gt;, 2014; Flynn, Trudeau and Johnson, 2020)"},"properties":{"noteIndex":0},"schema":"https://github.com/citation-style-language/schema/raw/master/csl-citation.json"}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(Schutte and Miller, 1993; Bestebreurtje and Schutte, 2000; Pabon </w:t>
      </w:r>
      <w:r w:rsidRPr="00B51DDE">
        <w:rPr>
          <w:rFonts w:ascii="Arial" w:hAnsi="Arial" w:cs="Arial"/>
          <w:i/>
          <w:noProof/>
        </w:rPr>
        <w:t>et al.</w:t>
      </w:r>
      <w:r w:rsidRPr="00B51DDE">
        <w:rPr>
          <w:rFonts w:ascii="Arial" w:hAnsi="Arial" w:cs="Arial"/>
          <w:noProof/>
        </w:rPr>
        <w:t>, 2014; Flynn, Trudeau and Johnson, 2020)</w:t>
      </w:r>
      <w:r w:rsidRPr="00B51DDE">
        <w:rPr>
          <w:rFonts w:ascii="Arial" w:hAnsi="Arial" w:cs="Arial"/>
          <w:noProof/>
        </w:rPr>
        <w:fldChar w:fldCharType="end"/>
      </w:r>
      <w:r w:rsidRPr="00B51DDE">
        <w:rPr>
          <w:rFonts w:ascii="Arial" w:hAnsi="Arial" w:cs="Arial"/>
          <w:noProof/>
        </w:rPr>
        <w:t xml:space="preserve">. </w:t>
      </w:r>
      <w:r w:rsidRPr="00B51DDE">
        <w:rPr>
          <w:rFonts w:ascii="Arial" w:hAnsi="Arial" w:cs="Arial"/>
        </w:rPr>
        <w:t xml:space="preserve">The term </w:t>
      </w:r>
      <w:r w:rsidRPr="00B51DDE">
        <w:rPr>
          <w:rFonts w:ascii="Arial" w:hAnsi="Arial" w:cs="Arial"/>
          <w:b/>
          <w:bCs/>
          <w:i/>
          <w:iCs/>
        </w:rPr>
        <w:t>fundamental frequency (referred to as F</w:t>
      </w:r>
      <w:r w:rsidRPr="00B51DDE">
        <w:rPr>
          <w:rFonts w:ascii="Arial" w:hAnsi="Arial" w:cs="Arial"/>
          <w:b/>
          <w:bCs/>
          <w:i/>
          <w:iCs/>
          <w:vertAlign w:val="subscript"/>
        </w:rPr>
        <w:t xml:space="preserve">0 </w:t>
      </w:r>
      <w:r w:rsidRPr="00B51DDE">
        <w:rPr>
          <w:rFonts w:ascii="Arial" w:hAnsi="Arial" w:cs="Arial"/>
          <w:b/>
          <w:bCs/>
          <w:i/>
          <w:iCs/>
        </w:rPr>
        <w:t>or H</w:t>
      </w:r>
      <w:r w:rsidRPr="00B51DDE">
        <w:rPr>
          <w:rFonts w:ascii="Arial" w:hAnsi="Arial" w:cs="Arial"/>
          <w:b/>
          <w:bCs/>
          <w:i/>
          <w:iCs/>
          <w:vertAlign w:val="subscript"/>
        </w:rPr>
        <w:t>1</w:t>
      </w:r>
      <w:r w:rsidRPr="00B51DDE">
        <w:rPr>
          <w:rFonts w:ascii="Arial" w:hAnsi="Arial" w:cs="Arial"/>
          <w:b/>
          <w:bCs/>
          <w:i/>
          <w:iCs/>
        </w:rPr>
        <w:t xml:space="preserve">) </w:t>
      </w:r>
      <w:r w:rsidRPr="00B51DDE">
        <w:rPr>
          <w:rFonts w:ascii="Arial" w:hAnsi="Arial" w:cs="Arial"/>
        </w:rPr>
        <w:t xml:space="preserve">refers to </w:t>
      </w:r>
      <w:r w:rsidR="008118AB" w:rsidRPr="00B51DDE">
        <w:rPr>
          <w:rFonts w:ascii="Arial" w:hAnsi="Arial" w:cs="Arial"/>
        </w:rPr>
        <w:t xml:space="preserve">what </w:t>
      </w:r>
      <w:r w:rsidRPr="00B51DDE">
        <w:rPr>
          <w:rFonts w:ascii="Arial" w:hAnsi="Arial" w:cs="Arial"/>
        </w:rPr>
        <w:t xml:space="preserve">we hear as the pitch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Voice","id":"ITEM-2","issued":{"date-parts":[["2023"]]},"page":"1-13","publisher":"Elsevier Inc.","title":"Acoustical Theory of Vowel Modification Strategies in Belting","type":"article-journal"},"uris":["http://www.mendeley.com/documents/?uuid=29a6353b-a293-43f1-a2e3-774f76647a29"]}],"mendeley":{"formattedCitation":"(Bozeman, 2013; Herbst, Story and Meyer, 2023)","plainTextFormattedCitation":"(Bozeman, 2013; Herbst, Story and Meyer, 2023)","previouslyFormattedCitation":"(Bozeman, 2013;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(Bozeman, 2013; Herbst, Story and Meyer, 2023)</w:t>
      </w:r>
      <w:r w:rsidRPr="00B51DDE">
        <w:rPr>
          <w:rFonts w:ascii="Arial" w:hAnsi="Arial" w:cs="Arial"/>
        </w:rPr>
        <w:fldChar w:fldCharType="end"/>
      </w:r>
      <w:r w:rsidRPr="00B51DDE">
        <w:rPr>
          <w:rFonts w:ascii="Arial" w:hAnsi="Arial" w:cs="Arial"/>
        </w:rPr>
        <w:t>. A ‘pure’ sound contains the fundamental frequency</w:t>
      </w:r>
      <w:r w:rsidRPr="00B51DDE">
        <w:rPr>
          <w:rFonts w:ascii="Arial" w:hAnsi="Arial" w:cs="Arial"/>
          <w:b/>
          <w:bCs/>
          <w:i/>
          <w:iCs/>
        </w:rPr>
        <w:t xml:space="preserve"> </w:t>
      </w:r>
      <w:r w:rsidRPr="00B51DDE">
        <w:rPr>
          <w:rFonts w:ascii="Arial" w:hAnsi="Arial" w:cs="Arial"/>
        </w:rPr>
        <w:t xml:space="preserve">plus a series of harmonics at higher frequencies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Voice","id":"ITEM-2","issued":{"date-parts":[["2023"]]},"page":"1-13","publisher":"Elsevier Inc.","title":"Acoustical Theory of Vowel Modification Strategies in Belting","type":"article-journal"},"uris":["http://www.mendeley.com/documents/?uuid=29a6353b-a293-43f1-a2e3-774f76647a29"]}],"mendeley":{"formattedCitation":"(Bozeman, 2013; Herbst, Story and Meyer, 2023)","plainTextFormattedCitation":"(Bozeman, 2013; Herbst, Story and Meyer, 2023)","previouslyFormattedCitation":"(Bozeman, 2013;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(Bozeman, 2013; Herbst, Story and Meyer, 2023)</w:t>
      </w:r>
      <w:r w:rsidRPr="00B51DDE">
        <w:rPr>
          <w:rFonts w:ascii="Arial" w:hAnsi="Arial" w:cs="Arial"/>
        </w:rPr>
        <w:fldChar w:fldCharType="end"/>
      </w:r>
      <w:r w:rsidRPr="00B51DDE">
        <w:rPr>
          <w:rFonts w:ascii="Arial" w:hAnsi="Arial" w:cs="Arial"/>
        </w:rPr>
        <w:t>.</w:t>
      </w:r>
      <w:bookmarkEnd w:id="22"/>
      <w:r w:rsidRPr="00B51DDE">
        <w:rPr>
          <w:rFonts w:ascii="Arial" w:hAnsi="Arial" w:cs="Arial"/>
        </w:rPr>
        <w:t xml:space="preserve"> A ‘real’ sung tone is more complex than a pure sound wave. The fundamental frequency</w:t>
      </w:r>
      <w:r w:rsidRPr="00B51DDE">
        <w:rPr>
          <w:rFonts w:ascii="Arial" w:hAnsi="Arial" w:cs="Arial"/>
          <w:b/>
          <w:bCs/>
          <w:vertAlign w:val="subscript"/>
        </w:rPr>
        <w:t xml:space="preserve">, </w:t>
      </w:r>
      <w:r w:rsidRPr="00B51DDE">
        <w:rPr>
          <w:rFonts w:ascii="Arial" w:hAnsi="Arial" w:cs="Arial"/>
        </w:rPr>
        <w:t xml:space="preserve">laryngeal register, phonation mode, and intensity of sound impact the number and strength of harmonics present in a sung tone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Voice","id":"ITEM-2","issue":"4","issued":{"date-parts":[["2013"]]},"page":"523.e19-523.e34","title":"Vocal tract and glottal function during and after vocal exercising with resonance tube and straw","type":"article-journal","volume":"27"},"uris":["http://www.mendeley.com/documents/?uuid=49a86ff6-19f7-4857-9389-1a18df65737e"]}],"mendeley":{"formattedCitation":"(Bozeman, 2013; Guzman &lt;i&gt;et al.&lt;/i&gt;, 2013)","plainTextFormattedCitation":"(Bozeman, 2013; Guzman et al., 2013)","previouslyFormattedCitation":"(Bozeman, 2013; Guzman &lt;i&gt;et al.&lt;/i&gt;,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(Bozeman, 2013; Guzman </w:t>
      </w:r>
      <w:r w:rsidRPr="00B51DDE">
        <w:rPr>
          <w:rFonts w:ascii="Arial" w:hAnsi="Arial" w:cs="Arial"/>
          <w:i/>
          <w:noProof/>
        </w:rPr>
        <w:t>et al.</w:t>
      </w:r>
      <w:r w:rsidRPr="00B51DDE">
        <w:rPr>
          <w:rFonts w:ascii="Arial" w:hAnsi="Arial" w:cs="Arial"/>
          <w:noProof/>
        </w:rPr>
        <w:t>, 2013)</w:t>
      </w:r>
      <w:r w:rsidRPr="00B51DDE">
        <w:rPr>
          <w:rFonts w:ascii="Arial" w:hAnsi="Arial" w:cs="Arial"/>
        </w:rPr>
        <w:fldChar w:fldCharType="end"/>
      </w:r>
      <w:r w:rsidRPr="00B51DDE">
        <w:rPr>
          <w:rFonts w:ascii="Arial" w:hAnsi="Arial" w:cs="Arial"/>
        </w:rPr>
        <w:t xml:space="preserve">. </w:t>
      </w:r>
      <w:r w:rsidRPr="00B51DDE">
        <w:rPr>
          <w:rFonts w:ascii="Arial" w:hAnsi="Arial" w:cs="Arial"/>
          <w:noProof/>
        </w:rPr>
        <w:lastRenderedPageBreak/>
        <w:t xml:space="preserve">Narrowing of the aryepiglottic sphincter has been </w:t>
      </w:r>
      <w:r w:rsidRPr="00B51DDE">
        <w:rPr>
          <w:rFonts w:ascii="Arial" w:hAnsi="Arial" w:cs="Arial"/>
          <w:i/>
          <w:iCs/>
          <w:noProof/>
        </w:rPr>
        <w:t xml:space="preserve">‘advocated for enhancing the vocal resonance of speech and song’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2023)","manualFormatting":"(Steinhauer and Eichhorn, 2023, p2)","plainTextFormattedCitation":"(Steinhauer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(Steinhauer and Eichhorn, 2023, p2)</w:t>
      </w:r>
      <w:r w:rsidRPr="00B51DDE">
        <w:rPr>
          <w:rFonts w:ascii="Arial" w:hAnsi="Arial" w:cs="Arial"/>
          <w:noProof/>
        </w:rPr>
        <w:fldChar w:fldCharType="end"/>
      </w:r>
      <w:r w:rsidRPr="00B51DDE">
        <w:rPr>
          <w:rFonts w:ascii="Arial" w:hAnsi="Arial" w:cs="Arial"/>
          <w:noProof/>
        </w:rPr>
        <w:t>.</w:t>
      </w:r>
    </w:p>
    <w:p w14:paraId="32D028FC" w14:textId="2AFD26BB" w:rsidR="006E49AD" w:rsidRPr="00B51DDE" w:rsidRDefault="006E49AD" w:rsidP="00AE2080">
      <w:pPr>
        <w:pStyle w:val="NormalWeb"/>
        <w:spacing w:line="360" w:lineRule="auto"/>
        <w:jc w:val="both"/>
        <w:rPr>
          <w:rFonts w:ascii="Arial" w:hAnsi="Arial" w:cs="Arial"/>
        </w:rPr>
      </w:pPr>
      <w:r w:rsidRPr="00B51DDE">
        <w:rPr>
          <w:rFonts w:ascii="Arial" w:hAnsi="Arial" w:cs="Arial"/>
        </w:rPr>
        <w:t xml:space="preserve">From a vocal acoustics perspective, </w:t>
      </w:r>
      <w:r w:rsidRPr="00B51DDE">
        <w:rPr>
          <w:rFonts w:ascii="Arial" w:hAnsi="Arial" w:cs="Arial"/>
          <w:b/>
          <w:bCs/>
          <w:i/>
          <w:iCs/>
        </w:rPr>
        <w:t>resonance</w:t>
      </w:r>
      <w:r w:rsidRPr="00B51DDE">
        <w:rPr>
          <w:rFonts w:ascii="Arial" w:hAnsi="Arial" w:cs="Arial"/>
        </w:rPr>
        <w:t xml:space="preserve"> is when the air molecules in the vocal tract respond with a greater strength of oscillation at certain frequencies called </w:t>
      </w:r>
      <w:r w:rsidRPr="00B51DDE">
        <w:rPr>
          <w:rFonts w:ascii="Arial" w:hAnsi="Arial" w:cs="Arial"/>
          <w:b/>
          <w:bCs/>
          <w:i/>
          <w:iCs/>
        </w:rPr>
        <w:t>formants</w:t>
      </w:r>
      <w:r w:rsidRPr="00B51DDE">
        <w:rPr>
          <w:rFonts w:ascii="Arial" w:hAnsi="Arial" w:cs="Arial"/>
        </w:rPr>
        <w:t xml:space="preserve">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Voice","id":"ITEM-2","issue":"4","issued":{"date-parts":[["2013"]]},"page":"523.e19-523.e34","title":"Vocal tract and glottal function during and after vocal exercising with resonance tube and straw","type":"article-journal","volume":"27"},"uris":["http://www.mendeley.com/documents/?uuid=49a86ff6-19f7-4857-9389-1a18df65737e"]},{"id":"ITEM-3","itemData":{"DOI":"10.1016/S0892-1997(00)80027-2","ISSN":"08921997","PMID":"10875571","abstract":"This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Voice","id":"ITEM-3","issue":"2","issued":{"date-parts":[["2000"]]},"page":"194-204","title":"Resonance strategies for the belting style: Results of a single female subject study","type":"article-journal","volume":"14"},"uris":["http://www.mendeley.com/documents/?uuid=69e60786-bdad-41b2-bca6-289dc340c496"]}],"mendeley":{"formattedCitation":"(Bestebreurtje and Schutte, 2000; Bozeman, 2013; Guzman &lt;i&gt;et al.&lt;/i&gt;, 2013)","plainTextFormattedCitation":"(Bestebreurtje and Schutte, 2000; Bozeman, 2013; Guzman et al., 2013)","previouslyFormattedCitation":"(Bestebreurtje and Schutte, 2000; Bozeman, 2013; Guzman &lt;i&gt;et al.&lt;/i&gt;,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(Bestebreurtje and Schutte, 2000; Bozeman, 2013; Guzman </w:t>
      </w:r>
      <w:r w:rsidRPr="00B51DDE">
        <w:rPr>
          <w:rFonts w:ascii="Arial" w:hAnsi="Arial" w:cs="Arial"/>
          <w:i/>
          <w:noProof/>
        </w:rPr>
        <w:t>et al.</w:t>
      </w:r>
      <w:r w:rsidRPr="00B51DDE">
        <w:rPr>
          <w:rFonts w:ascii="Arial" w:hAnsi="Arial" w:cs="Arial"/>
          <w:noProof/>
        </w:rPr>
        <w:t>, 2013)</w:t>
      </w:r>
      <w:r w:rsidRPr="00B51DDE">
        <w:rPr>
          <w:rFonts w:ascii="Arial" w:hAnsi="Arial" w:cs="Arial"/>
        </w:rPr>
        <w:fldChar w:fldCharType="end"/>
      </w:r>
      <w:r w:rsidRPr="00B51DDE">
        <w:rPr>
          <w:rFonts w:ascii="Arial" w:hAnsi="Arial" w:cs="Arial"/>
        </w:rPr>
        <w:t xml:space="preserve">. The vocal tract shape can change which can change harmonics and trigger a different resonance in a sung tone </w:t>
      </w:r>
      <w:r w:rsidRPr="00B51DDE">
        <w:rPr>
          <w:rFonts w:ascii="Arial" w:hAnsi="Arial" w:cs="Arial"/>
        </w:rPr>
        <w:fldChar w:fldCharType="begin" w:fldLock="1"/>
      </w:r>
      <w:r w:rsidRPr="00B51DDE">
        <w:rPr>
          <w:rFonts w:ascii="Arial" w:hAnsi="Arial" w:cs="Arial"/>
        </w:rPr>
        <w:instrText>ADDIN CSL_CITATION {"citationItems":[{"id":"ITEM-1","itemData":{"author":[{"dropping-particle":"","family":"Bozeman","given":"Kenneth W.","non-dropping-particle":"","parse-names":false,"suffix":""}],"id":"ITEM-1","issued":{"date-parts":[["2013"]]},"publisher":"Pendragon","publisher-place":"New York","title":"Practical Vocal Acoustics","type":"book"},"uris":["http://www.mendeley.com/documents/?uuid=3f0b6650-3405-4a31-b083-5240c50076da"]},{"id":"ITEM-2","itemData":{"DOI":"10.1016/j.jvoice.2013.02.007","ISSN":"18734588","abstract":"Objective: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Voice","id":"ITEM-2","issue":"4","issued":{"date-parts":[["2013"]]},"page":"523.e19-523.e34","title":"Vocal tract and glottal function during and after vocal exercising with resonance tube and straw","type":"article-journal","volume":"27"},"uris":["http://www.mendeley.com/documents/?uuid=49a86ff6-19f7-4857-9389-1a18df65737e"]},{"id":"ITEM-3","itemData":{"DOI":"10.1016/S0892-1997(00)80027-2","ISSN":"08921997","PMID":"10875571","abstract":"This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Voice","id":"ITEM-3","issue":"2","issued":{"date-parts":[["2000"]]},"page":"194-204","title":"Resonance strategies for the belting style: Results of a single female subject study","type":"article-journal","volume":"14"},"uris":["http://www.mendeley.com/documents/?uuid=69e60786-bdad-41b2-bca6-289dc340c496"]},{"id":"ITEM-4","itemData":{"DOI":"10.1016/j.jvoice.2018.10.007","ISSN":"18734588","PMID":"30448316","abstract":"The study assessed 30 nonprofessional singers to evaluate the effects of vocal tract shape adjustment via increased resonance toward an externally applied sinusoidal frequency of 900 Hz without phonation. The amplification of the sound wave was used as biofeedback signal and the intensity and the formant position of the basic vowels /a/, /e/, /i/, /o/, and /u/ were compared before and after a vocal tract adjustment period. After the adjustment period, the intensities for all vowels increased and the measured changes correlated with the participants’ self-perception.The diferences between the second formant position of the vowels and the applied frequency influences the changes in amplitude and in formant frequencies. The most significant changes in formant frequency occurred with vowels that did not include a formant frequency of 900 Hz, while the increase in amplitude was the strongest for vowels with a formant frequency of about 900 Hz.","author":[{"dropping-particle":"","family":"Graf","given":"Simone","non-dropping-particle":"","parse-names":false,"suffix":""},{"dropping-particle":"","family":"Schwiebacher","given":"Johannes","non-dropping-particle":"","parse-names":false,"suffix":""},{"dropping-particle":"","family":"Richter","given":"Lena","non-dropping-particle":"","parse-names":false,"suffix":""},{"dropping-particle":"","family":"Buchberger","given":"Maria","non-dropping-particle":"","parse-names":false,"suffix":""},{"dropping-particle":"","family":"Adachi","given":"Seiji","non-dropping-particle":"","parse-names":false,"suffix":""},{"dropping-particle":"","family":"Mastnak","given":"Wolfgang","non-dropping-particle":"","parse-names":false,"suffix":""},{"dropping-particle":"","family":"Hoyer","given":"Patrick","non-dropping-particle":"","parse-names":false,"suffix":""}],"container-title":"Journal of Voice","id":"ITEM-4","issue":"3","issued":{"date-parts":[["2020"]]},"page":"335-345","publisher":"Elsevier Inc.","title":"Adjustment of Vocal Tract Shape via Biofeedback: Influence on Vowels","type":"article-journal","volume":"34"},"uris":["http://www.mendeley.com/documents/?uuid=a7af98d4-35e7-456d-b296-6d4bf09a0cb1"]}],"mendeley":{"formattedCitation":"(Bestebreurtje and Schutte, 2000; Bozeman, 2013; Guzman &lt;i&gt;et al.&lt;/i&gt;, 2013; Graf &lt;i&gt;et al.&lt;/i&gt;, 2020)","plainTextFormattedCitation":"(Bestebreurtje and Schutte, 2000; Bozeman, 2013; Guzman et al., 2013; Graf et al., 2020)","previouslyFormattedCitation":"(Bestebreurtje and Schutte, 2000; Bozeman, 2013; Guzman &lt;i&gt;et al.&lt;/i&gt;, 2013; Graf &lt;i&gt;et al.&lt;/i&gt;, 2020)"},"properties":{"noteIndex":0},"schema":"https://github.com/citation-style-language/schema/raw/master/csl-citation.json"}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(Bestebreurtje and Schutte, 2000; Bozeman, 2013; Guzman </w:t>
      </w:r>
      <w:r w:rsidRPr="00B51DDE">
        <w:rPr>
          <w:rFonts w:ascii="Arial" w:hAnsi="Arial" w:cs="Arial"/>
          <w:i/>
          <w:noProof/>
        </w:rPr>
        <w:t>et al.</w:t>
      </w:r>
      <w:r w:rsidRPr="00B51DDE">
        <w:rPr>
          <w:rFonts w:ascii="Arial" w:hAnsi="Arial" w:cs="Arial"/>
          <w:noProof/>
        </w:rPr>
        <w:t xml:space="preserve">, 2013; Graf </w:t>
      </w:r>
      <w:r w:rsidRPr="00B51DDE">
        <w:rPr>
          <w:rFonts w:ascii="Arial" w:hAnsi="Arial" w:cs="Arial"/>
          <w:i/>
          <w:noProof/>
        </w:rPr>
        <w:t>et al.</w:t>
      </w:r>
      <w:r w:rsidRPr="00B51DDE">
        <w:rPr>
          <w:rFonts w:ascii="Arial" w:hAnsi="Arial" w:cs="Arial"/>
          <w:noProof/>
        </w:rPr>
        <w:t>, 2020)</w:t>
      </w:r>
      <w:r w:rsidRPr="00B51DDE">
        <w:rPr>
          <w:rFonts w:ascii="Arial" w:hAnsi="Arial" w:cs="Arial"/>
        </w:rPr>
        <w:fldChar w:fldCharType="end"/>
      </w:r>
      <w:r w:rsidRPr="00B51DDE">
        <w:rPr>
          <w:rFonts w:ascii="Arial" w:hAnsi="Arial" w:cs="Arial"/>
        </w:rPr>
        <w:t>. The first two formants above the</w:t>
      </w:r>
      <w:r w:rsidRPr="00B51DDE">
        <w:rPr>
          <w:rFonts w:ascii="Arial" w:hAnsi="Arial" w:cs="Arial"/>
          <w:b/>
          <w:bCs/>
        </w:rPr>
        <w:t xml:space="preserve"> F</w:t>
      </w:r>
      <w:r w:rsidRPr="00B51DDE">
        <w:rPr>
          <w:rFonts w:ascii="Arial" w:hAnsi="Arial" w:cs="Arial"/>
          <w:b/>
          <w:bCs/>
          <w:vertAlign w:val="subscript"/>
        </w:rPr>
        <w:t>0</w:t>
      </w:r>
      <w:r w:rsidRPr="00B51DDE">
        <w:rPr>
          <w:rFonts w:ascii="Arial" w:hAnsi="Arial" w:cs="Arial"/>
        </w:rPr>
        <w:t xml:space="preserve"> are called </w:t>
      </w:r>
      <w:r w:rsidRPr="00B51DDE">
        <w:rPr>
          <w:rFonts w:ascii="Arial" w:hAnsi="Arial" w:cs="Arial"/>
          <w:b/>
          <w:bCs/>
          <w:i/>
          <w:iCs/>
        </w:rPr>
        <w:t>vowel formants</w:t>
      </w:r>
      <w:r w:rsidRPr="00B51DDE">
        <w:rPr>
          <w:rFonts w:ascii="Arial" w:hAnsi="Arial" w:cs="Arial"/>
        </w:rPr>
        <w:t xml:space="preserve"> and are important for singers as they are ‘most responsive to vocal tract shape’ </w:t>
      </w:r>
      <w:r w:rsidRPr="00B51DDE">
        <w:rPr>
          <w:rFonts w:ascii="Arial" w:hAnsi="Arial" w:cs="Arial"/>
        </w:rPr>
        <w:fldChar w:fldCharType="begin" w:fldLock="1"/>
      </w:r>
      <w:r w:rsidRPr="00B51DDE">
        <w:rPr>
          <w:rFonts w:ascii="Arial" w:hAnsi="Arial" w:cs="Arial"/>
        </w:rPr>
        <w:instrText>ADDIN CSL_CITATION {"citationItems":[{"id":"ITEM-1","itemData":{"DOI":"10.1016/j.jvoice.2009.02.004","ISSN":"08921997","PMID":"19900789","abstract":"The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Voice","id":"ITEM-1","issue":"6","issued":{"date-parts":[["2010"]]},"page":"678-689","publisher":"Elsevier Ltd","title":"Perceptual findings on the broadway belt voice","type":"article-journal","volume":"24"},"uris":["http://www.mendeley.com/documents/?uuid=6c55d39f-8945-4dfd-aa49-75cdbc6d62fa"]},{"id":"ITEM-2","itemData":{"author":[{"dropping-particle":"","family":"Bozeman","given":"Kenneth W.","non-dropping-particle":"","parse-names":false,"suffix":""}],"id":"ITEM-2","issued":{"date-parts":[["2013"]]},"publisher":"Pendragon","publisher-place":"New York","title":"Practical Vocal Acoustics","type":"book"},"uris":["http://www.mendeley.com/documents/?uuid=3f0b6650-3405-4a31-b083-5240c50076da"]}],"mendeley":{"formattedCitation":"(Deleo Leborgne &lt;i&gt;et al.&lt;/i&gt;, 2010; Bozeman, 2013)","plainTextFormattedCitation":"(Deleo Leborgne et al., 2010; Bozeman, 2013)","previouslyFormattedCitation":"(Deleo Leborgne &lt;i&gt;et al.&lt;/i&gt;, 2010; Bozeman,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(Deleo Leborgne </w:t>
      </w:r>
      <w:r w:rsidRPr="00B51DDE">
        <w:rPr>
          <w:rFonts w:ascii="Arial" w:hAnsi="Arial" w:cs="Arial"/>
          <w:i/>
          <w:noProof/>
        </w:rPr>
        <w:t>et al.</w:t>
      </w:r>
      <w:r w:rsidRPr="00B51DDE">
        <w:rPr>
          <w:rFonts w:ascii="Arial" w:hAnsi="Arial" w:cs="Arial"/>
          <w:noProof/>
        </w:rPr>
        <w:t>, 2010; Bozeman, 2013)</w:t>
      </w:r>
      <w:r w:rsidRPr="00B51DDE">
        <w:rPr>
          <w:rFonts w:ascii="Arial" w:hAnsi="Arial" w:cs="Arial"/>
        </w:rPr>
        <w:fldChar w:fldCharType="end"/>
      </w:r>
      <w:r w:rsidRPr="00B51DDE">
        <w:rPr>
          <w:rFonts w:ascii="Arial" w:hAnsi="Arial" w:cs="Arial"/>
        </w:rPr>
        <w:t xml:space="preserve">. Singers can change </w:t>
      </w:r>
      <w:r w:rsidR="006B5ED3" w:rsidRPr="00B51DDE">
        <w:rPr>
          <w:rFonts w:ascii="Arial" w:hAnsi="Arial" w:cs="Arial"/>
        </w:rPr>
        <w:t xml:space="preserve">the </w:t>
      </w:r>
      <w:r w:rsidRPr="00B51DDE">
        <w:rPr>
          <w:rFonts w:ascii="Arial" w:hAnsi="Arial" w:cs="Arial"/>
        </w:rPr>
        <w:t>vocal tone by defining and modifying vowels</w:t>
      </w:r>
      <w:r w:rsidR="006B5ED3" w:rsidRPr="00B51DDE">
        <w:rPr>
          <w:rFonts w:ascii="Arial" w:hAnsi="Arial" w:cs="Arial"/>
        </w:rPr>
        <w:t xml:space="preserve"> which alters</w:t>
      </w:r>
      <w:r w:rsidRPr="00B51DDE">
        <w:rPr>
          <w:rFonts w:ascii="Arial" w:hAnsi="Arial" w:cs="Arial"/>
        </w:rPr>
        <w:t xml:space="preserve"> the vowel formants </w:t>
      </w:r>
      <w:r w:rsidRPr="00B51DDE">
        <w:rPr>
          <w:rFonts w:ascii="Arial" w:hAnsi="Arial" w:cs="Arial"/>
        </w:rPr>
        <w:fldChar w:fldCharType="begin" w:fldLock="1"/>
      </w:r>
      <w:r w:rsidRPr="00B51DDE">
        <w:rPr>
          <w:rFonts w:ascii="Arial" w:hAnsi="Arial" w:cs="Arial"/>
        </w:rPr>
        <w:instrText>ADDIN CSL_CITATION {"citationItems":[{"id":"ITEM-1","itemData":{"DOI":"10.1016/j.jvoice.2009.02.004","ISSN":"08921997","PMID":"19900789","abstract":"The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Voice","id":"ITEM-1","issue":"6","issued":{"date-parts":[["2010"]]},"page":"678-689","publisher":"Elsevier Ltd","title":"Perceptual findings on the broadway belt voice","type":"article-journal","volume":"24"},"uris":["http://www.mendeley.com/documents/?uuid=6c55d39f-8945-4dfd-aa49-75cdbc6d62fa"]},{"id":"ITEM-2","itemData":{"author":[{"dropping-particle":"","family":"Bozeman","given":"Kenneth W.","non-dropping-particle":"","parse-names":false,"suffix":""}],"id":"ITEM-2","issued":{"date-parts":[["2013"]]},"publisher":"Pendragon","publisher-place":"New York","title":"Practical Vocal Acoustics","type":"book"},"uris":["http://www.mendeley.com/documents/?uuid=3f0b6650-3405-4a31-b083-5240c50076da"]}],"mendeley":{"formattedCitation":"(Deleo Leborgne &lt;i&gt;et al.&lt;/i&gt;, 2010; Bozeman, 2013)","plainTextFormattedCitation":"(Deleo Leborgne et al., 2010; Bozeman, 2013)","previouslyFormattedCitation":"(Deleo Leborgne &lt;i&gt;et al.&lt;/i&gt;, 2010; Bozeman, 2013)"},"properties":{"noteIndex":0},"schema":"https://github.com/citation-style-language/schema/raw/master/csl-citation.json"}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(Deleo Leborgne </w:t>
      </w:r>
      <w:r w:rsidRPr="00B51DDE">
        <w:rPr>
          <w:rFonts w:ascii="Arial" w:hAnsi="Arial" w:cs="Arial"/>
          <w:i/>
          <w:noProof/>
        </w:rPr>
        <w:t>et al.</w:t>
      </w:r>
      <w:r w:rsidRPr="00B51DDE">
        <w:rPr>
          <w:rFonts w:ascii="Arial" w:hAnsi="Arial" w:cs="Arial"/>
          <w:noProof/>
        </w:rPr>
        <w:t>, 2010; Bozeman, 2013)</w:t>
      </w:r>
      <w:r w:rsidRPr="00B51DDE">
        <w:rPr>
          <w:rFonts w:ascii="Arial" w:hAnsi="Arial" w:cs="Arial"/>
        </w:rPr>
        <w:fldChar w:fldCharType="end"/>
      </w:r>
      <w:r w:rsidRPr="00B51DDE">
        <w:rPr>
          <w:rFonts w:ascii="Arial" w:hAnsi="Arial" w:cs="Arial"/>
        </w:rPr>
        <w:t xml:space="preserve">. Singers can learn to control the vocal tract shape and therefore change the interaction between resonance frequencies and vowel formants. The interaction of these frequencies can be used to create sounds such as a twang quality or a belt quality </w:t>
      </w:r>
      <w:r w:rsidRPr="00B51DDE">
        <w:rPr>
          <w:rFonts w:ascii="Arial" w:hAnsi="Arial" w:cs="Arial"/>
        </w:rPr>
        <w:fldChar w:fldCharType="begin" w:fldLock="1"/>
      </w:r>
      <w:r w:rsidRPr="00B51DDE">
        <w:rPr>
          <w:rFonts w:ascii="Arial" w:hAnsi="Arial" w:cs="Arial"/>
        </w:rPr>
        <w:instrText>ADDIN CSL_CITATION {"citationItems":[{"id":"ITEM-1","itemData":{"DOI":"10.1016/j.jvoice.2018.10.006","ISSN":"18734588","PMID":"30409455","abstract":"Purpose: Current research on the female belt voice has generally been limited to the range of C5, which is not representative of the current requirements on Broadway. Additionally, much belt research uses voice teachers or college students. The goal of this study was to acoustically examine both higher and lower belt ranges in 10 women who have performed belt roles on Broadway during the last decade. Method: We analyzed the long-term average spectrum of the middle stable portion of three belted pitches, one from a lower, more traditional belt song and two from a higher, more contemporary belt song. The dB levels of the first three peaks in the long-term average spectrum corresponding to the first three harmonics were extracted and compared across tasks. Age, professional roles played on Broadway, and self-perceived belt strategy were obtained via interview to find potential unifying factors in resonance strategies. Results: Overall, the dB level of the peaks closest to the second and third harmonics were higher than the peak close to the fundamental frequency. The difference between peaks was statistically greater in the lower belt compared to both higher belt tasks, indicating these singers relied more on a single harmonic in the lower belt range than the higher belt range. In the higher belt range, there was less variability between peaks. No patterns emerged between resonance strategies and demographic information. Conclusions: Elite female belters use varying resonance strategies to create commercially viable belt sounds in different belt ranges.","author":[{"dropping-particle":"","family":"Flynn","given":"Amanda","non-dropping-particle":"","parse-names":false,"suffix":""},{"dropping-particle":"","family":"Trudeau","given":"Jared","non-dropping-particle":"","parse-names":false,"suffix":""},{"dropping-particle":"","family":"Johnson","given":"Aaron M.","non-dropping-particle":"","parse-names":false,"suffix":""}],"container-title":"Journal of Voice","id":"ITEM-1","issue":"3","issued":{"date-parts":[["2020"]]},"page":"410-414","publisher":"Elsevier Inc.","title":"Acoustic Comparison of Lower and Higher Belt Ranges in Professional Broadway Actresses","type":"article-journal","volume":"34"},"uris":["http://www.mendeley.com/documents/?uuid=0c06f832-764a-4dba-ae68-5a1b1aef2b2a"]},{"id":"ITEM-2","itemData":{"DOI":"10.1016/j.jvoice.2023.01.004","ISSN":"18734588","abstract":"Various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Voice","id":"ITEM-2","issued":{"date-parts":[["2023"]]},"page":"1-13","publisher":"Elsevier Inc.","title":"Acoustical Theory of Vowel Modification Strategies in Belting","type":"article-journal"},"uris":["http://www.mendeley.com/documents/?uuid=29a6353b-a293-43f1-a2e3-774f76647a29"]},{"id":"ITEM-3","itemData":{"DOI":"10.1016/S0892-1997(00)80027-2","ISSN":"08921997","PMID":"10875571","abstract":"This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Voice","id":"ITEM-3","issue":"2","issued":{"date-parts":[["2000"]]},"page":"194-204","title":"Resonance strategies for the belting style: Results of a single female subject study","type":"article-journal","volume":"14"},"uris":["http://www.mendeley.com/documents/?uuid=69e60786-bdad-41b2-bca6-289dc340c496"]}],"mendeley":{"formattedCitation":"(Bestebreurtje and Schutte, 2000; Flynn, Trudeau and Johnson, 2020; Herbst, Story and Meyer, 2023)","plainTextFormattedCitation":"(Bestebreurtje and Schutte, 2000; Flynn, Trudeau and Johnson, 2020; Herbst, Story and Meyer, 2023)","previouslyFormattedCitation":"(Bestebreurtje and Schutte, 2000; Flynn, Trudeau and Johnson, 2020;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(Bestebreurtje and Schutte, 2000; Flynn, Trudeau and Johnson, 2020; Herbst, Story and Meyer, 2023)</w:t>
      </w:r>
      <w:r w:rsidRPr="00B51DDE">
        <w:rPr>
          <w:rFonts w:ascii="Arial" w:hAnsi="Arial" w:cs="Arial"/>
        </w:rPr>
        <w:fldChar w:fldCharType="end"/>
      </w:r>
      <w:r w:rsidRPr="00B51DDE">
        <w:rPr>
          <w:rFonts w:ascii="Arial" w:hAnsi="Arial" w:cs="Arial"/>
        </w:rPr>
        <w:t xml:space="preserve">. </w:t>
      </w:r>
      <w:r w:rsidRPr="00B51DDE">
        <w:rPr>
          <w:rFonts w:ascii="Arial" w:hAnsi="Arial" w:cs="Arial"/>
          <w:b/>
          <w:bCs/>
          <w:i/>
          <w:iCs/>
        </w:rPr>
        <w:t>Twang</w:t>
      </w:r>
      <w:r w:rsidRPr="00B51DDE">
        <w:rPr>
          <w:rFonts w:ascii="Arial" w:hAnsi="Arial" w:cs="Arial"/>
        </w:rPr>
        <w:t xml:space="preserve"> has high</w:t>
      </w:r>
      <w:r w:rsidR="00EC39DB" w:rsidRPr="00B51DDE">
        <w:rPr>
          <w:rFonts w:ascii="Arial" w:hAnsi="Arial" w:cs="Arial"/>
        </w:rPr>
        <w:t>-</w:t>
      </w:r>
      <w:r w:rsidRPr="00B51DDE">
        <w:rPr>
          <w:rFonts w:ascii="Arial" w:hAnsi="Arial" w:cs="Arial"/>
        </w:rPr>
        <w:t xml:space="preserve">frequency components up to 2kHz </w:t>
      </w:r>
      <w:r w:rsidRPr="00B51DDE">
        <w:rPr>
          <w:rFonts w:ascii="Arial" w:hAnsi="Arial" w:cs="Arial"/>
        </w:rPr>
        <w:fldChar w:fldCharType="begin" w:fldLock="1"/>
      </w:r>
      <w:r w:rsidRPr="00B51DDE">
        <w:rPr>
          <w:rFonts w:ascii="Arial" w:hAnsi="Arial" w:cs="Arial"/>
        </w:rPr>
        <w:instrText>ADDIN CSL_CITATION {"citationItems":[{"id":"ITEM-1","itemData":{"DOI":"10.1016/j.jvoice.2020.02.005","ISSN":"18734588","PMID":"32305174","abstract":"Twang-like vocal qualities have been related to a megaphone-like shape of the vocal tract (epilaryngeal tube and pharyngeal narrowing, and a wider mouth opening), low-frequency spectral changes, and tighter and/or increased vocal fold adduction. Previous studies have focused mainly on loud and high-pitched singing, comfortable low-pitched spoken vowels, or are based on modeling and simulation. There is no data available related to twang-like voices in loud, low-pitched singing. Purpose: This study investigates the possible contribution of the lower and upper vocal tract configurations during loud twang-like singing on high and low pitches in a real subject. Methods: One male contemporary commercial music singer produced a sustained vowel [a:] in his habitual speaking pitch (B2) and loudness. The same vowel was also produced in a loud twang-like singing voice on high (G4) and low pitches (B2). Computerized tomography, acoustic analysis, inverse filtering, and audio-perceptual assessments were performed. Results: Both loud twang-like voices showed a megaphone-like shape of the vocal tract, being more notable on the low pitch. Also, low-frequency spectral changes, a peak of sound energy around 3 kHz and increased vocal fold adduction were found. Results agreed with audio-perceptual evaluation. Conclusions: Loud twang-like phonation seems to be mainly related to low-frequency spectral changes (under 2 kHz) and a more compact formant structure. Twang-like qualities seem to require different degrees of twang-related vocal tract adjustments while phonating in different pitches. A wider mouth opening, pharyngeal constriction, and epilaryngeal tube narrowing may be helpful strategies for maximum power transfer and improved vocal economy in loud contemporary commercial music singing and potentially in loud speech. Further studies should focus on vocal efficiency and vocal economy measurements using modeling and simulation, based on real-singers’ data.","author":[{"dropping-particle":"","family":"Saldías","given":"Marcelo","non-dropping-particle":"","parse-names":false,"suffix":""},{"dropping-particle":"","family":"Laukkanen","given":"Anne Maria","non-dropping-particle":"","parse-names":false,"suffix":""},{"dropping-particle":"","family":"Guzmán","given":"Marco","non-dropping-particle":"","parse-names":false,"suffix":""},{"dropping-particle":"","family":"Miranda","given":"Gonzalo","non-dropping-particle":"","parse-names":false,"suffix":""},{"dropping-particle":"","family":"Stoney","given":"Justin","non-dropping-particle":"","parse-names":false,"suffix":""},{"dropping-particle":"","family":"Alku","given":"Paavo","non-dropping-particle":"","parse-names":false,"suffix":""},{"dropping-particle":"","family":"Sundberg","given":"Johan","non-dropping-particle":"","parse-names":false,"suffix":""}],"container-title":"Journal of Voice","id":"ITEM-1","issue":"5","issued":{"date-parts":[["2021"]]},"page":"807.e1-807.e23","title":"The Vocal Tract in Loud Twang-Like Singing While Producing High and Low Pitches","type":"article-journal","volume":"35"},"uris":["http://www.mendeley.com/documents/?uuid=4bf48cb9-c887-49d1-81ee-ccdf24995d7b"]},{"id":"ITEM-2","itemData":{"DOI":"10.1016/j.jvoice.2009.03.003","ISSN":"08921997","PMID":"20083379","abstract":"A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Voice","id":"ITEM-2","issue":"6","issued":{"date-parts":[["2010"]]},"page":"654-660","title":"What is \"twang\"?","type":"article-journal","volume":"24"},"uris":["http://www.mendeley.com/documents/?uuid=89f61936-6b9c-4aa2-9ddd-1198bbf3ec09"]},{"id":"ITEM-3","itemData":{"DOI":"10.53830/lkzs7620","ISSN":"10867732","author":[{"dropping-particle":"","family":"Titze","given":"Ingo","non-dropping-particle":"","parse-names":false,"suffix":""}],"container-title":"Journal of Singing","id":"ITEM-3","issue":"5","issued":{"date-parts":[["2022"]]},"page":"613-614","title":"The Acoustic Characteristics of Vocal Twang","type":"article-journal","volume":"78"},"uris":["http://www.mendeley.com/documents/?uuid=8124f217-2e75-48f1-a9ea-8451be769401"]}],"mendeley":{"formattedCitation":"(Sundberg and Thalén, 2010; Saldías &lt;i&gt;et al.&lt;/i&gt;, 2021; Titze, 2022)","plainTextFormattedCitation":"(Sundberg and Thalén, 2010; Saldías et al., 2021; Titze, 2022)","previouslyFormattedCitation":"(Sundberg and Thalén, 2010; Saldías &lt;i&gt;et al.&lt;/i&gt;, 2021; Titze, 2022)"},"properties":{"noteIndex":0},"schema":"https://github.com/citation-style-language/schema/raw/master/csl-citation.json"}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(Sundberg and Thalén, 2010; Saldías </w:t>
      </w:r>
      <w:r w:rsidRPr="00B51DDE">
        <w:rPr>
          <w:rFonts w:ascii="Arial" w:hAnsi="Arial" w:cs="Arial"/>
          <w:i/>
          <w:noProof/>
        </w:rPr>
        <w:t>et al.</w:t>
      </w:r>
      <w:r w:rsidRPr="00B51DDE">
        <w:rPr>
          <w:rFonts w:ascii="Arial" w:hAnsi="Arial" w:cs="Arial"/>
          <w:noProof/>
        </w:rPr>
        <w:t>, 2021; Titze, 2022)</w:t>
      </w:r>
      <w:r w:rsidRPr="00B51DDE">
        <w:rPr>
          <w:rFonts w:ascii="Arial" w:hAnsi="Arial" w:cs="Arial"/>
        </w:rPr>
        <w:fldChar w:fldCharType="end"/>
      </w:r>
      <w:r w:rsidRPr="00B51DDE">
        <w:rPr>
          <w:rFonts w:ascii="Arial" w:hAnsi="Arial" w:cs="Arial"/>
        </w:rPr>
        <w:t xml:space="preserve">. </w:t>
      </w:r>
      <w:r w:rsidRPr="00B51DDE">
        <w:rPr>
          <w:rFonts w:ascii="Arial" w:hAnsi="Arial" w:cs="Arial"/>
          <w:noProof/>
        </w:rPr>
        <w:t>The vocal resonance refer</w:t>
      </w:r>
      <w:r w:rsidR="00EC39DB" w:rsidRPr="00B51DDE">
        <w:rPr>
          <w:rFonts w:ascii="Arial" w:hAnsi="Arial" w:cs="Arial"/>
          <w:noProof/>
        </w:rPr>
        <w:t>r</w:t>
      </w:r>
      <w:r w:rsidRPr="00B51DDE">
        <w:rPr>
          <w:rFonts w:ascii="Arial" w:hAnsi="Arial" w:cs="Arial"/>
          <w:noProof/>
        </w:rPr>
        <w:t xml:space="preserve">ed to by Steinhauer and Eichhorn in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Adults","type":"article-journal"},"uris":["http://www.mendeley.com/documents/?uuid=2d2cdb97-d5db-480e-939f-439a3803abfc"]}],"mendeley":{"formattedCitation":"(Steinhauer and Eichhorn, 2023)","manualFormatting":"(2023)","plainTextFormattedCitation":"(Steinhauer and Eichhorn, 2023)","previouslyFormattedCitation":"(Steinhauer and Eichhorn, 2023)"},"properties":{"noteIndex":0},"schema":"https://github.com/citation-style-language/schema/raw/master/csl-citation.json"}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(2023)</w:t>
      </w:r>
      <w:r w:rsidRPr="00B51DDE">
        <w:rPr>
          <w:rFonts w:ascii="Arial" w:hAnsi="Arial" w:cs="Arial"/>
          <w:noProof/>
        </w:rPr>
        <w:fldChar w:fldCharType="end"/>
      </w:r>
      <w:r w:rsidRPr="00B51DDE">
        <w:rPr>
          <w:rFonts w:ascii="Arial" w:hAnsi="Arial" w:cs="Arial"/>
          <w:noProof/>
        </w:rPr>
        <w:t xml:space="preserve"> is connected to acoustic energy in the 3 kHz range which add</w:t>
      </w:r>
      <w:r w:rsidR="005C77AA" w:rsidRPr="00B51DDE">
        <w:rPr>
          <w:rFonts w:ascii="Arial" w:hAnsi="Arial" w:cs="Arial"/>
          <w:noProof/>
        </w:rPr>
        <w:t>s</w:t>
      </w:r>
      <w:r w:rsidRPr="00B51DDE">
        <w:rPr>
          <w:rFonts w:ascii="Arial" w:hAnsi="Arial" w:cs="Arial"/>
          <w:noProof/>
        </w:rPr>
        <w:t xml:space="preserve"> the perceived loudness and brassy qualities associated with belting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{"citationItems":[{"id":"ITEM-1","itemData":{"DOI":"10.1016/j.jvoice.2009.03.003","ISSN":"08921997","PMID":"20083379","abstract":"A single female professional vocal artist and pedagogue sang examples of \"twang\" and neutral voice quality, which a panel of experts classified, in almost complete agreement with the singer's intentions. Subglottal pressure was measured as the oral pressure during the occlusion during the syllable /pae/. This pressure tended to be higher in \"twang,\" whereas the sound pressure level (SPL) was invariably higher. Voice source properties and formant frequencies were analyzed by inverse filtering. In \"twang,\" as compared with neutral, the closed quotient was greater, the pulse amplitude and the fundamental were weaker, and the normalized amplitude tended to be lower, whereas formants 1 and 2 were higher and 3 and 5 were lower. The formant differences, which appeared to be the main cause of the SPL differences, were more important than the source differences for the perception of \"twanginess.\" As resonatory effects occur independently of the voice source, the formant frequencies in \"twang\" may reflect a vocal strategy that is advantageous from the point of view of vocal hygiene.","author":[{"dropping-particle":"","family":"Sundberg","given":"Johan","non-dropping-particle":"","parse-names":false,"suffix":""},{"dropping-particle":"","family":"Thalén","given":"Margareta","non-dropping-particle":"","parse-names":false,"suffix":""}],"container-title":"Journal of Voice","id":"ITEM-1","issue":"6","issued":{"date-parts":[["2010"]]},"page":"654-660","title":"What is \"twang\"?","type":"article-journal","volume":"24"},"uris":["http://www.mendeley.com/documents/?uuid=89f61936-6b9c-4aa2-9ddd-1198bbf3ec09"]},{"id":"ITEM-2","itemData":{"DOI":"10.1016/j.jvoice.2008.01.010","ISSN":"08921997","PMID":"18468842","abstract":"Background and Hypothesis: A clear enunciation of consonants is crucial to text intelligibility, and consonants are identified by specific formant frequency patterns. The singer's formant, a spectral peak near 3,000 Hz, enhances the higher formants in male opera singers' voices. It is well known that the second and higher formants are crucial to text intelligibility. Therefore, it seams reasonable to hypothesize that the singer's formant increases intelligibility of consonants and hence also the intelligibility of the text. For the same reason, text intelligibility of musical theatre singers, who lack a singer's formant, could be assumed to be lower than that of opera singers. Method: Two professional opera singers and two professional musical theatre singers sang a carrier phrase that contained one nonsense syllable. The phrases were masked with noise of different levels. The degree of intelligibility was measured by a listening test. Result: The results showed that the intelligibility was slightly higher for the musical theatre singers than for the opera singers. Conclusion: One possible reason for this would be that the musical theatre singers use formant frequencies more similar to those occurring in normal speech. Another reason could be that the formant transitions characterizing the consonants were considerably slower in the case of the musical theatre singers than in the case of the operatic singers. © 2009 The Voice Foundation.","author":[{"dropping-particle":"","family":"Sundberg","given":"Johan","non-dropping-particle":"","parse-names":false,"suffix":""},{"dropping-particle":"","family":"Romedahl","given":"Camilla","non-dropping-particle":"","parse-names":false,"suffix":""}],"container-title":"Journal of Voice","id":"ITEM-2","issue":"5","issued":{"date-parts":[["2009"]]},"page":"539-545","publisher":"Elsevier Ltd","title":"Text Intelligibility and the Singer's Formant-A Relationship?","type":"article-journal","volume":"23"},"uris":["http://www.mendeley.com/documents/?uuid=96a4a8ad-1ee3-4bca-935f-b3078c9f00d9"]},{"id":"ITEM-3","itemData":{"DOI":"10.1016/j.jvoice.2020.02.005","ISSN":"18734588","PMID":"32305174","abstract":"Twang-like vocal qualities have been related to a megaphone-like shape of the vocal tract (epilaryngeal tube and pharyngeal narrowing, and a wider mouth opening), low-frequency spectral changes, and tighter and/or increased vocal fold adduction. Previous studies have focused mainly on loud and high-pitched singing, comfortable low-pitched spoken vowels, or are based on modeling and simulation. There is no data available related to twang-like voices in loud, low-pitched singing. Purpose: This study investigates the possible contribution of the lower and upper vocal tract configurations during loud twang-like singing on high and low pitches in a real subject. Methods: One male contemporary commercial music singer produced a sustained vowel [a:] in his habitual speaking pitch (B2) and loudness. The same vowel was also produced in a loud twang-like singing voice on high (G4) and low pitches (B2). Computerized tomography, acoustic analysis, inverse filtering, and audio-perceptual assessments were performed. Results: Both loud twang-like voices showed a megaphone-like shape of the vocal tract, being more notable on the low pitch. Also, low-frequency spectral changes, a peak of sound energy around 3 kHz and increased vocal fold adduction were found. Results agreed with audio-perceptual evaluation. Conclusions: Loud twang-like phonation seems to be mainly related to low-frequency spectral changes (under 2 kHz) and a more compact formant structure. Twang-like qualities seem to require different degrees of twang-related vocal tract adjustments while phonating in different pitches. A wider mouth opening, pharyngeal constriction, and epilaryngeal tube narrowing may be helpful strategies for maximum power transfer and improved vocal economy in loud contemporary commercial music singing and potentially in loud speech. Further studies should focus on vocal efficiency and vocal economy measurements using modeling and simulation, based on real-singers’ data.","author":[{"dropping-particle":"","family":"Saldías","given":"Marcelo","non-dropping-particle":"","parse-names":false,"suffix":""},{"dropping-particle":"","family":"Laukkanen","given":"Anne Maria","non-dropping-particle":"","parse-names":false,"suffix":""},{"dropping-particle":"","family":"Guzmán","given":"Marco","non-dropping-particle":"","parse-names":false,"suffix":""},{"dropping-particle":"","family":"Miranda","given":"Gonzalo","non-dropping-particle":"","parse-names":false,"suffix":""},{"dropping-particle":"","family":"Stoney","given":"Justin","non-dropping-particle":"","parse-names":false,"suffix":""},{"dropping-particle":"","family":"Alku","given":"Paavo","non-dropping-particle":"","parse-names":false,"suffix":""},{"dropping-particle":"","family":"Sundberg","given":"Johan","non-dropping-particle":"","parse-names":false,"suffix":""}],"container-title":"Journal of Voice","id":"ITEM-3","issue":"5","issued":{"date-parts":[["2021"]]},"page":"807.e1-807.e23","title":"The Vocal Tract in Loud Twang-Like Singing While Producing High and Low Pitches","type":"article-journal","volume":"35"},"uris":["http://www.mendeley.com/documents/?uuid=4bf48cb9-c887-49d1-81ee-ccdf24995d7b"]}],"mendeley":{"formattedCitation":"(Sundberg and Romedahl, 2009; Sundberg and Thalén, 2010; Saldías &lt;i&gt;et al.&lt;/i&gt;, 2021)","plainTextFormattedCitation":"(Sundberg and Romedahl, 2009; Sundberg and Thalén, 2010; Saldías et al., 2021)","previouslyFormattedCitation":"(Sundberg and Romedahl, 2009; Sundberg and Thalén, 2010; Saldías &lt;i&gt;et al.&lt;/i&gt;, 2021)"},"properties":{"noteIndex":0},"schema":"https://github.com/citation-style-language/schema/raw/master/csl-citation.json"}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 xml:space="preserve">(Sundberg and Romedahl, 2009; Sundberg and Thalén, 2010; Saldías </w:t>
      </w:r>
      <w:r w:rsidRPr="00B51DDE">
        <w:rPr>
          <w:rFonts w:ascii="Arial" w:hAnsi="Arial" w:cs="Arial"/>
          <w:i/>
          <w:noProof/>
        </w:rPr>
        <w:t>et al.</w:t>
      </w:r>
      <w:r w:rsidRPr="00B51DDE">
        <w:rPr>
          <w:rFonts w:ascii="Arial" w:hAnsi="Arial" w:cs="Arial"/>
          <w:noProof/>
        </w:rPr>
        <w:t>, 2021)</w:t>
      </w:r>
      <w:r w:rsidRPr="00B51DDE">
        <w:rPr>
          <w:rFonts w:ascii="Arial" w:hAnsi="Arial" w:cs="Arial"/>
          <w:noProof/>
        </w:rPr>
        <w:fldChar w:fldCharType="end"/>
      </w:r>
      <w:r w:rsidRPr="00B51DDE">
        <w:rPr>
          <w:rFonts w:ascii="Arial" w:hAnsi="Arial" w:cs="Arial"/>
          <w:noProof/>
        </w:rPr>
        <w:t xml:space="preserve">. While there is not one accepted definition of belting, research has shown singers can use </w:t>
      </w:r>
      <w:r w:rsidRPr="00B51DDE">
        <w:rPr>
          <w:rFonts w:ascii="Arial" w:hAnsi="Arial" w:cs="Arial"/>
          <w:b/>
          <w:bCs/>
          <w:i/>
          <w:iCs/>
          <w:noProof/>
        </w:rPr>
        <w:t xml:space="preserve">different resonance strategies </w:t>
      </w:r>
      <w:r w:rsidRPr="00B51DDE">
        <w:rPr>
          <w:rFonts w:ascii="Arial" w:hAnsi="Arial" w:cs="Arial"/>
          <w:noProof/>
        </w:rPr>
        <w:t>by</w:t>
      </w:r>
      <w:r w:rsidRPr="00B51DDE">
        <w:rPr>
          <w:rFonts w:ascii="Arial" w:hAnsi="Arial" w:cs="Arial"/>
          <w:b/>
          <w:bCs/>
          <w:i/>
          <w:iCs/>
          <w:noProof/>
        </w:rPr>
        <w:t xml:space="preserve"> </w:t>
      </w:r>
      <w:r w:rsidRPr="00B51DDE">
        <w:rPr>
          <w:rFonts w:ascii="Arial" w:hAnsi="Arial" w:cs="Arial"/>
          <w:noProof/>
        </w:rPr>
        <w:t>enhancing high</w:t>
      </w:r>
      <w:r w:rsidR="005C77AA" w:rsidRPr="00B51DDE">
        <w:rPr>
          <w:rFonts w:ascii="Arial" w:hAnsi="Arial" w:cs="Arial"/>
          <w:noProof/>
        </w:rPr>
        <w:t>-</w:t>
      </w:r>
      <w:r w:rsidRPr="00B51DDE">
        <w:rPr>
          <w:rFonts w:ascii="Arial" w:hAnsi="Arial" w:cs="Arial"/>
          <w:noProof/>
        </w:rPr>
        <w:t xml:space="preserve">frequency components to create the desired intensity of sound </w:t>
      </w:r>
      <w:r w:rsidRPr="00B51DDE">
        <w:rPr>
          <w:rFonts w:ascii="Arial" w:hAnsi="Arial" w:cs="Arial"/>
          <w:noProof/>
        </w:rPr>
        <w:fldChar w:fldCharType="begin" w:fldLock="1"/>
      </w:r>
      <w:r w:rsidRPr="00B51DDE">
        <w:rPr>
          <w:rFonts w:ascii="Arial" w:hAnsi="Arial" w:cs="Arial"/>
          <w:noProof/>
        </w:rPr>
        <w:instrText>ADDIN CSL_CITATION {"citationItems":[{"id":"ITEM-1","itemData":{"DOI":"10.1016/S0892-1997(00)80027-2","ISSN":"08921997","PMID":"10875571","abstract":"This study explores resonance strategies used for the belting style and associated vocal fold vibratory patterns, for the vowels/ε/,/a/,/i/, and/u/on G4 and B4-flat. Acoustic spectra of belted vowels and their unoptimized, 'speech-like' equivalents were compared. Vocal fold vibratory patterns were quantified using electroglottography. Results show that /a/ is inherently suitable for belting and requires no adjustment. For/ε/, F2-H5 tuning was observed. For /i/, F1 was detuned from H1, enhancing also H2. For /u/, both F1 and F2 were raised to accomplish F2-H3 tuning. These results show that the loud, bright sound of the belting style is achieved by the implementation of resonance strategies that enhance higher harmonics. Electroglottography revealed that resonance strategies also result in raising the closed quotient (CQ) above 52%, an apparent threshold value for belting.","author":[{"dropping-particle":"","family":"Bestebreurtje","given":"Martine E.","non-dropping-particle":"","parse-names":false,"suffix":""},{"dropping-particle":"","family":"Schutte","given":"Harm K.","non-dropping-particle":"","parse-names":false,"suffix":""}],"container-title":"Journal of Voice","id":"ITEM-1","issue":"2","issued":{"date-parts":[["2000"]]},"page":"194-204","title":"Resonance strategies for the belting style: Results of a single female subject study","type":"article-journal","volume":"14"},"uris":["http://www.mendeley.com/documents/?uuid=69e60786-bdad-41b2-bca6-289dc340c496"]}],"mendeley":{"formattedCitation":"(Bestebreurtje and Schutte, 2000)","plainTextFormattedCitation":"(Bestebreurtje and Schutte, 2000)","previouslyFormattedCitation":"(Bestebreurtje and Schutte, 2000)"},"properties":{"noteIndex":0},"schema":"https://github.com/citation-style-language/schema/raw/master/csl-citation.json"}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(Bestebreurtje and Schutte, 2000)</w:t>
      </w:r>
      <w:r w:rsidRPr="00B51DDE">
        <w:rPr>
          <w:rFonts w:ascii="Arial" w:hAnsi="Arial" w:cs="Arial"/>
          <w:noProof/>
        </w:rPr>
        <w:fldChar w:fldCharType="end"/>
      </w:r>
      <w:r w:rsidRPr="00B51DDE">
        <w:rPr>
          <w:rFonts w:ascii="Arial" w:hAnsi="Arial" w:cs="Arial"/>
          <w:noProof/>
        </w:rPr>
        <w:t xml:space="preserve">. </w:t>
      </w:r>
      <w:r w:rsidRPr="00B51DDE">
        <w:rPr>
          <w:rFonts w:ascii="Arial" w:hAnsi="Arial" w:cs="Arial"/>
        </w:rPr>
        <w:t>The adjustments of the throat which match F</w:t>
      </w:r>
      <w:r w:rsidRPr="00B51DDE">
        <w:rPr>
          <w:rFonts w:ascii="Arial" w:hAnsi="Arial" w:cs="Arial"/>
          <w:vertAlign w:val="subscript"/>
        </w:rPr>
        <w:t>1</w:t>
      </w:r>
      <w:r w:rsidRPr="00B51DDE">
        <w:rPr>
          <w:rFonts w:ascii="Arial" w:hAnsi="Arial" w:cs="Arial"/>
        </w:rPr>
        <w:t xml:space="preserve"> and H</w:t>
      </w:r>
      <w:r w:rsidRPr="00B51DDE">
        <w:rPr>
          <w:rFonts w:ascii="Arial" w:hAnsi="Arial" w:cs="Arial"/>
          <w:vertAlign w:val="subscript"/>
        </w:rPr>
        <w:t>2</w:t>
      </w:r>
      <w:r w:rsidRPr="00B51DDE">
        <w:rPr>
          <w:rFonts w:ascii="Arial" w:hAnsi="Arial" w:cs="Arial"/>
        </w:rPr>
        <w:t xml:space="preserve"> create a projected sound, </w:t>
      </w:r>
      <w:r w:rsidR="005C77AA" w:rsidRPr="00B51DDE">
        <w:rPr>
          <w:rFonts w:ascii="Arial" w:hAnsi="Arial" w:cs="Arial"/>
        </w:rPr>
        <w:t xml:space="preserve">a </w:t>
      </w:r>
      <w:r w:rsidRPr="00B51DDE">
        <w:rPr>
          <w:rFonts w:ascii="Arial" w:hAnsi="Arial" w:cs="Arial"/>
        </w:rPr>
        <w:t xml:space="preserve">vowel modification accompanying this can create the ‘belt’ sound associated with CCM singing </w:t>
      </w:r>
      <w:r w:rsidRPr="00B51DDE">
        <w:rPr>
          <w:rFonts w:ascii="Arial" w:hAnsi="Arial" w:cs="Arial"/>
        </w:rPr>
        <w:fldChar w:fldCharType="begin" w:fldLock="1"/>
      </w:r>
      <w:r w:rsidRPr="00B51DDE">
        <w:rPr>
          <w:rFonts w:ascii="Arial" w:hAnsi="Arial" w:cs="Arial"/>
        </w:rPr>
        <w:instrText>ADDIN CSL_CITATION {"citationItems":[{"id":"ITEM-1","itemData":{"DOI":"10.1016/j.jvoice.2023.01.004","ISSN":"18734588","abstract":"Various authors have argued that belting is to be produced by “speech-like” sounds, with the first and second supraglottic vocal tract resonances (fR1 and fR2) at frequencies of the vowels determined by the lyrics to be sung. Acoustically, the hallmark of belting has been identified as a dominant second harmonic, possibly enhanced by first resonance tuning (fR1≈2fo). It is not clear how both these concepts – (a) phonating with “speech-like,” unmodified vowels; and (b) producing a belting sound with a dominant second harmonic, typically enhanced by fR1 – can be upheld when singing across a singer's entire musical pitch range. For instance, anecdotal reports from pedagogues suggest that vowels with a low fR1, such as [i] or [u], might have to be modified considerably (by raising fR1) in order to phonate at higher pitches. These issues were systematically addressed in silico with respect to treble singing, using a linear source-filter voice production model. The dominant harmonic of the radiated spectrum was assessed in 12987 simulations, covering a parameter space of 37 fundamental frequencies (fo) across the musical pitch range from C3 to C6; 27 voice source spectral slope settings from −4 to −30 dB/octave; computed for 13 different IPA vowels. The results suggest that, for most unmodified vowels, the stereotypical belting sound characteristics with a dominant second harmonic can only be produced over a pitch range of about a musical fifth, centered at fo≈0.5fR1. In the [ɔ] and [ɑ] vowels, that range is extended to an octave, supported by a low second resonance. Data aggregation – considering the relative prevalence of vowels in American English – suggests that, historically, belting with fR1≈2fo was derived from speech, and that songs with an extended musical pitch range likely demand considerable vowel modification. We thus argue that – on acoustical grounds – the pedagogical commandment for belting with unmodified, “speech-like” vowels can not always be fulfilled.","author":[{"dropping-particle":"","family":"Herbst","given":"Christian T.","non-dropping-particle":"","parse-names":false,"suffix":""},{"dropping-particle":"","family":"Story","given":"Brad H.","non-dropping-particle":"","parse-names":false,"suffix":""},{"dropping-particle":"","family":"Meyer","given":"David","non-dropping-particle":"","parse-names":false,"suffix":""}],"container-title":"Journal of Voice","id":"ITEM-1","issued":{"date-parts":[["2023"]]},"page":"1-13","publisher":"Elsevier Inc.","title":"Acoustical Theory of Vowel Modification Strategies in Belting","type":"article-journal"},"uris":["http://www.mendeley.com/documents/?uuid=29a6353b-a293-43f1-a2e3-774f76647a29"]},{"id":"ITEM-2","itemData":{"author":[{"dropping-particle":"","family":"Bozeman","given":"Kenneth W.","non-dropping-particle":"","parse-names":false,"suffix":""}],"id":"ITEM-2","issued":{"date-parts":[["2013"]]},"publisher":"Pendragon","publisher-place":"New York","title":"Practical Vocal Acoustics","type":"book"},"uris":["http://www.mendeley.com/documents/?uuid=3f0b6650-3405-4a31-b083-5240c50076da"]}],"mendeley":{"formattedCitation":"(Bozeman, 2013; Herbst, Story and Meyer, 2023)","plainTextFormattedCitation":"(Bozeman, 2013; Herbst, Story and Meyer, 2023)","previouslyFormattedCitation":"(Bozeman, 2013; Herbst, Story and Meyer,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(Bozeman, 2013; Herbst, Story and Meyer, 2023)</w:t>
      </w:r>
      <w:r w:rsidRPr="00B51DDE">
        <w:rPr>
          <w:rFonts w:ascii="Arial" w:hAnsi="Arial" w:cs="Arial"/>
        </w:rPr>
        <w:fldChar w:fldCharType="end"/>
      </w:r>
      <w:r w:rsidRPr="00B51DDE">
        <w:rPr>
          <w:rFonts w:ascii="Arial" w:hAnsi="Arial" w:cs="Arial"/>
        </w:rPr>
        <w:t>. It seems that</w:t>
      </w:r>
      <w:r w:rsidR="005A46F1" w:rsidRPr="00B51DDE">
        <w:rPr>
          <w:rFonts w:ascii="Arial" w:hAnsi="Arial" w:cs="Arial"/>
        </w:rPr>
        <w:t xml:space="preserve"> the</w:t>
      </w:r>
      <w:r w:rsidRPr="00B51DDE">
        <w:rPr>
          <w:rFonts w:ascii="Arial" w:hAnsi="Arial" w:cs="Arial"/>
        </w:rPr>
        <w:t xml:space="preserve"> singing teacher’s role is to guide a singer </w:t>
      </w:r>
      <w:r w:rsidR="00892737" w:rsidRPr="00B51DDE">
        <w:rPr>
          <w:rFonts w:ascii="Arial" w:hAnsi="Arial" w:cs="Arial"/>
        </w:rPr>
        <w:t xml:space="preserve">to </w:t>
      </w:r>
      <w:r w:rsidRPr="00B51DDE">
        <w:rPr>
          <w:rFonts w:ascii="Arial" w:hAnsi="Arial" w:cs="Arial"/>
        </w:rPr>
        <w:t>hear the qualities of belting and to find a flexibility of control over the various muscles which give rise to the resonance strategies of belting.</w:t>
      </w:r>
    </w:p>
    <w:p w14:paraId="76C10850" w14:textId="7BD7255C" w:rsidR="006E49AD" w:rsidRPr="00B51DDE" w:rsidRDefault="006E49AD" w:rsidP="00AE2080">
      <w:pPr>
        <w:pStyle w:val="NormalWeb"/>
        <w:spacing w:line="360" w:lineRule="auto"/>
        <w:jc w:val="both"/>
        <w:rPr>
          <w:rFonts w:ascii="Arial" w:hAnsi="Arial" w:cs="Arial"/>
        </w:rPr>
      </w:pPr>
      <w:r w:rsidRPr="00B51DDE">
        <w:rPr>
          <w:rFonts w:ascii="Arial" w:hAnsi="Arial" w:cs="Arial"/>
        </w:rPr>
        <w:t xml:space="preserve">It is thought that biofeedback guides adjustments of the vocal tract which are thought to play a part in vocal learning and increasing vocal efficiency </w:t>
      </w:r>
      <w:r w:rsidRPr="00B51DDE">
        <w:rPr>
          <w:rFonts w:ascii="Arial" w:hAnsi="Arial" w:cs="Arial"/>
        </w:rPr>
        <w:fldChar w:fldCharType="begin" w:fldLock="1"/>
      </w:r>
      <w:r w:rsidRPr="00B51DDE">
        <w:rPr>
          <w:rFonts w:ascii="Arial" w:hAnsi="Arial" w:cs="Arial"/>
        </w:rPr>
        <w:instrText>ADDIN CSL_CITATION {"citationItems":[{"id":"ITEM-1","itemData":{"DOI":"10.1016/j.jvoice.2018.10.007","ISSN":"18734588","PMID":"30448316","abstract":"The study assessed 30 nonprofessional singers to evaluate the effects of vocal tract shape adjustment via increased resonance toward an externally applied sinusoidal frequency of 900 Hz without phonation. The amplification of the sound wave was used as biofeedback signal and the intensity and the formant position of the basic vowels /a/, /e/, /i/, /o/, and /u/ were compared before and after a vocal tract adjustment period. After the adjustment period, the intensities for all vowels increased and the measured changes correlated with the participants’ self-perception.The diferences between the second formant position of the vowels and the applied frequency influences the changes in amplitude and in formant frequencies. The most significant changes in formant frequency occurred with vowels that did not include a formant frequency of 900 Hz, while the increase in amplitude was the strongest for vowels with a formant frequency of about 900 Hz.","author":[{"dropping-particle":"","family":"Graf","given":"Simone","non-dropping-particle":"","parse-names":false,"suffix":""},{"dropping-particle":"","family":"Schwiebacher","given":"Johannes","non-dropping-particle":"","parse-names":false,"suffix":""},{"dropping-particle":"","family":"Richter","given":"Lena","non-dropping-particle":"","parse-names":false,"suffix":""},{"dropping-particle":"","family":"Buchberger","given":"Maria","non-dropping-particle":"","parse-names":false,"suffix":""},{"dropping-particle":"","family":"Adachi","given":"Seiji","non-dropping-particle":"","parse-names":false,"suffix":""},{"dropping-particle":"","family":"Mastnak","given":"Wolfgang","non-dropping-particle":"","parse-names":false,"suffix":""},{"dropping-particle":"","family":"Hoyer","given":"Patrick","non-dropping-particle":"","parse-names":false,"suffix":""}],"container-title":"Journal of Voice","id":"ITEM-1","issue":"3","issued":{"date-parts":[["2020"]]},"page":"335-345","publisher":"Elsevier Inc.","title":"Adjustment of Vocal Tract Shape via Biofeedback: Influence on Vowels","type":"article-journal","volume":"34"},"uris":["http://www.mendeley.com/documents/?uuid=a7af98d4-35e7-456d-b296-6d4bf09a0cb1"]},{"id":"ITEM-2","itemData":{"ISBN":"10867732","PMID":"85987196","abstract":"The article focuses on the use of feedback and biofeedback in voice studio learning. It states that feedback is only helpful when necessary, with less frequent feedback being more effective. It comments that voice instructors should avoid overloading students with unnecessary information and to wait a few seconds before providing feedback so students can develop the ability to critically evaluate their performances. It talks about differences in prescriptive and descriptive feedback, along with disadvantages of each. It recommends keeping biofeedback in perspective and suggests while it can be beneficial, its use should receive the same consideration as other types of feedback.","author":[{"dropping-particle":"","family":"Maxfield","given":"Lynn","non-dropping-particle":"","parse-names":false,"suffix":""}],"container-title":"Journal of Singing","id":"ITEM-2","issue":"4","issued":{"date-parts":[["2013"]]},"page":"471-478","title":"Improve Your Students' Learning by Improving Your Feedback","type":"article-journal","volume":"69"},"uris":["http://www.mendeley.com/documents/?uuid=666bc0d7-3b6f-4772-b00d-e201036e218f"]},{"id":"ITEM-3","itemData":{"DOI":"10.1016/j.jvoice.2023.04.006","ISSN":"18734588","PMID":"37210322","abstract":"Objectives: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Voice","id":"ITEM-3","issued":{"date-parts":[["2023"]]},"publisher":"Elsevier Inc.","title":"Effect of Practice Structure and Feedback Frequency on Voice Motor Learning in Older Adults","type":"article-journal"},"uris":["http://www.mendeley.com/documents/?uuid=2d2cdb97-d5db-480e-939f-439a3803abfc"]}],"mendeley":{"formattedCitation":"(Maxfield, 2013; Graf &lt;i&gt;et al.&lt;/i&gt;, 2020; Steinhauer and Eichhorn, 2023)","plainTextFormattedCitation":"(Maxfield, 2013; Graf et al., 2020; Steinhauer and Eichhorn, 2023)","previouslyFormattedCitation":"(Maxfield, 2013; Graf &lt;i&gt;et al.&lt;/i&gt;, 2020; Steinhauer and Eichhorn, 2023)"},"properties":{"noteIndex":0},"schema":"https://github.com/citation-style-language/schema/raw/master/csl-citation.json"}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(Maxfield, 2013; Graf </w:t>
      </w:r>
      <w:r w:rsidRPr="00B51DDE">
        <w:rPr>
          <w:rFonts w:ascii="Arial" w:hAnsi="Arial" w:cs="Arial"/>
          <w:i/>
          <w:noProof/>
        </w:rPr>
        <w:t>et al.</w:t>
      </w:r>
      <w:r w:rsidRPr="00B51DDE">
        <w:rPr>
          <w:rFonts w:ascii="Arial" w:hAnsi="Arial" w:cs="Arial"/>
          <w:noProof/>
        </w:rPr>
        <w:t>, 2020; Steinhauer and Eichhorn, 2023)</w:t>
      </w:r>
      <w:r w:rsidRPr="00B51DDE">
        <w:rPr>
          <w:rFonts w:ascii="Arial" w:hAnsi="Arial" w:cs="Arial"/>
        </w:rPr>
        <w:fldChar w:fldCharType="end"/>
      </w:r>
      <w:r w:rsidRPr="00B51DDE">
        <w:rPr>
          <w:rFonts w:ascii="Arial" w:hAnsi="Arial" w:cs="Arial"/>
        </w:rPr>
        <w:t xml:space="preserve">. Involving students in questioning and </w:t>
      </w:r>
      <w:r w:rsidRPr="00B51DDE">
        <w:rPr>
          <w:rFonts w:ascii="Arial" w:hAnsi="Arial" w:cs="Arial"/>
        </w:rPr>
        <w:lastRenderedPageBreak/>
        <w:t>reflection can lead to greater student engagement, self-reflection, and empowerment</w:t>
      </w:r>
      <w:r w:rsidR="00E20079" w:rsidRPr="00B51DDE">
        <w:rPr>
          <w:rFonts w:ascii="Arial" w:hAnsi="Arial" w:cs="Arial"/>
        </w:rPr>
        <w:t>,</w:t>
      </w:r>
      <w:r w:rsidRPr="00B51DDE">
        <w:rPr>
          <w:rFonts w:ascii="Arial" w:hAnsi="Arial" w:cs="Arial"/>
        </w:rPr>
        <w:t xml:space="preserve"> which could support a student in tuning into their biofeedback and nurture self-efficacy with new vocal motor skills </w:t>
      </w:r>
      <w:r w:rsidRPr="00B51DDE">
        <w:rPr>
          <w:rFonts w:ascii="Arial" w:hAnsi="Arial" w:cs="Arial"/>
        </w:rPr>
        <w:fldChar w:fldCharType="begin" w:fldLock="1"/>
      </w:r>
      <w:r w:rsidRPr="00B51DDE">
        <w:rPr>
          <w:rFonts w:ascii="Arial" w:hAnsi="Arial" w:cs="Arial"/>
        </w:rPr>
        <w:instrText>ADDIN CSL_CITATION {"citationItems":[{"id":"ITEM-1","itemData":{"DOI":"10.13187/ejced.2021.1.113","ISSN":"23056746","abstract":"The current research addresses interesting and still mostly neglected question of how introductory philosophical disciplines (such as “Introduction to philosophy”, “Introduction to ethics” etc.) affects students’ comprehension of the concept of critical thinking which is one of the most important descriptive and normative notions in contemporary education. Addressing this issue we formulated following tasks. First, to outline a theoretical framework of the research by introducing models of critical thinking that are relevant in contemporary education. Second, to discover and compare undergraduate students’ understanding of critical thinking before and after the completion of their philosophy classes. To complete the first task, the common methods of literature review (scoping, analysis, synthesis) were applied. The second task was completed by means of empirical (qualitative) research. Actual sample of current research consists of 15 undergraduates (first year) students from study program “Physical education and sports” in Lithuanian Sports University (LSU). The method of semi-structured interview was used in the current research. Participants were asked to give elaborated answers to 10 questions prepared in advance, as well as a range of additional questions which appeared to be relevant in the course of the interview. The participants were interviewed twice: the first time before the beginning of their philosophy classes (module “Philosophy of education”), and the second time after their completion. Our research leads to two conclusions. The first (conceptual) conclusion is that despite a great diversity of definitions and theoretical models of critical thinking the underling idea remains the same, namely, that of reflectivity, a general ability to discern different prospects of actions and to associate particular action with initial motives (needs, goals). The second (empirical) conclusion is that philosophical classes, as a kind of educational intervention, makes the idea of reflectivity more articulated in students’ conceptions of critical thinking.","author":[{"dropping-particle":"","family":"Saulius","given":"Tomas","non-dropping-particle":"","parse-names":false,"suffix":""},{"dropping-particle":"","family":"Malinauskas","given":"Romualdas K.","non-dropping-particle":"","parse-names":false,"suffix":""}],"container-title":"European Journal of Contemporary Education","id":"ITEM-1","issue":"1","issued":{"date-parts":[["2021"]]},"page":"113-126","title":"Involvement of Critical Thinking Education in University Studies: A Qualitative Research","type":"article-journal","volume":"10"},"uris":["http://www.mendeley.com/documents/?uuid=dc4a6fd1-a610-414a-a9e3-adc86d4eb3f3"]},{"id":"ITEM-2","itemData":{"DOI":"10.18546/LRE.13.1.05","ISSN":"14748479","abstract":"The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author":[{"dropping-particle":"","family":"Maxfield","given":"Lynn","non-dropping-particle":"","parse-names":false,"suffix":""}],"container-title":"Journal of Singing","id":"ITEM-3","issue":"June","issued":{"date-parts":[["2019"]]},"page":"583-587","title":"Your Model of Motor Learning","type":"article-journal"},"uris":["http://www.mendeley.com/documents/?uuid=5d4fae0a-36a6-46fd-b7b4-97444d81bdeb"]},{"id":"ITEM-4","itemData":{"DOI":"10.1016/j.jvoice.2018.10.007","ISSN":"18734588","PMID":"30448316","abstract":"The study assessed 30 nonprofessional singers to evaluate the effects of vocal tract shape adjustment via increased resonance toward an externally applied sinusoidal frequency of 900 Hz without phonation. The amplification of the sound wave was used as biofeedback signal and the intensity and the formant position of the basic vowels /a/, /e/, /i/, /o/, and /u/ were compared before and after a vocal tract adjustment period. After the adjustment period, the intensities for all vowels increased and the measured changes correlated with the participants’ self-perception.The diferences between the second formant position of the vowels and the applied frequency influences the changes in amplitude and in formant frequencies. The most significant changes in formant frequency occurred with vowels that did not include a formant frequency of 900 Hz, while the increase in amplitude was the strongest for vowels with a formant frequency of about 900 Hz.","author":[{"dropping-particle":"","family":"Graf","given":"Simone","non-dropping-particle":"","parse-names":false,"suffix":""},{"dropping-particle":"","family":"Schwiebacher","given":"Johannes","non-dropping-particle":"","parse-names":false,"suffix":""},{"dropping-particle":"","family":"Richter","given":"Lena","non-dropping-particle":"","parse-names":false,"suffix":""},{"dropping-particle":"","family":"Buchberger","given":"Maria","non-dropping-particle":"","parse-names":false,"suffix":""},{"dropping-particle":"","family":"Adachi","given":"Seiji","non-dropping-particle":"","parse-names":false,"suffix":""},{"dropping-particle":"","family":"Mastnak","given":"Wolfgang","non-dropping-particle":"","parse-names":false,"suffix":""},{"dropping-particle":"","family":"Hoyer","given":"Patrick","non-dropping-particle":"","parse-names":false,"suffix":""}],"container-title":"Journal of Voice","id":"ITEM-4","issue":"3","issued":{"date-parts":[["2020"]]},"page":"335-345","publisher":"Elsevier Inc.","title":"Adjustment of Vocal Tract Shape via Biofeedback: Influence on Vowels","type":"article-journal","volume":"34"},"uris":["http://www.mendeley.com/documents/?uuid=a7af98d4-35e7-456d-b296-6d4bf09a0cb1"]},{"id":"ITEM-5","itemData":{"DOI":"10.3758/s13423-015-0999-9","ISSN":"15315320","PMID":"26833314","abstract":"Effective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Review","id":"ITEM-5","issue":"5","issued":{"date-parts":[["2016"]]},"page":"1382-1414","publisher":"Psychonomic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learning","type":"article-journal","volume":"23"},"uris":["http://www.mendeley.com/documents/?uuid=c6645037-7ea0-40d5-b33c-cab661f7baeb"]}],"mendeley":{"formattedCitation":"(Creech and Hallam, 2015; Wulf and Lewthwaite, 2016; Maxfield, 2019; Graf &lt;i&gt;et al.&lt;/i&gt;, 2020; Saulius and Malinauskas, 2021)","plainTextFormattedCitation":"(Creech and Hallam, 2015; Wulf and Lewthwaite, 2016; Maxfield, 2019; Graf et al., 2020; Saulius and Malinauskas, 2021)","previouslyFormattedCitation":"(Creech and Hallam, 2015; Wulf and Lewthwaite, 2016; Maxfield, 2019; Graf &lt;i&gt;et al.&lt;/i&gt;, 2020; Saulius and Malinauskas,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(Creech and Hallam, 2015; Wulf and Lewthwaite, 2016; Maxfield, 2019; Graf </w:t>
      </w:r>
      <w:r w:rsidRPr="00B51DDE">
        <w:rPr>
          <w:rFonts w:ascii="Arial" w:hAnsi="Arial" w:cs="Arial"/>
          <w:i/>
          <w:noProof/>
        </w:rPr>
        <w:t>et al.</w:t>
      </w:r>
      <w:r w:rsidRPr="00B51DDE">
        <w:rPr>
          <w:rFonts w:ascii="Arial" w:hAnsi="Arial" w:cs="Arial"/>
          <w:noProof/>
        </w:rPr>
        <w:t>, 2020; Saulius and Malinauskas, 2021)</w:t>
      </w:r>
      <w:r w:rsidRPr="00B51DDE">
        <w:rPr>
          <w:rFonts w:ascii="Arial" w:hAnsi="Arial" w:cs="Arial"/>
        </w:rPr>
        <w:fldChar w:fldCharType="end"/>
      </w:r>
      <w:r w:rsidRPr="00B51DDE">
        <w:rPr>
          <w:rFonts w:ascii="Arial" w:hAnsi="Arial" w:cs="Arial"/>
        </w:rPr>
        <w:t>.</w:t>
      </w:r>
    </w:p>
    <w:p w14:paraId="6668CAD0" w14:textId="0D579D5F" w:rsidR="006E49AD" w:rsidRPr="00B51DDE" w:rsidRDefault="006E49AD" w:rsidP="00AE2080">
      <w:pPr>
        <w:pStyle w:val="NormalWeb"/>
        <w:spacing w:line="360" w:lineRule="auto"/>
        <w:jc w:val="both"/>
        <w:rPr>
          <w:rFonts w:ascii="Arial" w:hAnsi="Arial" w:cs="Arial"/>
        </w:rPr>
      </w:pPr>
      <w:r w:rsidRPr="00B51DDE">
        <w:rPr>
          <w:rFonts w:ascii="Arial" w:hAnsi="Arial" w:cs="Arial"/>
        </w:rPr>
        <w:t xml:space="preserve">Specific themes from the expert discussions regarding </w:t>
      </w:r>
      <w:r w:rsidRPr="00B51DDE">
        <w:rPr>
          <w:rFonts w:ascii="Arial" w:hAnsi="Arial" w:cs="Arial"/>
          <w:b/>
          <w:bCs/>
          <w:i/>
          <w:iCs/>
        </w:rPr>
        <w:t>airflow and the vocal folds</w:t>
      </w:r>
      <w:r w:rsidRPr="00B51DDE">
        <w:rPr>
          <w:rFonts w:ascii="Arial" w:hAnsi="Arial" w:cs="Arial"/>
          <w:i/>
          <w:iCs/>
        </w:rPr>
        <w:t xml:space="preserve"> </w:t>
      </w:r>
      <w:r w:rsidRPr="00B51DDE">
        <w:rPr>
          <w:rFonts w:ascii="Arial" w:hAnsi="Arial" w:cs="Arial"/>
        </w:rPr>
        <w:t xml:space="preserve">were in the areas of effort versus tension, understanding vocal fold closure, semi-occluded vocal tract exercises and their impact on inertance. </w:t>
      </w:r>
      <w:r w:rsidRPr="00B51DDE">
        <w:rPr>
          <w:rFonts w:ascii="Arial" w:hAnsi="Arial" w:cs="Arial"/>
          <w:b/>
          <w:bCs/>
          <w:i/>
          <w:iCs/>
        </w:rPr>
        <w:t xml:space="preserve">Semi-occluded vocal tract exercises </w:t>
      </w:r>
      <w:r w:rsidRPr="00B51DDE">
        <w:rPr>
          <w:rFonts w:ascii="Arial" w:hAnsi="Arial" w:cs="Arial"/>
        </w:rPr>
        <w:t xml:space="preserve">(SOVTEs) use an external tool or the articulators to lengthen or narrow the vocal tract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Study","type":"article-journal","volume":"15"},"uris":["http://www.mendeley.com/documents/?uuid=37f149bb-e536-4867-a6ff-39aae08b9277"]},{"id":"ITEM-2","itemData":{"DOI":"10.1016/j.jvoice.2014.05.009","ISSN":"18734588","PMID":"25261954","abstract":"Objective The purpose of this study was to describe changes in aerodynamic and electroglottographic (EGG) measures immediately after completing three semi-occluded vocal tract (SOVT) exercises. Study Design Prospective case series. Methods Aerodynamic and EGG measurements were obtained before and immediately after performing three SOVTs (straw phonation, lip trill, and tongue trill) in four singers for prepost comparisons to evaluate laryngeal changes persisting beyond the execution of SOVTs. Results Mean air flow, sound pressure level, and EGG closed quotient tended to increase after completing SOVTs. The magnitude of change and consistency of change in measures across the SOVTs varied from subject-to-subject. Conclusions Aerodynamic and EGG changes did occur during and immediately after completing SOVTs. However, there was marked variability within and across participants. Further investigation is needed to better understand which SOVTs are likely to benefit a particular individual.","author":[{"dropping-particle":"","family":"Dargin","given":"Troy Clifford","non-dropping-particle":"","parse-names":false,"suffix":""},{"dropping-particle":"","family":"Searl","given":"Jeff","non-dropping-particle":"","parse-names":false,"suffix":""}],"container-title":"Journal of Voice","id":"ITEM-2","issue":"2","issued":{"date-parts":[["2015"]]},"page":"155-164","publisher":"Elsevier Ltd","title":"Semi-occluded vocal tract exercises: Aerodynamic and electroglottographic measurements in singers","type":"article-journal","volume":"29"},"uris":["http://www.mendeley.com/documents/?uuid=c1ffd21f-d803-4f60-b361-4b1228b92b1d"]},{"id":"ITEM-3","itemData":{"DOI":"10.1016/j.jvoice.2016.12.008","ISSN":"18734588","PMID":"28214051","abstract":"Background Researchers have found that semi-occluded vocal tract (SOVT) exercises may increase vocal economy by reducing phonation threshold pressure and effort while increasing or maintaining consistent acoustic output. This research has focused solely on individual singers. Much singing instruction, however, takes place in choral settings. Choral singers may use different resonance strategies or unconsciously adjust their singing based on the ability to hear their own sound in relation to others. Results of studies with individual singers, then, may not be directly applicable to choral settings. Objective The purpose of this investigation was to measure the effect of an SOVT protocol (ie, straw phonation) on acoustic changes of conglomerate, choral sound. Study Design This is a quasi-experimental, one-group, pretest-posttest design. Methods Participants in this study constituted an intact SATB choir (soprano, alto, tenor, and bass) (N = 15 singers) who performed from memory two unaccompanied pieces of varied tempos from memory, participated in a 4-minute straw phonation protocol with a small stirring straw, and then sang each piece a second time. Results The long-term average spectrum results indicated small, statistically significant increases in spectral energy for both pieces in the 0–10 kHz (.32 and.20 dB Sound Pressure Level) and 2–4 kHz regions (.46 and.25 dB SPL). Conclusion These results, although not likely audible to average hearing humans, seem consistent with the assertion that singers enjoy vocal benefits with consistent or increased vocal output. SOVT exercises, therefore, may be useful as a time-efficient way to evoke more efficient and economical singing during choral warm-up and voice building procedures.","author":[{"dropping-particle":"","family":"Manternach","given":"Jeremy N.","non-dropping-particle":"","parse-names":false,"suffix":""},{"dropping-particle":"","family":"Clark","given":"Chad","non-dropping-particle":"","parse-names":false,"suffix":""},{"dropping-particle":"","family":"Daugherty","given":"James F.","non-dropping-particle":"","parse-names":false,"suffix":""}],"container-title":"Journal of Voice","id":"ITEM-3","issue":"4","issued":{"date-parts":[["2017"]]},"page":"514.e5-514.e10","publisher":"Elsevier Inc.","title":"Effects of a Straw Phonation Protocol on Acoustic Measures of an SATB Chorus Singing Two Contrasting Renaissance Works","type":"article-journal","volume":"31"},"uris":["http://www.mendeley.com/documents/?uuid=1cffaa77-d7f8-413b-b9ac-7f6086eaa4e3"]}],"mendeley":{"formattedCitation":"(Dargin and Searl, 2015; Manternach, Clark and Daugherty, 2017; Manternach, Maxfield and Manternach, 2021)","plainTextFormattedCitation":"(Dargin and Searl, 2015; Manternach, Clark and Daugherty, 2017; Manternach, Maxfield and Manternach, 2021)","previouslyFormattedCitation":"(Dargin and Searl, 2015; Manternach, Clark and Daugherty, 2017; 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(Dargin and Searl, 2015; Manternach, Clark and Daugherty, 2017; Manternach, Maxfield and Manternach, 2021)</w:t>
      </w:r>
      <w:r w:rsidRPr="00B51DDE">
        <w:rPr>
          <w:rFonts w:ascii="Arial" w:hAnsi="Arial" w:cs="Arial"/>
        </w:rPr>
        <w:fldChar w:fldCharType="end"/>
      </w:r>
      <w:r w:rsidRPr="00B51DDE">
        <w:rPr>
          <w:rFonts w:ascii="Arial" w:hAnsi="Arial" w:cs="Arial"/>
        </w:rPr>
        <w:t xml:space="preserve">. An external SOVTE tool might be singing through a straw (into air or water) or covering the mouth with one’s hand </w:t>
      </w:r>
      <w:r w:rsidRPr="00B51DDE">
        <w:rPr>
          <w:rFonts w:ascii="Arial" w:hAnsi="Arial" w:cs="Arial"/>
        </w:rPr>
        <w:fldChar w:fldCharType="begin" w:fldLock="1"/>
      </w:r>
      <w:r w:rsidRPr="00B51DDE">
        <w:rPr>
          <w:rFonts w:ascii="Arial" w:hAnsi="Arial" w:cs="Arial"/>
        </w:rPr>
        <w:instrText>ADDIN CSL_CITATION {"citationItems":[{"id":"ITEM-1","itemData":{"DOI":"10.1016/j.jvoice.2016.12.008","ISSN":"18734588","PMID":"28214051","abstract":"Background Researchers have found that semi-occluded vocal tract (SOVT) exercises may increase vocal economy by reducing phonation threshold pressure and effort while increasing or maintaining consistent acoustic output. This research has focused solely on individual singers. Much singing instruction, however, takes place in choral settings. Choral singers may use different resonance strategies or unconsciously adjust their singing based on the ability to hear their own sound in relation to others. Results of studies with individual singers, then, may not be directly applicable to choral settings. Objective The purpose of this investigation was to measure the effect of an SOVT protocol (ie, straw phonation) on acoustic changes of conglomerate, choral sound. Study Design This is a quasi-experimental, one-group, pretest-posttest design. Methods Participants in this study constituted an intact SATB choir (soprano, alto, tenor, and bass) (N = 15 singers) who performed from memory two unaccompanied pieces of varied tempos from memory, participated in a 4-minute straw phonation protocol with a small stirring straw, and then sang each piece a second time. Results The long-term average spectrum results indicated small, statistically significant increases in spectral energy for both pieces in the 0–10 kHz (.32 and.20 dB Sound Pressure Level) and 2–4 kHz regions (.46 and.25 dB SPL). Conclusion These results, although not likely audible to average hearing humans, seem consistent with the assertion that singers enjoy vocal benefits with consistent or increased vocal output. SOVT exercises, therefore, may be useful as a time-efficient way to evoke more efficient and economical singing during choral warm-up and voice building procedures.","author":[{"dropping-particle":"","family":"Manternach","given":"Jeremy N.","non-dropping-particle":"","parse-names":false,"suffix":""},{"dropping-particle":"","family":"Clark","given":"Chad","non-dropping-particle":"","parse-names":false,"suffix":""},{"dropping-particle":"","family":"Daugherty","given":"James F.","non-dropping-particle":"","parse-names":false,"suffix":""}],"container-title":"Journal of Voice","id":"ITEM-1","issue":"4","issued":{"date-parts":[["2017"]]},"page":"514.e5-514.e10","publisher":"Elsevier Inc.","title":"Effects of a Straw Phonation Protocol on Acoustic Measures of an SATB Chorus Singing Two Contrasting Renaissance Works","type":"article-journal","volume":"31"},"uris":["http://www.mendeley.com/documents/?uuid=1cffaa77-d7f8-413b-b9ac-7f6086eaa4e3"]},{"id":"ITEM-2","itemData":{"DOI":"10.1016/j.jvoice.2014.05.004","ISSN":"18734588","PMID":"25179779","abstract":"Purpose The present study aimed to assess three different singing styles (pop, rock, and jazz) with laryngoscopic, acoustic, and perceptual analysis in healthy singers at different loudness levels. Special emphasis was given to the degree of anterior-posterior (A-P) laryngeal compression, medial laryngeal compression, vertical laryngeal position (VLP), and pharyngeal compression. Study Design Prospective study. Methods Twelve female trained singers with at least 5 years of voice training and absence of any voice pathology were included. Flexible and rigid laryngeal endoscopic examinations were performed. Voice recording was also carried out. Four blinded judges were asked to assess laryngoscopic and auditory perceptual variables using a visual analog scale. Results All laryngoscopic parameters showed significant differences for all singing styles. Rock showed the greatest degree for all of them. Overall A-P laryngeal compression scores demonstrated significantly higher values than overall medial compression and VLP. High loudness level produced the highest degree of A-P compression, medial compression, pharyngeal compression, and the lowest VLP for all singing styles. Additionally, rock demonstrated the highest values for alpha ratio (less steep spectral slope), L1-L0 ratio (more glottal adduction), and Leq (more vocal intensity). Statistically significant differences between the three loudness levels were also found for these acoustic parameters. Conclusions Rock singing seems to be the style with the highest degree of both laryngeal and pharyngeal activity in healthy singers. Although, supraglottic activity during singing could be labeled as hyperfunctional vocal behavior, it may not necessarily be harmful, but a strategy to avoid vocal fold damage.","author":[{"dropping-particle":"","family":"Guzman","given":"Marco","non-dropping-particle":"","parse-names":false,"suffix":""},{"dropping-particle":"","family":"Lanas","given":"Andres","non-dropping-particle":"","parse-names":false,"suffix":""},{"dropping-particle":"","family":"Olavarria","given":"Christian","non-dropping-particle":"","parse-names":false,"suffix":""},{"dropping-particle":"","family":"Azocar","given":"Maria Josefina","non-dropping-particle":"","parse-names":false,"suffix":""},{"dropping-particle":"","family":"Muñoz","given":"Daniel","non-dropping-particle":"","parse-names":false,"suffix":""},{"dropping-particle":"","family":"Madrid","given":"Sofia","non-dropping-particle":"","parse-names":false,"suffix":""},{"dropping-particle":"","family":"Monsalve","given":"Sebastian","non-dropping-particle":"","parse-names":false,"suffix":""},{"dropping-particle":"","family":"Martinez","given":"Francisca","non-dropping-particle":"","parse-names":false,"suffix":""},{"dropping-particle":"","family":"Vargas","given":"Sindy","non-dropping-particle":"","parse-names":false,"suffix":""},{"dropping-particle":"","family":"Cortez","given":"Pedro","non-dropping-particle":"","parse-names":false,"suffix":""},{"dropping-particle":"","family":"Mayerhoff","given":"Ross M.","non-dropping-particle":"","parse-names":false,"suffix":""}],"container-title":"Journal of Voice","id":"ITEM-2","issue":"1","issued":{"date-parts":[["2015"]]},"page":"130.e21-130.e28","title":"Laryngoscopic and spectral analysis of laryngeal and pharyngeal configuration in non-classical singing styles","type":"article-journal","volume":"29"},"uris":["http://www.mendeley.com/documents/?uuid=50755ca7-9a62-4937-84af-992c7ccfb136"]}],"mendeley":{"formattedCitation":"(Guzman &lt;i&gt;et al.&lt;/i&gt;, 2015; Manternach, Clark and Daugherty, 2017)","plainTextFormattedCitation":"(Guzman et al., 2015; Manternach, Clark and Daugherty, 2017)","previouslyFormattedCitation":"(Guzman &lt;i&gt;et al.&lt;/i&gt;, 2015; Manternach, Clark and Daugherty, 2017)"},"properties":{"noteIndex":0},"schema":"https://github.com/citation-style-language/schema/raw/master/csl-citation.json"}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(Guzman </w:t>
      </w:r>
      <w:r w:rsidRPr="00B51DDE">
        <w:rPr>
          <w:rFonts w:ascii="Arial" w:hAnsi="Arial" w:cs="Arial"/>
          <w:i/>
          <w:noProof/>
        </w:rPr>
        <w:t>et al.</w:t>
      </w:r>
      <w:r w:rsidRPr="00B51DDE">
        <w:rPr>
          <w:rFonts w:ascii="Arial" w:hAnsi="Arial" w:cs="Arial"/>
          <w:noProof/>
        </w:rPr>
        <w:t>, 2015; Manternach, Clark and Daugherty, 2017)</w:t>
      </w:r>
      <w:r w:rsidRPr="00B51DDE">
        <w:rPr>
          <w:rFonts w:ascii="Arial" w:hAnsi="Arial" w:cs="Arial"/>
        </w:rPr>
        <w:fldChar w:fldCharType="end"/>
      </w:r>
      <w:r w:rsidRPr="00B51DDE">
        <w:rPr>
          <w:rFonts w:ascii="Arial" w:hAnsi="Arial" w:cs="Arial"/>
        </w:rPr>
        <w:t>. SOVT</w:t>
      </w:r>
      <w:r w:rsidR="00A83E2D" w:rsidRPr="00B51DDE">
        <w:rPr>
          <w:rFonts w:ascii="Arial" w:hAnsi="Arial" w:cs="Arial"/>
        </w:rPr>
        <w:t>E</w:t>
      </w:r>
      <w:r w:rsidRPr="00B51DDE">
        <w:rPr>
          <w:rFonts w:ascii="Arial" w:hAnsi="Arial" w:cs="Arial"/>
        </w:rPr>
        <w:t xml:space="preserve">s using the articulators are exercises such </w:t>
      </w:r>
      <w:r w:rsidR="00162844" w:rsidRPr="00B51DDE">
        <w:rPr>
          <w:rFonts w:ascii="Arial" w:hAnsi="Arial" w:cs="Arial"/>
        </w:rPr>
        <w:t xml:space="preserve">as </w:t>
      </w:r>
      <w:r w:rsidRPr="00B51DDE">
        <w:rPr>
          <w:rFonts w:ascii="Arial" w:hAnsi="Arial" w:cs="Arial"/>
        </w:rPr>
        <w:t xml:space="preserve">sustained voiced fricatives, trills (tongue or lip), and others which make a convergent vocal tract towards the mouth </w:t>
      </w:r>
      <w:r w:rsidRPr="00B51DDE">
        <w:rPr>
          <w:rFonts w:ascii="Arial" w:hAnsi="Arial" w:cs="Arial"/>
        </w:rPr>
        <w:fldChar w:fldCharType="begin" w:fldLock="1"/>
      </w:r>
      <w:r w:rsidRPr="00B51DDE">
        <w:rPr>
          <w:rFonts w:ascii="Arial" w:hAnsi="Arial" w:cs="Arial"/>
        </w:rPr>
        <w:instrText>ADDIN CSL_CITATION {"citationItems":[{"id":"ITEM-1","itemData":{"DOI":"10.1016/j.jvoice.2016.12.008","ISSN":"18734588","PMID":"28214051","abstract":"Background Researchers have found that semi-occluded vocal tract (SOVT) exercises may increase vocal economy by reducing phonation threshold pressure and effort while increasing or maintaining consistent acoustic output. This research has focused solely on individual singers. Much singing instruction, however, takes place in choral settings. Choral singers may use different resonance strategies or unconsciously adjust their singing based on the ability to hear their own sound in relation to others. Results of studies with individual singers, then, may not be directly applicable to choral settings. Objective The purpose of this investigation was to measure the effect of an SOVT protocol (ie, straw phonation) on acoustic changes of conglomerate, choral sound. Study Design This is a quasi-experimental, one-group, pretest-posttest design. Methods Participants in this study constituted an intact SATB choir (soprano, alto, tenor, and bass) (N = 15 singers) who performed from memory two unaccompanied pieces of varied tempos from memory, participated in a 4-minute straw phonation protocol with a small stirring straw, and then sang each piece a second time. Results The long-term average spectrum results indicated small, statistically significant increases in spectral energy for both pieces in the 0–10 kHz (.32 and.20 dB Sound Pressure Level) and 2–4 kHz regions (.46 and.25 dB SPL). Conclusion These results, although not likely audible to average hearing humans, seem consistent with the assertion that singers enjoy vocal benefits with consistent or increased vocal output. SOVT exercises, therefore, may be useful as a time-efficient way to evoke more efficient and economical singing during choral warm-up and voice building procedures.","author":[{"dropping-particle":"","family":"Manternach","given":"Jeremy N.","non-dropping-particle":"","parse-names":false,"suffix":""},{"dropping-particle":"","family":"Clark","given":"Chad","non-dropping-particle":"","parse-names":false,"suffix":""},{"dropping-particle":"","family":"Daugherty","given":"James F.","non-dropping-particle":"","parse-names":false,"suffix":""}],"container-title":"Journal of Voice","id":"ITEM-1","issue":"4","issued":{"date-parts":[["2017"]]},"page":"514.e5-514.e10","publisher":"Elsevier Inc.","title":"Effects of a Straw Phonation Protocol on Acoustic Measures of an SATB Chorus Singing Two Contrasting Renaissance Works","type":"article-journal","volume":"31"},"uris":["http://www.mendeley.com/documents/?uuid=1cffaa77-d7f8-413b-b9ac-7f6086eaa4e3"]},{"id":"ITEM-2","itemData":{"DOI":"10.1016/j.jvoice.2014.05.009","ISSN":"18734588","PMID":"25261954","abstract":"Objective The purpose of this study was to describe changes in aerodynamic and electroglottographic (EGG) measures immediately after completing three semi-occluded vocal tract (SOVT) exercises. Study Design Prospective case series. Methods Aerodynamic and EGG measurements were obtained before and immediately after performing three SOVTs (straw phonation, lip trill, and tongue trill) in four singers for prepost comparisons to evaluate laryngeal changes persisting beyond the execution of SOVTs. Results Mean air flow, sound pressure level, and EGG closed quotient tended to increase after completing SOVTs. The magnitude of change and consistency of change in measures across the SOVTs varied from subject-to-subject. Conclusions Aerodynamic and EGG changes did occur during and immediately after completing SOVTs. However, there was marked variability within and across participants. Further investigation is needed to better understand which SOVTs are likely to benefit a particular individual.","author":[{"dropping-particle":"","family":"Dargin","given":"Troy Clifford","non-dropping-particle":"","parse-names":false,"suffix":""},{"dropping-particle":"","family":"Searl","given":"Jeff","non-dropping-particle":"","parse-names":false,"suffix":""}],"container-title":"Journal of Voice","id":"ITEM-2","issue":"2","issued":{"date-parts":[["2015"]]},"page":"155-164","publisher":"Elsevier Ltd","title":"Semi-occluded vocal tract exercises: Aerodynamic and electroglottographic measurements in singers","type":"article-journal","volume":"29"},"uris":["http://www.mendeley.com/documents/?uuid=c1ffd21f-d803-4f60-b361-4b1228b92b1d"]}],"mendeley":{"formattedCitation":"(Dargin and Searl, 2015; Manternach, Clark and Daugherty, 2017)","plainTextFormattedCitation":"(Dargin and Searl, 2015; Manternach, Clark and Daugherty, 2017)","previouslyFormattedCitation":"(Dargin and Searl, 2015; Manternach, Clark and Daugherty, 2017)"},"properties":{"noteIndex":0},"schema":"https://github.com/citation-style-language/schema/raw/master/csl-citation.json"}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(Dargin and Searl, 2015; Manternach, Clark and Daugherty, 2017)</w:t>
      </w:r>
      <w:r w:rsidRPr="00B51DDE">
        <w:rPr>
          <w:rFonts w:ascii="Arial" w:hAnsi="Arial" w:cs="Arial"/>
        </w:rPr>
        <w:fldChar w:fldCharType="end"/>
      </w:r>
      <w:r w:rsidRPr="00B51DDE">
        <w:rPr>
          <w:rFonts w:ascii="Arial" w:hAnsi="Arial" w:cs="Arial"/>
        </w:rPr>
        <w:t xml:space="preserve">. Part of the influence for the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Study","type":"article-journal","volume":"15"},"uris":["http://www.mendeley.com/documents/?uuid=37f149bb-e536-4867-a6ff-39aae08b9277"]}],"mendeley":{"formattedCitation":"(Manternach, Maxfield and Manternach, 2021)","manualFormatting":"(2021)","plainTextFormattedCitation":"(Manternach, Maxfield and Manternach, 2021)","previouslyFormattedCitation":"(Manternach,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(2021)</w:t>
      </w:r>
      <w:r w:rsidRPr="00B51DDE">
        <w:rPr>
          <w:rFonts w:ascii="Arial" w:hAnsi="Arial" w:cs="Arial"/>
        </w:rPr>
        <w:fldChar w:fldCharType="end"/>
      </w:r>
      <w:r w:rsidRPr="00B51DDE">
        <w:rPr>
          <w:rFonts w:ascii="Arial" w:hAnsi="Arial" w:cs="Arial"/>
        </w:rPr>
        <w:t xml:space="preserve"> study by </w:t>
      </w:r>
      <w:r w:rsidRPr="00B51DDE">
        <w:rPr>
          <w:rFonts w:ascii="Arial" w:hAnsi="Arial" w:cs="Arial"/>
          <w:noProof/>
        </w:rPr>
        <w:t>Manternach, Maxfield and Manternach</w:t>
      </w:r>
      <w:r w:rsidRPr="00B51DDE">
        <w:rPr>
          <w:rFonts w:ascii="Arial" w:hAnsi="Arial" w:cs="Arial"/>
        </w:rPr>
        <w:t xml:space="preserve"> was previous research which indicated benefits </w:t>
      </w:r>
      <w:r w:rsidR="00302B6F" w:rsidRPr="00B51DDE">
        <w:rPr>
          <w:rFonts w:ascii="Arial" w:hAnsi="Arial" w:cs="Arial"/>
        </w:rPr>
        <w:t xml:space="preserve">using SOVTEs </w:t>
      </w:r>
      <w:r w:rsidRPr="00B51DDE">
        <w:rPr>
          <w:rFonts w:ascii="Arial" w:hAnsi="Arial" w:cs="Arial"/>
        </w:rPr>
        <w:t>for voice therapy</w:t>
      </w:r>
      <w:r w:rsidR="00162844" w:rsidRPr="00B51DDE">
        <w:rPr>
          <w:rFonts w:ascii="Arial" w:hAnsi="Arial" w:cs="Arial"/>
        </w:rPr>
        <w:t>,</w:t>
      </w:r>
      <w:r w:rsidRPr="00B51DDE">
        <w:rPr>
          <w:rFonts w:ascii="Arial" w:hAnsi="Arial" w:cs="Arial"/>
        </w:rPr>
        <w:t xml:space="preserve"> choral</w:t>
      </w:r>
      <w:r w:rsidR="00162844" w:rsidRPr="00B51DDE">
        <w:rPr>
          <w:rFonts w:ascii="Arial" w:hAnsi="Arial" w:cs="Arial"/>
        </w:rPr>
        <w:t>,</w:t>
      </w:r>
      <w:r w:rsidRPr="00B51DDE">
        <w:rPr>
          <w:rFonts w:ascii="Arial" w:hAnsi="Arial" w:cs="Arial"/>
        </w:rPr>
        <w:t xml:space="preserve"> and classical singing. Although it seems possible that these benefits could benefit CCM technique, research has not yet established an evidence base. Evidence shows that after SOVTEs there are measurable helpful changes to glottal closed quotient (CQ), impedance, vocal efficiency, and a singer</w:t>
      </w:r>
      <w:r w:rsidR="00792C78" w:rsidRPr="00B51DDE">
        <w:rPr>
          <w:rFonts w:ascii="Arial" w:hAnsi="Arial" w:cs="Arial"/>
        </w:rPr>
        <w:t>’</w:t>
      </w:r>
      <w:r w:rsidRPr="00B51DDE">
        <w:rPr>
          <w:rFonts w:ascii="Arial" w:hAnsi="Arial" w:cs="Arial"/>
        </w:rPr>
        <w:t xml:space="preserve">s sense of effort </w:t>
      </w:r>
      <w:r w:rsidRPr="00B51DDE">
        <w:rPr>
          <w:rFonts w:ascii="Arial" w:hAnsi="Arial" w:cs="Arial"/>
        </w:rPr>
        <w:fldChar w:fldCharType="begin" w:fldLock="1"/>
      </w:r>
      <w:r w:rsidRPr="00B51DDE">
        <w:rPr>
          <w:rFonts w:ascii="Arial" w:hAnsi="Arial" w:cs="Arial"/>
        </w:rPr>
        <w:instrText>ADDIN CSL_CITATION {"citationItems":[{"id":"ITEM-1","itemData":{"DOI":"10.1016/j.jvoice.2011.03.003","ISSN":"08921997","PMID":"21550779","abstract":"Phonation into narrow tubes or straws has been used as a voice training and voice therapy technique and belongs to a group of techniques known as semi-occluded vocal tract exercises. The use of what are called resonance tubes has received renewed attention in the voice research literature, in both theoretical and empirical studies. The assumption is that the partially occluded and lengthened vocal tract alters supraglottal acoustics in such a way as to allow phonation near a lowered first vocal tract formant, which has been suggested as a way to bring about a more efficient glottal closure pattern for sustained oscillation. In this study, two groups of male participants, 10 with no vocal training and 10 with classical vocal training, phonated into a resonance tube for approximately 1 minute. Electroglottography was used to estimate glottal contact quotient (CQ) during spoken /a/ vowels before tube phonation, during tube phonation, and again during spoken /a/ vowels after tube phonation. Half of each group of participants was made to keep pitch and loudness consistent for all phases of the experiment, replicating the method of a previous study by this author. The other half was instructed to practice phonating into the resonance tube before collecting data and was encouraged to find a pitch and loudness combination that maximized ease of phonation and a sense of forward oral resonance. Glottal CQ altered considerably from baseline for almost all participants during tube phonation, with a larger variability than that during vowel production. Small differences in glottal CQ were found as a function of training and instruction, with most participants' CQ increasing during tube phonation. A small post-tube phonation effect was found primarily for the trained and instructed group. Secondary single-subject analyses revealed large intersubject variation, highlighting the highly individualized response to the resonance tube task. Continued study of resonance tubes is recommended, comparing both male and female as well as vocally trained and untrained participants. Future studies should continue to examine systematic variations in task instruction, length of practice, and resonance tube dimensions. © 2012 The Voice Foundation.","author":[{"dropping-particle":"","family":"Gaskill","given":"Christopher S.","non-dropping-particle":"","parse-names":false,"suffix":""},{"dropping-particle":"","family":"Quinney","given":"Dana M.","non-dropping-particle":"","parse-names":false,"suffix":""}],"container-title":"Journal of Voice","id":"ITEM-1","issue":"3","issued":{"date-parts":[["2012"]]},"page":"e79-e93","publisher":"Elsevier Ltd","title":"The effect of resonance tubes on glottal contact quotient with and without task instruction: A comparison of trained and untrained voices","type":"article-journal","volume":"26"},"uris":["http://www.mendeley.com/documents/?uuid=937bedb8-4328-47a3-8eab-16b0f6765ea2"]},{"id":"ITEM-2","itemData":{"DOI":"10.1016/j.jvoice.2014.05.009","ISSN":"18734588","PMID":"25261954","abstract":"Objective The purpose of this study was to describe changes in aerodynamic and electroglottographic (EGG) measures immediately after completing three semi-occluded vocal tract (SOVT) exercises. Study Design Prospective case series. Methods Aerodynamic and EGG measurements were obtained before and immediately after performing three SOVTs (straw phonation, lip trill, and tongue trill) in four singers for prepost comparisons to evaluate laryngeal changes persisting beyond the execution of SOVTs. Results Mean air flow, sound pressure level, and EGG closed quotient tended to increase after completing SOVTs. The magnitude of change and consistency of change in measures across the SOVTs varied from subject-to-subject. Conclusions Aerodynamic and EGG changes did occur during and immediately after completing SOVTs. However, there was marked variability within and across participants. Further investigation is needed to better understand which SOVTs are likely to benefit a particular individual.","author":[{"dropping-particle":"","family":"Dargin","given":"Troy Clifford","non-dropping-particle":"","parse-names":false,"suffix":""},{"dropping-particle":"","family":"Searl","given":"Jeff","non-dropping-particle":"","parse-names":false,"suffix":""}],"container-title":"Journal of Voice","id":"ITEM-2","issue":"2","issued":{"date-parts":[["2015"]]},"page":"155-164","publisher":"Elsevier Ltd","title":"Semi-occluded vocal tract exercises: Aerodynamic and electroglottographic measurements in singers","type":"article-journal","volume":"29"},"uris":["http://www.mendeley.com/documents/?uuid=c1ffd21f-d803-4f60-b361-4b1228b92b1d"]}],"mendeley":{"formattedCitation":"(Gaskill and Quinney, 2012; Dargin and Searl, 2015)","plainTextFormattedCitation":"(Gaskill and Quinney, 2012; Dargin and Searl, 2015)","previouslyFormattedCitation":"(Gaskill and Quinney, 2012; Dargin and Searl, 2015)"},"properties":{"noteIndex":0},"schema":"https://github.com/citation-style-language/schema/raw/master/csl-citation.json"}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(Gaskill and Quinney, 2012; Dargin and Searl, 2015)</w:t>
      </w:r>
      <w:r w:rsidRPr="00B51DDE">
        <w:rPr>
          <w:rFonts w:ascii="Arial" w:hAnsi="Arial" w:cs="Arial"/>
        </w:rPr>
        <w:fldChar w:fldCharType="end"/>
      </w:r>
      <w:r w:rsidRPr="00B51DDE">
        <w:rPr>
          <w:rFonts w:ascii="Arial" w:hAnsi="Arial" w:cs="Arial"/>
        </w:rPr>
        <w:t>. These studies were small</w:t>
      </w:r>
      <w:r w:rsidR="00792C78" w:rsidRPr="00B51DDE">
        <w:rPr>
          <w:rFonts w:ascii="Arial" w:hAnsi="Arial" w:cs="Arial"/>
        </w:rPr>
        <w:t>-</w:t>
      </w:r>
      <w:r w:rsidRPr="00B51DDE">
        <w:rPr>
          <w:rFonts w:ascii="Arial" w:hAnsi="Arial" w:cs="Arial"/>
        </w:rPr>
        <w:t xml:space="preserve">scale and involved trained singers. </w:t>
      </w:r>
      <w:r w:rsidRPr="00B51DDE">
        <w:rPr>
          <w:rFonts w:ascii="Arial" w:hAnsi="Arial" w:cs="Arial"/>
          <w:noProof/>
        </w:rPr>
        <w:t xml:space="preserve">Gaskill and Quinney </w:t>
      </w:r>
      <w:r w:rsidRPr="00B51DDE">
        <w:rPr>
          <w:rFonts w:ascii="Arial" w:hAnsi="Arial" w:cs="Arial"/>
          <w:noProof/>
        </w:rPr>
        <w:fldChar w:fldCharType="begin" w:fldLock="1"/>
      </w:r>
      <w:r w:rsidRPr="00B51DDE">
        <w:rPr>
          <w:rFonts w:ascii="Arial" w:hAnsi="Arial" w:cs="Arial"/>
          <w:noProof/>
        </w:rPr>
        <w:instrText>ADDIN CSL_CITATION {"citationItems":[{"id":"ITEM-1","itemData":{"DOI":"10.1016/j.jvoice.2011.03.003","ISSN":"08921997","PMID":"21550779","abstract":"Phonation into narrow tubes or straws has been used as a voice training and voice therapy technique and belongs to a group of techniques known as semi-occluded vocal tract exercises. The use of what are called resonance tubes has received renewed attention in the voice research literature, in both theoretical and empirical studies. The assumption is that the partially occluded and lengthened vocal tract alters supraglottal acoustics in such a way as to allow phonation near a lowered first vocal tract formant, which has been suggested as a way to bring about a more efficient glottal closure pattern for sustained oscillation. In this study, two groups of male participants, 10 with no vocal training and 10 with classical vocal training, phonated into a resonance tube for approximately 1 minute. Electroglottography was used to estimate glottal contact quotient (CQ) during spoken /a/ vowels before tube phonation, during tube phonation, and again during spoken /a/ vowels after tube phonation. Half of each group of participants was made to keep pitch and loudness consistent for all phases of the experiment, replicating the method of a previous study by this author. The other half was instructed to practice phonating into the resonance tube before collecting data and was encouraged to find a pitch and loudness combination that maximized ease of phonation and a sense of forward oral resonance. Glottal CQ altered considerably from baseline for almost all participants during tube phonation, with a larger variability than that during vowel production. Small differences in glottal CQ were found as a function of training and instruction, with most participants' CQ increasing during tube phonation. A small post-tube phonation effect was found primarily for the trained and instructed group. Secondary single-subject analyses revealed large intersubject variation, highlighting the highly individualized response to the resonance tube task. Continued study of resonance tubes is recommended, comparing both male and female as well as vocally trained and untrained participants. Future studies should continue to examine systematic variations in task instruction, length of practice, and resonance tube dimensions. © 2012 The Voice Foundation.","author":[{"dropping-particle":"","family":"Gaskill","given":"Christopher S.","non-dropping-particle":"","parse-names":false,"suffix":""},{"dropping-particle":"","family":"Quinney","given":"Dana M.","non-dropping-particle":"","parse-names":false,"suffix":""}],"container-title":"Journal of Voice","id":"ITEM-1","issue":"3","issued":{"date-parts":[["2012"]]},"page":"e79-e93","publisher":"Elsevier Ltd","title":"The effect of resonance tubes on glottal contact quotient with and without task instruction: A comparison of trained and untrained voices","type":"article-journal","volume":"26"},"uris":["http://www.mendeley.com/documents/?uuid=937bedb8-4328-47a3-8eab-16b0f6765ea2"]}],"mendeley":{"formattedCitation":"(Gaskill and Quinney, 2012)","manualFormatting":"(2012)","plainTextFormattedCitation":"(Gaskill and Quinney, 2012)","previouslyFormattedCitation":"(Gaskill and Quinney, 2012)"},"properties":{"noteIndex":0},"schema":"https://github.com/citation-style-language/schema/raw/master/csl-citation.json"}</w:instrText>
      </w:r>
      <w:r w:rsidRPr="00B51DDE">
        <w:rPr>
          <w:rFonts w:ascii="Arial" w:hAnsi="Arial" w:cs="Arial"/>
          <w:noProof/>
        </w:rPr>
        <w:fldChar w:fldCharType="separate"/>
      </w:r>
      <w:r w:rsidRPr="00B51DDE">
        <w:rPr>
          <w:rFonts w:ascii="Arial" w:hAnsi="Arial" w:cs="Arial"/>
          <w:noProof/>
        </w:rPr>
        <w:t>(2012)</w:t>
      </w:r>
      <w:r w:rsidRPr="00B51DDE">
        <w:rPr>
          <w:rFonts w:ascii="Arial" w:hAnsi="Arial" w:cs="Arial"/>
          <w:noProof/>
        </w:rPr>
        <w:fldChar w:fldCharType="end"/>
      </w:r>
      <w:r w:rsidRPr="00B51DDE">
        <w:rPr>
          <w:rFonts w:ascii="Arial" w:hAnsi="Arial" w:cs="Arial"/>
          <w:noProof/>
        </w:rPr>
        <w:t xml:space="preserve"> noted that the benefits of SOVTEs were greater in untrained singers but noted the outcomes were inconsistent. </w:t>
      </w:r>
      <w:r w:rsidRPr="00B51DDE">
        <w:rPr>
          <w:rFonts w:ascii="Arial" w:hAnsi="Arial" w:cs="Arial"/>
          <w:b/>
          <w:bCs/>
          <w:i/>
          <w:iCs/>
        </w:rPr>
        <w:t>Inertance</w:t>
      </w:r>
      <w:r w:rsidRPr="00B51DDE">
        <w:rPr>
          <w:rFonts w:ascii="Arial" w:hAnsi="Arial" w:cs="Arial"/>
        </w:rPr>
        <w:t xml:space="preserve"> in the vocal tract is the change of acceleration of supraglottal air which may aid vocal fold vibration </w:t>
      </w:r>
      <w:r w:rsidRPr="00B51DDE">
        <w:rPr>
          <w:rFonts w:ascii="Arial" w:hAnsi="Arial" w:cs="Arial"/>
        </w:rPr>
        <w:fldChar w:fldCharType="begin" w:fldLock="1"/>
      </w:r>
      <w:r w:rsidRPr="00B51DDE">
        <w:rPr>
          <w:rFonts w:ascii="Arial" w:hAnsi="Arial" w:cs="Arial"/>
        </w:rPr>
        <w:instrText>ADDIN CSL_CITATION {"citationItems":[{"id":"ITEM-1","itemData":{"DOI":"10.1016/j.jvoice.2014.05.004","ISSN":"18734588","PMID":"25179779","abstract":"Purpose The present study aimed to assess three different singing styles (pop, rock, and jazz) with laryngoscopic, acoustic, and perceptual analysis in healthy singers at different loudness levels. Special emphasis was given to the degree of anterior-posterior (A-P) laryngeal compression, medial laryngeal compression, vertical laryngeal position (VLP), and pharyngeal compression. Study Design Prospective study. Methods Twelve female trained singers with at least 5 years of voice training and absence of any voice pathology were included. Flexible and rigid laryngeal endoscopic examinations were performed. Voice recording was also carried out. Four blinded judges were asked to assess laryngoscopic and auditory perceptual variables using a visual analog scale. Results All laryngoscopic parameters showed significant differences for all singing styles. Rock showed the greatest degree for all of them. Overall A-P laryngeal compression scores demonstrated significantly higher values than overall medial compression and VLP. High loudness level produced the highest degree of A-P compression, medial compression, pharyngeal compression, and the lowest VLP for all singing styles. Additionally, rock demonstrated the highest values for alpha ratio (less steep spectral slope), L1-L0 ratio (more glottal adduction), and Leq (more vocal intensity). Statistically significant differences between the three loudness levels were also found for these acoustic parameters. Conclusions Rock singing seems to be the style with the highest degree of both laryngeal and pharyngeal activity in healthy singers. Although, supraglottic activity during singing could be labeled as hyperfunctional vocal behavior, it may not necessarily be harmful, but a strategy to avoid vocal fold damage.","author":[{"dropping-particle":"","family":"Guzman","given":"Marco","non-dropping-particle":"","parse-names":false,"suffix":""},{"dropping-particle":"","family":"Lanas","given":"Andres","non-dropping-particle":"","parse-names":false,"suffix":""},{"dropping-particle":"","family":"Olavarria","given":"Christian","non-dropping-particle":"","parse-names":false,"suffix":""},{"dropping-particle":"","family":"Azocar","given":"Maria Josefina","non-dropping-particle":"","parse-names":false,"suffix":""},{"dropping-particle":"","family":"Muñoz","given":"Daniel","non-dropping-particle":"","parse-names":false,"suffix":""},{"dropping-particle":"","family":"Madrid","given":"Sofia","non-dropping-particle":"","parse-names":false,"suffix":""},{"dropping-particle":"","family":"Monsalve","given":"Sebastian","non-dropping-particle":"","parse-names":false,"suffix":""},{"dropping-particle":"","family":"Martinez","given":"Francisca","non-dropping-particle":"","parse-names":false,"suffix":""},{"dropping-particle":"","family":"Vargas","given":"Sindy","non-dropping-particle":"","parse-names":false,"suffix":""},{"dropping-particle":"","family":"Cortez","given":"Pedro","non-dropping-particle":"","parse-names":false,"suffix":""},{"dropping-particle":"","family":"Mayerhoff","given":"Ross M.","non-dropping-particle":"","parse-names":false,"suffix":""}],"container-title":"Journal of Voice","id":"ITEM-1","issue":"1","issued":{"date-parts":[["2015"]]},"page":"130.e21-130.e28","title":"Laryngoscopic and spectral analysis of laryngeal and pharyngeal configuration in non-classical singing styles","type":"article-journal","volume":"29"},"uris":["http://www.mendeley.com/documents/?uuid=50755ca7-9a62-4937-84af-992c7ccfb136"]}],"mendeley":{"formattedCitation":"(Guzman &lt;i&gt;et al.&lt;/i&gt;, 2015)","plainTextFormattedCitation":"(Guzman et al., 2015)","previouslyFormattedCitation":"(Guzman &lt;i&gt;et al.&lt;/i&gt;, 2015)"},"properties":{"noteIndex":0},"schema":"https://github.com/citation-style-language/schema/raw/master/csl-citation.json"}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 xml:space="preserve">(Guzman </w:t>
      </w:r>
      <w:r w:rsidRPr="00B51DDE">
        <w:rPr>
          <w:rFonts w:ascii="Arial" w:hAnsi="Arial" w:cs="Arial"/>
          <w:i/>
          <w:noProof/>
        </w:rPr>
        <w:t>et al.</w:t>
      </w:r>
      <w:r w:rsidRPr="00B51DDE">
        <w:rPr>
          <w:rFonts w:ascii="Arial" w:hAnsi="Arial" w:cs="Arial"/>
          <w:noProof/>
        </w:rPr>
        <w:t>, 2015)</w:t>
      </w:r>
      <w:r w:rsidRPr="00B51DDE">
        <w:rPr>
          <w:rFonts w:ascii="Arial" w:hAnsi="Arial" w:cs="Arial"/>
        </w:rPr>
        <w:fldChar w:fldCharType="end"/>
      </w:r>
      <w:r w:rsidRPr="00B51DDE">
        <w:rPr>
          <w:rFonts w:ascii="Arial" w:hAnsi="Arial" w:cs="Arial"/>
        </w:rPr>
        <w:t xml:space="preserve">. When discussing vocal efficiency, Titze </w:t>
      </w:r>
      <w:r w:rsidRPr="00B51DDE">
        <w:rPr>
          <w:rFonts w:ascii="Arial" w:hAnsi="Arial" w:cs="Arial"/>
        </w:rPr>
        <w:fldChar w:fldCharType="begin" w:fldLock="1"/>
      </w:r>
      <w:r w:rsidRPr="00B51DDE">
        <w:rPr>
          <w:rFonts w:ascii="Arial" w:hAnsi="Arial" w:cs="Arial"/>
        </w:rPr>
        <w:instrText>ADDIN CSL_CITATION {"citationItems":[{"id":"ITEM-1","itemData":{"author":[{"dropping-particle":"","family":"Titze","given":"Ingo","non-dropping-particle":"","parse-names":false,"suffix":""}],"container-title":"Journal of Singing","id":"ITEM-1","issue":"1","issued":{"date-parts":[["2015"]]},"page":"57-58","title":"On Flow Phonation and Airflow Management","type":"article-journal","volume":"72"},"uris":["http://www.mendeley.com/documents/?uuid=7893a6b8-e161-4872-80d8-45bbf87d392b"]}],"mendeley":{"formattedCitation":"(Titze, 2015)","manualFormatting":"(2015)","plainTextFormattedCitation":"(Titze, 2015)","previouslyFormattedCitation":"(Titze, 2015)"},"properties":{"noteIndex":0},"schema":"https://github.com/citation-style-language/schema/raw/master/csl-citation.json"}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(2015)</w:t>
      </w:r>
      <w:r w:rsidRPr="00B51DDE">
        <w:rPr>
          <w:rFonts w:ascii="Arial" w:hAnsi="Arial" w:cs="Arial"/>
        </w:rPr>
        <w:fldChar w:fldCharType="end"/>
      </w:r>
      <w:r w:rsidRPr="00B51DDE">
        <w:rPr>
          <w:rFonts w:ascii="Arial" w:hAnsi="Arial" w:cs="Arial"/>
        </w:rPr>
        <w:t xml:space="preserve"> highlights the importance of the relationship between inertance, vocal fold adduction and amplitude of vibration. It may be the vocal efficiency which stems from SOVTEs which aids the training of belting. It is the expertise of the CCM teachers, such as those contributing to this study, which drives the research and potential evidence base for the use and effects </w:t>
      </w:r>
      <w:r w:rsidR="00BF3DF7" w:rsidRPr="00B51DDE">
        <w:rPr>
          <w:rFonts w:ascii="Arial" w:hAnsi="Arial" w:cs="Arial"/>
        </w:rPr>
        <w:t xml:space="preserve">of </w:t>
      </w:r>
      <w:r w:rsidRPr="00B51DDE">
        <w:rPr>
          <w:rFonts w:ascii="Arial" w:hAnsi="Arial" w:cs="Arial"/>
        </w:rPr>
        <w:t xml:space="preserve">SOVTEs in CCM training methodologies </w:t>
      </w:r>
      <w:r w:rsidRPr="00B51DDE">
        <w:rPr>
          <w:rFonts w:ascii="Arial" w:hAnsi="Arial" w:cs="Arial"/>
        </w:rPr>
        <w:fldChar w:fldCharType="begin" w:fldLock="1"/>
      </w:r>
      <w:r w:rsidRPr="00B51DDE">
        <w:rPr>
          <w:rFonts w:ascii="Arial" w:hAnsi="Arial" w:cs="Arial"/>
        </w:rPr>
        <w:instrText>ADDIN CSL_CITATION {"citationItems":[{"id":"ITEM-1","itemData":{"abstract":"The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economies.","author":[{"dropping-particle":"","family":"Costley","given":"Carol","non-dropping-particle":"","parse-names":false,"suffix":""}],"container-title":"Professional lifelong learning: beyond reflective practice","id":"ITEM-1","issued":{"date-parts":[["2006"]]},"page":"1-13","title":"Practitioner-led enquiry as development of professional practice","type":"article-journal"},"uris":["http://www.mendeley.com/documents/?uuid=4350d356-18d4-48b2-b420-c5c3d51b106d"]},{"id":"ITEM-2","itemData":{"DOI":"10.1016/j.jct.2009.04.005","ISSN":"00219614","abstract":"Isothermal (vapour + liquid) equilibrium data for the ternary mixtures 1-butanol + n-hexane + 1-chlorobutane and 2-butanol + n-hexane + 1-chlorobutane have been studied with a recirculating still at T = 298.15 K. The experimental data were satisfactorily checked for thermodynamic consistency using the method of van Ness. Activity coefficients and excess Gibbs function have been correlated with the Wilson equation. The GE values obtained for the two ternary systems are very similar. © 2009 Elsevier Ltd. All rights reserved.","author":[{"dropping-particle":"","family":"Candy","given":"Linda","non-dropping-particle":"","parse-names":false,"suffix":""}],"container-title":"Creativity &amp; Cognition Studios","id":"ITEM-2","issued":{"date-parts":[["2006"]]},"title":"Practice Based Research: A Guide Linda","type":"report"},"uris":["http://www.mendeley.com/documents/?uuid=fdc51585-98e6-4410-80cf-f0c992d7ba10"]}],"mendeley":{"formattedCitation":"(Candy, 2006; Costley, 2006)","plainTextFormattedCitation":"(Candy, 2006; Costley, 2006)","previouslyFormattedCitation":"(Candy, 2006; Costley, 2006)"},"properties":{"noteIndex":0},"schema":"https://github.com/citation-style-language/schema/raw/master/csl-citation.json"}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(Candy, 2006; Costley, 2006)</w:t>
      </w:r>
      <w:r w:rsidRPr="00B51DDE">
        <w:rPr>
          <w:rFonts w:ascii="Arial" w:hAnsi="Arial" w:cs="Arial"/>
        </w:rPr>
        <w:fldChar w:fldCharType="end"/>
      </w:r>
      <w:r w:rsidRPr="00B51DDE">
        <w:rPr>
          <w:rFonts w:ascii="Arial" w:hAnsi="Arial" w:cs="Arial"/>
        </w:rPr>
        <w:t xml:space="preserve">. The conclusion of the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Study","type":"article-journal","volume":"15"},"uris":["http://www.mendeley.com/documents/?uuid=37f149bb-e536-4867-a6ff-39aae08b9277"]}],"mendeley":{"formattedCitation":"(Manternach, Maxfield and Manternach, 2021)","manualFormatting":"(2021)","plainTextFormattedCitation":"(Manternach, Maxfield and Manternach, 2021)","previouslyFormattedCitation":"(Manternach,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(2021)</w:t>
      </w:r>
      <w:r w:rsidRPr="00B51DDE">
        <w:rPr>
          <w:rFonts w:ascii="Arial" w:hAnsi="Arial" w:cs="Arial"/>
        </w:rPr>
        <w:fldChar w:fldCharType="end"/>
      </w:r>
      <w:r w:rsidRPr="00B51DDE">
        <w:rPr>
          <w:rFonts w:ascii="Arial" w:hAnsi="Arial" w:cs="Arial"/>
        </w:rPr>
        <w:t xml:space="preserve"> </w:t>
      </w:r>
      <w:r w:rsidRPr="00B51DDE">
        <w:rPr>
          <w:rFonts w:ascii="Arial" w:hAnsi="Arial" w:cs="Arial"/>
          <w:noProof/>
        </w:rPr>
        <w:t>Manternach, Maxfield and Manternach</w:t>
      </w:r>
      <w:r w:rsidRPr="00B51DDE">
        <w:rPr>
          <w:rFonts w:ascii="Arial" w:hAnsi="Arial" w:cs="Arial"/>
        </w:rPr>
        <w:t xml:space="preserve"> study was cautiously in support of </w:t>
      </w:r>
      <w:r w:rsidRPr="00B51DDE">
        <w:rPr>
          <w:rFonts w:ascii="Arial" w:hAnsi="Arial" w:cs="Arial"/>
        </w:rPr>
        <w:lastRenderedPageBreak/>
        <w:t>SOVTEs for musical theatre singers. Their reflections o</w:t>
      </w:r>
      <w:r w:rsidR="002D08AB" w:rsidRPr="00B51DDE">
        <w:rPr>
          <w:rFonts w:ascii="Arial" w:hAnsi="Arial" w:cs="Arial"/>
        </w:rPr>
        <w:t>n</w:t>
      </w:r>
      <w:r w:rsidRPr="00B51DDE">
        <w:rPr>
          <w:rFonts w:ascii="Arial" w:hAnsi="Arial" w:cs="Arial"/>
        </w:rPr>
        <w:t xml:space="preserve"> the study </w:t>
      </w:r>
      <w:r w:rsidR="002D08AB" w:rsidRPr="00B51DDE">
        <w:rPr>
          <w:rFonts w:ascii="Arial" w:hAnsi="Arial" w:cs="Arial"/>
        </w:rPr>
        <w:t>included</w:t>
      </w:r>
      <w:r w:rsidRPr="00B51DDE">
        <w:rPr>
          <w:rFonts w:ascii="Arial" w:hAnsi="Arial" w:cs="Arial"/>
        </w:rPr>
        <w:t xml:space="preserve"> reservations about generalisation because of the sample size. They suggested further research with larger samples which may add clarity to the data analysis and potential generalisation </w:t>
      </w:r>
      <w:r w:rsidRPr="00B51DDE">
        <w:rPr>
          <w:rFonts w:ascii="Arial" w:hAnsi="Arial" w:cs="Arial"/>
        </w:rPr>
        <w:fldChar w:fldCharType="begin" w:fldLock="1"/>
      </w:r>
      <w:r w:rsidRPr="00B51DDE">
        <w:rPr>
          <w:rFonts w:ascii="Arial" w:hAnsi="Arial" w:cs="Arial"/>
        </w:rPr>
        <w:instrText>ADDIN CSL_CITATION {"citationItems":[{"id":"ITEM-1","itemData":{"DOI":"10.1080/23268263.2020.1781373","ISSN":"23268271","abstract":"Recent investigations of semi-occluded vocal tract exercises (SOVTEs) have indicated possible benefits for voice therapy and for choral and classical singing. Few researchers have investigated SOVTEs with contemporary commercial music (CCM) singers. The current study examined perceptual and acoustic effects of five sung conditions:/m/, lip trill, drinking straw phonation (6 mm diameter), stirring straw phonation (2.5 mm diameter), and unoccluded/a/(control). Six participants sang a music theatre solo excerpt prior to and after using one of the SOVTEs, which were randomized with the control condition over five days. Acoustic analyses of the final note and singer self reports of vocal effort provided data for analysis. Results indicated some trends toward improvements in acoustic measures of the SOVTEs compared to the/a/condition, though no particular exercise emerged as most effective. Singers reported potential benefits for all the exercises, with stirring straw rated as having the lowest posttest effort and lip trill rated as having the most robust across-the-board effect. Other results were largely idiosyncratic. These results suggest there may be benefits for SOVTEs in music theatre singing, but it may take some sleuthing for voice teachers to help each student discover which exercise is most individually beneficial.","author":[{"dropping-particle":"","family":"Manternach","given":"Brian","non-dropping-particle":"","parse-names":false,"suffix":""},{"dropping-particle":"","family":"Maxfield","given":"Lynn","non-dropping-particle":"","parse-names":false,"suffix":""},{"dropping-particle":"","family":"Manternach","given":"Jeremy N.","non-dropping-particle":"","parse-names":false,"suffix":""}],"container-title":"Voice and Speech Review","id":"ITEM-1","issue":"1","issued":{"date-parts":[["2021"]]},"note":"Key:\nOpera/Classical - Yellow \nTeaching - Red\nCCM - Green\nMT - Purple\nCross-training - Blue\nStudy/ writing ideas - Pink\nVocal acoustics - grey\nTechnology - orange \n\nThemes:\n\nSOVT\nMT\nCross-training (SOVTEs)\nMeasuring vocal qualities (Qual and quant to qual)\n\n\n\n\nConnections:","page":"40-50","publisher":"Routledge","title":"Effects of Varied Semi-Occluded Vocal Tract Exercises on Acoustic and Perceptual Measures of Music Theatre Singers: A Pilot Study","type":"article-journal","volume":"15"},"uris":["http://www.mendeley.com/documents/?uuid=37f149bb-e536-4867-a6ff-39aae08b9277"]}],"mendeley":{"formattedCitation":"(Manternach, Maxfield and Manternach, 2021)","plainTextFormattedCitation":"(Manternach, Maxfield and Manternach, 2021)","previouslyFormattedCitation":"(Manternach, Maxfield and Manternach, 2021)"},"properties":{"noteIndex":0},"schema":"https://github.com/citation-style-language/schema/raw/master/csl-citation.json"}</w:instrText>
      </w:r>
      <w:r w:rsidRPr="00B51DDE">
        <w:rPr>
          <w:rFonts w:ascii="Arial" w:hAnsi="Arial" w:cs="Arial"/>
        </w:rPr>
        <w:fldChar w:fldCharType="separate"/>
      </w:r>
      <w:r w:rsidRPr="00B51DDE">
        <w:rPr>
          <w:rFonts w:ascii="Arial" w:hAnsi="Arial" w:cs="Arial"/>
          <w:noProof/>
        </w:rPr>
        <w:t>(Manternach, Maxfield and Manternach, 2021)</w:t>
      </w:r>
      <w:r w:rsidRPr="00B51DDE">
        <w:rPr>
          <w:rFonts w:ascii="Arial" w:hAnsi="Arial" w:cs="Arial"/>
        </w:rPr>
        <w:fldChar w:fldCharType="end"/>
      </w:r>
      <w:r w:rsidRPr="00B51DDE">
        <w:rPr>
          <w:rFonts w:ascii="Arial" w:hAnsi="Arial" w:cs="Arial"/>
        </w:rPr>
        <w:t>.</w:t>
      </w:r>
    </w:p>
    <w:p w14:paraId="5D39812D" w14:textId="56729511" w:rsidR="006E49AD"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Belting has been associated with higher levels of </w:t>
      </w:r>
      <w:r w:rsidR="002A5E00" w:rsidRPr="00B51DDE">
        <w:rPr>
          <w:rFonts w:ascii="Arial" w:hAnsi="Arial" w:cs="Arial"/>
          <w:b/>
          <w:bCs/>
          <w:i/>
          <w:iCs/>
          <w:sz w:val="24"/>
          <w:szCs w:val="24"/>
        </w:rPr>
        <w:t>subglo</w:t>
      </w:r>
      <w:r w:rsidRPr="00B51DDE">
        <w:rPr>
          <w:rFonts w:ascii="Arial" w:hAnsi="Arial" w:cs="Arial"/>
          <w:b/>
          <w:bCs/>
          <w:i/>
          <w:iCs/>
          <w:sz w:val="24"/>
          <w:szCs w:val="24"/>
        </w:rPr>
        <w:t>ttal pressure</w:t>
      </w:r>
      <w:r w:rsidRPr="00B51DDE">
        <w:rPr>
          <w:rFonts w:ascii="Arial" w:hAnsi="Arial" w:cs="Arial"/>
          <w:sz w:val="24"/>
          <w:szCs w:val="24"/>
        </w:rPr>
        <w:t xml:space="preserve"> accompanied by a </w:t>
      </w:r>
      <w:r w:rsidRPr="00B51DDE">
        <w:rPr>
          <w:rFonts w:ascii="Arial" w:hAnsi="Arial" w:cs="Arial"/>
          <w:b/>
          <w:bCs/>
          <w:i/>
          <w:iCs/>
          <w:sz w:val="24"/>
          <w:szCs w:val="24"/>
        </w:rPr>
        <w:t>breathing strategy</w:t>
      </w:r>
      <w:r w:rsidRPr="00B51DDE">
        <w:rPr>
          <w:rFonts w:ascii="Arial" w:hAnsi="Arial" w:cs="Arial"/>
          <w:sz w:val="24"/>
          <w:szCs w:val="24"/>
        </w:rPr>
        <w:t xml:space="preserve"> which is similar to neutral styles of singing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{"citationItems":[{"id":"ITEM-1","itemData":{"DOI":"10.1016/j.jvoice.2014.09.018","ISSN":"18734588","PMID":"25819162","abstract":"Summary Objectives Belt is a style of singing commonly used in nonclassical genres. Its respiratory, phonatory, and resonatory characteristics are unclear. Design Basic research. Methods Six female singers, professionally performing in the belt styles since many years, sang an excerpt of a song in belt and nonbelt/neutral style, two times with the lyrics and two times replacing the lyrics with /pae/ syllables. On separate channels, recordings were made of audio, oral pressure, and rib cage and abdominal wall movements, as picked up by respiratory inductive plethysmography. Lung volume and breathing patterns during inhalation and phonation were normalized with respect to duration and averaged. Voice source was analyzed in terms of flow glottograms derived from the audio signal by inverse filtering. Results Belt was produced with higher pressures and yielded higher sound levels, but no consistent breathing pattern was observed, neither for the belt, nor for the neutral style. Voice source differences suggested that belt was produced with firmer glottal adduction than neutral. Also, in four of the singers, the first formant was closer to a spectrum harmonic in belt than in neutral. Conclusions Belt style of singing is not associated with a characteristic breathing behavior but is produced with higher subglottal pressures, higher sound levels, and firmer glottal adduction than a neutral style of singing.","author":[{"dropping-particle":"","family":"Sundberg","given":"Johan","non-dropping-particle":"","parse-names":false,"suffix":""},{"dropping-particle":"","family":"Thalén","given":"Margareta","non-dropping-particle":"","parse-names":false,"suffix":""}],"container-title":"Journal of Voice","id":"ITEM-1","issue":"4","issued":{"date-parts":[["2015"]]},"note":"Key:\nOpera/Classical - Yellow \nTeaching - Red\nCCM - Green\nMT - Purple\nCross-training - Blue\nStudy/ writing ideas - Pink\nVocal acoustics - grey\nTechnology - orange \n\nThemes:\n\nBelt\n'Nautal style of singing'\nAnalysis (audio, oral pressure, rib cage, abdominal wall movemenets)\nCCM\n'Legit' Classical\nReferring to an except of music\n\n\n\nConnections:","page":"418-425","title":"Respiratory and Acoustical Differences Between Belt and Neutral Style of Singing","type":"article-journal","volume":"29"},"uris":["http://www.mendeley.com/documents/?uuid=6a017ad1-d66b-4dc5-b81c-8f60d70c4a13"]}],"mendeley":{"formattedCitation":"(Sundberg and Thalén, 2015)","plainTextFormattedCitation":"(Sundberg and Thalén, 2015)","previouslyFormattedCitation":"(Sundberg and Thalén,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(Sundberg and Thalén, 2015)</w:t>
      </w:r>
      <w:r w:rsidRPr="00B51DDE">
        <w:rPr>
          <w:rFonts w:ascii="Arial" w:hAnsi="Arial" w:cs="Arial"/>
          <w:sz w:val="24"/>
          <w:szCs w:val="24"/>
        </w:rPr>
        <w:fldChar w:fldCharType="end"/>
      </w:r>
      <w:r w:rsidRPr="00B51DDE">
        <w:rPr>
          <w:rFonts w:ascii="Arial" w:hAnsi="Arial" w:cs="Arial"/>
          <w:sz w:val="24"/>
          <w:szCs w:val="24"/>
        </w:rPr>
        <w:t xml:space="preserve">. Other researchers have noted that breathing strategy research for classical singing is much easier to find than CCM breathing strategy research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Review","id":"ITEM-1","issue":"3","issued":{"date-parts":[["2021"]]},"note":"Opera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id":"ITEM-2","itemData":{"DOI":"10.53830/ljmt7188","ISSN":"10867732","author":[{"dropping-particle":"","family":"Doorn","given":"Ineke","non-dropping-particle":"van","parse-names":false,"suffix":""}],"container-title":"Journal of Singing","id":"ITEM-2","issue":"2","issued":{"date-parts":[["2021"]]},"note":"Key:\nOpera/Classical - Yellow \nTeaching - Red\nCCM - Green\nMT - Purple\nCross-training - Blue\nStudy/ writing ideas - Pink\nVocal acoustics - grey\nTechnology - orange \n\nThemes:\n\nCMM (Jazz/pop)\nBreathing (inhalation, exhalation, sub-glottal pressure)\nSilent inhalation\nTiming freedom and maintaining pulse\nAbdominal vs rib breathing discussion\nBelting\nAmplification\nSpeaking style\nConsonants and breath flow\nVolume Jazz/ pop vs Classical\nStrength vs flexibility\nTraining breathing technique (1, 2, 3, 4.)\n\n\n\n\nConnections:","page":"247-253","title":"Breathing Technique for Jazz/Pop Singers","type":"article-journal","volume":"78"},"uris":["http://www.mendeley.com/documents/?uuid=ff5d7643-ef46-4193-9265-d3a5e909c7b5"]}],"mendeley":{"formattedCitation":"(van Doorn, 2021; Wilson, 2021)","plainTextFormattedCitation":"(van Doorn, 2021; Wilson, 2021)","previouslyFormattedCitation":"(van Doorn, 2021; Wilson, 2021)"},"properties":{"noteIndex":0},"schema":"https://github.com/citation-style-language/schema/raw/master/csl-citation.json"}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(van Doorn, 2021; Wilson, 2021)</w:t>
      </w:r>
      <w:r w:rsidRPr="00B51DDE">
        <w:rPr>
          <w:rFonts w:ascii="Arial" w:hAnsi="Arial" w:cs="Arial"/>
          <w:sz w:val="24"/>
          <w:szCs w:val="24"/>
        </w:rPr>
        <w:fldChar w:fldCharType="end"/>
      </w:r>
      <w:r w:rsidRPr="00B51DDE">
        <w:rPr>
          <w:rFonts w:ascii="Arial" w:hAnsi="Arial" w:cs="Arial"/>
          <w:sz w:val="24"/>
          <w:szCs w:val="24"/>
        </w:rPr>
        <w:t xml:space="preserve">. Literature shows various breathing support strategies are used for singing </w:t>
      </w:r>
      <w:r w:rsidRPr="00B51DDE">
        <w:rPr>
          <w:rFonts w:ascii="Arial" w:hAnsi="Arial" w:cs="Arial"/>
          <w:sz w:val="24"/>
          <w:szCs w:val="24"/>
        </w:rPr>
        <w:fldChar w:fldCharType="begin" w:fldLock="1"/>
      </w:r>
      <w:r w:rsidR="001D54E5" w:rsidRPr="00B51DDE">
        <w:rPr>
          <w:rFonts w:ascii="Arial" w:hAnsi="Arial" w:cs="Arial"/>
          <w:sz w:val="24"/>
          <w:szCs w:val="24"/>
        </w:rPr>
        <w:instrText>ADDIN CSL_CITATION {"citationItems":[{"id":"ITEM-1","itemData":{"DOI":"10.1016/j.jvoice.2021.05.012","ISSN":"18734588","PMID":"34364741","abstract":"Belting singers receiving care at the speech therapy service mentioned they find it easier to sing in American English than in Brazilian Portuguese. Objective: to assess and compare the production of vowels and consonants of excerpts from musicals in Portuguese and English. Methods: a phonological and phonetic analysis of the same excerpt from musicals was performed in both languages. Results: We have observed that the predominance of fricatives in English and plosives in Portuguese explains the fluidity of singing in English and a greater disruption of speech fluidity in Portuguese. Conclusion: therefore, belting in English is easier than it is in Portuguese.","author":[{"dropping-particle":"","family":"Bittencourt","given":"M. F.Q.P.","non-dropping-particle":"","parse-names":false,"suffix":""},{"dropping-particle":"","family":"Minucelli-Cardelli","given":"J. C.","non-dropping-particle":"","parse-names":false,"suffix":""},{"dropping-particle":"","family":"Navas","given":"A. L.G.P.","non-dropping-particle":"","parse-names":false,"suffix":""},{"dropping-particle":"","family":"Duprat","given":"A. C.","non-dropping-particle":"","parse-names":false,"suffix":""},{"dropping-particle":"","family":"Andrada e Silva","given":"M. A.","non-dropping-particle":"","parse-names":false,"suffix":""}],"container-title":"Journal of Voice","id":"ITEM-1","issue":"6","issued":{"date-parts":[["2023"]]},"page":"968.e19-968.e24","publisher":"Elsevier Inc.","title":"Belting in English is Easier Than It is in Portuguese","type":"article-journal","volume":"37"},"uris":["http://www.mendeley.com/documents/?uuid=8b4d888a-cfb3-4158-a0e8-600060104ccf"]},{"id":"ITEM-2","itemData":{"DOI":"10.1016/j.jvoice.2009.02.004","ISSN":"08921997","PMID":"19900789","abstract":"The present study required raters (casting directors) to evaluate the belt voice quality of 20 musical theater majors who were proficient in the singing style referred to as belting. Two specified vocalizes and six short excerpts from the belting repertoire were used for rating purposes. The raters were asked to judge the belters on a set of seven perceptual parameters (loudness, vibrato, ring, timbre, focus, nasality, and registration breaks), and then report an overall score for these student belters. The four highest and lowest average scores were used to establish the elite and average student belters. A correlation analysis and linear regression analysis provided insight regarding which perceptual judgments correlated most highly with the elite and average scores. The present study found the perceptual ratings of vibrato and ring to be most highly correlated to the elite student belter. In addition, vibrato and ring were found to highly correlate with perceived loudness.","author":[{"dropping-particle":"","family":"Deleo Leborgne","given":"Wendy","non-dropping-particle":"","parse-names":false,"suffix":""},{"dropping-particle":"","family":"Lee","given":"Linda","non-dropping-particle":"","parse-names":false,"suffix":""},{"dropping-particle":"","family":"Stemple","given":"Joseph C.","non-dropping-particle":"","parse-names":false,"suffix":""},{"dropping-particle":"","family":"Bush","given":"Heather","non-dropping-particle":"","parse-names":false,"suffix":""}],"container-title":"Journal of Voice","id":"ITEM-2","issue":"6","issued":{"date-parts":[["2010"]]},"page":"678-689","publisher":"Elsevier Ltd","title":"Perceptual findings on the broadway belt voice","type":"article-journal","volume":"24"},"uris":["http://www.mendeley.com/documents/?uuid=6c55d39f-8945-4dfd-aa49-75cdbc6d62fa"]}],"mendeley":{"formattedCitation":"(Deleo Leborgne &lt;i&gt;et al.&lt;/i&gt;, 2010; Bittencourt &lt;i&gt;et al.&lt;/i&gt;, 2023)","plainTextFormattedCitation":"(Deleo Leborgne et al., 2010; Bittencourt et al., 2023)","previouslyFormattedCitation":"(Deleo Leborgne &lt;i&gt;et al.&lt;/i&gt;, 2010; Bittencourt &lt;i&gt;et al.&lt;/i&gt;, 2023)"},"properties":{"noteIndex":0},"schema":"https://github.com/citation-style-language/schema/raw/master/csl-citation.json"}</w:instrText>
      </w:r>
      <w:r w:rsidRPr="00B51DDE">
        <w:rPr>
          <w:rFonts w:ascii="Arial" w:hAnsi="Arial" w:cs="Arial"/>
          <w:sz w:val="24"/>
          <w:szCs w:val="24"/>
        </w:rPr>
        <w:fldChar w:fldCharType="separate"/>
      </w:r>
      <w:r w:rsidR="001D54E5" w:rsidRPr="00B51DDE">
        <w:rPr>
          <w:rFonts w:ascii="Arial" w:hAnsi="Arial" w:cs="Arial"/>
          <w:noProof/>
          <w:sz w:val="24"/>
          <w:szCs w:val="24"/>
        </w:rPr>
        <w:t xml:space="preserve">(Deleo Leborgne </w:t>
      </w:r>
      <w:r w:rsidR="001D54E5" w:rsidRPr="00B51DDE">
        <w:rPr>
          <w:rFonts w:ascii="Arial" w:hAnsi="Arial" w:cs="Arial"/>
          <w:i/>
          <w:noProof/>
          <w:sz w:val="24"/>
          <w:szCs w:val="24"/>
        </w:rPr>
        <w:t>et al.</w:t>
      </w:r>
      <w:r w:rsidR="001D54E5" w:rsidRPr="00B51DDE">
        <w:rPr>
          <w:rFonts w:ascii="Arial" w:hAnsi="Arial" w:cs="Arial"/>
          <w:noProof/>
          <w:sz w:val="24"/>
          <w:szCs w:val="24"/>
        </w:rPr>
        <w:t xml:space="preserve">, 2010; Bittencourt </w:t>
      </w:r>
      <w:r w:rsidR="001D54E5" w:rsidRPr="00B51DDE">
        <w:rPr>
          <w:rFonts w:ascii="Arial" w:hAnsi="Arial" w:cs="Arial"/>
          <w:i/>
          <w:noProof/>
          <w:sz w:val="24"/>
          <w:szCs w:val="24"/>
        </w:rPr>
        <w:t>et al.</w:t>
      </w:r>
      <w:r w:rsidR="001D54E5" w:rsidRPr="00B51DDE">
        <w:rPr>
          <w:rFonts w:ascii="Arial" w:hAnsi="Arial" w:cs="Arial"/>
          <w:noProof/>
          <w:sz w:val="24"/>
          <w:szCs w:val="24"/>
        </w:rPr>
        <w:t>, 2023)</w:t>
      </w:r>
      <w:r w:rsidRPr="00B51DDE">
        <w:rPr>
          <w:rFonts w:ascii="Arial" w:hAnsi="Arial" w:cs="Arial"/>
          <w:sz w:val="24"/>
          <w:szCs w:val="24"/>
        </w:rPr>
        <w:fldChar w:fldCharType="end"/>
      </w:r>
      <w:r w:rsidRPr="00B51DDE">
        <w:rPr>
          <w:rFonts w:ascii="Arial" w:hAnsi="Arial" w:cs="Arial"/>
          <w:sz w:val="24"/>
          <w:szCs w:val="24"/>
        </w:rPr>
        <w:t>. Research into teacher and singer beliefs about breathing strategies show</w:t>
      </w:r>
      <w:r w:rsidR="0021586A" w:rsidRPr="00B51DDE">
        <w:rPr>
          <w:rFonts w:ascii="Arial" w:hAnsi="Arial" w:cs="Arial"/>
          <w:sz w:val="24"/>
          <w:szCs w:val="24"/>
        </w:rPr>
        <w:t>s</w:t>
      </w:r>
      <w:r w:rsidRPr="00B51DDE">
        <w:rPr>
          <w:rFonts w:ascii="Arial" w:hAnsi="Arial" w:cs="Arial"/>
          <w:sz w:val="24"/>
          <w:szCs w:val="24"/>
        </w:rPr>
        <w:t xml:space="preserve"> that some believe that breathing is the same for classical singing and belting while others think there are differences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{"citationItems":[{"id":"ITEM-1","itemData":{"DOI":"10.1016/S0892-1997(03)00004-3","ISSN":"08921997","PMID":"12825653","abstract":"Currently, there is an increasing interest in and demand for training in a wide variety of nonclassical music - contemporary commercial music (CCM) - and most particularly for music theater. A survey of singing teachers was completed to elucidate their training, education, and experience with and methods of teaching CCM. Teachers were at colleges, universities, and conservatories as well as in private studios, both nationally and in several foreign countries. A substantial percentage of those teaching CCM had neither formal education in teaching it nor professional experience. Many of the respondents indicated conflict between classical and CCM styles. Respondents were generally familiar with voice science and voice medicine as well as certain CCM terminology. Teachers expressed an interest in obtaining more information, with an emphasis on healthy vocal production. These results are discussed, as well as implications for the singing teacher who desires specific training to teach CCM.","author":[{"dropping-particle":"","family":"LoVetri","given":"Jeannette L.","non-dropping-particle":"","parse-names":false,"suffix":""},{"dropping-particle":"","family":"Weekly","given":"Edrie Means","non-dropping-particle":"","parse-names":false,"suffix":""}],"container-title":"Journal of Voice","id":"ITEM-1","issue":"2","issued":{"date-parts":[["2003"]]},"page":"207-215","title":"Contemporary commercial music (CCM) survey: Who's teaching what in nonclassical music","type":"article-journal","volume":"17"},"uris":["http://www.mendeley.com/documents/?uuid=eac0ecee-d72b-48da-95f2-494ef99acc47"]},{"id":"ITEM-2","itemData":{"abstract":"The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techniques.","author":[{"dropping-particle":"","family":"Roll","given":"","non-dropping-particle":"","parse-names":false,"suffix":""}],"id":"ITEM-2","issued":{"date-parts":[["2014"]]},"title":"FEMALE MUSICAL THEATER BELTING IN THE 21ST CENTURY","type":"article-journal"},"uris":["http://www.mendeley.com/documents/?uuid=5030bbb6-60db-47c9-8cfb-a9da980f8b89"]}],"mendeley":{"formattedCitation":"(LoVetri and Weekly, 2003; Roll, 2014)","plainTextFormattedCitation":"(LoVetri and Weekly, 2003; Roll, 2014)","previouslyFormattedCitation":"(LoVetri and Weekly, 2003; 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(LoVetri and Weekly, 2003; Roll, 2014)</w:t>
      </w:r>
      <w:r w:rsidRPr="00B51DDE">
        <w:rPr>
          <w:rFonts w:ascii="Arial" w:hAnsi="Arial" w:cs="Arial"/>
          <w:sz w:val="24"/>
          <w:szCs w:val="24"/>
        </w:rPr>
        <w:fldChar w:fldCharType="end"/>
      </w:r>
      <w:r w:rsidRPr="00B51DDE">
        <w:rPr>
          <w:rFonts w:ascii="Arial" w:hAnsi="Arial" w:cs="Arial"/>
          <w:sz w:val="24"/>
          <w:szCs w:val="24"/>
        </w:rPr>
        <w:t xml:space="preserve">. Vocal training is, in part, a process of providing the opportunity for a singer to explore registers of the voice </w:t>
      </w:r>
      <w:r w:rsidR="00DB0DDE" w:rsidRPr="00B51DDE">
        <w:rPr>
          <w:rFonts w:ascii="Arial" w:hAnsi="Arial" w:cs="Arial"/>
          <w:sz w:val="24"/>
          <w:szCs w:val="24"/>
        </w:rPr>
        <w:t>by</w:t>
      </w:r>
      <w:r w:rsidRPr="00B51DDE">
        <w:rPr>
          <w:rFonts w:ascii="Arial" w:hAnsi="Arial" w:cs="Arial"/>
          <w:sz w:val="24"/>
          <w:szCs w:val="24"/>
        </w:rPr>
        <w:t xml:space="preserve"> developing </w:t>
      </w:r>
      <w:r w:rsidR="00DB0DDE" w:rsidRPr="00B51DDE">
        <w:rPr>
          <w:rFonts w:ascii="Arial" w:hAnsi="Arial" w:cs="Arial"/>
          <w:sz w:val="24"/>
          <w:szCs w:val="24"/>
        </w:rPr>
        <w:t xml:space="preserve">muscle coordination </w:t>
      </w:r>
      <w:r w:rsidRPr="00B51DDE">
        <w:rPr>
          <w:rFonts w:ascii="Arial" w:hAnsi="Arial" w:cs="Arial"/>
          <w:sz w:val="24"/>
          <w:szCs w:val="24"/>
        </w:rPr>
        <w:t xml:space="preserve">of the vocal tract, the vocal folds, and the closed quotient of the vocal folds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{"citationItems":[{"id":"ITEM-1","itemData":{"DOI":"10.1016/j.jvoice.2015.11.012","ISSN":"18734588","PMID":"26739860","abstract":"Objective/Hypothesis It is known that singers are able to control their voice to maintain a relatively constant vocal quality while transitioning between vocal registers; however, the neural mechanisms underlying this effect are not understood. It was hypothesized that greater attention to the acoustical feedback of the voice and increased control of the vocal musculature during register transitions compared with singing within a register would be represented as neurological differences in event-related potentials. Study Design/Methods Nine singers sang musical notes at the high end of the modal register (the boundary between the modal and the head/falsetto registers) and at the low end (the boundary between the modal and the fry/pulse registers). While singing, the pitch of the voice auditory feedback was unexpectedly shifted either into the adjacent register (“toward” the register boundary) or within the modal register (“away from” the boundary). Singers were instructed to maintain a constant pitch and ignore any changes to their voice feedback. Results Vocal response latencies and magnitude of the accompanying N1 and P2 event-related potentials were greatest at the lower (modal-to-fry) boundary when the pitch shift carried the subjects’ voices into the fry register as opposed to remaining within the modal register. Conclusions These findings suggest that when a singer lowers the pitch of his or her voice such that it enters the fry register from the modal register, there is increased sensory-motor control of the voice, reflected as increased magnitude of the neural potentials to help minimize qualitative changes in the voice.","author":[{"dropping-particle":"","family":"Patel","given":"Sona","non-dropping-particle":"","parse-names":false,"suffix":""},{"dropping-particle":"","family":"Lodhavia","given":"Anjli","non-dropping-particle":"","parse-names":false,"suffix":""},{"dropping-particle":"","family":"Frankford","given":"Saul","non-dropping-particle":"","parse-names":false,"suffix":""},{"dropping-particle":"","family":"Korzyukov","given":"Oleg","non-dropping-particle":"","parse-names":false,"suffix":""},{"dropping-particle":"","family":"Larson","given":"Charles R.","non-dropping-particle":"","parse-names":false,"suffix":""}],"container-title":"Journal of Voice","id":"ITEM-1","issue":"6","issued":{"date-parts":[["2016"]]},"page":"772.e33-772.e40","publisher":"Elsevier Inc.","title":"Vocal and Neural Responses to Unexpected Changes in Voice Pitch Auditory Feedback During Register Transitions","type":"article-journal","volume":"30"},"uris":["http://www.mendeley.com/documents/?uuid=60dbb128-4789-4ccc-84f7-fec8887fd2f5"]}],"mendeley":{"formattedCitation":"(Patel &lt;i&gt;et al.&lt;/i&gt;, 2016)","plainTextFormattedCitation":"(Patel et al., 2016)","previouslyFormattedCitation":"(Patel &lt;i&gt;et al.&lt;/i&gt;,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(Patel </w:t>
      </w:r>
      <w:r w:rsidRPr="00B51DDE">
        <w:rPr>
          <w:rFonts w:ascii="Arial" w:hAnsi="Arial" w:cs="Arial"/>
          <w:i/>
          <w:noProof/>
          <w:sz w:val="24"/>
          <w:szCs w:val="24"/>
        </w:rPr>
        <w:t>et al.</w:t>
      </w:r>
      <w:r w:rsidRPr="00B51DDE">
        <w:rPr>
          <w:rFonts w:ascii="Arial" w:hAnsi="Arial" w:cs="Arial"/>
          <w:noProof/>
          <w:sz w:val="24"/>
          <w:szCs w:val="24"/>
        </w:rPr>
        <w:t>, 2016)</w:t>
      </w:r>
      <w:r w:rsidRPr="00B51DDE">
        <w:rPr>
          <w:rFonts w:ascii="Arial" w:hAnsi="Arial" w:cs="Arial"/>
          <w:sz w:val="24"/>
          <w:szCs w:val="24"/>
        </w:rPr>
        <w:fldChar w:fldCharType="end"/>
      </w:r>
      <w:r w:rsidRPr="00B51DDE">
        <w:rPr>
          <w:rFonts w:ascii="Arial" w:hAnsi="Arial" w:cs="Arial"/>
          <w:sz w:val="24"/>
          <w:szCs w:val="24"/>
        </w:rPr>
        <w:t xml:space="preserve">. The belting experts in Roll’s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2014)","manualFormatting":"(2014)","plainTextFormattedCitation":"(Roll, 2014)","previouslyFormattedCitation":"(Roll,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(2014)</w:t>
      </w:r>
      <w:r w:rsidRPr="00B51DDE">
        <w:rPr>
          <w:rFonts w:ascii="Arial" w:hAnsi="Arial" w:cs="Arial"/>
          <w:sz w:val="24"/>
          <w:szCs w:val="24"/>
        </w:rPr>
        <w:fldChar w:fldCharType="end"/>
      </w:r>
      <w:r w:rsidRPr="00B51DDE">
        <w:rPr>
          <w:rFonts w:ascii="Arial" w:hAnsi="Arial" w:cs="Arial"/>
          <w:sz w:val="24"/>
          <w:szCs w:val="24"/>
        </w:rPr>
        <w:t xml:space="preserve"> study developed ‘head voice’, ‘chest voice’ and ‘mix voice’ registrations of the voice, an approach in keeping with the belt experts of this study. The experts of this study further discussed the importance of singers developing the ability to keep the vocal folds together firmly (increased </w:t>
      </w:r>
      <w:r w:rsidRPr="00B51DDE">
        <w:rPr>
          <w:rFonts w:ascii="Arial" w:hAnsi="Arial" w:cs="Arial"/>
          <w:b/>
          <w:bCs/>
          <w:i/>
          <w:iCs/>
          <w:sz w:val="24"/>
          <w:szCs w:val="24"/>
        </w:rPr>
        <w:t>glottal adduction</w:t>
      </w:r>
      <w:r w:rsidRPr="00B51DDE">
        <w:rPr>
          <w:rFonts w:ascii="Arial" w:hAnsi="Arial" w:cs="Arial"/>
          <w:sz w:val="24"/>
          <w:szCs w:val="24"/>
        </w:rPr>
        <w:t xml:space="preserve">) when belting up to ~D5. Higher levels of glottal adduction and supraglottic activity during intense singing may be a strategy to achieve the desired sound and protect the voice simultaneously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{"citationItems":[{"id":"ITEM-1","itemData":{"DOI":"10.1016/j.jvoice.2014.05.004","ISSN":"18734588","PMID":"25179779","abstract":"Purpose The present study aimed to assess three different singing styles (pop, rock, and jazz) with laryngoscopic, acoustic, and perceptual analysis in healthy singers at different loudness levels. Special emphasis was given to the degree of anterior-posterior (A-P) laryngeal compression, medial laryngeal compression, vertical laryngeal position (VLP), and pharyngeal compression. Study Design Prospective study. Methods Twelve female trained singers with at least 5 years of voice training and absence of any voice pathology were included. Flexible and rigid laryngeal endoscopic examinations were performed. Voice recording was also carried out. Four blinded judges were asked to assess laryngoscopic and auditory perceptual variables using a visual analog scale. Results All laryngoscopic parameters showed significant differences for all singing styles. Rock showed the greatest degree for all of them. Overall A-P laryngeal compression scores demonstrated significantly higher values than overall medial compression and VLP. High loudness level produced the highest degree of A-P compression, medial compression, pharyngeal compression, and the lowest VLP for all singing styles. Additionally, rock demonstrated the highest values for alpha ratio (less steep spectral slope), L1-L0 ratio (more glottal adduction), and Leq (more vocal intensity). Statistically significant differences between the three loudness levels were also found for these acoustic parameters. Conclusions Rock singing seems to be the style with the highest degree of both laryngeal and pharyngeal activity in healthy singers. Although, supraglottic activity during singing could be labeled as hyperfunctional vocal behavior, it may not necessarily be harmful, but a strategy to avoid vocal fold damage.","author":[{"dropping-particle":"","family":"Guzman","given":"Marco","non-dropping-particle":"","parse-names":false,"suffix":""},{"dropping-particle":"","family":"Lanas","given":"Andres","non-dropping-particle":"","parse-names":false,"suffix":""},{"dropping-particle":"","family":"Olavarria","given":"Christian","non-dropping-particle":"","parse-names":false,"suffix":""},{"dropping-particle":"","family":"Azocar","given":"Maria Josefina","non-dropping-particle":"","parse-names":false,"suffix":""},{"dropping-particle":"","family":"Muñoz","given":"Daniel","non-dropping-particle":"","parse-names":false,"suffix":""},{"dropping-particle":"","family":"Madrid","given":"Sofia","non-dropping-particle":"","parse-names":false,"suffix":""},{"dropping-particle":"","family":"Monsalve","given":"Sebastian","non-dropping-particle":"","parse-names":false,"suffix":""},{"dropping-particle":"","family":"Martinez","given":"Francisca","non-dropping-particle":"","parse-names":false,"suffix":""},{"dropping-particle":"","family":"Vargas","given":"Sindy","non-dropping-particle":"","parse-names":false,"suffix":""},{"dropping-particle":"","family":"Cortez","given":"Pedro","non-dropping-particle":"","parse-names":false,"suffix":""},{"dropping-particle":"","family":"Mayerhoff","given":"Ross M.","non-dropping-particle":"","parse-names":false,"suffix":""}],"container-title":"Journal of Voice","id":"ITEM-1","issue":"1","issued":{"date-parts":[["2015"]]},"page":"130.e21-130.e28","title":"Laryngoscopic and spectral analysis of laryngeal and pharyngeal configuration in non-classical singing styles","type":"article-journal","volume":"29"},"uris":["http://www.mendeley.com/documents/?uuid=50755ca7-9a62-4937-84af-992c7ccfb136"]}],"mendeley":{"formattedCitation":"(Guzman &lt;i&gt;et al.&lt;/i&gt;, 2015)","plainTextFormattedCitation":"(Guzman et al., 2015)","previouslyFormattedCitation":"(Guzman &lt;i&gt;et al.&lt;/i&gt;, 2015)"},"properties":{"noteIndex":0},"schema":"https://github.com/citation-style-language/schema/raw/master/csl-citation.json"}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(Guzman </w:t>
      </w:r>
      <w:r w:rsidRPr="00B51DDE">
        <w:rPr>
          <w:rFonts w:ascii="Arial" w:hAnsi="Arial" w:cs="Arial"/>
          <w:i/>
          <w:noProof/>
          <w:sz w:val="24"/>
          <w:szCs w:val="24"/>
        </w:rPr>
        <w:t>et al.</w:t>
      </w:r>
      <w:r w:rsidRPr="00B51DDE">
        <w:rPr>
          <w:rFonts w:ascii="Arial" w:hAnsi="Arial" w:cs="Arial"/>
          <w:noProof/>
          <w:sz w:val="24"/>
          <w:szCs w:val="24"/>
        </w:rPr>
        <w:t>, 2015)</w:t>
      </w:r>
      <w:r w:rsidRPr="00B51DDE">
        <w:rPr>
          <w:rFonts w:ascii="Arial" w:hAnsi="Arial" w:cs="Arial"/>
          <w:sz w:val="24"/>
          <w:szCs w:val="24"/>
        </w:rPr>
        <w:fldChar w:fldCharType="end"/>
      </w:r>
      <w:r w:rsidRPr="00B51DDE">
        <w:rPr>
          <w:rFonts w:ascii="Arial" w:hAnsi="Arial" w:cs="Arial"/>
          <w:sz w:val="24"/>
          <w:szCs w:val="24"/>
        </w:rPr>
        <w:t xml:space="preserve">. </w:t>
      </w:r>
      <w:r w:rsidR="0081352A" w:rsidRPr="00B51DDE">
        <w:rPr>
          <w:rFonts w:ascii="Arial" w:hAnsi="Arial" w:cs="Arial"/>
          <w:sz w:val="24"/>
          <w:szCs w:val="24"/>
        </w:rPr>
        <w:t>E</w:t>
      </w:r>
      <w:r w:rsidRPr="00B51DDE">
        <w:rPr>
          <w:rFonts w:ascii="Arial" w:hAnsi="Arial" w:cs="Arial"/>
          <w:sz w:val="24"/>
          <w:szCs w:val="24"/>
        </w:rPr>
        <w:t xml:space="preserve">xpert </w:t>
      </w:r>
      <w:r w:rsidR="0081352A" w:rsidRPr="00B51DDE">
        <w:rPr>
          <w:rFonts w:ascii="Arial" w:hAnsi="Arial" w:cs="Arial"/>
          <w:sz w:val="24"/>
          <w:szCs w:val="24"/>
        </w:rPr>
        <w:t xml:space="preserve">2 </w:t>
      </w:r>
      <w:r w:rsidRPr="00B51DDE">
        <w:rPr>
          <w:rFonts w:ascii="Arial" w:hAnsi="Arial" w:cs="Arial"/>
          <w:sz w:val="24"/>
          <w:szCs w:val="24"/>
        </w:rPr>
        <w:t>described the coordination of belting in this higher zone as ‘M2 dominance and maintaining compression’ and felt it was important for a singing teacher to understand and teach this concept</w:t>
      </w:r>
      <w:r w:rsidR="0081352A" w:rsidRPr="00B51DDE">
        <w:rPr>
          <w:rFonts w:ascii="Arial" w:hAnsi="Arial" w:cs="Arial"/>
          <w:sz w:val="24"/>
          <w:szCs w:val="24"/>
        </w:rPr>
        <w:t xml:space="preserve"> </w:t>
      </w:r>
      <w:r w:rsidR="0081352A" w:rsidRPr="00B51DDE">
        <w:rPr>
          <w:rFonts w:ascii="Arial" w:hAnsi="Arial" w:cs="Arial"/>
          <w:sz w:val="24"/>
          <w:szCs w:val="24"/>
        </w:rPr>
        <w:fldChar w:fldCharType="begin" w:fldLock="1"/>
      </w:r>
      <w:r w:rsidR="00282883" w:rsidRPr="00B51DDE">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Process.","author":[{"dropping-particle":"","family":"2","given":"Expert","non-dropping-particle":"","parse-names":false,"suffix":""}],"id":"ITEM-1","issued":{"date-parts":[["2023"]]},"title":"Expert 2 data sources","type":"article"},"uris":["http://www.mendeley.com/documents/?uuid=60c32bec-4096-4eff-b411-5a6d48cc81e4"]}],"mendeley":{"formattedCitation":"(2, 2023)","plainTextFormattedCitation":"(2, 2023)","previouslyFormattedCitation":"(2, 2023)"},"properties":{"noteIndex":0},"schema":"https://github.com/citation-style-language/schema/raw/master/csl-citation.json"}</w:instrText>
      </w:r>
      <w:r w:rsidR="0081352A" w:rsidRPr="00B51DDE">
        <w:rPr>
          <w:rFonts w:ascii="Arial" w:hAnsi="Arial" w:cs="Arial"/>
          <w:sz w:val="24"/>
          <w:szCs w:val="24"/>
        </w:rPr>
        <w:fldChar w:fldCharType="separate"/>
      </w:r>
      <w:r w:rsidR="0081352A" w:rsidRPr="00B51DDE">
        <w:rPr>
          <w:rFonts w:ascii="Arial" w:hAnsi="Arial" w:cs="Arial"/>
          <w:noProof/>
          <w:sz w:val="24"/>
          <w:szCs w:val="24"/>
        </w:rPr>
        <w:t>(2, 2023)</w:t>
      </w:r>
      <w:r w:rsidR="0081352A" w:rsidRPr="00B51DDE">
        <w:rPr>
          <w:rFonts w:ascii="Arial" w:hAnsi="Arial" w:cs="Arial"/>
          <w:sz w:val="24"/>
          <w:szCs w:val="24"/>
        </w:rPr>
        <w:fldChar w:fldCharType="end"/>
      </w:r>
      <w:r w:rsidRPr="00B51DDE">
        <w:rPr>
          <w:rFonts w:ascii="Arial" w:hAnsi="Arial" w:cs="Arial"/>
          <w:sz w:val="24"/>
          <w:szCs w:val="24"/>
        </w:rPr>
        <w:t xml:space="preserve">. Physiologically, the transverse arytenoids complete the glottal adduction in the M2 (head voice/ cricothyroid) dominant mode of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{"citationItems":[{"id":"ITEM-1","itemData":{"author":[{"dropping-particle":"","family":"White","given":"Andrew R.","non-dropping-particle":"","parse-names":false,"suffix":""}],"container-title":"American Music Teacher","id":"ITEM-1","issue":"June/July","issued":{"date-parts":[["2011"]]},"page":"22-24","title":"Belting As An Academic Discipline","type":"article-journal"},"uris":["http://www.mendeley.com/documents/?uuid=ef6260d2-851d-4917-bbc7-1e23006d4f32"]}],"mendeley":{"formattedCitation":"(White, 2011)","plainTextFormattedCitation":"(White, 2011)","previouslyFormattedCitation":"(White, 2011)"},"properties":{"noteIndex":0},"schema":"https://github.com/citation-style-language/schema/raw/master/csl-citation.json"}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(White, 2011)</w:t>
      </w:r>
      <w:r w:rsidRPr="00B51DDE">
        <w:rPr>
          <w:rFonts w:ascii="Arial" w:hAnsi="Arial" w:cs="Arial"/>
          <w:sz w:val="24"/>
          <w:szCs w:val="24"/>
        </w:rPr>
        <w:fldChar w:fldCharType="end"/>
      </w:r>
      <w:r w:rsidRPr="00B51DDE">
        <w:rPr>
          <w:rFonts w:ascii="Arial" w:hAnsi="Arial" w:cs="Arial"/>
          <w:sz w:val="24"/>
          <w:szCs w:val="24"/>
        </w:rPr>
        <w:t>.</w:t>
      </w:r>
    </w:p>
    <w:p w14:paraId="021D7F9B" w14:textId="2A60313B" w:rsidR="006E49AD" w:rsidRPr="00B51DDE" w:rsidRDefault="006E49AD" w:rsidP="00AE2080">
      <w:pPr>
        <w:spacing w:line="360" w:lineRule="auto"/>
        <w:jc w:val="both"/>
        <w:rPr>
          <w:rFonts w:ascii="Arial" w:hAnsi="Arial" w:cs="Arial"/>
          <w:noProof/>
          <w:sz w:val="24"/>
          <w:szCs w:val="24"/>
        </w:rPr>
      </w:pPr>
      <w:r w:rsidRPr="00B51DDE">
        <w:rPr>
          <w:rFonts w:ascii="Arial" w:hAnsi="Arial" w:cs="Arial"/>
          <w:noProof/>
          <w:sz w:val="24"/>
          <w:szCs w:val="24"/>
        </w:rPr>
        <w:t xml:space="preserve">Research and </w:t>
      </w:r>
      <w:r w:rsidR="006257BC" w:rsidRPr="00B51DDE">
        <w:rPr>
          <w:rFonts w:ascii="Arial" w:hAnsi="Arial" w:cs="Arial"/>
          <w:noProof/>
          <w:sz w:val="24"/>
          <w:szCs w:val="24"/>
        </w:rPr>
        <w:t xml:space="preserve">the </w:t>
      </w:r>
      <w:r w:rsidRPr="00B51DDE">
        <w:rPr>
          <w:rFonts w:ascii="Arial" w:hAnsi="Arial" w:cs="Arial"/>
          <w:noProof/>
          <w:sz w:val="24"/>
          <w:szCs w:val="24"/>
        </w:rPr>
        <w:t>expertise of CCM specialists indicate</w:t>
      </w:r>
      <w:r w:rsidR="0009175F" w:rsidRPr="00B51DDE">
        <w:rPr>
          <w:rFonts w:ascii="Arial" w:hAnsi="Arial" w:cs="Arial"/>
          <w:noProof/>
          <w:sz w:val="24"/>
          <w:szCs w:val="24"/>
        </w:rPr>
        <w:t xml:space="preserve"> a</w:t>
      </w:r>
      <w:r w:rsidRPr="00B51DDE">
        <w:rPr>
          <w:rFonts w:ascii="Arial" w:hAnsi="Arial" w:cs="Arial"/>
          <w:noProof/>
          <w:sz w:val="24"/>
          <w:szCs w:val="24"/>
        </w:rPr>
        <w:t xml:space="preserve"> direction for training singers and </w:t>
      </w:r>
      <w:r w:rsidR="0009175F" w:rsidRPr="00B51DDE">
        <w:rPr>
          <w:rFonts w:ascii="Arial" w:hAnsi="Arial" w:cs="Arial"/>
          <w:noProof/>
          <w:sz w:val="24"/>
          <w:szCs w:val="24"/>
        </w:rPr>
        <w:t xml:space="preserve">the need for </w:t>
      </w:r>
      <w:r w:rsidRPr="00B51DDE">
        <w:rPr>
          <w:rFonts w:ascii="Arial" w:hAnsi="Arial" w:cs="Arial"/>
          <w:noProof/>
          <w:sz w:val="24"/>
          <w:szCs w:val="24"/>
        </w:rPr>
        <w:t xml:space="preserve">further research increasing the evidence base behind CCM techniques. The </w:t>
      </w:r>
      <w:r w:rsidR="00B5037E" w:rsidRPr="00B51DDE">
        <w:rPr>
          <w:rFonts w:ascii="Arial" w:hAnsi="Arial" w:cs="Arial"/>
          <w:noProof/>
          <w:sz w:val="24"/>
          <w:szCs w:val="24"/>
        </w:rPr>
        <w:t xml:space="preserve">pragmatic </w:t>
      </w:r>
      <w:r w:rsidRPr="00B51DDE">
        <w:rPr>
          <w:rFonts w:ascii="Arial" w:hAnsi="Arial" w:cs="Arial"/>
          <w:noProof/>
          <w:sz w:val="24"/>
          <w:szCs w:val="24"/>
        </w:rPr>
        <w:t>ped</w:t>
      </w:r>
      <w:r w:rsidR="00E147A0" w:rsidRPr="00B51DDE">
        <w:rPr>
          <w:rFonts w:ascii="Arial" w:hAnsi="Arial" w:cs="Arial"/>
          <w:noProof/>
          <w:sz w:val="24"/>
          <w:szCs w:val="24"/>
        </w:rPr>
        <w:t>a</w:t>
      </w:r>
      <w:r w:rsidRPr="00B51DDE">
        <w:rPr>
          <w:rFonts w:ascii="Arial" w:hAnsi="Arial" w:cs="Arial"/>
          <w:noProof/>
          <w:sz w:val="24"/>
          <w:szCs w:val="24"/>
        </w:rPr>
        <w:t xml:space="preserve">gogical implication is that teachers should use their expertise and experience to decide if </w:t>
      </w:r>
      <w:r w:rsidRPr="00B51DDE">
        <w:rPr>
          <w:rFonts w:ascii="Arial" w:hAnsi="Arial" w:cs="Arial"/>
          <w:b/>
          <w:bCs/>
          <w:i/>
          <w:iCs/>
          <w:noProof/>
          <w:sz w:val="24"/>
          <w:szCs w:val="24"/>
        </w:rPr>
        <w:t>SOVTEs and breathing strategies</w:t>
      </w:r>
      <w:r w:rsidRPr="00B51DDE">
        <w:rPr>
          <w:rFonts w:ascii="Arial" w:hAnsi="Arial" w:cs="Arial"/>
          <w:noProof/>
          <w:sz w:val="24"/>
          <w:szCs w:val="24"/>
        </w:rPr>
        <w:t xml:space="preserve"> are </w:t>
      </w:r>
      <w:r w:rsidRPr="00B51DDE">
        <w:rPr>
          <w:rFonts w:ascii="Arial" w:hAnsi="Arial" w:cs="Arial"/>
          <w:noProof/>
          <w:sz w:val="24"/>
          <w:szCs w:val="24"/>
        </w:rPr>
        <w:lastRenderedPageBreak/>
        <w:t xml:space="preserve">beneficial to a student’s development until research clarifies this with a clear and consistent evidence base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(Denscombe, 2014; Merriam and Tisdell, 2016)</w:t>
      </w:r>
      <w:r w:rsidRPr="00B51DDE">
        <w:rPr>
          <w:rFonts w:ascii="Arial" w:hAnsi="Arial" w:cs="Arial"/>
          <w:noProof/>
          <w:sz w:val="24"/>
          <w:szCs w:val="24"/>
        </w:rPr>
        <w:fldChar w:fldCharType="end"/>
      </w:r>
      <w:r w:rsidRPr="00B51DDE">
        <w:rPr>
          <w:rFonts w:ascii="Arial" w:hAnsi="Arial" w:cs="Arial"/>
          <w:noProof/>
          <w:sz w:val="24"/>
          <w:szCs w:val="24"/>
        </w:rPr>
        <w:t>.</w:t>
      </w:r>
    </w:p>
    <w:p w14:paraId="40B51222" w14:textId="34FD053B" w:rsidR="00C73AFF"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Themes from the expert interviews linked back to the theme and process prerequisite </w:t>
      </w:r>
      <w:r w:rsidRPr="00B51DDE">
        <w:rPr>
          <w:rFonts w:ascii="Arial" w:hAnsi="Arial" w:cs="Arial"/>
          <w:b/>
          <w:bCs/>
          <w:i/>
          <w:iCs/>
          <w:sz w:val="24"/>
          <w:szCs w:val="24"/>
        </w:rPr>
        <w:t>‘</w:t>
      </w:r>
      <w:r w:rsidR="00C63510" w:rsidRPr="00B51DDE">
        <w:rPr>
          <w:rFonts w:ascii="Arial" w:hAnsi="Arial" w:cs="Arial"/>
          <w:b/>
          <w:bCs/>
          <w:i/>
          <w:iCs/>
          <w:sz w:val="24"/>
          <w:szCs w:val="24"/>
        </w:rPr>
        <w:t>t</w:t>
      </w:r>
      <w:r w:rsidRPr="00B51DDE">
        <w:rPr>
          <w:rFonts w:ascii="Arial" w:hAnsi="Arial" w:cs="Arial"/>
          <w:b/>
          <w:bCs/>
          <w:i/>
          <w:iCs/>
          <w:sz w:val="24"/>
          <w:szCs w:val="24"/>
        </w:rPr>
        <w:t>he arc of vocal abilities’</w:t>
      </w:r>
      <w:r w:rsidRPr="00B51DDE">
        <w:rPr>
          <w:rFonts w:ascii="Arial" w:hAnsi="Arial" w:cs="Arial"/>
          <w:sz w:val="24"/>
          <w:szCs w:val="24"/>
        </w:rPr>
        <w:t xml:space="preserve">; this concept comes from Roll’s research into belting which observed and analysed </w:t>
      </w:r>
      <w:r w:rsidRPr="00B51DDE">
        <w:rPr>
          <w:rFonts w:ascii="Arial" w:hAnsi="Arial" w:cs="Arial"/>
          <w:i/>
          <w:iCs/>
          <w:sz w:val="24"/>
          <w:szCs w:val="24"/>
        </w:rPr>
        <w:t>‘master’</w:t>
      </w:r>
      <w:r w:rsidRPr="00B51DDE">
        <w:rPr>
          <w:rFonts w:ascii="Arial" w:hAnsi="Arial" w:cs="Arial"/>
          <w:sz w:val="24"/>
          <w:szCs w:val="24"/>
        </w:rPr>
        <w:t xml:space="preserve"> teachers with much expertise in belting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2014)","plainTextFormattedCitation":"(Roll, 2014)","previouslyFormattedCitation":"(Roll,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(Roll, 2014)</w:t>
      </w:r>
      <w:r w:rsidRPr="00B51DDE">
        <w:rPr>
          <w:rFonts w:ascii="Arial" w:hAnsi="Arial" w:cs="Arial"/>
          <w:sz w:val="24"/>
          <w:szCs w:val="24"/>
        </w:rPr>
        <w:fldChar w:fldCharType="end"/>
      </w:r>
      <w:r w:rsidRPr="00B51DDE">
        <w:rPr>
          <w:rFonts w:ascii="Arial" w:hAnsi="Arial" w:cs="Arial"/>
          <w:sz w:val="24"/>
          <w:szCs w:val="24"/>
        </w:rPr>
        <w:t>. Roll’s observations of th</w:t>
      </w:r>
      <w:r w:rsidR="00565B35" w:rsidRPr="00B51DDE">
        <w:rPr>
          <w:rFonts w:ascii="Arial" w:hAnsi="Arial" w:cs="Arial"/>
          <w:sz w:val="24"/>
          <w:szCs w:val="24"/>
        </w:rPr>
        <w:t xml:space="preserve">e </w:t>
      </w:r>
      <w:r w:rsidRPr="00B51DDE">
        <w:rPr>
          <w:rFonts w:ascii="Arial" w:hAnsi="Arial" w:cs="Arial"/>
          <w:sz w:val="24"/>
          <w:szCs w:val="24"/>
        </w:rPr>
        <w:t>teachers in th</w:t>
      </w:r>
      <w:r w:rsidR="00565B35" w:rsidRPr="00B51DDE">
        <w:rPr>
          <w:rFonts w:ascii="Arial" w:hAnsi="Arial" w:cs="Arial"/>
          <w:sz w:val="24"/>
          <w:szCs w:val="24"/>
        </w:rPr>
        <w:t>at</w:t>
      </w:r>
      <w:r w:rsidRPr="00B51DDE">
        <w:rPr>
          <w:rFonts w:ascii="Arial" w:hAnsi="Arial" w:cs="Arial"/>
          <w:sz w:val="24"/>
          <w:szCs w:val="24"/>
        </w:rPr>
        <w:t xml:space="preserve"> study showed belt training involving variation of registers (head/ chest) and style (classical/ CCM) in each lesson. It has been found that</w:t>
      </w:r>
      <w:r w:rsidR="007D03CB" w:rsidRPr="00B51DDE">
        <w:rPr>
          <w:rFonts w:ascii="Arial" w:hAnsi="Arial" w:cs="Arial"/>
          <w:sz w:val="24"/>
          <w:szCs w:val="24"/>
        </w:rPr>
        <w:t>,</w:t>
      </w:r>
      <w:r w:rsidRPr="00B51DDE">
        <w:rPr>
          <w:rFonts w:ascii="Arial" w:hAnsi="Arial" w:cs="Arial"/>
          <w:sz w:val="24"/>
          <w:szCs w:val="24"/>
        </w:rPr>
        <w:t xml:space="preserve"> under certain conditions, acute vocal fold inflammation can be reduced more with certain resonant voice use than with vocal rest alone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{"citationItems":[{"id":"ITEM-1","itemData":{"DOI":"10.1016/j.jvoice.2012.03.008","ISSN":"18734588","PMID":"23177745","abstract":"Objectives/Hypotheses: The objective was to assess the utility of selected \"resonant voice\" (RV) exercises for the reduction of acute vocal fold inflammation. The hypothesis was that relatively large-amplitude, low-impact vocal fold exercises associated with RV would reduce inflammation more than spontaneous speech (SS) and possibly more than voice rest. Study Design: The study design was prospective, randomized, and double blind. Methods: Nine vocally healthy adults underwent a 1-hour vocal loading procedure, followed by randomization to a SS condition, vocal rest condition, or RV exercise condition. Treatments were monitored in clinic for 4 hours and continued extraclinically until the next morning. At baseline (BL), immediately after loading, after the 4-hour in-clinic treatment, and 24 hours post-BL, secretions were suctioned from the vocal folds bilaterally and submitted to enzyme-linked immunosorbent assay to estimate concentrations of key markers of tissue injury and inflammation: interleukin (IL)-1β, IL-6, IL-8, tumor necrosis factor α, matrix metalloproteinase (MMP)-8, and IL-10. Results: Complete data sets were obtained for three markers - IL-1β, IL-6, and MMP-8 - for one subject in each treatment condition. For these markers, results were poorest at 24-hour follow-up in the SS condition, sharply improved in the voice rest condition, and was the best in the RV condition. Average results for all markers and responsive subjects with normal BL mediator concentrations revealed an almost identical pattern. Conclusions: Some forms of tissue mobilization may be useful to attenuate acute vocal fold inflammation. © 2012 The Voice Foundation.","author":[{"dropping-particle":"","family":"Verdolini Abbott","given":"Katherine","non-dropping-particle":"","parse-names":false,"suffix":""},{"dropping-particle":"","family":"Li","given":"Nicole Y.K.","non-dropping-particle":"","parse-names":false,"suffix":""},{"dropping-particle":"","family":"Branski","given":"Ryan C.","non-dropping-particle":"","parse-names":false,"suffix":""},{"dropping-particle":"","family":"Rosen","given":"Clark A.","non-dropping-particle":"","parse-names":false,"suffix":""},{"dropping-particle":"","family":"Grillo","given":"Elizabeth","non-dropping-particle":"","parse-names":false,"suffix":""},{"dropping-particle":"","family":"Steinhauer","given":"Kimberly","non-dropping-particle":"","parse-names":false,"suffix":""},{"dropping-particle":"","family":"Hebda","given":"Patricia A.","non-dropping-particle":"","parse-names":false,"suffix":""}],"container-title":"Journal of Voice","id":"ITEM-1","issue":"6","issued":{"date-parts":[["2012"]]},"page":"814.e1-814.e13","publisher":"Elsevier Ltd","title":"Vocal exercise may attenuate acute vocal fold inflammation","type":"article-journal","volume":"26"},"uris":["http://www.mendeley.com/documents/?uuid=bd80a8f1-db6f-4bc5-96d3-94dbdf27fe89"]}],"mendeley":{"formattedCitation":"(Verdolini Abbott &lt;i&gt;et al.&lt;/i&gt;, 2012)","plainTextFormattedCitation":"(Verdolini Abbott et al., 2012)","previouslyFormattedCitation":"(Verdolini Abbott &lt;i&gt;et al.&lt;/i&gt;, 2012)"},"properties":{"noteIndex":0},"schema":"https://github.com/citation-style-language/schema/raw/master/csl-citation.json"}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(Verdolini Abbott </w:t>
      </w:r>
      <w:r w:rsidRPr="00B51DDE">
        <w:rPr>
          <w:rFonts w:ascii="Arial" w:hAnsi="Arial" w:cs="Arial"/>
          <w:i/>
          <w:noProof/>
          <w:sz w:val="24"/>
          <w:szCs w:val="24"/>
        </w:rPr>
        <w:t>et al.</w:t>
      </w:r>
      <w:r w:rsidRPr="00B51DDE">
        <w:rPr>
          <w:rFonts w:ascii="Arial" w:hAnsi="Arial" w:cs="Arial"/>
          <w:noProof/>
          <w:sz w:val="24"/>
          <w:szCs w:val="24"/>
        </w:rPr>
        <w:t>, 2012)</w:t>
      </w:r>
      <w:r w:rsidRPr="00B51DDE">
        <w:rPr>
          <w:rFonts w:ascii="Arial" w:hAnsi="Arial" w:cs="Arial"/>
          <w:sz w:val="24"/>
          <w:szCs w:val="24"/>
        </w:rPr>
        <w:fldChar w:fldCharType="end"/>
      </w:r>
      <w:r w:rsidRPr="00B51DDE">
        <w:rPr>
          <w:rFonts w:ascii="Arial" w:hAnsi="Arial" w:cs="Arial"/>
          <w:sz w:val="24"/>
          <w:szCs w:val="24"/>
        </w:rPr>
        <w:t xml:space="preserve">. This effect could be part of the training benefit at play with the ‘arc of vocal </w:t>
      </w:r>
      <w:proofErr w:type="gramStart"/>
      <w:r w:rsidRPr="00B51DDE">
        <w:rPr>
          <w:rFonts w:ascii="Arial" w:hAnsi="Arial" w:cs="Arial"/>
          <w:sz w:val="24"/>
          <w:szCs w:val="24"/>
        </w:rPr>
        <w:t>abilities’</w:t>
      </w:r>
      <w:proofErr w:type="gramEnd"/>
      <w:r w:rsidRPr="00B51DDE">
        <w:rPr>
          <w:rFonts w:ascii="Arial" w:hAnsi="Arial" w:cs="Arial"/>
          <w:sz w:val="24"/>
          <w:szCs w:val="24"/>
        </w:rPr>
        <w:t>. ‘Cross-training’ or ‘all</w:t>
      </w:r>
      <w:r w:rsidR="005C0395" w:rsidRPr="00B51DDE">
        <w:rPr>
          <w:rFonts w:ascii="Arial" w:hAnsi="Arial" w:cs="Arial"/>
          <w:sz w:val="24"/>
          <w:szCs w:val="24"/>
        </w:rPr>
        <w:t>-</w:t>
      </w:r>
      <w:r w:rsidRPr="00B51DDE">
        <w:rPr>
          <w:rFonts w:ascii="Arial" w:hAnsi="Arial" w:cs="Arial"/>
          <w:sz w:val="24"/>
          <w:szCs w:val="24"/>
        </w:rPr>
        <w:t xml:space="preserve">round vocal technique’ across vocal styles is thought to support healthy singing and flexible voices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Review","id":"ITEM-1","issue":"3","issued":{"date-parts":[["2021"]]},"note":"Opera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Teacher","type":"article-journal","volume":"15"},"uris":["http://www.mendeley.com/documents/?uuid=c913173e-82b0-4559-a07f-7d1b3007e2ce"]}],"mendeley":{"formattedCitation":"(Wilson, 2021)","plainTextFormattedCitation":"(Wilson, 2021)","previouslyFormattedCitation":"(Wilson, 2021)"},"properties":{"noteIndex":0},"schema":"https://github.com/citation-style-language/schema/raw/master/csl-citation.json"}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(Wilson, 2021)</w:t>
      </w:r>
      <w:r w:rsidRPr="00B51DDE">
        <w:rPr>
          <w:rFonts w:ascii="Arial" w:hAnsi="Arial" w:cs="Arial"/>
          <w:sz w:val="24"/>
          <w:szCs w:val="24"/>
        </w:rPr>
        <w:fldChar w:fldCharType="end"/>
      </w:r>
      <w:r w:rsidRPr="00B51DDE">
        <w:rPr>
          <w:rFonts w:ascii="Arial" w:hAnsi="Arial" w:cs="Arial"/>
          <w:sz w:val="24"/>
          <w:szCs w:val="24"/>
        </w:rPr>
        <w:t xml:space="preserve">. This could be </w:t>
      </w:r>
      <w:r w:rsidR="00D46296" w:rsidRPr="00B51DDE">
        <w:rPr>
          <w:rFonts w:ascii="Arial" w:hAnsi="Arial" w:cs="Arial"/>
          <w:sz w:val="24"/>
          <w:szCs w:val="24"/>
        </w:rPr>
        <w:t>connected</w:t>
      </w:r>
      <w:r w:rsidRPr="00B51DDE">
        <w:rPr>
          <w:rFonts w:ascii="Arial" w:hAnsi="Arial" w:cs="Arial"/>
          <w:sz w:val="24"/>
          <w:szCs w:val="24"/>
        </w:rPr>
        <w:t xml:space="preserve"> to the </w:t>
      </w:r>
      <w:r w:rsidR="008D407E" w:rsidRPr="00B51DDE">
        <w:rPr>
          <w:rFonts w:ascii="Arial" w:hAnsi="Arial" w:cs="Arial"/>
          <w:sz w:val="24"/>
          <w:szCs w:val="24"/>
        </w:rPr>
        <w:t xml:space="preserve">potential </w:t>
      </w:r>
      <w:r w:rsidRPr="00B51DDE">
        <w:rPr>
          <w:rFonts w:ascii="Arial" w:hAnsi="Arial" w:cs="Arial"/>
          <w:sz w:val="24"/>
          <w:szCs w:val="24"/>
        </w:rPr>
        <w:t xml:space="preserve">benefits of </w:t>
      </w:r>
      <w:r w:rsidR="0003681E" w:rsidRPr="00B51DDE">
        <w:rPr>
          <w:rFonts w:ascii="Arial" w:hAnsi="Arial" w:cs="Arial"/>
          <w:sz w:val="24"/>
          <w:szCs w:val="24"/>
        </w:rPr>
        <w:t>MLT’s</w:t>
      </w:r>
      <w:r w:rsidRPr="00B51DDE">
        <w:rPr>
          <w:rFonts w:ascii="Arial" w:hAnsi="Arial" w:cs="Arial"/>
          <w:sz w:val="24"/>
          <w:szCs w:val="24"/>
        </w:rPr>
        <w:t xml:space="preserve"> randomised practice structure when coordinating various muscles to sounds of different styles and intensities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Adults","type":"article-journal"},"uris":["http://www.mendeley.com/documents/?uuid=2d2cdb97-d5db-480e-939f-439a3803abfc"]},{"id":"ITEM-2","itemData":{"abstract":"I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Singing","id":"ITEM-2","issue":"2","issued":{"date-parts":[["2017"]]},"page":"215-220","title":"Best Practices: Using Exercise Physiology and Motor Learning Principles in the Teaching Studio and the Practice Room","type":"article-journal","volume":"74"},"uris":["http://www.mendeley.com/documents/?uuid=e60cfaa3-8093-408a-b186-ec25f721c664"]}],"mendeley":{"formattedCitation":"(Nix, 2017; Steinhauer and Eichhorn, 2023)","plainTextFormattedCitation":"(Nix, 2017; Steinhauer and Eichhorn, 2023)","previouslyFormattedCitation":"(Nix, 2017; Steinhauer and Eichhorn,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(Nix, 2017; Steinhauer and Eichhorn, 2023)</w:t>
      </w:r>
      <w:r w:rsidRPr="00B51DDE">
        <w:rPr>
          <w:rFonts w:ascii="Arial" w:hAnsi="Arial" w:cs="Arial"/>
          <w:sz w:val="24"/>
          <w:szCs w:val="24"/>
        </w:rPr>
        <w:fldChar w:fldCharType="end"/>
      </w:r>
      <w:r w:rsidRPr="00B51DDE">
        <w:rPr>
          <w:rFonts w:ascii="Arial" w:hAnsi="Arial" w:cs="Arial"/>
          <w:sz w:val="24"/>
          <w:szCs w:val="24"/>
        </w:rPr>
        <w:t>. During lessons</w:t>
      </w:r>
      <w:r w:rsidR="00901A8D" w:rsidRPr="00B51DDE">
        <w:rPr>
          <w:rFonts w:ascii="Arial" w:hAnsi="Arial" w:cs="Arial"/>
          <w:sz w:val="24"/>
          <w:szCs w:val="24"/>
        </w:rPr>
        <w:t>,</w:t>
      </w:r>
      <w:r w:rsidRPr="00B51DDE">
        <w:rPr>
          <w:rFonts w:ascii="Arial" w:hAnsi="Arial" w:cs="Arial"/>
          <w:sz w:val="24"/>
          <w:szCs w:val="24"/>
        </w:rPr>
        <w:t xml:space="preserve"> teachers and students benefit from remaining aware of the many environmental and individual factors which affect </w:t>
      </w:r>
      <w:r w:rsidRPr="00B51DDE">
        <w:rPr>
          <w:rFonts w:ascii="Arial" w:hAnsi="Arial" w:cs="Arial"/>
          <w:b/>
          <w:bCs/>
          <w:i/>
          <w:iCs/>
          <w:sz w:val="24"/>
          <w:szCs w:val="24"/>
        </w:rPr>
        <w:t>vocal health</w:t>
      </w:r>
      <w:r w:rsidR="007623EC" w:rsidRPr="00B51DDE">
        <w:rPr>
          <w:rFonts w:ascii="Arial" w:hAnsi="Arial" w:cs="Arial"/>
          <w:sz w:val="24"/>
          <w:szCs w:val="24"/>
        </w:rPr>
        <w:t>:</w:t>
      </w:r>
      <w:r w:rsidRPr="00B51DDE">
        <w:rPr>
          <w:rFonts w:ascii="Arial" w:hAnsi="Arial" w:cs="Arial"/>
          <w:sz w:val="24"/>
          <w:szCs w:val="24"/>
        </w:rPr>
        <w:t xml:space="preserve"> such as level of training, amount of voice use, and the singer</w:t>
      </w:r>
      <w:r w:rsidR="006E4504" w:rsidRPr="00B51DDE">
        <w:rPr>
          <w:rFonts w:ascii="Arial" w:hAnsi="Arial" w:cs="Arial"/>
          <w:sz w:val="24"/>
          <w:szCs w:val="24"/>
        </w:rPr>
        <w:t>’</w:t>
      </w:r>
      <w:r w:rsidRPr="00B51DDE">
        <w:rPr>
          <w:rFonts w:ascii="Arial" w:hAnsi="Arial" w:cs="Arial"/>
          <w:sz w:val="24"/>
          <w:szCs w:val="24"/>
        </w:rPr>
        <w:t xml:space="preserve">s state of physical and mental health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Pracy","id":"ITEM-1","issue":"1","issued":{"date-parts":[["2022"]]},"note":"Key:\nOpera/Classical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Aspects","type":"article-journal","volume":"73"},"uris":["http://www.mendeley.com/documents/?uuid=ff0659a5-b881-41e5-a677-f36a5bae306a"]}],"mendeley":{"formattedCitation":"(Morawska, Niebudek-Bogusz and Pietruszewska, 2022)","plainTextFormattedCitation":"(Morawska, Niebudek-Bogusz and Pietruszewska, 2022)","previouslyFormattedCitation":"(Morawska, Niebudek-Bogusz and Pietruszewska, 2022)"},"properties":{"noteIndex":0},"schema":"https://github.com/citation-style-language/schema/raw/master/csl-citation.json"}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(Morawska, Niebudek-Bogusz and Pietruszewska, 2022)</w:t>
      </w:r>
      <w:r w:rsidRPr="00B51DDE">
        <w:rPr>
          <w:rFonts w:ascii="Arial" w:hAnsi="Arial" w:cs="Arial"/>
          <w:sz w:val="24"/>
          <w:szCs w:val="24"/>
        </w:rPr>
        <w:fldChar w:fldCharType="end"/>
      </w:r>
      <w:r w:rsidRPr="00B51DDE">
        <w:rPr>
          <w:rFonts w:ascii="Arial" w:hAnsi="Arial" w:cs="Arial"/>
          <w:sz w:val="24"/>
          <w:szCs w:val="24"/>
        </w:rPr>
        <w:t xml:space="preserve">. The experts of this study seemed to consider vocal health throughout the pedagogical approaches they offered, particularly with belters in the early stages of training. Another, connected, prerequisite of the belt training process was ‘looking for comfort’; a concept which the experts of this study suggested could have greater clarity. </w:t>
      </w:r>
      <w:r w:rsidR="00282883" w:rsidRPr="00B51DDE">
        <w:rPr>
          <w:rFonts w:ascii="Arial" w:hAnsi="Arial" w:cs="Arial"/>
          <w:sz w:val="24"/>
          <w:szCs w:val="24"/>
        </w:rPr>
        <w:t xml:space="preserve">Expert </w:t>
      </w:r>
      <w:r w:rsidR="003412A2">
        <w:rPr>
          <w:rFonts w:ascii="Arial" w:hAnsi="Arial" w:cs="Arial"/>
          <w:sz w:val="24"/>
          <w:szCs w:val="24"/>
        </w:rPr>
        <w:t>1</w:t>
      </w:r>
      <w:r w:rsidR="00282883" w:rsidRPr="00B51DDE">
        <w:rPr>
          <w:rFonts w:ascii="Arial" w:hAnsi="Arial" w:cs="Arial"/>
          <w:sz w:val="24"/>
          <w:szCs w:val="24"/>
        </w:rPr>
        <w:t xml:space="preserve"> preferred </w:t>
      </w:r>
      <w:r w:rsidRPr="00B51DDE">
        <w:rPr>
          <w:rFonts w:ascii="Arial" w:hAnsi="Arial" w:cs="Arial"/>
          <w:sz w:val="24"/>
          <w:szCs w:val="24"/>
        </w:rPr>
        <w:t>“</w:t>
      </w:r>
      <w:r w:rsidR="007A0C63" w:rsidRPr="00B51DDE">
        <w:rPr>
          <w:rFonts w:ascii="Arial" w:hAnsi="Arial" w:cs="Arial"/>
          <w:b/>
          <w:bCs/>
          <w:i/>
          <w:iCs/>
          <w:sz w:val="24"/>
          <w:szCs w:val="24"/>
        </w:rPr>
        <w:t>m</w:t>
      </w:r>
      <w:r w:rsidRPr="00B51DDE">
        <w:rPr>
          <w:rFonts w:ascii="Arial" w:hAnsi="Arial" w:cs="Arial"/>
          <w:b/>
          <w:bCs/>
          <w:i/>
          <w:iCs/>
          <w:sz w:val="24"/>
          <w:szCs w:val="24"/>
        </w:rPr>
        <w:t>ost comfortable vocal effort</w:t>
      </w:r>
      <w:r w:rsidRPr="00B51DDE">
        <w:rPr>
          <w:rFonts w:ascii="Arial" w:hAnsi="Arial" w:cs="Arial"/>
          <w:sz w:val="24"/>
          <w:szCs w:val="24"/>
        </w:rPr>
        <w:t>”</w:t>
      </w:r>
      <w:r w:rsidR="00282883" w:rsidRPr="00B51DDE">
        <w:rPr>
          <w:rFonts w:ascii="Arial" w:hAnsi="Arial" w:cs="Arial"/>
          <w:sz w:val="24"/>
          <w:szCs w:val="24"/>
        </w:rPr>
        <w:t>,</w:t>
      </w:r>
      <w:r w:rsidRPr="00B51DDE">
        <w:rPr>
          <w:rFonts w:ascii="Arial" w:hAnsi="Arial" w:cs="Arial"/>
          <w:sz w:val="24"/>
          <w:szCs w:val="24"/>
        </w:rPr>
        <w:t xml:space="preserve"> a concept offered by Jo Estill to guide a student towards balance when singing </w:t>
      </w:r>
      <w:r w:rsidRPr="00B51DDE">
        <w:rPr>
          <w:rFonts w:ascii="Arial" w:hAnsi="Arial" w:cs="Arial"/>
          <w:sz w:val="24"/>
          <w:szCs w:val="24"/>
        </w:rPr>
        <w:fldChar w:fldCharType="begin" w:fldLock="1"/>
      </w:r>
      <w:r w:rsidR="00CD5959" w:rsidRPr="00B51DDE">
        <w:rPr>
          <w:rFonts w:ascii="Arial" w:hAnsi="Arial" w:cs="Arial"/>
          <w:sz w:val="24"/>
          <w:szCs w:val="24"/>
        </w:rPr>
        <w:instrText>ADDIN CSL_CITATION {"citationItems":[{"id":"ITEM-1","itemData":{"DOI":"10.1080/23268263.2019.1605707","ISSN":"23268271","abstract":"Vocal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training.","author":[{"dropping-particle":"","family":"Steinhauer","given":"Kimberly M.","non-dropping-particle":"","parse-names":false,"suffix":""},{"dropping-particle":"","family":"McDonald Klimek","given":"Mary","non-dropping-particle":"","parse-names":false,"suffix":""}],"container-title":"Voice and Speech Review","id":"ITEM-1","issue":"3","issued":{"date-parts":[["2019"]]},"page":"354-359","publisher":"Routledge","title":"Vocal Traditions: Estill Voice Training®","type":"article-journal","volume":"13"},"uris":["http://www.mendeley.com/documents/?uuid=0689d439-53d4-4da4-85a1-aafad9ed995a"]},{"id":"ITEM-2","itemData":{"abstract":"Anoymity coded reference for expert interview and written interview documents regarding Evidence-Based Belt Trainging Process.","author":[{"dropping-particle":"","family":"1","given":"Expert","non-dropping-particle":"","parse-names":false,"suffix":""}],"id":"ITEM-2","issued":{"date-parts":[["2023"]]},"title":"Expert 1 data sources","type":"article"},"uris":["http://www.mendeley.com/documents/?uuid=8176b77e-de74-4a97-bd11-35252f740a16"]}],"mendeley":{"formattedCitation":"(Steinhauer and McDonald Klimek, 2019; 1, 2023)","plainTextFormattedCitation":"(Steinhauer and McDonald Klimek, 2019; 1, 2023)","previouslyFormattedCitation":"(Steinhauer and McDonald Klimek, 2019; 1, 2023)"},"properties":{"noteIndex":0},"schema":"https://github.com/citation-style-language/schema/raw/master/csl-citation.json"}</w:instrText>
      </w:r>
      <w:r w:rsidRPr="00B51DDE">
        <w:rPr>
          <w:rFonts w:ascii="Arial" w:hAnsi="Arial" w:cs="Arial"/>
          <w:sz w:val="24"/>
          <w:szCs w:val="24"/>
        </w:rPr>
        <w:fldChar w:fldCharType="separate"/>
      </w:r>
      <w:r w:rsidR="00282883" w:rsidRPr="00B51DDE">
        <w:rPr>
          <w:rFonts w:ascii="Arial" w:hAnsi="Arial" w:cs="Arial"/>
          <w:noProof/>
          <w:sz w:val="24"/>
          <w:szCs w:val="24"/>
        </w:rPr>
        <w:t>(Steinhauer and McDonald Klimek, 2019; 1, 2023)</w:t>
      </w:r>
      <w:r w:rsidRPr="00B51DDE">
        <w:rPr>
          <w:rFonts w:ascii="Arial" w:hAnsi="Arial" w:cs="Arial"/>
          <w:sz w:val="24"/>
          <w:szCs w:val="24"/>
        </w:rPr>
        <w:fldChar w:fldCharType="end"/>
      </w:r>
      <w:r w:rsidRPr="00B51DDE">
        <w:rPr>
          <w:rFonts w:ascii="Arial" w:hAnsi="Arial" w:cs="Arial"/>
          <w:sz w:val="24"/>
          <w:szCs w:val="24"/>
        </w:rPr>
        <w:t>. Both experts in this study discussed the importan</w:t>
      </w:r>
      <w:r w:rsidR="00B22E53" w:rsidRPr="00B51DDE">
        <w:rPr>
          <w:rFonts w:ascii="Arial" w:hAnsi="Arial" w:cs="Arial"/>
          <w:sz w:val="24"/>
          <w:szCs w:val="24"/>
        </w:rPr>
        <w:t>ce</w:t>
      </w:r>
      <w:r w:rsidRPr="00B51DDE">
        <w:rPr>
          <w:rFonts w:ascii="Arial" w:hAnsi="Arial" w:cs="Arial"/>
          <w:sz w:val="24"/>
          <w:szCs w:val="24"/>
        </w:rPr>
        <w:t xml:space="preserve"> of guiding a student to a balanced coordination while developing belting. They suggested making it known to a singer that they should be aware of the effort required to belt but that it should not feel painful or detrimental to their voice.</w:t>
      </w:r>
      <w:r w:rsidR="00C73AFF" w:rsidRPr="00B51DDE">
        <w:rPr>
          <w:rFonts w:ascii="Arial" w:hAnsi="Arial" w:cs="Arial"/>
          <w:sz w:val="24"/>
          <w:szCs w:val="24"/>
        </w:rPr>
        <w:br w:type="page"/>
      </w:r>
    </w:p>
    <w:p w14:paraId="054DA8BB" w14:textId="4B44D2E2" w:rsidR="006E49AD" w:rsidRPr="00B51DDE" w:rsidRDefault="006E49AD" w:rsidP="00AE2080">
      <w:pPr>
        <w:pStyle w:val="NormalWeb"/>
        <w:spacing w:line="360" w:lineRule="auto"/>
        <w:rPr>
          <w:rFonts w:ascii="Arial" w:hAnsi="Arial" w:cs="Arial"/>
          <w:b/>
          <w:bCs/>
          <w:shd w:val="clear" w:color="auto" w:fill="FFFFFF"/>
        </w:rPr>
      </w:pPr>
      <w:r w:rsidRPr="00B51DDE">
        <w:rPr>
          <w:rFonts w:ascii="Arial" w:hAnsi="Arial" w:cs="Arial"/>
          <w:b/>
          <w:bCs/>
          <w:shd w:val="clear" w:color="auto" w:fill="FFFFFF"/>
        </w:rPr>
        <w:lastRenderedPageBreak/>
        <w:t xml:space="preserve">Summary and impact on </w:t>
      </w:r>
      <w:r w:rsidR="003A6EB2" w:rsidRPr="00B51DDE">
        <w:rPr>
          <w:rFonts w:ascii="Arial" w:hAnsi="Arial" w:cs="Arial"/>
          <w:b/>
          <w:bCs/>
          <w:shd w:val="clear" w:color="auto" w:fill="FFFFFF"/>
        </w:rPr>
        <w:t xml:space="preserve">the </w:t>
      </w:r>
      <w:r w:rsidRPr="00B51DDE">
        <w:rPr>
          <w:rFonts w:ascii="Arial" w:hAnsi="Arial" w:cs="Arial"/>
          <w:b/>
          <w:bCs/>
          <w:shd w:val="clear" w:color="auto" w:fill="FFFFFF"/>
        </w:rPr>
        <w:t>belt training process</w:t>
      </w:r>
    </w:p>
    <w:p w14:paraId="0F4EB3A0" w14:textId="254ABD32" w:rsidR="006E49AD" w:rsidRPr="00B51DDE" w:rsidRDefault="006E49AD" w:rsidP="00AE2080">
      <w:pPr>
        <w:spacing w:line="360" w:lineRule="auto"/>
        <w:jc w:val="both"/>
        <w:rPr>
          <w:rFonts w:ascii="Arial" w:hAnsi="Arial" w:cs="Arial"/>
          <w:noProof/>
          <w:sz w:val="24"/>
          <w:szCs w:val="24"/>
        </w:rPr>
      </w:pPr>
      <w:r w:rsidRPr="00B51DDE">
        <w:rPr>
          <w:rFonts w:ascii="Arial" w:hAnsi="Arial" w:cs="Arial"/>
          <w:sz w:val="24"/>
          <w:szCs w:val="24"/>
        </w:rPr>
        <w:t xml:space="preserve">Roll’s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CENTURY","type":"article-journal"},"uris":["http://www.mendeley.com/documents/?uuid=5030bbb6-60db-47c9-8cfb-a9da980f8b89"]}],"mendeley":{"formattedCitation":"(Roll, 2014)","manualFormatting":"(2014)","plainTextFormattedCitation":"(Roll, 2014)","previouslyFormattedCitation":"(Roll, 2014)"},"properties":{"noteIndex":0},"schema":"https://github.com/citation-style-language/schema/raw/master/csl-citation.json"}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(2014)</w:t>
      </w:r>
      <w:r w:rsidRPr="00B51DDE">
        <w:rPr>
          <w:rFonts w:ascii="Arial" w:hAnsi="Arial" w:cs="Arial"/>
          <w:sz w:val="24"/>
          <w:szCs w:val="24"/>
        </w:rPr>
        <w:fldChar w:fldCharType="end"/>
      </w:r>
      <w:r w:rsidRPr="00B51DDE">
        <w:rPr>
          <w:rFonts w:ascii="Arial" w:hAnsi="Arial" w:cs="Arial"/>
          <w:sz w:val="24"/>
          <w:szCs w:val="24"/>
        </w:rPr>
        <w:t xml:space="preserve"> and Wilson’s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Review","id":"ITEM-1","issue":"3","issued":{"date-parts":[["2021"]]},"note":"Opera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Teacher","type":"article-journal","volume":"15"},"uris":["http://www.mendeley.com/documents/?uuid=c913173e-82b0-4559-a07f-7d1b3007e2ce"]}],"mendeley":{"formattedCitation":"(Wilson, 2021)","manualFormatting":"(2021)","plainTextFormattedCitation":"(Wilson, 2021)","previouslyFormattedCitation":"(Wilson, 2021)"},"properties":{"noteIndex":0},"schema":"https://github.com/citation-style-language/schema/raw/master/csl-citation.json"}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(2021)</w:t>
      </w:r>
      <w:r w:rsidRPr="00B51DDE">
        <w:rPr>
          <w:rFonts w:ascii="Arial" w:hAnsi="Arial" w:cs="Arial"/>
          <w:sz w:val="24"/>
          <w:szCs w:val="24"/>
        </w:rPr>
        <w:fldChar w:fldCharType="end"/>
      </w:r>
      <w:r w:rsidRPr="00B51DDE">
        <w:rPr>
          <w:rFonts w:ascii="Arial" w:hAnsi="Arial" w:cs="Arial"/>
          <w:sz w:val="24"/>
          <w:szCs w:val="24"/>
        </w:rPr>
        <w:t xml:space="preserve"> studies had expert collaboration at their core and worked in line with the ethos of EBVP. Collaboration with experts is </w:t>
      </w:r>
      <w:r w:rsidR="00591A1E" w:rsidRPr="00B51DDE">
        <w:rPr>
          <w:rFonts w:ascii="Arial" w:hAnsi="Arial" w:cs="Arial"/>
          <w:sz w:val="24"/>
          <w:szCs w:val="24"/>
        </w:rPr>
        <w:t xml:space="preserve">a </w:t>
      </w:r>
      <w:r w:rsidRPr="00B51DDE">
        <w:rPr>
          <w:rFonts w:ascii="Arial" w:hAnsi="Arial" w:cs="Arial"/>
          <w:sz w:val="24"/>
          <w:szCs w:val="24"/>
        </w:rPr>
        <w:t xml:space="preserve">mentoring opportunity for teachers which can improve professionalism, lead to changes to teaching practices, and be a source of emotional support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Journal","edition":"Second","id":"ITEM-2","issue":"2","issued":{"date-parts":[["2013"]]},"publisher":"Sage","title":"The Coding Manual for Qualitative Researchers (3rd edition)","type":"book","volume":"12"},"uris":["http://www.mendeley.com/documents/?uuid=f5513cbe-0be6-4d1f-9224-ae451442e4af"]}],"mendeley":{"formattedCitation":"(Saldaña, 2013; Lindqvist &lt;i&gt;et al.&lt;/i&gt;, 2023)","plainTextFormattedCitation":"(Saldaña, 2013; Lindqvist et al., 2023)","previouslyFormattedCitation":"(Saldaña, 2013; Lindqvist &lt;i&gt;et al.&lt;/i&gt;,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Lindqvist </w:t>
      </w:r>
      <w:r w:rsidRPr="00B51DDE">
        <w:rPr>
          <w:rFonts w:ascii="Arial" w:hAnsi="Arial" w:cs="Arial"/>
          <w:i/>
          <w:noProof/>
          <w:sz w:val="24"/>
          <w:szCs w:val="24"/>
        </w:rPr>
        <w:t>et al.</w:t>
      </w:r>
      <w:r w:rsidRPr="00B51DDE">
        <w:rPr>
          <w:rFonts w:ascii="Arial" w:hAnsi="Arial" w:cs="Arial"/>
          <w:noProof/>
          <w:sz w:val="24"/>
          <w:szCs w:val="24"/>
        </w:rPr>
        <w:t>, 2023)</w:t>
      </w:r>
      <w:r w:rsidRPr="00B51DDE">
        <w:rPr>
          <w:rFonts w:ascii="Arial" w:hAnsi="Arial" w:cs="Arial"/>
          <w:sz w:val="24"/>
          <w:szCs w:val="24"/>
        </w:rPr>
        <w:fldChar w:fldCharType="end"/>
      </w:r>
      <w:r w:rsidRPr="00B51DDE">
        <w:rPr>
          <w:rFonts w:ascii="Arial" w:hAnsi="Arial" w:cs="Arial"/>
          <w:sz w:val="24"/>
          <w:szCs w:val="24"/>
        </w:rPr>
        <w:t xml:space="preserve">. Teachers working with skilled mentors have been shown to engage in reflective processes which have increased CPD opportunities to construct new practical knowledge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{"citationItems":[{"id":"ITEM-1","itemData":{"DOI":"10.1080/13540602.2015.1055438","ISSN":"13540602","abstract":"Being adaptive to the individual novice teacher is considered a condition for effective teacher mentoring. The aims of this study are therefore to explore (1) mentoring activities through which mentors intend to adapt to the individual novice teacher and (2) characteristics of adaptive mentors. Information was collected through on-site, post-mentoring conversation interviews with 18 mentors holding different mentoring conceptions, from different programs for Initial Teacher Education in the Netherlands. Four adaptive mentoring activities were identified: (1) aligning mutual expectations about the mentoring process, (2) attuning to the novices emotional state, (3) adapting the mentoring conversation to match the reflective capacity of the novice teacher, and (4) building tasks from simple to complex relative to the novices competence level. Adaptive mentors were (1) more likely to mention activities intended to support construction of personal practical knowledge and (2) less likely to mention activities intended to create a favourable context for novice teacher learning. Suggestions for using findings to enhance mentor adaptiveness are discussed.","author":[{"dropping-particle":"","family":"Ginkel","given":"Gisbert","non-dropping-particle":"Van","parse-names":false,"suffix":""},{"dropping-particle":"","family":"Oolbekkink","given":"Helma","non-dropping-particle":"","parse-names":false,"suffix":""},{"dropping-particle":"","family":"Meijer","given":"Paulien C.","non-dropping-particle":"","parse-names":false,"suffix":""},{"dropping-particle":"","family":"Verloop","given":"Nico","non-dropping-particle":"","parse-names":false,"suffix":""}],"container-title":"Teachers and Teaching: Theory and Practice","id":"ITEM-1","issue":"2","issued":{"date-parts":[["2016"]]},"page":"198-218","publisher":"Routledge","title":"Adapting mentoring to individual differences in novice teacher learning: The mentors viewpoint","type":"article-journal","volume":"22"},"uris":["http://www.mendeley.com/documents/?uuid=20582c87-bb2d-467b-9dcf-d3a9416efa7d"]},{"id":"ITEM-2","itemData":{"DOI":"10.1108/qrom-08-2016-1408","ISBN":"9781446247365","ISSN":"1746-5648","abstract":"The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Journal","edition":"Second","id":"ITEM-2","issue":"2","issued":{"date-parts":[["2013"]]},"publisher":"Sage","title":"The Coding Manual for Qualitative Researchers (3rd edition)","type":"book","volume":"12"},"uris":["http://www.mendeley.com/documents/?uuid=f5513cbe-0be6-4d1f-9224-ae451442e4af"]}],"mendeley":{"formattedCitation":"(Saldaña, 2013; Van Ginkel &lt;i&gt;et al.&lt;/i&gt;, 2016)","plainTextFormattedCitation":"(Saldaña, 2013; Van Ginkel et al., 2016)","previouslyFormattedCitation":"(Saldaña, 2013; Van Ginkel &lt;i&gt;et al.&lt;/i&gt;,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Van Ginkel </w:t>
      </w:r>
      <w:r w:rsidRPr="00B51DDE">
        <w:rPr>
          <w:rFonts w:ascii="Arial" w:hAnsi="Arial" w:cs="Arial"/>
          <w:i/>
          <w:noProof/>
          <w:sz w:val="24"/>
          <w:szCs w:val="24"/>
        </w:rPr>
        <w:t>et al.</w:t>
      </w:r>
      <w:r w:rsidRPr="00B51DDE">
        <w:rPr>
          <w:rFonts w:ascii="Arial" w:hAnsi="Arial" w:cs="Arial"/>
          <w:noProof/>
          <w:sz w:val="24"/>
          <w:szCs w:val="24"/>
        </w:rPr>
        <w:t>, 2016)</w:t>
      </w:r>
      <w:r w:rsidRPr="00B51DDE">
        <w:rPr>
          <w:rFonts w:ascii="Arial" w:hAnsi="Arial" w:cs="Arial"/>
          <w:sz w:val="24"/>
          <w:szCs w:val="24"/>
        </w:rPr>
        <w:fldChar w:fldCharType="end"/>
      </w:r>
      <w:r w:rsidRPr="00B51DDE">
        <w:rPr>
          <w:rFonts w:ascii="Arial" w:hAnsi="Arial" w:cs="Arial"/>
          <w:sz w:val="24"/>
          <w:szCs w:val="24"/>
        </w:rPr>
        <w:t xml:space="preserve">. Seeking mentorship is an opportunity for a teacher to take responsibility for their professional development as part of their reflective practice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(Warwick, 2007)</w:t>
      </w:r>
      <w:r w:rsidRPr="00B51DDE">
        <w:rPr>
          <w:rFonts w:ascii="Arial" w:hAnsi="Arial" w:cs="Arial"/>
          <w:sz w:val="24"/>
          <w:szCs w:val="24"/>
        </w:rPr>
        <w:fldChar w:fldCharType="end"/>
      </w:r>
      <w:r w:rsidRPr="00B51DDE">
        <w:rPr>
          <w:rFonts w:ascii="Arial" w:hAnsi="Arial" w:cs="Arial"/>
          <w:sz w:val="24"/>
          <w:szCs w:val="24"/>
        </w:rPr>
        <w:t>. Teachers need CPD opportunities and mentorship which allow them to develop knowledge and ability to make judgements about what their teaching practice</w:t>
      </w:r>
      <w:r w:rsidR="002359F8" w:rsidRPr="00B51DDE">
        <w:rPr>
          <w:rFonts w:ascii="Arial" w:hAnsi="Arial" w:cs="Arial"/>
          <w:sz w:val="24"/>
          <w:szCs w:val="24"/>
        </w:rPr>
        <w:t xml:space="preserve"> needs to improve</w:t>
      </w:r>
      <w:r w:rsidRPr="00B51DDE">
        <w:rPr>
          <w:rFonts w:ascii="Arial" w:hAnsi="Arial" w:cs="Arial"/>
          <w:sz w:val="24"/>
          <w:szCs w:val="24"/>
        </w:rPr>
        <w:t xml:space="preserve"> </w:t>
      </w:r>
      <w:r w:rsidRPr="00B51DDE">
        <w:rPr>
          <w:rFonts w:ascii="Arial" w:hAnsi="Arial" w:cs="Arial"/>
          <w:noProof/>
          <w:sz w:val="24"/>
          <w:szCs w:val="24"/>
        </w:rPr>
        <w:fldChar w:fldCharType="begin" w:fldLock="1"/>
      </w:r>
      <w:r w:rsidRPr="00B51DDE">
        <w:rPr>
          <w:rFonts w:ascii="Arial" w:hAnsi="Arial" w:cs="Arial"/>
          <w:noProof/>
          <w:sz w:val="24"/>
          <w:szCs w:val="24"/>
        </w:rPr>
        <w:instrText>ADDIN CSL_CITATION {"citationItems":[{"id":"ITEM-1","itemData":{"ISBN":"9780335264704","author":[{"dropping-particle":"","family":"Denscombe","given":"Martyn","non-dropping-particle":"","parse-names":false,"suffix":""}],"id":"ITEM-1","issued":{"date-parts":[["2014"]]},"number-of-pages":"278","title":"Open UP Study Skills The Good Research Guide","type":"book"},"uris":["http://www.mendeley.com/documents/?uuid=f0f8632a-34fe-4332-acd9-274e093fbb0b"]},{"id":"ITEM-2","itemData":{"abstract":"Seiring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2016)","plainTextFormattedCitation":"(Denscombe, 2014; Merriam and Tisdell, 2016)","previouslyFormattedCitation":"(Denscombe, 2014; Merriam and Tisdell, 2016)"},"properties":{"noteIndex":0},"schema":"https://github.com/citation-style-language/schema/raw/master/csl-citation.json"}</w:instrText>
      </w:r>
      <w:r w:rsidRPr="00B51DDE">
        <w:rPr>
          <w:rFonts w:ascii="Arial" w:hAnsi="Arial" w:cs="Arial"/>
          <w:noProof/>
          <w:sz w:val="24"/>
          <w:szCs w:val="24"/>
        </w:rPr>
        <w:fldChar w:fldCharType="separate"/>
      </w:r>
      <w:r w:rsidRPr="00B51DDE">
        <w:rPr>
          <w:rFonts w:ascii="Arial" w:hAnsi="Arial" w:cs="Arial"/>
          <w:noProof/>
          <w:sz w:val="24"/>
          <w:szCs w:val="24"/>
        </w:rPr>
        <w:t>(Denscombe, 2014; Merriam and Tisdell, 2016)</w:t>
      </w:r>
      <w:r w:rsidRPr="00B51DDE">
        <w:rPr>
          <w:rFonts w:ascii="Arial" w:hAnsi="Arial" w:cs="Arial"/>
          <w:noProof/>
          <w:sz w:val="24"/>
          <w:szCs w:val="24"/>
        </w:rPr>
        <w:fldChar w:fldCharType="end"/>
      </w:r>
      <w:r w:rsidRPr="00B51DDE">
        <w:rPr>
          <w:rFonts w:ascii="Arial" w:hAnsi="Arial" w:cs="Arial"/>
          <w:noProof/>
          <w:sz w:val="24"/>
          <w:szCs w:val="24"/>
        </w:rPr>
        <w:t>.</w:t>
      </w:r>
    </w:p>
    <w:p w14:paraId="05C8F92D" w14:textId="1B834CED" w:rsidR="008808F7" w:rsidRPr="00B51DDE" w:rsidRDefault="006E49AD" w:rsidP="00AE2080">
      <w:pPr>
        <w:spacing w:line="360" w:lineRule="auto"/>
        <w:jc w:val="both"/>
        <w:rPr>
          <w:rFonts w:ascii="Arial" w:hAnsi="Arial" w:cs="Arial"/>
          <w:sz w:val="24"/>
          <w:szCs w:val="24"/>
        </w:rPr>
      </w:pPr>
      <w:r w:rsidRPr="00B51DDE">
        <w:rPr>
          <w:rFonts w:ascii="Arial" w:hAnsi="Arial" w:cs="Arial"/>
          <w:sz w:val="24"/>
          <w:szCs w:val="24"/>
        </w:rPr>
        <w:t xml:space="preserve">Expert feedback </w:t>
      </w:r>
      <w:r w:rsidR="00ED30AF" w:rsidRPr="00B51DDE">
        <w:rPr>
          <w:rFonts w:ascii="Arial" w:hAnsi="Arial" w:cs="Arial"/>
          <w:sz w:val="24"/>
          <w:szCs w:val="24"/>
        </w:rPr>
        <w:t>stressed</w:t>
      </w:r>
      <w:r w:rsidRPr="00B51DDE">
        <w:rPr>
          <w:rFonts w:ascii="Arial" w:hAnsi="Arial" w:cs="Arial"/>
          <w:sz w:val="24"/>
          <w:szCs w:val="24"/>
        </w:rPr>
        <w:t xml:space="preserve"> the importance of teacher knowledge to allow individualisation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(Lindqvist </w:t>
      </w:r>
      <w:r w:rsidRPr="00B51DDE">
        <w:rPr>
          <w:rFonts w:ascii="Arial" w:hAnsi="Arial" w:cs="Arial"/>
          <w:i/>
          <w:noProof/>
          <w:sz w:val="24"/>
          <w:szCs w:val="24"/>
        </w:rPr>
        <w:t>et al.</w:t>
      </w:r>
      <w:r w:rsidRPr="00B51DDE">
        <w:rPr>
          <w:rFonts w:ascii="Arial" w:hAnsi="Arial" w:cs="Arial"/>
          <w:noProof/>
          <w:sz w:val="24"/>
          <w:szCs w:val="24"/>
        </w:rPr>
        <w:t>, 2023)</w:t>
      </w:r>
      <w:r w:rsidRPr="00B51DDE">
        <w:rPr>
          <w:rFonts w:ascii="Arial" w:hAnsi="Arial" w:cs="Arial"/>
          <w:sz w:val="24"/>
          <w:szCs w:val="24"/>
        </w:rPr>
        <w:fldChar w:fldCharType="end"/>
      </w:r>
      <w:r w:rsidRPr="00B51DDE">
        <w:rPr>
          <w:rFonts w:ascii="Arial" w:hAnsi="Arial" w:cs="Arial"/>
          <w:sz w:val="24"/>
          <w:szCs w:val="24"/>
        </w:rPr>
        <w:t xml:space="preserve">. This led to separating the teaching knowledge from the process flow chart. A student </w:t>
      </w:r>
      <w:r w:rsidR="00230AD9" w:rsidRPr="00B51DDE">
        <w:rPr>
          <w:rFonts w:ascii="Arial" w:hAnsi="Arial" w:cs="Arial"/>
          <w:sz w:val="24"/>
          <w:szCs w:val="24"/>
        </w:rPr>
        <w:t>can</w:t>
      </w:r>
      <w:r w:rsidRPr="00B51DDE">
        <w:rPr>
          <w:rFonts w:ascii="Arial" w:hAnsi="Arial" w:cs="Arial"/>
          <w:sz w:val="24"/>
          <w:szCs w:val="24"/>
        </w:rPr>
        <w:t xml:space="preserve"> now view the flow chart to support their learning and teachers </w:t>
      </w:r>
      <w:r w:rsidR="00FB21B5" w:rsidRPr="00B51DDE">
        <w:rPr>
          <w:rFonts w:ascii="Arial" w:hAnsi="Arial" w:cs="Arial"/>
          <w:sz w:val="24"/>
          <w:szCs w:val="24"/>
        </w:rPr>
        <w:t>could</w:t>
      </w:r>
      <w:r w:rsidRPr="00B51DDE">
        <w:rPr>
          <w:rFonts w:ascii="Arial" w:hAnsi="Arial" w:cs="Arial"/>
          <w:sz w:val="24"/>
          <w:szCs w:val="24"/>
        </w:rPr>
        <w:t xml:space="preserve"> cross reference the flow chart and refer to the knowledge base and teaching suggestions</w:t>
      </w:r>
      <w:r w:rsidR="002B478E" w:rsidRPr="00B51DDE">
        <w:rPr>
          <w:rFonts w:ascii="Arial" w:hAnsi="Arial" w:cs="Arial"/>
          <w:sz w:val="24"/>
          <w:szCs w:val="24"/>
        </w:rPr>
        <w:t xml:space="preserve"> in DBR stages 1 and 2</w:t>
      </w:r>
      <w:r w:rsidRPr="00B51DDE">
        <w:rPr>
          <w:rFonts w:ascii="Arial" w:hAnsi="Arial" w:cs="Arial"/>
          <w:sz w:val="24"/>
          <w:szCs w:val="24"/>
        </w:rPr>
        <w:t xml:space="preserve">. If novice teachers of belting follow the indication for collaboration and mentorship, they could develop the knowledge and skills to create and demonstrate individualised exercises to suit each student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edition)","type":"book","volume":"12"},"uris":["http://www.mendeley.com/documents/?uuid=f5513cbe-0be6-4d1f-9224-ae451442e4af"]},{"id":"ITEM-2","itemData":{"DOI":"10.1080/13540602.2015.1055438","ISSN":"13540602","abstract":"Being adaptive to the individual novice teacher is considered a condition for effective teacher mentoring. The aims of this study are therefore to explore (1) mentoring activities through which mentors intend to adapt to the individual novice teacher and (2) characteristics of adaptive mentors. Information was collected through on-site, post-mentoring conversation interviews with 18 mentors holding different mentoring conceptions, from different programs for Initial Teacher Education in the Netherlands. Four adaptive mentoring activities were identified: (1) aligning mutual expectations about the mentoring process, (2) attuning to the novices emotional state, (3) adapting the mentoring conversation to match the reflective capacity of the novice teacher, and (4) building tasks from simple to complex relative to the novices competence level. Adaptive mentors were (1) more likely to mention activities intended to support construction of personal practical knowledge and (2) less likely to mention activities intended to create a favourable context for novice teacher learning. Suggestions for using findings to enhance mentor adaptiveness are discussed.","author":[{"dropping-particle":"","family":"Ginkel","given":"Gisbert","non-dropping-particle":"Van","parse-names":false,"suffix":""},{"dropping-particle":"","family":"Oolbekkink","given":"Helma","non-dropping-particle":"","parse-names":false,"suffix":""},{"dropping-particle":"","family":"Meijer","given":"Paulien C.","non-dropping-particle":"","parse-names":false,"suffix":""},{"dropping-particle":"","family":"Verloop","given":"Nico","non-dropping-particle":"","parse-names":false,"suffix":""}],"container-title":"Teachers and Teaching: Theory and Practice","id":"ITEM-2","issue":"2","issued":{"date-parts":[["2016"]]},"page":"198-218","publisher":"Routledge","title":"Adapting mentoring to individual differences in novice teacher learning: The mentors viewpoint","type":"article-journal","volume":"22"},"uris":["http://www.mendeley.com/documents/?uuid=20582c87-bb2d-467b-9dcf-d3a9416efa7d"]},{"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Guide","type":"book"},"uris":["http://www.mendeley.com/documents/?uuid=f0f8632a-34fe-4332-acd9-274e093fbb0b"]},{"id":"ITEM-4","itemData":{"abstract":"Seiring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Documents","edition":"Fourth","id":"ITEM-4","issued":{"date-parts":[["2016"]]},"note":"There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Research","type":"book"},"uris":["http://www.mendeley.com/documents/?uuid=f0a0c8d9-5e9b-48c7-85fc-7981f990d40b"]}],"mendeley":{"formattedCitation":"(Saldaña, 2013; Denscombe, 2014; Merriam and Tisdell, 2016; Van Ginkel &lt;i&gt;et al.&lt;/i&gt;, 2016)","plainTextFormattedCitation":"(Saldaña, 2013; Denscombe, 2014; Merriam and Tisdell, 2016; Van Ginkel et al., 2016)","previouslyFormattedCitation":"(Saldaña, 2013; Denscombe, 2014; Merriam and Tisdell, 2016; Van Ginkel &lt;i&gt;et al.&lt;/i&gt;, 2016)"},"properties":{"noteIndex":0},"schema":"https://github.com/citation-style-language/schema/raw/master/csl-citation.json"}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Denscombe, 2014; Merriam and Tisdell, 2016; Van Ginkel </w:t>
      </w:r>
      <w:r w:rsidRPr="00B51DDE">
        <w:rPr>
          <w:rFonts w:ascii="Arial" w:hAnsi="Arial" w:cs="Arial"/>
          <w:i/>
          <w:noProof/>
          <w:sz w:val="24"/>
          <w:szCs w:val="24"/>
        </w:rPr>
        <w:t>et al.</w:t>
      </w:r>
      <w:r w:rsidRPr="00B51DDE">
        <w:rPr>
          <w:rFonts w:ascii="Arial" w:hAnsi="Arial" w:cs="Arial"/>
          <w:noProof/>
          <w:sz w:val="24"/>
          <w:szCs w:val="24"/>
        </w:rPr>
        <w:t>, 2016)</w:t>
      </w:r>
      <w:r w:rsidRPr="00B51DDE">
        <w:rPr>
          <w:rFonts w:ascii="Arial" w:hAnsi="Arial" w:cs="Arial"/>
          <w:sz w:val="24"/>
          <w:szCs w:val="24"/>
        </w:rPr>
        <w:fldChar w:fldCharType="end"/>
      </w:r>
      <w:r w:rsidRPr="00B51DDE">
        <w:rPr>
          <w:rFonts w:ascii="Arial" w:hAnsi="Arial" w:cs="Arial"/>
          <w:sz w:val="24"/>
          <w:szCs w:val="24"/>
        </w:rPr>
        <w:t>. Individualising teaching in this way take</w:t>
      </w:r>
      <w:r w:rsidR="000340B8" w:rsidRPr="00B51DDE">
        <w:rPr>
          <w:rFonts w:ascii="Arial" w:hAnsi="Arial" w:cs="Arial"/>
          <w:sz w:val="24"/>
          <w:szCs w:val="24"/>
        </w:rPr>
        <w:t>s</w:t>
      </w:r>
      <w:r w:rsidRPr="00B51DDE">
        <w:rPr>
          <w:rFonts w:ascii="Arial" w:hAnsi="Arial" w:cs="Arial"/>
          <w:sz w:val="24"/>
          <w:szCs w:val="24"/>
        </w:rPr>
        <w:t xml:space="preserve"> account of an individual student’s current goals and development needs </w:t>
      </w:r>
      <w:r w:rsidRPr="00B51DDE">
        <w:rPr>
          <w:rFonts w:ascii="Arial" w:hAnsi="Arial" w:cs="Arial"/>
          <w:sz w:val="24"/>
          <w:szCs w:val="24"/>
        </w:rPr>
        <w:fldChar w:fldCharType="begin" w:fldLock="1"/>
      </w:r>
      <w:r w:rsidRPr="00B51DDE">
        <w:rPr>
          <w:rFonts w:ascii="Arial" w:hAnsi="Arial" w:cs="Arial"/>
          <w:sz w:val="24"/>
          <w:szCs w:val="24"/>
        </w:rPr>
        <w:instrText>ADDIN CSL_CITATION {"citationItems":[{"id":"ITEM-1","itemData":{"DOI":"10.1108/qrom-08-2016-1408","ISBN":"9781446247365","ISSN":"1746-5648","abstract":"The Coding Manual for Qualitative Researchers addresses an important aspect of many qualitative research traditions, the process of attaching meaningful attributes (codes) to qualitative data that allows researchers to engage in a range of analytic processes (e.g. pattern detection, categorization and theory building). It is a book intended to \"supplement introductory works in the subject\" and provide an extensive collection of coding methods from a range of sources for a variety of purposes. It is a book that is probably best positioned to those in somewhere in the middle of the beginner-experienced continuum of qualitative researchers, especially to those looking for examples of different ways to analyze qualitative data. Saldaña states that this manual \"serves primarily as a reference work\" rather than a monograph to be read cover to cover. This is a claim important for a prospective reader to understand, and one that I agree with to a certain extent. A good reference work needs to have widely understood content in order for readers to know what to look for, and in this way the primary organizing scheme of the book into chapters on first and second cycle coding methods (and subsequently into a multitude of subcategories) is difficult to understand without a high degree of familiarity with this terminology. The opening chapter does a good job of exemplifying different approaches to coding and clarifying related terminology (e.g. patterns, codifying, categorization and themes) in a way that is helpful to the novice qualitative researcher. Perhaps less helpful in this part of the manual is the quick reference to dozens of specific coding types that are elaborated upon in later chapters and defined in the glossaries contained in the book's appendices. Despite what for me is too much material covered in only a surface way to start the manual, it is otherwise well organized, through and thoughtful. Saldaña's many examples are very helpful, showing how particular data segments can be coded. Where this was particularly helpful was in the otherwise unclear discussion of selecting the appropriate coding method(s) for a particular study to start Chapter 3. That chapter alone describes 33 choices of \"first cycle coding methods,\" those that happen during the initial stages of data analysis. Arguably it is difficult to provide a concise answer to that question, because quite obviously the decision rests on many factors related to the researcher and the phenomenon …","author":[{"dropping-particle":"","family":"Saldaña","given":"Johnny","non-dropping-particle":"","parse-names":false,"suffix":""}],"container-title":"Qualitative Research in Organizations and Management: An International Journal","edition":"Second","id":"ITEM-1","issue":"2","issued":{"date-parts":[["2013"]]},"publisher":"Sage","title":"The Coding Manual for Qualitative Researchers (3rd edition)","type":"book","volume":"12"},"uris":["http://www.mendeley.com/documents/?uuid=f5513cbe-0be6-4d1f-9224-ae451442e4af"]},{"id":"ITEM-2","itemData":{"DOI":"10.1080/13540602.2015.1055438","ISSN":"13540602","abstract":"Being adaptive to the individual novice teacher is considered a condition for effective teacher mentoring. The aims of this study are therefore to explore (1) mentoring activities through which mentors intend to adapt to the individual novice teacher and (2) characteristics of adaptive mentors. Information was collected through on-site, post-mentoring conversation interviews with 18 mentors holding different mentoring conceptions, from different programs for Initial Teacher Education in the Netherlands. Four adaptive mentoring activities were identified: (1) aligning mutual expectations about the mentoring process, (2) attuning to the novices emotional state, (3) adapting the mentoring conversation to match the reflective capacity of the novice teacher, and (4) building tasks from simple to complex relative to the novices competence level. Adaptive mentors were (1) more likely to mention activities intended to support construction of personal practical knowledge and (2) less likely to mention activities intended to create a favourable context for novice teacher learning. Suggestions for using findings to enhance mentor adaptiveness are discussed.","author":[{"dropping-particle":"","family":"Ginkel","given":"Gisbert","non-dropping-particle":"Van","parse-names":false,"suffix":""},{"dropping-particle":"","family":"Oolbekkink","given":"Helma","non-dropping-particle":"","parse-names":false,"suffix":""},{"dropping-particle":"","family":"Meijer","given":"Paulien C.","non-dropping-particle":"","parse-names":false,"suffix":""},{"dropping-particle":"","family":"Verloop","given":"Nico","non-dropping-particle":"","parse-names":false,"suffix":""}],"container-title":"Teachers and Teaching: Theory and Practice","id":"ITEM-2","issue":"2","issued":{"date-parts":[["2016"]]},"page":"198-218","publisher":"Routledge","title":"Adapting mentoring to individual differences in novice teacher learning: The mentors viewpoint","type":"article-journal","volume":"22"},"uris":["http://www.mendeley.com/documents/?uuid=20582c87-bb2d-467b-9dcf-d3a9416efa7d"]},{"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Guide","type":"book"},"uris":["http://www.mendeley.com/documents/?uuid=f0f8632a-34fe-4332-acd9-274e093fbb0b"]},{"id":"ITEM-4","itemData":{"abstract":"Seiring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Documents","edition":"Fourth","id":"ITEM-4","issued":{"date-parts":[["2016"]]},"note":"There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Research","type":"book"},"uris":["http://www.mendeley.com/documents/?uuid=f0a0c8d9-5e9b-48c7-85fc-7981f990d40b"]},{"id":"ITEM-5","itemData":{"abstract":"P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Singing","id":"ITEM-5","issue":"4","issued":{"date-parts":[["2021"]]},"page":"543-547","title":"Evidence-Based Voice Pedagogy (EBVP), Part 1: Voice Research Component MINDFUL VOICE","type":"article-journal","volume":"77"},"uris":["http://www.mendeley.com/documents/?uuid=ddb037f3-69bf-41ee-8534-060fb40556f4"]},{"id":"ITEM-6","itemData":{"DOI":"10.53830/xjox9734","ISSN":"10867732","author":[{"dropping-particle":"","family":"Bozeman","given":"Kenneth","non-dropping-particle":"","parse-names":false,"suffix":""},{"dropping-particle":"","family":"Ragan","given":"Kari","non-dropping-particle":"","parse-names":false,"suffix":""}],"container-title":"Journal of Singing","id":"ITEM-6","issue":"3","issued":{"date-parts":[["2021"]]},"page":"389-393","title":"Evidence-Based Voice Pedagogy (EBVP), Part 2: Voice Teacher Expertise and Experience","type":"article-journal","volume":"78"},"uris":["http://www.mendeley.com/documents/?uuid=81c23a1d-5fc4-4362-b522-15eb58b01785"]},{"id":"ITEM-7","itemData":{"DOI":"10.53830/logc7063","ISSN":"10867732","author":[{"dropping-particle":"","family":"Helding","given":"Lynn","non-dropping-particle":"","parse-names":false,"suffix":""},{"dropping-particle":"","family":"Ragan","given":"Kari","non-dropping-particle":"","parse-names":false,"suffix":""}],"container-title":"Journal of Singing","id":"ITEM-7","issue":"5","issued":{"date-parts":[["2022"]]},"page":"635-640","title":"Evidence-Based Voice Pedagogy (EBVP), Part 3: Student Goals and Perspectives","type":"article-journal","volume":"78"},"uris":["http://www.mendeley.com/documents/?uuid=f77b2c75-21fd-413f-badf-fe2971b5f8ec"]}],"mendeley":{"formattedCitation":"(Saldaña, 2013; Denscombe, 2014; Merriam and Tisdell, 2016; Van Ginkel &lt;i&gt;et al.&lt;/i&gt;, 2016; Bozeman and Ragan, 2021; Ragan and Maxfield, 2021; Helding and Ragan, 2022)","plainTextFormattedCitation":"(Saldaña, 2013; Denscombe, 2014; Merriam and Tisdell, 2016; Van Ginkel et al., 2016; Bozeman and Ragan, 2021; Ragan and Maxfield, 2021; Helding and Ragan, 2022)","previouslyFormattedCitation":"(Saldaña, 2013; Denscombe, 2014; Merriam and Tisdell, 2016; Van Ginkel &lt;i&gt;et al.&lt;/i&gt;, 2016; Bozeman and Ragan, 2021; Ragan and Maxfield, 2021; Helding and Ragan, 2022)"},"properties":{"noteIndex":0},"schema":"https://github.com/citation-style-language/schema/raw/master/csl-citation.json"}</w:instrText>
      </w:r>
      <w:r w:rsidRPr="00B51DDE">
        <w:rPr>
          <w:rFonts w:ascii="Arial" w:hAnsi="Arial" w:cs="Arial"/>
          <w:sz w:val="24"/>
          <w:szCs w:val="24"/>
        </w:rPr>
        <w:fldChar w:fldCharType="separate"/>
      </w:r>
      <w:r w:rsidRPr="00B51DDE">
        <w:rPr>
          <w:rFonts w:ascii="Arial" w:hAnsi="Arial" w:cs="Arial"/>
          <w:noProof/>
          <w:sz w:val="24"/>
          <w:szCs w:val="24"/>
        </w:rPr>
        <w:t xml:space="preserve">(Saldaña, 2013; Denscombe, 2014; Merriam and Tisdell, 2016; Van Ginkel </w:t>
      </w:r>
      <w:r w:rsidRPr="00B51DDE">
        <w:rPr>
          <w:rFonts w:ascii="Arial" w:hAnsi="Arial" w:cs="Arial"/>
          <w:i/>
          <w:noProof/>
          <w:sz w:val="24"/>
          <w:szCs w:val="24"/>
        </w:rPr>
        <w:t>et al.</w:t>
      </w:r>
      <w:r w:rsidRPr="00B51DDE">
        <w:rPr>
          <w:rFonts w:ascii="Arial" w:hAnsi="Arial" w:cs="Arial"/>
          <w:noProof/>
          <w:sz w:val="24"/>
          <w:szCs w:val="24"/>
        </w:rPr>
        <w:t>, 2016; Bozeman and Ragan, 2021; Ragan and Maxfield, 2021; Helding and Ragan, 2022)</w:t>
      </w:r>
      <w:r w:rsidRPr="00B51DDE">
        <w:rPr>
          <w:rFonts w:ascii="Arial" w:hAnsi="Arial" w:cs="Arial"/>
          <w:sz w:val="24"/>
          <w:szCs w:val="24"/>
        </w:rPr>
        <w:fldChar w:fldCharType="end"/>
      </w:r>
      <w:r w:rsidRPr="00B51DDE">
        <w:rPr>
          <w:rFonts w:ascii="Arial" w:hAnsi="Arial" w:cs="Arial"/>
          <w:sz w:val="24"/>
          <w:szCs w:val="24"/>
        </w:rPr>
        <w:t>.</w:t>
      </w:r>
    </w:p>
    <w:p w14:paraId="594DC29C" w14:textId="38F6729A" w:rsidR="002679E9" w:rsidRDefault="00EB089B" w:rsidP="007B52C2">
      <w:pPr>
        <w:pStyle w:val="NormalWeb"/>
        <w:spacing w:line="360" w:lineRule="auto"/>
        <w:jc w:val="both"/>
        <w:rPr>
          <w:rFonts w:ascii="Arial" w:hAnsi="Arial" w:cs="Arial"/>
        </w:rPr>
      </w:pPr>
      <w:r w:rsidRPr="00B51DDE">
        <w:rPr>
          <w:rFonts w:ascii="Arial" w:hAnsi="Arial" w:cs="Arial"/>
        </w:rPr>
        <w:t xml:space="preserve">The belt training process flow chart remains the same as </w:t>
      </w:r>
      <w:r w:rsidR="00CD35CA" w:rsidRPr="00B51DDE">
        <w:rPr>
          <w:rFonts w:ascii="Arial" w:hAnsi="Arial" w:cs="Arial"/>
        </w:rPr>
        <w:t>the simplified version from</w:t>
      </w:r>
      <w:r w:rsidR="00FC319E" w:rsidRPr="00B51DDE">
        <w:rPr>
          <w:rFonts w:ascii="Arial" w:hAnsi="Arial" w:cs="Arial"/>
        </w:rPr>
        <w:t xml:space="preserve"> the end of</w:t>
      </w:r>
      <w:r w:rsidR="00CD35CA" w:rsidRPr="00B51DDE">
        <w:rPr>
          <w:rFonts w:ascii="Arial" w:hAnsi="Arial" w:cs="Arial"/>
        </w:rPr>
        <w:t xml:space="preserve"> </w:t>
      </w:r>
      <w:r w:rsidRPr="00B51DDE">
        <w:rPr>
          <w:rFonts w:ascii="Arial" w:hAnsi="Arial" w:cs="Arial"/>
        </w:rPr>
        <w:t xml:space="preserve">DBR stage </w:t>
      </w:r>
      <w:r w:rsidR="00CD35CA" w:rsidRPr="00B51DDE">
        <w:rPr>
          <w:rFonts w:ascii="Arial" w:hAnsi="Arial" w:cs="Arial"/>
        </w:rPr>
        <w:t>1</w:t>
      </w:r>
      <w:r w:rsidR="009619DD" w:rsidRPr="00B51DDE">
        <w:rPr>
          <w:rFonts w:ascii="Arial" w:hAnsi="Arial" w:cs="Arial"/>
        </w:rPr>
        <w:t xml:space="preserve"> </w:t>
      </w:r>
      <w:hyperlink w:anchor="RevisedBeltTrainingProcess" w:history="1">
        <w:r w:rsidR="009619DD" w:rsidRPr="00B51DDE">
          <w:rPr>
            <w:rStyle w:val="Hyperlink"/>
            <w:rFonts w:ascii="Arial" w:hAnsi="Arial" w:cs="Arial"/>
          </w:rPr>
          <w:t xml:space="preserve">(Figure </w:t>
        </w:r>
        <w:r w:rsidR="00C92006" w:rsidRPr="00B51DDE">
          <w:rPr>
            <w:rStyle w:val="Hyperlink"/>
            <w:rFonts w:ascii="Arial" w:hAnsi="Arial" w:cs="Arial"/>
          </w:rPr>
          <w:t>7</w:t>
        </w:r>
        <w:r w:rsidR="009619DD" w:rsidRPr="00B51DDE">
          <w:rPr>
            <w:rStyle w:val="Hyperlink"/>
            <w:rFonts w:ascii="Arial" w:hAnsi="Arial" w:cs="Arial"/>
          </w:rPr>
          <w:t>)</w:t>
        </w:r>
        <w:r w:rsidRPr="00B51DDE">
          <w:rPr>
            <w:rStyle w:val="Hyperlink"/>
            <w:rFonts w:ascii="Arial" w:hAnsi="Arial" w:cs="Arial"/>
          </w:rPr>
          <w:t>.</w:t>
        </w:r>
      </w:hyperlink>
      <w:r w:rsidRPr="00B51DDE">
        <w:rPr>
          <w:rFonts w:ascii="Arial" w:hAnsi="Arial" w:cs="Arial"/>
        </w:rPr>
        <w:t xml:space="preserve"> It is the teacher knowledge </w:t>
      </w:r>
      <w:r w:rsidR="003B7042" w:rsidRPr="00B51DDE">
        <w:rPr>
          <w:rFonts w:ascii="Arial" w:hAnsi="Arial" w:cs="Arial"/>
        </w:rPr>
        <w:t>guiding</w:t>
      </w:r>
      <w:r w:rsidRPr="00B51DDE">
        <w:rPr>
          <w:rFonts w:ascii="Arial" w:hAnsi="Arial" w:cs="Arial"/>
        </w:rPr>
        <w:t xml:space="preserve"> the </w:t>
      </w:r>
      <w:r w:rsidR="003B7042" w:rsidRPr="00B51DDE">
        <w:rPr>
          <w:rFonts w:ascii="Arial" w:hAnsi="Arial" w:cs="Arial"/>
        </w:rPr>
        <w:t xml:space="preserve">application of the </w:t>
      </w:r>
      <w:r w:rsidRPr="00B51DDE">
        <w:rPr>
          <w:rFonts w:ascii="Arial" w:hAnsi="Arial" w:cs="Arial"/>
        </w:rPr>
        <w:t xml:space="preserve">process </w:t>
      </w:r>
      <w:r w:rsidR="003B7042" w:rsidRPr="00B51DDE">
        <w:rPr>
          <w:rFonts w:ascii="Arial" w:hAnsi="Arial" w:cs="Arial"/>
        </w:rPr>
        <w:t xml:space="preserve">which </w:t>
      </w:r>
      <w:r w:rsidR="0013740E" w:rsidRPr="00B51DDE">
        <w:rPr>
          <w:rFonts w:ascii="Arial" w:hAnsi="Arial" w:cs="Arial"/>
        </w:rPr>
        <w:t>has changed</w:t>
      </w:r>
      <w:r w:rsidR="00157D3F" w:rsidRPr="00B51DDE">
        <w:rPr>
          <w:rFonts w:ascii="Arial" w:hAnsi="Arial" w:cs="Arial"/>
        </w:rPr>
        <w:t xml:space="preserve"> as a result of the study so far</w:t>
      </w:r>
      <w:r w:rsidR="0013740E" w:rsidRPr="00B51DDE">
        <w:rPr>
          <w:rFonts w:ascii="Arial" w:hAnsi="Arial" w:cs="Arial"/>
        </w:rPr>
        <w:t>.</w:t>
      </w:r>
      <w:r w:rsidR="002679E9" w:rsidRPr="00B51DDE">
        <w:rPr>
          <w:rFonts w:ascii="Arial" w:hAnsi="Arial" w:cs="Arial"/>
        </w:rPr>
        <w:t xml:space="preserve"> All that I learned throughout the study underpinned the practical application stage of the study where </w:t>
      </w:r>
      <w:r w:rsidR="001727DE" w:rsidRPr="00B51DDE">
        <w:rPr>
          <w:rFonts w:ascii="Arial" w:hAnsi="Arial" w:cs="Arial"/>
        </w:rPr>
        <w:t>the belt training process</w:t>
      </w:r>
      <w:r w:rsidR="00347111" w:rsidRPr="00B51DDE">
        <w:rPr>
          <w:rFonts w:ascii="Arial" w:hAnsi="Arial" w:cs="Arial"/>
        </w:rPr>
        <w:t xml:space="preserve"> and literature review</w:t>
      </w:r>
      <w:r w:rsidR="001727DE" w:rsidRPr="00B51DDE">
        <w:rPr>
          <w:rFonts w:ascii="Arial" w:hAnsi="Arial" w:cs="Arial"/>
        </w:rPr>
        <w:t xml:space="preserve"> guided </w:t>
      </w:r>
      <w:r w:rsidR="002679E9" w:rsidRPr="00B51DDE">
        <w:rPr>
          <w:rFonts w:ascii="Arial" w:hAnsi="Arial" w:cs="Arial"/>
        </w:rPr>
        <w:t xml:space="preserve">the </w:t>
      </w:r>
      <w:r w:rsidR="0007355E" w:rsidRPr="00B51DDE">
        <w:rPr>
          <w:rFonts w:ascii="Arial" w:hAnsi="Arial" w:cs="Arial"/>
        </w:rPr>
        <w:t>teaching decisions</w:t>
      </w:r>
      <w:r w:rsidR="00673B67" w:rsidRPr="00B51DDE">
        <w:rPr>
          <w:rFonts w:ascii="Arial" w:hAnsi="Arial" w:cs="Arial"/>
        </w:rPr>
        <w:t xml:space="preserve"> </w:t>
      </w:r>
      <w:r w:rsidR="003469CB" w:rsidRPr="00B51DDE">
        <w:rPr>
          <w:rFonts w:ascii="Arial" w:hAnsi="Arial" w:cs="Arial"/>
        </w:rPr>
        <w:fldChar w:fldCharType="begin" w:fldLock="1"/>
      </w:r>
      <w:r w:rsidR="004E5D94" w:rsidRPr="00B51DDE">
        <w:rPr>
          <w:rFonts w:ascii="Arial" w:hAnsi="Arial" w:cs="Arial"/>
        </w:rPr>
        <w:instrText>ADDIN CSL_CITATION {"citationItems":[{"id":"ITEM-1","itemData":{"DOI":"10.1186/s12961-019-0468-4","ISSN":"14784505","PMID":"31391119","abstract":"Background: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Systems","id":"ITEM-1","issue":"1","issued":{"date-parts":[["2019"]]},"page":"1-12","publisher":"Health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2019)","plainTextFormattedCitation":"(Downe et al., 2019)","previouslyFormattedCitation":"(Downe &lt;i&gt;et al.&lt;/i&gt;, 2019)"},"properties":{"noteIndex":0},"schema":"https://github.com/citation-style-language/schema/raw/master/csl-citation.json"}</w:instrText>
      </w:r>
      <w:r w:rsidR="003469CB" w:rsidRPr="00B51DDE">
        <w:rPr>
          <w:rFonts w:ascii="Arial" w:hAnsi="Arial" w:cs="Arial"/>
        </w:rPr>
        <w:fldChar w:fldCharType="separate"/>
      </w:r>
      <w:r w:rsidR="003469CB" w:rsidRPr="00B51DDE">
        <w:rPr>
          <w:rFonts w:ascii="Arial" w:hAnsi="Arial" w:cs="Arial"/>
          <w:noProof/>
        </w:rPr>
        <w:t xml:space="preserve">(Downe </w:t>
      </w:r>
      <w:r w:rsidR="003469CB" w:rsidRPr="00B51DDE">
        <w:rPr>
          <w:rFonts w:ascii="Arial" w:hAnsi="Arial" w:cs="Arial"/>
          <w:i/>
          <w:noProof/>
        </w:rPr>
        <w:t>et al.</w:t>
      </w:r>
      <w:r w:rsidR="003469CB" w:rsidRPr="00B51DDE">
        <w:rPr>
          <w:rFonts w:ascii="Arial" w:hAnsi="Arial" w:cs="Arial"/>
          <w:noProof/>
        </w:rPr>
        <w:t>, 2019)</w:t>
      </w:r>
      <w:r w:rsidR="003469CB" w:rsidRPr="00B51DDE">
        <w:rPr>
          <w:rFonts w:ascii="Arial" w:hAnsi="Arial" w:cs="Arial"/>
        </w:rPr>
        <w:fldChar w:fldCharType="end"/>
      </w:r>
      <w:r w:rsidR="002679E9">
        <w:rPr>
          <w:rFonts w:ascii="Arial" w:hAnsi="Arial" w:cs="Arial"/>
        </w:rPr>
        <w:t>.</w:t>
      </w:r>
      <w:r w:rsidR="002679E9">
        <w:rPr>
          <w:rFonts w:ascii="Arial" w:hAnsi="Arial" w:cs="Arial"/>
        </w:rPr>
        <w:br w:type="page"/>
      </w:r>
    </w:p>
    <w:p w14:paraId="55C89681" w14:textId="6E70474E" w:rsidR="00830195" w:rsidRPr="00AE2080" w:rsidRDefault="00730944" w:rsidP="00AE2080">
      <w:pPr>
        <w:pStyle w:val="pf0"/>
        <w:spacing w:line="360" w:lineRule="auto"/>
        <w:rPr>
          <w:rStyle w:val="cf01"/>
          <w:rFonts w:ascii="Arial" w:eastAsiaTheme="majorEastAsia" w:hAnsi="Arial" w:cs="Arial"/>
          <w:b/>
          <w:bCs/>
          <w:sz w:val="24"/>
          <w:szCs w:val="24"/>
        </w:rPr>
      </w:pPr>
      <w:bookmarkStart w:id="23" w:name="DBRStage3"/>
      <w:r w:rsidRPr="002A4E2F">
        <w:rPr>
          <w:rFonts w:ascii="Arial" w:hAnsi="Arial" w:cs="Arial"/>
          <w:b/>
          <w:bCs/>
        </w:rPr>
        <w:lastRenderedPageBreak/>
        <w:t>Design-</w:t>
      </w:r>
      <w:r>
        <w:rPr>
          <w:rFonts w:ascii="Arial" w:hAnsi="Arial" w:cs="Arial"/>
          <w:b/>
          <w:bCs/>
        </w:rPr>
        <w:t>b</w:t>
      </w:r>
      <w:r w:rsidRPr="002A4E2F">
        <w:rPr>
          <w:rFonts w:ascii="Arial" w:hAnsi="Arial" w:cs="Arial"/>
          <w:b/>
          <w:bCs/>
        </w:rPr>
        <w:t xml:space="preserve">ased </w:t>
      </w:r>
      <w:r>
        <w:rPr>
          <w:rFonts w:ascii="Arial" w:hAnsi="Arial" w:cs="Arial"/>
          <w:b/>
          <w:bCs/>
        </w:rPr>
        <w:t>r</w:t>
      </w:r>
      <w:r w:rsidRPr="002A4E2F">
        <w:rPr>
          <w:rFonts w:ascii="Arial" w:hAnsi="Arial" w:cs="Arial"/>
          <w:b/>
          <w:bCs/>
        </w:rPr>
        <w:t>esearch</w:t>
      </w:r>
      <w:r w:rsidRPr="00AE2080">
        <w:rPr>
          <w:rFonts w:ascii="Arial" w:hAnsi="Arial" w:cs="Arial"/>
          <w:b/>
          <w:bCs/>
        </w:rPr>
        <w:t xml:space="preserve"> </w:t>
      </w:r>
      <w:r>
        <w:rPr>
          <w:rFonts w:ascii="Arial" w:hAnsi="Arial" w:cs="Arial"/>
          <w:b/>
          <w:bCs/>
        </w:rPr>
        <w:t>s</w:t>
      </w:r>
      <w:r w:rsidRPr="00AE2080">
        <w:rPr>
          <w:rFonts w:ascii="Arial" w:hAnsi="Arial" w:cs="Arial"/>
          <w:b/>
          <w:bCs/>
        </w:rPr>
        <w:t xml:space="preserve">tage </w:t>
      </w:r>
      <w:r w:rsidR="00830195" w:rsidRPr="00AE2080">
        <w:rPr>
          <w:rStyle w:val="cf01"/>
          <w:rFonts w:ascii="Arial" w:eastAsiaTheme="majorEastAsia" w:hAnsi="Arial" w:cs="Arial"/>
          <w:b/>
          <w:bCs/>
          <w:sz w:val="24"/>
          <w:szCs w:val="24"/>
        </w:rPr>
        <w:t>3</w:t>
      </w:r>
      <w:r w:rsidR="00F834B7">
        <w:rPr>
          <w:rStyle w:val="cf01"/>
          <w:rFonts w:ascii="Arial" w:eastAsiaTheme="majorEastAsia" w:hAnsi="Arial" w:cs="Arial"/>
          <w:b/>
          <w:bCs/>
          <w:sz w:val="24"/>
          <w:szCs w:val="24"/>
        </w:rPr>
        <w:t>:</w:t>
      </w:r>
      <w:r w:rsidR="00830195" w:rsidRPr="00AE2080">
        <w:rPr>
          <w:rStyle w:val="cf01"/>
          <w:rFonts w:ascii="Arial" w:eastAsiaTheme="majorEastAsia" w:hAnsi="Arial" w:cs="Arial"/>
          <w:b/>
          <w:bCs/>
          <w:sz w:val="24"/>
          <w:szCs w:val="24"/>
        </w:rPr>
        <w:t xml:space="preserve"> </w:t>
      </w:r>
      <w:bookmarkEnd w:id="23"/>
      <w:r>
        <w:rPr>
          <w:rStyle w:val="cf01"/>
          <w:rFonts w:ascii="Arial" w:eastAsiaTheme="majorEastAsia" w:hAnsi="Arial" w:cs="Arial"/>
          <w:b/>
          <w:bCs/>
          <w:sz w:val="24"/>
          <w:szCs w:val="24"/>
        </w:rPr>
        <w:t>a</w:t>
      </w:r>
      <w:r w:rsidR="00830195" w:rsidRPr="00AE2080">
        <w:rPr>
          <w:rStyle w:val="cf01"/>
          <w:rFonts w:ascii="Arial" w:eastAsiaTheme="majorEastAsia" w:hAnsi="Arial" w:cs="Arial"/>
          <w:b/>
          <w:bCs/>
          <w:sz w:val="24"/>
          <w:szCs w:val="24"/>
        </w:rPr>
        <w:t>ssessing</w:t>
      </w:r>
      <w:r w:rsidR="00357719">
        <w:rPr>
          <w:rStyle w:val="cf01"/>
          <w:rFonts w:ascii="Arial" w:eastAsiaTheme="majorEastAsia" w:hAnsi="Arial" w:cs="Arial"/>
          <w:b/>
          <w:bCs/>
          <w:sz w:val="24"/>
          <w:szCs w:val="24"/>
        </w:rPr>
        <w:t xml:space="preserve"> </w:t>
      </w:r>
      <w:r>
        <w:rPr>
          <w:rStyle w:val="cf01"/>
          <w:rFonts w:ascii="Arial" w:eastAsiaTheme="majorEastAsia" w:hAnsi="Arial" w:cs="Arial"/>
          <w:b/>
          <w:bCs/>
          <w:sz w:val="24"/>
          <w:szCs w:val="24"/>
        </w:rPr>
        <w:t>p</w:t>
      </w:r>
      <w:r w:rsidR="00830195" w:rsidRPr="00AE2080">
        <w:rPr>
          <w:rStyle w:val="cf01"/>
          <w:rFonts w:ascii="Arial" w:eastAsiaTheme="majorEastAsia" w:hAnsi="Arial" w:cs="Arial"/>
          <w:b/>
          <w:bCs/>
          <w:sz w:val="24"/>
          <w:szCs w:val="24"/>
        </w:rPr>
        <w:t xml:space="preserve">ractical </w:t>
      </w:r>
      <w:r>
        <w:rPr>
          <w:rStyle w:val="cf01"/>
          <w:rFonts w:ascii="Arial" w:eastAsiaTheme="majorEastAsia" w:hAnsi="Arial" w:cs="Arial"/>
          <w:b/>
          <w:bCs/>
          <w:sz w:val="24"/>
          <w:szCs w:val="24"/>
        </w:rPr>
        <w:t>a</w:t>
      </w:r>
      <w:r w:rsidR="00830195" w:rsidRPr="00AE2080">
        <w:rPr>
          <w:rStyle w:val="cf01"/>
          <w:rFonts w:ascii="Arial" w:eastAsiaTheme="majorEastAsia" w:hAnsi="Arial" w:cs="Arial"/>
          <w:b/>
          <w:bCs/>
          <w:sz w:val="24"/>
          <w:szCs w:val="24"/>
        </w:rPr>
        <w:t>pplication</w:t>
      </w:r>
    </w:p>
    <w:p w14:paraId="31B095F6" w14:textId="0178D95D" w:rsidR="00B07F39" w:rsidRPr="00AE2080" w:rsidRDefault="00B07F39" w:rsidP="00AE2080">
      <w:pPr>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 xml:space="preserve">The </w:t>
      </w:r>
      <w:r w:rsidR="005F33A2" w:rsidRPr="00AE2080">
        <w:rPr>
          <w:rStyle w:val="cf01"/>
          <w:rFonts w:ascii="Arial" w:eastAsiaTheme="majorEastAsia" w:hAnsi="Arial" w:cs="Arial"/>
          <w:sz w:val="24"/>
          <w:szCs w:val="24"/>
        </w:rPr>
        <w:t xml:space="preserve">broad </w:t>
      </w:r>
      <w:r w:rsidRPr="00AE2080">
        <w:rPr>
          <w:rStyle w:val="cf01"/>
          <w:rFonts w:ascii="Arial" w:eastAsiaTheme="majorEastAsia" w:hAnsi="Arial" w:cs="Arial"/>
          <w:sz w:val="24"/>
          <w:szCs w:val="24"/>
        </w:rPr>
        <w:t xml:space="preserve">themes drawn from the analysis of all student feedback </w:t>
      </w:r>
      <w:r w:rsidR="005F33A2" w:rsidRPr="00AE2080">
        <w:rPr>
          <w:rStyle w:val="cf01"/>
          <w:rFonts w:ascii="Arial" w:eastAsiaTheme="majorEastAsia" w:hAnsi="Arial" w:cs="Arial"/>
          <w:sz w:val="24"/>
          <w:szCs w:val="24"/>
        </w:rPr>
        <w:t>are</w:t>
      </w:r>
      <w:r w:rsidRPr="00AE2080">
        <w:rPr>
          <w:rStyle w:val="cf01"/>
          <w:rFonts w:ascii="Arial" w:eastAsiaTheme="majorEastAsia" w:hAnsi="Arial" w:cs="Arial"/>
          <w:sz w:val="24"/>
          <w:szCs w:val="24"/>
        </w:rPr>
        <w:t>:</w:t>
      </w:r>
    </w:p>
    <w:p w14:paraId="6B086B3C"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sectPr w:rsidR="00B07F39" w:rsidRPr="00AE2080" w:rsidSect="008B7E14">
          <w:pgSz w:w="11906" w:h="16838"/>
          <w:pgMar w:top="1440" w:right="1440" w:bottom="1440" w:left="1440" w:header="708" w:footer="708" w:gutter="0"/>
          <w:pgNumType w:start="1"/>
          <w:cols w:space="708"/>
          <w:docGrid w:linePitch="360"/>
        </w:sectPr>
      </w:pPr>
    </w:p>
    <w:p w14:paraId="669E8155"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Communication</w:t>
      </w:r>
    </w:p>
    <w:p w14:paraId="69D495F5"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Vocal Health and Abilities</w:t>
      </w:r>
    </w:p>
    <w:p w14:paraId="1B89D06B" w14:textId="77777777"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Practice Approaches</w:t>
      </w:r>
    </w:p>
    <w:p w14:paraId="110D4861" w14:textId="1437830E" w:rsidR="00B07F39" w:rsidRPr="00AE2080" w:rsidRDefault="00B07F39"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Student Experiences</w:t>
      </w:r>
    </w:p>
    <w:p w14:paraId="3D06CFF6" w14:textId="77777777" w:rsidR="00B07F39" w:rsidRPr="00AE2080" w:rsidRDefault="00B07F39" w:rsidP="00AE2080">
      <w:pPr>
        <w:pStyle w:val="pf0"/>
        <w:spacing w:line="360" w:lineRule="auto"/>
        <w:rPr>
          <w:rStyle w:val="cf01"/>
          <w:rFonts w:ascii="Arial" w:eastAsiaTheme="majorEastAsia" w:hAnsi="Arial" w:cs="Arial"/>
          <w:b/>
          <w:bCs/>
          <w:sz w:val="24"/>
          <w:szCs w:val="24"/>
        </w:rPr>
        <w:sectPr w:rsidR="00B07F39" w:rsidRPr="00AE2080" w:rsidSect="008B7E14">
          <w:type w:val="continuous"/>
          <w:pgSz w:w="11906" w:h="16838"/>
          <w:pgMar w:top="1440" w:right="1440" w:bottom="1440" w:left="1440" w:header="708" w:footer="708" w:gutter="0"/>
          <w:pgNumType w:start="1"/>
          <w:cols w:num="2" w:space="708"/>
          <w:docGrid w:linePitch="360"/>
        </w:sectPr>
      </w:pPr>
    </w:p>
    <w:p w14:paraId="6A3FEE94" w14:textId="20B5C5A4" w:rsidR="00B07F39" w:rsidRPr="00AE2080" w:rsidRDefault="00291C4E"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 xml:space="preserve">Learnings from the literature review and </w:t>
      </w:r>
      <w:r w:rsidR="00B07F39" w:rsidRPr="00AE2080">
        <w:rPr>
          <w:rStyle w:val="cf01"/>
          <w:rFonts w:ascii="Arial" w:eastAsiaTheme="majorEastAsia" w:hAnsi="Arial" w:cs="Arial"/>
          <w:sz w:val="24"/>
          <w:szCs w:val="24"/>
        </w:rPr>
        <w:t>these themes</w:t>
      </w:r>
      <w:r w:rsidRPr="00AE2080">
        <w:rPr>
          <w:rStyle w:val="cf01"/>
          <w:rFonts w:ascii="Arial" w:eastAsiaTheme="majorEastAsia" w:hAnsi="Arial" w:cs="Arial"/>
          <w:sz w:val="24"/>
          <w:szCs w:val="24"/>
        </w:rPr>
        <w:t xml:space="preserve"> guide the analysis of the </w:t>
      </w:r>
      <w:r w:rsidR="00B07F39" w:rsidRPr="00AE2080">
        <w:rPr>
          <w:rStyle w:val="cf01"/>
          <w:rFonts w:ascii="Arial" w:eastAsiaTheme="majorEastAsia" w:hAnsi="Arial" w:cs="Arial"/>
          <w:sz w:val="24"/>
          <w:szCs w:val="24"/>
        </w:rPr>
        <w:t xml:space="preserve">teaching and learning experience </w:t>
      </w:r>
      <w:r w:rsidRPr="00AE2080">
        <w:rPr>
          <w:rStyle w:val="cf01"/>
          <w:rFonts w:ascii="Arial" w:eastAsiaTheme="majorEastAsia" w:hAnsi="Arial" w:cs="Arial"/>
          <w:sz w:val="24"/>
          <w:szCs w:val="24"/>
        </w:rPr>
        <w:t xml:space="preserve">of the </w:t>
      </w:r>
      <w:r w:rsidR="00B07F39" w:rsidRPr="00AE2080">
        <w:rPr>
          <w:rStyle w:val="cf01"/>
          <w:rFonts w:ascii="Arial" w:eastAsiaTheme="majorEastAsia" w:hAnsi="Arial" w:cs="Arial"/>
          <w:sz w:val="24"/>
          <w:szCs w:val="24"/>
        </w:rPr>
        <w:t>belt training</w:t>
      </w:r>
      <w:r w:rsidR="009203BC" w:rsidRPr="00AE2080">
        <w:rPr>
          <w:rStyle w:val="cf01"/>
          <w:rFonts w:ascii="Arial" w:eastAsiaTheme="majorEastAsia" w:hAnsi="Arial" w:cs="Arial"/>
          <w:sz w:val="24"/>
          <w:szCs w:val="24"/>
        </w:rPr>
        <w:t xml:space="preserve"> </w:t>
      </w:r>
      <w:r w:rsidR="00496FD7">
        <w:rPr>
          <w:rStyle w:val="cf01"/>
          <w:rFonts w:ascii="Arial" w:eastAsiaTheme="majorEastAsia" w:hAnsi="Arial" w:cs="Arial"/>
          <w:sz w:val="24"/>
          <w:szCs w:val="24"/>
        </w:rPr>
        <w:t xml:space="preserve">of the singers </w:t>
      </w:r>
      <w:r w:rsidR="009203BC" w:rsidRPr="00AE2080">
        <w:rPr>
          <w:rStyle w:val="cf01"/>
          <w:rFonts w:ascii="Arial" w:eastAsiaTheme="majorEastAsia" w:hAnsi="Arial" w:cs="Arial"/>
          <w:sz w:val="24"/>
          <w:szCs w:val="24"/>
        </w:rPr>
        <w:t>in the study</w:t>
      </w:r>
      <w:r w:rsidR="005F0CAF">
        <w:rPr>
          <w:rStyle w:val="cf01"/>
          <w:rFonts w:ascii="Arial" w:eastAsiaTheme="majorEastAsia" w:hAnsi="Arial" w:cs="Arial"/>
          <w:sz w:val="24"/>
          <w:szCs w:val="24"/>
        </w:rPr>
        <w:t>.</w:t>
      </w:r>
    </w:p>
    <w:p w14:paraId="0B42C86F" w14:textId="314716D9"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t>Student A</w:t>
      </w:r>
    </w:p>
    <w:p w14:paraId="1C0FEE38" w14:textId="77777777"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This student was ‘slightly conflicted’ about trying to belt at the start of the study because of </w:t>
      </w:r>
      <w:r w:rsidRPr="00AE2080">
        <w:rPr>
          <w:rFonts w:ascii="Arial" w:hAnsi="Arial" w:cs="Arial"/>
          <w:i/>
          <w:iCs/>
          <w:sz w:val="24"/>
          <w:szCs w:val="24"/>
        </w:rPr>
        <w:t xml:space="preserve">‘negative connotations’ </w:t>
      </w:r>
      <w:r w:rsidRPr="00AE2080">
        <w:rPr>
          <w:rFonts w:ascii="Arial" w:hAnsi="Arial" w:cs="Arial"/>
          <w:sz w:val="24"/>
          <w:szCs w:val="24"/>
        </w:rPr>
        <w:t xml:space="preserve">which did not seem to support good </w:t>
      </w:r>
      <w:r w:rsidRPr="00AE2080">
        <w:rPr>
          <w:rFonts w:ascii="Arial" w:hAnsi="Arial" w:cs="Arial"/>
          <w:b/>
          <w:bCs/>
          <w:i/>
          <w:iCs/>
          <w:sz w:val="24"/>
          <w:szCs w:val="24"/>
        </w:rPr>
        <w:t>vocal health</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pre-study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pre-study survey)</w:t>
      </w:r>
      <w:r w:rsidRPr="00AE2080">
        <w:rPr>
          <w:rFonts w:ascii="Arial" w:hAnsi="Arial" w:cs="Arial"/>
          <w:i/>
          <w:iCs/>
          <w:sz w:val="24"/>
          <w:szCs w:val="24"/>
        </w:rPr>
        <w:fldChar w:fldCharType="end"/>
      </w:r>
      <w:r w:rsidRPr="00AE2080">
        <w:rPr>
          <w:rFonts w:ascii="Arial" w:hAnsi="Arial" w:cs="Arial"/>
          <w:sz w:val="24"/>
          <w:szCs w:val="24"/>
        </w:rPr>
        <w:t xml:space="preserve">. Although Student A was aware of the negative aspects of belting’s ‘reputation’ and had some vocal health concerns, they were open to new styles and said: </w:t>
      </w:r>
      <w:r w:rsidRPr="00AE2080">
        <w:rPr>
          <w:rFonts w:ascii="Arial" w:hAnsi="Arial" w:cs="Arial"/>
          <w:i/>
          <w:iCs/>
          <w:sz w:val="24"/>
          <w:szCs w:val="24"/>
        </w:rPr>
        <w:t xml:space="preserve">‘I’m more aware of when my singing doesn’t feel healthy and also have the trust that you’ll always focus on doing what feels vocally healthy.’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pre-study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pre-study survey)</w:t>
      </w:r>
      <w:r w:rsidRPr="00AE2080">
        <w:rPr>
          <w:rFonts w:ascii="Arial" w:hAnsi="Arial" w:cs="Arial"/>
          <w:i/>
          <w:iCs/>
          <w:sz w:val="24"/>
          <w:szCs w:val="24"/>
        </w:rPr>
        <w:fldChar w:fldCharType="end"/>
      </w:r>
      <w:r w:rsidRPr="00AE2080">
        <w:rPr>
          <w:rFonts w:ascii="Arial" w:hAnsi="Arial" w:cs="Arial"/>
          <w:sz w:val="24"/>
          <w:szCs w:val="24"/>
        </w:rPr>
        <w:t xml:space="preserve">. The trust we had built in previous lessons and knowledge of vocal health created a positive learning environment needed for confident attempts at developing a new skill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Teachers.","type":"article-journal","volume":"74"},"uris":["http://www.mendeley.com/documents/?uuid=4030f552-7b94-4abf-bab4-c0b97b7babca"]},{"id":"ITEM-4","itemData":{"DOI":"10.1177/1321103X20930426","ISSN":"18345530","abstract":"The purpose of this phenomenological study was to gain insight into experiences of adults who expressed personal discomfort with singing, either alone or when others might hear them. Singing agency in music learning, one’s belief in one’s own capacity to sing aloud, served as the guiding lens for the study. Narrative analysis of interview data, from 15 adults who self-identified as non-singers, provided understanding of experiences that they believed undermined their capacity for singing agency. Four initial themes emerged as participants described wounding incidents with resultant perceptions of deficit, disability, and shame; personal strategies to enhance or protect singing agency; perceived obstacles to singing agency; and personal definitions of good singing. Findings describe vocal skill development through emotional differentiation, linking singing agency with principles that underlie a social constructivist approach to music learning and teaching and a Universal Design for Learning.","author":[{"dropping-particle":"","family":"Hogle","given":"Lauri A.","non-dropping-particle":"","parse-names":false,"suffix":""}],"container-title":"Research Studies in Music Education","id":"ITEM-4","issue":"2","issued":{"date-parts":[["2021"]]},"page":"179-194","title":"Fostering singing agency through emotional differentiation in an inclusive singing environment","type":"article-journal","volume":"43"},"uris":["http://www.mendeley.com/documents/?uuid=df4ddb6b-d417-411f-9261-d87aba0aa367"]}],"mendeley":{"formattedCitation":"(Creech and Hallam, 2015; Stephenson, 2018; Hogle, 2021; Lewis and Hendricks, 2022)","plainTextFormattedCitation":"(Creech and Hallam, 2015; Stephenson, 2018; Hogle, 2021; Lewis and Hendricks, 2022)","previouslyFormattedCitation":"(Creech and Hallam, 2015; Stephenson, 2018; Hogle, 2021;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(Creech and Hallam, 2015; Stephenson, 2018; Hogle, 2021; Lewis and Hendricks, 2022)</w:t>
      </w:r>
      <w:r w:rsidRPr="00AE2080">
        <w:rPr>
          <w:rFonts w:ascii="Arial" w:hAnsi="Arial" w:cs="Arial"/>
          <w:sz w:val="24"/>
          <w:szCs w:val="24"/>
        </w:rPr>
        <w:fldChar w:fldCharType="end"/>
      </w:r>
      <w:r w:rsidRPr="00AE2080">
        <w:rPr>
          <w:rFonts w:ascii="Arial" w:hAnsi="Arial" w:cs="Arial"/>
          <w:sz w:val="24"/>
          <w:szCs w:val="24"/>
        </w:rPr>
        <w:t xml:space="preserve">. By the end of the study, this student had become comfortable that healthy belting is possible and was curious about further exploration of the technique saying: </w:t>
      </w:r>
      <w:r w:rsidRPr="00AE2080">
        <w:rPr>
          <w:rFonts w:ascii="Arial" w:hAnsi="Arial" w:cs="Arial"/>
          <w:i/>
          <w:iCs/>
          <w:sz w:val="24"/>
          <w:szCs w:val="24"/>
        </w:rPr>
        <w:t>‘</w:t>
      </w:r>
      <w:r w:rsidRPr="00AE2080">
        <w:rPr>
          <w:rFonts w:ascii="Arial" w:eastAsia="Arial" w:hAnsi="Arial" w:cs="Arial"/>
          <w:i/>
          <w:iCs/>
          <w:sz w:val="24"/>
          <w:szCs w:val="24"/>
        </w:rPr>
        <w:t>I see it as something that can benefit other aspects of my singing, e.g. breathing and producing a strong consistent tone.’</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xml:space="preserve">. As a result of the study Student A offered a more focussed definition of belting which contained greater detail than their definition in the pre-study survey. </w:t>
      </w:r>
      <w:r w:rsidRPr="00AE2080">
        <w:rPr>
          <w:rFonts w:ascii="Arial" w:hAnsi="Arial" w:cs="Arial"/>
          <w:b/>
          <w:bCs/>
          <w:i/>
          <w:iCs/>
          <w:sz w:val="24"/>
          <w:szCs w:val="24"/>
        </w:rPr>
        <w:t>Knowledge</w:t>
      </w:r>
      <w:r w:rsidRPr="00AE2080">
        <w:rPr>
          <w:rFonts w:ascii="Arial" w:hAnsi="Arial" w:cs="Arial"/>
          <w:sz w:val="24"/>
          <w:szCs w:val="24"/>
        </w:rPr>
        <w:t xml:space="preserve"> gained during the study has promoted an intention to work progressively towards assurance with belting healthily.</w:t>
      </w:r>
    </w:p>
    <w:p w14:paraId="2A328E0C" w14:textId="77777777"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Individualisation</w:t>
      </w:r>
      <w:r w:rsidRPr="00AE2080">
        <w:rPr>
          <w:rFonts w:ascii="Arial" w:hAnsi="Arial" w:cs="Arial"/>
          <w:sz w:val="24"/>
          <w:szCs w:val="24"/>
        </w:rPr>
        <w:t xml:space="preserve"> of the training process has enabled this student to understand how to make </w:t>
      </w:r>
      <w:r w:rsidRPr="00AE2080">
        <w:rPr>
          <w:rFonts w:ascii="Arial" w:hAnsi="Arial" w:cs="Arial"/>
          <w:b/>
          <w:bCs/>
          <w:i/>
          <w:iCs/>
          <w:sz w:val="24"/>
          <w:szCs w:val="24"/>
        </w:rPr>
        <w:t xml:space="preserve">progress </w:t>
      </w:r>
      <w:r w:rsidRPr="00AE2080">
        <w:rPr>
          <w:rFonts w:ascii="Arial" w:hAnsi="Arial" w:cs="Arial"/>
          <w:b/>
          <w:bCs/>
          <w:i/>
          <w:iCs/>
          <w:sz w:val="24"/>
          <w:szCs w:val="24"/>
        </w:rPr>
        <w:fldChar w:fldCharType="begin" w:fldLock="1"/>
      </w:r>
      <w:r w:rsidRPr="00AE2080">
        <w:rPr>
          <w:rFonts w:ascii="Arial" w:hAnsi="Arial" w:cs="Arial"/>
          <w:b/>
          <w:bCs/>
          <w:i/>
          <w:iCs/>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AE2080">
        <w:rPr>
          <w:rFonts w:ascii="Arial" w:hAnsi="Arial" w:cs="Arial"/>
          <w:b/>
          <w:bCs/>
          <w:i/>
          <w:iCs/>
          <w:sz w:val="24"/>
          <w:szCs w:val="24"/>
        </w:rPr>
        <w:fldChar w:fldCharType="separate"/>
      </w:r>
      <w:r w:rsidRPr="00AE2080">
        <w:rPr>
          <w:rFonts w:ascii="Arial" w:hAnsi="Arial" w:cs="Arial"/>
          <w:bCs/>
          <w:iCs/>
          <w:noProof/>
          <w:sz w:val="24"/>
          <w:szCs w:val="24"/>
        </w:rPr>
        <w:t xml:space="preserve">(Lindqvist </w:t>
      </w:r>
      <w:r w:rsidRPr="00AE2080">
        <w:rPr>
          <w:rFonts w:ascii="Arial" w:hAnsi="Arial" w:cs="Arial"/>
          <w:bCs/>
          <w:i/>
          <w:iCs/>
          <w:noProof/>
          <w:sz w:val="24"/>
          <w:szCs w:val="24"/>
        </w:rPr>
        <w:t>et al.</w:t>
      </w:r>
      <w:r w:rsidRPr="00AE2080">
        <w:rPr>
          <w:rFonts w:ascii="Arial" w:hAnsi="Arial" w:cs="Arial"/>
          <w:bCs/>
          <w:iCs/>
          <w:noProof/>
          <w:sz w:val="24"/>
          <w:szCs w:val="24"/>
        </w:rPr>
        <w:t>, 2023)</w:t>
      </w:r>
      <w:r w:rsidRPr="00AE2080">
        <w:rPr>
          <w:rFonts w:ascii="Arial" w:hAnsi="Arial" w:cs="Arial"/>
          <w:b/>
          <w:bCs/>
          <w:i/>
          <w:iCs/>
          <w:sz w:val="24"/>
          <w:szCs w:val="24"/>
        </w:rPr>
        <w:fldChar w:fldCharType="end"/>
      </w:r>
      <w:r w:rsidRPr="00AE2080">
        <w:rPr>
          <w:rFonts w:ascii="Arial" w:hAnsi="Arial" w:cs="Arial"/>
          <w:sz w:val="24"/>
          <w:szCs w:val="24"/>
        </w:rPr>
        <w:t xml:space="preserve">. They have correctly recognised areas for development and identified </w:t>
      </w:r>
      <w:r w:rsidRPr="00AE2080">
        <w:rPr>
          <w:rFonts w:ascii="Arial" w:hAnsi="Arial" w:cs="Arial"/>
          <w:b/>
          <w:bCs/>
          <w:i/>
          <w:iCs/>
          <w:sz w:val="24"/>
          <w:szCs w:val="24"/>
        </w:rPr>
        <w:t>specific goals</w:t>
      </w:r>
      <w:r w:rsidRPr="00AE2080">
        <w:rPr>
          <w:rFonts w:ascii="Arial" w:hAnsi="Arial" w:cs="Arial"/>
          <w:sz w:val="24"/>
          <w:szCs w:val="24"/>
        </w:rPr>
        <w:t xml:space="preserve"> around improving their ability to vary how much twang is added to the sound and energising their singing for belting. </w:t>
      </w:r>
      <w:r w:rsidRPr="00AE2080">
        <w:rPr>
          <w:rFonts w:ascii="Arial" w:hAnsi="Arial" w:cs="Arial"/>
          <w:i/>
          <w:iCs/>
          <w:sz w:val="24"/>
          <w:szCs w:val="24"/>
        </w:rPr>
        <w:t>‘</w:t>
      </w:r>
      <w:r w:rsidRPr="00AE2080">
        <w:rPr>
          <w:rFonts w:ascii="Arial" w:eastAsia="Arial" w:hAnsi="Arial" w:cs="Arial"/>
          <w:i/>
          <w:iCs/>
          <w:sz w:val="24"/>
          <w:szCs w:val="24"/>
        </w:rPr>
        <w:t>I don’t consider belting to be something I can do yet, but I have a better understanding of the first steps to getting there.’</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xml:space="preserve">. Reviewing this student’s logs </w:t>
      </w:r>
      <w:r w:rsidRPr="00AE2080">
        <w:rPr>
          <w:rFonts w:ascii="Arial" w:hAnsi="Arial" w:cs="Arial"/>
          <w:sz w:val="24"/>
          <w:szCs w:val="24"/>
        </w:rPr>
        <w:lastRenderedPageBreak/>
        <w:t xml:space="preserve">showed strengths in understanding and applying that understanding to </w:t>
      </w:r>
      <w:r w:rsidRPr="00AE2080">
        <w:rPr>
          <w:rFonts w:ascii="Arial" w:hAnsi="Arial" w:cs="Arial"/>
          <w:b/>
          <w:bCs/>
          <w:i/>
          <w:iCs/>
          <w:sz w:val="24"/>
          <w:szCs w:val="24"/>
        </w:rPr>
        <w:t>self-directed practice</w:t>
      </w:r>
      <w:r w:rsidRPr="00AE2080">
        <w:rPr>
          <w:rFonts w:ascii="Arial" w:hAnsi="Arial" w:cs="Arial"/>
          <w:sz w:val="24"/>
          <w:szCs w:val="24"/>
        </w:rPr>
        <w:t xml:space="preserve"> and </w:t>
      </w:r>
      <w:r w:rsidRPr="00AE2080">
        <w:rPr>
          <w:rFonts w:ascii="Arial" w:hAnsi="Arial" w:cs="Arial"/>
          <w:b/>
          <w:bCs/>
          <w:i/>
          <w:iCs/>
          <w:sz w:val="24"/>
          <w:szCs w:val="24"/>
        </w:rPr>
        <w:t>experimentation</w:t>
      </w:r>
      <w:r w:rsidRPr="00AE2080">
        <w:rPr>
          <w:rFonts w:ascii="Arial" w:hAnsi="Arial" w:cs="Arial"/>
          <w:sz w:val="24"/>
          <w:szCs w:val="24"/>
        </w:rPr>
        <w:t xml:space="preserve"> with approaches in support of their development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{"citationItems":[{"id":"ITEM-1","itemData":{"DOI":"10.1016/j.humov.2020.102612","ISSN":"18727646","PMID":"32452429","abstract":"Optimizing Performance Through Intrinsic Motivation and Attention for Learning (OPTIMAL) Theory proposes that choices of any kind support an individual's need for autonomy, motivating them to learn and perform motor skills more effectively. Notably, the authors suggest asking learners to choose when to receive feedback in order to increase autonomy. Conversely, the guidance hypothesis predicts an impact of feedback schedule independent of motivational influences. The purpose of this experiment was to compare the relative and combined effects of autonomy and feedback schedule for the acquisition of a golf putting task without vision of results. Autonomy support (autonomy support vs. yoked) and knowledge of results (KR) schedule (100%-KR vs. 50%-faded-KR) were combined in a 2 × 2 factorial design. Participants (N = 56) in the autonomy support groups were asked to choose from three colours of golf balls for each putt during 10 acquisition blocks. Yoked groups were yoked to the golf ball colour choices of their autonomy support group counterparts. Participants in the 100%-feedback schedule groups were provided x- and y-coordinate KR following every putt during acquisition, while participants in the 50%-faded groups received KR after half of their putts, with feedback frequency decreasing over acquisition blocks. All participants completed a 24-h delayed retention and transfer test without KR. The results were somewhat consistent with OPTIMAL Theory yet the effects were not statistically significant and trivially small. The results were inconsistent with the guidance hypothesis.","author":[{"dropping-particle":"","family":"McKay","given":"Brad","non-dropping-particle":"","parse-names":false,"suffix":""},{"dropping-particle":"","family":"Ste-Marie","given":"Diane M.","non-dropping-particle":"","parse-names":false,"suffix":""}],"container-title":"Human Movement Science","id":"ITEM-1","issue":"March","issued":{"date-parts":[["2020"]]},"page":"102612","publisher":"Elsevier","title":"Autonomy support and reduced feedback frequency have trivial effects on learning and performance of a golf putting task","type":"article-journal","volume":"71"},"uris":["http://www.mendeley.com/documents/?uuid=2c0f1a60-36e7-4783-8717-c64c68e52334"]},{"id":"ITEM-2","itemData":{"DOI":"10.3758/s13423-015-0999-9","ISSN":"15315320","PMID":"26833314","abstract":"Effective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Teachers.","type":"article-journal","volume":"74"},"uris":["http://www.mendeley.com/documents/?uuid=4030f552-7b94-4abf-bab4-c0b97b7babca"]}],"mendeley":{"formattedCitation":"(Wulf and Lewthwaite, 2016; Stephenson, 2018; McKay and Ste-Marie, 2020)","plainTextFormattedCitation":"(Wulf and Lewthwaite, 2016; Stephenson, 2018; McKay and Ste-Marie, 2020)","previouslyFormattedCitation":"(Wulf and Lewthwaite, 2016; Stephenson, 2018; McKay and Ste-Marie,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(Wulf and Lewthwaite, 2016; Stephenson, 2018; McKay and Ste-Marie, 2020)</w:t>
      </w:r>
      <w:r w:rsidRPr="00AE2080">
        <w:rPr>
          <w:rFonts w:ascii="Arial" w:hAnsi="Arial" w:cs="Arial"/>
          <w:sz w:val="24"/>
          <w:szCs w:val="24"/>
        </w:rPr>
        <w:fldChar w:fldCharType="end"/>
      </w:r>
      <w:r w:rsidRPr="00AE2080">
        <w:rPr>
          <w:rFonts w:ascii="Arial" w:hAnsi="Arial" w:cs="Arial"/>
          <w:sz w:val="24"/>
          <w:szCs w:val="24"/>
        </w:rPr>
        <w:t>.</w:t>
      </w:r>
    </w:p>
    <w:p w14:paraId="70802292" w14:textId="56F1FBA1"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Feedback</w:t>
      </w:r>
      <w:r w:rsidRPr="00AE2080">
        <w:rPr>
          <w:rFonts w:ascii="Arial" w:hAnsi="Arial" w:cs="Arial"/>
          <w:sz w:val="24"/>
          <w:szCs w:val="24"/>
        </w:rPr>
        <w:t xml:space="preserve"> regarding teaching and learning approaches has been a strong theme within this project. When students can offer feedback about their learning experience, the teacher has an opportunity to assess and improve their teaching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(IJHI)","id":"ITEM-1","issue":"1","issued":{"date-parts":[["2021"]]},"page":"1-4","title":"Teaching and learning process to enhance teaching effectiveness: literature review","type":"article-journal","volume":"4"},"uris":["http://www.mendeley.com/documents/?uuid=8cf3da37-aefa-4726-a62b-3a64b2c39dc5"]},{"id":"ITEM-2","itemData":{"DOI":"10.1186/s12961-019-0468-4","ISSN":"14784505","PMID":"31391119","abstract":"Background: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Systems","id":"ITEM-2","issue":"1","issued":{"date-parts":[["2019"]]},"page":"1-12","publisher":"Health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 Munna and Kalam, 2021)","plainTextFormattedCitation":"(Downe et al., 2019; Munna and Kalam, 2021)","previouslyFormattedCitation":"(Downe &lt;i&gt;et al.&lt;/i&gt;, 2019; Munna and Kalam,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(Downe </w:t>
      </w:r>
      <w:r w:rsidRPr="00AE2080">
        <w:rPr>
          <w:rFonts w:ascii="Arial" w:hAnsi="Arial" w:cs="Arial"/>
          <w:i/>
          <w:noProof/>
          <w:sz w:val="24"/>
          <w:szCs w:val="24"/>
        </w:rPr>
        <w:t>et al.</w:t>
      </w:r>
      <w:r w:rsidRPr="00AE2080">
        <w:rPr>
          <w:rFonts w:ascii="Arial" w:hAnsi="Arial" w:cs="Arial"/>
          <w:noProof/>
          <w:sz w:val="24"/>
          <w:szCs w:val="24"/>
        </w:rPr>
        <w:t>, 2019; Munna and Kalam, 2021)</w:t>
      </w:r>
      <w:r w:rsidRPr="00AE2080">
        <w:rPr>
          <w:rFonts w:ascii="Arial" w:hAnsi="Arial" w:cs="Arial"/>
          <w:sz w:val="24"/>
          <w:szCs w:val="24"/>
        </w:rPr>
        <w:fldChar w:fldCharType="end"/>
      </w:r>
      <w:r w:rsidRPr="00AE2080">
        <w:rPr>
          <w:rFonts w:ascii="Arial" w:hAnsi="Arial" w:cs="Arial"/>
          <w:sz w:val="24"/>
          <w:szCs w:val="24"/>
        </w:rPr>
        <w:t xml:space="preserve">. Student A is clear about their future development areas because of the student-teacher two-way feedback throughout the process. Student feedback about their learning experience is vital information to a teacher. Improved learning opportunities can arise from paying attention to this feedback, such as </w:t>
      </w:r>
      <w:r w:rsidRPr="00AE2080">
        <w:rPr>
          <w:rFonts w:ascii="Arial" w:hAnsi="Arial" w:cs="Arial"/>
          <w:i/>
          <w:iCs/>
          <w:sz w:val="24"/>
          <w:szCs w:val="24"/>
        </w:rPr>
        <w:t xml:space="preserve">‘Trying to belt to “yeah” felt much more achievable.’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Knowledge gained from the feedback can be employed to make</w:t>
      </w:r>
      <w:r w:rsidR="00453E96">
        <w:rPr>
          <w:rFonts w:ascii="Arial" w:hAnsi="Arial" w:cs="Arial"/>
          <w:sz w:val="24"/>
          <w:szCs w:val="24"/>
        </w:rPr>
        <w:t xml:space="preserve"> the</w:t>
      </w:r>
      <w:r w:rsidRPr="00AE2080">
        <w:rPr>
          <w:rFonts w:ascii="Arial" w:hAnsi="Arial" w:cs="Arial"/>
          <w:sz w:val="24"/>
          <w:szCs w:val="24"/>
        </w:rPr>
        <w:t xml:space="preserve"> best use of lessons and should support development towards all student goals and belting confidently. The final lesson reflections of Student A uncovered a question about throat space sensations. </w:t>
      </w:r>
      <w:r w:rsidRPr="00AE2080">
        <w:rPr>
          <w:rFonts w:ascii="Arial" w:hAnsi="Arial" w:cs="Arial"/>
          <w:i/>
          <w:iCs/>
          <w:sz w:val="24"/>
          <w:szCs w:val="24"/>
        </w:rPr>
        <w:t>‘I’m unclear on what I should be doing with throat space… [I] am not sure whether I should be trying to keep it as open as when singing classically.’</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sz w:val="24"/>
          <w:szCs w:val="24"/>
        </w:rPr>
        <w:t xml:space="preserve">. It is worth considering if the variation involved with the </w:t>
      </w:r>
      <w:r w:rsidRPr="00AE2080">
        <w:rPr>
          <w:rFonts w:ascii="Arial" w:hAnsi="Arial" w:cs="Arial"/>
          <w:b/>
          <w:bCs/>
          <w:i/>
          <w:iCs/>
          <w:sz w:val="24"/>
          <w:szCs w:val="24"/>
        </w:rPr>
        <w:t>‘arc of vocal abilities’</w:t>
      </w:r>
      <w:r w:rsidRPr="00AE2080">
        <w:rPr>
          <w:rFonts w:ascii="Arial" w:hAnsi="Arial" w:cs="Arial"/>
          <w:sz w:val="24"/>
          <w:szCs w:val="24"/>
        </w:rPr>
        <w:t xml:space="preserve"> led to this confusion in teaching and learning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Review","id":"ITEM-2","issue":"3","issued":{"date-parts":[["2021"]]},"note":"Opera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Teacher","type":"article-journal","volume":"15"},"uris":["http://www.mendeley.com/documents/?uuid=c913173e-82b0-4559-a07f-7d1b3007e2ce"]}],"mendeley":{"formattedCitation":"(Roll, 2014; Wilson, 2021)","plainTextFormattedCitation":"(Roll, 2014; Wilson, 2021)","previouslyFormattedCitation":"(Roll, 2014; Wilson,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(Roll, 2014; Wilson, 2021)</w:t>
      </w:r>
      <w:r w:rsidRPr="00AE2080">
        <w:rPr>
          <w:rFonts w:ascii="Arial" w:hAnsi="Arial" w:cs="Arial"/>
          <w:sz w:val="24"/>
          <w:szCs w:val="24"/>
        </w:rPr>
        <w:fldChar w:fldCharType="end"/>
      </w:r>
      <w:r w:rsidRPr="00AE2080">
        <w:rPr>
          <w:rFonts w:ascii="Arial" w:hAnsi="Arial" w:cs="Arial"/>
          <w:sz w:val="24"/>
          <w:szCs w:val="24"/>
        </w:rPr>
        <w:t>. Future lessons need to include further clarification and tuning into their sensations of the throat when using classical and belting techniques.</w:t>
      </w:r>
    </w:p>
    <w:p w14:paraId="7EBB2E6D" w14:textId="4442F320"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 xml:space="preserve">Associations with singing loud </w:t>
      </w:r>
      <w:r w:rsidRPr="00AE2080">
        <w:rPr>
          <w:rFonts w:ascii="Arial" w:hAnsi="Arial" w:cs="Arial"/>
          <w:sz w:val="24"/>
          <w:szCs w:val="24"/>
        </w:rPr>
        <w:t xml:space="preserve">was a theme which came from the expert interviews. </w:t>
      </w:r>
      <w:r w:rsidRPr="00AE2080">
        <w:rPr>
          <w:rFonts w:ascii="Arial" w:hAnsi="Arial" w:cs="Arial"/>
          <w:i/>
          <w:iCs/>
          <w:sz w:val="24"/>
          <w:szCs w:val="24"/>
        </w:rPr>
        <w:t>‘Belting isn’t something I associate with my voice, so it challenges my self-identity.</w:t>
      </w:r>
      <w:r w:rsidR="00AD1AF0">
        <w:rPr>
          <w:rFonts w:ascii="Arial" w:hAnsi="Arial" w:cs="Arial"/>
          <w:i/>
          <w:iCs/>
          <w:sz w:val="24"/>
          <w:szCs w:val="24"/>
        </w:rPr>
        <w:t xml:space="preserve"> </w:t>
      </w:r>
      <w:r w:rsidRPr="00AE2080">
        <w:rPr>
          <w:rFonts w:ascii="Arial" w:hAnsi="Arial" w:cs="Arial"/>
          <w:i/>
          <w:iCs/>
          <w:sz w:val="24"/>
          <w:szCs w:val="24"/>
        </w:rPr>
        <w:t>I always have the worry that someone will hear me and say I’m no good at it.</w:t>
      </w:r>
      <w:r w:rsidR="008E212C">
        <w:rPr>
          <w:rFonts w:ascii="Arial" w:hAnsi="Arial" w:cs="Arial"/>
          <w:i/>
          <w:iCs/>
          <w:sz w:val="24"/>
          <w:szCs w:val="24"/>
        </w:rPr>
        <w:t>’</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pre-study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pre-study survey)</w:t>
      </w:r>
      <w:r w:rsidRPr="00AE2080">
        <w:rPr>
          <w:rFonts w:ascii="Arial" w:hAnsi="Arial" w:cs="Arial"/>
          <w:i/>
          <w:iCs/>
          <w:sz w:val="24"/>
          <w:szCs w:val="24"/>
        </w:rPr>
        <w:fldChar w:fldCharType="end"/>
      </w:r>
      <w:r w:rsidRPr="00AE2080">
        <w:rPr>
          <w:rFonts w:ascii="Arial" w:hAnsi="Arial" w:cs="Arial"/>
          <w:sz w:val="24"/>
          <w:szCs w:val="24"/>
        </w:rPr>
        <w:t xml:space="preserve">. Student A was very aware that their associations with belting were a challenge. This study was an opportunity for them to face that challenge with courage and highlighted some of the societal and individual challenges to learning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Despite this student’s preconceptions about belting, they gained knowledge which developed new vocal abilities, paving the way to belting.</w:t>
      </w:r>
    </w:p>
    <w:p w14:paraId="51CC1B53" w14:textId="385EE971" w:rsidR="00830195" w:rsidRPr="00AE2080" w:rsidRDefault="00830195" w:rsidP="00AE2080">
      <w:pPr>
        <w:spacing w:line="360" w:lineRule="auto"/>
        <w:jc w:val="center"/>
        <w:rPr>
          <w:rStyle w:val="cf01"/>
          <w:rFonts w:ascii="Arial" w:eastAsiaTheme="majorEastAsia" w:hAnsi="Arial" w:cs="Arial"/>
          <w:b/>
          <w:bCs/>
          <w:sz w:val="24"/>
          <w:szCs w:val="24"/>
        </w:rPr>
      </w:pPr>
      <w:r w:rsidRPr="00AE2080">
        <w:rPr>
          <w:rFonts w:ascii="Arial" w:hAnsi="Arial" w:cs="Arial"/>
          <w:i/>
          <w:iCs/>
          <w:sz w:val="24"/>
          <w:szCs w:val="24"/>
        </w:rPr>
        <w:t>‘I feel I now have a more acceptable style for “non-classical” [s</w:t>
      </w:r>
      <w:r w:rsidR="00C9209C">
        <w:rPr>
          <w:rFonts w:ascii="Arial" w:hAnsi="Arial" w:cs="Arial"/>
          <w:i/>
          <w:iCs/>
          <w:sz w:val="24"/>
          <w:szCs w:val="24"/>
        </w:rPr>
        <w:t>inging</w:t>
      </w:r>
      <w:r w:rsidRPr="00AE2080">
        <w:rPr>
          <w:rFonts w:ascii="Arial" w:hAnsi="Arial" w:cs="Arial"/>
          <w:i/>
          <w:iCs/>
          <w:sz w:val="24"/>
          <w:szCs w:val="24"/>
        </w:rPr>
        <w:t>]... My voice feels stronger with less effort… Work on energising the voice seems to have helped my singing overall, which feels good. The pace of the sessions was just right, building confidence as we went along.’</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Style w:val="cf01"/>
          <w:rFonts w:ascii="Arial" w:eastAsiaTheme="majorEastAsia" w:hAnsi="Arial" w:cs="Arial"/>
          <w:b/>
          <w:bCs/>
          <w:sz w:val="24"/>
          <w:szCs w:val="24"/>
        </w:rPr>
        <w:br w:type="page"/>
      </w:r>
    </w:p>
    <w:p w14:paraId="1E412116" w14:textId="77777777"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lastRenderedPageBreak/>
        <w:t>Student B</w:t>
      </w:r>
    </w:p>
    <w:p w14:paraId="439F0BFA" w14:textId="2640A836"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 xml:space="preserve">‘I imagine it takes tremendous muscle power. I assume they were born with a powerful voice and that training enhanced it.’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pre-study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pre-study survey)</w:t>
      </w:r>
      <w:r w:rsidRPr="00AE2080">
        <w:rPr>
          <w:rFonts w:ascii="Arial" w:hAnsi="Arial" w:cs="Arial"/>
          <w:i/>
          <w:iCs/>
          <w:sz w:val="24"/>
          <w:szCs w:val="24"/>
        </w:rPr>
        <w:fldChar w:fldCharType="end"/>
      </w:r>
    </w:p>
    <w:p w14:paraId="479B5E7F" w14:textId="495C1DBD"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Knowledge</w:t>
      </w:r>
      <w:r w:rsidRPr="00AE2080">
        <w:rPr>
          <w:rFonts w:ascii="Arial" w:hAnsi="Arial" w:cs="Arial"/>
          <w:sz w:val="24"/>
          <w:szCs w:val="24"/>
        </w:rPr>
        <w:t xml:space="preserve"> of technique has </w:t>
      </w:r>
      <w:r w:rsidRPr="00AE2080">
        <w:rPr>
          <w:rFonts w:ascii="Arial" w:hAnsi="Arial" w:cs="Arial"/>
          <w:b/>
          <w:bCs/>
          <w:i/>
          <w:iCs/>
          <w:sz w:val="24"/>
          <w:szCs w:val="24"/>
        </w:rPr>
        <w:t>developed</w:t>
      </w:r>
      <w:r w:rsidRPr="00AE2080">
        <w:rPr>
          <w:rFonts w:ascii="Arial" w:hAnsi="Arial" w:cs="Arial"/>
          <w:sz w:val="24"/>
          <w:szCs w:val="24"/>
        </w:rPr>
        <w:t xml:space="preserve"> into an understanding of the </w:t>
      </w:r>
      <w:r w:rsidRPr="00AE2080">
        <w:rPr>
          <w:rFonts w:ascii="Arial" w:hAnsi="Arial" w:cs="Arial"/>
          <w:b/>
          <w:bCs/>
          <w:i/>
          <w:iCs/>
          <w:sz w:val="24"/>
          <w:szCs w:val="24"/>
        </w:rPr>
        <w:t>vocal control</w:t>
      </w:r>
      <w:r w:rsidRPr="00AE2080">
        <w:rPr>
          <w:rFonts w:ascii="Arial" w:hAnsi="Arial" w:cs="Arial"/>
          <w:sz w:val="24"/>
          <w:szCs w:val="24"/>
        </w:rPr>
        <w:t xml:space="preserve"> involved: </w:t>
      </w:r>
      <w:r w:rsidRPr="00AE2080">
        <w:rPr>
          <w:rFonts w:ascii="Arial" w:hAnsi="Arial" w:cs="Arial"/>
          <w:i/>
          <w:iCs/>
          <w:sz w:val="24"/>
          <w:szCs w:val="24"/>
        </w:rPr>
        <w:t>‘The vocal folds need to be together so the sound remains neat… I now realise that belting is only effective when it is controlled and supported by skilled training</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b/>
          <w:bCs/>
          <w:i/>
          <w:sz w:val="24"/>
          <w:szCs w:val="24"/>
        </w:rPr>
        <w:t>Self-efficacy</w:t>
      </w:r>
      <w:r w:rsidRPr="00AE2080">
        <w:rPr>
          <w:rFonts w:ascii="Arial" w:hAnsi="Arial" w:cs="Arial"/>
          <w:b/>
          <w:bCs/>
          <w:iCs/>
          <w:sz w:val="24"/>
          <w:szCs w:val="24"/>
        </w:rPr>
        <w:t xml:space="preserve"> </w:t>
      </w:r>
      <w:r w:rsidRPr="00AE2080">
        <w:rPr>
          <w:rFonts w:ascii="Arial" w:hAnsi="Arial" w:cs="Arial"/>
          <w:iCs/>
          <w:sz w:val="24"/>
          <w:szCs w:val="24"/>
        </w:rPr>
        <w:t xml:space="preserve">and a sense of </w:t>
      </w:r>
      <w:r w:rsidRPr="00AE2080">
        <w:rPr>
          <w:rFonts w:ascii="Arial" w:hAnsi="Arial" w:cs="Arial"/>
          <w:b/>
          <w:bCs/>
          <w:i/>
          <w:sz w:val="24"/>
          <w:szCs w:val="24"/>
        </w:rPr>
        <w:t>accessibility</w:t>
      </w:r>
      <w:r w:rsidRPr="00AE2080">
        <w:rPr>
          <w:rFonts w:ascii="Arial" w:hAnsi="Arial" w:cs="Arial"/>
          <w:iCs/>
          <w:sz w:val="24"/>
          <w:szCs w:val="24"/>
        </w:rPr>
        <w:t xml:space="preserve"> to the sound w</w:t>
      </w:r>
      <w:r w:rsidR="0090525D">
        <w:rPr>
          <w:rFonts w:ascii="Arial" w:hAnsi="Arial" w:cs="Arial"/>
          <w:iCs/>
          <w:sz w:val="24"/>
          <w:szCs w:val="24"/>
        </w:rPr>
        <w:t>ere</w:t>
      </w:r>
      <w:r w:rsidRPr="00AE2080">
        <w:rPr>
          <w:rFonts w:ascii="Arial" w:hAnsi="Arial" w:cs="Arial"/>
          <w:iCs/>
          <w:sz w:val="24"/>
          <w:szCs w:val="24"/>
        </w:rPr>
        <w:t xml:space="preserve"> initially low: </w:t>
      </w:r>
      <w:r w:rsidRPr="00AE2080">
        <w:rPr>
          <w:rFonts w:ascii="Arial" w:hAnsi="Arial" w:cs="Arial"/>
          <w:i/>
          <w:sz w:val="24"/>
          <w:szCs w:val="24"/>
        </w:rPr>
        <w:t xml:space="preserve">‘I won’t be able to do very much belting as I don’t have the volume or breath control’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pre-study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pre-study survey)</w:t>
      </w:r>
      <w:r w:rsidRPr="00AE2080">
        <w:rPr>
          <w:rFonts w:ascii="Arial" w:hAnsi="Arial" w:cs="Arial"/>
          <w:i/>
          <w:iCs/>
          <w:sz w:val="24"/>
          <w:szCs w:val="24"/>
        </w:rPr>
        <w:fldChar w:fldCharType="end"/>
      </w:r>
      <w:r w:rsidRPr="00AE2080">
        <w:rPr>
          <w:rFonts w:ascii="Arial" w:hAnsi="Arial" w:cs="Arial"/>
          <w:sz w:val="24"/>
          <w:szCs w:val="24"/>
        </w:rPr>
        <w:t xml:space="preserve">. By the end of the study, Student B recognised their pre-study beliefs about their voice initially held them back. </w:t>
      </w:r>
      <w:r w:rsidRPr="00AE2080">
        <w:rPr>
          <w:rFonts w:ascii="Arial" w:hAnsi="Arial" w:cs="Arial"/>
          <w:i/>
          <w:iCs/>
          <w:sz w:val="24"/>
          <w:szCs w:val="24"/>
        </w:rPr>
        <w:t>‘After session 2, when I began to experience some success, I worked much harder.’</w:t>
      </w:r>
      <w:r w:rsidRPr="00AE2080">
        <w:rPr>
          <w:rFonts w:ascii="Arial" w:hAnsi="Arial" w:cs="Arial"/>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Positive learning experiences have been shown to have a positive influence on self-efficacy and, in turn, a student’s motivation and ability to learn a new skill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{"citationItems":[{"id":"ITEM-1","itemData":{"DOI":"10.1007/s11365-008-0078-z","ISSN":"15547191","abstract":"Increasingly companies seek to enhance employee entrepreneurial behaviour. In this study we explore how coaching first reduces role conflicts associated with acting entrepreneurial and at the same time improving efficiency and reducing failure and secondly increases the entrepreneurial self-efficacy of employees. Building on previous conceptual and empirical studies on intrapreneurship, social psychology and human resource management we formulate several hypotheses concerning the relationship between self-efficacy, coaching and entrepreneurial behaviour of account managers that are tested in the context of a large service organization operating in the financial sector. In doing so we confirm and extend our insights on entrepreneurial behaviour in existing companies. © The Author(s) 2008.","author":[{"dropping-particle":"","family":"Wakkee","given":"Ingrid","non-dropping-particle":"","parse-names":false,"suffix":""},{"dropping-particle":"","family":"Elfring","given":"Tom","non-dropping-particle":"","parse-names":false,"suffix":""},{"dropping-particle":"","family":"Monaghan","given":"Sylvia","non-dropping-particle":"","parse-names":false,"suffix":""}],"container-title":"International Entrepreneurship and Management Journal","id":"ITEM-1","issue":"1","issued":{"date-parts":[["2010"]]},"page":"1-21","title":"Creating entrepreneurial employees in traditional service sectors: The role of coaching and self-efficacy","type":"article-journal","volume":"6"},"uris":["http://www.mendeley.com/documents/?uuid=57ce6b46-3df7-4239-87d0-ca2de9a69212"]},{"id":"ITEM-2","itemData":{"DOI":"10.3758/s13423-015-0999-9","ISSN":"15315320","PMID":"26833314","abstract":"Effective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Education","id":"ITEM-3","issued":{"date-parts":[["2022"]]},"title":"“It’s your body, it’s part of who you are!”: Influences upon collegiate vocalists’ performance self-efficacy beliefs","type":"article-journal"},"uris":["http://www.mendeley.com/documents/?uuid=d1469298-0bbc-4c76-afcd-e0c4086da712"]}],"mendeley":{"formattedCitation":"(Wakkee, Elfring and Monaghan, 2010; Wulf and Lewthwaite, 2016; Lewis and Hendricks, 2022)","plainTextFormattedCitation":"(Wakkee, Elfring and Monaghan, 2010; Wulf and Lewthwaite, 2016; Lewis and Hendricks, 2022)","previouslyFormattedCitation":"(Wakkee, Elfring and Monaghan, 2010; Wulf and Lewthwaite, 2016;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(Wakkee, Elfring and Monaghan, 2010; Wulf and Lewthwaite, 2016; Lewis and Hendricks, 2022)</w:t>
      </w:r>
      <w:r w:rsidRPr="00AE2080">
        <w:rPr>
          <w:rFonts w:ascii="Arial" w:hAnsi="Arial" w:cs="Arial"/>
          <w:sz w:val="24"/>
          <w:szCs w:val="24"/>
        </w:rPr>
        <w:fldChar w:fldCharType="end"/>
      </w:r>
      <w:r w:rsidRPr="00AE2080">
        <w:rPr>
          <w:rFonts w:ascii="Arial" w:hAnsi="Arial" w:cs="Arial"/>
          <w:sz w:val="24"/>
          <w:szCs w:val="24"/>
        </w:rPr>
        <w:t>.</w:t>
      </w:r>
    </w:p>
    <w:p w14:paraId="2E84FE76" w14:textId="285BCEB2"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Progression</w:t>
      </w:r>
      <w:r w:rsidRPr="00AE2080">
        <w:rPr>
          <w:rFonts w:ascii="Arial" w:hAnsi="Arial" w:cs="Arial"/>
          <w:sz w:val="24"/>
          <w:szCs w:val="24"/>
        </w:rPr>
        <w:t xml:space="preserve"> from the learning in the study has led this student to an increased sense of self-efficacy and intrinsic motivation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Singing","id":"ITEM-1","issue":"4","issued":{"date-parts":[["2018"]]},"page":"405-414","title":"Critical Thought, Intrinsic Motivation, and the Voice Studio: Perspectives of Master Teachers.","type":"article-journal","volume":"74"},"uris":["http://www.mendeley.com/documents/?uuid=4030f552-7b94-4abf-bab4-c0b97b7babca"]}],"mendeley":{"formattedCitation":"(Stephenson, 2018)","plainTextFormattedCitation":"(Stephenson, 2018)","previouslyFormattedCitation":"(Stephenson,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(Stephenson, 2018)</w:t>
      </w:r>
      <w:r w:rsidRPr="00AE2080">
        <w:rPr>
          <w:rFonts w:ascii="Arial" w:hAnsi="Arial" w:cs="Arial"/>
          <w:sz w:val="24"/>
          <w:szCs w:val="24"/>
        </w:rPr>
        <w:fldChar w:fldCharType="end"/>
      </w:r>
      <w:r w:rsidRPr="00AE2080">
        <w:rPr>
          <w:rFonts w:ascii="Arial" w:hAnsi="Arial" w:cs="Arial"/>
          <w:sz w:val="24"/>
          <w:szCs w:val="24"/>
        </w:rPr>
        <w:t xml:space="preserve">. They now know they can belt and can develop it further: </w:t>
      </w:r>
      <w:r w:rsidRPr="00AE2080">
        <w:rPr>
          <w:rFonts w:ascii="Arial" w:hAnsi="Arial" w:cs="Arial"/>
          <w:i/>
          <w:iCs/>
          <w:sz w:val="24"/>
          <w:szCs w:val="24"/>
        </w:rPr>
        <w:t>‘I want to continue to develop it. This has had a very positive impact on my voice and has benefitted my choral singing…</w:t>
      </w:r>
      <w:r w:rsidRPr="00AE2080">
        <w:rPr>
          <w:rFonts w:ascii="Arial" w:hAnsi="Arial" w:cs="Arial"/>
          <w:sz w:val="24"/>
          <w:szCs w:val="24"/>
        </w:rPr>
        <w:t xml:space="preserve"> </w:t>
      </w:r>
      <w:r w:rsidRPr="00AE2080">
        <w:rPr>
          <w:rFonts w:ascii="Arial" w:hAnsi="Arial" w:cs="Arial"/>
          <w:i/>
          <w:iCs/>
          <w:sz w:val="24"/>
          <w:szCs w:val="24"/>
        </w:rPr>
        <w:t xml:space="preserve">Now I feel I can do some belting and I can improve.’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00DD07D8" w:rsidRPr="00DD07D8">
        <w:rPr>
          <w:rFonts w:ascii="Arial" w:hAnsi="Arial" w:cs="Arial"/>
          <w:sz w:val="24"/>
          <w:szCs w:val="24"/>
        </w:rPr>
        <w:t>When</w:t>
      </w:r>
      <w:r w:rsidR="00DD07D8">
        <w:rPr>
          <w:rFonts w:ascii="Arial" w:hAnsi="Arial" w:cs="Arial"/>
          <w:sz w:val="24"/>
          <w:szCs w:val="24"/>
        </w:rPr>
        <w:t xml:space="preserve"> the</w:t>
      </w:r>
      <w:r w:rsidR="0055281F">
        <w:rPr>
          <w:rFonts w:ascii="Arial" w:hAnsi="Arial" w:cs="Arial"/>
          <w:sz w:val="24"/>
          <w:szCs w:val="24"/>
        </w:rPr>
        <w:t>y first felt</w:t>
      </w:r>
      <w:r w:rsidR="00DD07D8">
        <w:rPr>
          <w:rFonts w:ascii="Arial" w:hAnsi="Arial" w:cs="Arial"/>
          <w:i/>
          <w:iCs/>
          <w:sz w:val="24"/>
          <w:szCs w:val="24"/>
        </w:rPr>
        <w:t xml:space="preserve"> </w:t>
      </w:r>
      <w:r w:rsidRPr="00AE2080">
        <w:rPr>
          <w:rFonts w:ascii="Arial" w:hAnsi="Arial" w:cs="Arial"/>
          <w:sz w:val="24"/>
          <w:szCs w:val="24"/>
        </w:rPr>
        <w:t xml:space="preserve"> achievement </w:t>
      </w:r>
      <w:r w:rsidR="00F947A4">
        <w:rPr>
          <w:rFonts w:ascii="Arial" w:hAnsi="Arial" w:cs="Arial"/>
          <w:sz w:val="24"/>
          <w:szCs w:val="24"/>
        </w:rPr>
        <w:t xml:space="preserve">they </w:t>
      </w:r>
      <w:r w:rsidRPr="00AE2080">
        <w:rPr>
          <w:rFonts w:ascii="Arial" w:hAnsi="Arial" w:cs="Arial"/>
          <w:sz w:val="24"/>
          <w:szCs w:val="24"/>
        </w:rPr>
        <w:t>changed th</w:t>
      </w:r>
      <w:r w:rsidR="00F947A4">
        <w:rPr>
          <w:rFonts w:ascii="Arial" w:hAnsi="Arial" w:cs="Arial"/>
          <w:sz w:val="24"/>
          <w:szCs w:val="24"/>
        </w:rPr>
        <w:t>eir</w:t>
      </w:r>
      <w:r w:rsidRPr="00AE2080">
        <w:rPr>
          <w:rFonts w:ascii="Arial" w:hAnsi="Arial" w:cs="Arial"/>
          <w:sz w:val="24"/>
          <w:szCs w:val="24"/>
        </w:rPr>
        <w:t xml:space="preserve"> approach to practice, creating a sense of autonomy and motivation which drove further achievements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Review","id":"ITEM-1","issue":"5","issued":{"date-parts":[["2016"]]},"page":"1382-1414","publisher":"Psychonomic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learning","type":"article-journal","volume":"23"},"uris":["http://www.mendeley.com/documents/?uuid=c6645037-7ea0-40d5-b33c-cab661f7baeb"]},{"id":"ITEM-2","itemData":{"ISSN":"10867732","abstract":"The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Singing","id":"ITEM-2","issue":"4","issued":{"date-parts":[["2018"]]},"page":"405-414","title":"Critical Thought, Intrinsic Motivation, and the Voice Studio: Perspectives of Master Teachers.","type":"article-journal","volume":"74"},"uris":["http://www.mendeley.com/documents/?uuid=4030f552-7b94-4abf-bab4-c0b97b7babca"]}],"mendeley":{"formattedCitation":"(Wulf and Lewthwaite, 2016; Stephenson, 2018)","plainTextFormattedCitation":"(Wulf and Lewthwaite, 2016; Stephenson, 2018)","previouslyFormattedCitation":"(Wulf and Lewthwaite, 2016; Stephenson,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(Wulf and Lewthwaite, 2016; Stephenson, 2018)</w:t>
      </w:r>
      <w:r w:rsidRPr="00AE2080">
        <w:rPr>
          <w:rFonts w:ascii="Arial" w:hAnsi="Arial" w:cs="Arial"/>
          <w:sz w:val="24"/>
          <w:szCs w:val="24"/>
        </w:rPr>
        <w:fldChar w:fldCharType="end"/>
      </w:r>
      <w:r w:rsidRPr="00AE2080">
        <w:rPr>
          <w:rFonts w:ascii="Arial" w:hAnsi="Arial" w:cs="Arial"/>
          <w:sz w:val="24"/>
          <w:szCs w:val="24"/>
        </w:rPr>
        <w:t>.</w:t>
      </w:r>
    </w:p>
    <w:p w14:paraId="3F22C3EB" w14:textId="6964D4A8"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‘The lightbulb moment was in the final session where I heard my voice making strong belting sounds that I would never have believed possible. I think this was because all the different processes and techniques started to come together in session 5 but, in this session, it finally made sense to my voice.’</w:t>
      </w:r>
      <w:r w:rsidR="00AD1AF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p>
    <w:p w14:paraId="33C2DA0D" w14:textId="718E1A6E"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Understanding and knowledge gained during the process have </w:t>
      </w:r>
      <w:r w:rsidR="00701ECD">
        <w:rPr>
          <w:rFonts w:ascii="Arial" w:hAnsi="Arial" w:cs="Arial"/>
          <w:sz w:val="24"/>
          <w:szCs w:val="24"/>
        </w:rPr>
        <w:t>allowed</w:t>
      </w:r>
      <w:r w:rsidRPr="00AE2080">
        <w:rPr>
          <w:rFonts w:ascii="Arial" w:hAnsi="Arial" w:cs="Arial"/>
          <w:sz w:val="24"/>
          <w:szCs w:val="24"/>
        </w:rPr>
        <w:t xml:space="preserve"> this student the opportunity to create a </w:t>
      </w:r>
      <w:r w:rsidRPr="00AE2080">
        <w:rPr>
          <w:rFonts w:ascii="Arial" w:hAnsi="Arial" w:cs="Arial"/>
          <w:b/>
          <w:bCs/>
          <w:i/>
          <w:iCs/>
          <w:sz w:val="24"/>
          <w:szCs w:val="24"/>
        </w:rPr>
        <w:t xml:space="preserve">specific goal </w:t>
      </w:r>
      <w:r w:rsidRPr="00AE2080">
        <w:rPr>
          <w:rFonts w:ascii="Arial" w:hAnsi="Arial" w:cs="Arial"/>
          <w:sz w:val="24"/>
          <w:szCs w:val="24"/>
        </w:rPr>
        <w:t xml:space="preserve">of increasing stamina, keeping in mind the vocal control and comfort which support vocal health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Pracy","id":"ITEM-1","issue":"1","issued":{"date-parts":[["2022"]]},"note":"Key:\nOpera/Classical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Aspects","type":"article-journal","volume":"73"},"uris":["http://www.mendeley.com/documents/?uuid=ff0659a5-b881-41e5-a677-f36a5bae306a"]},{"id":"ITEM-2","itemData":{"abstract":"Anoymity coded reference for data collected from Student B (Module 6).","author":[{"dropping-particle":"","family":"B","given":"Student","non-dropping-particle":"","parse-names":false,"suffix":""}],"id":"ITEM-2","issued":{"date-parts":[["2024"]]},"title":"Student B data sources","type":"article"},"uris":["http://www.mendeley.com/documents/?uuid=dfec7d0c-e3c5-4399-8ab4-4b4ff4170197"]}],"mendeley":{"formattedCitation":"(Morawska, Niebudek-Bogusz and Pietruszewska, 2022; B, 2024)","manualFormatting":"(Morawska, Niebudek-Bogusz and Pietruszewska, 2022; B, 2024, post-study survey)","plainTextFormattedCitation":"(Morawska, Niebudek-Bogusz and Pietruszewska, 2022; B, 2024)","previouslyFormattedCitation":"(Morawska, Niebudek-Bogusz and Pietruszewska, 2022; B,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(Morawska, Niebudek-Bogusz and Pietruszewska, 2022; B, 2024, post-study survey)</w:t>
      </w:r>
      <w:r w:rsidRPr="00AE2080">
        <w:rPr>
          <w:rFonts w:ascii="Arial" w:hAnsi="Arial" w:cs="Arial"/>
          <w:sz w:val="24"/>
          <w:szCs w:val="24"/>
        </w:rPr>
        <w:fldChar w:fldCharType="end"/>
      </w:r>
      <w:r w:rsidRPr="00AE2080">
        <w:rPr>
          <w:rFonts w:ascii="Arial" w:hAnsi="Arial" w:cs="Arial"/>
          <w:sz w:val="24"/>
          <w:szCs w:val="24"/>
        </w:rPr>
        <w:t xml:space="preserve">. Assimilation of knowledge and </w:t>
      </w:r>
      <w:r w:rsidRPr="00AE2080">
        <w:rPr>
          <w:rFonts w:ascii="Arial" w:hAnsi="Arial" w:cs="Arial"/>
          <w:sz w:val="24"/>
          <w:szCs w:val="24"/>
        </w:rPr>
        <w:lastRenderedPageBreak/>
        <w:t xml:space="preserve">the experiences of the study have led to an incorporation of new, belt-related, exercises into this student’s regular warmup routine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{"citationItems":[{"id":"ITEM-1","itemData":{"DOI":"10.1016/j.humov.2020.102612","ISSN":"18727646","PMID":"32452429","abstract":"Optimizing Performance Through Intrinsic Motivation and Attention for Learning (OPTIMAL) Theory proposes that choices of any kind support an individual's need for autonomy, motivating them to learn and perform motor skills more effectively. Notably, the authors suggest asking learners to choose when to receive feedback in order to increase autonomy. Conversely, the guidance hypothesis predicts an impact of feedback schedule independent of motivational influences. The purpose of this experiment was to compare the relative and combined effects of autonomy and feedback schedule for the acquisition of a golf putting task without vision of results. Autonomy support (autonomy support vs. yoked) and knowledge of results (KR) schedule (100%-KR vs. 50%-faded-KR) were combined in a 2 × 2 factorial design. Participants (N = 56) in the autonomy support groups were asked to choose from three colours of golf balls for each putt during 10 acquisition blocks. Yoked groups were yoked to the golf ball colour choices of their autonomy support group counterparts. Participants in the 100%-feedback schedule groups were provided x- and y-coordinate KR following every putt during acquisition, while participants in the 50%-faded groups received KR after half of their putts, with feedback frequency decreasing over acquisition blocks. All participants completed a 24-h delayed retention and transfer test without KR. The results were somewhat consistent with OPTIMAL Theory yet the effects were not statistically significant and trivially small. The results were inconsistent with the guidance hypothesis.","author":[{"dropping-particle":"","family":"McKay","given":"Brad","non-dropping-particle":"","parse-names":false,"suffix":""},{"dropping-particle":"","family":"Ste-Marie","given":"Diane M.","non-dropping-particle":"","parse-names":false,"suffix":""}],"container-title":"Human Movement Science","id":"ITEM-1","issue":"March","issued":{"date-parts":[["2020"]]},"page":"102612","publisher":"Elsevier","title":"Autonomy support and reduced feedback frequency have trivial effects on learning and performance of a golf putting task","type":"article-journal","volume":"71"},"uris":["http://www.mendeley.com/documents/?uuid=2c0f1a60-36e7-4783-8717-c64c68e52334"]},{"id":"ITEM-2","itemData":{"DOI":"10.3758/s13423-015-0999-9","ISSN":"15315320","PMID":"26833314","abstract":"Effective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Teachers.","type":"article-journal","volume":"74"},"uris":["http://www.mendeley.com/documents/?uuid=4030f552-7b94-4abf-bab4-c0b97b7babca"]}],"mendeley":{"formattedCitation":"(Wulf and Lewthwaite, 2016; Stephenson, 2018; McKay and Ste-Marie, 2020)","plainTextFormattedCitation":"(Wulf and Lewthwaite, 2016; Stephenson, 2018; McKay and Ste-Marie, 2020)","previouslyFormattedCitation":"(Wulf and Lewthwaite, 2016; Stephenson, 2018; McKay and Ste-Marie,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(Wulf and Lewthwaite, 2016; Stephenson, 2018; McKay and Ste-Marie, 2020)</w:t>
      </w:r>
      <w:r w:rsidRPr="00AE2080">
        <w:rPr>
          <w:rFonts w:ascii="Arial" w:hAnsi="Arial" w:cs="Arial"/>
          <w:sz w:val="24"/>
          <w:szCs w:val="24"/>
        </w:rPr>
        <w:fldChar w:fldCharType="end"/>
      </w:r>
      <w:r w:rsidRPr="00AE2080">
        <w:rPr>
          <w:rFonts w:ascii="Arial" w:hAnsi="Arial" w:cs="Arial"/>
          <w:sz w:val="24"/>
          <w:szCs w:val="24"/>
        </w:rPr>
        <w:t xml:space="preserve">. Pre-study attempts at belting were made </w:t>
      </w:r>
      <w:r w:rsidRPr="00AE2080">
        <w:rPr>
          <w:rFonts w:ascii="Arial" w:hAnsi="Arial" w:cs="Arial"/>
          <w:i/>
          <w:iCs/>
          <w:sz w:val="24"/>
          <w:szCs w:val="24"/>
        </w:rPr>
        <w:t xml:space="preserve">‘only </w:t>
      </w:r>
      <w:r w:rsidRPr="00AE2080">
        <w:rPr>
          <w:rFonts w:ascii="Arial" w:hAnsi="Arial" w:cs="Arial"/>
          <w:i/>
          <w:iCs/>
          <w:sz w:val="24"/>
          <w:szCs w:val="24"/>
          <w:u w:val="single"/>
        </w:rPr>
        <w:t>completely</w:t>
      </w:r>
      <w:r w:rsidRPr="00AE2080">
        <w:rPr>
          <w:rFonts w:ascii="Arial" w:hAnsi="Arial" w:cs="Arial"/>
          <w:i/>
          <w:iCs/>
          <w:sz w:val="24"/>
          <w:szCs w:val="24"/>
        </w:rPr>
        <w:t xml:space="preserve"> in fun’</w:t>
      </w:r>
      <w:r w:rsidRPr="00AE2080">
        <w:rPr>
          <w:rFonts w:ascii="Arial" w:hAnsi="Arial" w:cs="Arial"/>
          <w:b/>
          <w:bCs/>
          <w:i/>
          <w:iCs/>
          <w:sz w:val="24"/>
          <w:szCs w:val="24"/>
        </w:rPr>
        <w:t xml:space="preserve"> </w:t>
      </w:r>
      <w:r w:rsidRPr="00AE2080">
        <w:rPr>
          <w:rFonts w:ascii="Arial" w:hAnsi="Arial" w:cs="Arial"/>
          <w:sz w:val="24"/>
          <w:szCs w:val="24"/>
        </w:rPr>
        <w:t xml:space="preserve">with no preparation which led to negative sensations of strain and discomfort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pre-study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pre-study survey)</w:t>
      </w:r>
      <w:r w:rsidRPr="00AE2080">
        <w:rPr>
          <w:rFonts w:ascii="Arial" w:hAnsi="Arial" w:cs="Arial"/>
          <w:i/>
          <w:iCs/>
          <w:sz w:val="24"/>
          <w:szCs w:val="24"/>
        </w:rPr>
        <w:fldChar w:fldCharType="end"/>
      </w:r>
      <w:r w:rsidRPr="00AE2080">
        <w:rPr>
          <w:rFonts w:ascii="Arial" w:hAnsi="Arial" w:cs="Arial"/>
          <w:sz w:val="24"/>
          <w:szCs w:val="24"/>
        </w:rPr>
        <w:t>.</w:t>
      </w:r>
    </w:p>
    <w:p w14:paraId="5533E9BB"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‘Learning to belt has liberated my voice. I’m not afraid to put the power into my singing and it has released some top notes I never imagined being able to hit.</w:t>
      </w:r>
      <w:r w:rsidRPr="00AE2080">
        <w:rPr>
          <w:rFonts w:ascii="Arial" w:hAnsi="Arial" w:cs="Arial"/>
          <w:sz w:val="24"/>
          <w:szCs w:val="24"/>
        </w:rPr>
        <w:t xml:space="preserve"> </w:t>
      </w:r>
      <w:r w:rsidRPr="00AE2080">
        <w:rPr>
          <w:rFonts w:ascii="Arial" w:hAnsi="Arial" w:cs="Arial"/>
          <w:i/>
          <w:iCs/>
          <w:sz w:val="24"/>
          <w:szCs w:val="24"/>
        </w:rPr>
        <w:t>I genuinely never imagined I could sing like this</w:t>
      </w:r>
      <w:r w:rsidRPr="00AE2080">
        <w:rPr>
          <w:rFonts w:ascii="Arial" w:hAnsi="Arial" w:cs="Arial"/>
          <w:sz w:val="24"/>
          <w:szCs w:val="24"/>
        </w:rPr>
        <w:t>.</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p>
    <w:p w14:paraId="439A8FF0" w14:textId="31088FB1"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Initial successes led to self-directed learning and application of </w:t>
      </w:r>
      <w:r w:rsidR="00F6029D">
        <w:rPr>
          <w:rFonts w:ascii="Arial" w:hAnsi="Arial" w:cs="Arial"/>
          <w:sz w:val="24"/>
          <w:szCs w:val="24"/>
        </w:rPr>
        <w:t xml:space="preserve">the </w:t>
      </w:r>
      <w:r w:rsidRPr="00AE2080">
        <w:rPr>
          <w:rFonts w:ascii="Arial" w:hAnsi="Arial" w:cs="Arial"/>
          <w:sz w:val="24"/>
          <w:szCs w:val="24"/>
        </w:rPr>
        <w:t>belt training to the home practice. Student B shows a progression of knowledge into action and achievement.</w:t>
      </w:r>
    </w:p>
    <w:p w14:paraId="1B90BE56" w14:textId="7398EACA"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Feedback</w:t>
      </w:r>
      <w:r w:rsidRPr="00AE2080">
        <w:rPr>
          <w:rFonts w:ascii="Arial" w:hAnsi="Arial" w:cs="Arial"/>
          <w:i/>
          <w:iCs/>
          <w:sz w:val="24"/>
          <w:szCs w:val="24"/>
        </w:rPr>
        <w:t xml:space="preserve"> </w:t>
      </w:r>
      <w:r w:rsidRPr="00AE2080">
        <w:rPr>
          <w:rFonts w:ascii="Arial" w:hAnsi="Arial" w:cs="Arial"/>
          <w:sz w:val="24"/>
          <w:szCs w:val="24"/>
        </w:rPr>
        <w:t xml:space="preserve">regarding teaching and learning approaches was important to the progress of this student. After the introduction to </w:t>
      </w:r>
      <w:r w:rsidR="00A64C58" w:rsidRPr="00AE2080">
        <w:rPr>
          <w:rFonts w:ascii="Arial" w:hAnsi="Arial" w:cs="Arial"/>
          <w:sz w:val="24"/>
          <w:szCs w:val="24"/>
        </w:rPr>
        <w:t xml:space="preserve">learning support </w:t>
      </w:r>
      <w:r w:rsidRPr="00AE2080">
        <w:rPr>
          <w:rFonts w:ascii="Arial" w:hAnsi="Arial" w:cs="Arial"/>
          <w:sz w:val="24"/>
          <w:szCs w:val="24"/>
        </w:rPr>
        <w:t xml:space="preserve">sound files and the option for them to record lessons, they took the opportunity and found it helpful. Working with this feedback, we discussed how to maximise the benefits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(IJHI)","id":"ITEM-1","issue":"1","issued":{"date-parts":[["2021"]]},"page":"1-4","title":"Teaching and learning process to enhance teaching effectiveness: literature review","type":"article-journal","volume":"4"},"uris":["http://www.mendeley.com/documents/?uuid=8cf3da37-aefa-4726-a62b-3a64b2c39dc5"]},{"id":"ITEM-2","itemData":{"DOI":"10.1186/s12961-019-0468-4","ISSN":"14784505","PMID":"31391119","abstract":"Background: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Systems","id":"ITEM-2","issue":"1","issued":{"date-parts":[["2019"]]},"page":"1-12","publisher":"Health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recommendations","type":"article-journal","volume":"17"},"uris":["http://www.mendeley.com/documents/?uuid=77a72055-176a-426d-8972-d79d1c8adf98"]}],"mendeley":{"formattedCitation":"(Downe &lt;i&gt;et al.&lt;/i&gt;, 2019; Munna and Kalam, 2021)","plainTextFormattedCitation":"(Downe et al., 2019; Munna and Kalam, 2021)","previouslyFormattedCitation":"(Downe &lt;i&gt;et al.&lt;/i&gt;, 2019; Munna and Kalam, 2021)"},"properties":{"noteIndex":0},"schema":"https://github.com/citation-style-language/schema/raw/master/csl-citation.json"}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(Downe </w:t>
      </w:r>
      <w:r w:rsidRPr="00AE2080">
        <w:rPr>
          <w:rFonts w:ascii="Arial" w:hAnsi="Arial" w:cs="Arial"/>
          <w:i/>
          <w:noProof/>
          <w:sz w:val="24"/>
          <w:szCs w:val="24"/>
        </w:rPr>
        <w:t>et al.</w:t>
      </w:r>
      <w:r w:rsidRPr="00AE2080">
        <w:rPr>
          <w:rFonts w:ascii="Arial" w:hAnsi="Arial" w:cs="Arial"/>
          <w:noProof/>
          <w:sz w:val="24"/>
          <w:szCs w:val="24"/>
        </w:rPr>
        <w:t>, 2019; Munna and Kalam, 2021)</w:t>
      </w:r>
      <w:r w:rsidRPr="00AE2080">
        <w:rPr>
          <w:rFonts w:ascii="Arial" w:hAnsi="Arial" w:cs="Arial"/>
          <w:sz w:val="24"/>
          <w:szCs w:val="24"/>
        </w:rPr>
        <w:fldChar w:fldCharType="end"/>
      </w:r>
      <w:r w:rsidRPr="00AE2080">
        <w:rPr>
          <w:rFonts w:ascii="Arial" w:hAnsi="Arial" w:cs="Arial"/>
          <w:sz w:val="24"/>
          <w:szCs w:val="24"/>
        </w:rPr>
        <w:t xml:space="preserve">. Student B found recording the sessions provided them with </w:t>
      </w:r>
      <w:r w:rsidRPr="00AE2080">
        <w:rPr>
          <w:rFonts w:ascii="Arial" w:hAnsi="Arial" w:cs="Arial"/>
          <w:i/>
          <w:iCs/>
          <w:sz w:val="24"/>
          <w:szCs w:val="24"/>
        </w:rPr>
        <w:t>‘invaluable resources’</w:t>
      </w:r>
      <w:r w:rsidRPr="00AE2080">
        <w:rPr>
          <w:rFonts w:ascii="Arial" w:hAnsi="Arial" w:cs="Arial"/>
          <w:sz w:val="24"/>
          <w:szCs w:val="24"/>
        </w:rPr>
        <w:t xml:space="preserve"> for their home practice. Listening to lesson recordings provides a student with opportunities to improve their </w:t>
      </w:r>
      <w:r w:rsidRPr="00AE2080">
        <w:rPr>
          <w:rFonts w:ascii="Arial" w:hAnsi="Arial" w:cs="Arial"/>
          <w:b/>
          <w:bCs/>
          <w:i/>
          <w:iCs/>
          <w:sz w:val="24"/>
          <w:szCs w:val="24"/>
        </w:rPr>
        <w:t>familiarisation</w:t>
      </w:r>
      <w:r w:rsidRPr="00AE2080">
        <w:rPr>
          <w:rFonts w:ascii="Arial" w:hAnsi="Arial" w:cs="Arial"/>
          <w:sz w:val="24"/>
          <w:szCs w:val="24"/>
        </w:rPr>
        <w:t xml:space="preserve"> with belt sounds which supports their developing </w:t>
      </w:r>
      <w:r w:rsidRPr="00AE2080">
        <w:rPr>
          <w:rFonts w:ascii="Arial" w:hAnsi="Arial" w:cs="Arial"/>
          <w:b/>
          <w:bCs/>
          <w:i/>
          <w:iCs/>
          <w:sz w:val="24"/>
          <w:szCs w:val="24"/>
        </w:rPr>
        <w:t>audiation</w:t>
      </w:r>
      <w:r w:rsidRPr="00AE2080">
        <w:rPr>
          <w:rFonts w:ascii="Arial" w:hAnsi="Arial" w:cs="Arial"/>
          <w:sz w:val="24"/>
          <w:szCs w:val="24"/>
        </w:rPr>
        <w:t xml:space="preserve"> and </w:t>
      </w:r>
      <w:r w:rsidRPr="00AE2080">
        <w:rPr>
          <w:rFonts w:ascii="Arial" w:hAnsi="Arial" w:cs="Arial"/>
          <w:b/>
          <w:bCs/>
          <w:i/>
          <w:iCs/>
          <w:sz w:val="24"/>
          <w:szCs w:val="24"/>
        </w:rPr>
        <w:t xml:space="preserve">motor learning </w:t>
      </w:r>
      <w:r w:rsidRPr="00AE2080">
        <w:rPr>
          <w:rFonts w:ascii="Arial" w:hAnsi="Arial" w:cs="Arial"/>
          <w:sz w:val="24"/>
          <w:szCs w:val="24"/>
        </w:rPr>
        <w:t xml:space="preserve">of this skill </w:t>
      </w:r>
      <w:r w:rsidRPr="00AE2080">
        <w:rPr>
          <w:rFonts w:ascii="Arial" w:hAnsi="Arial" w:cs="Arial"/>
          <w:noProof/>
          <w:sz w:val="24"/>
          <w:szCs w:val="24"/>
        </w:rPr>
        <w:fldChar w:fldCharType="begin" w:fldLock="1"/>
      </w:r>
      <w:r w:rsidRPr="00AE2080">
        <w:rPr>
          <w:rFonts w:ascii="Arial" w:hAnsi="Arial" w:cs="Arial"/>
          <w:noProof/>
          <w:sz w:val="24"/>
          <w:szCs w:val="24"/>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AE2080">
        <w:rPr>
          <w:rFonts w:ascii="Arial" w:hAnsi="Arial" w:cs="Arial"/>
          <w:noProof/>
          <w:sz w:val="24"/>
          <w:szCs w:val="24"/>
        </w:rPr>
        <w:fldChar w:fldCharType="separate"/>
      </w:r>
      <w:r w:rsidRPr="00AE2080">
        <w:rPr>
          <w:rFonts w:ascii="Arial" w:hAnsi="Arial" w:cs="Arial"/>
          <w:noProof/>
          <w:sz w:val="24"/>
          <w:szCs w:val="24"/>
        </w:rPr>
        <w:t>(Verdolini, 1998; Hodges and Franks, 2002; Roll, 2014; Moss Erickson, 2019, 2023; Titze, 2022)</w:t>
      </w:r>
      <w:r w:rsidRPr="00AE2080">
        <w:rPr>
          <w:rFonts w:ascii="Arial" w:hAnsi="Arial" w:cs="Arial"/>
          <w:noProof/>
          <w:sz w:val="24"/>
          <w:szCs w:val="24"/>
        </w:rPr>
        <w:fldChar w:fldCharType="end"/>
      </w:r>
      <w:r w:rsidRPr="00AE2080">
        <w:rPr>
          <w:rFonts w:ascii="Arial" w:hAnsi="Arial" w:cs="Arial"/>
          <w:noProof/>
          <w:sz w:val="24"/>
          <w:szCs w:val="24"/>
        </w:rPr>
        <w:t>.</w:t>
      </w:r>
    </w:p>
    <w:p w14:paraId="1AE29C0C" w14:textId="0964BE99"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Participation in this study has </w:t>
      </w:r>
      <w:r w:rsidR="00673C2D">
        <w:rPr>
          <w:rFonts w:ascii="Arial" w:hAnsi="Arial" w:cs="Arial"/>
          <w:sz w:val="24"/>
          <w:szCs w:val="24"/>
        </w:rPr>
        <w:t>left</w:t>
      </w:r>
      <w:r w:rsidRPr="00AE2080">
        <w:rPr>
          <w:rFonts w:ascii="Arial" w:hAnsi="Arial" w:cs="Arial"/>
          <w:sz w:val="24"/>
          <w:szCs w:val="24"/>
        </w:rPr>
        <w:t xml:space="preserve"> Student B </w:t>
      </w:r>
      <w:r w:rsidR="004964C3">
        <w:rPr>
          <w:rFonts w:ascii="Arial" w:hAnsi="Arial" w:cs="Arial"/>
          <w:sz w:val="24"/>
          <w:szCs w:val="24"/>
        </w:rPr>
        <w:t>with</w:t>
      </w:r>
      <w:r w:rsidRPr="00AE2080">
        <w:rPr>
          <w:rFonts w:ascii="Arial" w:hAnsi="Arial" w:cs="Arial"/>
          <w:sz w:val="24"/>
          <w:szCs w:val="24"/>
        </w:rPr>
        <w:t xml:space="preserve"> positive </w:t>
      </w:r>
      <w:r w:rsidR="004964C3">
        <w:rPr>
          <w:rFonts w:ascii="Arial" w:hAnsi="Arial" w:cs="Arial"/>
          <w:sz w:val="24"/>
          <w:szCs w:val="24"/>
        </w:rPr>
        <w:t>feelings</w:t>
      </w:r>
      <w:r w:rsidRPr="00AE2080">
        <w:rPr>
          <w:rFonts w:ascii="Arial" w:hAnsi="Arial" w:cs="Arial"/>
          <w:sz w:val="24"/>
          <w:szCs w:val="24"/>
        </w:rPr>
        <w:t xml:space="preserve"> of anticipation and exploration regarding belting and their broader vocal development.</w:t>
      </w:r>
    </w:p>
    <w:p w14:paraId="028931AF" w14:textId="77777777" w:rsidR="00830195" w:rsidRPr="00AE2080" w:rsidRDefault="00830195" w:rsidP="00AE2080">
      <w:pPr>
        <w:pStyle w:val="pf0"/>
        <w:spacing w:line="360" w:lineRule="auto"/>
        <w:jc w:val="center"/>
        <w:rPr>
          <w:rStyle w:val="cf01"/>
          <w:rFonts w:ascii="Arial" w:eastAsiaTheme="majorEastAsia" w:hAnsi="Arial" w:cs="Arial"/>
          <w:b/>
          <w:bCs/>
          <w:sz w:val="24"/>
          <w:szCs w:val="24"/>
        </w:rPr>
      </w:pPr>
      <w:r w:rsidRPr="00AE2080">
        <w:rPr>
          <w:rFonts w:ascii="Arial" w:hAnsi="Arial" w:cs="Arial"/>
          <w:i/>
          <w:iCs/>
        </w:rPr>
        <w:t xml:space="preserve">‘Now I feel I can do some belting and I can improve…This has widened my experience. More importantly, it has increased my expectations of myself.’ </w:t>
      </w:r>
      <w:r w:rsidRPr="00AE2080">
        <w:rPr>
          <w:rFonts w:ascii="Arial" w:hAnsi="Arial" w:cs="Arial"/>
          <w:i/>
          <w:iCs/>
        </w:rPr>
        <w:fldChar w:fldCharType="begin" w:fldLock="1"/>
      </w:r>
      <w:r w:rsidRPr="00AE2080">
        <w:rPr>
          <w:rFonts w:ascii="Arial" w:hAnsi="Arial" w:cs="Arial"/>
          <w:i/>
          <w:iCs/>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rPr>
        <w:fldChar w:fldCharType="separate"/>
      </w:r>
      <w:r w:rsidRPr="00AE2080">
        <w:rPr>
          <w:rFonts w:ascii="Arial" w:hAnsi="Arial" w:cs="Arial"/>
          <w:iCs/>
          <w:noProof/>
        </w:rPr>
        <w:t>(B, 2024, post-study survey)</w:t>
      </w:r>
      <w:r w:rsidRPr="00AE2080">
        <w:rPr>
          <w:rFonts w:ascii="Arial" w:hAnsi="Arial" w:cs="Arial"/>
          <w:i/>
          <w:iCs/>
        </w:rPr>
        <w:fldChar w:fldCharType="end"/>
      </w:r>
    </w:p>
    <w:p w14:paraId="6443B853" w14:textId="77777777"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br w:type="page"/>
      </w:r>
    </w:p>
    <w:p w14:paraId="15033960" w14:textId="77777777" w:rsidR="00830195" w:rsidRPr="00AE2080" w:rsidRDefault="00830195" w:rsidP="00AE2080">
      <w:pPr>
        <w:pStyle w:val="pf0"/>
        <w:spacing w:line="360" w:lineRule="auto"/>
        <w:jc w:val="both"/>
        <w:rPr>
          <w:rStyle w:val="cf01"/>
          <w:rFonts w:ascii="Arial" w:eastAsiaTheme="majorEastAsia" w:hAnsi="Arial" w:cs="Arial"/>
          <w:b/>
          <w:bCs/>
          <w:sz w:val="24"/>
          <w:szCs w:val="24"/>
        </w:rPr>
      </w:pPr>
      <w:r w:rsidRPr="00AE2080">
        <w:rPr>
          <w:rStyle w:val="cf01"/>
          <w:rFonts w:ascii="Arial" w:eastAsiaTheme="majorEastAsia" w:hAnsi="Arial" w:cs="Arial"/>
          <w:b/>
          <w:bCs/>
          <w:sz w:val="24"/>
          <w:szCs w:val="24"/>
        </w:rPr>
        <w:lastRenderedPageBreak/>
        <w:t>Student C</w:t>
      </w:r>
    </w:p>
    <w:p w14:paraId="37BCCD99" w14:textId="5BF0C419" w:rsidR="00830195" w:rsidRPr="00AE2080" w:rsidRDefault="00830195" w:rsidP="00AE2080">
      <w:pPr>
        <w:pStyle w:val="pf0"/>
        <w:spacing w:line="360" w:lineRule="auto"/>
        <w:jc w:val="center"/>
        <w:rPr>
          <w:rStyle w:val="cf01"/>
          <w:rFonts w:ascii="Arial" w:eastAsiaTheme="majorEastAsia" w:hAnsi="Arial" w:cs="Arial"/>
          <w:sz w:val="24"/>
          <w:szCs w:val="24"/>
        </w:rPr>
      </w:pPr>
      <w:r w:rsidRPr="00AE2080">
        <w:rPr>
          <w:rFonts w:ascii="Arial" w:hAnsi="Arial" w:cs="Arial"/>
          <w:i/>
          <w:iCs/>
        </w:rPr>
        <w:t>‘I think I often get scared of belting because I don’t feel I am able to make a belting sound consistently or with regular ease… A lot of the time my ability to “belt” feels more like luck than anything else.’</w:t>
      </w:r>
      <w:r w:rsidRPr="00AE2080">
        <w:rPr>
          <w:rStyle w:val="cf01"/>
          <w:rFonts w:ascii="Arial" w:eastAsiaTheme="majorEastAsia"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pre-study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pre-study survey)</w:t>
      </w:r>
      <w:r w:rsidRPr="00AE2080">
        <w:rPr>
          <w:rStyle w:val="cf01"/>
          <w:rFonts w:ascii="Arial" w:eastAsiaTheme="majorEastAsia" w:hAnsi="Arial" w:cs="Arial"/>
          <w:sz w:val="24"/>
          <w:szCs w:val="24"/>
        </w:rPr>
        <w:fldChar w:fldCharType="end"/>
      </w:r>
    </w:p>
    <w:p w14:paraId="6128497C" w14:textId="03AEA477" w:rsidR="00830195" w:rsidRPr="00AE2080" w:rsidRDefault="00830195"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 xml:space="preserve">The belt training process involved singers having an </w:t>
      </w:r>
      <w:r w:rsidRPr="00AE2080">
        <w:rPr>
          <w:rStyle w:val="cf01"/>
          <w:rFonts w:ascii="Arial" w:eastAsiaTheme="majorEastAsia" w:hAnsi="Arial" w:cs="Arial"/>
          <w:b/>
          <w:bCs/>
          <w:i/>
          <w:iCs/>
          <w:sz w:val="24"/>
          <w:szCs w:val="24"/>
        </w:rPr>
        <w:t>introduction to the sounds</w:t>
      </w:r>
      <w:r w:rsidRPr="00AE2080">
        <w:rPr>
          <w:rStyle w:val="cf01"/>
          <w:rFonts w:ascii="Arial" w:eastAsiaTheme="majorEastAsia" w:hAnsi="Arial" w:cs="Arial"/>
          <w:sz w:val="24"/>
          <w:szCs w:val="24"/>
        </w:rPr>
        <w:t xml:space="preserve"> of belting and twang. Discussion accompanied the introduction, which supported their ability to hear more details in the sounds. This part of the process aimed to develop listening skills which would aid </w:t>
      </w:r>
      <w:r w:rsidRPr="00AE2080">
        <w:rPr>
          <w:rStyle w:val="cf01"/>
          <w:rFonts w:ascii="Arial" w:eastAsiaTheme="majorEastAsia" w:hAnsi="Arial" w:cs="Arial"/>
          <w:b/>
          <w:bCs/>
          <w:i/>
          <w:iCs/>
          <w:sz w:val="24"/>
          <w:szCs w:val="24"/>
        </w:rPr>
        <w:t>vocal mimicry</w:t>
      </w:r>
      <w:r w:rsidRPr="00AE2080">
        <w:rPr>
          <w:rStyle w:val="cf01"/>
          <w:rFonts w:ascii="Arial" w:eastAsiaTheme="majorEastAsia" w:hAnsi="Arial" w:cs="Arial"/>
          <w:sz w:val="24"/>
          <w:szCs w:val="24"/>
        </w:rPr>
        <w:t xml:space="preserve"> and in turn support </w:t>
      </w:r>
      <w:r w:rsidRPr="00AE2080">
        <w:rPr>
          <w:rStyle w:val="cf01"/>
          <w:rFonts w:ascii="Arial" w:eastAsiaTheme="majorEastAsia" w:hAnsi="Arial" w:cs="Arial"/>
          <w:b/>
          <w:bCs/>
          <w:i/>
          <w:iCs/>
          <w:sz w:val="24"/>
          <w:szCs w:val="24"/>
        </w:rPr>
        <w:t xml:space="preserve">audiation </w:t>
      </w:r>
      <w:r w:rsidRPr="00AE2080">
        <w:rPr>
          <w:rFonts w:ascii="Arial" w:hAnsi="Arial" w:cs="Arial"/>
          <w:noProof/>
        </w:rPr>
        <w:fldChar w:fldCharType="begin" w:fldLock="1"/>
      </w:r>
      <w:r w:rsidRPr="00AE2080">
        <w:rPr>
          <w:rFonts w:ascii="Arial" w:hAnsi="Arial" w:cs="Arial"/>
          <w:noProof/>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AE2080">
        <w:rPr>
          <w:rFonts w:ascii="Arial" w:hAnsi="Arial" w:cs="Arial"/>
          <w:noProof/>
        </w:rPr>
        <w:fldChar w:fldCharType="separate"/>
      </w:r>
      <w:r w:rsidRPr="00AE2080">
        <w:rPr>
          <w:rFonts w:ascii="Arial" w:hAnsi="Arial" w:cs="Arial"/>
          <w:noProof/>
        </w:rPr>
        <w:t>(Verdolini, 1998; Hodges and Franks, 2002; Roll, 2014; Moss Erickson, 2019, 2023; Titze, 2022)</w:t>
      </w:r>
      <w:r w:rsidRPr="00AE2080">
        <w:rPr>
          <w:rFonts w:ascii="Arial" w:hAnsi="Arial" w:cs="Arial"/>
          <w:noProof/>
        </w:rPr>
        <w:fldChar w:fldCharType="end"/>
      </w:r>
      <w:r w:rsidRPr="00AE2080">
        <w:rPr>
          <w:rFonts w:ascii="Arial" w:hAnsi="Arial" w:cs="Arial"/>
          <w:noProof/>
        </w:rPr>
        <w:t>.</w:t>
      </w:r>
    </w:p>
    <w:p w14:paraId="61981142" w14:textId="77777777" w:rsidR="00830195" w:rsidRPr="00AE2080" w:rsidRDefault="00830195" w:rsidP="00AE2080">
      <w:pPr>
        <w:pStyle w:val="pf0"/>
        <w:spacing w:line="360" w:lineRule="auto"/>
        <w:jc w:val="center"/>
        <w:rPr>
          <w:rStyle w:val="cf01"/>
          <w:rFonts w:ascii="Arial" w:eastAsiaTheme="majorEastAsia" w:hAnsi="Arial" w:cs="Arial"/>
          <w:sz w:val="24"/>
          <w:szCs w:val="24"/>
        </w:rPr>
      </w:pPr>
      <w:r w:rsidRPr="00AE2080">
        <w:rPr>
          <w:rStyle w:val="cf01"/>
          <w:rFonts w:ascii="Arial" w:eastAsiaTheme="majorEastAsia" w:hAnsi="Arial" w:cs="Arial"/>
          <w:i/>
          <w:iCs/>
          <w:sz w:val="24"/>
          <w:szCs w:val="24"/>
        </w:rPr>
        <w:t>‘I feel as though the exercises involving imitating necessary twang were successful… This helped me feel much more excited and curious about exploring my upper register.’</w:t>
      </w:r>
      <w:r w:rsidRPr="00AE2080">
        <w:rPr>
          <w:rStyle w:val="cf01"/>
          <w:rFonts w:ascii="Arial" w:eastAsiaTheme="majorEastAsia" w:hAnsi="Arial" w:cs="Arial"/>
          <w:sz w:val="24"/>
          <w:szCs w:val="24"/>
        </w:rPr>
        <w:t xml:space="preserve"> (C, 2024, post-study survey)</w:t>
      </w:r>
    </w:p>
    <w:p w14:paraId="21DAEA71" w14:textId="4DCA8739"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This experience supports the evidence base regarding the benefits of training across different styles and the </w:t>
      </w:r>
      <w:r w:rsidRPr="00AE2080">
        <w:rPr>
          <w:rFonts w:ascii="Arial" w:eastAsia="Times New Roman" w:hAnsi="Arial" w:cs="Arial"/>
          <w:b/>
          <w:bCs/>
          <w:i/>
          <w:iCs/>
          <w:sz w:val="24"/>
          <w:szCs w:val="24"/>
          <w:lang w:eastAsia="en-GB"/>
        </w:rPr>
        <w:t xml:space="preserve">arc of vocal opportunities </w:t>
      </w:r>
      <w:r w:rsidRPr="00AE2080">
        <w:rPr>
          <w:rFonts w:ascii="Arial" w:eastAsia="Times New Roman" w:hAnsi="Arial" w:cs="Arial"/>
          <w:b/>
          <w:bCs/>
          <w:i/>
          <w:iCs/>
          <w:sz w:val="24"/>
          <w:szCs w:val="24"/>
          <w:lang w:eastAsia="en-GB"/>
        </w:rPr>
        <w:fldChar w:fldCharType="begin" w:fldLock="1"/>
      </w:r>
      <w:r w:rsidRPr="00AE2080">
        <w:rPr>
          <w:rFonts w:ascii="Arial" w:eastAsia="Times New Roman" w:hAnsi="Arial" w:cs="Arial"/>
          <w:b/>
          <w:bCs/>
          <w:i/>
          <w:iCs/>
          <w:sz w:val="24"/>
          <w:szCs w:val="24"/>
          <w:lang w:eastAsia="en-GB"/>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Review","id":"ITEM-2","issue":"3","issued":{"date-parts":[["2021"]]},"note":"Opera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Teacher","type":"article-journal","volume":"15"},"uris":["http://www.mendeley.com/documents/?uuid=c913173e-82b0-4559-a07f-7d1b3007e2ce"]}],"mendeley":{"formattedCitation":"(Roll, 2014; Wilson, 2021)","plainTextFormattedCitation":"(Roll, 2014; Wilson, 2021)","previouslyFormattedCitation":"(Roll, 2014; Wilson, 2021)"},"properties":{"noteIndex":0},"schema":"https://github.com/citation-style-language/schema/raw/master/csl-citation.json"}</w:instrText>
      </w:r>
      <w:r w:rsidRPr="00AE2080">
        <w:rPr>
          <w:rFonts w:ascii="Arial" w:eastAsia="Times New Roman" w:hAnsi="Arial" w:cs="Arial"/>
          <w:b/>
          <w:bCs/>
          <w:i/>
          <w:iCs/>
          <w:sz w:val="24"/>
          <w:szCs w:val="24"/>
          <w:lang w:eastAsia="en-GB"/>
        </w:rPr>
        <w:fldChar w:fldCharType="separate"/>
      </w:r>
      <w:r w:rsidRPr="00AE2080">
        <w:rPr>
          <w:rFonts w:ascii="Arial" w:eastAsia="Times New Roman" w:hAnsi="Arial" w:cs="Arial"/>
          <w:bCs/>
          <w:iCs/>
          <w:noProof/>
          <w:sz w:val="24"/>
          <w:szCs w:val="24"/>
          <w:lang w:eastAsia="en-GB"/>
        </w:rPr>
        <w:t>(Roll, 2014; Wilson, 2021)</w:t>
      </w:r>
      <w:r w:rsidRPr="00AE2080">
        <w:rPr>
          <w:rFonts w:ascii="Arial" w:eastAsia="Times New Roman" w:hAnsi="Arial" w:cs="Arial"/>
          <w:b/>
          <w:bCs/>
          <w:i/>
          <w:iCs/>
          <w:sz w:val="24"/>
          <w:szCs w:val="24"/>
          <w:lang w:eastAsia="en-GB"/>
        </w:rPr>
        <w:fldChar w:fldCharType="end"/>
      </w:r>
      <w:r w:rsidRPr="00AE2080">
        <w:rPr>
          <w:rFonts w:ascii="Arial" w:eastAsia="Times New Roman" w:hAnsi="Arial" w:cs="Arial"/>
          <w:b/>
          <w:bCs/>
          <w:i/>
          <w:iCs/>
          <w:sz w:val="24"/>
          <w:szCs w:val="24"/>
          <w:lang w:eastAsia="en-GB"/>
        </w:rPr>
        <w:t>.</w:t>
      </w:r>
      <w:r w:rsidR="00AD1AF0">
        <w:rPr>
          <w:rFonts w:ascii="Arial" w:eastAsia="Times New Roman" w:hAnsi="Arial" w:cs="Arial"/>
          <w:b/>
          <w:bCs/>
          <w:i/>
          <w:iCs/>
          <w:sz w:val="24"/>
          <w:szCs w:val="24"/>
          <w:lang w:eastAsia="en-GB"/>
        </w:rPr>
        <w:t xml:space="preserve"> </w:t>
      </w:r>
      <w:r w:rsidRPr="00AE2080">
        <w:rPr>
          <w:rFonts w:ascii="Arial" w:eastAsia="Times New Roman" w:hAnsi="Arial" w:cs="Arial"/>
          <w:sz w:val="24"/>
          <w:szCs w:val="24"/>
          <w:lang w:eastAsia="en-GB"/>
        </w:rPr>
        <w:t xml:space="preserve">It was a head voice exercise which was a turning point for this singer in finding a better connection to the body when singing </w:t>
      </w:r>
      <w:r w:rsidRPr="00AE2080">
        <w:rPr>
          <w:rStyle w:val="cf01"/>
          <w:rFonts w:ascii="Arial" w:eastAsiaTheme="majorEastAsia" w:hAnsi="Arial" w:cs="Arial"/>
          <w:sz w:val="24"/>
          <w:szCs w:val="24"/>
        </w:rPr>
        <w:t>(C, 2024, post-study survey).</w:t>
      </w:r>
      <w:r w:rsidRPr="00AE2080">
        <w:rPr>
          <w:rFonts w:ascii="Arial" w:eastAsia="Times New Roman" w:hAnsi="Arial" w:cs="Arial"/>
          <w:sz w:val="24"/>
          <w:szCs w:val="24"/>
          <w:lang w:eastAsia="en-GB"/>
        </w:rPr>
        <w:t xml:space="preserve"> Expert 1 discussed the importance of a teacher asking for a student’s motor learning biofeedback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Theses","id":"ITEM-2","issued":{"date-parts":[["2011"]]},"page":"191","title":"Application of principles from motor-learning theory to the studio voice lesson: Effects of feedback frequency on retention of classical singing technique","type":"article-journal"},"uris":["http://www.mendeley.com/documents/?uuid=92fbf4bf-1473-452d-8fcc-3f4f51740743"]}],"mendeley":{"formattedCitation":"(Maxfield, 2011; 1, 2023)","plainTextFormattedCitation":"(Maxfield, 2011; 1, 2023)","previouslyFormattedCitation":"(Maxfield, 2011; 1,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(Maxfield, 2011; 1,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Without this teaching feedback and awareness, the student would have been unable to provide me with information which could help </w:t>
      </w:r>
      <w:r w:rsidRPr="00AE2080">
        <w:rPr>
          <w:rFonts w:ascii="Arial" w:eastAsia="Times New Roman" w:hAnsi="Arial" w:cs="Arial"/>
          <w:b/>
          <w:bCs/>
          <w:i/>
          <w:iCs/>
          <w:sz w:val="24"/>
          <w:szCs w:val="24"/>
          <w:lang w:eastAsia="en-GB"/>
        </w:rPr>
        <w:t>individualise</w:t>
      </w:r>
      <w:r w:rsidRPr="00AE2080">
        <w:rPr>
          <w:rFonts w:ascii="Arial" w:eastAsia="Times New Roman" w:hAnsi="Arial" w:cs="Arial"/>
          <w:sz w:val="24"/>
          <w:szCs w:val="24"/>
          <w:lang w:eastAsia="en-GB"/>
        </w:rPr>
        <w:t xml:space="preserve"> the process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id":"ITEM-3","itemData":{"author":[{"dropping-particle":"","family":"Warwick","given":"Paul","non-dropping-particle":"","parse-names":false,"suffix":""}],"id":"ITEM-3","issued":{"date-parts":[["2007"]]},"title":"Reflective practice: some notes on the development of the notion of professional reflection Why have I written this for the Busy Guide?","type":"article-journal"},"uris":["http://www.mendeley.com/documents/?uuid=e5a8b727-e2b0-4741-8f2e-bf841c7ea530"]},{"id":"ITEM-4","itemData":{"DOI":"10.1186/s12961-019-0468-4","ISSN":"14784505","PMID":"31391119","abstract":"Background: WHO has recognised the need to improve its guideline methodology to ensure that guideline decision-making processes are transparent and evidence based, and that the resulting recommendations are relevant and applicable. To help achieve this, WHO guidelines now typically enhance intervention effectiveness data with evidence on a wider range of decision-making criteria, including how stakeholders value different outcomes, equity, gender and human rights impacts, and the acceptability and feasibility of interventions. Qualitative evidence syntheses (QES) are increasingly used to provide evidence on this wider range of issues. In this paper, we describe and discuss how to use the findings from QES to populate decision-making criteria in evidence-to-decision (EtD) frameworks. This is the second in a series of three papers that examines the use of QES in developing clinical and health system guidelines. Methods: WHO convened a writing group drawn from the technical teams involved in its recent (2010-2018) guidelines employing QES. Using a pragmatic and iterative approach that included feedback from WHO staff and other stakeholders, the group reflected on, discussed and identified key methods and research implications from designing QES and using the resulting findings in guideline development. Results: We describe a step-wise approach to populating EtD frameworks with QES findings. This involves allocating findings to the different EtD criteria (how stakeholders value different outcomes, equity, acceptability and feasibility, etc.), weaving the findings into a short narrative relevant to each criterion, and inserting this summary narrative into the corresponding 'research evidence' sections of the EtD. We also identify areas for further methodological research, including how best to summarise and present qualitative data to groups developing guidelines, how these groups draw on different types of evidence in their decisions, and the extent to which our experiences are relevant to decision-making processes in fields other than health. Conclusions: This paper shows the value of incorporating QES within a guideline development process, and the roles that qualitative evidence can play in integrating the views and experiences of relevant stakeholders, including groups who may not be otherwise represented in the decision-making process.","author":[{"dropping-particle":"","family":"Downe","given":"Soo","non-dropping-particle":"","parse-names":false,"suffix":""},{"dropping-particle":"","family":"Finlayson","given":"Kenneth W","non-dropping-particle":"","parse-names":false,"suffix":""},{"dropping-particle":"","family":"Lawrie","given":"Theresa A","non-dropping-particle":"","parse-names":false,"suffix":""},{"dropping-particle":"","family":"Lewin","given":"Simon A","non-dropping-particle":"","parse-names":false,"suffix":""},{"dropping-particle":"","family":"Glenton","given":"Claire","non-dropping-particle":"","parse-names":false,"suffix":""},{"dropping-particle":"","family":"Rosenbaum","given":"Sarah","non-dropping-particle":"","parse-names":false,"suffix":""},{"dropping-particle":"","family":"Barreix","given":"María","non-dropping-particle":"","parse-names":false,"suffix":""},{"dropping-particle":"","family":"Tunçalp","given":"Özge","non-dropping-particle":"","parse-names":false,"suffix":""}],"container-title":"Health Research Policy and Systems","id":"ITEM-4","issue":"1","issued":{"date-parts":[["2019"]]},"page":"1-12","publisher":"Health Research Policy and Systems","title":"Qualitative Evidence Synthesis (QES) for Guidelines: Paper 2-Using qualitative evidence synthesis findings to inform evidence-to-decision frameworks and recommendations","type":"article-journal","volume":"17"},"uris":["http://www.mendeley.com/documents/?uuid=77a72055-176a-426d-8972-d79d1c8adf98"]},{"id":"ITEM-5","itemData":{"DOI":"10.33750/ijhi.v4i1.102","abstract":"Teaching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(IJHI)","id":"ITEM-5","issue":"1","issued":{"date-parts":[["2021"]]},"page":"1-4","title":"Teaching and learning process to enhance teaching effectiveness: literature review","type":"article-journal","volume":"4"},"uris":["http://www.mendeley.com/documents/?uuid=8cf3da37-aefa-4726-a62b-3a64b2c39dc5"]}],"mendeley":{"formattedCitation":"(Warwick, 2007; Downe &lt;i&gt;et al.&lt;/i&gt;, 2019; Munna and Kalam, 2021; 1, 2023; 2, 2023)","plainTextFormattedCitation":"(Warwick, 2007; Downe et al., 2019; Munna and Kalam, 2021; 1, 2023; 2, 2023)","previouslyFormattedCitation":"(Warwick, 2007; Downe &lt;i&gt;et al.&lt;/i&gt;, 2019; Munna and Kalam, 2021; 1, 2023; 2,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(Warwick, 2007; Downe </w:t>
      </w:r>
      <w:r w:rsidRPr="00AE2080">
        <w:rPr>
          <w:rFonts w:ascii="Arial" w:eastAsia="Times New Roman" w:hAnsi="Arial" w:cs="Arial"/>
          <w:i/>
          <w:noProof/>
          <w:sz w:val="24"/>
          <w:szCs w:val="24"/>
          <w:lang w:eastAsia="en-GB"/>
        </w:rPr>
        <w:t>et al.</w:t>
      </w:r>
      <w:r w:rsidRPr="00AE2080">
        <w:rPr>
          <w:rFonts w:ascii="Arial" w:eastAsia="Times New Roman" w:hAnsi="Arial" w:cs="Arial"/>
          <w:noProof/>
          <w:sz w:val="24"/>
          <w:szCs w:val="24"/>
          <w:lang w:eastAsia="en-GB"/>
        </w:rPr>
        <w:t>, 2019; Munna and Kalam, 2021; 1, 2023; 2,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6660C63E" w14:textId="77777777"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Fonts w:ascii="Arial" w:eastAsia="Times New Roman" w:hAnsi="Arial" w:cs="Arial"/>
          <w:i/>
          <w:iCs/>
          <w:sz w:val="24"/>
          <w:szCs w:val="24"/>
          <w:lang w:eastAsia="en-GB"/>
        </w:rPr>
        <w:t xml:space="preserve">‘One of the challenges I noticed when belting was slipping back into my habit of using too much breath when singing higher notes… I feel that the exercises Jon has set have been helping me undo/counteract this habit.’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29A22685" w14:textId="4F1E5B7F"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When this breathing habit was first evident in a lesson, </w:t>
      </w:r>
      <w:r w:rsidR="00F4211D">
        <w:rPr>
          <w:rFonts w:ascii="Arial" w:eastAsia="Times New Roman" w:hAnsi="Arial" w:cs="Arial"/>
          <w:sz w:val="24"/>
          <w:szCs w:val="24"/>
          <w:lang w:eastAsia="en-GB"/>
        </w:rPr>
        <w:t>we</w:t>
      </w:r>
      <w:r w:rsidRPr="00AE2080">
        <w:rPr>
          <w:rFonts w:ascii="Arial" w:eastAsia="Times New Roman" w:hAnsi="Arial" w:cs="Arial"/>
          <w:sz w:val="24"/>
          <w:szCs w:val="24"/>
          <w:lang w:eastAsia="en-GB"/>
        </w:rPr>
        <w:t xml:space="preserve"> </w:t>
      </w:r>
      <w:r w:rsidRPr="00AE2080">
        <w:rPr>
          <w:rFonts w:ascii="Arial" w:eastAsia="Times New Roman" w:hAnsi="Arial" w:cs="Arial"/>
          <w:b/>
          <w:bCs/>
          <w:i/>
          <w:iCs/>
          <w:sz w:val="24"/>
          <w:szCs w:val="24"/>
          <w:lang w:eastAsia="en-GB"/>
        </w:rPr>
        <w:t xml:space="preserve">noticed, discussed, </w:t>
      </w:r>
      <w:r w:rsidRPr="00AE2080">
        <w:rPr>
          <w:rFonts w:ascii="Arial" w:eastAsia="Times New Roman" w:hAnsi="Arial" w:cs="Arial"/>
          <w:sz w:val="24"/>
          <w:szCs w:val="24"/>
          <w:lang w:eastAsia="en-GB"/>
        </w:rPr>
        <w:t>and</w:t>
      </w:r>
      <w:r w:rsidRPr="00AE2080">
        <w:rPr>
          <w:rFonts w:ascii="Arial" w:eastAsia="Times New Roman" w:hAnsi="Arial" w:cs="Arial"/>
          <w:b/>
          <w:bCs/>
          <w:i/>
          <w:iCs/>
          <w:sz w:val="24"/>
          <w:szCs w:val="24"/>
          <w:lang w:eastAsia="en-GB"/>
        </w:rPr>
        <w:t xml:space="preserve"> explored</w:t>
      </w:r>
      <w:r w:rsidRPr="00AE2080">
        <w:rPr>
          <w:rFonts w:ascii="Arial" w:eastAsia="Times New Roman" w:hAnsi="Arial" w:cs="Arial"/>
          <w:sz w:val="24"/>
          <w:szCs w:val="24"/>
          <w:lang w:eastAsia="en-GB"/>
        </w:rPr>
        <w:t xml:space="preserve"> to solve the difficulty. The knowledge I have gained in this study provided me with more </w:t>
      </w:r>
      <w:r w:rsidR="00116C4D">
        <w:rPr>
          <w:rFonts w:ascii="Arial" w:eastAsia="Times New Roman" w:hAnsi="Arial" w:cs="Arial"/>
          <w:sz w:val="24"/>
          <w:szCs w:val="24"/>
          <w:lang w:eastAsia="en-GB"/>
        </w:rPr>
        <w:t xml:space="preserve">teaching </w:t>
      </w:r>
      <w:r w:rsidRPr="00AE2080">
        <w:rPr>
          <w:rFonts w:ascii="Arial" w:eastAsia="Times New Roman" w:hAnsi="Arial" w:cs="Arial"/>
          <w:sz w:val="24"/>
          <w:szCs w:val="24"/>
          <w:lang w:eastAsia="en-GB"/>
        </w:rPr>
        <w:t xml:space="preserve">options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Consequently, I felt empowered to </w:t>
      </w:r>
      <w:r w:rsidRPr="00AE2080">
        <w:rPr>
          <w:rFonts w:ascii="Arial" w:eastAsia="Times New Roman" w:hAnsi="Arial" w:cs="Arial"/>
          <w:sz w:val="24"/>
          <w:szCs w:val="24"/>
          <w:lang w:eastAsia="en-GB"/>
        </w:rPr>
        <w:lastRenderedPageBreak/>
        <w:t xml:space="preserve">support the student in </w:t>
      </w:r>
      <w:r w:rsidR="00244FD7">
        <w:rPr>
          <w:rFonts w:ascii="Arial" w:eastAsia="Times New Roman" w:hAnsi="Arial" w:cs="Arial"/>
          <w:sz w:val="24"/>
          <w:szCs w:val="24"/>
          <w:lang w:eastAsia="en-GB"/>
        </w:rPr>
        <w:t>applying</w:t>
      </w:r>
      <w:r w:rsidRPr="00AE2080">
        <w:rPr>
          <w:rFonts w:ascii="Arial" w:eastAsia="Times New Roman" w:hAnsi="Arial" w:cs="Arial"/>
          <w:sz w:val="24"/>
          <w:szCs w:val="24"/>
          <w:lang w:eastAsia="en-GB"/>
        </w:rPr>
        <w:t xml:space="preserve"> </w:t>
      </w:r>
      <w:r w:rsidR="00244FD7">
        <w:rPr>
          <w:rFonts w:ascii="Arial" w:eastAsia="Times New Roman" w:hAnsi="Arial" w:cs="Arial"/>
          <w:sz w:val="24"/>
          <w:szCs w:val="24"/>
          <w:lang w:eastAsia="en-GB"/>
        </w:rPr>
        <w:t xml:space="preserve">the concept of </w:t>
      </w:r>
      <w:r w:rsidRPr="00AE2080">
        <w:rPr>
          <w:rFonts w:ascii="Arial" w:hAnsi="Arial" w:cs="Arial"/>
          <w:b/>
          <w:bCs/>
          <w:i/>
          <w:iCs/>
          <w:sz w:val="24"/>
          <w:szCs w:val="24"/>
        </w:rPr>
        <w:t>‘most comfortable vocal effort’</w:t>
      </w:r>
      <w:r w:rsidRPr="00FF0FCE">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{"citationItems":[{"id":"ITEM-1","itemData":{"DOI":"10.1080/23268263.2019.1605707","ISSN":"23268271","abstract":"Vocal Traditions is a series in the Voice and Speech Review that highlights historically important voice teachers and schools of thought in the world of vocal pedagogy. In this essay, Estill Voice training offers its overview, history, key features, goals, and details on teacher training.","author":[{"dropping-particle":"","family":"Steinhauer","given":"Kimberly M.","non-dropping-particle":"","parse-names":false,"suffix":""},{"dropping-particle":"","family":"McDonald Klimek","given":"Mary","non-dropping-particle":"","parse-names":false,"suffix":""}],"container-title":"Voice and Speech Review","id":"ITEM-1","issue":"3","issued":{"date-parts":[["2019"]]},"page":"354-359","publisher":"Routledge","title":"Vocal Traditions: Estill Voice Training®","type":"article-journal","volume":"13"},"uris":["http://www.mendeley.com/documents/?uuid=0689d439-53d4-4da4-85a1-aafad9ed995a"]},{"id":"ITEM-2","itemData":{"abstract":"Anoymity coded reference for expert interview and written interview documents regarding Evidence-Based Belt Trainging Process.","author":[{"dropping-particle":"","family":"1","given":"Expert","non-dropping-particle":"","parse-names":false,"suffix":""}],"id":"ITEM-2","issued":{"date-parts":[["2023"]]},"title":"Expert 1 data sources","type":"article"},"uris":["http://www.mendeley.com/documents/?uuid=8176b77e-de74-4a97-bd11-35252f740a16"]},{"id":"ITEM-3","itemData":{"abstract":"The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economies.","author":[{"dropping-particle":"","family":"Costley","given":"Carol","non-dropping-particle":"","parse-names":false,"suffix":""}],"container-title":"Professional lifelong learning: beyond reflective practice","id":"ITEM-3","issued":{"date-parts":[["2006"]]},"page":"1-13","title":"Practitioner-led enquiry as development of professional practice","type":"article-journal"},"uris":["http://www.mendeley.com/documents/?uuid=4350d356-18d4-48b2-b420-c5c3d51b106d"]}],"mendeley":{"formattedCitation":"(Costley, 2006; Steinhauer and McDonald Klimek, 2019; 1, 2023)","plainTextFormattedCitation":"(Costley, 2006; Steinhauer and McDonald Klimek, 2019; 1, 2023)","previouslyFormattedCitation":"(Costley, 2006; Steinhauer and McDonald Klimek, 2019; 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(Costley, 2006; Steinhauer and McDonald Klimek, 2019; 1, 2023)</w:t>
      </w:r>
      <w:r w:rsidRPr="00AE2080">
        <w:rPr>
          <w:rFonts w:ascii="Arial" w:hAnsi="Arial" w:cs="Arial"/>
          <w:sz w:val="24"/>
          <w:szCs w:val="24"/>
        </w:rPr>
        <w:fldChar w:fldCharType="end"/>
      </w:r>
      <w:r w:rsidRPr="00AE2080">
        <w:rPr>
          <w:rFonts w:ascii="Arial" w:hAnsi="Arial" w:cs="Arial"/>
          <w:sz w:val="24"/>
          <w:szCs w:val="24"/>
        </w:rPr>
        <w:t>.</w:t>
      </w:r>
    </w:p>
    <w:p w14:paraId="4CAC88AB" w14:textId="774D0988" w:rsidR="00830195" w:rsidRPr="00AE2080" w:rsidRDefault="00830195" w:rsidP="00AE2080">
      <w:pPr>
        <w:spacing w:before="100" w:beforeAutospacing="1" w:after="100" w:afterAutospacing="1" w:line="360" w:lineRule="auto"/>
        <w:jc w:val="both"/>
        <w:rPr>
          <w:rFonts w:ascii="Arial" w:eastAsia="Times New Roman" w:hAnsi="Arial" w:cs="Arial"/>
          <w:i/>
          <w:iCs/>
          <w:sz w:val="24"/>
          <w:szCs w:val="24"/>
          <w:lang w:eastAsia="en-GB"/>
        </w:rPr>
      </w:pPr>
      <w:r w:rsidRPr="00AE2080">
        <w:rPr>
          <w:rFonts w:ascii="Arial" w:eastAsia="Times New Roman" w:hAnsi="Arial" w:cs="Arial"/>
          <w:sz w:val="24"/>
          <w:szCs w:val="24"/>
          <w:lang w:eastAsia="en-GB"/>
        </w:rPr>
        <w:t xml:space="preserve">The study set-up fostered a </w:t>
      </w:r>
      <w:r w:rsidRPr="00AE2080">
        <w:rPr>
          <w:rFonts w:ascii="Arial" w:eastAsia="Times New Roman" w:hAnsi="Arial" w:cs="Arial"/>
          <w:b/>
          <w:bCs/>
          <w:i/>
          <w:iCs/>
          <w:sz w:val="24"/>
          <w:szCs w:val="24"/>
          <w:lang w:eastAsia="en-GB"/>
        </w:rPr>
        <w:t>self-reflective approach</w:t>
      </w:r>
      <w:r w:rsidRPr="00AE2080">
        <w:rPr>
          <w:rFonts w:ascii="Arial" w:eastAsia="Times New Roman" w:hAnsi="Arial" w:cs="Arial"/>
          <w:sz w:val="24"/>
          <w:szCs w:val="24"/>
          <w:lang w:eastAsia="en-GB"/>
        </w:rPr>
        <w:t xml:space="preserve"> and </w:t>
      </w:r>
      <w:r w:rsidRPr="00AE2080">
        <w:rPr>
          <w:rFonts w:ascii="Arial" w:eastAsia="Times New Roman" w:hAnsi="Arial" w:cs="Arial"/>
          <w:b/>
          <w:bCs/>
          <w:i/>
          <w:iCs/>
          <w:sz w:val="24"/>
          <w:szCs w:val="24"/>
          <w:lang w:eastAsia="en-GB"/>
        </w:rPr>
        <w:t>development of awareness</w:t>
      </w:r>
      <w:r w:rsidRPr="00AE2080">
        <w:rPr>
          <w:rFonts w:ascii="Arial" w:eastAsia="Times New Roman" w:hAnsi="Arial" w:cs="Arial"/>
          <w:sz w:val="24"/>
          <w:szCs w:val="24"/>
          <w:lang w:eastAsia="en-GB"/>
        </w:rPr>
        <w:t xml:space="preserve"> which have been shown to support learning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Guide?","type":"article-journal"},"uris":["http://www.mendeley.com/documents/?uuid=e5a8b727-e2b0-4741-8f2e-bf841c7ea530"]},{"id":"ITEM-2","itemData":{"abstract":"This dissertation is a study wrapped in a metaphor of voices, figurative and literal. It is a story of four singers over the course of 12 weeks and weaves through individuals in a group singing class. As a study, it used integral inquiry and emphasized action and narrative research. It explored one overarching research question, which naturally led to several sub-questions: In what ways might Mindfulness Awareness Practices (MAPS) and contemplative teaching and learning practices affect singers’ experiences of their own vocal and personal growth? (Sub- questions: What practices are reported as being successful?; How do participants experience growth?; How might singers and teachers shift to a mindset of process and progress throughout practicing and performing?; How do we create a space of mutuality and trust to foster self- reflection?; How do we balance instruction, offering feedback when needed and wanted while fostering self-trust and independence? While","author":[{"dropping-particle":"","family":"Blackhurst","given":"Lindsey Elizabeth","non-dropping-particle":"","parse-names":false,"suffix":""}],"container-title":"University of Colombia Doctor of Education submission","id":"ITEM-2","issued":{"date-parts":[["2021"]]},"title":"Exploring the Whole Singing Self with Technique, Contemplative Education, and Mindfulness","type":"thesis"},"uris":["http://www.mendeley.com/documents/?uuid=79851e18-e8d1-4fb1-960f-0d0a2b1452b7"]},{"id":"ITEM-3","itemData":{"DOI":"10.1177/02557614221074057","ISBN":"0255761422107","ISSN":"1744795X","abstract":"Fostering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Education","id":"ITEM-3","issued":{"date-parts":[["2022"]]},"title":"“It’s your body, it’s part of who you are!”: Influences upon collegiate vocalists’ performance self-efficacy beliefs","type":"article-journal"},"uris":["http://www.mendeley.com/documents/?uuid=d1469298-0bbc-4c76-afcd-e0c4086da712"]}],"mendeley":{"formattedCitation":"(Warwick, 2007; Blackhurst, 2021; Lewis and Hendricks, 2022)","plainTextFormattedCitation":"(Warwick, 2007; Blackhurst, 2021; Lewis and Hendricks, 2022)","previouslyFormattedCitation":"(Warwick, 2007; Blackhurst, 2021; Lewis and Hendricks,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 Blackhurst, 2021; Lewis and Hendricks,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This student’s experience and feedback give supportive evidence of the approaches and knowledge which I have assimilated throughout this study.</w:t>
      </w:r>
    </w:p>
    <w:p w14:paraId="1203E57C" w14:textId="2FD5701F" w:rsidR="00830195" w:rsidRPr="00AE2080" w:rsidRDefault="006159F1" w:rsidP="00AE2080">
      <w:pPr>
        <w:spacing w:before="100" w:beforeAutospacing="1" w:after="100" w:afterAutospacing="1" w:line="360" w:lineRule="auto"/>
        <w:jc w:val="center"/>
        <w:rPr>
          <w:rStyle w:val="cf01"/>
          <w:rFonts w:ascii="Arial" w:eastAsiaTheme="majorEastAsia" w:hAnsi="Arial" w:cs="Arial"/>
          <w:sz w:val="24"/>
          <w:szCs w:val="24"/>
        </w:rPr>
      </w:pPr>
      <w:r>
        <w:rPr>
          <w:rFonts w:ascii="Arial" w:eastAsia="Times New Roman" w:hAnsi="Arial" w:cs="Arial"/>
          <w:i/>
          <w:iCs/>
          <w:sz w:val="24"/>
          <w:szCs w:val="24"/>
          <w:lang w:eastAsia="en-GB"/>
        </w:rPr>
        <w:t>‘</w:t>
      </w:r>
      <w:r w:rsidR="00830195" w:rsidRPr="00AE2080">
        <w:rPr>
          <w:rFonts w:ascii="Arial" w:eastAsia="Times New Roman" w:hAnsi="Arial" w:cs="Arial"/>
          <w:i/>
          <w:iCs/>
          <w:sz w:val="24"/>
          <w:szCs w:val="24"/>
          <w:lang w:eastAsia="en-GB"/>
        </w:rPr>
        <w:t xml:space="preserve">[Practice reflection has] enabled me to recall my experiences more readily [which] in turn allowed me to make progress more quickly than I believe I would have made otherwise.’ </w:t>
      </w:r>
      <w:r w:rsidR="00830195" w:rsidRPr="00AE2080">
        <w:rPr>
          <w:rStyle w:val="cf01"/>
          <w:rFonts w:ascii="Arial" w:eastAsiaTheme="majorEastAsia" w:hAnsi="Arial" w:cs="Arial"/>
          <w:sz w:val="24"/>
          <w:szCs w:val="24"/>
        </w:rPr>
        <w:fldChar w:fldCharType="begin" w:fldLock="1"/>
      </w:r>
      <w:r w:rsidR="00830195"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00830195" w:rsidRPr="00AE2080">
        <w:rPr>
          <w:rStyle w:val="cf01"/>
          <w:rFonts w:ascii="Arial" w:eastAsiaTheme="majorEastAsia" w:hAnsi="Arial" w:cs="Arial"/>
          <w:sz w:val="24"/>
          <w:szCs w:val="24"/>
        </w:rPr>
        <w:fldChar w:fldCharType="separate"/>
      </w:r>
      <w:r w:rsidR="00830195" w:rsidRPr="00AE2080">
        <w:rPr>
          <w:rStyle w:val="cf01"/>
          <w:rFonts w:ascii="Arial" w:eastAsiaTheme="majorEastAsia" w:hAnsi="Arial" w:cs="Arial"/>
          <w:noProof/>
          <w:sz w:val="24"/>
          <w:szCs w:val="24"/>
        </w:rPr>
        <w:t>(C, 2024, post-study survey)</w:t>
      </w:r>
      <w:r w:rsidR="00830195" w:rsidRPr="00AE2080">
        <w:rPr>
          <w:rStyle w:val="cf01"/>
          <w:rFonts w:ascii="Arial" w:eastAsiaTheme="majorEastAsia" w:hAnsi="Arial" w:cs="Arial"/>
          <w:sz w:val="24"/>
          <w:szCs w:val="24"/>
        </w:rPr>
        <w:fldChar w:fldCharType="end"/>
      </w:r>
    </w:p>
    <w:p w14:paraId="3A8785F6" w14:textId="09CFA767"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After the second session, Student C became aware of some challenges with a gentle vocal fold closure exercise introduced in session one. Student C logged that they find it ‘</w:t>
      </w:r>
      <w:r w:rsidRPr="00AE2080">
        <w:rPr>
          <w:rFonts w:ascii="Arial" w:hAnsi="Arial" w:cs="Arial"/>
          <w:sz w:val="24"/>
          <w:szCs w:val="24"/>
        </w:rPr>
        <w:t xml:space="preserve">easier to return to this warmup after exercising twang’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practice log 3)","plainTextFormattedCitation":"(C,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practice log 3)</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 xml:space="preserve">. After discussing the practice log feedback, </w:t>
      </w:r>
      <w:r w:rsidRPr="00AE2080">
        <w:rPr>
          <w:rFonts w:ascii="Arial" w:eastAsia="Times New Roman" w:hAnsi="Arial" w:cs="Arial"/>
          <w:sz w:val="24"/>
          <w:szCs w:val="24"/>
          <w:lang w:eastAsia="en-GB"/>
        </w:rPr>
        <w:t xml:space="preserve">I felt empowered to </w:t>
      </w:r>
      <w:r w:rsidRPr="00AE2080">
        <w:rPr>
          <w:rFonts w:ascii="Arial" w:eastAsia="Times New Roman" w:hAnsi="Arial" w:cs="Arial"/>
          <w:b/>
          <w:bCs/>
          <w:i/>
          <w:iCs/>
          <w:sz w:val="24"/>
          <w:szCs w:val="24"/>
          <w:lang w:eastAsia="en-GB"/>
        </w:rPr>
        <w:t>individualise</w:t>
      </w:r>
      <w:r w:rsidRPr="00AE2080">
        <w:rPr>
          <w:rFonts w:ascii="Arial" w:eastAsia="Times New Roman" w:hAnsi="Arial" w:cs="Arial"/>
          <w:sz w:val="24"/>
          <w:szCs w:val="24"/>
          <w:lang w:eastAsia="en-GB"/>
        </w:rPr>
        <w:t xml:space="preserve"> the process and exercises for this student by developing a mini/ pre-warmup sequence of sounds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Guide?","type":"article-journal"},"uris":["http://www.mendeley.com/documents/?uuid=e5a8b727-e2b0-4741-8f2e-bf841c7ea530"]},{"id":"ITEM-2","itemData":{"abstract":"The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economies.","author":[{"dropping-particle":"","family":"Costley","given":"Carol","non-dropping-particle":"","parse-names":false,"suffix":""}],"container-title":"Professional lifelong learning: beyond reflective practice","id":"ITEM-2","issued":{"date-parts":[["2006"]]},"page":"1-13","title":"Practitioner-led enquiry as development of professional practice","type":"article-journal"},"uris":["http://www.mendeley.com/documents/?uuid=4350d356-18d4-48b2-b420-c5c3d51b106d"]}],"mendeley":{"formattedCitation":"(Costley, 2006; Warwick, 2007)","plainTextFormattedCitation":"(Costley, 2006; Warwick, 2007)","previouslyFormattedCitation":"(Costley, 2006; Warwick, 2007)"},"properties":{"noteIndex":0},"schema":"https://github.com/citation-style-language/schema/raw/master/csl-citation.json"}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(Costley, 2006; Warwick, 2007)</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Having this pre-warmup sequence gave the student the vocal freedom and calm to undertake a sequence of exercises I set to support their belt training. </w:t>
      </w:r>
      <w:r w:rsidRPr="00AE2080">
        <w:rPr>
          <w:rFonts w:ascii="Arial" w:eastAsia="Times New Roman" w:hAnsi="Arial" w:cs="Arial"/>
          <w:i/>
          <w:iCs/>
          <w:sz w:val="24"/>
          <w:szCs w:val="24"/>
          <w:lang w:eastAsia="en-GB"/>
        </w:rPr>
        <w:t>‘</w:t>
      </w:r>
      <w:r w:rsidR="00473090">
        <w:rPr>
          <w:rFonts w:ascii="Arial" w:hAnsi="Arial" w:cs="Arial"/>
          <w:i/>
          <w:iCs/>
          <w:sz w:val="24"/>
          <w:szCs w:val="24"/>
        </w:rPr>
        <w:t>A</w:t>
      </w:r>
      <w:r w:rsidRPr="00AE2080">
        <w:rPr>
          <w:rFonts w:ascii="Arial" w:hAnsi="Arial" w:cs="Arial"/>
          <w:i/>
          <w:iCs/>
          <w:sz w:val="24"/>
          <w:szCs w:val="24"/>
        </w:rPr>
        <w:t>fter the pre-warm-up [sic</w:t>
      </w:r>
      <w:r w:rsidR="00473090">
        <w:rPr>
          <w:rFonts w:ascii="Arial" w:hAnsi="Arial" w:cs="Arial"/>
          <w:i/>
          <w:iCs/>
          <w:sz w:val="24"/>
          <w:szCs w:val="24"/>
        </w:rPr>
        <w:t>]</w:t>
      </w:r>
      <w:r w:rsidR="00473090" w:rsidRPr="00473090">
        <w:rPr>
          <w:rFonts w:ascii="Arial" w:eastAsia="Times New Roman" w:hAnsi="Arial" w:cs="Arial"/>
          <w:sz w:val="24"/>
          <w:szCs w:val="24"/>
          <w:lang w:eastAsia="en-GB"/>
        </w:rPr>
        <w:t xml:space="preserve"> </w:t>
      </w:r>
      <w:r w:rsidR="00473090" w:rsidRPr="00473090">
        <w:rPr>
          <w:rFonts w:ascii="Arial" w:eastAsia="Times New Roman" w:hAnsi="Arial" w:cs="Arial"/>
          <w:i/>
          <w:iCs/>
          <w:sz w:val="24"/>
          <w:szCs w:val="24"/>
          <w:lang w:eastAsia="en-GB"/>
        </w:rPr>
        <w:t>[the challenging exercise]</w:t>
      </w:r>
      <w:r w:rsidRPr="00AE2080">
        <w:rPr>
          <w:rFonts w:ascii="Arial" w:hAnsi="Arial" w:cs="Arial"/>
          <w:i/>
          <w:iCs/>
          <w:sz w:val="24"/>
          <w:szCs w:val="24"/>
        </w:rPr>
        <w:t xml:space="preserve"> has been much easier.’</w:t>
      </w:r>
      <w:r w:rsidRPr="00AE2080">
        <w:rPr>
          <w:rFonts w:ascii="Arial"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practice log 3)","plainTextFormattedCitation":"(C,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practice log 3)</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w:t>
      </w:r>
    </w:p>
    <w:p w14:paraId="7C2B05E1" w14:textId="370C26CA"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Feedback from this student communicates a high level of assimilation of the </w:t>
      </w:r>
      <w:r w:rsidRPr="00AE2080">
        <w:rPr>
          <w:rFonts w:ascii="Arial" w:eastAsia="Times New Roman" w:hAnsi="Arial" w:cs="Arial"/>
          <w:b/>
          <w:bCs/>
          <w:i/>
          <w:iCs/>
          <w:sz w:val="24"/>
          <w:szCs w:val="24"/>
          <w:lang w:eastAsia="en-GB"/>
        </w:rPr>
        <w:t>knowledge</w:t>
      </w:r>
      <w:r w:rsidRPr="00AE2080">
        <w:rPr>
          <w:rFonts w:ascii="Arial" w:eastAsia="Times New Roman" w:hAnsi="Arial" w:cs="Arial"/>
          <w:sz w:val="24"/>
          <w:szCs w:val="24"/>
          <w:lang w:eastAsia="en-GB"/>
        </w:rPr>
        <w:t xml:space="preserve"> and skill. The teaching intentions learned from the study </w:t>
      </w:r>
      <w:r w:rsidR="004F2443">
        <w:rPr>
          <w:rFonts w:ascii="Arial" w:eastAsia="Times New Roman" w:hAnsi="Arial" w:cs="Arial"/>
          <w:sz w:val="24"/>
          <w:szCs w:val="24"/>
          <w:lang w:eastAsia="en-GB"/>
        </w:rPr>
        <w:t>have been</w:t>
      </w:r>
      <w:r w:rsidRPr="00AE2080">
        <w:rPr>
          <w:rFonts w:ascii="Arial" w:eastAsia="Times New Roman" w:hAnsi="Arial" w:cs="Arial"/>
          <w:sz w:val="24"/>
          <w:szCs w:val="24"/>
          <w:lang w:eastAsia="en-GB"/>
        </w:rPr>
        <w:t xml:space="preserve"> </w:t>
      </w:r>
      <w:r w:rsidR="00E81D06">
        <w:rPr>
          <w:rFonts w:ascii="Arial" w:eastAsia="Times New Roman" w:hAnsi="Arial" w:cs="Arial"/>
          <w:sz w:val="24"/>
          <w:szCs w:val="24"/>
          <w:lang w:eastAsia="en-GB"/>
        </w:rPr>
        <w:t>evident the student feedback</w:t>
      </w:r>
      <w:r w:rsidRPr="00AE2080">
        <w:rPr>
          <w:rFonts w:ascii="Arial" w:eastAsia="Times New Roman" w:hAnsi="Arial" w:cs="Arial"/>
          <w:sz w:val="24"/>
          <w:szCs w:val="24"/>
          <w:lang w:eastAsia="en-GB"/>
        </w:rPr>
        <w:t xml:space="preserve">. It seems that this student may have been at the right stage with their readiness to engage the body for belting as the experts suggested is necessary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sources","type":"article"},"uris":["http://www.mendeley.com/documents/?uuid=60c32bec-4096-4eff-b411-5a6d48cc81e4"]}],"mendeley":{"formattedCitation":"(1, 2023; 2, 2023)","plainTextFormattedCitation":"(1, 2023; 2, 2023)","previouslyFormattedCitation":"(1, 2023; 2,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(1, 2023; 2,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This student has watched and listened to a great deal of professional musical theatre. This level of </w:t>
      </w:r>
      <w:r w:rsidRPr="00AE2080">
        <w:rPr>
          <w:rFonts w:ascii="Arial" w:eastAsia="Times New Roman" w:hAnsi="Arial" w:cs="Arial"/>
          <w:b/>
          <w:bCs/>
          <w:i/>
          <w:iCs/>
          <w:sz w:val="24"/>
          <w:szCs w:val="24"/>
          <w:lang w:eastAsia="en-GB"/>
        </w:rPr>
        <w:t>familiarity with musical theatre singing</w:t>
      </w:r>
      <w:r w:rsidRPr="00AE2080">
        <w:rPr>
          <w:rFonts w:ascii="Arial" w:eastAsia="Times New Roman" w:hAnsi="Arial" w:cs="Arial"/>
          <w:sz w:val="24"/>
          <w:szCs w:val="24"/>
          <w:lang w:eastAsia="en-GB"/>
        </w:rPr>
        <w:t xml:space="preserve"> could have primed their audiation of twang and belting </w:t>
      </w:r>
      <w:r w:rsidRPr="00AE2080">
        <w:rPr>
          <w:rFonts w:ascii="Arial" w:hAnsi="Arial" w:cs="Arial"/>
          <w:noProof/>
          <w:sz w:val="24"/>
          <w:szCs w:val="24"/>
        </w:rPr>
        <w:fldChar w:fldCharType="begin" w:fldLock="1"/>
      </w:r>
      <w:r w:rsidRPr="00AE2080">
        <w:rPr>
          <w:rFonts w:ascii="Arial" w:hAnsi="Arial" w:cs="Arial"/>
          <w:noProof/>
          <w:sz w:val="24"/>
          <w:szCs w:val="24"/>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Glottis","type":"article-journal","volume":"79"},"uris":["http://www.mendeley.com/documents/?uuid=e26884ce-2081-4f89-a2b4-192525f0d364"]},{"id":"ITEM-3","itemData":{"DOI":"10.1080/026404102320675648","ISSN":"02640414","PMID":"12363296","abstract":"In this paper, we review the empirical literature pertaining to the effectiveness of instructions and movement demonstrations. Initially, we examine existing theories and approaches that try to explain the process of skill acquisition so as to determine implications of these theories for instructional provision. This is followed by an evaluation of studies in the motor learning literature in which pre-practice information has been manipulated. Explicit learning strategies are contrasted to implicit and discovery learning methods, and current explanations for instructional effects are discussed in terms of such mechanisms as effects-related attentional focus and movement variability. In the final sections, we review data from our own laboratory where pre-practice information has been manipulated during the learning of a novel bimanual coordination task. From these studies, proposals are made to try and explain how pre-practice information works to effect the process of skill acquisition, including the selection and execution of a response and the processing of associated feedback. An important role is given to the existing skills of the learner in understanding the instructions and performing the desired movement. Finally, we suggest some practical implications of this empirical evidence for the teaching of motor skills.","author":[{"dropping-particle":"","family":"Hodges","given":"Nicola J.","non-dropping-particle":"","parse-names":false,"suffix":""},{"dropping-particle":"","family":"Franks","given":"Ian M.","non-dropping-particle":"","parse-names":false,"suffix":""}],"container-title":"Journal of Sports Sciences","id":"ITEM-3","issue":"10","issued":{"date-parts":[["2002"]]},"page":"793-811","title":"Modelling coaching practice: The role of instruction and demonstration","type":"article-journal","volume":"20"},"uris":["http://www.mendeley.com/documents/?uuid=dc6d014f-f07d-4894-b4f8-0c5a942cbcf9"]},{"id":"ITEM-4","itemData":{"abstract":"The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techniques.","author":[{"dropping-particle":"","family":"Roll","given":"","non-dropping-particle":"","parse-names":false,"suffix":""}],"id":"ITEM-4","issued":{"date-parts":[["2014"]]},"title":"FEMALE MUSICAL THEATER BELTING IN THE 21ST CENTURY","type":"article-journal"},"uris":["http://www.mendeley.com/documents/?uuid=5030bbb6-60db-47c9-8cfb-a9da980f8b89"]},{"id":"ITEM-5","itemData":{"DOI":"10.53830/lkzs7620","ISSN":"10867732","author":[{"dropping-particle":"","family":"Titze","given":"Ingo","non-dropping-particle":"","parse-names":false,"suffix":""}],"container-title":"Journal of Singing","id":"ITEM-5","issue":"5","issued":{"date-parts":[["2022"]]},"page":"613-614","title":"The Acoustic Characteristics of Vocal Twang","type":"article-journal","volume":"78"},"uris":["http://www.mendeley.com/documents/?uuid=8124f217-2e75-48f1-a9ea-8451be769401"]},{"id":"ITEM-6","itemData":{"abstract":"In Part One, many of the common conditions affecting voice and suggested therapies are described. It is prefaced by a general discussion of voice treatment. Of course, the specific treatment program depends on the patient, his or her condition, and on the clinicians caring for the patient. Information about treatment is meant as a general guide for common situations. Part Two describes specific voice therapy programs. In addition to more traditional therapy methods, sections such as whole body wellness, theatre voice techniques and training for singers are included. As the recent subspecialty of vocology has evolved, many speech-language pathologists have found that there is much to learn from interdisciplinary investigations","author":[{"dropping-particle":"","family":"Verdolini","given":"Katherine","non-dropping-particle":"","parse-names":false,"suffix":""}],"container-title":"National Center for Voice and Speech","id":"ITEM-6","issued":{"date-parts":[["1998"]]},"page":"1-58","title":"Guide to Vocology","type":"article-journal"},"uris":["http://www.mendeley.com/documents/?uuid=245e7833-03a9-4fa8-8e72-d1a808eaa3cb"]}],"mendeley":{"formattedCitation":"(Verdolini, 1998; Hodges and Franks, 2002; Roll, 2014; Moss Erickson, 2019, 2023; Titze, 2022)","plainTextFormattedCitation":"(Verdolini, 1998; Hodges and Franks, 2002; Roll, 2014; Moss Erickson, 2019, 2023; Titze, 2022)","previouslyFormattedCitation":"(Verdolini, 1998; Hodges and Franks, 2002; Roll, 2014; Moss Erickson, 2019, 2023; Titze, 2022)"},"properties":{"noteIndex":0},"schema":"https://github.com/citation-style-language/schema/raw/master/csl-citation.json"}</w:instrText>
      </w:r>
      <w:r w:rsidRPr="00AE2080">
        <w:rPr>
          <w:rFonts w:ascii="Arial" w:hAnsi="Arial" w:cs="Arial"/>
          <w:noProof/>
          <w:sz w:val="24"/>
          <w:szCs w:val="24"/>
        </w:rPr>
        <w:fldChar w:fldCharType="separate"/>
      </w:r>
      <w:r w:rsidRPr="00AE2080">
        <w:rPr>
          <w:rFonts w:ascii="Arial" w:hAnsi="Arial" w:cs="Arial"/>
          <w:noProof/>
          <w:sz w:val="24"/>
          <w:szCs w:val="24"/>
        </w:rPr>
        <w:t>(Verdolini, 1998; Hodges and Franks, 2002; Roll, 2014; Moss Erickson, 2019, 2023; Titze, 2022)</w:t>
      </w:r>
      <w:r w:rsidRPr="00AE2080">
        <w:rPr>
          <w:rFonts w:ascii="Arial" w:hAnsi="Arial" w:cs="Arial"/>
          <w:noProof/>
          <w:sz w:val="24"/>
          <w:szCs w:val="24"/>
        </w:rPr>
        <w:fldChar w:fldCharType="end"/>
      </w:r>
      <w:r w:rsidRPr="00AE2080">
        <w:rPr>
          <w:rFonts w:ascii="Arial" w:hAnsi="Arial" w:cs="Arial"/>
          <w:noProof/>
          <w:sz w:val="24"/>
          <w:szCs w:val="24"/>
        </w:rPr>
        <w:t>.</w:t>
      </w:r>
    </w:p>
    <w:p w14:paraId="198D8EF0" w14:textId="06C42161" w:rsidR="00830195" w:rsidRPr="00AE2080" w:rsidRDefault="00830195" w:rsidP="00AE2080">
      <w:pPr>
        <w:spacing w:before="100" w:beforeAutospacing="1" w:after="100" w:afterAutospacing="1" w:line="360" w:lineRule="auto"/>
        <w:jc w:val="center"/>
        <w:rPr>
          <w:rFonts w:ascii="Arial" w:hAnsi="Arial" w:cs="Arial"/>
          <w:i/>
          <w:iCs/>
          <w:sz w:val="24"/>
          <w:szCs w:val="24"/>
        </w:rPr>
      </w:pPr>
      <w:r w:rsidRPr="00AE2080">
        <w:rPr>
          <w:rFonts w:ascii="Arial" w:eastAsia="Times New Roman" w:hAnsi="Arial" w:cs="Arial"/>
          <w:i/>
          <w:iCs/>
          <w:sz w:val="24"/>
          <w:szCs w:val="24"/>
          <w:lang w:eastAsia="en-GB"/>
        </w:rPr>
        <w:t>‘I now feel as though I am able to access more powerful [and] I feel as though I am much more focused on the process of singing rather than the outcome.’</w:t>
      </w:r>
      <w:r w:rsidRPr="00AE2080">
        <w:rPr>
          <w:rStyle w:val="cf01"/>
          <w:rFonts w:ascii="Arial" w:eastAsiaTheme="majorEastAsia"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r w:rsidRPr="00AE2080">
        <w:rPr>
          <w:rFonts w:ascii="Arial" w:hAnsi="Arial" w:cs="Arial"/>
          <w:i/>
          <w:iCs/>
          <w:sz w:val="24"/>
          <w:szCs w:val="24"/>
        </w:rPr>
        <w:br w:type="page"/>
      </w:r>
    </w:p>
    <w:p w14:paraId="66B14CF3" w14:textId="77777777" w:rsidR="00830195" w:rsidRPr="00AE2080" w:rsidRDefault="00830195" w:rsidP="00AE2080">
      <w:pPr>
        <w:spacing w:line="360" w:lineRule="auto"/>
        <w:jc w:val="both"/>
        <w:rPr>
          <w:rFonts w:ascii="Arial" w:hAnsi="Arial" w:cs="Arial"/>
          <w:b/>
          <w:bCs/>
          <w:sz w:val="24"/>
          <w:szCs w:val="24"/>
        </w:rPr>
      </w:pPr>
      <w:bookmarkStart w:id="24" w:name="Discussion"/>
      <w:r w:rsidRPr="00AE2080">
        <w:rPr>
          <w:rFonts w:ascii="Arial" w:hAnsi="Arial" w:cs="Arial"/>
          <w:b/>
          <w:bCs/>
          <w:sz w:val="24"/>
          <w:szCs w:val="24"/>
        </w:rPr>
        <w:lastRenderedPageBreak/>
        <w:t>Discussion</w:t>
      </w:r>
    </w:p>
    <w:bookmarkEnd w:id="24"/>
    <w:p w14:paraId="3AE1F639" w14:textId="720ED8B1" w:rsidR="00830195" w:rsidRPr="00AE2080" w:rsidRDefault="00CB58C1" w:rsidP="00AE2080">
      <w:pPr>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t>Referring to the broad</w:t>
      </w:r>
      <w:r w:rsidR="00830195" w:rsidRPr="00AE2080">
        <w:rPr>
          <w:rStyle w:val="cf01"/>
          <w:rFonts w:ascii="Arial" w:eastAsiaTheme="majorEastAsia" w:hAnsi="Arial" w:cs="Arial"/>
          <w:sz w:val="24"/>
          <w:szCs w:val="24"/>
        </w:rPr>
        <w:t xml:space="preserve"> themes from the student feedback</w:t>
      </w:r>
      <w:r w:rsidRPr="00AE2080">
        <w:rPr>
          <w:rStyle w:val="cf01"/>
          <w:rFonts w:ascii="Arial" w:eastAsiaTheme="majorEastAsia" w:hAnsi="Arial" w:cs="Arial"/>
          <w:sz w:val="24"/>
          <w:szCs w:val="24"/>
        </w:rPr>
        <w:t xml:space="preserve"> will guide the discussion</w:t>
      </w:r>
      <w:r w:rsidR="00830195" w:rsidRPr="00AE2080">
        <w:rPr>
          <w:rStyle w:val="cf01"/>
          <w:rFonts w:ascii="Arial" w:eastAsiaTheme="majorEastAsia" w:hAnsi="Arial" w:cs="Arial"/>
          <w:sz w:val="24"/>
          <w:szCs w:val="24"/>
        </w:rPr>
        <w:t>:</w:t>
      </w:r>
    </w:p>
    <w:p w14:paraId="71C3833C" w14:textId="77777777" w:rsidR="00511DD1" w:rsidRPr="00AE2080" w:rsidRDefault="00511DD1" w:rsidP="00AE2080">
      <w:pPr>
        <w:pStyle w:val="ListParagraph"/>
        <w:numPr>
          <w:ilvl w:val="0"/>
          <w:numId w:val="10"/>
        </w:numPr>
        <w:spacing w:line="360" w:lineRule="auto"/>
        <w:jc w:val="both"/>
        <w:rPr>
          <w:rFonts w:ascii="Arial" w:hAnsi="Arial" w:cs="Arial"/>
          <w:sz w:val="24"/>
          <w:szCs w:val="24"/>
        </w:rPr>
        <w:sectPr w:rsidR="00511DD1" w:rsidRPr="00AE2080" w:rsidSect="008B7E14">
          <w:type w:val="continuous"/>
          <w:pgSz w:w="11906" w:h="16838"/>
          <w:pgMar w:top="1440" w:right="1440" w:bottom="1440" w:left="1440" w:header="708" w:footer="708" w:gutter="0"/>
          <w:pgNumType w:start="40"/>
          <w:cols w:space="708"/>
          <w:docGrid w:linePitch="360"/>
        </w:sectPr>
      </w:pPr>
    </w:p>
    <w:p w14:paraId="3329B02D" w14:textId="77777777"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Communication</w:t>
      </w:r>
    </w:p>
    <w:p w14:paraId="61587800" w14:textId="77777777"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Vocal Health and Abilities</w:t>
      </w:r>
    </w:p>
    <w:p w14:paraId="1A00870C" w14:textId="77777777"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Practice Approaches</w:t>
      </w:r>
    </w:p>
    <w:p w14:paraId="2149922E" w14:textId="3E9BEE52" w:rsidR="00830195" w:rsidRPr="00AE2080" w:rsidRDefault="00830195" w:rsidP="00AE2080">
      <w:pPr>
        <w:pStyle w:val="ListParagraph"/>
        <w:numPr>
          <w:ilvl w:val="0"/>
          <w:numId w:val="10"/>
        </w:numPr>
        <w:spacing w:line="360" w:lineRule="auto"/>
        <w:jc w:val="both"/>
        <w:rPr>
          <w:rFonts w:ascii="Arial" w:hAnsi="Arial" w:cs="Arial"/>
          <w:sz w:val="24"/>
          <w:szCs w:val="24"/>
        </w:rPr>
      </w:pPr>
      <w:r w:rsidRPr="00AE2080">
        <w:rPr>
          <w:rFonts w:ascii="Arial" w:hAnsi="Arial" w:cs="Arial"/>
          <w:sz w:val="24"/>
          <w:szCs w:val="24"/>
        </w:rPr>
        <w:t>Student Experiences</w:t>
      </w:r>
    </w:p>
    <w:p w14:paraId="748E905A" w14:textId="77777777" w:rsidR="00511DD1" w:rsidRPr="00AE2080" w:rsidRDefault="00511DD1" w:rsidP="00AE2080">
      <w:pPr>
        <w:spacing w:line="360" w:lineRule="auto"/>
        <w:jc w:val="both"/>
        <w:rPr>
          <w:rFonts w:ascii="Arial" w:hAnsi="Arial" w:cs="Arial"/>
          <w:b/>
          <w:bCs/>
          <w:i/>
          <w:iCs/>
          <w:sz w:val="24"/>
          <w:szCs w:val="24"/>
        </w:rPr>
        <w:sectPr w:rsidR="00511DD1" w:rsidRPr="00AE2080" w:rsidSect="008B7E14">
          <w:type w:val="continuous"/>
          <w:pgSz w:w="11906" w:h="16838"/>
          <w:pgMar w:top="1440" w:right="1440" w:bottom="1440" w:left="1440" w:header="708" w:footer="708" w:gutter="0"/>
          <w:cols w:num="2" w:space="708"/>
          <w:docGrid w:linePitch="360"/>
        </w:sectPr>
      </w:pPr>
    </w:p>
    <w:p w14:paraId="3EB1162F" w14:textId="28D0B5D8"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 xml:space="preserve">Communication </w:t>
      </w:r>
      <w:r w:rsidRPr="00AE2080">
        <w:rPr>
          <w:rFonts w:ascii="Arial" w:hAnsi="Arial" w:cs="Arial"/>
          <w:sz w:val="24"/>
          <w:szCs w:val="24"/>
        </w:rPr>
        <w:t>was a</w:t>
      </w:r>
      <w:r w:rsidRPr="00AE2080">
        <w:rPr>
          <w:rFonts w:ascii="Arial" w:hAnsi="Arial" w:cs="Arial"/>
          <w:b/>
          <w:bCs/>
          <w:i/>
          <w:iCs/>
          <w:sz w:val="24"/>
          <w:szCs w:val="24"/>
        </w:rPr>
        <w:t xml:space="preserve"> </w:t>
      </w:r>
      <w:r w:rsidRPr="00AE2080">
        <w:rPr>
          <w:rFonts w:ascii="Arial" w:hAnsi="Arial" w:cs="Arial"/>
          <w:sz w:val="24"/>
          <w:szCs w:val="24"/>
        </w:rPr>
        <w:t xml:space="preserve">theme present in each lesson and was bolstered by the practice logs. Reviewing the student experience of lessons gave the opportunity for </w:t>
      </w:r>
      <w:r w:rsidRPr="00AE2080">
        <w:rPr>
          <w:rFonts w:ascii="Arial" w:eastAsia="Times New Roman" w:hAnsi="Arial" w:cs="Arial"/>
          <w:b/>
          <w:bCs/>
          <w:i/>
          <w:iCs/>
          <w:sz w:val="24"/>
          <w:szCs w:val="24"/>
          <w:lang w:eastAsia="en-GB"/>
        </w:rPr>
        <w:t>clear communication and feedback</w:t>
      </w:r>
      <w:r w:rsidRPr="00AE2080">
        <w:rPr>
          <w:rFonts w:ascii="Arial" w:eastAsia="Times New Roman" w:hAnsi="Arial" w:cs="Arial"/>
          <w:sz w:val="24"/>
          <w:szCs w:val="24"/>
          <w:lang w:eastAsia="en-GB"/>
        </w:rPr>
        <w:t xml:space="preserve">. The logs </w:t>
      </w:r>
      <w:r w:rsidRPr="00AE2080">
        <w:rPr>
          <w:rFonts w:ascii="Arial" w:hAnsi="Arial" w:cs="Arial"/>
          <w:sz w:val="24"/>
          <w:szCs w:val="24"/>
        </w:rPr>
        <w:t xml:space="preserve">prompted student self-reflection and communication of their progress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Guide?","type":"article-journal"},"uris":["http://www.mendeley.com/documents/?uuid=e5a8b727-e2b0-4741-8f2e-bf841c7ea530"]},{"id":"ITEM-2","itemData":{"abstract":"This dissertation is a study wrapped in a metaphor of voices, figurative and literal. It is a story of four singers over the course of 12 weeks and weaves through individuals in a group singing class. As a study, it used integral inquiry and emphasized action and narrative research. It explored one overarching research question, which naturally led to several sub-questions: In what ways might Mindfulness Awareness Practices (MAPS) and contemplative teaching and learning practices affect singers’ experiences of their own vocal and personal growth? (Sub- questions: What practices are reported as being successful?; How do participants experience growth?; How might singers and teachers shift to a mindset of process and progress throughout practicing and performing?; How do we create a space of mutuality and trust to foster self- reflection?; How do we balance instruction, offering feedback when needed and wanted while fostering self-trust and independence? While","author":[{"dropping-particle":"","family":"Blackhurst","given":"Lindsey Elizabeth","non-dropping-particle":"","parse-names":false,"suffix":""}],"container-title":"University of Colombia Doctor of Education submission","id":"ITEM-2","issued":{"date-parts":[["2021"]]},"title":"Exploring the Whole Singing Self with Technique, Contemplative Education, and Mindfulness","type":"thesis"},"uris":["http://www.mendeley.com/documents/?uuid=79851e18-e8d1-4fb1-960f-0d0a2b1452b7"]},{"id":"ITEM-3","itemData":{"DOI":"10.1177/02557614221074057","ISBN":"0255761422107","ISSN":"1744795X","abstract":"Fostering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Education","id":"ITEM-3","issued":{"date-parts":[["2022"]]},"title":"“It’s your body, it’s part of who you are!”: Influences upon collegiate vocalists’ performance self-efficacy beliefs","type":"article-journal"},"uris":["http://www.mendeley.com/documents/?uuid=d1469298-0bbc-4c76-afcd-e0c4086da712"]}],"mendeley":{"formattedCitation":"(Warwick, 2007; Blackhurst, 2021; Lewis and Hendricks, 2022)","plainTextFormattedCitation":"(Warwick, 2007; Blackhurst, 2021; Lewis and Hendricks, 2022)","previouslyFormattedCitation":"(Warwick, 2007; Blackhurst, 2021; Lewis and Hendricks,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 Blackhurst, 2021; Lewis and Hendricks,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r w:rsidRPr="00AE2080">
        <w:rPr>
          <w:rFonts w:ascii="Arial" w:hAnsi="Arial" w:cs="Arial"/>
          <w:sz w:val="24"/>
          <w:szCs w:val="24"/>
        </w:rPr>
        <w:t xml:space="preserve"> All students reflected on the teaching approaches, offering insight into effectiveness which allowed for further individualisation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xml:space="preserve">. The post-study surveys allowed students to reflect on the knowledge and skills gained from the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beliefs","type":"article-journal"},"uris":["http://www.mendeley.com/documents/?uuid=d1469298-0bbc-4c76-afcd-e0c4086da712"]},{"id":"ITEM-2","itemData":{"abstract":"This dissertation is a study wrapped in a metaphor of voices, figurative and literal. It is a story of four singers over the course of 12 weeks and weaves through individuals in a group singing class. As a study, it used integral inquiry and emphasized action and narrative research. It explored one overarching research question, which naturally led to several sub-questions: In what ways might Mindfulness Awareness Practices (MAPS) and contemplative teaching and learning practices affect singers’ experiences of their own vocal and personal growth? (Sub- questions: What practices are reported as being successful?; How do participants experience growth?; How might singers and teachers shift to a mindset of process and progress throughout practicing and performing?; How do we create a space of mutuality and trust to foster self- reflection?; How do we balance instruction, offering feedback when needed and wanted while fostering self-trust and independence? While","author":[{"dropping-particle":"","family":"Blackhurst","given":"Lindsey Elizabeth","non-dropping-particle":"","parse-names":false,"suffix":""}],"container-title":"University of Colombia Doctor of Education submission","id":"ITEM-2","issued":{"date-parts":[["2021"]]},"title":"Exploring the Whole Singing Self with Technique, Contemplative Education, and Mindfulness","type":"thesis"},"uris":["http://www.mendeley.com/documents/?uuid=79851e18-e8d1-4fb1-960f-0d0a2b1452b7"]}],"mendeley":{"formattedCitation":"(Blackhurst, 2021; Lewis and Hendricks, 2022)","plainTextFormattedCitation":"(Blackhurst, 2021; Lewis and Hendricks, 2022)","previouslyFormattedCitation":"(Blackhurst, 2021;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(Blackhurst, 2021; Lewis and Hendricks, 2022)</w:t>
      </w:r>
      <w:r w:rsidRPr="00AE2080">
        <w:rPr>
          <w:rFonts w:ascii="Arial" w:hAnsi="Arial" w:cs="Arial"/>
          <w:sz w:val="24"/>
          <w:szCs w:val="24"/>
        </w:rPr>
        <w:fldChar w:fldCharType="end"/>
      </w:r>
      <w:r w:rsidRPr="00AE2080">
        <w:rPr>
          <w:rFonts w:ascii="Arial" w:hAnsi="Arial" w:cs="Arial"/>
          <w:sz w:val="24"/>
          <w:szCs w:val="24"/>
        </w:rPr>
        <w:t xml:space="preserve">. Pre- and post-study surveys give teacher feedback, which can be used to assess the impact of the belt training process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xml:space="preserve">. Additionally, the surveys support the evaluation of teaching skills and knowledge that I have gained as well as identifying future development opportunities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Guide?","type":"article-journal"},"uris":["http://www.mendeley.com/documents/?uuid=e5a8b727-e2b0-4741-8f2e-bf841c7ea530"]}],"mendeley":{"formattedCitation":"(Warwick, 2007)","plainTextFormattedCitation":"(Warwick, 2007)","previouslyFormattedCitation":"(Warwick, 2007)"},"properties":{"noteIndex":0},"schema":"https://github.com/citation-style-language/schema/raw/master/csl-citation.json"}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(Warwick, 2007)</w:t>
      </w:r>
      <w:r w:rsidRPr="00AE2080">
        <w:rPr>
          <w:rFonts w:ascii="Arial" w:hAnsi="Arial" w:cs="Arial"/>
          <w:sz w:val="24"/>
          <w:szCs w:val="24"/>
        </w:rPr>
        <w:fldChar w:fldCharType="end"/>
      </w:r>
      <w:r w:rsidRPr="00AE2080">
        <w:rPr>
          <w:rFonts w:ascii="Arial" w:hAnsi="Arial" w:cs="Arial"/>
          <w:sz w:val="24"/>
          <w:szCs w:val="24"/>
        </w:rPr>
        <w:t xml:space="preserve">. In addition to Student C’s comments about the effectiveness of practice logs, the other students offered feedback </w:t>
      </w:r>
      <w:r w:rsidR="007417AD">
        <w:rPr>
          <w:rFonts w:ascii="Arial" w:hAnsi="Arial" w:cs="Arial"/>
          <w:sz w:val="24"/>
          <w:szCs w:val="24"/>
        </w:rPr>
        <w:t>regarding</w:t>
      </w:r>
      <w:r w:rsidRPr="00AE2080">
        <w:rPr>
          <w:rFonts w:ascii="Arial" w:hAnsi="Arial" w:cs="Arial"/>
          <w:sz w:val="24"/>
          <w:szCs w:val="24"/>
        </w:rPr>
        <w:t xml:space="preserve"> practice</w:t>
      </w:r>
      <w:r w:rsidR="007417AD" w:rsidRPr="007417AD">
        <w:rPr>
          <w:rFonts w:ascii="Arial" w:hAnsi="Arial" w:cs="Arial"/>
          <w:sz w:val="24"/>
          <w:szCs w:val="24"/>
        </w:rPr>
        <w:t xml:space="preserve"> </w:t>
      </w:r>
      <w:r w:rsidR="007417AD" w:rsidRPr="00AE2080">
        <w:rPr>
          <w:rFonts w:ascii="Arial" w:hAnsi="Arial" w:cs="Arial"/>
          <w:sz w:val="24"/>
          <w:szCs w:val="24"/>
        </w:rPr>
        <w:t>reflecti</w:t>
      </w:r>
      <w:r w:rsidR="007417AD">
        <w:rPr>
          <w:rFonts w:ascii="Arial" w:hAnsi="Arial" w:cs="Arial"/>
          <w:sz w:val="24"/>
          <w:szCs w:val="24"/>
        </w:rPr>
        <w:t>ons</w:t>
      </w:r>
      <w:r w:rsidRPr="00AE2080">
        <w:rPr>
          <w:rFonts w:ascii="Arial" w:hAnsi="Arial" w:cs="Arial"/>
          <w:sz w:val="24"/>
          <w:szCs w:val="24"/>
        </w:rPr>
        <w:t>.</w:t>
      </w:r>
    </w:p>
    <w:p w14:paraId="2AACD5A7"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 xml:space="preserve">‘I need to take care I don’t practice too much or too long…Afterwards my throat was tight and uncomfortable.’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3)","plainTextFormattedCitation":"(B,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3)</w:t>
      </w:r>
      <w:r w:rsidRPr="00AE2080">
        <w:rPr>
          <w:rFonts w:ascii="Arial" w:hAnsi="Arial" w:cs="Arial"/>
          <w:i/>
          <w:iCs/>
          <w:sz w:val="24"/>
          <w:szCs w:val="24"/>
        </w:rPr>
        <w:fldChar w:fldCharType="end"/>
      </w:r>
    </w:p>
    <w:p w14:paraId="6EE0B2D4" w14:textId="77777777" w:rsidR="000671B9" w:rsidRPr="00AE2080" w:rsidRDefault="00830195" w:rsidP="00AE2080">
      <w:pPr>
        <w:spacing w:line="360" w:lineRule="auto"/>
        <w:jc w:val="both"/>
        <w:rPr>
          <w:rFonts w:ascii="Arial" w:eastAsia="Times New Roman" w:hAnsi="Arial" w:cs="Arial"/>
          <w:sz w:val="24"/>
          <w:szCs w:val="24"/>
          <w:lang w:eastAsia="en-GB"/>
        </w:rPr>
      </w:pPr>
      <w:r w:rsidRPr="00AE2080">
        <w:rPr>
          <w:rFonts w:ascii="Arial" w:hAnsi="Arial" w:cs="Arial"/>
          <w:sz w:val="24"/>
          <w:szCs w:val="24"/>
        </w:rPr>
        <w:t>Feedback like this led to discussions about home practice. In this case, the lesson then included a focus of noticing sensations of control and comfort which helped the student’s voice to feel more ‘</w:t>
      </w:r>
      <w:r w:rsidRPr="00AE2080">
        <w:rPr>
          <w:rFonts w:ascii="Arial" w:hAnsi="Arial" w:cs="Arial"/>
          <w:i/>
          <w:iCs/>
          <w:sz w:val="24"/>
          <w:szCs w:val="24"/>
        </w:rPr>
        <w:t xml:space="preserve">Relaxed and comfortable’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4)","plainTextFormattedCitation":"(B,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4)</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After the following lesson this student felt they had progressed:</w:t>
      </w:r>
      <w:r w:rsidRPr="00AE2080">
        <w:rPr>
          <w:rFonts w:ascii="Arial" w:hAnsi="Arial" w:cs="Arial"/>
          <w:i/>
          <w:iCs/>
          <w:sz w:val="24"/>
          <w:szCs w:val="24"/>
        </w:rPr>
        <w:t xml:space="preserve"> ‘Very positive and feel… that I was developing belting’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5)","plainTextFormattedCitation":"(B,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5)</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b/>
          <w:bCs/>
          <w:i/>
          <w:iCs/>
          <w:sz w:val="24"/>
          <w:szCs w:val="24"/>
        </w:rPr>
        <w:t>D</w:t>
      </w:r>
      <w:r w:rsidRPr="00AE2080">
        <w:rPr>
          <w:rFonts w:ascii="Arial" w:eastAsia="Times New Roman" w:hAnsi="Arial" w:cs="Arial"/>
          <w:b/>
          <w:bCs/>
          <w:i/>
          <w:iCs/>
          <w:sz w:val="24"/>
          <w:szCs w:val="24"/>
          <w:lang w:eastAsia="en-GB"/>
        </w:rPr>
        <w:t>iscussion of the practice log</w:t>
      </w:r>
      <w:r w:rsidRPr="00AE2080">
        <w:rPr>
          <w:rFonts w:ascii="Arial" w:eastAsia="Times New Roman" w:hAnsi="Arial" w:cs="Arial"/>
          <w:sz w:val="24"/>
          <w:szCs w:val="24"/>
          <w:lang w:eastAsia="en-GB"/>
        </w:rPr>
        <w:t xml:space="preserve"> in each lesson aided deeper student and teacher self-reflection and learning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Education","id":"ITEM-2","issued":{"date-parts":[["2022"]]},"title":"“It’s your body, it’s part of who you are!”: Influences upon collegiate vocalists’ performance self-efficacy beliefs","type":"article-journal"},"uris":["http://www.mendeley.com/documents/?uuid=d1469298-0bbc-4c76-afcd-e0c4086da712"]}],"mendeley":{"formattedCitation":"(Warwick, 2007; Lewis and Hendricks, 2022)","plainTextFormattedCitation":"(Warwick, 2007; Lewis and Hendricks, 2022)","previouslyFormattedCitation":"(Warwick, 2007; Lewis and Hendricks,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(Warwick, 2007; Lewis and Hendricks,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w:t>
      </w:r>
    </w:p>
    <w:p w14:paraId="15938A8A" w14:textId="58367B11" w:rsidR="000671B9" w:rsidRPr="00AE2080" w:rsidRDefault="000671B9" w:rsidP="00AE2080">
      <w:pPr>
        <w:spacing w:line="360" w:lineRule="auto"/>
        <w:jc w:val="center"/>
        <w:rPr>
          <w:rStyle w:val="cf01"/>
          <w:rFonts w:ascii="Arial" w:eastAsiaTheme="majorEastAsia" w:hAnsi="Arial" w:cs="Arial"/>
          <w:sz w:val="24"/>
          <w:szCs w:val="24"/>
        </w:rPr>
      </w:pPr>
      <w:r w:rsidRPr="00AE2080">
        <w:rPr>
          <w:rFonts w:ascii="Arial" w:eastAsia="Times New Roman" w:hAnsi="Arial" w:cs="Arial"/>
          <w:i/>
          <w:iCs/>
          <w:sz w:val="24"/>
          <w:szCs w:val="24"/>
          <w:lang w:eastAsia="en-GB"/>
        </w:rPr>
        <w:t xml:space="preserve">‘I found that the act of writing down my progress and my experience of the lessons in the practice logs has been very helpful.’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0AD8CB5C" w14:textId="69DCE0E1" w:rsidR="0025261C" w:rsidRPr="00AE2080" w:rsidRDefault="00830195" w:rsidP="00AE2080">
      <w:pPr>
        <w:spacing w:line="360" w:lineRule="auto"/>
        <w:jc w:val="both"/>
        <w:rPr>
          <w:rStyle w:val="cf01"/>
          <w:rFonts w:ascii="Arial" w:eastAsiaTheme="majorEastAsia" w:hAnsi="Arial" w:cs="Arial"/>
          <w:sz w:val="24"/>
          <w:szCs w:val="24"/>
        </w:rPr>
      </w:pPr>
      <w:r w:rsidRPr="00AE2080">
        <w:rPr>
          <w:rFonts w:ascii="Arial" w:eastAsia="Times New Roman" w:hAnsi="Arial" w:cs="Arial"/>
          <w:sz w:val="24"/>
          <w:szCs w:val="24"/>
          <w:lang w:eastAsia="en-GB"/>
        </w:rPr>
        <w:lastRenderedPageBreak/>
        <w:t xml:space="preserve">The practice log discussions furthered the </w:t>
      </w:r>
      <w:r w:rsidRPr="00AE2080">
        <w:rPr>
          <w:rFonts w:ascii="Arial" w:eastAsia="Times New Roman" w:hAnsi="Arial" w:cs="Arial"/>
          <w:b/>
          <w:bCs/>
          <w:i/>
          <w:iCs/>
          <w:sz w:val="24"/>
          <w:szCs w:val="24"/>
          <w:lang w:eastAsia="en-GB"/>
        </w:rPr>
        <w:t>clear communication and feedback</w:t>
      </w:r>
      <w:r w:rsidRPr="00AE2080">
        <w:rPr>
          <w:rFonts w:ascii="Arial" w:eastAsia="Times New Roman" w:hAnsi="Arial" w:cs="Arial"/>
          <w:sz w:val="24"/>
          <w:szCs w:val="24"/>
          <w:lang w:eastAsia="en-GB"/>
        </w:rPr>
        <w:t xml:space="preserve"> which enabled </w:t>
      </w:r>
      <w:r w:rsidRPr="00AE2080">
        <w:rPr>
          <w:rFonts w:ascii="Arial" w:hAnsi="Arial" w:cs="Arial"/>
          <w:i/>
          <w:iCs/>
          <w:sz w:val="24"/>
          <w:szCs w:val="24"/>
        </w:rPr>
        <w:t xml:space="preserve">reflection in practice </w:t>
      </w:r>
      <w:r w:rsidRPr="00AE2080">
        <w:rPr>
          <w:rFonts w:ascii="Arial" w:hAnsi="Arial" w:cs="Arial"/>
          <w:sz w:val="24"/>
          <w:szCs w:val="24"/>
        </w:rPr>
        <w:t xml:space="preserve">and </w:t>
      </w:r>
      <w:r w:rsidRPr="00AE2080">
        <w:rPr>
          <w:rFonts w:ascii="Arial" w:eastAsia="Times New Roman" w:hAnsi="Arial" w:cs="Arial"/>
          <w:sz w:val="24"/>
          <w:szCs w:val="24"/>
          <w:lang w:eastAsia="en-GB"/>
        </w:rPr>
        <w:t xml:space="preserve">individualisation of my teaching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{"citationItems":[{"id":"ITEM-1","itemData":{"author":[{"dropping-particle":"","family":"Warwick","given":"Paul","non-dropping-particle":"","parse-names":false,"suffix":""}],"id":"ITEM-1","issued":{"date-parts":[["2007"]]},"title":"Reflective practice: some notes on the development of the notion of professional reflection Why have I written this for the Busy Guide?","type":"article-journal"},"uris":["http://www.mendeley.com/documents/?uuid=e5a8b727-e2b0-4741-8f2e-bf841c7ea530"]},{"id":"ITEM-2","itemData":{"DOI":"10.4324/9780429455407-25","abstract":"Infection of sheep with Brucella ovis results in ovine brucellosis, a disease characterized by infertility in rams, abortion in ewes and increased perinatal mortality in lambs. During the course of the infection both the ovine immune response and host cell gene expression are modified. The objective of this research was to conduct a preliminary characterization of differential gene expression in rams experimentally infected with B. ovis by microarray hybridization and real-time RT-PCR. Of the 600 ruminant inflammatory and immune response genes that were analyzed in the microarray, 20 and 14 genes displayed an expression fold change &gt;1.75 with a P-value &lt;0.05 at 15 and 60 days post-challenge (dpc), respectively. Of these genes, 16 were upregulated and 4 were downregulated in infected rams at 15 dpc. At 60 dpc, 11 and 3 genes were up- and down-regulated in infected rams, respectively. Only four genes, desmoglein, epithelial sodium channel, alpha subunit (ENaC-alpha), interleukin 18 binding protein (IL18BP) and macrophage migration inhibition factor (MIF) were found upregulated in infected rams at both 15 and 60 dpc. The analysis of differentially expressed genes demonstrated activation of inflammatory and innate immune pathways in infected animals. B. ovis infection also resulted in upregulation of genes involved in phagocytosis and downregulation of protective host defense mechanisms, both of which may contribute to the chronicity of B. ovis infection. The gene expression profiles differed between rams with severe and moderate B. ovis infection. This is the first analysis of differential gene expression in rough brucellae and particularly in B. ovis-infected rams. The characterization of the genes and their expression profiles in response to B. ovis infection further contributes to our understanding of the molecular mechanisms of infection and the pathogenesis of brucellosis. ¬© 2008 Elsevier B.V. All rights reserved.","author":[{"dropping-particle":"","family":"Middleton","given":"Tristan","non-dropping-particle":"","parse-names":false,"suffix":""},{"dropping-particle":"","family":"Kay","given":"Lynda","non-dropping-particle":"","parse-names":false,"suffix":""},{"dropping-particle":"","family":"Middleton","given":"Tristan","non-dropping-particle":"","parse-names":false,"suffix":""},{"dropping-particle":"","family":"Kay","given":"Lynda","non-dropping-particle":"","parse-names":false,"suffix":""}],"container-title":"Using an Inclusive Approach to Reduce School Exclusion","id":"ITEM-2","issued":{"date-parts":[["2019"]]},"page":"199-208","title":"Framework for Reflection","type":"article-journal"},"uris":["http://www.mendeley.com/documents/?uuid=1e064446-beeb-49e6-84a3-bc56fc841d2f"]}],"mendeley":{"formattedCitation":"(Warwick, 2007; Middleton &lt;i&gt;et al.&lt;/i&gt;, 2019)","plainTextFormattedCitation":"(Warwick, 2007; Middleton et al., 2019)","previouslyFormattedCitation":"(Warwick, 2007; Middleton &lt;i&gt;et al.&lt;/i&gt;, 2019)"},"properties":{"noteIndex":0},"schema":"https://github.com/citation-style-language/schema/raw/master/csl-citation.json"}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(Warwick, 2007; Middleton </w:t>
      </w:r>
      <w:r w:rsidRPr="00AE2080">
        <w:rPr>
          <w:rFonts w:ascii="Arial" w:eastAsia="Times New Roman" w:hAnsi="Arial" w:cs="Arial"/>
          <w:i/>
          <w:noProof/>
          <w:sz w:val="24"/>
          <w:szCs w:val="24"/>
          <w:lang w:eastAsia="en-GB"/>
        </w:rPr>
        <w:t>et al.</w:t>
      </w:r>
      <w:r w:rsidRPr="00AE2080">
        <w:rPr>
          <w:rFonts w:ascii="Arial" w:eastAsia="Times New Roman" w:hAnsi="Arial" w:cs="Arial"/>
          <w:noProof/>
          <w:sz w:val="24"/>
          <w:szCs w:val="24"/>
          <w:lang w:eastAsia="en-GB"/>
        </w:rPr>
        <w:t>, 2019)</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1B0041F5" w14:textId="764707BC" w:rsidR="00830195" w:rsidRPr="00AE2080" w:rsidRDefault="00830195" w:rsidP="00AE2080">
      <w:pPr>
        <w:spacing w:line="360" w:lineRule="auto"/>
        <w:jc w:val="both"/>
        <w:rPr>
          <w:rFonts w:ascii="Arial" w:hAnsi="Arial" w:cs="Arial"/>
          <w:sz w:val="24"/>
          <w:szCs w:val="24"/>
        </w:rPr>
      </w:pPr>
      <w:r w:rsidRPr="00AE2080">
        <w:rPr>
          <w:rFonts w:ascii="Arial" w:hAnsi="Arial" w:cs="Arial"/>
          <w:b/>
          <w:bCs/>
          <w:i/>
          <w:iCs/>
          <w:sz w:val="24"/>
          <w:szCs w:val="24"/>
        </w:rPr>
        <w:t xml:space="preserve">Vocal health and </w:t>
      </w:r>
      <w:r w:rsidRPr="00182285">
        <w:rPr>
          <w:rFonts w:ascii="Arial" w:hAnsi="Arial" w:cs="Arial"/>
          <w:b/>
          <w:bCs/>
          <w:i/>
          <w:iCs/>
          <w:sz w:val="24"/>
          <w:szCs w:val="24"/>
        </w:rPr>
        <w:t>abilities</w:t>
      </w:r>
      <w:r w:rsidR="00182285">
        <w:rPr>
          <w:rFonts w:ascii="Arial" w:hAnsi="Arial" w:cs="Arial"/>
          <w:sz w:val="24"/>
          <w:szCs w:val="24"/>
        </w:rPr>
        <w:t xml:space="preserve"> </w:t>
      </w:r>
      <w:proofErr w:type="gramStart"/>
      <w:r w:rsidR="00182285">
        <w:rPr>
          <w:rFonts w:ascii="Arial" w:hAnsi="Arial" w:cs="Arial"/>
          <w:sz w:val="24"/>
          <w:szCs w:val="24"/>
        </w:rPr>
        <w:t>is</w:t>
      </w:r>
      <w:proofErr w:type="gramEnd"/>
      <w:r w:rsidR="00182285">
        <w:rPr>
          <w:rFonts w:ascii="Arial" w:hAnsi="Arial" w:cs="Arial"/>
          <w:sz w:val="24"/>
          <w:szCs w:val="24"/>
        </w:rPr>
        <w:t xml:space="preserve"> </w:t>
      </w:r>
      <w:r w:rsidRPr="00182285">
        <w:rPr>
          <w:rFonts w:ascii="Arial" w:hAnsi="Arial" w:cs="Arial"/>
          <w:sz w:val="24"/>
          <w:szCs w:val="24"/>
        </w:rPr>
        <w:t>a</w:t>
      </w:r>
      <w:r w:rsidRPr="00AE2080">
        <w:rPr>
          <w:rFonts w:ascii="Arial" w:hAnsi="Arial" w:cs="Arial"/>
          <w:sz w:val="24"/>
          <w:szCs w:val="24"/>
        </w:rPr>
        <w:t xml:space="preserve"> theme which relates to student feedback regarding their voice, including vocal skill changes and indications of vocal health. Maintaining vocal health throughout the study was a priority which was woven into the evidence base, teaching approaches, and the student data gathering. This was kept to the forefront by asking the student about vocal sensations during the lesson, the practice log questions completed before the lesson and those in the lesson review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{"citationItems":[{"id":"ITEM-1","itemData":{"author":[{"dropping-particle":"","family":"Maxfield","given":"Lynn","non-dropping-particle":"","parse-names":false,"suffix":""}],"container-title":"Journal of Singing","id":"ITEM-1","issue":"June","issued":{"date-parts":[["2019"]]},"page":"583-587","title":"Your Model of Motor Learning","type":"article-journal"},"uris":["http://www.mendeley.com/documents/?uuid=5d4fae0a-36a6-46fd-b7b4-97444d81bdeb"]},{"id":"ITEM-2","itemData":{"ISBN":"9781124743073","abstract":"Over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Theses","id":"ITEM-2","issued":{"date-parts":[["2011"]]},"page":"191","title":"Application of principles from motor-learning theory to the studio voice lesson: Effects of feedback frequency on retention of classical singing technique","type":"article-journal"},"uris":["http://www.mendeley.com/documents/?uuid=92fbf4bf-1473-452d-8fcc-3f4f51740743"]},{"id":"ITEM-3","itemData":{"abstract":"Anoymity coded reference for expert interview and written interview documents regarding Evidence-Based Belt Trainging Process.","author":[{"dropping-particle":"","family":"1","given":"Expert","non-dropping-particle":"","parse-names":false,"suffix":""}],"id":"ITEM-3","issued":{"date-parts":[["2023"]]},"title":"Expert 1 data sources","type":"article"},"uris":["http://www.mendeley.com/documents/?uuid=8176b77e-de74-4a97-bd11-35252f740a16"]}],"mendeley":{"formattedCitation":"(Maxfield, 2011, 2019; 1, 2023)","plainTextFormattedCitation":"(Maxfield, 2011, 2019; 1, 2023)","previouslyFormattedCitation":"(Maxfield, 2011, 2019; 1,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(Maxfield, 2011, 2019; 1, 2023)</w:t>
      </w:r>
      <w:r w:rsidRPr="00AE2080">
        <w:rPr>
          <w:rFonts w:ascii="Arial" w:hAnsi="Arial" w:cs="Arial"/>
          <w:sz w:val="24"/>
          <w:szCs w:val="24"/>
        </w:rPr>
        <w:fldChar w:fldCharType="end"/>
      </w:r>
      <w:r w:rsidRPr="00AE2080">
        <w:rPr>
          <w:rFonts w:ascii="Arial" w:hAnsi="Arial" w:cs="Arial"/>
          <w:sz w:val="24"/>
          <w:szCs w:val="24"/>
        </w:rPr>
        <w:t xml:space="preserve">. </w:t>
      </w:r>
      <w:r w:rsidR="00E326C6">
        <w:rPr>
          <w:rFonts w:ascii="Arial" w:hAnsi="Arial" w:cs="Arial"/>
          <w:sz w:val="24"/>
          <w:szCs w:val="24"/>
        </w:rPr>
        <w:t>In o</w:t>
      </w:r>
      <w:r w:rsidRPr="00AE2080">
        <w:rPr>
          <w:rFonts w:ascii="Arial" w:hAnsi="Arial" w:cs="Arial"/>
          <w:sz w:val="24"/>
          <w:szCs w:val="24"/>
        </w:rPr>
        <w:t>ne lesson</w:t>
      </w:r>
      <w:r w:rsidR="00D35BDA">
        <w:rPr>
          <w:rFonts w:ascii="Arial" w:hAnsi="Arial" w:cs="Arial"/>
          <w:sz w:val="24"/>
          <w:szCs w:val="24"/>
        </w:rPr>
        <w:t>,</w:t>
      </w:r>
      <w:r w:rsidRPr="00AE2080">
        <w:rPr>
          <w:rFonts w:ascii="Arial" w:hAnsi="Arial" w:cs="Arial"/>
          <w:sz w:val="24"/>
          <w:szCs w:val="24"/>
        </w:rPr>
        <w:t xml:space="preserve"> </w:t>
      </w:r>
      <w:r w:rsidR="00E326C6">
        <w:rPr>
          <w:rFonts w:ascii="Arial" w:hAnsi="Arial" w:cs="Arial"/>
          <w:sz w:val="24"/>
          <w:szCs w:val="24"/>
        </w:rPr>
        <w:t>Student A lost</w:t>
      </w:r>
      <w:r w:rsidR="00B25A22">
        <w:rPr>
          <w:rFonts w:ascii="Arial" w:hAnsi="Arial" w:cs="Arial"/>
          <w:sz w:val="24"/>
          <w:szCs w:val="24"/>
        </w:rPr>
        <w:t xml:space="preserve"> the</w:t>
      </w:r>
      <w:r w:rsidRPr="00AE2080">
        <w:rPr>
          <w:rFonts w:ascii="Arial" w:hAnsi="Arial" w:cs="Arial"/>
          <w:sz w:val="24"/>
          <w:szCs w:val="24"/>
        </w:rPr>
        <w:t xml:space="preserve"> </w:t>
      </w:r>
      <w:r w:rsidR="00B25A22">
        <w:rPr>
          <w:rFonts w:ascii="Arial" w:hAnsi="Arial" w:cs="Arial"/>
          <w:sz w:val="24"/>
          <w:szCs w:val="24"/>
        </w:rPr>
        <w:t xml:space="preserve">balanced </w:t>
      </w:r>
      <w:r w:rsidRPr="00AE2080">
        <w:rPr>
          <w:rFonts w:ascii="Arial" w:hAnsi="Arial" w:cs="Arial"/>
          <w:sz w:val="24"/>
          <w:szCs w:val="24"/>
        </w:rPr>
        <w:t>coordination</w:t>
      </w:r>
      <w:r w:rsidR="00B25A22">
        <w:rPr>
          <w:rFonts w:ascii="Arial" w:hAnsi="Arial" w:cs="Arial"/>
          <w:sz w:val="24"/>
          <w:szCs w:val="24"/>
        </w:rPr>
        <w:t xml:space="preserve"> we had been building</w:t>
      </w:r>
      <w:r w:rsidRPr="00AE2080">
        <w:rPr>
          <w:rFonts w:ascii="Arial" w:hAnsi="Arial" w:cs="Arial"/>
          <w:sz w:val="24"/>
          <w:szCs w:val="24"/>
        </w:rPr>
        <w:t>: ‘</w:t>
      </w:r>
      <w:r w:rsidRPr="00AE2080">
        <w:rPr>
          <w:rFonts w:ascii="Arial" w:eastAsia="Arial" w:hAnsi="Arial" w:cs="Arial"/>
          <w:i/>
          <w:iCs/>
          <w:sz w:val="24"/>
          <w:szCs w:val="24"/>
        </w:rPr>
        <w:t xml:space="preserve">At one point I could feel my throat closing up’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practice log 6)","plainTextFormattedCitation":"(A, 2024)","previouslyFormattedCitation":"(A, 2024)"},"properties":{"noteIndex":0},"schema":"https://github.com/citation-style-language/schema/raw/master/csl-citation.json"}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(A, 2024, practice log 6)</w:t>
      </w:r>
      <w:r w:rsidRPr="00AE2080">
        <w:rPr>
          <w:rFonts w:ascii="Arial" w:eastAsia="Arial" w:hAnsi="Arial" w:cs="Arial"/>
          <w:i/>
          <w:iCs/>
          <w:sz w:val="24"/>
          <w:szCs w:val="24"/>
        </w:rPr>
        <w:fldChar w:fldCharType="end"/>
      </w:r>
      <w:r w:rsidRPr="00AE2080">
        <w:rPr>
          <w:rFonts w:ascii="Arial" w:eastAsia="Arial" w:hAnsi="Arial" w:cs="Arial"/>
          <w:i/>
          <w:iCs/>
          <w:sz w:val="24"/>
          <w:szCs w:val="24"/>
        </w:rPr>
        <w:t xml:space="preserve">. </w:t>
      </w:r>
      <w:r w:rsidRPr="00AE2080">
        <w:rPr>
          <w:rFonts w:ascii="Arial" w:eastAsia="Arial" w:hAnsi="Arial" w:cs="Arial"/>
          <w:sz w:val="24"/>
          <w:szCs w:val="24"/>
        </w:rPr>
        <w:t>The student remembered that we had covered being aware of comfort and asked to do a ‘</w:t>
      </w:r>
      <w:r w:rsidRPr="00AE2080">
        <w:rPr>
          <w:rFonts w:ascii="Arial" w:eastAsia="Arial" w:hAnsi="Arial" w:cs="Arial"/>
          <w:i/>
          <w:iCs/>
          <w:sz w:val="24"/>
          <w:szCs w:val="24"/>
        </w:rPr>
        <w:t xml:space="preserve">comfort exercise’ </w:t>
      </w:r>
      <w:r w:rsidRPr="00AE2080">
        <w:rPr>
          <w:rFonts w:ascii="Arial" w:eastAsia="Arial" w:hAnsi="Arial" w:cs="Arial"/>
          <w:sz w:val="24"/>
          <w:szCs w:val="24"/>
        </w:rPr>
        <w:t>to regain a balanced feeling</w:t>
      </w:r>
      <w:r w:rsidR="00FD1FAE">
        <w:rPr>
          <w:rFonts w:ascii="Arial" w:eastAsia="Arial" w:hAnsi="Arial" w:cs="Arial"/>
          <w:sz w:val="24"/>
          <w:szCs w:val="24"/>
        </w:rPr>
        <w:t>,</w:t>
      </w:r>
      <w:r w:rsidRPr="00AE2080">
        <w:rPr>
          <w:rFonts w:ascii="Arial" w:eastAsia="Arial" w:hAnsi="Arial" w:cs="Arial"/>
          <w:sz w:val="24"/>
          <w:szCs w:val="24"/>
        </w:rPr>
        <w:t xml:space="preserve"> demonstrating their awareness of sensations and knowledge of an exercise which rebalanced their voice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techniques.","author":[{"dropping-particle":"","family":"Roll","given":"","non-dropping-particle":"","parse-names":false,"suffix":""}],"id":"ITEM-1","issued":{"date-parts":[["2014"]]},"title":"FEMALE MUSICAL THEATER BELTING IN THE 21ST CENTURY","type":"article-journal"},"uris":["http://www.mendeley.com/documents/?uuid=5030bbb6-60db-47c9-8cfb-a9da980f8b89"]},{"id":"ITEM-2","itemData":{"DOI":"10.1016/j.jvoice.2015.07.008","ISSN":"18734588","PMID":"26296854","abstract":"Background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Review","id":"ITEM-3","issue":"3","issued":{"date-parts":[["2021"]]},"note":"Opera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Teacher","type":"article-journal","volume":"15"},"uris":["http://www.mendeley.com/documents/?uuid=c913173e-82b0-4559-a07f-7d1b3007e2ce"]},{"id":"ITEM-4","itemData":{"abstract":"Anoymity coded reference for data collected from Student A (Module 6).","author":[{"dropping-particle":"","family":"A","given":"Student","non-dropping-particle":"","parse-names":false,"suffix":""}],"id":"ITEM-4","issued":{"date-parts":[["2024"]]},"title":"Student A data sources","type":"article"},"uris":["http://www.mendeley.com/documents/?uuid=27351f09-6660-4c63-ab21-8699e932138a"]}],"mendeley":{"formattedCitation":"(Roll, 2014, 2016; Wilson, 2021; A, 2024)","manualFormatting":"(Roll, 2014, 2016; Wilson, 2021; A, 2024, practice log 6)","plainTextFormattedCitation":"(Roll, 2014, 2016; Wilson, 2021; A, 2024)","previouslyFormattedCitation":"(Roll, 2014, 2016; Wilson, 2021; A, 2024)"},"properties":{"noteIndex":0},"schema":"https://github.com/citation-style-language/schema/raw/master/csl-citation.json"}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(Roll, 2014, 2016; Wilson, 2021; A, 2024, practice log 6)</w:t>
      </w:r>
      <w:r w:rsidRPr="00AE2080">
        <w:rPr>
          <w:rFonts w:ascii="Arial" w:eastAsia="Arial" w:hAnsi="Arial" w:cs="Arial"/>
          <w:sz w:val="24"/>
          <w:szCs w:val="24"/>
        </w:rPr>
        <w:fldChar w:fldCharType="end"/>
      </w:r>
      <w:r w:rsidRPr="00AE2080">
        <w:rPr>
          <w:rFonts w:ascii="Arial" w:eastAsia="Arial" w:hAnsi="Arial" w:cs="Arial"/>
          <w:sz w:val="24"/>
          <w:szCs w:val="24"/>
        </w:rPr>
        <w:t>. The majority of post-lesson student assessments of vocal comfort and health were positive, for example: ‘</w:t>
      </w:r>
      <w:r w:rsidRPr="00AE2080">
        <w:rPr>
          <w:rFonts w:ascii="Arial" w:hAnsi="Arial" w:cs="Arial"/>
          <w:i/>
          <w:iCs/>
          <w:sz w:val="24"/>
          <w:szCs w:val="24"/>
        </w:rPr>
        <w:t xml:space="preserve">Relaxed and comfortable’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4)","plainTextFormattedCitation":"(B,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4)</w:t>
      </w:r>
      <w:r w:rsidRPr="00AE2080">
        <w:rPr>
          <w:rFonts w:ascii="Arial" w:hAnsi="Arial" w:cs="Arial"/>
          <w:i/>
          <w:iCs/>
          <w:sz w:val="24"/>
          <w:szCs w:val="24"/>
        </w:rPr>
        <w:fldChar w:fldCharType="end"/>
      </w:r>
      <w:r w:rsidRPr="00AE2080">
        <w:rPr>
          <w:rFonts w:ascii="Arial" w:hAnsi="Arial" w:cs="Arial"/>
          <w:sz w:val="24"/>
          <w:szCs w:val="24"/>
        </w:rPr>
        <w:t xml:space="preserve"> or </w:t>
      </w:r>
      <w:r w:rsidRPr="00AE2080">
        <w:rPr>
          <w:rFonts w:ascii="Arial" w:hAnsi="Arial" w:cs="Arial"/>
          <w:i/>
          <w:iCs/>
          <w:sz w:val="24"/>
          <w:szCs w:val="24"/>
        </w:rPr>
        <w:t>‘energised and much more flexible’</w:t>
      </w:r>
      <w:r w:rsidRPr="00AE2080">
        <w:rPr>
          <w:rFonts w:ascii="Arial"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practice log 6)","plainTextFormattedCitation":"(C,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practice log 6)</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 xml:space="preserve">. </w:t>
      </w:r>
      <w:r w:rsidRPr="00AE2080">
        <w:rPr>
          <w:rFonts w:ascii="Arial" w:hAnsi="Arial" w:cs="Arial"/>
          <w:sz w:val="24"/>
          <w:szCs w:val="24"/>
        </w:rPr>
        <w:t xml:space="preserve">Teaching </w:t>
      </w:r>
      <w:r w:rsidR="00E12B2C">
        <w:rPr>
          <w:rFonts w:ascii="Arial" w:hAnsi="Arial" w:cs="Arial"/>
          <w:sz w:val="24"/>
          <w:szCs w:val="24"/>
        </w:rPr>
        <w:t>observations</w:t>
      </w:r>
      <w:r w:rsidRPr="00AE2080">
        <w:rPr>
          <w:rFonts w:ascii="Arial" w:hAnsi="Arial" w:cs="Arial"/>
          <w:sz w:val="24"/>
          <w:szCs w:val="24"/>
        </w:rPr>
        <w:t xml:space="preserve"> and student logs showed that all students found greater ease</w:t>
      </w:r>
      <w:r w:rsidR="003937D0">
        <w:rPr>
          <w:rFonts w:ascii="Arial" w:hAnsi="Arial" w:cs="Arial"/>
          <w:sz w:val="24"/>
          <w:szCs w:val="24"/>
        </w:rPr>
        <w:t xml:space="preserve"> in</w:t>
      </w:r>
      <w:r w:rsidRPr="00AE2080">
        <w:rPr>
          <w:rFonts w:ascii="Arial" w:hAnsi="Arial" w:cs="Arial"/>
          <w:sz w:val="24"/>
          <w:szCs w:val="24"/>
        </w:rPr>
        <w:t xml:space="preserve"> accessing their complete range as the study progressed </w:t>
      </w:r>
      <w:r w:rsidRPr="00AE2080">
        <w:rPr>
          <w:rFonts w:ascii="Arial" w:hAnsi="Arial" w:cs="Arial"/>
          <w:sz w:val="24"/>
          <w:szCs w:val="24"/>
        </w:rPr>
        <w:fldChar w:fldCharType="begin" w:fldLock="1"/>
      </w:r>
      <w:r w:rsidR="00E12B2C">
        <w:rPr>
          <w:rFonts w:ascii="Arial" w:hAnsi="Arial" w:cs="Arial"/>
          <w:sz w:val="24"/>
          <w:szCs w:val="24"/>
        </w:rPr>
        <w:instrText>ADDIN CSL_CITATION {"citationItems":[{"id":"ITEM-1","itemData":{"abstract":"Module 6 Belt Study Lesson Notes","author":[{"dropping-particle":"","family":"Morris","given":"Jon","non-dropping-particle":"","parse-names":false,"suffix":""}],"id":"ITEM-1","issued":{"date-parts":[["2024"]]},"title":"Teacher's lesson notes","type":"article"},"uris":["http://www.mendeley.com/documents/?uuid=b2631586-bed3-49d5-8035-ffd1ddd07524"]},{"id":"ITEM-2","itemData":{"abstract":"Anoymity coded reference for data collected from Student B (Module 6).","author":[{"dropping-particle":"","family":"B","given":"Student","non-dropping-particle":"","parse-names":false,"suffix":""}],"id":"ITEM-2","issued":{"date-parts":[["2024"]]},"title":"Student B data sources","type":"article"},"uris":["http://www.mendeley.com/documents/?uuid=dfec7d0c-e3c5-4399-8ab4-4b4ff4170197"]},{"id":"ITEM-3","itemData":{"abstract":"Anoymity coded reference for data collected from Student C (Module 6).","author":[{"dropping-particle":"","family":"C","given":"Student","non-dropping-particle":"","parse-names":false,"suffix":""}],"id":"ITEM-3","issued":{"date-parts":[["2024"]]},"title":"Student C data sources","type":"article"},"uris":["http://www.mendeley.com/documents/?uuid=abeb771b-35df-4769-8cca-5eb60e452aff"]}],"mendeley":{"formattedCitation":"(B, 2024; C, 2024; Morris, 2024)","manualFormatting":"(B, 2024, practice log 5; C, 2024, practice log 5)","plainTextFormattedCitation":"(B, 2024; C, 2024; Morris, 2024)","previouslyFormattedCitation":"(B, 2024; C, 2024; Morris,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 2024, practice log 5; C, 2024, practice log 5)</w:t>
      </w:r>
      <w:r w:rsidRPr="00AE2080">
        <w:rPr>
          <w:rFonts w:ascii="Arial" w:hAnsi="Arial" w:cs="Arial"/>
          <w:sz w:val="24"/>
          <w:szCs w:val="24"/>
        </w:rPr>
        <w:fldChar w:fldCharType="end"/>
      </w:r>
      <w:r w:rsidRPr="00AE2080">
        <w:rPr>
          <w:rFonts w:ascii="Arial" w:hAnsi="Arial" w:cs="Arial"/>
          <w:sz w:val="24"/>
          <w:szCs w:val="24"/>
        </w:rPr>
        <w:t>.</w:t>
      </w:r>
    </w:p>
    <w:p w14:paraId="73EF0647" w14:textId="49B5F3EE"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Style w:val="cf01"/>
          <w:rFonts w:ascii="Arial" w:eastAsiaTheme="majorEastAsia" w:hAnsi="Arial" w:cs="Arial"/>
          <w:i/>
          <w:iCs/>
          <w:sz w:val="24"/>
          <w:szCs w:val="24"/>
        </w:rPr>
        <w:t>‘[Previously] I approached singing in a much more abstract manner, treating sounds like concepts rather than as a physical phenomenon…</w:t>
      </w:r>
      <w:r w:rsidRPr="00AE2080">
        <w:rPr>
          <w:rFonts w:ascii="Arial" w:hAnsi="Arial" w:cs="Arial"/>
          <w:sz w:val="24"/>
          <w:szCs w:val="24"/>
        </w:rPr>
        <w:t xml:space="preserve"> </w:t>
      </w:r>
      <w:r w:rsidRPr="00AE2080">
        <w:rPr>
          <w:rFonts w:ascii="Arial" w:hAnsi="Arial" w:cs="Arial"/>
          <w:i/>
          <w:iCs/>
          <w:sz w:val="24"/>
          <w:szCs w:val="24"/>
        </w:rPr>
        <w:t>[which]</w:t>
      </w:r>
      <w:r w:rsidRPr="00AE2080">
        <w:rPr>
          <w:rFonts w:ascii="Arial" w:hAnsi="Arial" w:cs="Arial"/>
          <w:sz w:val="24"/>
          <w:szCs w:val="24"/>
        </w:rPr>
        <w:t xml:space="preserve"> </w:t>
      </w:r>
      <w:r w:rsidRPr="00AE2080">
        <w:rPr>
          <w:rFonts w:ascii="Arial" w:hAnsi="Arial" w:cs="Arial"/>
          <w:i/>
          <w:iCs/>
          <w:sz w:val="24"/>
          <w:szCs w:val="24"/>
        </w:rPr>
        <w:t>lead to the unattainable nature that I have attributed to certain sounds in the past</w:t>
      </w:r>
      <w:r w:rsidR="00D95536">
        <w:rPr>
          <w:rFonts w:ascii="Arial" w:hAnsi="Arial" w:cs="Arial"/>
          <w:i/>
          <w:iCs/>
          <w:sz w:val="24"/>
          <w:szCs w:val="24"/>
        </w:rPr>
        <w:t>.</w:t>
      </w:r>
      <w:r w:rsidRPr="00AE2080">
        <w:rPr>
          <w:rStyle w:val="cf01"/>
          <w:rFonts w:ascii="Arial" w:eastAsiaTheme="majorEastAsia" w:hAnsi="Arial" w:cs="Arial"/>
          <w:i/>
          <w:iCs/>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33D0CD6D" w14:textId="6E0C42A3" w:rsidR="00830195" w:rsidRPr="00AE2080" w:rsidRDefault="00830195"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b/>
          <w:bCs/>
          <w:i/>
          <w:iCs/>
          <w:sz w:val="24"/>
          <w:szCs w:val="24"/>
        </w:rPr>
        <w:t>Knowledge</w:t>
      </w:r>
      <w:r w:rsidRPr="00AE2080">
        <w:rPr>
          <w:rStyle w:val="cf01"/>
          <w:rFonts w:ascii="Arial" w:eastAsiaTheme="majorEastAsia" w:hAnsi="Arial" w:cs="Arial"/>
          <w:sz w:val="24"/>
          <w:szCs w:val="24"/>
        </w:rPr>
        <w:t xml:space="preserve"> gained during the study has transformed each student’s concept of belting and benefit</w:t>
      </w:r>
      <w:r w:rsidR="003A055E">
        <w:rPr>
          <w:rStyle w:val="cf01"/>
          <w:rFonts w:ascii="Arial" w:eastAsiaTheme="majorEastAsia" w:hAnsi="Arial" w:cs="Arial"/>
          <w:sz w:val="24"/>
          <w:szCs w:val="24"/>
        </w:rPr>
        <w:t>ed</w:t>
      </w:r>
      <w:r w:rsidRPr="00AE2080">
        <w:rPr>
          <w:rStyle w:val="cf01"/>
          <w:rFonts w:ascii="Arial" w:eastAsiaTheme="majorEastAsia" w:hAnsi="Arial" w:cs="Arial"/>
          <w:sz w:val="24"/>
          <w:szCs w:val="24"/>
        </w:rPr>
        <w:t xml:space="preserve"> other aspects of their singing. They now see belting as a motor skill which can be </w:t>
      </w:r>
      <w:r w:rsidRPr="00AE2080">
        <w:rPr>
          <w:rStyle w:val="cf01"/>
          <w:rFonts w:ascii="Arial" w:eastAsiaTheme="majorEastAsia" w:hAnsi="Arial" w:cs="Arial"/>
          <w:b/>
          <w:bCs/>
          <w:i/>
          <w:iCs/>
          <w:sz w:val="24"/>
          <w:szCs w:val="24"/>
        </w:rPr>
        <w:t>developed progressively</w:t>
      </w:r>
      <w:r w:rsidRPr="00F70649">
        <w:rPr>
          <w:rStyle w:val="cf01"/>
          <w:rFonts w:ascii="Arial" w:eastAsiaTheme="majorEastAsia" w:hAnsi="Arial" w:cs="Arial"/>
          <w:sz w:val="24"/>
          <w:szCs w:val="24"/>
        </w:rPr>
        <w:t xml:space="preserve"> </w:t>
      </w:r>
      <w:r w:rsidRPr="00AE2080">
        <w:rPr>
          <w:rStyle w:val="cf01"/>
          <w:rFonts w:ascii="Arial" w:eastAsiaTheme="majorEastAsia" w:hAnsi="Arial" w:cs="Arial"/>
          <w:b/>
          <w:bCs/>
          <w:i/>
          <w:iCs/>
          <w:sz w:val="24"/>
          <w:szCs w:val="24"/>
        </w:rPr>
        <w:fldChar w:fldCharType="begin" w:fldLock="1"/>
      </w:r>
      <w:r w:rsidRPr="00AE2080">
        <w:rPr>
          <w:rStyle w:val="cf01"/>
          <w:rFonts w:ascii="Arial" w:eastAsiaTheme="majorEastAsia" w:hAnsi="Arial" w:cs="Arial"/>
          <w:b/>
          <w:bCs/>
          <w:i/>
          <w:iCs/>
          <w:sz w:val="24"/>
          <w:szCs w:val="24"/>
        </w:rPr>
        <w:instrText>ADDIN CSL_CITATION {"citationItems":[{"id":"ITEM-1","itemData":{"author":[{"dropping-particle":"","family":"Maxfield","given":"Lynn","non-dropping-particle":"","parse-names":false,"suffix":""}],"container-title":"Journal of Singing","id":"ITEM-1","issue":"June","issued":{"date-parts":[["2019"]]},"page":"583-587","title":"Your Model of Motor Learning","type":"article-journal"},"uris":["http://www.mendeley.com/documents/?uuid=5d4fae0a-36a6-46fd-b7b4-97444d81bdeb"]},{"id":"ITEM-2","itemData":{"DOI":"10.1016/j.jvoice.2023.04.006","ISSN":"18734588","PMID":"37210322","abstract":"Objectives: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Voice","id":"ITEM-2","issued":{"date-parts":[["2023"]]},"publisher":"Elsevier Inc.","title":"Effect of Practice Structure and Feedback Frequency on Voice Motor Learning in Older Adults","type":"article-journal"},"uris":["http://www.mendeley.com/documents/?uuid=2d2cdb97-d5db-480e-939f-439a3803abfc"]},{"id":"ITEM-3","itemData":{"abstract":"I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Singing","id":"ITEM-3","issue":"2","issued":{"date-parts":[["2017"]]},"page":"215-220","title":"Best Practices: Using Exercise Physiology and Motor Learning Principles in the Teaching Studio and the Practice Room","type":"article-journal","volume":"74"},"uris":["http://www.mendeley.com/documents/?uuid=e60cfaa3-8093-408a-b186-ec25f721c664"]}],"mendeley":{"formattedCitation":"(Nix, 2017; Maxfield, 2019; Steinhauer and Eichhorn, 2023)","plainTextFormattedCitation":"(Nix, 2017; Maxfield, 2019; Steinhauer and Eichhorn, 2023)","previouslyFormattedCitation":"(Nix, 2017; Maxfield, 2019; Steinhauer and Eichhorn, 2023)"},"properties":{"noteIndex":0},"schema":"https://github.com/citation-style-language/schema/raw/master/csl-citation.json"}</w:instrText>
      </w:r>
      <w:r w:rsidRPr="00AE2080">
        <w:rPr>
          <w:rStyle w:val="cf01"/>
          <w:rFonts w:ascii="Arial" w:eastAsiaTheme="majorEastAsia" w:hAnsi="Arial" w:cs="Arial"/>
          <w:b/>
          <w:bCs/>
          <w:i/>
          <w:iCs/>
          <w:sz w:val="24"/>
          <w:szCs w:val="24"/>
        </w:rPr>
        <w:fldChar w:fldCharType="separate"/>
      </w:r>
      <w:r w:rsidRPr="00AE2080">
        <w:rPr>
          <w:rStyle w:val="cf01"/>
          <w:rFonts w:ascii="Arial" w:eastAsiaTheme="majorEastAsia" w:hAnsi="Arial" w:cs="Arial"/>
          <w:bCs/>
          <w:iCs/>
          <w:noProof/>
          <w:sz w:val="24"/>
          <w:szCs w:val="24"/>
        </w:rPr>
        <w:t>(Nix, 2017; Maxfield, 2019; Steinhauer and Eichhorn, 2023)</w:t>
      </w:r>
      <w:r w:rsidRPr="00AE2080">
        <w:rPr>
          <w:rStyle w:val="cf01"/>
          <w:rFonts w:ascii="Arial" w:eastAsiaTheme="majorEastAsia" w:hAnsi="Arial" w:cs="Arial"/>
          <w:b/>
          <w:bCs/>
          <w:i/>
          <w:iCs/>
          <w:sz w:val="24"/>
          <w:szCs w:val="24"/>
        </w:rPr>
        <w:fldChar w:fldCharType="end"/>
      </w:r>
      <w:r w:rsidRPr="00AE2080">
        <w:rPr>
          <w:rStyle w:val="cf01"/>
          <w:rFonts w:ascii="Arial" w:eastAsiaTheme="majorEastAsia" w:hAnsi="Arial" w:cs="Arial"/>
          <w:sz w:val="24"/>
          <w:szCs w:val="24"/>
        </w:rPr>
        <w:t>.</w:t>
      </w:r>
    </w:p>
    <w:p w14:paraId="6C659D58"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 xml:space="preserve">‘This session pulled together much of the learning of the previous sessions and helped me internalise the feeling of belting.’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practice log 6)","plainTextFormattedCitation":"(B,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practice log 6)</w:t>
      </w:r>
      <w:r w:rsidRPr="00AE2080">
        <w:rPr>
          <w:rFonts w:ascii="Arial" w:hAnsi="Arial" w:cs="Arial"/>
          <w:i/>
          <w:iCs/>
          <w:sz w:val="24"/>
          <w:szCs w:val="24"/>
        </w:rPr>
        <w:fldChar w:fldCharType="end"/>
      </w:r>
    </w:p>
    <w:p w14:paraId="11523581" w14:textId="460FDD12" w:rsidR="00830195" w:rsidRPr="00AE2080" w:rsidRDefault="00830195" w:rsidP="00AE2080">
      <w:pPr>
        <w:pStyle w:val="pf0"/>
        <w:spacing w:line="360" w:lineRule="auto"/>
        <w:jc w:val="both"/>
        <w:rPr>
          <w:rStyle w:val="cf01"/>
          <w:rFonts w:ascii="Arial" w:eastAsiaTheme="majorEastAsia" w:hAnsi="Arial" w:cs="Arial"/>
          <w:sz w:val="24"/>
          <w:szCs w:val="24"/>
        </w:rPr>
      </w:pPr>
      <w:r w:rsidRPr="00AE2080">
        <w:rPr>
          <w:rStyle w:val="cf01"/>
          <w:rFonts w:ascii="Arial" w:eastAsiaTheme="majorEastAsia" w:hAnsi="Arial" w:cs="Arial"/>
          <w:sz w:val="24"/>
          <w:szCs w:val="24"/>
        </w:rPr>
        <w:lastRenderedPageBreak/>
        <w:t>Student C reflected on their knowledge and experience of belting as having become ‘</w:t>
      </w:r>
      <w:r w:rsidRPr="00AE2080">
        <w:rPr>
          <w:rStyle w:val="cf01"/>
          <w:rFonts w:ascii="Arial" w:eastAsiaTheme="majorEastAsia" w:hAnsi="Arial" w:cs="Arial"/>
          <w:i/>
          <w:iCs/>
          <w:sz w:val="24"/>
          <w:szCs w:val="24"/>
        </w:rPr>
        <w:t>coordination between different parts of the body, as opposed to belting being a magical sound that only certain voice</w:t>
      </w:r>
      <w:r w:rsidR="00D132E5">
        <w:rPr>
          <w:rStyle w:val="cf01"/>
          <w:rFonts w:ascii="Arial" w:eastAsiaTheme="majorEastAsia" w:hAnsi="Arial" w:cs="Arial"/>
          <w:i/>
          <w:iCs/>
          <w:sz w:val="24"/>
          <w:szCs w:val="24"/>
        </w:rPr>
        <w:t xml:space="preserve"> </w:t>
      </w:r>
      <w:r w:rsidRPr="00AE2080">
        <w:rPr>
          <w:rStyle w:val="cf01"/>
          <w:rFonts w:ascii="Arial" w:eastAsiaTheme="majorEastAsia" w:hAnsi="Arial" w:cs="Arial"/>
          <w:i/>
          <w:iCs/>
          <w:sz w:val="24"/>
          <w:szCs w:val="24"/>
        </w:rPr>
        <w:t xml:space="preserve">types can make’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 xml:space="preserve">. Knowledge of belting has transformed belting into an </w:t>
      </w:r>
      <w:r w:rsidRPr="00AE2080">
        <w:rPr>
          <w:rStyle w:val="cf01"/>
          <w:rFonts w:ascii="Arial" w:eastAsiaTheme="majorEastAsia" w:hAnsi="Arial" w:cs="Arial"/>
          <w:b/>
          <w:bCs/>
          <w:i/>
          <w:iCs/>
          <w:sz w:val="24"/>
          <w:szCs w:val="24"/>
        </w:rPr>
        <w:t>accessible skill</w:t>
      </w:r>
      <w:r w:rsidRPr="00AE2080">
        <w:rPr>
          <w:rStyle w:val="cf01"/>
          <w:rFonts w:ascii="Arial" w:eastAsiaTheme="majorEastAsia" w:hAnsi="Arial" w:cs="Arial"/>
          <w:sz w:val="24"/>
          <w:szCs w:val="24"/>
        </w:rPr>
        <w:t xml:space="preserve"> which the students feel they have made progress developing and which they all want to develop further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Education","id":"ITEM-1","issue":"1","issued":{"date-parts":[["2015"]]},"page":"43-57","title":"Critical geragogy: A framework for facilitating older learners in community music","type":"article-journal","volume":"13"},"uris":["http://www.mendeley.com/documents/?uuid=fa50dd99-4e1e-44de-a3f2-30dd41815d00"]},{"id":"ITEM-2","itemData":{"DOI":"10.1016/0260-4779(91)90031-R","ISSN":"02604779","author":[{"dropping-particle":"","family":"Teather","given":"J. Lynne","non-dropping-particle":"","parse-names":false,"suffix":""}],"container-title":"Museum Management and Curatorship","id":"ITEM-2","issue":"4","issued":{"date-parts":[["1991"]]},"page":"403-417","title":"Museum studies. Reflecting on reflective practice","type":"article-journal","volume":"10"},"uris":["http://www.mendeley.com/documents/?uuid=79b8a30a-08d5-4520-aef0-7e904fbaa688"]},{"id":"ITEM-3","itemData":{"ISSN":"10867732","abstract":"The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Teachers.","type":"article-journal","volume":"74"},"uris":["http://www.mendeley.com/documents/?uuid=4030f552-7b94-4abf-bab4-c0b97b7babca"]}],"mendeley":{"formattedCitation":"(Teather, 1991; Creech and Hallam, 2015; Stephenson, 2018)","plainTextFormattedCitation":"(Teather, 1991; Creech and Hallam, 2015; Stephenson, 2018)","previouslyFormattedCitation":"(Teather, 1991; Creech and Hallam, 2015; Stephenson, 2018)"},"properties":{"noteIndex":0},"schema":"https://github.com/citation-style-language/schema/raw/master/csl-citation.json"}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(Teather, 1991; Creech and Hallam, 2015; Stephenson, 2018)</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w:t>
      </w:r>
    </w:p>
    <w:p w14:paraId="19DB4525" w14:textId="77777777" w:rsidR="00830195" w:rsidRPr="00AE2080" w:rsidRDefault="00830195" w:rsidP="00AE2080">
      <w:pPr>
        <w:pStyle w:val="pf0"/>
        <w:spacing w:line="360" w:lineRule="auto"/>
        <w:jc w:val="center"/>
        <w:rPr>
          <w:rStyle w:val="cf01"/>
          <w:rFonts w:ascii="Arial" w:eastAsiaTheme="majorEastAsia" w:hAnsi="Arial" w:cs="Arial"/>
          <w:sz w:val="24"/>
          <w:szCs w:val="24"/>
        </w:rPr>
      </w:pPr>
      <w:r w:rsidRPr="00AE2080">
        <w:rPr>
          <w:rStyle w:val="cf01"/>
          <w:rFonts w:ascii="Arial" w:eastAsiaTheme="majorEastAsia" w:hAnsi="Arial" w:cs="Arial"/>
          <w:i/>
          <w:iCs/>
          <w:sz w:val="24"/>
          <w:szCs w:val="24"/>
        </w:rPr>
        <w:t xml:space="preserve">‘Now, the idea of belting appears to be far more attainable. Overall, I am far more excited and feel less anxiety when approaching belting as a technique.’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0BF86786" w14:textId="7B94E182" w:rsidR="00830195" w:rsidRPr="00AE2080" w:rsidRDefault="00830195" w:rsidP="00AE2080">
      <w:pPr>
        <w:pStyle w:val="pf0"/>
        <w:spacing w:line="360" w:lineRule="auto"/>
        <w:jc w:val="both"/>
        <w:rPr>
          <w:rFonts w:ascii="Arial" w:hAnsi="Arial" w:cs="Arial"/>
        </w:rPr>
      </w:pPr>
      <w:r w:rsidRPr="00AE2080">
        <w:rPr>
          <w:rStyle w:val="cf01"/>
          <w:rFonts w:ascii="Arial" w:eastAsiaTheme="majorEastAsia" w:hAnsi="Arial" w:cs="Arial"/>
          <w:sz w:val="24"/>
          <w:szCs w:val="24"/>
        </w:rPr>
        <w:t xml:space="preserve">The knowledge gains and attitude changes of the students reflect my journey through the study. Teaching belting </w:t>
      </w:r>
      <w:r w:rsidR="00D567F9">
        <w:rPr>
          <w:rStyle w:val="cf01"/>
          <w:rFonts w:ascii="Arial" w:eastAsiaTheme="majorEastAsia" w:hAnsi="Arial" w:cs="Arial"/>
          <w:sz w:val="24"/>
          <w:szCs w:val="24"/>
        </w:rPr>
        <w:t>now feels like</w:t>
      </w:r>
      <w:r w:rsidRPr="00AE2080">
        <w:rPr>
          <w:rStyle w:val="cf01"/>
          <w:rFonts w:ascii="Arial" w:eastAsiaTheme="majorEastAsia" w:hAnsi="Arial" w:cs="Arial"/>
          <w:sz w:val="24"/>
          <w:szCs w:val="24"/>
        </w:rPr>
        <w:t xml:space="preserve"> an accessible skill </w:t>
      </w:r>
      <w:r w:rsidR="0086360D">
        <w:rPr>
          <w:rStyle w:val="cf01"/>
          <w:rFonts w:ascii="Arial" w:eastAsiaTheme="majorEastAsia" w:hAnsi="Arial" w:cs="Arial"/>
          <w:sz w:val="24"/>
          <w:szCs w:val="24"/>
        </w:rPr>
        <w:t xml:space="preserve">and </w:t>
      </w:r>
      <w:r w:rsidR="00D567F9">
        <w:rPr>
          <w:rStyle w:val="cf01"/>
          <w:rFonts w:ascii="Arial" w:eastAsiaTheme="majorEastAsia" w:hAnsi="Arial" w:cs="Arial"/>
          <w:sz w:val="24"/>
          <w:szCs w:val="24"/>
        </w:rPr>
        <w:t xml:space="preserve">one which </w:t>
      </w:r>
      <w:r w:rsidRPr="00AE2080">
        <w:rPr>
          <w:rStyle w:val="cf01"/>
          <w:rFonts w:ascii="Arial" w:eastAsiaTheme="majorEastAsia" w:hAnsi="Arial" w:cs="Arial"/>
          <w:sz w:val="24"/>
          <w:szCs w:val="24"/>
        </w:rPr>
        <w:t xml:space="preserve">I feel </w:t>
      </w:r>
      <w:r w:rsidR="00D567F9">
        <w:rPr>
          <w:rStyle w:val="cf01"/>
          <w:rFonts w:ascii="Arial" w:eastAsiaTheme="majorEastAsia" w:hAnsi="Arial" w:cs="Arial"/>
          <w:sz w:val="24"/>
          <w:szCs w:val="24"/>
        </w:rPr>
        <w:t>optimistic</w:t>
      </w:r>
      <w:r w:rsidRPr="00AE2080">
        <w:rPr>
          <w:rStyle w:val="cf01"/>
          <w:rFonts w:ascii="Arial" w:eastAsiaTheme="majorEastAsia" w:hAnsi="Arial" w:cs="Arial"/>
          <w:sz w:val="24"/>
          <w:szCs w:val="24"/>
        </w:rPr>
        <w:t xml:space="preserve"> </w:t>
      </w:r>
      <w:r w:rsidR="00D567F9">
        <w:rPr>
          <w:rStyle w:val="cf01"/>
          <w:rFonts w:ascii="Arial" w:eastAsiaTheme="majorEastAsia" w:hAnsi="Arial" w:cs="Arial"/>
          <w:sz w:val="24"/>
          <w:szCs w:val="24"/>
        </w:rPr>
        <w:t xml:space="preserve">about continuing to </w:t>
      </w:r>
      <w:r w:rsidRPr="00AE2080">
        <w:rPr>
          <w:rStyle w:val="cf01"/>
          <w:rFonts w:ascii="Arial" w:eastAsiaTheme="majorEastAsia" w:hAnsi="Arial" w:cs="Arial"/>
          <w:sz w:val="24"/>
          <w:szCs w:val="24"/>
        </w:rPr>
        <w:t>develop.</w:t>
      </w:r>
    </w:p>
    <w:p w14:paraId="53A8334E" w14:textId="727FF7F0" w:rsidR="00830195" w:rsidRPr="00AE2080" w:rsidRDefault="00830195" w:rsidP="00AE2080">
      <w:pPr>
        <w:spacing w:before="100" w:beforeAutospacing="1" w:after="100" w:afterAutospacing="1"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Each student has developed a personal approach in </w:t>
      </w:r>
      <w:r w:rsidRPr="00AE2080">
        <w:rPr>
          <w:rFonts w:ascii="Arial" w:eastAsia="Times New Roman" w:hAnsi="Arial" w:cs="Arial"/>
          <w:b/>
          <w:bCs/>
          <w:i/>
          <w:iCs/>
          <w:sz w:val="24"/>
          <w:szCs w:val="24"/>
          <w:lang w:eastAsia="en-GB"/>
        </w:rPr>
        <w:t>preparation for belting</w:t>
      </w:r>
      <w:r w:rsidRPr="00AE2080">
        <w:rPr>
          <w:rFonts w:ascii="Arial" w:eastAsia="Times New Roman" w:hAnsi="Arial" w:cs="Arial"/>
          <w:sz w:val="24"/>
          <w:szCs w:val="24"/>
          <w:lang w:eastAsia="en-GB"/>
        </w:rPr>
        <w:t xml:space="preserve"> which is based on the learnings in the study. The students recounted their new vocal warmup routines which paid attention to their vocal sensations, covered the ‘arc of vocal abilities’, and included belting exercises individualised to their stage of development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{"citationItems":[{"id":"ITEM-1","itemData":{"ISBN":"9781124743073","abstract":"Over the past several decades, cognitive and behavioral scientists have been researching the most effective practices for training muscles to produce specific movements consistently and accurately. That research has led to relatively wide acceptance of several best practices for the training of motor skills. One such practice is the reduction in the frequency with which augmented (external) feedback is provided by the instructor/trainer during skill-acquisition. This theory of low-frequency feedback has been examined by research in a wide variety of fields ranging from exercise and sport to voice therapy and rehabilitation. Prior to the study reported here, however, this theory had not been applied to the acquisition of vocal skills associated with classical singing techniques. The current research consisted of an alternating treatment single-subject study, which was conducted on a college campus over the course of a 15-week semester. 8 college voice students (3 male and 5 female) ranging in age from 18 to 25 participated in voice lessons provided by the researcher and aimed at improving the overall quality of the voices of the participants. Over the course of the15 weeks, the instructor alternated between providing a high-frequency feedback (HFF) instruction condition and a low-frequency feedback (LFF) instruction condition. At the beginning of each session, a vocal sample was recorded to test the retention of the skills trained in the previous lesson. Those recordings were evaluated by a panel of five college voice instructors who provided a numerical score (out of a possible 100 pts.) for each sample on the basis of tone quality, breath management, and intonation. The results of this study indicated that three of the eight subjects retained more vocal skill ability during the LFF phases of the study, while the remaining five subjects retained less vocal skill ability during the LFF phases of the study. It was also seen that the three subjects who responded favorably to the LFF instruction condition were also those whose scores were higher throughout the duration of the study. These findings would appear to indicate that an LFF instruction condition may be more beneficial to more experienced or more skilled singers, while an HFF instruction condition may be more beneficial to more novice singers. In the final chapter of this report, several modifications to this study are suggested along with suggestions for future research regarding the application o…","author":[{"dropping-particle":"","family":"Maxfield","given":"Lynn Milo","non-dropping-particle":"","parse-names":false,"suffix":""}],"container-title":"ProQuest Dissertations and Theses","id":"ITEM-1","issued":{"date-parts":[["2011"]]},"page":"191","title":"Application of principles from motor-learning theory to the studio voice lesson: Effects of feedback frequency on retention of classical singing technique","type":"article-journal"},"uris":["http://www.mendeley.com/documents/?uuid=92fbf4bf-1473-452d-8fcc-3f4f51740743"]},{"id":"ITEM-2","itemData":{"DOI":"10.1016/j.jvoice.2015.07.008","ISSN":"18734588","PMID":"26296854","abstract":"Background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Singers","type":"article-journal","volume":"30"},"uris":["http://www.mendeley.com/documents/?uuid=38644f2f-538f-4d06-8628-46c02201698d"]},{"id":"ITEM-3","itemData":{"abstract":"The female musical theater belt voice has been heard onstage for almost one hundred years, yet the demands for this type of singing continue to evolve. While the style dominates Broadway, an understanding of successful teaching of the female belt voice seems to be lacking. Therefore, this study was undertaken to appropriately address the needs of female musical theater singers, and to establish effective strategies for teaching the female belt voice. Individual case studies of four nationally recognized master teachers of female belting were created from observations in the studio, interviews with the teachers, and interviews with their students. Thirty-two hours of private voice lessons were observed with 18 female belt students in the studios of these master teachers in an effort to determine the extent to which they employed common techniques in the pedagogy and agreed on the characteristics of the female belt voice. Interview responses and field notes from the teachers and singers were analyzed individually and a cross-comparison of the data was analyzed for consensus or conflicting information on female musical theater belt pedagogy. Interestingly, there was much consensus among the teachers on the physicality, sound, and strategies for female belting. Included in the findings were that the female belt voice is not a pure chest voice production, and development of the entire voice is key since working in head voice allows a female to create a lighter belt sound and to make the transition into the higher belt range. Distinct techniques for the traditional and contemporary belt voices emerged. The traditional belt, up to D5, uses more chest voice and full, open vowels. The contemporary belt, higher than D5, is produced with more head voice and closed, narrow vowels. Belting is considered speech-like and exciting, and is a joint process between teachers and students. Based on this research, voice teachers working with musical theater students must be educated and proficient on the specific strategies and techniques of the evolving female belt voice. The female belt voice, though different from classical singing, does have its own set of techniques.","author":[{"dropping-particle":"","family":"Roll","given":"","non-dropping-particle":"","parse-names":false,"suffix":""}],"id":"ITEM-3","issued":{"date-parts":[["2014"]]},"title":"FEMALE MUSICAL THEATER BELTING IN THE 21ST CENTURY","type":"article-journal"},"uris":["http://www.mendeley.com/documents/?uuid=5030bbb6-60db-47c9-8cfb-a9da980f8b89"]},{"id":"ITEM-4","itemData":{"abstract":"I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Singing","id":"ITEM-4","issue":"2","issued":{"date-parts":[["2017"]]},"page":"215-220","title":"Best Practices: Using Exercise Physiology and Motor Learning Principles in the Teaching Studio and the Practice Room","type":"article-journal","volume":"74"},"uris":["http://www.mendeley.com/documents/?uuid=e60cfaa3-8093-408a-b186-ec25f721c664"]},{"id":"ITEM-5","itemData":{"DOI":"10.1016/j.jvoice.2023.04.006","ISSN":"18734588","PMID":"37210322","abstract":"Objectives: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Voice","id":"ITEM-5","issued":{"date-parts":[["2023"]]},"publisher":"Elsevier Inc.","title":"Effect of Practice Structure and Feedback Frequency on Voice Motor Learning in Older Adults","type":"article-journal"},"uris":["http://www.mendeley.com/documents/?uuid=2d2cdb97-d5db-480e-939f-439a3803abfc"]},{"id":"ITEM-6","itemData":{"DOI":"10.13075/mp.5893.01201","ISSN":"23531339","PMID":"35133326","abstract":"Singers, classified as “vocal performers” are at an increased risk of developing voice disorders. The area of contemporary commercial singing has not been studied as extensively as classical singing. Non-classical singing is generally considered detrimental to vocal health and thus the information on challenges contemporary commercial singers (CCS) pose to otolaryngologists and other healthcare professionals is scarce. The authors present an overview of contemporary commercial singing styles in com-parison to classical singing, discuss the notion of non-classical style being harmful to vocal health, present major risk factors associated with developing voice disorders in contemporary commercial singers, and outline the diagnostic process of vocal health assessment in this group of occupational voice users. Given that contemporary commercial singers constitute a unique and vast group of elite vocal performers, the authors stress the importance of raising awareness among healthcare professionals of the fact that these patients require special considerations for voice evaluation and treatment in the occupational health and safety framework. Med Pr. 2022;73(1):33–41.","author":[{"dropping-particle":"","family":"Morawska","given":"Joanna","non-dropping-particle":"","parse-names":false,"suffix":""},{"dropping-particle":"","family":"Niebudek-Bogusz","given":"Ewa","non-dropping-particle":"","parse-names":false,"suffix":""},{"dropping-particle":"","family":"Pietruszewska","given":"Wioletta","non-dropping-particle":"","parse-names":false,"suffix":""}],"container-title":"Medycyna Pracy","id":"ITEM-6","issue":"1","issued":{"date-parts":[["2022"]]},"note":"Key:\nOpera/Classical - Yellow \nTeaching - Red\nCCM - Green\nMT - Purple\nCross-training - Blue\nStudy/ writing ideas - Pink\nVocal acoustics - grey\nTechnology - orange \n\nThemes:\n\nVoice care\nVoice disorders in CCM\nCCM\nClassical\nVoice qualities\nCMM sugessted sub catagories\n\n\n\nConnections:","page":"33-41","title":"Considerations and Demands in the Voice Care of Contemporary Commercial Singers in Occupational Health and Safety Aspects","type":"article-journal","volume":"73"},"uris":["http://www.mendeley.com/documents/?uuid=ff0659a5-b881-41e5-a677-f36a5bae306a"]}],"mendeley":{"formattedCitation":"(Maxfield, 2011; Roll, 2014, 2016; Nix, 2017; Morawska, Niebudek-Bogusz and Pietruszewska, 2022; Steinhauer and Eichhorn, 2023)","plainTextFormattedCitation":"(Maxfield, 2011; Roll, 2014, 2016; Nix, 2017; Morawska, Niebudek-Bogusz and Pietruszewska, 2022; Steinhauer and Eichhorn, 2023)","previouslyFormattedCitation":"(Maxfield, 2011; Roll, 2014, 2016; Nix, 2017; Morawska, Niebudek-Bogusz and Pietruszewska, 2022; Steinhauer and Eichhorn,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(Maxfield, 2011; Roll, 2014, 2016; Nix, 2017; Morawska, Niebudek-Bogusz and Pietruszewska, 2022; Steinhauer and Eichhorn,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76C516F1" w14:textId="77777777"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Fonts w:ascii="Arial" w:eastAsia="Times New Roman" w:hAnsi="Arial" w:cs="Arial"/>
          <w:sz w:val="24"/>
          <w:szCs w:val="24"/>
          <w:lang w:eastAsia="en-GB"/>
        </w:rPr>
        <w:t>‘</w:t>
      </w:r>
      <w:r w:rsidRPr="00AE2080">
        <w:rPr>
          <w:rFonts w:ascii="Arial" w:eastAsia="Times New Roman" w:hAnsi="Arial" w:cs="Arial"/>
          <w:i/>
          <w:iCs/>
          <w:sz w:val="24"/>
          <w:szCs w:val="24"/>
          <w:lang w:eastAsia="en-GB"/>
        </w:rPr>
        <w:t>I tend to feel all of this as a dynamic and playful sensation… Overall, I look for a firmer sense of connection between the voice and the body so that they feel more closely intertwined.’</w:t>
      </w:r>
      <w:r w:rsidRPr="00AE2080">
        <w:rPr>
          <w:rStyle w:val="cf01"/>
          <w:rFonts w:ascii="Arial" w:eastAsiaTheme="majorEastAsia" w:hAnsi="Arial" w:cs="Arial"/>
          <w:sz w:val="24"/>
          <w:szCs w:val="24"/>
        </w:rPr>
        <w:t xml:space="preserve">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p>
    <w:p w14:paraId="020E1311" w14:textId="13061467" w:rsidR="00830195" w:rsidRPr="00AE2080" w:rsidRDefault="00830195" w:rsidP="00AE2080">
      <w:pPr>
        <w:spacing w:before="100" w:beforeAutospacing="1" w:after="100" w:afterAutospacing="1" w:line="360" w:lineRule="auto"/>
        <w:jc w:val="both"/>
        <w:rPr>
          <w:rFonts w:ascii="Arial" w:hAnsi="Arial" w:cs="Arial"/>
          <w:sz w:val="24"/>
          <w:szCs w:val="24"/>
        </w:rPr>
      </w:pPr>
      <w:r w:rsidRPr="00AE2080">
        <w:rPr>
          <w:rFonts w:ascii="Arial" w:hAnsi="Arial" w:cs="Arial"/>
          <w:b/>
          <w:bCs/>
          <w:i/>
          <w:iCs/>
          <w:sz w:val="24"/>
          <w:szCs w:val="24"/>
        </w:rPr>
        <w:t xml:space="preserve">Practice approaches </w:t>
      </w:r>
      <w:r w:rsidRPr="00AE2080">
        <w:rPr>
          <w:rFonts w:ascii="Arial" w:hAnsi="Arial" w:cs="Arial"/>
          <w:sz w:val="24"/>
          <w:szCs w:val="24"/>
        </w:rPr>
        <w:t>is the theme which cover</w:t>
      </w:r>
      <w:r w:rsidR="003B727B">
        <w:rPr>
          <w:rFonts w:ascii="Arial" w:hAnsi="Arial" w:cs="Arial"/>
          <w:sz w:val="24"/>
          <w:szCs w:val="24"/>
        </w:rPr>
        <w:t>s</w:t>
      </w:r>
      <w:r w:rsidRPr="00AE2080">
        <w:rPr>
          <w:rFonts w:ascii="Arial" w:hAnsi="Arial" w:cs="Arial"/>
          <w:sz w:val="24"/>
          <w:szCs w:val="24"/>
        </w:rPr>
        <w:t xml:space="preserve"> teaching and learning approaches used to support individual development. Practice approach features discussed and modelled in lessons covered areas such as:</w:t>
      </w:r>
    </w:p>
    <w:p w14:paraId="68BDC2A7" w14:textId="77777777" w:rsidR="00087DF3" w:rsidRPr="00AE2080" w:rsidRDefault="00087DF3" w:rsidP="00AE2080">
      <w:pPr>
        <w:pStyle w:val="ListParagraph"/>
        <w:numPr>
          <w:ilvl w:val="0"/>
          <w:numId w:val="11"/>
        </w:numPr>
        <w:spacing w:before="100" w:beforeAutospacing="1" w:after="100" w:afterAutospacing="1" w:line="360" w:lineRule="auto"/>
        <w:jc w:val="both"/>
        <w:rPr>
          <w:rFonts w:ascii="Arial" w:hAnsi="Arial" w:cs="Arial"/>
          <w:sz w:val="24"/>
          <w:szCs w:val="24"/>
        </w:rPr>
        <w:sectPr w:rsidR="00087DF3" w:rsidRPr="00AE2080" w:rsidSect="008B7E14">
          <w:type w:val="continuous"/>
          <w:pgSz w:w="11906" w:h="16838"/>
          <w:pgMar w:top="1440" w:right="1440" w:bottom="1440" w:left="1440" w:header="708" w:footer="708" w:gutter="0"/>
          <w:cols w:space="708"/>
          <w:docGrid w:linePitch="360"/>
        </w:sectPr>
      </w:pPr>
    </w:p>
    <w:p w14:paraId="5F7FB8F7"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Focus during practice</w:t>
      </w:r>
    </w:p>
    <w:p w14:paraId="41E7B7D1"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Sequencing of practice</w:t>
      </w:r>
    </w:p>
    <w:p w14:paraId="7183AFD4"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Goal setting</w:t>
      </w:r>
    </w:p>
    <w:p w14:paraId="63FD4F3A" w14:textId="77777777" w:rsidR="00830195" w:rsidRPr="00AE2080" w:rsidRDefault="00830195" w:rsidP="00AE2080">
      <w:pPr>
        <w:pStyle w:val="ListParagraph"/>
        <w:numPr>
          <w:ilvl w:val="0"/>
          <w:numId w:val="11"/>
        </w:numPr>
        <w:spacing w:before="100" w:beforeAutospacing="1" w:after="100" w:afterAutospacing="1" w:line="360" w:lineRule="auto"/>
        <w:jc w:val="both"/>
        <w:rPr>
          <w:rFonts w:ascii="Arial" w:hAnsi="Arial" w:cs="Arial"/>
          <w:sz w:val="24"/>
          <w:szCs w:val="24"/>
        </w:rPr>
      </w:pPr>
      <w:r w:rsidRPr="00AE2080">
        <w:rPr>
          <w:rFonts w:ascii="Arial" w:hAnsi="Arial" w:cs="Arial"/>
          <w:sz w:val="24"/>
          <w:szCs w:val="24"/>
        </w:rPr>
        <w:t>Vocal experimentation</w:t>
      </w:r>
    </w:p>
    <w:p w14:paraId="52E1691E" w14:textId="77777777" w:rsidR="00087DF3" w:rsidRPr="00AE2080" w:rsidRDefault="00087DF3" w:rsidP="00AE2080">
      <w:pPr>
        <w:spacing w:before="100" w:beforeAutospacing="1" w:after="100" w:afterAutospacing="1" w:line="360" w:lineRule="auto"/>
        <w:jc w:val="both"/>
        <w:rPr>
          <w:rFonts w:ascii="Arial" w:hAnsi="Arial" w:cs="Arial"/>
          <w:b/>
          <w:bCs/>
          <w:i/>
          <w:iCs/>
          <w:noProof/>
          <w:sz w:val="24"/>
          <w:szCs w:val="24"/>
        </w:rPr>
        <w:sectPr w:rsidR="00087DF3" w:rsidRPr="00AE2080" w:rsidSect="008B7E14">
          <w:type w:val="continuous"/>
          <w:pgSz w:w="11906" w:h="16838"/>
          <w:pgMar w:top="1440" w:right="1440" w:bottom="1440" w:left="1440" w:header="708" w:footer="708" w:gutter="0"/>
          <w:cols w:num="2" w:space="708"/>
          <w:docGrid w:linePitch="360"/>
        </w:sectPr>
      </w:pPr>
    </w:p>
    <w:p w14:paraId="1AA965D6" w14:textId="17A865AE" w:rsidR="00830195" w:rsidRPr="00AE2080" w:rsidRDefault="00830195" w:rsidP="00AE2080">
      <w:pPr>
        <w:spacing w:before="100" w:beforeAutospacing="1" w:after="100" w:afterAutospacing="1" w:line="360" w:lineRule="auto"/>
        <w:jc w:val="both"/>
        <w:rPr>
          <w:rFonts w:ascii="Arial" w:hAnsi="Arial" w:cs="Arial"/>
          <w:sz w:val="24"/>
          <w:szCs w:val="24"/>
        </w:rPr>
      </w:pPr>
      <w:r w:rsidRPr="00AE2080">
        <w:rPr>
          <w:rFonts w:ascii="Arial" w:hAnsi="Arial" w:cs="Arial"/>
          <w:noProof/>
          <w:sz w:val="24"/>
          <w:szCs w:val="24"/>
        </w:rPr>
        <w:t>The</w:t>
      </w:r>
      <w:r w:rsidRPr="00AE2080">
        <w:rPr>
          <w:rFonts w:ascii="Arial" w:hAnsi="Arial" w:cs="Arial"/>
          <w:b/>
          <w:bCs/>
          <w:i/>
          <w:iCs/>
          <w:noProof/>
          <w:sz w:val="24"/>
          <w:szCs w:val="24"/>
        </w:rPr>
        <w:t xml:space="preserve"> randomised practice structure</w:t>
      </w:r>
      <w:r w:rsidRPr="00AE2080">
        <w:rPr>
          <w:rFonts w:ascii="Arial" w:hAnsi="Arial" w:cs="Arial"/>
          <w:noProof/>
          <w:sz w:val="24"/>
          <w:szCs w:val="24"/>
        </w:rPr>
        <w:t xml:space="preserve"> </w:t>
      </w:r>
      <w:r w:rsidRPr="00AE2080">
        <w:rPr>
          <w:rFonts w:ascii="Arial" w:eastAsia="Times New Roman" w:hAnsi="Arial" w:cs="Arial"/>
          <w:b/>
          <w:bCs/>
          <w:i/>
          <w:iCs/>
          <w:sz w:val="24"/>
          <w:szCs w:val="24"/>
          <w:lang w:eastAsia="en-GB"/>
        </w:rPr>
        <w:t>MLT approach</w:t>
      </w:r>
      <w:r w:rsidRPr="00AE2080">
        <w:rPr>
          <w:rFonts w:ascii="Arial" w:eastAsia="Times New Roman" w:hAnsi="Arial" w:cs="Arial"/>
          <w:sz w:val="24"/>
          <w:szCs w:val="24"/>
          <w:lang w:eastAsia="en-GB"/>
        </w:rPr>
        <w:t xml:space="preserve"> and the </w:t>
      </w:r>
      <w:r w:rsidRPr="00AE2080">
        <w:rPr>
          <w:rFonts w:ascii="Arial" w:hAnsi="Arial" w:cs="Arial"/>
          <w:b/>
          <w:bCs/>
          <w:i/>
          <w:iCs/>
          <w:sz w:val="24"/>
          <w:szCs w:val="24"/>
        </w:rPr>
        <w:t xml:space="preserve">‘arc of vocal abilities’ </w:t>
      </w:r>
      <w:r w:rsidRPr="00AE2080">
        <w:rPr>
          <w:rFonts w:ascii="Arial" w:hAnsi="Arial" w:cs="Arial"/>
          <w:sz w:val="24"/>
          <w:szCs w:val="24"/>
        </w:rPr>
        <w:t xml:space="preserve">were embedded and </w:t>
      </w:r>
      <w:r w:rsidRPr="00AE2080">
        <w:rPr>
          <w:rFonts w:ascii="Arial" w:eastAsia="Times New Roman" w:hAnsi="Arial" w:cs="Arial"/>
          <w:sz w:val="24"/>
          <w:szCs w:val="24"/>
          <w:lang w:eastAsia="en-GB"/>
        </w:rPr>
        <w:t xml:space="preserve">encouraged </w:t>
      </w:r>
      <w:r w:rsidRPr="00AE2080">
        <w:rPr>
          <w:rFonts w:ascii="Arial" w:hAnsi="Arial" w:cs="Arial"/>
          <w:sz w:val="24"/>
          <w:szCs w:val="24"/>
        </w:rPr>
        <w:t>in</w:t>
      </w:r>
      <w:r w:rsidRPr="00AE2080">
        <w:rPr>
          <w:rFonts w:ascii="Arial" w:eastAsia="Times New Roman" w:hAnsi="Arial" w:cs="Arial"/>
          <w:sz w:val="24"/>
          <w:szCs w:val="24"/>
          <w:lang w:eastAsia="en-GB"/>
        </w:rPr>
        <w:t xml:space="preserve"> the lessons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{"citationItems":[{"id":"ITEM-1","itemData":{"DOI":"10.1016/j.jvoice.2023.04.006","ISSN":"18734588","PMID":"37210322","abstract":"Objectives: The long-term goal of this research is to advance the rehabilitation of voice disorders through the study and development of efficacious treatment regimes based upon motor learning principles. This study examined the effect of contextual interference (CI) of practice structure with knowledge of results (KR) feedback on motor learning of a novel voice task, “Twang,” by hypophonic, novice, and expert older adults. Study design: Prospective, randomized controlled mixed design. Methods: A total of 92 adults, age 55–80, recruited from the following motor skill levels: 1) Hypophonic voice; 2) Novice-untrained vocalists; 3) Expert-trained vocalists were randomly assigned to four different interventions and examined during acquisition, retention, and transfer phases of motor learning. Participants from each skill-level practiced the novel task, “Twang,” according to the randomly assigned Practice Structure/KR combinations: 1) Blocked practice/100%KR; 2) Blocked practice/55% KR; 3) Random practice/100%KR; 4) Random practice/55% KR. Results: During the motor performance phase, our results mirrored those reported in the limb motor learning literature for CI: A Blocked practice structure enhanced short-term effects of motor acquisition for novice, expert, and hypophonic subjects. The only significant result for KR occurred when paired with Random Practice in the hypophonic subject group: 100% KR paired with Blocked practice increased motor performance, but degraded motor learning. Conclusions: Fundamental motor learning principles were explored within the context of a voice training paradigm. Practice with a high CI and low frequency of KR degraded performance during short-term acquisition but enhanced long-term performance effects of motor learning. Voice clinicians and teachers may benefit by implementing motor learning theory into practice during training and treatment sessions.","author":[{"dropping-particle":"","family":"Steinhauer","given":"Kimberly","non-dropping-particle":"","parse-names":false,"suffix":""},{"dropping-particle":"","family":"Eichhorn","given":"Kimberly","non-dropping-particle":"","parse-names":false,"suffix":""}],"container-title":"Journal of Voice","id":"ITEM-1","issued":{"date-parts":[["2023"]]},"publisher":"Elsevier Inc.","title":"Effect of Practice Structure and Feedback Frequency on Voice Motor Learning in Older Adults","type":"article-journal"},"uris":["http://www.mendeley.com/documents/?uuid=2d2cdb97-d5db-480e-939f-439a3803abfc"]},{"id":"ITEM-2","itemData":{"DOI":"10.1016/j.jvoice.2015.07.008","ISSN":"18734588","PMID":"26296854","abstract":"Background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students.","author":[{"dropping-particle":"","family":"Roll","given":"Christianne","non-dropping-particle":"","parse-names":false,"suffix":""}],"container-title":"Journal of Voice","id":"ITEM-2","issue":"5","issued":{"date-parts":[["2016"]]},"page":"639.e1-639.e9","publisher":"Elsevier Ltd","title":"The Evolution of the Female Broadway Belt Voice: Implications for Teachers and Singers","type":"article-journal","volume":"30"},"uris":["http://www.mendeley.com/documents/?uuid=38644f2f-538f-4d06-8628-46c02201698d"]},{"id":"ITEM-3","itemData":{"DOI":"10.1080/23268263.2021.1889245","ISSN":"23268271","abstract":"This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teachers.","author":[{"dropping-particle":"","family":"Wilson","given":"Lara C.","non-dropping-particle":"","parse-names":false,"suffix":""}],"container-title":"Voice and Speech Review","id":"ITEM-3","issue":"3","issued":{"date-parts":[["2021"]]},"note":"Opera - Yellow \nTeaching - Red\nCCM - Green\nMT - Purple\nCross-trainging - Blue\nStudy/ writing ideas - Pink\nVocal acoustics - grey\nTechnology - orange \n\nStudy investigates cross-trainging by asking 8 pedagogues teaching multiple styles and analyses the responses.\n\nCross training areas:\nBreathing (inc belting)\nRegistration/ Phonation\nResonace\nStyle\n\nCross trainging approach p45\nAgainst:\n\nChanged from against to pro:\nRobert Edwin\n\n\nPro: Jeanette Lovetri, Kim Chandler, Penn State Uni, \n\n\nInc - history of opera dev and pedagogy dev.\n\nGarcia II Chiaoscuro\n\n\n\nProgress: Chapter 1 15/7/2022 17.15","page":"330-341","title":"Bel Canto to Punk and Back: Lessons for the Vocal Cross-Training Singer and Teacher","type":"article-journal","volume":"15"},"uris":["http://www.mendeley.com/documents/?uuid=c913173e-82b0-4559-a07f-7d1b3007e2ce"]}],"mendeley":{"formattedCitation":"(Roll, 2016; Wilson, 2021; Steinhauer and Eichhorn, 2023)","plainTextFormattedCitation":"(Roll, 2016; Wilson, 2021; Steinhauer and Eichhorn, 2023)","previouslyFormattedCitation":"(Roll, 2016; Wilson, 2021; Steinhauer and Eichhorn,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(Roll, 2016; Wilson, 2021; Steinhauer </w:t>
      </w:r>
      <w:r w:rsidRPr="00AE2080">
        <w:rPr>
          <w:rFonts w:ascii="Arial" w:eastAsia="Times New Roman" w:hAnsi="Arial" w:cs="Arial"/>
          <w:noProof/>
          <w:sz w:val="24"/>
          <w:szCs w:val="24"/>
          <w:lang w:eastAsia="en-GB"/>
        </w:rPr>
        <w:lastRenderedPageBreak/>
        <w:t>and Eichhorn,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These practices were reflected in the practice logs. </w:t>
      </w:r>
      <w:r w:rsidRPr="00AE2080">
        <w:rPr>
          <w:rFonts w:ascii="Arial" w:hAnsi="Arial" w:cs="Arial"/>
          <w:b/>
          <w:bCs/>
          <w:i/>
          <w:iCs/>
          <w:sz w:val="24"/>
          <w:szCs w:val="24"/>
        </w:rPr>
        <w:t>Individualisation</w:t>
      </w:r>
      <w:r w:rsidRPr="00AE2080">
        <w:rPr>
          <w:rFonts w:ascii="Arial" w:hAnsi="Arial" w:cs="Arial"/>
          <w:sz w:val="24"/>
          <w:szCs w:val="24"/>
        </w:rPr>
        <w:t xml:space="preserve"> of training was suggested by the experts as an important factor which would make the belt training process effective in practice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expert interview and written interview documents regarding Evidence-Based Belt Trainging Process.","author":[{"dropping-particle":"","family":"1","given":"Expert","non-dropping-particle":"","parse-names":false,"suffix":""}],"id":"ITEM-1","issued":{"date-parts":[["2023"]]},"title":"Expert 1 data sources","type":"article"},"uris":["http://www.mendeley.com/documents/?uuid=8176b77e-de74-4a97-bd11-35252f740a16"]},{"id":"ITEM-2","itemData":{"abstract":"Anoymity coded reference for expert interview and written interview documents regarding Evidence-Based Belt Trainging Process.","author":[{"dropping-particle":"","family":"2","given":"Expert","non-dropping-particle":"","parse-names":false,"suffix":""}],"id":"ITEM-2","issued":{"date-parts":[["2023"]]},"title":"Expert 2 data sources","type":"article"},"uris":["http://www.mendeley.com/documents/?uuid=60c32bec-4096-4eff-b411-5a6d48cc81e4"]},{"id":"ITEM-3","itemData":{"DOI":"10.1080/14682753.2017.1362175","ISSN":"2574-1136","abstract":"In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Education","id":"ITEM-3","issue":"1","issued":{"date-parts":[["2018"]]},"page":"82-97","title":"Creative Practice as Research: Discourse on Methodology","type":"article-journal","volume":"19"},"uris":["http://www.mendeley.com/documents/?uuid=32a1e4d1-85cb-4454-bb31-9c2f7b1daba3"]},{"id":"ITEM-4","itemData":{"DOI":"10.1080/00131881.2023.2234384","ISSN":"14695847","abstract":"Background: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Research","id":"ITEM-4","issue":"3","issued":{"date-parts":[["2023"]]},"page":"392-407","publisher":"Routledge","title":"Work-based learning partnerships: mentor-teachers’ perceptions of student teachers’ challenges","type":"article-journal","volume":"65"},"uris":["http://www.mendeley.com/documents/?uuid=fdb52a8b-a11e-4406-903f-a400d8280c27"]},{"id":"ITEM-5","itemData":{"author":[{"dropping-particle":"","family":"Warwick","given":"Paul","non-dropping-particle":"","parse-names":false,"suffix":""}],"id":"ITEM-5","issued":{"date-parts":[["2007"]]},"title":"Reflective practice: some notes on the development of the notion of professional reflection Why have I written this for the Busy Guide?","type":"article-journal"},"uris":["http://www.mendeley.com/documents/?uuid=e5a8b727-e2b0-4741-8f2e-bf841c7ea530"]}],"mendeley":{"formattedCitation":"(Warwick, 2007; Skains, 2018; 1, 2023; 2, 2023; Lindqvist &lt;i&gt;et al.&lt;/i&gt;, 2023)","plainTextFormattedCitation":"(Warwick, 2007; Skains, 2018; 1, 2023; 2, 2023; Lindqvist et al., 2023)","previouslyFormattedCitation":"(Warwick, 2007; Skains, 2018; 1, 2023; 2, 2023;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(Warwick, 2007; Skains, 2018; 1, 2023; 2, 2023;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w:t>
      </w:r>
    </w:p>
    <w:p w14:paraId="6FB48640" w14:textId="77777777" w:rsidR="00830195" w:rsidRPr="00AE2080" w:rsidRDefault="00830195" w:rsidP="00AE2080">
      <w:pPr>
        <w:spacing w:before="100" w:beforeAutospacing="1" w:after="100" w:afterAutospacing="1" w:line="360" w:lineRule="auto"/>
        <w:jc w:val="center"/>
        <w:rPr>
          <w:rFonts w:ascii="Arial" w:hAnsi="Arial" w:cs="Arial"/>
          <w:sz w:val="24"/>
          <w:szCs w:val="24"/>
        </w:rPr>
      </w:pPr>
      <w:r w:rsidRPr="00AE2080">
        <w:rPr>
          <w:rFonts w:ascii="Arial" w:hAnsi="Arial" w:cs="Arial"/>
          <w:i/>
          <w:iCs/>
          <w:sz w:val="24"/>
          <w:szCs w:val="24"/>
        </w:rPr>
        <w:t>‘The very structured approach helped me to develop my understanding until I reached my “lightbulb” moment.’</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 2024, post-study survey)</w:t>
      </w:r>
      <w:r w:rsidRPr="00AE2080">
        <w:rPr>
          <w:rFonts w:ascii="Arial" w:hAnsi="Arial" w:cs="Arial"/>
          <w:sz w:val="24"/>
          <w:szCs w:val="24"/>
        </w:rPr>
        <w:fldChar w:fldCharType="end"/>
      </w:r>
    </w:p>
    <w:p w14:paraId="7B8F3856" w14:textId="47FE3BD8" w:rsidR="00830195" w:rsidRPr="00042722" w:rsidRDefault="00830195" w:rsidP="00AE2080">
      <w:pPr>
        <w:spacing w:before="100" w:beforeAutospacing="1" w:after="100" w:afterAutospacing="1" w:line="360" w:lineRule="auto"/>
        <w:jc w:val="both"/>
        <w:rPr>
          <w:rFonts w:ascii="Arial" w:hAnsi="Arial" w:cs="Arial"/>
          <w:noProof/>
          <w:sz w:val="24"/>
          <w:szCs w:val="24"/>
        </w:rPr>
      </w:pPr>
      <w:r w:rsidRPr="00AE2080">
        <w:rPr>
          <w:rFonts w:ascii="Arial" w:hAnsi="Arial" w:cs="Arial"/>
          <w:sz w:val="24"/>
          <w:szCs w:val="24"/>
        </w:rPr>
        <w:t xml:space="preserve">Individualisation was the motivation for the ‘pre-warmup’ sequence created for Student C and practice log discussions which then guided learning in each lesson </w:t>
      </w:r>
      <w:r w:rsidRPr="00AE2080">
        <w:rPr>
          <w:rFonts w:ascii="Arial" w:hAnsi="Arial" w:cs="Arial"/>
          <w:sz w:val="24"/>
          <w:szCs w:val="24"/>
        </w:rPr>
        <w:fldChar w:fldCharType="begin" w:fldLock="1"/>
      </w:r>
      <w:r w:rsidR="00042722">
        <w:rPr>
          <w:rFonts w:ascii="Arial" w:hAnsi="Arial" w:cs="Arial"/>
          <w:sz w:val="24"/>
          <w:szCs w:val="24"/>
        </w:rPr>
        <w:instrText>ADDIN CSL_CITATION {"citationItems":[{"id":"ITEM-1","itemData":{"abstract":"Module 6 Belt Study Lesson Notes","author":[{"dropping-particle":"","family":"Morris","given":"Jon","non-dropping-particle":"","parse-names":false,"suffix":""}],"id":"ITEM-1","issued":{"date-parts":[["2024"]]},"title":"Teacher's lesson notes","type":"article"},"uris":["http://www.mendeley.com/documents/?uuid=b2631586-bed3-49d5-8035-ffd1ddd07524"]},{"id":"ITEM-2","itemData":{"DOI":"10.1080/00131881.2023.2234384","ISSN":"14695847","abstract":"Background: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Research","id":"ITEM-2","issue":"3","issued":{"date-parts":[["2023"]]},"page":"392-407","publisher":"Routledge","title":"Work-based learning partnerships: mentor-teachers’ perceptions of student teachers’ challenges","type":"article-journal","volume":"65"},"uris":["http://www.mendeley.com/documents/?uuid=fdb52a8b-a11e-4406-903f-a400d8280c27"]},{"id":"ITEM-3","itemData":{"DOI":"10.1080/14682753.2017.1362175","ISSN":"2574-1136","abstract":"In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Education","id":"ITEM-3","issue":"1","issued":{"date-parts":[["2018"]]},"page":"82-97","title":"Creative Practice as Research: Discourse on Methodology","type":"article-journal","volume":"19"},"uris":["http://www.mendeley.com/documents/?uuid=32a1e4d1-85cb-4454-bb31-9c2f7b1daba3"]},{"id":"ITEM-4","itemData":{"author":[{"dropping-particle":"","family":"Warwick","given":"Paul","non-dropping-particle":"","parse-names":false,"suffix":""}],"id":"ITEM-4","issued":{"date-parts":[["2007"]]},"title":"Reflective practice: some notes on the development of the notion of professional reflection Why have I written this for the Busy Guide?","type":"article-journal"},"uris":["http://www.mendeley.com/documents/?uuid=e5a8b727-e2b0-4741-8f2e-bf841c7ea530"]}],"mendeley":{"formattedCitation":"(Warwick, 2007; Skains, 2018; Lindqvist &lt;i&gt;et al.&lt;/i&gt;, 2023; Morris, 2024)","manualFormatting":"(Warwick, 2007; Skains, 2018; Lindqvist et al., 2023)","plainTextFormattedCitation":"(Warwick, 2007; Skains, 2018; Lindqvist et al., 2023; Morris, 2024)","previouslyFormattedCitation":"(Warwick, 2007; Skains, 2018; Lindqvist &lt;i&gt;et al.&lt;/i&gt;, 2023; Morris,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(Warwick, 2007; Skains, 2018;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xml:space="preserve">. The intention of individualisation was felt by Student A who felt </w:t>
      </w:r>
      <w:r w:rsidRPr="00AE2080">
        <w:rPr>
          <w:rFonts w:ascii="Arial" w:hAnsi="Arial" w:cs="Arial"/>
          <w:i/>
          <w:iCs/>
          <w:sz w:val="24"/>
          <w:szCs w:val="24"/>
        </w:rPr>
        <w:t>‘</w:t>
      </w:r>
      <w:r w:rsidRPr="00AE2080">
        <w:rPr>
          <w:rFonts w:ascii="Arial" w:eastAsia="Arial" w:hAnsi="Arial" w:cs="Arial"/>
          <w:i/>
          <w:iCs/>
          <w:sz w:val="24"/>
          <w:szCs w:val="24"/>
        </w:rPr>
        <w:t>no pressure to reach certain levels of progress week by week’</w:t>
      </w:r>
      <w:r w:rsidRPr="00AE2080">
        <w:rPr>
          <w:rFonts w:ascii="Arial" w:eastAsia="Arial" w:hAnsi="Arial" w:cs="Arial"/>
          <w:sz w:val="24"/>
          <w:szCs w:val="24"/>
        </w:rPr>
        <w:t xml:space="preserve">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(A, 2024, post-study survey)</w:t>
      </w:r>
      <w:r w:rsidRPr="00AE2080">
        <w:rPr>
          <w:rFonts w:ascii="Arial" w:eastAsia="Arial" w:hAnsi="Arial" w:cs="Arial"/>
          <w:i/>
          <w:iCs/>
          <w:sz w:val="24"/>
          <w:szCs w:val="24"/>
        </w:rPr>
        <w:fldChar w:fldCharType="end"/>
      </w:r>
      <w:r w:rsidRPr="00AE2080">
        <w:rPr>
          <w:rFonts w:ascii="Arial" w:eastAsia="Arial" w:hAnsi="Arial" w:cs="Arial"/>
          <w:sz w:val="24"/>
          <w:szCs w:val="24"/>
        </w:rPr>
        <w:t xml:space="preserve">. Individualisation of each lesson allowed for the agreement of </w:t>
      </w:r>
      <w:r w:rsidRPr="00AE2080">
        <w:rPr>
          <w:rFonts w:ascii="Arial" w:eastAsia="Arial" w:hAnsi="Arial" w:cs="Arial"/>
          <w:b/>
          <w:bCs/>
          <w:i/>
          <w:iCs/>
          <w:sz w:val="24"/>
          <w:szCs w:val="24"/>
        </w:rPr>
        <w:t>specific goals</w:t>
      </w:r>
      <w:r w:rsidRPr="00AE2080">
        <w:rPr>
          <w:rFonts w:ascii="Arial" w:eastAsia="Arial" w:hAnsi="Arial" w:cs="Arial"/>
          <w:sz w:val="24"/>
          <w:szCs w:val="24"/>
        </w:rPr>
        <w:t xml:space="preserve"> with value to the learner which have been shown to support effective learning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{"citationItems":[{"id":"ITEM-1","itemData":{"DOI":"10.1016/j.orgdyn.2006.08.008","ISSN":"00902616","author":[{"dropping-particle":"","family":"Latham","given":"Gary P.","non-dropping-particle":"","parse-names":false,"suffix":""},{"dropping-particle":"","family":"Locke","given":"Edwin A.","non-dropping-particle":"","parse-names":false,"suffix":""}],"container-title":"Organizational Dynamics","id":"ITEM-1","issue":"4","issued":{"date-parts":[["2006"]]},"page":"332-340","title":"Enhancing the Benefits and Overcoming the Pitfalls of Goal Setting","type":"article-journal","volume":"35"},"uris":["http://www.mendeley.com/documents/?uuid=3a8309bd-62ab-4d31-8b4d-fb63efb68d71"]},{"id":"ITEM-2","itemData":{"DOI":"10.3758/s13423-015-0999-9","ISSN":"15315320","PMID":"26833314","abstract":"Effective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Singing","id":"ITEM-3","issue":"2","issued":{"date-parts":[["2017"]]},"page":"215-220","title":"Best Practices: Using Exercise Physiology and Motor Learning Principles in the Teaching Studio and the Practice Room","type":"article-journal","volume":"74"},"uris":["http://www.mendeley.com/documents/?uuid=e60cfaa3-8093-408a-b186-ec25f721c664"]},{"id":"ITEM-4","itemData":{"DOI":"10.1123/jsep.17.2.117","ISSN":"0895-2779","abstract":"Although the motivational technique of goal setting has consistently and reliably improved performance in industrial psychology research, this beneficial effect has not been clearly demonstrated in the sport domain. The many proposed explanations for this discrepancy have resulted in a controversy in the literature. However, scientists have overlooked the importance of statistical power. A meta-analytic review of the literature investigating the effects of goal setting on performance in sport and exercise could help to clarify the state of knowledge. The meta-analytic procedures described by Hedges and Olkin (1985) were used to statistically combine 36 studies identified as meeting inclusion criteria. Results indicate that, overall, setting goals improves sport by 0.34 of a standard deviation. Moderate, absolute, and combined short- and long-term goals were associated with the greatest effects. Additional moderator variables were identified, and the extent to which they alter the goal setting–performance relationship is discussed.","author":[{"dropping-particle":"","family":"Kyllo","given":"L. Blaine","non-dropping-particle":"","parse-names":false,"suffix":""},{"dropping-particle":"","family":"Landers","given":"Daniel M.","non-dropping-particle":"","parse-names":false,"suffix":""}],"container-title":"Journal of Sport and Exercise Psychology","id":"ITEM-4","issue":"2","issued":{"date-parts":[["2016"]]},"page":"117-137","title":"Goal Setting in Sport and Exercise: A Research Synthesis to Resolve the Controversy","type":"article-journal","volume":"17"},"uris":["http://www.mendeley.com/documents/?uuid=2806ec80-4835-485f-97a6-8e44bc5482cf"]}],"mendeley":{"formattedCitation":"(Latham and Locke, 2006; Kyllo and Landers, 2016; Wulf and Lewthwaite, 2016; Nix, 2017)","plainTextFormattedCitation":"(Latham and Locke, 2006; Kyllo and Landers, 2016; Wulf and Lewthwaite, 2016; Nix, 2017)","previouslyFormattedCitation":"(Latham and Locke, 2006; Kyllo and Landers, 2016; Wulf and Lewthwaite, 2016; Nix, 2017)"},"properties":{"noteIndex":0},"schema":"https://github.com/citation-style-language/schema/raw/master/csl-citation.json"}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(Latham and Locke, 2006; Kyllo and Landers, 2016; Wulf and Lewthwaite, 2016; Nix, 2017)</w:t>
      </w:r>
      <w:r w:rsidRPr="00AE2080">
        <w:rPr>
          <w:rFonts w:ascii="Arial" w:eastAsia="Arial" w:hAnsi="Arial" w:cs="Arial"/>
          <w:sz w:val="24"/>
          <w:szCs w:val="24"/>
        </w:rPr>
        <w:fldChar w:fldCharType="end"/>
      </w:r>
      <w:r w:rsidRPr="00AE2080">
        <w:rPr>
          <w:rFonts w:ascii="Arial" w:eastAsia="Arial" w:hAnsi="Arial" w:cs="Arial"/>
          <w:sz w:val="24"/>
          <w:szCs w:val="24"/>
        </w:rPr>
        <w:t xml:space="preserve">. </w:t>
      </w:r>
      <w:r w:rsidRPr="00AE2080">
        <w:rPr>
          <w:rFonts w:ascii="Arial" w:eastAsia="Times New Roman" w:hAnsi="Arial" w:cs="Arial"/>
          <w:b/>
          <w:bCs/>
          <w:i/>
          <w:iCs/>
          <w:sz w:val="24"/>
          <w:szCs w:val="24"/>
          <w:lang w:eastAsia="en-GB"/>
        </w:rPr>
        <w:t>Specific goals and awareness</w:t>
      </w:r>
      <w:r w:rsidRPr="00AE2080">
        <w:rPr>
          <w:rFonts w:ascii="Arial" w:eastAsia="Times New Roman" w:hAnsi="Arial" w:cs="Arial"/>
          <w:sz w:val="24"/>
          <w:szCs w:val="24"/>
          <w:lang w:eastAsia="en-GB"/>
        </w:rPr>
        <w:t xml:space="preserve"> accompanied growing empowerment in the learning process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Education","id":"ITEM-1","issued":{"date-parts":[["2022"]]},"title":"“It’s your body, it’s part of who you are!”: Influences upon collegiate vocalists’ performance self-efficacy beliefs","type":"article-journal"},"uris":["http://www.mendeley.com/documents/?uuid=d1469298-0bbc-4c76-afcd-e0c4086da712"]},{"id":"ITEM-2","itemData":{"DOI":"10.18546/LRE.13.1.05","ISSN":"14748479","abstract":"The principal aim of this paper is to address the question of whether and how professional practice within an informal teaching and learning context (music) may be understood through a critical-geragogy lens. Secondly, we consider whether critical geragogy has relevance to and potential applications for enhancing practice among facilitators of older learners in community contexts. Geragogy refers to the management of teaching and learning for older adults and has become a well-known term applied to teaching and learning in later life. Critical geragogy retains the focus on older adults, but challenges the beliefs, practices, and structures related to ageing, supports older learners in overcoming alienation and developing a sense of powerful agency, and offers resources for purposeful collective action. In this paper we analyse the narratives of 13 facilitators of musical activities for older people, interpreting their reflections on practice within a critical-geragogy framework. The interviews, focusing on good practice in facilitating older learners, were carried out as part of the second phase of the Music for Life Project, funded by the UK Research Councils. A thematic analysis was undertaken, using a framework that was structured around person-centred, fellow-centred, and matter-centred goals. The interviews revealed that musical groups provided informal learning contexts where facilitators aspired to empower their participants through developing a positive interpersonal climate, valuing participation, using the participants’ prior experiences as a resource, and guiding their groups towards creative expression as well as progression.","author":[{"dropping-particle":"","family":"Creech","given":"Andrea","non-dropping-particle":"","parse-names":false,"suffix":""},{"dropping-particle":"","family":"Hallam","given":"Susan","non-dropping-particle":"","parse-names":false,"suffix":""}],"container-title":"London Review of Education","id":"ITEM-2","issue":"1","issued":{"date-parts":[["2015"]]},"page":"43-57","title":"Critical geragogy: A framework for facilitating older learners in community music","type":"article-journal","volume":"13"},"uris":["http://www.mendeley.com/documents/?uuid=fa50dd99-4e1e-44de-a3f2-30dd41815d00"]},{"id":"ITEM-3","itemData":{"ISSN":"10867732","abstract":"The author examines philosophies behind music teacher and music student interactions within the studio and traits ideal for studio instructors who are new-to-the-field. Topics discussed include the growth in the literature on studio instruction, interviewing four master teachers such as Linda Poetschke, Jeanne Goffi-Fynn, and Gary Mabry on working with students, self-motivation, and rapport, and critical thinking as an exercise for students of music.","author":[{"dropping-particle":"","family":"Stephenson","given":"Kimberly","non-dropping-particle":"","parse-names":false,"suffix":""}],"container-title":"Journal of Singing","id":"ITEM-3","issue":"4","issued":{"date-parts":[["2018"]]},"page":"405-414","title":"Critical Thought, Intrinsic Motivation, and the Voice Studio: Perspectives of Master Teachers.","type":"article-journal","volume":"74"},"uris":["http://www.mendeley.com/documents/?uuid=4030f552-7b94-4abf-bab4-c0b97b7babca"]},{"id":"ITEM-4","itemData":{"DOI":"10.1177/1321103X20930426","ISSN":"18345530","abstract":"The purpose of this phenomenological study was to gain insight into experiences of adults who expressed personal discomfort with singing, either alone or when others might hear them. Singing agency in music learning, one’s belief in one’s own capacity to sing aloud, served as the guiding lens for the study. Narrative analysis of interview data, from 15 adults who self-identified as non-singers, provided understanding of experiences that they believed undermined their capacity for singing agency. Four initial themes emerged as participants described wounding incidents with resultant perceptions of deficit, disability, and shame; personal strategies to enhance or protect singing agency; perceived obstacles to singing agency; and personal definitions of good singing. Findings describe vocal skill development through emotional differentiation, linking singing agency with principles that underlie a social constructivist approach to music learning and teaching and a Universal Design for Learning.","author":[{"dropping-particle":"","family":"Hogle","given":"Lauri A.","non-dropping-particle":"","parse-names":false,"suffix":""}],"container-title":"Research Studies in Music Education","id":"ITEM-4","issue":"2","issued":{"date-parts":[["2021"]]},"page":"179-194","title":"Fostering singing agency through emotional differentiation in an inclusive singing environment","type":"article-journal","volume":"43"},"uris":["http://www.mendeley.com/documents/?uuid=df4ddb6b-d417-411f-9261-d87aba0aa367"]},{"id":"ITEM-5","itemData":{"DOI":"10.53830/logc7063","ISSN":"10867732","author":[{"dropping-particle":"","family":"Helding","given":"Lynn","non-dropping-particle":"","parse-names":false,"suffix":""},{"dropping-particle":"","family":"Ragan","given":"Kari","non-dropping-particle":"","parse-names":false,"suffix":""}],"container-title":"Journal of Singing","id":"ITEM-5","issue":"5","issued":{"date-parts":[["2022"]]},"page":"635-640","title":"Evidence-Based Voice Pedagogy (EBVP), Part 3: Student Goals and Perspectives","type":"article-journal","volume":"78"},"uris":["http://www.mendeley.com/documents/?uuid=f77b2c75-21fd-413f-badf-fe2971b5f8ec"]},{"id":"ITEM-6","itemData":{"DOI":"10.3758/s13423-015-0999-9","ISSN":"15315320","PMID":"26833314","abstract":"Effective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Review","id":"ITEM-6","issue":"5","issued":{"date-parts":[["2016"]]},"page":"1382-1414","publisher":"Psychonomic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learning","type":"article-journal","volume":"23"},"uris":["http://www.mendeley.com/documents/?uuid=c6645037-7ea0-40d5-b33c-cab661f7baeb"]},{"id":"ITEM-7","itemData":{"abstract":"I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Singing","id":"ITEM-7","issue":"2","issued":{"date-parts":[["2017"]]},"page":"215-220","title":"Best Practices: Using Exercise Physiology and Motor Learning Principles in the Teaching Studio and the Practice Room","type":"article-journal","volume":"74"},"uris":["http://www.mendeley.com/documents/?uuid=e60cfaa3-8093-408a-b186-ec25f721c664"]}],"mendeley":{"formattedCitation":"(Creech and Hallam, 2015; Wulf and Lewthwaite, 2016; Nix, 2017; Stephenson, 2018; Hogle, 2021; Helding and Ragan, 2022; Lewis and Hendricks, 2022)","plainTextFormattedCitation":"(Creech and Hallam, 2015; Wulf and Lewthwaite, 2016; Nix, 2017; Stephenson, 2018; Hogle, 2021; Helding and Ragan, 2022; Lewis and Hendricks, 2022)","previouslyFormattedCitation":"(Creech and Hallam, 2015; Wulf and Lewthwaite, 2016; Nix, 2017; Stephenson, 2018; Hogle, 2021; Helding and Ragan, 2022; Lewis and Hendricks,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(Creech and Hallam, 2015; Wulf and Lewthwaite, 2016; Nix, 2017; Stephenson, 2018; Hogle, 2021; Helding and Ragan, 2022; Lewis and Hendricks, 2022)</w:t>
      </w:r>
      <w:r w:rsidRPr="00AE2080">
        <w:rPr>
          <w:rFonts w:ascii="Arial" w:hAnsi="Arial" w:cs="Arial"/>
          <w:sz w:val="24"/>
          <w:szCs w:val="24"/>
        </w:rPr>
        <w:fldChar w:fldCharType="end"/>
      </w:r>
      <w:r w:rsidRPr="00AE2080">
        <w:rPr>
          <w:rFonts w:ascii="Arial" w:eastAsia="Times New Roman" w:hAnsi="Arial" w:cs="Arial"/>
          <w:sz w:val="24"/>
          <w:szCs w:val="24"/>
          <w:lang w:eastAsia="en-GB"/>
        </w:rPr>
        <w:t xml:space="preserve">. This enabled students to make more informed choices with greater confidence in their </w:t>
      </w:r>
      <w:r w:rsidRPr="00AE2080">
        <w:rPr>
          <w:rFonts w:ascii="Arial" w:eastAsia="Times New Roman" w:hAnsi="Arial" w:cs="Arial"/>
          <w:b/>
          <w:bCs/>
          <w:i/>
          <w:iCs/>
          <w:sz w:val="24"/>
          <w:szCs w:val="24"/>
          <w:lang w:eastAsia="en-GB"/>
        </w:rPr>
        <w:t>self-directed learning</w:t>
      </w:r>
      <w:r w:rsidRPr="00AE2080">
        <w:rPr>
          <w:rFonts w:ascii="Arial" w:eastAsia="Times New Roman" w:hAnsi="Arial" w:cs="Arial"/>
          <w:sz w:val="24"/>
          <w:szCs w:val="24"/>
          <w:lang w:eastAsia="en-GB"/>
        </w:rPr>
        <w:t xml:space="preserve"> in their pursuit of belting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Review","id":"ITEM-1","issue":"5","issued":{"date-parts":[["2016"]]},"page":"1382-1414","publisher":"Psychonomic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learning","type":"article-journal","volume":"23"},"uris":["http://www.mendeley.com/documents/?uuid=c6645037-7ea0-40d5-b33c-cab661f7baeb"]},{"id":"ITEM-2","itemData":{"abstract":"I t is a joy to hear a free voice expressing the full range of human emotions. Regardless of the vocal genre, to accomplish this artistic ideal, singers must methodically develop a reliable, flexible technique capable of meeting the style's demands. A secure technique enables the singer to achieve greater artistry by freeing him or her from having attention diverted from expression to the physical challenges of singing. By employing knowledge drawn from voice physiology, voice acoustics, voice development, exercise physiology, and motor learning, all of which are used in combination with the most essential tool, a discerning ear, teachers can individualize training for each singer based on the strengths, weaknesses, and learning style of the student. Like all athletes and skilled performers, singers must practice in order to maintain and improve their proficiency level. The major goals of practicing are developing the necessary physical and mental skills for artistic singing, applying acquired skills of singing performance to artistic expression, and physically and mentally preparing for varying performance situations. Many factors determine who succeeds as a singer. Certainly genetically determined body structures and a musically enriching environment in the developmental years are very important. Mental factors also have a crucial impact on performance outcomes. All these factors being relatively equal, however, some singers excel while others do not. A principal reason is how they practice. Those singers who best know how to train through efficient practice will progress more rapidly and will meet performance goals more consistently. EXERCISE PHYSIOLOGY AND VOICE TRAINING Four basic principles of physical training have been identified which, when carefully manipulated, can evoke training benefits. These four are overload, specificity, individuality, and reversibility. 1 Overloading involves asking more from a muscle or group of muscles than normal. An example of overloading in singing training might be to take the three consecutive phrases at the beginning of Beethoven's \"Adelaide\" and doing them at a slower tempo than is needed for performance. Such practic","author":[{"dropping-particle":"","family":"Nix","given":"John","non-dropping-particle":"","parse-names":false,"suffix":""}],"container-title":"Journal of Singing","id":"ITEM-2","issue":"2","issued":{"date-parts":[["2017"]]},"page":"215-220","title":"Best Practices: Using Exercise Physiology and Motor Learning Principles in the Teaching Studio and the Practice Room","type":"article-journal","volume":"74"},"uris":["http://www.mendeley.com/documents/?uuid=e60cfaa3-8093-408a-b186-ec25f721c664"]}],"mendeley":{"formattedCitation":"(Wulf and Lewthwaite, 2016; Nix, 2017)","plainTextFormattedCitation":"(Wulf and Lewthwaite, 2016; Nix, 2017)","previouslyFormattedCitation":"(Wulf and Lewthwaite, 2016; Nix, 2017)"},"properties":{"noteIndex":0},"schema":"https://github.com/citation-style-language/schema/raw/master/csl-citation.json"}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(Wulf and Lewthwaite, 2016; Nix, 2017)</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40713B72" w14:textId="77777777" w:rsidR="00830195" w:rsidRPr="00AE2080" w:rsidRDefault="00830195" w:rsidP="00AE2080">
      <w:pPr>
        <w:spacing w:before="100" w:beforeAutospacing="1" w:after="100" w:afterAutospacing="1" w:line="360" w:lineRule="auto"/>
        <w:jc w:val="center"/>
        <w:rPr>
          <w:rFonts w:ascii="Arial" w:eastAsia="Times New Roman" w:hAnsi="Arial" w:cs="Arial"/>
          <w:sz w:val="24"/>
          <w:szCs w:val="24"/>
          <w:lang w:eastAsia="en-GB"/>
        </w:rPr>
      </w:pPr>
      <w:r w:rsidRPr="00AE2080">
        <w:rPr>
          <w:rFonts w:ascii="Arial" w:eastAsia="Arial" w:hAnsi="Arial" w:cs="Arial"/>
          <w:i/>
          <w:iCs/>
          <w:sz w:val="24"/>
          <w:szCs w:val="24"/>
        </w:rPr>
        <w:t>‘You encouraged experimentation in individual practice and answered any questions as they came up.’</w:t>
      </w:r>
      <w:r w:rsidRPr="00AE2080">
        <w:rPr>
          <w:rFonts w:ascii="Arial" w:eastAsia="Arial" w:hAnsi="Arial" w:cs="Arial"/>
          <w:sz w:val="24"/>
          <w:szCs w:val="24"/>
        </w:rPr>
        <w:t xml:space="preserve"> </w:t>
      </w:r>
      <w:r w:rsidRPr="00AE2080">
        <w:rPr>
          <w:rFonts w:ascii="Arial" w:eastAsia="Arial" w:hAnsi="Arial" w:cs="Arial"/>
          <w:sz w:val="24"/>
          <w:szCs w:val="24"/>
        </w:rPr>
        <w:fldChar w:fldCharType="begin" w:fldLock="1"/>
      </w:r>
      <w:r w:rsidRPr="00AE2080">
        <w:rPr>
          <w:rFonts w:ascii="Arial" w:eastAsia="Arial" w:hAnsi="Arial" w:cs="Arial"/>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eastAsia="Arial" w:hAnsi="Arial" w:cs="Arial"/>
          <w:sz w:val="24"/>
          <w:szCs w:val="24"/>
        </w:rPr>
        <w:fldChar w:fldCharType="separate"/>
      </w:r>
      <w:r w:rsidRPr="00AE2080">
        <w:rPr>
          <w:rFonts w:ascii="Arial" w:eastAsia="Arial" w:hAnsi="Arial" w:cs="Arial"/>
          <w:noProof/>
          <w:sz w:val="24"/>
          <w:szCs w:val="24"/>
        </w:rPr>
        <w:t>(A, 2024 post-study survey)</w:t>
      </w:r>
      <w:r w:rsidRPr="00AE2080">
        <w:rPr>
          <w:rFonts w:ascii="Arial" w:eastAsia="Arial" w:hAnsi="Arial" w:cs="Arial"/>
          <w:sz w:val="24"/>
          <w:szCs w:val="24"/>
        </w:rPr>
        <w:fldChar w:fldCharType="end"/>
      </w:r>
    </w:p>
    <w:p w14:paraId="53025629" w14:textId="77777777" w:rsidR="00830195" w:rsidRPr="00AE2080" w:rsidRDefault="00830195" w:rsidP="00AE2080">
      <w:pPr>
        <w:spacing w:before="100" w:beforeAutospacing="1" w:after="100" w:afterAutospacing="1" w:line="360" w:lineRule="auto"/>
        <w:jc w:val="both"/>
        <w:rPr>
          <w:rFonts w:ascii="Arial" w:hAnsi="Arial" w:cs="Arial"/>
          <w:sz w:val="24"/>
          <w:szCs w:val="24"/>
        </w:rPr>
      </w:pPr>
      <w:r w:rsidRPr="00AE2080">
        <w:rPr>
          <w:rFonts w:ascii="Arial" w:eastAsia="Times New Roman" w:hAnsi="Arial" w:cs="Arial"/>
          <w:sz w:val="24"/>
          <w:szCs w:val="24"/>
          <w:lang w:eastAsia="en-GB"/>
        </w:rPr>
        <w:t xml:space="preserve">At the end of the study each student created goals which would continue to build their belting skills: </w:t>
      </w:r>
      <w:r w:rsidRPr="00AE2080">
        <w:rPr>
          <w:rFonts w:ascii="Arial" w:eastAsia="Arial" w:hAnsi="Arial" w:cs="Arial"/>
          <w:i/>
          <w:iCs/>
          <w:sz w:val="24"/>
          <w:szCs w:val="24"/>
        </w:rPr>
        <w:t xml:space="preserve">’to energise the voice more consistently’ </w:t>
      </w:r>
      <w:r w:rsidRPr="00AE2080">
        <w:rPr>
          <w:rFonts w:ascii="Arial" w:eastAsia="Arial" w:hAnsi="Arial" w:cs="Arial"/>
          <w:i/>
          <w:iCs/>
          <w:sz w:val="24"/>
          <w:szCs w:val="24"/>
        </w:rPr>
        <w:fldChar w:fldCharType="begin" w:fldLock="1"/>
      </w:r>
      <w:r w:rsidRPr="00AE2080">
        <w:rPr>
          <w:rFonts w:ascii="Arial" w:eastAsia="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eastAsia="Arial" w:hAnsi="Arial" w:cs="Arial"/>
          <w:i/>
          <w:iCs/>
          <w:sz w:val="24"/>
          <w:szCs w:val="24"/>
        </w:rPr>
        <w:fldChar w:fldCharType="separate"/>
      </w:r>
      <w:r w:rsidRPr="00AE2080">
        <w:rPr>
          <w:rFonts w:ascii="Arial" w:eastAsia="Arial" w:hAnsi="Arial" w:cs="Arial"/>
          <w:iCs/>
          <w:noProof/>
          <w:sz w:val="24"/>
          <w:szCs w:val="24"/>
        </w:rPr>
        <w:t>(A, 2024, post-study survey)</w:t>
      </w:r>
      <w:r w:rsidRPr="00AE2080">
        <w:rPr>
          <w:rFonts w:ascii="Arial" w:eastAsia="Arial" w:hAnsi="Arial" w:cs="Arial"/>
          <w:i/>
          <w:iCs/>
          <w:sz w:val="24"/>
          <w:szCs w:val="24"/>
        </w:rPr>
        <w:fldChar w:fldCharType="end"/>
      </w:r>
      <w:r w:rsidRPr="00AE2080">
        <w:rPr>
          <w:rFonts w:ascii="Arial" w:eastAsia="Arial" w:hAnsi="Arial" w:cs="Arial"/>
          <w:i/>
          <w:iCs/>
          <w:sz w:val="24"/>
          <w:szCs w:val="24"/>
        </w:rPr>
        <w:t xml:space="preserve">, ‘[to] </w:t>
      </w:r>
      <w:r w:rsidRPr="00AE2080">
        <w:rPr>
          <w:rFonts w:ascii="Arial" w:hAnsi="Arial" w:cs="Arial"/>
          <w:i/>
          <w:iCs/>
          <w:sz w:val="24"/>
          <w:szCs w:val="24"/>
        </w:rPr>
        <w:t xml:space="preserve">build up the stamina’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and </w:t>
      </w:r>
      <w:r w:rsidRPr="00AE2080">
        <w:rPr>
          <w:rFonts w:ascii="Arial" w:hAnsi="Arial" w:cs="Arial"/>
          <w:i/>
          <w:iCs/>
          <w:sz w:val="24"/>
          <w:szCs w:val="24"/>
        </w:rPr>
        <w:t xml:space="preserve">‘to start focusing on how I pronounce different vowels’ </w:t>
      </w:r>
      <w:r w:rsidRPr="00AE2080">
        <w:rPr>
          <w:rStyle w:val="cf01"/>
          <w:rFonts w:ascii="Arial" w:eastAsiaTheme="majorEastAsia" w:hAnsi="Arial" w:cs="Arial"/>
          <w:sz w:val="24"/>
          <w:szCs w:val="24"/>
        </w:rPr>
        <w:fldChar w:fldCharType="begin" w:fldLock="1"/>
      </w:r>
      <w:r w:rsidRPr="00AE2080">
        <w:rPr>
          <w:rStyle w:val="cf01"/>
          <w:rFonts w:ascii="Arial" w:eastAsiaTheme="majorEastAsia" w:hAnsi="Arial" w:cs="Arial"/>
          <w:sz w:val="24"/>
          <w:szCs w:val="24"/>
        </w:rPr>
        <w:instrText>ADDIN CSL_CITATION {"citationItems":[{"id":"ITEM-1","itemData":{"abstract":"Anoymity coded reference for data collected from Student C (Module 6).","author":[{"dropping-particle":"","family":"C","given":"Student","non-dropping-particle":"","parse-names":false,"suffix":""}],"id":"ITEM-1","issued":{"date-parts":[["2024"]]},"title":"Student C data sources","type":"article"},"uris":["http://www.mendeley.com/documents/?uuid=abeb771b-35df-4769-8cca-5eb60e452aff"]}],"mendeley":{"formattedCitation":"(C, 2024)","manualFormatting":"(C, 2024, post-study survey)","plainTextFormattedCitation":"(C, 2024)","previouslyFormattedCitation":"(C, 2024)"},"properties":{"noteIndex":0},"schema":"https://github.com/citation-style-language/schema/raw/master/csl-citation.json"}</w:instrText>
      </w:r>
      <w:r w:rsidRPr="00AE2080">
        <w:rPr>
          <w:rStyle w:val="cf01"/>
          <w:rFonts w:ascii="Arial" w:eastAsiaTheme="majorEastAsia" w:hAnsi="Arial" w:cs="Arial"/>
          <w:sz w:val="24"/>
          <w:szCs w:val="24"/>
        </w:rPr>
        <w:fldChar w:fldCharType="separate"/>
      </w:r>
      <w:r w:rsidRPr="00AE2080">
        <w:rPr>
          <w:rStyle w:val="cf01"/>
          <w:rFonts w:ascii="Arial" w:eastAsiaTheme="majorEastAsia" w:hAnsi="Arial" w:cs="Arial"/>
          <w:noProof/>
          <w:sz w:val="24"/>
          <w:szCs w:val="24"/>
        </w:rPr>
        <w:t>(C, 2024, post-study survey)</w:t>
      </w:r>
      <w:r w:rsidRPr="00AE2080">
        <w:rPr>
          <w:rStyle w:val="cf01"/>
          <w:rFonts w:ascii="Arial" w:eastAsiaTheme="majorEastAsia" w:hAnsi="Arial" w:cs="Arial"/>
          <w:sz w:val="24"/>
          <w:szCs w:val="24"/>
        </w:rPr>
        <w:fldChar w:fldCharType="end"/>
      </w:r>
      <w:r w:rsidRPr="00AE2080">
        <w:rPr>
          <w:rStyle w:val="cf01"/>
          <w:rFonts w:ascii="Arial" w:eastAsiaTheme="majorEastAsia" w:hAnsi="Arial" w:cs="Arial"/>
          <w:sz w:val="24"/>
          <w:szCs w:val="24"/>
        </w:rPr>
        <w:t>.</w:t>
      </w:r>
      <w:r w:rsidRPr="00AE2080">
        <w:rPr>
          <w:rFonts w:ascii="Arial" w:hAnsi="Arial" w:cs="Arial"/>
          <w:sz w:val="24"/>
          <w:szCs w:val="24"/>
        </w:rPr>
        <w:t xml:space="preserve"> Each student demonstrates and feels a sense of increased knowledge. Keeping each student involved in goal setting aided self-directed practice and supported increases in each student’s sense of </w:t>
      </w:r>
      <w:r w:rsidRPr="00AE2080">
        <w:rPr>
          <w:rFonts w:ascii="Arial" w:hAnsi="Arial" w:cs="Arial"/>
          <w:b/>
          <w:bCs/>
          <w:i/>
          <w:iCs/>
          <w:sz w:val="24"/>
          <w:szCs w:val="24"/>
        </w:rPr>
        <w:t>self-efficacy</w:t>
      </w:r>
      <w:r w:rsidRPr="00AE2080">
        <w:rPr>
          <w:rFonts w:ascii="Arial" w:hAnsi="Arial" w:cs="Arial"/>
          <w:sz w:val="24"/>
          <w:szCs w:val="24"/>
        </w:rPr>
        <w:t xml:space="preserve"> and empowerment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{"citationItems":[{"id":"ITEM-1","itemData":{"DOI":"10.1016/j.orgdyn.2006.08.008","ISSN":"00902616","author":[{"dropping-particle":"","family":"Latham","given":"Gary P.","non-dropping-particle":"","parse-names":false,"suffix":""},{"dropping-particle":"","family":"Locke","given":"Edwin A.","non-dropping-particle":"","parse-names":false,"suffix":""}],"container-title":"Organizational Dynamics","id":"ITEM-1","issue":"4","issued":{"date-parts":[["2006"]]},"page":"332-340","title":"Enhancing the Benefits and Overcoming the Pitfalls of Goal Setting","type":"article-journal","volume":"35"},"uris":["http://www.mendeley.com/documents/?uuid=3a8309bd-62ab-4d31-8b4d-fb63efb68d71"]},{"id":"ITEM-2","itemData":{"DOI":"10.3758/s13423-015-0999-9","ISSN":"15315320","PMID":"26833314","abstract":"Effective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author":[{"dropping-particle":"","family":"Wulf","given":"Gabriele","non-dropping-particle":"","parse-names":false,"suffix":""},{"dropping-particle":"","family":"Lewthwaite","given":"Rebecca","non-dropping-particle":"","parse-names":false,"suffix":""}],"container-title":"Psychonomic Bulletin and Review","id":"ITEM-2","issue":"5","issued":{"date-parts":[["2016"]]},"page":"1382-1414","publisher":"Psychonomic Bulletin &amp; Review","title":"Optimizing performance through intrinsic motivation and attention for learning: The OPTIMAL theory of motor learning","type":"article-journal","volume":"23"},"uris":["http://www.mendeley.com/documents/?uuid=c6645037-7ea0-40d5-b33c-cab661f7baeb"]},{"id":"ITEM-3","itemData":{"DOI":"10.1111/bjep.12016","ISSN":"00070998","PMID":"23692533","abstract":"Background: Although the evidence in support of the variability of students' learning strategies has expanded in recent years, less is known about the explanatory base of these individual differences in terms of the joint influences of personal and contextual characteristics. Aims: Previous studies have often investigated how student learning is associated with either personal or contextual factors. This study takes an integrative research perspective into account and examines the joint effects of personality, academic motivation, and teaching strategies on students' learning strategies in a same educational context in first-year higher education. Sample: In this study, 1,126 undergraduate students and 90 lecturers from eight professional bachelor programmes in a university college participated. Methods: Self-report measures were used to measure students' personality, academic motivation, and learning strategies. Students' processing and regulation strategies are mapped using the Inventory of Learning Styles. Key characteristics of more content-focused versus learning-focused teaching strategies were measured. Multivariate multi-level analysis was used to take the nested data structure and interrelatedness of learning strategies into account. Results: Different personality traits (openness, conscientiousness, and neuroticism) and academic motivation (amotivation, autonomous, and controlled motivation) were found to be independently associated with student learning strategies. Besides these student characteristics, also teaching strategies were found to be directly associated with learning strategies. Conclusions: The study makes clear that the impact of teaching strategies on learning strategies in first-year higher education cannot be overlooked nor overinterpreted, due to the importance of students' personality and academic motivation which also partly explain why students learn the way they do. © 2013 The British Psychological Society.","author":[{"dropping-particle":"","family":"Donche","given":"Vincent","non-dropping-particle":"","parse-names":false,"suffix":""},{"dropping-particle":"","family":"Maeyer","given":"Sven","non-dropping-particle":"De","parse-names":false,"suffix":""},{"dropping-particle":"","family":"Coertjens","given":"Liesje","non-dropping-particle":"","parse-names":false,"suffix":""},{"dropping-particle":"","family":"Daal","given":"Tine","non-dropping-particle":"Van","parse-names":false,"suffix":""},{"dropping-particle":"","family":"Petegem","given":"Peter","non-dropping-particle":"Van","parse-names":false,"suffix":""}],"container-title":"British Journal of Educational Psychology","id":"ITEM-3","issue":"2","issued":{"date-parts":[["2013"]]},"page":"238-251","title":"Differential use of learning strategies in first-year higher education: The impact of personality, academic motivation, and teaching strategies","type":"article-journal","volume":"83"},"uris":["http://www.mendeley.com/documents/?uuid=c800d91c-5a61-4ef5-8e5a-1843a9b0f09c"]}],"mendeley":{"formattedCitation":"(Latham and Locke, 2006; Donche &lt;i&gt;et al.&lt;/i&gt;, 2013; Wulf and Lewthwaite, 2016)","plainTextFormattedCitation":"(Latham and Locke, 2006; Donche et al., 2013; Wulf and Lewthwaite, 2016)","previouslyFormattedCitation":"(Latham and Locke, 2006; Donche &lt;i&gt;et al.&lt;/i&gt;, 2013; Wulf and Lewthwaite,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(Latham and Locke, 2006; Donche </w:t>
      </w:r>
      <w:r w:rsidRPr="00AE2080">
        <w:rPr>
          <w:rFonts w:ascii="Arial" w:hAnsi="Arial" w:cs="Arial"/>
          <w:i/>
          <w:noProof/>
          <w:sz w:val="24"/>
          <w:szCs w:val="24"/>
        </w:rPr>
        <w:t>et al.</w:t>
      </w:r>
      <w:r w:rsidRPr="00AE2080">
        <w:rPr>
          <w:rFonts w:ascii="Arial" w:hAnsi="Arial" w:cs="Arial"/>
          <w:noProof/>
          <w:sz w:val="24"/>
          <w:szCs w:val="24"/>
        </w:rPr>
        <w:t>, 2013; Wulf and Lewthwaite, 2016)</w:t>
      </w:r>
      <w:r w:rsidRPr="00AE2080">
        <w:rPr>
          <w:rFonts w:ascii="Arial" w:hAnsi="Arial" w:cs="Arial"/>
          <w:sz w:val="24"/>
          <w:szCs w:val="24"/>
        </w:rPr>
        <w:fldChar w:fldCharType="end"/>
      </w:r>
      <w:r w:rsidRPr="00AE2080">
        <w:rPr>
          <w:rFonts w:ascii="Arial" w:hAnsi="Arial" w:cs="Arial"/>
          <w:sz w:val="24"/>
          <w:szCs w:val="24"/>
        </w:rPr>
        <w:t>.</w:t>
      </w:r>
    </w:p>
    <w:p w14:paraId="1BB04341" w14:textId="77777777" w:rsidR="00830195" w:rsidRPr="00AE2080" w:rsidRDefault="00830195" w:rsidP="00AE2080">
      <w:pPr>
        <w:spacing w:line="360" w:lineRule="auto"/>
        <w:jc w:val="center"/>
        <w:rPr>
          <w:rFonts w:ascii="Arial" w:hAnsi="Arial" w:cs="Arial"/>
          <w:sz w:val="24"/>
          <w:szCs w:val="24"/>
        </w:rPr>
      </w:pPr>
      <w:r w:rsidRPr="00AE2080">
        <w:rPr>
          <w:rFonts w:ascii="Arial" w:hAnsi="Arial" w:cs="Arial"/>
          <w:i/>
          <w:iCs/>
          <w:sz w:val="24"/>
          <w:szCs w:val="24"/>
        </w:rPr>
        <w:lastRenderedPageBreak/>
        <w:t>‘The pace was successful. It felt leisurely and it’s only now I realise we covered a lot of ground in a short time.’</w:t>
      </w:r>
      <w:r w:rsidRPr="00AE2080">
        <w:rPr>
          <w:rFonts w:ascii="Arial" w:hAnsi="Arial" w:cs="Arial"/>
          <w:sz w:val="24"/>
          <w:szCs w:val="24"/>
        </w:rPr>
        <w:t xml:space="preserv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2024)","plainTextFormattedCitation":"(B, 2024)","previouslyFormattedCitation":"(B, 2024)"},"properties":{"noteIndex":0},"schema":"https://github.com/citation-style-language/schema/raw/master/csl-citation.json"}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 2024)</w:t>
      </w:r>
      <w:r w:rsidRPr="00AE2080">
        <w:rPr>
          <w:rFonts w:ascii="Arial" w:hAnsi="Arial" w:cs="Arial"/>
          <w:sz w:val="24"/>
          <w:szCs w:val="24"/>
        </w:rPr>
        <w:fldChar w:fldCharType="end"/>
      </w:r>
    </w:p>
    <w:p w14:paraId="5410DEB7" w14:textId="5772A098" w:rsidR="00830195" w:rsidRPr="00AE2080" w:rsidRDefault="00830195" w:rsidP="00AE2080">
      <w:pPr>
        <w:pStyle w:val="pf0"/>
        <w:spacing w:line="360" w:lineRule="auto"/>
        <w:jc w:val="both"/>
        <w:rPr>
          <w:rFonts w:ascii="Arial" w:hAnsi="Arial" w:cs="Arial"/>
        </w:rPr>
      </w:pPr>
      <w:r w:rsidRPr="00AE2080">
        <w:rPr>
          <w:rStyle w:val="cf01"/>
          <w:rFonts w:ascii="Arial" w:eastAsiaTheme="majorEastAsia" w:hAnsi="Arial" w:cs="Arial"/>
          <w:b/>
          <w:bCs/>
          <w:i/>
          <w:iCs/>
          <w:sz w:val="24"/>
          <w:szCs w:val="24"/>
        </w:rPr>
        <w:t xml:space="preserve">Knowledge and experience </w:t>
      </w:r>
      <w:r w:rsidRPr="00AE2080">
        <w:rPr>
          <w:rStyle w:val="cf01"/>
          <w:rFonts w:ascii="Arial" w:eastAsiaTheme="majorEastAsia" w:hAnsi="Arial" w:cs="Arial"/>
          <w:sz w:val="24"/>
          <w:szCs w:val="24"/>
        </w:rPr>
        <w:t>from the study have guided the students into more confident mindsets about their potential to develop belting. Each student left the study with specific goals for how they would continue to develop their belting. Participation in this study</w:t>
      </w:r>
      <w:r w:rsidRPr="00AE2080">
        <w:rPr>
          <w:rFonts w:ascii="Arial" w:hAnsi="Arial" w:cs="Arial"/>
        </w:rPr>
        <w:t xml:space="preserve"> has empowered the students to have a positive attitude about their ability to develop belting further in the future. </w:t>
      </w:r>
      <w:r w:rsidRPr="00AE2080">
        <w:rPr>
          <w:rStyle w:val="cf01"/>
          <w:rFonts w:ascii="Arial" w:eastAsiaTheme="majorEastAsia" w:hAnsi="Arial" w:cs="Arial"/>
          <w:sz w:val="24"/>
          <w:szCs w:val="24"/>
        </w:rPr>
        <w:t>Outside of belting skills, students noticed positive changes in their vocal control across an arc o</w:t>
      </w:r>
      <w:r w:rsidR="00B9193F">
        <w:rPr>
          <w:rStyle w:val="cf01"/>
          <w:rFonts w:ascii="Arial" w:eastAsiaTheme="majorEastAsia" w:hAnsi="Arial" w:cs="Arial"/>
          <w:sz w:val="24"/>
          <w:szCs w:val="24"/>
        </w:rPr>
        <w:t>f</w:t>
      </w:r>
      <w:r w:rsidRPr="00AE2080">
        <w:rPr>
          <w:rStyle w:val="cf01"/>
          <w:rFonts w:ascii="Arial" w:eastAsiaTheme="majorEastAsia" w:hAnsi="Arial" w:cs="Arial"/>
          <w:sz w:val="24"/>
          <w:szCs w:val="24"/>
        </w:rPr>
        <w:t xml:space="preserve"> vocal abilities. The </w:t>
      </w:r>
      <w:r w:rsidRPr="00AE2080">
        <w:rPr>
          <w:rStyle w:val="cf01"/>
          <w:rFonts w:ascii="Arial" w:eastAsiaTheme="majorEastAsia" w:hAnsi="Arial" w:cs="Arial"/>
          <w:b/>
          <w:bCs/>
          <w:i/>
          <w:iCs/>
          <w:sz w:val="24"/>
          <w:szCs w:val="24"/>
        </w:rPr>
        <w:t>e</w:t>
      </w:r>
      <w:r w:rsidRPr="00AE2080">
        <w:rPr>
          <w:rFonts w:ascii="Arial" w:hAnsi="Arial" w:cs="Arial"/>
          <w:b/>
          <w:bCs/>
          <w:i/>
          <w:iCs/>
        </w:rPr>
        <w:t xml:space="preserve">xperiences and emotions </w:t>
      </w:r>
      <w:r w:rsidRPr="00AE2080">
        <w:rPr>
          <w:rFonts w:ascii="Arial" w:hAnsi="Arial" w:cs="Arial"/>
        </w:rPr>
        <w:t xml:space="preserve">of the students had themes which connected to building self-efficacy during the study and positive changes to student associations with being loud. A positive sense of self-efficacy is connected to more effective learning outcomes and is fostered by the learning environment and rapport </w:t>
      </w:r>
      <w:r w:rsidRPr="00AE2080">
        <w:rPr>
          <w:rFonts w:ascii="Arial" w:hAnsi="Arial" w:cs="Arial"/>
        </w:rPr>
        <w:fldChar w:fldCharType="begin" w:fldLock="1"/>
      </w:r>
      <w:r w:rsidRPr="00AE2080">
        <w:rPr>
          <w:rFonts w:ascii="Arial" w:hAnsi="Arial" w:cs="Arial"/>
        </w:rPr>
        <w:instrText>ADDIN CSL_CITATION {"citationItems":[{"id":"ITEM-1","itemData":{"DOI":"10.1080/14613808.2019.1598346","ISSN":"14699893","abstract":"We explored the role of self-efficacy in participatory music-making, and whether a single such music-making activity could make non-musician adults more open to seeing themselves as musical. Past research has suggested that even recipients of multiple years of school music education do not consider being musical as a part of their identity, and they do not exit adolescence with an independent musicianship that would facilitate their making music as adults. In our study, we invited older adults to participate in an informal music-making experience designed to be participatory and enjoyable. A questionnaire measured musical beliefs and self-perceptions before and after the music activity. The posttest version included items through which participants indicated their self-efficacy during the activity. Data analysis revealed that across the entire sample, the average rating of how musical they considered themselves to be did not change significantly, but there was a significant jump in their reported likelihood of engaging in a collection of musical life activities. Specifically, there was a rise in the likelihood of playing musical instruments informally. The study’s most important finding was that participants with higher self-efficacy during the activity emerged from it believing themselves to be more musical than they had previously thought.","author":[{"dropping-particle":"","family":"Woody","given":"Robert H.","non-dropping-particle":"","parse-names":false,"suffix":""},{"dropping-particle":"","family":"Fraser","given":"Amy","non-dropping-particle":"","parse-names":false,"suffix":""},{"dropping-particle":"","family":"Nannen","given":"Briana","non-dropping-particle":"","parse-names":false,"suffix":""},{"dropping-particle":"","family":"Yukevich","given":"Polly","non-dropping-particle":"","parse-names":false,"suffix":""}],"container-title":"Music Education Research","id":"ITEM-1","issue":"3","issued":{"date-parts":[["2019"]]},"page":"315-330","publisher":"Taylor &amp; Francis","title":"Musical identities of older adults are not easily changed: an exploratory study","type":"article-journal","volume":"21"},"uris":["http://www.mendeley.com/documents/?uuid=c0731686-1857-43a8-8fa8-ba5ac99fc6e4"]},{"id":"ITEM-2","itemData":{"DOI":"10.1177/02557614221074057","ISBN":"0255761422107","ISSN":"1744795X","abstract":"Fostering accurate musical self-perceptions may be particularly challenging when developing singing technique, where self-assessment is complicated by the close physiological and emotional relationship between the performer and the body-instrument. The aim of the present study was to investigate how vocal students’ beliefs in their performance capabilities were influenced by the four sources of self-efficacy and other personal/contextual factors. Nine vocalists at a private university in the western United States completed the Vocal Performance Self-Efficacy Survey, participated in two follow-up interviews, and provided written reflections about experiences that fostered or hindered their performance belief. Participants reported that they moved from a reliance on external assessments of capability to self-appraisal as they (a) refined technique through practice and performance, (b) observed coping and master models, (c) managed feedback from others, (d) attuned to physiological and emotional sensations, and (e) exercised cognitive self-regulation. Eight of nine interview participants reported that physiological and affective states most affected their performance belief. Findings indicate the importance of nurturing vocal students’ performance beliefs by utilizing the four sources of self-efficacy, fostering qualities of persistence and resilience, teaching agentic causation, fostering productive student/teacher relationships, and creating emotionally safe learning and performance environments.","author":[{"dropping-particle":"","family":"Lewis","given":"Megan C.","non-dropping-particle":"","parse-names":false,"suffix":""},{"dropping-particle":"","family":"Hendricks","given":"Karin S.","non-dropping-particle":"","parse-names":false,"suffix":""}],"container-title":"International Journal of Music Education","id":"ITEM-2","issued":{"date-parts":[["2022"]]},"title":"“It’s your body, it’s part of who you are!”: Influences upon collegiate vocalists’ performance self-efficacy beliefs","type":"article-journal"},"uris":["http://www.mendeley.com/documents/?uuid=d1469298-0bbc-4c76-afcd-e0c4086da712"]},{"id":"ITEM-3","itemData":{"DOI":"10.1111/peps.12035","ISSN":"00315826","abstract":"We conducted a meta-analysis to determine whether the within-person self-efficacy/performance relationship is positive, negative, or null and to compare the strength of the self-efficacy/performance and past performance/self-efficacy within-person relationships. The self-efficacy/performance within-person corrected correlation was 23 but was weak and nonsignificant (ρ = .06) when controlling for the linear trajectory, revealing that the main effect was spurious. The past performance/self-efficacy within-person corrected correlation was .40 and remained positive and significant (ρ = .30) when controlling for the linear trajectory. The moderator results revealed that at the within-person level of analysis: (a) self-efficacy had at best a moderate, positive effect on performance and a null effect under other moderating conditions (ρ ranged from -.02 to .33); (b) the main effect of past performance on self-efficacy was stronger than the effect of self-efficacy on performance, even in the moderating conditions that produced the strongest self-efficacy/performance relationship; (c) the effect of past performance on self-efficacy ranged from moderate to strong across moderating conditions and was statistically significant across performance tasks, contextual factors, and methodological moderators (ρ ranged from .18 to .52). Overall, this suggests that self-efficacy is primarily a product of past performance rather than the driving force affecting future performance. © 2013 Wiley Periodicals, Inc.","author":[{"dropping-particle":"","family":"Sitzmann","given":"Traci","non-dropping-particle":"","parse-names":false,"suffix":""},{"dropping-particle":"","family":"Yeo","given":"Gillian","non-dropping-particle":"","parse-names":false,"suffix":""}],"container-title":"Personnel Psychology","id":"ITEM-3","issue":"3","issued":{"date-parts":[["2013"]]},"page":"531-568","title":"A Meta-Analytic Investigation of the Within-Person Self-Efficacy Domain: Is Self-Efficacy a Product of Past Performance or a Driver of Future Performance?","type":"article-journal","volume":"66"},"uris":["http://www.mendeley.com/documents/?uuid=2f089ad0-90a5-4f21-9981-9d3666ebdaf3"]}],"mendeley":{"formattedCitation":"(Sitzmann and Yeo, 2013; Woody &lt;i&gt;et al.&lt;/i&gt;, 2019; Lewis and Hendricks, 2022)","plainTextFormattedCitation":"(Sitzmann and Yeo, 2013; Woody et al., 2019; Lewis and Hendricks, 2022)","previouslyFormattedCitation":"(Sitzmann and Yeo, 2013; Woody &lt;i&gt;et al.&lt;/i&gt;, 2019; Lewis and Hendricks, 2022)"},"properties":{"noteIndex":0},"schema":"https://github.com/citation-style-language/schema/raw/master/csl-citation.json"}</w:instrText>
      </w:r>
      <w:r w:rsidRPr="00AE2080">
        <w:rPr>
          <w:rFonts w:ascii="Arial" w:hAnsi="Arial" w:cs="Arial"/>
        </w:rPr>
        <w:fldChar w:fldCharType="separate"/>
      </w:r>
      <w:r w:rsidRPr="00AE2080">
        <w:rPr>
          <w:rFonts w:ascii="Arial" w:hAnsi="Arial" w:cs="Arial"/>
          <w:noProof/>
        </w:rPr>
        <w:t xml:space="preserve">(Sitzmann and Yeo, 2013; Woody </w:t>
      </w:r>
      <w:r w:rsidRPr="00AE2080">
        <w:rPr>
          <w:rFonts w:ascii="Arial" w:hAnsi="Arial" w:cs="Arial"/>
          <w:i/>
          <w:noProof/>
        </w:rPr>
        <w:t>et al.</w:t>
      </w:r>
      <w:r w:rsidRPr="00AE2080">
        <w:rPr>
          <w:rFonts w:ascii="Arial" w:hAnsi="Arial" w:cs="Arial"/>
          <w:noProof/>
        </w:rPr>
        <w:t>, 2019; Lewis and Hendricks, 2022)</w:t>
      </w:r>
      <w:r w:rsidRPr="00AE2080">
        <w:rPr>
          <w:rFonts w:ascii="Arial" w:hAnsi="Arial" w:cs="Arial"/>
        </w:rPr>
        <w:fldChar w:fldCharType="end"/>
      </w:r>
      <w:r w:rsidRPr="00AE2080">
        <w:rPr>
          <w:rFonts w:ascii="Arial" w:hAnsi="Arial" w:cs="Arial"/>
        </w:rPr>
        <w:t>.</w:t>
      </w:r>
    </w:p>
    <w:p w14:paraId="263D04F9" w14:textId="33BB010C"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t>‘I have found this learning experience to be very fun and informative. I feel as though the experience has been light-hearted but focussed which has enabled me to feel free to experiment and explore my voice without judgement.</w:t>
      </w:r>
      <w:r w:rsidR="00232E93">
        <w:rPr>
          <w:rFonts w:ascii="Arial" w:hAnsi="Arial" w:cs="Arial"/>
          <w:i/>
          <w:iCs/>
          <w:sz w:val="24"/>
          <w:szCs w:val="24"/>
        </w:rPr>
        <w:t>’</w:t>
      </w:r>
      <w:r w:rsidRPr="00AE2080">
        <w:rPr>
          <w:rFonts w:ascii="Arial" w:hAnsi="Arial" w:cs="Arial"/>
          <w:i/>
          <w:iCs/>
          <w:sz w:val="24"/>
          <w:szCs w:val="24"/>
        </w:rPr>
        <w:t xml:space="preserve"> (C, 2024, post-study survey)</w:t>
      </w:r>
    </w:p>
    <w:p w14:paraId="0DF48CEB" w14:textId="36F0E197"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hAnsi="Arial" w:cs="Arial"/>
          <w:sz w:val="24"/>
          <w:szCs w:val="24"/>
        </w:rPr>
        <w:t xml:space="preserve">Even though Student A had a vocal ‘blip’ in the final session which </w:t>
      </w:r>
      <w:r w:rsidR="00042722">
        <w:rPr>
          <w:rFonts w:ascii="Arial" w:hAnsi="Arial" w:cs="Arial"/>
          <w:sz w:val="24"/>
          <w:szCs w:val="24"/>
        </w:rPr>
        <w:t>slightly lowered</w:t>
      </w:r>
      <w:r w:rsidRPr="00AE2080">
        <w:rPr>
          <w:rFonts w:ascii="Arial" w:hAnsi="Arial" w:cs="Arial"/>
          <w:sz w:val="24"/>
          <w:szCs w:val="24"/>
        </w:rPr>
        <w:t xml:space="preserve"> their confidence, they left the study with more positive personal </w:t>
      </w:r>
      <w:r w:rsidRPr="00AE2080">
        <w:rPr>
          <w:rStyle w:val="cf01"/>
          <w:rFonts w:ascii="Arial" w:eastAsiaTheme="majorEastAsia" w:hAnsi="Arial" w:cs="Arial"/>
          <w:sz w:val="24"/>
          <w:szCs w:val="24"/>
        </w:rPr>
        <w:t xml:space="preserve">associations with belting and their ability to develop the skill. Having started the study feeling that </w:t>
      </w:r>
      <w:r w:rsidRPr="00AE2080">
        <w:rPr>
          <w:rStyle w:val="cf01"/>
          <w:rFonts w:ascii="Arial" w:eastAsiaTheme="majorEastAsia" w:hAnsi="Arial" w:cs="Arial"/>
          <w:i/>
          <w:iCs/>
          <w:sz w:val="24"/>
          <w:szCs w:val="24"/>
        </w:rPr>
        <w:t>‘</w:t>
      </w:r>
      <w:r w:rsidRPr="00AE2080">
        <w:rPr>
          <w:rFonts w:ascii="Arial" w:hAnsi="Arial" w:cs="Arial"/>
          <w:i/>
          <w:iCs/>
          <w:sz w:val="24"/>
          <w:szCs w:val="24"/>
        </w:rPr>
        <w:t>Belting isn’t something I associate with my voice, so it challenges my self-identity’</w:t>
      </w:r>
      <w:r w:rsidRPr="00AE2080">
        <w:rPr>
          <w:rFonts w:ascii="Arial" w:hAnsi="Arial" w:cs="Arial"/>
          <w:sz w:val="24"/>
          <w:szCs w:val="24"/>
        </w:rPr>
        <w:t>, this student left the study feeling they ‘</w:t>
      </w:r>
      <w:r w:rsidRPr="00AE2080">
        <w:rPr>
          <w:rFonts w:ascii="Arial" w:hAnsi="Arial" w:cs="Arial"/>
          <w:i/>
          <w:iCs/>
          <w:sz w:val="24"/>
          <w:szCs w:val="24"/>
        </w:rPr>
        <w:t>have a more acceptable style for “non-classical” [</w:t>
      </w:r>
      <w:r w:rsidR="00B469DA">
        <w:rPr>
          <w:rFonts w:ascii="Arial" w:hAnsi="Arial" w:cs="Arial"/>
          <w:i/>
          <w:iCs/>
          <w:sz w:val="24"/>
          <w:szCs w:val="24"/>
        </w:rPr>
        <w:t>singing</w:t>
      </w:r>
      <w:r w:rsidRPr="00AE2080">
        <w:rPr>
          <w:rFonts w:ascii="Arial" w:hAnsi="Arial" w:cs="Arial"/>
          <w:i/>
          <w:iCs/>
          <w:sz w:val="24"/>
          <w:szCs w:val="24"/>
        </w:rPr>
        <w:t xml:space="preserve">]’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w:t>
      </w:r>
      <w:r w:rsidRPr="00AE2080">
        <w:rPr>
          <w:rFonts w:ascii="Arial" w:hAnsi="Arial" w:cs="Arial"/>
          <w:i/>
          <w:iCs/>
          <w:sz w:val="24"/>
          <w:szCs w:val="24"/>
        </w:rPr>
        <w:fldChar w:fldCharType="end"/>
      </w:r>
      <w:r w:rsidRPr="00AE2080">
        <w:rPr>
          <w:rFonts w:ascii="Arial" w:hAnsi="Arial" w:cs="Arial"/>
          <w:i/>
          <w:iCs/>
          <w:sz w:val="24"/>
          <w:szCs w:val="24"/>
        </w:rPr>
        <w:t xml:space="preserve">. </w:t>
      </w:r>
      <w:r w:rsidR="00523B14">
        <w:rPr>
          <w:rFonts w:ascii="Arial" w:hAnsi="Arial" w:cs="Arial"/>
          <w:sz w:val="24"/>
          <w:szCs w:val="24"/>
        </w:rPr>
        <w:t>Considering</w:t>
      </w:r>
      <w:r w:rsidRPr="00AE2080">
        <w:rPr>
          <w:rFonts w:ascii="Arial" w:hAnsi="Arial" w:cs="Arial"/>
          <w:sz w:val="24"/>
          <w:szCs w:val="24"/>
        </w:rPr>
        <w:t xml:space="preserve"> </w:t>
      </w:r>
      <w:r w:rsidR="00B814D8">
        <w:rPr>
          <w:rFonts w:ascii="Arial" w:hAnsi="Arial" w:cs="Arial"/>
          <w:sz w:val="24"/>
          <w:szCs w:val="24"/>
        </w:rPr>
        <w:t xml:space="preserve">the </w:t>
      </w:r>
      <w:r w:rsidR="00721A31">
        <w:rPr>
          <w:rFonts w:ascii="Arial" w:hAnsi="Arial" w:cs="Arial"/>
          <w:sz w:val="24"/>
          <w:szCs w:val="24"/>
        </w:rPr>
        <w:t xml:space="preserve">initial </w:t>
      </w:r>
      <w:r w:rsidR="00943603">
        <w:rPr>
          <w:rFonts w:ascii="Arial" w:hAnsi="Arial" w:cs="Arial"/>
          <w:sz w:val="24"/>
          <w:szCs w:val="24"/>
        </w:rPr>
        <w:t xml:space="preserve">feelings of each student </w:t>
      </w:r>
      <w:r w:rsidR="00B814D8">
        <w:rPr>
          <w:rFonts w:ascii="Arial" w:hAnsi="Arial" w:cs="Arial"/>
          <w:sz w:val="24"/>
          <w:szCs w:val="24"/>
        </w:rPr>
        <w:t>allowed</w:t>
      </w:r>
      <w:r w:rsidR="00943603">
        <w:rPr>
          <w:rFonts w:ascii="Arial" w:hAnsi="Arial" w:cs="Arial"/>
          <w:sz w:val="24"/>
          <w:szCs w:val="24"/>
        </w:rPr>
        <w:t xml:space="preserve"> me to </w:t>
      </w:r>
      <w:r w:rsidRPr="00AE2080">
        <w:rPr>
          <w:rFonts w:ascii="Arial" w:hAnsi="Arial" w:cs="Arial"/>
          <w:sz w:val="24"/>
          <w:szCs w:val="24"/>
        </w:rPr>
        <w:t>match the pace</w:t>
      </w:r>
      <w:r w:rsidR="00B814D8">
        <w:rPr>
          <w:rFonts w:ascii="Arial" w:hAnsi="Arial" w:cs="Arial"/>
          <w:sz w:val="24"/>
          <w:szCs w:val="24"/>
        </w:rPr>
        <w:t xml:space="preserve">, </w:t>
      </w:r>
      <w:r w:rsidRPr="00AE2080">
        <w:rPr>
          <w:rFonts w:ascii="Arial" w:hAnsi="Arial" w:cs="Arial"/>
          <w:sz w:val="24"/>
          <w:szCs w:val="24"/>
        </w:rPr>
        <w:t>approach</w:t>
      </w:r>
      <w:r w:rsidR="00B814D8">
        <w:rPr>
          <w:rFonts w:ascii="Arial" w:hAnsi="Arial" w:cs="Arial"/>
          <w:sz w:val="24"/>
          <w:szCs w:val="24"/>
        </w:rPr>
        <w:t>, and challenge</w:t>
      </w:r>
      <w:r w:rsidRPr="00AE2080">
        <w:rPr>
          <w:rFonts w:ascii="Arial" w:hAnsi="Arial" w:cs="Arial"/>
          <w:sz w:val="24"/>
          <w:szCs w:val="24"/>
        </w:rPr>
        <w:t xml:space="preserve"> </w:t>
      </w:r>
      <w:r w:rsidR="00B814D8">
        <w:rPr>
          <w:rFonts w:ascii="Arial" w:hAnsi="Arial" w:cs="Arial"/>
          <w:sz w:val="24"/>
          <w:szCs w:val="24"/>
        </w:rPr>
        <w:t>to</w:t>
      </w:r>
      <w:r w:rsidRPr="00AE2080">
        <w:rPr>
          <w:rFonts w:ascii="Arial" w:hAnsi="Arial" w:cs="Arial"/>
          <w:sz w:val="24"/>
          <w:szCs w:val="24"/>
        </w:rPr>
        <w:t xml:space="preserve"> </w:t>
      </w:r>
      <w:r w:rsidR="007F6CD5">
        <w:rPr>
          <w:rFonts w:ascii="Arial" w:hAnsi="Arial" w:cs="Arial"/>
          <w:sz w:val="24"/>
          <w:szCs w:val="24"/>
        </w:rPr>
        <w:t xml:space="preserve">each </w:t>
      </w:r>
      <w:r w:rsidRPr="00AE2080">
        <w:rPr>
          <w:rFonts w:ascii="Arial" w:hAnsi="Arial" w:cs="Arial"/>
          <w:sz w:val="24"/>
          <w:szCs w:val="24"/>
        </w:rPr>
        <w:t xml:space="preserve">student. Student A gave feedback regarding good aspects of </w:t>
      </w:r>
      <w:r w:rsidR="00865470">
        <w:rPr>
          <w:rFonts w:ascii="Arial" w:hAnsi="Arial" w:cs="Arial"/>
          <w:sz w:val="24"/>
          <w:szCs w:val="24"/>
        </w:rPr>
        <w:t xml:space="preserve">the </w:t>
      </w:r>
      <w:r w:rsidRPr="00AE2080">
        <w:rPr>
          <w:rFonts w:ascii="Arial" w:hAnsi="Arial" w:cs="Arial"/>
          <w:sz w:val="24"/>
          <w:szCs w:val="24"/>
        </w:rPr>
        <w:t xml:space="preserve">study which included: the pace of the belt training, encouragement, and experimentation. Student A finished the study with </w:t>
      </w:r>
      <w:r w:rsidRPr="00AE2080">
        <w:rPr>
          <w:rFonts w:ascii="Arial" w:hAnsi="Arial" w:cs="Arial"/>
          <w:i/>
          <w:iCs/>
          <w:sz w:val="24"/>
          <w:szCs w:val="24"/>
        </w:rPr>
        <w:t>‘</w:t>
      </w:r>
      <w:r w:rsidRPr="00AE2080">
        <w:rPr>
          <w:rFonts w:ascii="Arial" w:eastAsia="Arial" w:hAnsi="Arial" w:cs="Arial"/>
          <w:i/>
          <w:iCs/>
          <w:sz w:val="24"/>
          <w:szCs w:val="24"/>
        </w:rPr>
        <w:t xml:space="preserve">the desire to take belting further’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A (Module 6).","author":[{"dropping-particle":"","family":"A","given":"Student","non-dropping-particle":"","parse-names":false,"suffix":""}],"id":"ITEM-1","issued":{"date-parts":[["2024"]]},"title":"Student A data sources","type":"article"},"uris":["http://www.mendeley.com/documents/?uuid=27351f09-6660-4c63-ab21-8699e932138a"]}],"mendeley":{"formattedCitation":"(A, 2024)","manualFormatting":"(A, 2024, post-study survey)","plainTextFormattedCitation":"(A, 2024)","previouslyFormattedCitation":"(A,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(A, 2024, post-study survey)</w:t>
      </w:r>
      <w:r w:rsidRPr="00AE2080">
        <w:rPr>
          <w:rFonts w:ascii="Arial" w:hAnsi="Arial" w:cs="Arial"/>
          <w:i/>
          <w:iCs/>
          <w:sz w:val="24"/>
          <w:szCs w:val="24"/>
        </w:rPr>
        <w:fldChar w:fldCharType="end"/>
      </w:r>
      <w:r w:rsidRPr="00AE2080">
        <w:rPr>
          <w:rFonts w:ascii="Arial" w:hAnsi="Arial" w:cs="Arial"/>
          <w:i/>
          <w:iCs/>
          <w:sz w:val="24"/>
          <w:szCs w:val="24"/>
        </w:rPr>
        <w:t xml:space="preserve">. </w:t>
      </w:r>
      <w:r w:rsidRPr="00AE2080">
        <w:rPr>
          <w:rFonts w:ascii="Arial" w:hAnsi="Arial" w:cs="Arial"/>
          <w:sz w:val="24"/>
          <w:szCs w:val="24"/>
        </w:rPr>
        <w:t xml:space="preserve">Positive changes to each student’s </w:t>
      </w:r>
      <w:r w:rsidRPr="00AE2080">
        <w:rPr>
          <w:rFonts w:ascii="Arial" w:eastAsia="Times New Roman" w:hAnsi="Arial" w:cs="Arial"/>
          <w:b/>
          <w:bCs/>
          <w:i/>
          <w:iCs/>
          <w:sz w:val="24"/>
          <w:szCs w:val="24"/>
          <w:lang w:eastAsia="en-GB"/>
        </w:rPr>
        <w:t>attitude</w:t>
      </w:r>
      <w:r w:rsidRPr="00AE2080">
        <w:rPr>
          <w:rFonts w:ascii="Arial" w:eastAsia="Times New Roman" w:hAnsi="Arial" w:cs="Arial"/>
          <w:sz w:val="24"/>
          <w:szCs w:val="24"/>
          <w:lang w:eastAsia="en-GB"/>
        </w:rPr>
        <w:t xml:space="preserve"> to learning and achievement/ failure have accompanied the development during the study. All three students left the study with a sense of achievement and personal turning point in their attitude to vocal learning and a desire to explore belting further.</w:t>
      </w:r>
    </w:p>
    <w:p w14:paraId="79CEB948" w14:textId="77777777" w:rsidR="00830195" w:rsidRPr="00AE2080" w:rsidRDefault="00830195" w:rsidP="00AE2080">
      <w:pPr>
        <w:spacing w:line="360" w:lineRule="auto"/>
        <w:jc w:val="center"/>
        <w:rPr>
          <w:rFonts w:ascii="Arial" w:hAnsi="Arial" w:cs="Arial"/>
          <w:i/>
          <w:iCs/>
          <w:sz w:val="24"/>
          <w:szCs w:val="24"/>
        </w:rPr>
      </w:pPr>
      <w:r w:rsidRPr="00AE2080">
        <w:rPr>
          <w:rFonts w:ascii="Arial" w:hAnsi="Arial" w:cs="Arial"/>
          <w:i/>
          <w:iCs/>
          <w:sz w:val="24"/>
          <w:szCs w:val="24"/>
        </w:rPr>
        <w:lastRenderedPageBreak/>
        <w:t>‘I’d like to pursue it…[and]</w:t>
      </w:r>
      <w:r w:rsidRPr="00AE2080">
        <w:rPr>
          <w:rFonts w:ascii="Arial" w:hAnsi="Arial" w:cs="Arial"/>
          <w:sz w:val="24"/>
          <w:szCs w:val="24"/>
        </w:rPr>
        <w:t xml:space="preserve"> </w:t>
      </w:r>
      <w:r w:rsidRPr="00AE2080">
        <w:rPr>
          <w:rFonts w:ascii="Arial" w:hAnsi="Arial" w:cs="Arial"/>
          <w:i/>
          <w:iCs/>
          <w:sz w:val="24"/>
          <w:szCs w:val="24"/>
        </w:rPr>
        <w:t xml:space="preserve">I feel I need to continue support in lessons to make sure I develop it correctly.’ </w:t>
      </w:r>
      <w:r w:rsidRPr="00AE2080">
        <w:rPr>
          <w:rFonts w:ascii="Arial" w:hAnsi="Arial" w:cs="Arial"/>
          <w:i/>
          <w:iCs/>
          <w:sz w:val="24"/>
          <w:szCs w:val="24"/>
        </w:rPr>
        <w:fldChar w:fldCharType="begin" w:fldLock="1"/>
      </w:r>
      <w:r w:rsidRPr="00AE2080">
        <w:rPr>
          <w:rFonts w:ascii="Arial" w:hAnsi="Arial" w:cs="Arial"/>
          <w:i/>
          <w:iCs/>
          <w:sz w:val="24"/>
          <w:szCs w:val="24"/>
        </w:rPr>
        <w:instrText>ADDIN CSL_CITATION {"citationItems":[{"id":"ITEM-1","itemData":{"abstract":"Anoymity coded reference for data collected from Student B (Module 6).","author":[{"dropping-particle":"","family":"B","given":"Student","non-dropping-particle":"","parse-names":false,"suffix":""}],"id":"ITEM-1","issued":{"date-parts":[["2024"]]},"title":"Student B data sources","type":"article"},"uris":["http://www.mendeley.com/documents/?uuid=dfec7d0c-e3c5-4399-8ab4-4b4ff4170197"]}],"mendeley":{"formattedCitation":"(B, 2024)","manualFormatting":"(B, 2024, post-study survey)","plainTextFormattedCitation":"(B, 2024)","previouslyFormattedCitation":"(B, 2024)"},"properties":{"noteIndex":0},"schema":"https://github.com/citation-style-language/schema/raw/master/csl-citation.json"}</w:instrText>
      </w:r>
      <w:r w:rsidRPr="00AE2080">
        <w:rPr>
          <w:rFonts w:ascii="Arial" w:hAnsi="Arial" w:cs="Arial"/>
          <w:i/>
          <w:iCs/>
          <w:sz w:val="24"/>
          <w:szCs w:val="24"/>
        </w:rPr>
        <w:fldChar w:fldCharType="separate"/>
      </w:r>
      <w:r w:rsidRPr="00AE2080">
        <w:rPr>
          <w:rFonts w:ascii="Arial" w:hAnsi="Arial" w:cs="Arial"/>
          <w:iCs/>
          <w:noProof/>
          <w:sz w:val="24"/>
          <w:szCs w:val="24"/>
        </w:rPr>
        <w:t>(B, 2024, post-study survey)</w:t>
      </w:r>
      <w:r w:rsidRPr="00AE2080">
        <w:rPr>
          <w:rFonts w:ascii="Arial" w:hAnsi="Arial" w:cs="Arial"/>
          <w:i/>
          <w:iCs/>
          <w:sz w:val="24"/>
          <w:szCs w:val="24"/>
        </w:rPr>
        <w:fldChar w:fldCharType="end"/>
      </w:r>
    </w:p>
    <w:p w14:paraId="0AA6FBEA" w14:textId="69D3C1A4" w:rsidR="0088445E"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Now, I </w:t>
      </w:r>
      <w:r w:rsidR="00FA7ED9">
        <w:rPr>
          <w:rFonts w:ascii="Arial" w:hAnsi="Arial" w:cs="Arial"/>
          <w:sz w:val="24"/>
          <w:szCs w:val="24"/>
        </w:rPr>
        <w:t>have</w:t>
      </w:r>
      <w:r w:rsidRPr="00AE2080">
        <w:rPr>
          <w:rFonts w:ascii="Arial" w:hAnsi="Arial" w:cs="Arial"/>
          <w:sz w:val="24"/>
          <w:szCs w:val="24"/>
        </w:rPr>
        <w:t xml:space="preserve"> a deeper </w:t>
      </w:r>
      <w:r w:rsidR="00FA7ED9">
        <w:rPr>
          <w:rFonts w:ascii="Arial" w:hAnsi="Arial" w:cs="Arial"/>
          <w:sz w:val="24"/>
          <w:szCs w:val="24"/>
        </w:rPr>
        <w:t xml:space="preserve">awareness and </w:t>
      </w:r>
      <w:r w:rsidRPr="00AE2080">
        <w:rPr>
          <w:rFonts w:ascii="Arial" w:hAnsi="Arial" w:cs="Arial"/>
          <w:sz w:val="24"/>
          <w:szCs w:val="24"/>
        </w:rPr>
        <w:t>understanding</w:t>
      </w:r>
      <w:r w:rsidR="00BF04C9">
        <w:rPr>
          <w:rFonts w:ascii="Arial" w:hAnsi="Arial" w:cs="Arial"/>
          <w:sz w:val="24"/>
          <w:szCs w:val="24"/>
        </w:rPr>
        <w:t xml:space="preserve"> of</w:t>
      </w:r>
      <w:r w:rsidRPr="00AE2080">
        <w:rPr>
          <w:rFonts w:ascii="Arial" w:hAnsi="Arial" w:cs="Arial"/>
          <w:sz w:val="24"/>
          <w:szCs w:val="24"/>
        </w:rPr>
        <w:t xml:space="preserve"> the interconnectedness between aspects of good teaching practice to balance individual needs, goals, and evidence-based approaches. I have embraced new ideas and woven them into my practice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Psychology","type":"article-journal","volume":"16"},"uris":["http://www.mendeley.com/documents/?uuid=d8ed6243-cdcb-4c4f-b9ac-ec00b829097c"]}],"mendeley":{"formattedCitation":"(Dixon, Lee and Ghaye, 2016)","plainTextFormattedCitation":"(Dixon, Lee and Ghaye, 2016)","previouslyFormattedCitation":"(Dixon, Lee and Ghaye,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(Dixon, Lee and Ghaye, 2016)</w:t>
      </w:r>
      <w:r w:rsidRPr="00AE2080">
        <w:rPr>
          <w:rFonts w:ascii="Arial" w:hAnsi="Arial" w:cs="Arial"/>
          <w:sz w:val="24"/>
          <w:szCs w:val="24"/>
        </w:rPr>
        <w:fldChar w:fldCharType="end"/>
      </w:r>
      <w:r w:rsidRPr="00AE2080">
        <w:rPr>
          <w:rFonts w:ascii="Arial" w:hAnsi="Arial" w:cs="Arial"/>
          <w:sz w:val="24"/>
          <w:szCs w:val="24"/>
        </w:rPr>
        <w:t>.</w:t>
      </w:r>
      <w:r w:rsidR="0088445E">
        <w:rPr>
          <w:rFonts w:ascii="Arial" w:hAnsi="Arial" w:cs="Arial"/>
          <w:sz w:val="24"/>
          <w:szCs w:val="24"/>
        </w:rPr>
        <w:br w:type="page"/>
      </w:r>
    </w:p>
    <w:p w14:paraId="431B041E" w14:textId="1E051D23" w:rsidR="00830195" w:rsidRPr="00AE2080" w:rsidRDefault="00830195" w:rsidP="00AE2080">
      <w:pPr>
        <w:spacing w:line="360" w:lineRule="auto"/>
        <w:jc w:val="both"/>
        <w:rPr>
          <w:rFonts w:ascii="Arial" w:eastAsia="Times New Roman" w:hAnsi="Arial" w:cs="Arial"/>
          <w:b/>
          <w:bCs/>
          <w:sz w:val="24"/>
          <w:szCs w:val="24"/>
          <w:lang w:eastAsia="en-GB"/>
        </w:rPr>
      </w:pPr>
      <w:bookmarkStart w:id="25" w:name="ReflectionsEvaluation"/>
      <w:r w:rsidRPr="00AE2080">
        <w:rPr>
          <w:rFonts w:ascii="Arial" w:eastAsia="Times New Roman" w:hAnsi="Arial" w:cs="Arial"/>
          <w:b/>
          <w:bCs/>
          <w:sz w:val="24"/>
          <w:szCs w:val="24"/>
          <w:lang w:eastAsia="en-GB"/>
        </w:rPr>
        <w:lastRenderedPageBreak/>
        <w:t xml:space="preserve">Reflections and </w:t>
      </w:r>
      <w:r w:rsidR="005129DC">
        <w:rPr>
          <w:rFonts w:ascii="Arial" w:eastAsia="Times New Roman" w:hAnsi="Arial" w:cs="Arial"/>
          <w:b/>
          <w:bCs/>
          <w:sz w:val="24"/>
          <w:szCs w:val="24"/>
          <w:lang w:eastAsia="en-GB"/>
        </w:rPr>
        <w:t>E</w:t>
      </w:r>
      <w:r w:rsidRPr="00AE2080">
        <w:rPr>
          <w:rFonts w:ascii="Arial" w:eastAsia="Times New Roman" w:hAnsi="Arial" w:cs="Arial"/>
          <w:b/>
          <w:bCs/>
          <w:sz w:val="24"/>
          <w:szCs w:val="24"/>
          <w:lang w:eastAsia="en-GB"/>
        </w:rPr>
        <w:t>valuation</w:t>
      </w:r>
    </w:p>
    <w:bookmarkEnd w:id="25"/>
    <w:p w14:paraId="7E79D101" w14:textId="351DF5FE"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Using the project</w:t>
      </w:r>
      <w:r w:rsidR="00C35A51">
        <w:rPr>
          <w:rFonts w:ascii="Arial" w:eastAsia="Times New Roman" w:hAnsi="Arial" w:cs="Arial"/>
          <w:sz w:val="24"/>
          <w:szCs w:val="24"/>
          <w:lang w:eastAsia="en-GB"/>
        </w:rPr>
        <w:t>’s</w:t>
      </w:r>
      <w:r w:rsidRPr="00AE2080">
        <w:rPr>
          <w:rFonts w:ascii="Arial" w:eastAsia="Times New Roman" w:hAnsi="Arial" w:cs="Arial"/>
          <w:sz w:val="24"/>
          <w:szCs w:val="24"/>
          <w:lang w:eastAsia="en-GB"/>
        </w:rPr>
        <w:t xml:space="preserve"> aim and objective</w:t>
      </w:r>
      <w:r w:rsidR="00CF3393">
        <w:rPr>
          <w:rFonts w:ascii="Arial" w:eastAsia="Times New Roman" w:hAnsi="Arial" w:cs="Arial"/>
          <w:sz w:val="24"/>
          <w:szCs w:val="24"/>
          <w:lang w:eastAsia="en-GB"/>
        </w:rPr>
        <w:t>s</w:t>
      </w:r>
      <w:r w:rsidRPr="00AE2080">
        <w:rPr>
          <w:rFonts w:ascii="Arial" w:eastAsia="Times New Roman" w:hAnsi="Arial" w:cs="Arial"/>
          <w:sz w:val="24"/>
          <w:szCs w:val="24"/>
          <w:lang w:eastAsia="en-GB"/>
        </w:rPr>
        <w:t xml:space="preserve"> will </w:t>
      </w:r>
      <w:r w:rsidR="005F1325">
        <w:rPr>
          <w:rFonts w:ascii="Arial" w:eastAsia="Times New Roman" w:hAnsi="Arial" w:cs="Arial"/>
          <w:sz w:val="24"/>
          <w:szCs w:val="24"/>
          <w:lang w:eastAsia="en-GB"/>
        </w:rPr>
        <w:t>guide</w:t>
      </w:r>
      <w:r w:rsidRPr="00AE2080">
        <w:rPr>
          <w:rFonts w:ascii="Arial" w:eastAsia="Times New Roman" w:hAnsi="Arial" w:cs="Arial"/>
          <w:sz w:val="24"/>
          <w:szCs w:val="24"/>
          <w:lang w:eastAsia="en-GB"/>
        </w:rPr>
        <w:t xml:space="preserve"> the reflection</w:t>
      </w:r>
      <w:r w:rsidR="00AA64CE">
        <w:rPr>
          <w:rFonts w:ascii="Arial" w:eastAsia="Times New Roman" w:hAnsi="Arial" w:cs="Arial"/>
          <w:sz w:val="24"/>
          <w:szCs w:val="24"/>
          <w:lang w:eastAsia="en-GB"/>
        </w:rPr>
        <w:t>s</w:t>
      </w:r>
      <w:r w:rsidRPr="00AE2080">
        <w:rPr>
          <w:rFonts w:ascii="Arial" w:eastAsia="Times New Roman" w:hAnsi="Arial" w:cs="Arial"/>
          <w:sz w:val="24"/>
          <w:szCs w:val="24"/>
          <w:lang w:eastAsia="en-GB"/>
        </w:rPr>
        <w:t xml:space="preserve"> </w:t>
      </w:r>
      <w:r w:rsidR="00AA64CE">
        <w:rPr>
          <w:rFonts w:ascii="Arial" w:eastAsia="Times New Roman" w:hAnsi="Arial" w:cs="Arial"/>
          <w:sz w:val="24"/>
          <w:szCs w:val="24"/>
          <w:lang w:eastAsia="en-GB"/>
        </w:rPr>
        <w:t>about</w:t>
      </w:r>
      <w:r w:rsidRPr="00AE2080">
        <w:rPr>
          <w:rFonts w:ascii="Arial" w:eastAsia="Times New Roman" w:hAnsi="Arial" w:cs="Arial"/>
          <w:sz w:val="24"/>
          <w:szCs w:val="24"/>
          <w:lang w:eastAsia="en-GB"/>
        </w:rPr>
        <w:t xml:space="preserve"> the study’s impact on my CPD. </w:t>
      </w:r>
      <w:r w:rsidR="00B32E76">
        <w:rPr>
          <w:rFonts w:ascii="Arial" w:eastAsia="Times New Roman" w:hAnsi="Arial" w:cs="Arial"/>
          <w:sz w:val="24"/>
          <w:szCs w:val="24"/>
          <w:lang w:eastAsia="en-GB"/>
        </w:rPr>
        <w:t>The p</w:t>
      </w:r>
      <w:r w:rsidRPr="00AE2080">
        <w:rPr>
          <w:rFonts w:ascii="Arial" w:eastAsia="Times New Roman" w:hAnsi="Arial" w:cs="Arial"/>
          <w:sz w:val="24"/>
          <w:szCs w:val="24"/>
          <w:lang w:eastAsia="en-GB"/>
        </w:rPr>
        <w:t xml:space="preserve">lanning stages of this project made clear the dynamic balance of learning through interaction and reading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challenges","type":"article-journal","volume":"65"},"uris":["http://www.mendeley.com/documents/?uuid=fdb52a8b-a11e-4406-903f-a400d8280c27"]},{"id":"ITEM-2","itemData":{"DOI":"10.33750/ijhi.v4i1.102","abstract":"Teaching and learning process can be defined as a transformation process of knowledge from teachers to students. It is referred as the combination of various elements within the process where an educator identifies and establish the learning objectives and develop teaching resources and implement the teaching and learning strategy. On the other hand, learning is a cardinal factor that a teacher must consider while teaching students. The paper evaluated various academic journals, pedagogy and inclusive practices to assess the teaching effectiveness within the higher education setting. The objective of the research is to assess the teaching effectiveness in higher education setting. The research used experimental research methods (primarily reflection) using literary forms to analyse the theory with the reinforcement of the practice from the university experiences. The research findings suggests that, providing positive and adequate formative and developmental feedback, introduction of role play have profound positive impact on the confidence and self-esteem of the students. It was also revealed that, active learning environment promotes inclusivity and improve the faculty and student academic performances. The research findings will enable the educators to help create and implement an inclusive teaching and learning environment to improve the learner’s expectation and academic performance.","author":[{"dropping-particle":"","family":"Munna","given":"Afzal Sayed","non-dropping-particle":"","parse-names":false,"suffix":""},{"dropping-particle":"","family":"Kalam","given":"Md Abul","non-dropping-particle":"","parse-names":false,"suffix":""}],"container-title":"International Journal of Humanities and Innovation (IJHI)","id":"ITEM-2","issue":"1","issued":{"date-parts":[["2021"]]},"page":"1-4","title":"Teaching and learning process to enhance teaching effectiveness: literature review","type":"article-journal","volume":"4"},"uris":["http://www.mendeley.com/documents/?uuid=8cf3da37-aefa-4726-a62b-3a64b2c39dc5"]}],"mendeley":{"formattedCitation":"(Munna and Kalam, 2021; Lindqvist &lt;i&gt;et al.&lt;/i&gt;, 2023)","plainTextFormattedCitation":"(Munna and Kalam, 2021; Lindqvist et al., 2023)","previouslyFormattedCitation":"(Munna and Kalam, 2021; Lindqvist &lt;i&gt;et al.&lt;/i&gt;, 2023)"},"properties":{"noteIndex":0},"schema":"https://github.com/citation-style-language/schema/raw/master/csl-citation.json"}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 xml:space="preserve">(Munna and Kalam, 2021; Lindqvist </w:t>
      </w:r>
      <w:r w:rsidRPr="00AE2080">
        <w:rPr>
          <w:rFonts w:ascii="Arial" w:eastAsia="Times New Roman" w:hAnsi="Arial" w:cs="Arial"/>
          <w:i/>
          <w:noProof/>
          <w:sz w:val="24"/>
          <w:szCs w:val="24"/>
          <w:lang w:eastAsia="en-GB"/>
        </w:rPr>
        <w:t>et al.</w:t>
      </w:r>
      <w:r w:rsidRPr="00AE2080">
        <w:rPr>
          <w:rFonts w:ascii="Arial" w:eastAsia="Times New Roman" w:hAnsi="Arial" w:cs="Arial"/>
          <w:noProof/>
          <w:sz w:val="24"/>
          <w:szCs w:val="24"/>
          <w:lang w:eastAsia="en-GB"/>
        </w:rPr>
        <w:t>, 2023)</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w:t>
      </w:r>
      <w:r w:rsidR="006372D1" w:rsidRPr="00AE2080">
        <w:rPr>
          <w:rFonts w:ascii="Arial" w:eastAsia="Times New Roman" w:hAnsi="Arial" w:cs="Arial"/>
          <w:b/>
          <w:bCs/>
          <w:i/>
          <w:iCs/>
          <w:sz w:val="24"/>
          <w:szCs w:val="24"/>
          <w:lang w:eastAsia="en-GB"/>
        </w:rPr>
        <w:t xml:space="preserve">Ethical </w:t>
      </w:r>
      <w:r w:rsidRPr="00AE2080">
        <w:rPr>
          <w:rFonts w:ascii="Arial" w:eastAsia="Times New Roman" w:hAnsi="Arial" w:cs="Arial"/>
          <w:b/>
          <w:bCs/>
          <w:i/>
          <w:iCs/>
          <w:sz w:val="24"/>
          <w:szCs w:val="24"/>
          <w:lang w:eastAsia="en-GB"/>
        </w:rPr>
        <w:t>considerations</w:t>
      </w:r>
      <w:r w:rsidR="00A83DCA" w:rsidRPr="00AE2080">
        <w:rPr>
          <w:rFonts w:ascii="Arial" w:eastAsia="Times New Roman" w:hAnsi="Arial" w:cs="Arial"/>
          <w:b/>
          <w:bCs/>
          <w:i/>
          <w:iCs/>
          <w:sz w:val="24"/>
          <w:szCs w:val="24"/>
          <w:lang w:eastAsia="en-GB"/>
        </w:rPr>
        <w:t>,</w:t>
      </w:r>
      <w:r w:rsidR="00A83DCA" w:rsidRPr="00291F32">
        <w:rPr>
          <w:rFonts w:ascii="Arial" w:eastAsia="Times New Roman" w:hAnsi="Arial" w:cs="Arial"/>
          <w:sz w:val="24"/>
          <w:szCs w:val="24"/>
          <w:lang w:eastAsia="en-GB"/>
        </w:rPr>
        <w:t xml:space="preserve"> </w:t>
      </w:r>
      <w:r w:rsidR="002942F7">
        <w:rPr>
          <w:rFonts w:ascii="Arial" w:eastAsia="Times New Roman" w:hAnsi="Arial" w:cs="Arial"/>
          <w:sz w:val="24"/>
          <w:szCs w:val="24"/>
          <w:lang w:eastAsia="en-GB"/>
        </w:rPr>
        <w:t xml:space="preserve">such as </w:t>
      </w:r>
      <w:r w:rsidR="00A83DCA" w:rsidRPr="00AE2080">
        <w:rPr>
          <w:rFonts w:ascii="Arial" w:eastAsia="Times New Roman" w:hAnsi="Arial" w:cs="Arial"/>
          <w:sz w:val="24"/>
          <w:szCs w:val="24"/>
          <w:lang w:eastAsia="en-GB"/>
        </w:rPr>
        <w:t>anonymity coding of data,</w:t>
      </w:r>
      <w:r w:rsidRPr="00AE2080">
        <w:rPr>
          <w:rFonts w:ascii="Arial" w:eastAsia="Times New Roman" w:hAnsi="Arial" w:cs="Arial"/>
          <w:sz w:val="24"/>
          <w:szCs w:val="24"/>
          <w:lang w:eastAsia="en-GB"/>
        </w:rPr>
        <w:t xml:space="preserve"> were required </w:t>
      </w:r>
      <w:r w:rsidR="009F07EB" w:rsidRPr="00AE2080">
        <w:rPr>
          <w:rFonts w:ascii="Arial" w:eastAsia="Times New Roman" w:hAnsi="Arial" w:cs="Arial"/>
          <w:sz w:val="24"/>
          <w:szCs w:val="24"/>
          <w:lang w:eastAsia="en-GB"/>
        </w:rPr>
        <w:t xml:space="preserve">for </w:t>
      </w:r>
      <w:r w:rsidR="007C2FF3">
        <w:rPr>
          <w:rFonts w:ascii="Arial" w:eastAsia="Times New Roman" w:hAnsi="Arial" w:cs="Arial"/>
          <w:sz w:val="24"/>
          <w:szCs w:val="24"/>
          <w:lang w:eastAsia="en-GB"/>
        </w:rPr>
        <w:t>interacting</w:t>
      </w:r>
      <w:r w:rsidR="009F07EB" w:rsidRPr="00AE2080">
        <w:rPr>
          <w:rFonts w:ascii="Arial" w:eastAsia="Times New Roman" w:hAnsi="Arial" w:cs="Arial"/>
          <w:sz w:val="24"/>
          <w:szCs w:val="24"/>
          <w:lang w:eastAsia="en-GB"/>
        </w:rPr>
        <w:t xml:space="preserve"> with </w:t>
      </w:r>
      <w:r w:rsidR="006372D1" w:rsidRPr="00AE2080">
        <w:rPr>
          <w:rFonts w:ascii="Arial" w:eastAsia="Times New Roman" w:hAnsi="Arial" w:cs="Arial"/>
          <w:sz w:val="24"/>
          <w:szCs w:val="24"/>
          <w:lang w:eastAsia="en-GB"/>
        </w:rPr>
        <w:t>professionals work</w:t>
      </w:r>
      <w:r w:rsidR="007C2FF3">
        <w:rPr>
          <w:rFonts w:ascii="Arial" w:eastAsia="Times New Roman" w:hAnsi="Arial" w:cs="Arial"/>
          <w:sz w:val="24"/>
          <w:szCs w:val="24"/>
          <w:lang w:eastAsia="en-GB"/>
        </w:rPr>
        <w:t>ing</w:t>
      </w:r>
      <w:r w:rsidR="006372D1" w:rsidRPr="00AE2080">
        <w:rPr>
          <w:rFonts w:ascii="Arial" w:eastAsia="Times New Roman" w:hAnsi="Arial" w:cs="Arial"/>
          <w:sz w:val="24"/>
          <w:szCs w:val="24"/>
          <w:lang w:eastAsia="en-GB"/>
        </w:rPr>
        <w:t xml:space="preserve"> in the same field</w:t>
      </w:r>
      <w:r w:rsidR="006434DB">
        <w:rPr>
          <w:rFonts w:ascii="Arial" w:eastAsia="Times New Roman" w:hAnsi="Arial" w:cs="Arial"/>
          <w:sz w:val="24"/>
          <w:szCs w:val="24"/>
          <w:lang w:eastAsia="en-GB"/>
        </w:rPr>
        <w:t xml:space="preserve"> as me</w:t>
      </w:r>
      <w:r w:rsidR="009F07EB" w:rsidRPr="00AE2080">
        <w:rPr>
          <w:rFonts w:ascii="Arial" w:eastAsia="Times New Roman" w:hAnsi="Arial" w:cs="Arial"/>
          <w:sz w:val="24"/>
          <w:szCs w:val="24"/>
          <w:lang w:eastAsia="en-GB"/>
        </w:rPr>
        <w:t xml:space="preserve"> and to </w:t>
      </w:r>
      <w:r w:rsidR="00140D48" w:rsidRPr="00AE2080">
        <w:rPr>
          <w:rFonts w:ascii="Arial" w:eastAsia="Times New Roman" w:hAnsi="Arial" w:cs="Arial"/>
          <w:sz w:val="24"/>
          <w:szCs w:val="24"/>
          <w:lang w:eastAsia="en-GB"/>
        </w:rPr>
        <w:t>protect student participants</w:t>
      </w:r>
      <w:r w:rsidR="006372D1" w:rsidRPr="00AE2080">
        <w:rPr>
          <w:rFonts w:ascii="Arial" w:eastAsia="Times New Roman" w:hAnsi="Arial" w:cs="Arial"/>
          <w:sz w:val="24"/>
          <w:szCs w:val="24"/>
          <w:lang w:eastAsia="en-GB"/>
        </w:rPr>
        <w:t xml:space="preserve"> </w:t>
      </w:r>
      <w:r w:rsidR="00A83DCA" w:rsidRPr="00AE2080">
        <w:rPr>
          <w:rFonts w:ascii="Arial" w:eastAsia="Times New Roman" w:hAnsi="Arial" w:cs="Arial"/>
          <w:sz w:val="24"/>
          <w:szCs w:val="24"/>
          <w:lang w:eastAsia="en-GB"/>
        </w:rPr>
        <w:fldChar w:fldCharType="begin" w:fldLock="1"/>
      </w:r>
      <w:r w:rsidR="00880CAC" w:rsidRPr="00AE2080">
        <w:rPr>
          <w:rFonts w:ascii="Arial" w:eastAsia="Times New Roman" w:hAnsi="Arial" w:cs="Arial"/>
          <w:sz w:val="24"/>
          <w:szCs w:val="24"/>
          <w:lang w:eastAsia="en-GB"/>
        </w:rPr>
        <w:instrText>ADDIN CSL_CITATION {"citationItems":[{"id":"ITEM-1","itemData":{"DOI":"10.1177/1747016116673135","ISSN":"20476094","abstract":"Privacy by Design, a globally accepted framework for personal data management and privacy protection, advances the view that privacy cannot be assured solely by compliance with regulatory frameworks but must become an organisation’s default mode of operation. We are proposing a similar template for the research ethics review process. The Research Ethics by Design framework involves research ethics committees engaging researchers during the design phase of the proposal so that ethical considerations may be directly embedded in the science as opposed to being viewed as addendums after the fact. This collaborative research design proposal results in the establishment of a culture of ethical research rather than research with ethical oversight. Both researchers and research ethics committees come to view the review process as one in which individual protection and collective benefit co-exist in a doubly-enabling positive-sum manner.","author":[{"dropping-particle":"","family":"Borrett","given":"Donald S.","non-dropping-particle":"","parse-names":false,"suffix":""},{"dropping-particle":"","family":"Sampson","given":"Heather","non-dropping-particle":"","parse-names":false,"suffix":""},{"dropping-particle":"","family":"Cavoukian","given":"Ann","non-dropping-particle":"","parse-names":false,"suffix":""}],"container-title":"Research Ethics","id":"ITEM-1","issue":"2","issued":{"date-parts":[["2017"]]},"page":"84-91","title":"Research ethics by design: A collaborative research design proposal","type":"article-journal","volume":"13"},"uris":["http://www.mendeley.com/documents/?uuid=0213322c-0c11-40c6-af35-39bfecc2ccab"]},{"id":"ITEM-2","itemData":{"abstract":"Seiring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Documents","edition":"Fourth","id":"ITEM-2","issued":{"date-parts":[["2016"]]},"note":"There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 Borrett, Sampson and Cavoukian, 2017)","plainTextFormattedCitation":"(Merriam and Tisdell, 2016; Borrett, Sampson and Cavoukian, 2017)","previouslyFormattedCitation":"(Merriam and Tisdell, 2016; Borrett, Sampson and Cavoukian, 2017)"},"properties":{"noteIndex":0},"schema":"https://github.com/citation-style-language/schema/raw/master/csl-citation.json"}</w:instrText>
      </w:r>
      <w:r w:rsidR="00A83DCA" w:rsidRPr="00AE2080">
        <w:rPr>
          <w:rFonts w:ascii="Arial" w:eastAsia="Times New Roman" w:hAnsi="Arial" w:cs="Arial"/>
          <w:sz w:val="24"/>
          <w:szCs w:val="24"/>
          <w:lang w:eastAsia="en-GB"/>
        </w:rPr>
        <w:fldChar w:fldCharType="separate"/>
      </w:r>
      <w:r w:rsidR="00A83DCA" w:rsidRPr="00AE2080">
        <w:rPr>
          <w:rFonts w:ascii="Arial" w:eastAsia="Times New Roman" w:hAnsi="Arial" w:cs="Arial"/>
          <w:noProof/>
          <w:sz w:val="24"/>
          <w:szCs w:val="24"/>
          <w:lang w:eastAsia="en-GB"/>
        </w:rPr>
        <w:t>(Merriam and Tisdell, 2016; Borrett, Sampson and Cavoukian, 2017)</w:t>
      </w:r>
      <w:r w:rsidR="00A83DCA" w:rsidRPr="00AE2080">
        <w:rPr>
          <w:rFonts w:ascii="Arial" w:eastAsia="Times New Roman" w:hAnsi="Arial" w:cs="Arial"/>
          <w:sz w:val="24"/>
          <w:szCs w:val="24"/>
          <w:lang w:eastAsia="en-GB"/>
        </w:rPr>
        <w:fldChar w:fldCharType="end"/>
      </w:r>
      <w:r w:rsidR="00673810" w:rsidRPr="00AE2080">
        <w:rPr>
          <w:rFonts w:ascii="Arial" w:eastAsia="Times New Roman" w:hAnsi="Arial" w:cs="Arial"/>
          <w:sz w:val="24"/>
          <w:szCs w:val="24"/>
          <w:lang w:eastAsia="en-GB"/>
        </w:rPr>
        <w:t xml:space="preserve">. Beyond this, I wanted to maintain these standards to show respect and gratitude </w:t>
      </w:r>
      <w:r w:rsidR="00CD71B7" w:rsidRPr="00AE2080">
        <w:rPr>
          <w:rFonts w:ascii="Arial" w:eastAsia="Times New Roman" w:hAnsi="Arial" w:cs="Arial"/>
          <w:sz w:val="24"/>
          <w:szCs w:val="24"/>
          <w:lang w:eastAsia="en-GB"/>
        </w:rPr>
        <w:t>for the contribution of time, expertise and knowl</w:t>
      </w:r>
      <w:r w:rsidR="000C0C06" w:rsidRPr="00AE2080">
        <w:rPr>
          <w:rFonts w:ascii="Arial" w:eastAsia="Times New Roman" w:hAnsi="Arial" w:cs="Arial"/>
          <w:sz w:val="24"/>
          <w:szCs w:val="24"/>
          <w:lang w:eastAsia="en-GB"/>
        </w:rPr>
        <w:t>edge given to the study.</w:t>
      </w:r>
      <w:r w:rsidRPr="00AE2080">
        <w:rPr>
          <w:rFonts w:ascii="Arial" w:eastAsia="Times New Roman" w:hAnsi="Arial" w:cs="Arial"/>
          <w:sz w:val="24"/>
          <w:szCs w:val="24"/>
          <w:lang w:eastAsia="en-GB"/>
        </w:rPr>
        <w:t xml:space="preserve"> As an </w:t>
      </w:r>
      <w:r w:rsidRPr="00AE2080">
        <w:rPr>
          <w:rFonts w:ascii="Arial" w:eastAsia="Times New Roman" w:hAnsi="Arial" w:cs="Arial"/>
          <w:b/>
          <w:bCs/>
          <w:i/>
          <w:iCs/>
          <w:sz w:val="24"/>
          <w:szCs w:val="24"/>
          <w:lang w:eastAsia="en-GB"/>
        </w:rPr>
        <w:t>inside researcher</w:t>
      </w:r>
      <w:r w:rsidR="007D60CC">
        <w:rPr>
          <w:rFonts w:ascii="Arial" w:eastAsia="Times New Roman" w:hAnsi="Arial" w:cs="Arial"/>
          <w:b/>
          <w:bCs/>
          <w:i/>
          <w:iCs/>
          <w:sz w:val="24"/>
          <w:szCs w:val="24"/>
          <w:lang w:eastAsia="en-GB"/>
        </w:rPr>
        <w:t>,</w:t>
      </w:r>
      <w:r w:rsidRPr="00AE2080">
        <w:rPr>
          <w:rFonts w:ascii="Arial" w:eastAsia="Times New Roman" w:hAnsi="Arial" w:cs="Arial"/>
          <w:sz w:val="24"/>
          <w:szCs w:val="24"/>
          <w:lang w:eastAsia="en-GB"/>
        </w:rPr>
        <w:t xml:space="preserve"> I was able to benefit from the </w:t>
      </w:r>
      <w:r w:rsidRPr="00AE2080">
        <w:rPr>
          <w:rFonts w:ascii="Arial" w:eastAsia="Times New Roman" w:hAnsi="Arial" w:cs="Arial"/>
          <w:b/>
          <w:bCs/>
          <w:i/>
          <w:iCs/>
          <w:sz w:val="24"/>
          <w:szCs w:val="24"/>
          <w:lang w:eastAsia="en-GB"/>
        </w:rPr>
        <w:t>existing rapport</w:t>
      </w:r>
      <w:r w:rsidRPr="00AE2080">
        <w:rPr>
          <w:rFonts w:ascii="Arial" w:eastAsia="Times New Roman" w:hAnsi="Arial" w:cs="Arial"/>
          <w:sz w:val="24"/>
          <w:szCs w:val="24"/>
          <w:lang w:eastAsia="en-GB"/>
        </w:rPr>
        <w:t xml:space="preserve"> with my students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{"citationItems":[{"id":"ITEM-1","itemData":{"DOI":"10.34293/education.v8i4.3232","ISSN":"2320-2653","abstract":"Masters and PhD student researchers in the social sciences are often required to explore and explain their positionality, as, in the social world, it is recognized that their ontological and epistemological beliefs influence their research. Yet novice researchers often struggle with identifying their positionality. This paper explores researcher positionality and its influence on and place in the research process. Its purpose is to help new postgraduate researchers better understand positionality so that they may incorporate a reflexive approach to their research and start to clarify their positionality.","author":[{"dropping-particle":"","family":"Darwin Holmes","given":"Andrew Gary","non-dropping-particle":"","parse-names":false,"suffix":""}],"container-title":"Shanlax International Journal of Education","id":"ITEM-1","issue":"4","issued":{"date-parts":[["2020"]]},"note":"P 5 outsider vs inside advantages/ disadvantages\n\nP7 Insider - Outsider + posottionaity","page":"1-10","title":"Researcher Positionality - A Consideration of Its Influence and Place in Qualitative Research - A New Researcher Guide","type":"article-journal","volume":"8"},"uris":["http://www.mendeley.com/documents/?uuid=7323e017-ad9d-4ab8-a5ae-645f1446e3e7"]},{"id":"ITEM-2","itemData":{"abstract":"This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year two</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site study are critiqued.","author":[{"dropping-particle":"","family":"Mercer","given":"Justine","non-dropping-particle":"","parse-names":false,"suffix":""}],"container-title":"Oxford Review of Education","id":"ITEM-2","issue":"1","issued":{"date-parts":[["2007"]]},"page":"1-17","title":"The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Leicester.","type":"article-journal","volume":"33"},"uris":["http://www.mendeley.com/documents/?uuid=fe067fbf-5130-4070-9927-bdf8727d610e"]}],"mendeley":{"formattedCitation":"(Mercer, 2007; Darwin Holmes, 2020)","plainTextFormattedCitation":"(Mercer, 2007; Darwin Holmes, 2020)","previouslyFormattedCitation":"(Mercer, 2007; Darwin Holmes, 2020)"},"properties":{"noteIndex":0},"schema":"https://github.com/citation-style-language/schema/raw/master/csl-citation.json"}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(Mercer, 2007; Darwin Holmes, 2020)</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My rapport with and prior knowledge of the students was of benefit when analysing their data and supported empathy in the teaching process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{"citationItems":[{"id":"ITEM-1","itemData":{"DOI":"10.34293/education.v8i4.3232","ISSN":"2320-2653","abstract":"Masters and PhD student researchers in the social sciences are often required to explore and explain their positionality, as, in the social world, it is recognized that their ontological and epistemological beliefs influence their research. Yet novice researchers often struggle with identifying their positionality. This paper explores researcher positionality and its influence on and place in the research process. Its purpose is to help new postgraduate researchers better understand positionality so that they may incorporate a reflexive approach to their research and start to clarify their positionality.","author":[{"dropping-particle":"","family":"Darwin Holmes","given":"Andrew Gary","non-dropping-particle":"","parse-names":false,"suffix":""}],"container-title":"Shanlax International Journal of Education","id":"ITEM-1","issue":"4","issued":{"date-parts":[["2020"]]},"note":"P 5 outsider vs inside advantages/ disadvantages\n\nP7 Insider - Outsider + posottionaity","page":"1-10","title":"Researcher Positionality - A Consideration of Its Influence and Place in Qualitative Research - A New Researcher Guide","type":"article-journal","volume":"8"},"uris":["http://www.mendeley.com/documents/?uuid=7323e017-ad9d-4ab8-a5ae-645f1446e3e7"]},{"id":"ITEM-2","itemData":{"abstract":"This paper explores the challenges faced by educational researchers investigating the places where they work. It reviews the literature on insider research and draws upon the author’s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researcher’s perspective, and the ways in which the author responded to these dilemmas at different points in her own four</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year two</w:instrText>
      </w:r>
      <w:r w:rsidRPr="00AE2080">
        <w:rPr>
          <w:rFonts w:ascii="Cambria Math" w:eastAsia="Times New Roman" w:hAnsi="Cambria Math" w:cs="Cambria Math"/>
          <w:sz w:val="24"/>
          <w:szCs w:val="24"/>
          <w:lang w:eastAsia="en-GB"/>
        </w:rPr>
        <w:instrText>‐</w:instrText>
      </w:r>
      <w:r w:rsidRPr="00AE2080">
        <w:rPr>
          <w:rFonts w:ascii="Arial" w:eastAsia="Times New Roman" w:hAnsi="Arial" w:cs="Arial"/>
          <w:sz w:val="24"/>
          <w:szCs w:val="24"/>
          <w:lang w:eastAsia="en-GB"/>
        </w:rPr>
        <w:instrText>site study are critiqued.","author":[{"dropping-particle":"","family":"Mercer","given":"Justine","non-dropping-particle":"","parse-names":false,"suffix":""}],"container-title":"Oxford Review of Education","id":"ITEM-2","issue":"1","issued":{"date-parts":[["2007"]]},"page":"1-17","title":"The Challenges of Insider Research in Educational Institutions: Wielding a double-edged sword and resolving delicate dilemmas By Dr. Justine Mercer, Centre for Educational Leadership and Management, University of Leicester.","type":"article-journal","volume":"33"},"uris":["http://www.mendeley.com/documents/?uuid=fe067fbf-5130-4070-9927-bdf8727d610e"]}],"mendeley":{"formattedCitation":"(Mercer, 2007; Darwin Holmes, 2020)","plainTextFormattedCitation":"(Mercer, 2007; Darwin Holmes, 2020)","previouslyFormattedCitation":"(Mercer, 2007; Darwin Holmes, 2020)"},"properties":{"noteIndex":0},"schema":"https://github.com/citation-style-language/schema/raw/master/csl-citation.json"}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(Mercer, 2007; Darwin Holmes, 2020)</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225418F6" w14:textId="4C97D106"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The initial belt training process was designed using the ethos of </w:t>
      </w:r>
      <w:r w:rsidR="006B09CB">
        <w:rPr>
          <w:rFonts w:ascii="Arial" w:eastAsia="Times New Roman" w:hAnsi="Arial" w:cs="Arial"/>
          <w:sz w:val="24"/>
          <w:szCs w:val="24"/>
          <w:lang w:eastAsia="en-GB"/>
        </w:rPr>
        <w:t>EBVP</w:t>
      </w:r>
      <w:r w:rsidRPr="00AE2080">
        <w:rPr>
          <w:rFonts w:ascii="Arial" w:eastAsia="Times New Roman" w:hAnsi="Arial" w:cs="Arial"/>
          <w:sz w:val="24"/>
          <w:szCs w:val="24"/>
          <w:lang w:eastAsia="en-GB"/>
        </w:rPr>
        <w:t>, which directs a singing teacher to collaborate via:</w:t>
      </w:r>
    </w:p>
    <w:p w14:paraId="0F4E6A1D" w14:textId="77777777" w:rsidR="00830195" w:rsidRPr="00AE2080" w:rsidRDefault="00830195" w:rsidP="00AE2080">
      <w:pPr>
        <w:pStyle w:val="ListParagraph"/>
        <w:numPr>
          <w:ilvl w:val="0"/>
          <w:numId w:val="12"/>
        </w:num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the expertise and experience of their own and other experts, </w:t>
      </w:r>
    </w:p>
    <w:p w14:paraId="4E499EB8" w14:textId="77777777" w:rsidR="00830195" w:rsidRPr="00AE2080" w:rsidRDefault="00830195" w:rsidP="00AE2080">
      <w:pPr>
        <w:pStyle w:val="ListParagraph"/>
        <w:numPr>
          <w:ilvl w:val="0"/>
          <w:numId w:val="12"/>
        </w:num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reading and understanding voice research</w:t>
      </w:r>
    </w:p>
    <w:p w14:paraId="795ADDEB" w14:textId="77777777" w:rsidR="00830195" w:rsidRPr="00AE2080" w:rsidRDefault="00830195" w:rsidP="00AE2080">
      <w:pPr>
        <w:pStyle w:val="ListParagraph"/>
        <w:numPr>
          <w:ilvl w:val="0"/>
          <w:numId w:val="12"/>
        </w:numPr>
        <w:spacing w:line="360" w:lineRule="auto"/>
        <w:jc w:val="both"/>
        <w:rPr>
          <w:rFonts w:ascii="Arial" w:eastAsia="Times New Roman" w:hAnsi="Arial" w:cs="Arial"/>
          <w:sz w:val="24"/>
          <w:szCs w:val="24"/>
          <w:lang w:eastAsia="en-GB"/>
        </w:rPr>
      </w:pPr>
      <w:r w:rsidRPr="00AE2080">
        <w:rPr>
          <w:rFonts w:ascii="Arial" w:eastAsia="Times New Roman" w:hAnsi="Arial" w:cs="Arial"/>
          <w:sz w:val="24"/>
          <w:szCs w:val="24"/>
          <w:lang w:eastAsia="en-GB"/>
        </w:rPr>
        <w:t xml:space="preserve">the formation of student goals with each student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id":"ITEM-4","itemData":{"DOI":"10.1016/j.orgdyn.2006.08.008","ISSN":"00902616","author":[{"dropping-particle":"","family":"Latham","given":"Gary P.","non-dropping-particle":"","parse-names":false,"suffix":""},{"dropping-particle":"","family":"Locke","given":"Edwin A.","non-dropping-particle":"","parse-names":false,"suffix":""}],"container-title":"Organizational Dynamics","id":"ITEM-4","issue":"4","issued":{"date-parts":[["2006"]]},"page":"332-340","title":"Enhancing the Benefits and Overcoming the Pitfalls of Goal Setting","type":"article-journal","volume":"35"},"uris":["http://www.mendeley.com/documents/?uuid=3a8309bd-62ab-4d31-8b4d-fb63efb68d71"]},{"id":"ITEM-5","itemData":{"author":[{"dropping-particle":"","family":"Maxfield","given":"Lynn","non-dropping-particle":"","parse-names":false,"suffix":""}],"container-title":"Journal of Singing","id":"ITEM-5","issue":"June","issued":{"date-parts":[["2019"]]},"page":"583-587","title":"Your Model of Motor Learning","type":"article-journal"},"uris":["http://www.mendeley.com/documents/?uuid=5d4fae0a-36a6-46fd-b7b4-97444d81bdeb"]}],"mendeley":{"formattedCitation":"(Latham and Locke, 2006; Maxfield, 2019; Bozeman and Ragan, 2021; Ragan and Maxfield, 2021; Helding and Ragan, 2022)","plainTextFormattedCitation":"(Latham and Locke, 2006; Maxfield, 2019; Bozeman and Ragan, 2021; Ragan and Maxfield, 2021; Helding and Ragan, 2022)","previouslyFormattedCitation":"(Latham and Locke, 2006; Maxfield, 2019; Bozeman and Ragan, 2021; Ragan and Maxfield, 2021; Helding and Ragan, 2022)"},"properties":{"noteIndex":0},"schema":"https://github.com/citation-style-language/schema/raw/master/csl-citation.json"}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(Latham and Locke, 2006; Maxfield, 2019; Bozeman and Ragan, 2021; Ragan and Maxfield, 2021; Helding and Ragan, 2022)</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w:t>
      </w:r>
    </w:p>
    <w:p w14:paraId="2E0081D9" w14:textId="27429C3B" w:rsidR="00830195" w:rsidRPr="00AE2080" w:rsidRDefault="00E57F49" w:rsidP="00AE2080">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DBR</w:t>
      </w:r>
      <w:r w:rsidR="00830195" w:rsidRPr="00AE2080">
        <w:rPr>
          <w:rFonts w:ascii="Arial" w:eastAsia="Times New Roman" w:hAnsi="Arial" w:cs="Arial"/>
          <w:sz w:val="24"/>
          <w:szCs w:val="24"/>
          <w:lang w:eastAsia="en-GB"/>
        </w:rPr>
        <w:t xml:space="preserve"> methodology also has collaboration at its heart: expert interviews, reviewing relevant research, and testing educational interventions in practice </w:t>
      </w:r>
      <w:r w:rsidR="00830195" w:rsidRPr="00AE2080">
        <w:rPr>
          <w:rFonts w:ascii="Arial" w:eastAsia="Times New Roman" w:hAnsi="Arial" w:cs="Arial"/>
          <w:sz w:val="24"/>
          <w:szCs w:val="24"/>
          <w:lang w:eastAsia="en-GB"/>
        </w:rPr>
        <w:fldChar w:fldCharType="begin" w:fldLock="1"/>
      </w:r>
      <w:r w:rsidR="00830195" w:rsidRPr="00AE2080">
        <w:rPr>
          <w:rFonts w:ascii="Arial" w:eastAsia="Times New Roman" w:hAnsi="Arial" w:cs="Arial"/>
          <w:sz w:val="24"/>
          <w:szCs w:val="24"/>
          <w:lang w:eastAsia="en-GB"/>
        </w:rPr>
        <w:instrText>ADDIN CSL_CITATION {"citationItems":[{"id":"ITEM-1","itemData":{"abstract":"The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Researcher","id":"ITEM-1","issue":"1","issued":{"date-parts":[["2002"]]},"page":"5-8","title":"Design-Based Research: An Emerging Paradigm for Educational Inquiry","type":"article-journal","volume":"32"},"uris":["http://www.mendeley.com/documents/?uuid=b43c7288-c64a-424e-bb77-bf33da21147a"]},{"id":"ITEM-2","itemData":{"DOI":"10.24908/pceea.v0i0.3829","abstract":"Contemporary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(CEEA)","id":"ITEM-2","issued":{"date-parts":[["2011"]]},"page":"166-171","title":"New Approaches To Design Practice","type":"article-journal"},"uris":["http://www.mendeley.com/documents/?uuid=b3c6f641-b7e3-402a-9b47-0d0ca649366d"]}],"mendeley":{"formattedCitation":"(Hoadley &lt;i&gt;et al.&lt;/i&gt;, 2002; MacLeod, 2011)","plainTextFormattedCitation":"(Hoadley et al., 2002; MacLeod, 2011)","previouslyFormattedCitation":"(Hoadley &lt;i&gt;et al.&lt;/i&gt;, 2002; MacLeod, 2011)"},"properties":{"noteIndex":0},"schema":"https://github.com/citation-style-language/schema/raw/master/csl-citation.json"}</w:instrText>
      </w:r>
      <w:r w:rsidR="00830195" w:rsidRPr="00AE2080">
        <w:rPr>
          <w:rFonts w:ascii="Arial" w:eastAsia="Times New Roman" w:hAnsi="Arial" w:cs="Arial"/>
          <w:sz w:val="24"/>
          <w:szCs w:val="24"/>
          <w:lang w:eastAsia="en-GB"/>
        </w:rPr>
        <w:fldChar w:fldCharType="separate"/>
      </w:r>
      <w:r w:rsidR="00830195" w:rsidRPr="00AE2080">
        <w:rPr>
          <w:rFonts w:ascii="Arial" w:eastAsia="Times New Roman" w:hAnsi="Arial" w:cs="Arial"/>
          <w:noProof/>
          <w:sz w:val="24"/>
          <w:szCs w:val="24"/>
          <w:lang w:eastAsia="en-GB"/>
        </w:rPr>
        <w:t xml:space="preserve">(Hoadley </w:t>
      </w:r>
      <w:r w:rsidR="00830195" w:rsidRPr="00AE2080">
        <w:rPr>
          <w:rFonts w:ascii="Arial" w:eastAsia="Times New Roman" w:hAnsi="Arial" w:cs="Arial"/>
          <w:i/>
          <w:noProof/>
          <w:sz w:val="24"/>
          <w:szCs w:val="24"/>
          <w:lang w:eastAsia="en-GB"/>
        </w:rPr>
        <w:t>et al.</w:t>
      </w:r>
      <w:r w:rsidR="00830195" w:rsidRPr="00AE2080">
        <w:rPr>
          <w:rFonts w:ascii="Arial" w:eastAsia="Times New Roman" w:hAnsi="Arial" w:cs="Arial"/>
          <w:noProof/>
          <w:sz w:val="24"/>
          <w:szCs w:val="24"/>
          <w:lang w:eastAsia="en-GB"/>
        </w:rPr>
        <w:t>, 2002; MacLeod, 2011)</w:t>
      </w:r>
      <w:r w:rsidR="00830195" w:rsidRPr="00AE2080">
        <w:rPr>
          <w:rFonts w:ascii="Arial" w:eastAsia="Times New Roman" w:hAnsi="Arial" w:cs="Arial"/>
          <w:sz w:val="24"/>
          <w:szCs w:val="24"/>
          <w:lang w:eastAsia="en-GB"/>
        </w:rPr>
        <w:fldChar w:fldCharType="end"/>
      </w:r>
      <w:r w:rsidR="00830195" w:rsidRPr="00AE2080">
        <w:rPr>
          <w:rFonts w:ascii="Arial" w:eastAsia="Times New Roman" w:hAnsi="Arial" w:cs="Arial"/>
          <w:sz w:val="24"/>
          <w:szCs w:val="24"/>
          <w:lang w:eastAsia="en-GB"/>
        </w:rPr>
        <w:t>.</w:t>
      </w:r>
    </w:p>
    <w:p w14:paraId="648236E0" w14:textId="09D682F4" w:rsidR="00830195" w:rsidRPr="00AE2080" w:rsidRDefault="00830195" w:rsidP="00AE2080">
      <w:pPr>
        <w:spacing w:line="360" w:lineRule="auto"/>
        <w:jc w:val="both"/>
        <w:rPr>
          <w:rFonts w:ascii="Arial" w:eastAsia="Times New Roman" w:hAnsi="Arial" w:cs="Arial"/>
          <w:sz w:val="24"/>
          <w:szCs w:val="24"/>
          <w:lang w:eastAsia="en-GB"/>
        </w:rPr>
      </w:pPr>
      <w:r w:rsidRPr="00AE2080">
        <w:rPr>
          <w:rFonts w:ascii="Arial" w:hAnsi="Arial" w:cs="Arial"/>
          <w:sz w:val="24"/>
          <w:szCs w:val="24"/>
        </w:rPr>
        <w:t>The expert interviews and</w:t>
      </w:r>
      <w:r w:rsidR="00C75CE5">
        <w:rPr>
          <w:rFonts w:ascii="Arial" w:hAnsi="Arial" w:cs="Arial"/>
          <w:sz w:val="24"/>
          <w:szCs w:val="24"/>
        </w:rPr>
        <w:t xml:space="preserve"> the</w:t>
      </w:r>
      <w:r w:rsidRPr="00AE2080">
        <w:rPr>
          <w:rFonts w:ascii="Arial" w:hAnsi="Arial" w:cs="Arial"/>
          <w:sz w:val="24"/>
          <w:szCs w:val="24"/>
        </w:rPr>
        <w:t xml:space="preserve"> following stages of the study built the belt training process beyond its previous foundation. Expert collaboration within the DBR methodology was used to inform the literature review which developed the theoretical belt training process into practical knowledge and an educational tool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research","type":"article-journal"},"uris":["http://www.mendeley.com/documents/?uuid=3d903e11-a75e-401c-b864-4f301aac1ac9"]},{"id":"ITEM-2","itemData":{"DOI":"10.3102/0013189X032001009","ISSN":"0013189X","abstract":"In this article, the authors first indicate the range of purposes and the variety of settings in which design experiments have been conducted and then delineate five crosscutting features that collectively differentiate design experiments from other methodologies. Design experiments have both a pragmatic bent—“engineering” particular forms of learning—and a theoretical orientation—developing domain-specific theories by systematically studying those forms of learning and the means of supporting them. The authors clarify what is involved in preparing for and carrying out a design experiment, and in conducting a retrospective analysis of the extensive, longitudinal data sets generated during an experiment. Logistical issues, issues of measure, the importance of working through the data systematically, and the need to be explicit about the criteria for making inferences are discussed. © 2003, Sage Publications. All rights reserved.","author":[{"dropping-particle":"","family":"Cobb","given":"Paul","non-dropping-particle":"","parse-names":false,"suffix":""},{"dropping-particle":"","family":"Confrey","given":"Jere","non-dropping-particle":"","parse-names":false,"suffix":""},{"dropping-particle":"","family":"Disessa","given":"Andrea","non-dropping-particle":"","parse-names":false,"suffix":""},{"dropping-particle":"","family":"Lehrer","given":"Richard","non-dropping-particle":"","parse-names":false,"suffix":""},{"dropping-particle":"","family":"Schauble","given":"Leona","non-dropping-particle":"","parse-names":false,"suffix":""}],"container-title":"Educational Researcher","id":"ITEM-2","issue":"1","issued":{"date-parts":[["2003"]]},"page":"9-13","title":"Design Experiments in Educational Research","type":"article-journal","volume":"32"},"uris":["http://www.mendeley.com/documents/?uuid=08ff44a2-ac79-4703-bd67-cf31ab07f305"]}],"mendeley":{"formattedCitation":"(Cobb &lt;i&gt;et al.&lt;/i&gt;, 2003; Plomp and Nieveen, 2010)","plainTextFormattedCitation":"(Cobb et al., 2003; Plomp and Nieveen, 2010)","previouslyFormattedCitation":"(Cobb &lt;i&gt;et al.&lt;/i&gt;, 2003; Plomp and Nieveen, 2010)"},"properties":{"noteIndex":0},"schema":"https://github.com/citation-style-language/schema/raw/master/csl-citation.json"}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(Cobb </w:t>
      </w:r>
      <w:r w:rsidRPr="00AE2080">
        <w:rPr>
          <w:rFonts w:ascii="Arial" w:hAnsi="Arial" w:cs="Arial"/>
          <w:i/>
          <w:noProof/>
          <w:sz w:val="24"/>
          <w:szCs w:val="24"/>
        </w:rPr>
        <w:t>et al.</w:t>
      </w:r>
      <w:r w:rsidRPr="00AE2080">
        <w:rPr>
          <w:rFonts w:ascii="Arial" w:hAnsi="Arial" w:cs="Arial"/>
          <w:noProof/>
          <w:sz w:val="24"/>
          <w:szCs w:val="24"/>
        </w:rPr>
        <w:t>, 2003; Plomp and Nieveen, 2010)</w:t>
      </w:r>
      <w:r w:rsidRPr="00AE2080">
        <w:rPr>
          <w:rFonts w:ascii="Arial" w:hAnsi="Arial" w:cs="Arial"/>
          <w:sz w:val="24"/>
          <w:szCs w:val="24"/>
        </w:rPr>
        <w:fldChar w:fldCharType="end"/>
      </w:r>
      <w:r w:rsidRPr="00AE2080">
        <w:rPr>
          <w:rFonts w:ascii="Arial" w:hAnsi="Arial" w:cs="Arial"/>
          <w:sz w:val="24"/>
          <w:szCs w:val="24"/>
        </w:rPr>
        <w:t xml:space="preserve">. The data obtained from the expert interviews is further expertise with the ethos of EBVP and DBR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author":[{"dropping-particle":"","family":"Ragan","given":"Kari","non-dropping-particle":"","parse-names":false,"suffix":""},{"dropping-particle":"","family":"Maxfield","given":"Lynn","non-dropping-particle":"","parse-names":false,"suffix":""}],"container-title":"Journal of Singing","id":"ITEM-1","issue":"4","issued":{"date-parts":[["2021"]]},"page":"543-547","title":"Evidence-Based Voice Pedagogy (EBVP), Part 1: Voice Research Component MINDFUL VOICE","type":"article-journal","volume":"77"},"uris":["http://www.mendeley.com/documents/?uuid=ddb037f3-69bf-41ee-8534-060fb40556f4"]},{"id":"ITEM-2","itemData":{"DOI":"10.53830/xjox9734","ISSN":"10867732","author":[{"dropping-particle":"","family":"Bozeman","given":"Kenneth","non-dropping-particle":"","parse-names":false,"suffix":""},{"dropping-particle":"","family":"Ragan","given":"Kari","non-dropping-particle":"","parse-names":false,"suffix":""}],"container-title":"Journal of Singing","id":"ITEM-2","issue":"3","issued":{"date-parts":[["2021"]]},"page":"389-393","title":"Evidence-Based Voice Pedagogy (EBVP), Part 2: Voice Teacher Expertise and Experience","type":"article-journal","volume":"78"},"uris":["http://www.mendeley.com/documents/?uuid=81c23a1d-5fc4-4362-b522-15eb58b01785"]},{"id":"ITEM-3","itemData":{"DOI":"10.53830/logc7063","ISSN":"10867732","author":[{"dropping-particle":"","family":"Helding","given":"Lynn","non-dropping-particle":"","parse-names":false,"suffix":""},{"dropping-particle":"","family":"Ragan","given":"Kari","non-dropping-particle":"","parse-names":false,"suffix":""}],"container-title":"Journal of Singing","id":"ITEM-3","issue":"5","issued":{"date-parts":[["2022"]]},"page":"635-640","title":"Evidence-Based Voice Pedagogy (EBVP), Part 3: Student Goals and Perspectives","type":"article-journal","volume":"78"},"uris":["http://www.mendeley.com/documents/?uuid=f77b2c75-21fd-413f-badf-fe2971b5f8ec"]},{"id":"ITEM-4","itemData":{"abstract":"The authors argue that design-based research, which blends empir- ical educational research with the theory-driven design of learning environments, is an important methodology for understanding how, when, and why educational innovations work in practice. Design- based researchers’ innovations embody specific theoretical claims about teaching and learning, and help us understand the relationships among educational theory, designed artifact, and practice. Design is central in efforts to foster learning, create usable knowledge, and ad- vance theories of learning and teaching in complex settings. Design- based research also may contribute to the growth of human capacity for subsequent educational reform","author":[{"dropping-particle":"","family":"Hoadley","given":"Christopher","non-dropping-particle":"","parse-names":false,"suffix":""},{"dropping-particle":"","family":"Baumgartner","given":"Eric","non-dropping-particle":"","parse-names":false,"suffix":""},{"dropping-particle":"","family":"Bell","given":"Philip","non-dropping-particle":"","parse-names":false,"suffix":""},{"dropping-particle":"","family":"Hsi","given":"Sherry","non-dropping-particle":"","parse-names":false,"suffix":""},{"dropping-particle":"","family":"Joseph","given":"Diana","non-dropping-particle":"","parse-names":false,"suffix":""},{"dropping-particle":"","family":"Orrill","given":"Chandra","non-dropping-particle":"","parse-names":false,"suffix":""},{"dropping-particle":"","family":"Puntambekar","given":"Sadhana","non-dropping-particle":"","parse-names":false,"suffix":""},{"dropping-particle":"","family":"Sandoval","given":"William","non-dropping-particle":"","parse-names":false,"suffix":""},{"dropping-particle":"","family":"Tabak","given":"Iris","non-dropping-particle":"","parse-names":false,"suffix":""}],"container-title":"Educational Researcher","id":"ITEM-4","issue":"1","issued":{"date-parts":[["2002"]]},"page":"5-8","title":"Design-Based Research: An Emerging Paradigm for Educational Inquiry","type":"article-journal","volume":"32"},"uris":["http://www.mendeley.com/documents/?uuid=b43c7288-c64a-424e-bb77-bf33da21147a"]},{"id":"ITEM-5","itemData":{"ISBN":"978-90-329-2329-7","abstract":"Edited Book","author":[{"dropping-particle":"","family":"Plomp","given":"T","non-dropping-particle":"","parse-names":false,"suffix":""},{"dropping-particle":"","family":"Nieveen","given":"N M","non-dropping-particle":"","parse-names":false,"suffix":""}],"id":"ITEM-5","issued":{"date-parts":[["2010"]]},"title":"An introduction to educational design research","type":"article-journal"},"uris":["http://www.mendeley.com/documents/?uuid=3d903e11-a75e-401c-b864-4f301aac1ac9"]}],"mendeley":{"formattedCitation":"(Hoadley &lt;i&gt;et al.&lt;/i&gt;, 2002; Plomp and Nieveen, 2010; Bozeman and Ragan, 2021; Ragan and Maxfield, 2021; Helding and Ragan, 2022)","plainTextFormattedCitation":"(Hoadley et al., 2002; Plomp and Nieveen, 2010; Bozeman and Ragan, 2021; Ragan and Maxfield, 2021; Helding and Ragan, 2022)","previouslyFormattedCitation":"(Hoadley &lt;i&gt;et al.&lt;/i&gt;, 2002; Plomp and Nieveen, 2010; Bozeman and Ragan, 2021; Ragan and Maxfield, 2021; Helding and Ragan, 2022)"},"properties":{"noteIndex":0},"schema":"https://github.com/citation-style-language/schema/raw/master/csl-citation.json"}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(Hoadley </w:t>
      </w:r>
      <w:r w:rsidRPr="00AE2080">
        <w:rPr>
          <w:rFonts w:ascii="Arial" w:hAnsi="Arial" w:cs="Arial"/>
          <w:i/>
          <w:noProof/>
          <w:sz w:val="24"/>
          <w:szCs w:val="24"/>
        </w:rPr>
        <w:t>et al.</w:t>
      </w:r>
      <w:r w:rsidRPr="00AE2080">
        <w:rPr>
          <w:rFonts w:ascii="Arial" w:hAnsi="Arial" w:cs="Arial"/>
          <w:noProof/>
          <w:sz w:val="24"/>
          <w:szCs w:val="24"/>
        </w:rPr>
        <w:t xml:space="preserve">, 2002; Plomp and Nieveen, 2010; Bozeman and Ragan, 2021; Ragan and Maxfield, 2021; Helding and </w:t>
      </w:r>
      <w:r w:rsidRPr="00AE2080">
        <w:rPr>
          <w:rFonts w:ascii="Arial" w:hAnsi="Arial" w:cs="Arial"/>
          <w:noProof/>
          <w:sz w:val="24"/>
          <w:szCs w:val="24"/>
        </w:rPr>
        <w:lastRenderedPageBreak/>
        <w:t>Ragan, 2022)</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eastAsia="Times New Roman" w:hAnsi="Arial" w:cs="Arial"/>
          <w:sz w:val="24"/>
          <w:szCs w:val="24"/>
          <w:lang w:eastAsia="en-GB"/>
        </w:rPr>
        <w:t>Reflecting on the study and its impact on my CPD leaves me with a clearer sense of how important collaboration is for any learning.</w:t>
      </w:r>
    </w:p>
    <w:p w14:paraId="72800F6E" w14:textId="080E4092" w:rsidR="00830195" w:rsidRPr="00AE2080" w:rsidRDefault="00830195" w:rsidP="00AE2080">
      <w:pPr>
        <w:spacing w:line="360" w:lineRule="auto"/>
        <w:jc w:val="both"/>
        <w:rPr>
          <w:rFonts w:ascii="Arial" w:hAnsi="Arial" w:cs="Arial"/>
          <w:sz w:val="24"/>
          <w:szCs w:val="24"/>
        </w:rPr>
      </w:pPr>
      <w:r w:rsidRPr="00AE2080">
        <w:rPr>
          <w:rFonts w:ascii="Arial" w:eastAsia="Times New Roman" w:hAnsi="Arial" w:cs="Arial"/>
          <w:sz w:val="24"/>
          <w:szCs w:val="24"/>
          <w:lang w:eastAsia="en-GB"/>
        </w:rPr>
        <w:t xml:space="preserve">The </w:t>
      </w:r>
      <w:r w:rsidRPr="00AE2080">
        <w:rPr>
          <w:rFonts w:ascii="Arial" w:eastAsia="Times New Roman" w:hAnsi="Arial" w:cs="Arial"/>
          <w:b/>
          <w:bCs/>
          <w:i/>
          <w:iCs/>
          <w:sz w:val="24"/>
          <w:szCs w:val="24"/>
          <w:lang w:eastAsia="en-GB"/>
        </w:rPr>
        <w:t>creation of themes</w:t>
      </w:r>
      <w:r w:rsidRPr="00AE2080">
        <w:rPr>
          <w:rFonts w:ascii="Arial" w:eastAsia="Times New Roman" w:hAnsi="Arial" w:cs="Arial"/>
          <w:sz w:val="24"/>
          <w:szCs w:val="24"/>
          <w:lang w:eastAsia="en-GB"/>
        </w:rPr>
        <w:t xml:space="preserve"> when analysing the data was</w:t>
      </w:r>
      <w:r w:rsidRPr="00AE2080">
        <w:rPr>
          <w:rFonts w:ascii="Arial" w:eastAsia="Times New Roman" w:hAnsi="Arial" w:cs="Arial"/>
          <w:i/>
          <w:iCs/>
          <w:sz w:val="24"/>
          <w:szCs w:val="24"/>
          <w:lang w:eastAsia="en-GB"/>
        </w:rPr>
        <w:t xml:space="preserve"> ‘responsive to the purpose of the research’</w:t>
      </w:r>
      <w:r w:rsidRPr="00AE2080">
        <w:rPr>
          <w:rFonts w:ascii="Arial" w:eastAsia="Times New Roman" w:hAnsi="Arial" w:cs="Arial"/>
          <w:sz w:val="24"/>
          <w:szCs w:val="24"/>
          <w:lang w:eastAsia="en-GB"/>
        </w:rPr>
        <w:t xml:space="preserve"> and to the data itself </w:t>
      </w:r>
      <w:r w:rsidRPr="00AE2080">
        <w:rPr>
          <w:rFonts w:ascii="Arial" w:eastAsia="Times New Roman" w:hAnsi="Arial" w:cs="Arial"/>
          <w:sz w:val="24"/>
          <w:szCs w:val="24"/>
          <w:lang w:eastAsia="en-GB"/>
        </w:rPr>
        <w:fldChar w:fldCharType="begin" w:fldLock="1"/>
      </w:r>
      <w:r w:rsidRPr="00AE2080">
        <w:rPr>
          <w:rFonts w:ascii="Arial" w:eastAsia="Times New Roman" w:hAnsi="Arial" w:cs="Arial"/>
          <w:sz w:val="24"/>
          <w:szCs w:val="24"/>
          <w:lang w:eastAsia="en-GB"/>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Health","id":"ITEM-2","issue":"4","issued":{"date-parts":[["2019"]]},"page":"589-597","publisher":"Routledge","title":"Reflecting on reflexive thematic analysis","type":"article-journal","volume":"11"},"uris":["http://www.mendeley.com/documents/?uuid=e24d767a-9c14-4ae2-b026-6f8fa0177c0e"]}],"mendeley":{"formattedCitation":"(Merriam and Tisdell, 2016; Braun and Clarke, 2019)","plainTextFormattedCitation":"(Merriam and Tisdell, 2016; Braun and Clarke, 2019)","previouslyFormattedCitation":"(Merriam and Tisdell, 2016; Braun and Clarke, 2019)"},"properties":{"noteIndex":0},"schema":"https://github.com/citation-style-language/schema/raw/master/csl-citation.json"}</w:instrText>
      </w:r>
      <w:r w:rsidRPr="00AE2080">
        <w:rPr>
          <w:rFonts w:ascii="Arial" w:eastAsia="Times New Roman" w:hAnsi="Arial" w:cs="Arial"/>
          <w:sz w:val="24"/>
          <w:szCs w:val="24"/>
          <w:lang w:eastAsia="en-GB"/>
        </w:rPr>
        <w:fldChar w:fldCharType="separate"/>
      </w:r>
      <w:r w:rsidRPr="00AE2080">
        <w:rPr>
          <w:rFonts w:ascii="Arial" w:eastAsia="Times New Roman" w:hAnsi="Arial" w:cs="Arial"/>
          <w:noProof/>
          <w:sz w:val="24"/>
          <w:szCs w:val="24"/>
          <w:lang w:eastAsia="en-GB"/>
        </w:rPr>
        <w:t>(Merriam and Tisdell, 2016; Braun and Clarke, 2019)</w:t>
      </w:r>
      <w:r w:rsidRPr="00AE2080">
        <w:rPr>
          <w:rFonts w:ascii="Arial" w:eastAsia="Times New Roman" w:hAnsi="Arial" w:cs="Arial"/>
          <w:sz w:val="24"/>
          <w:szCs w:val="24"/>
          <w:lang w:eastAsia="en-GB"/>
        </w:rPr>
        <w:fldChar w:fldCharType="end"/>
      </w:r>
      <w:r w:rsidRPr="00AE2080">
        <w:rPr>
          <w:rFonts w:ascii="Arial" w:eastAsia="Times New Roman" w:hAnsi="Arial" w:cs="Arial"/>
          <w:sz w:val="24"/>
          <w:szCs w:val="24"/>
          <w:lang w:eastAsia="en-GB"/>
        </w:rPr>
        <w:t xml:space="preserve">. The process of </w:t>
      </w:r>
      <w:r w:rsidR="00083C2D">
        <w:rPr>
          <w:rFonts w:ascii="Arial" w:eastAsia="Times New Roman" w:hAnsi="Arial" w:cs="Arial"/>
          <w:sz w:val="24"/>
          <w:szCs w:val="24"/>
          <w:lang w:eastAsia="en-GB"/>
        </w:rPr>
        <w:t>TA</w:t>
      </w:r>
      <w:r w:rsidRPr="00AE2080">
        <w:rPr>
          <w:rFonts w:ascii="Arial" w:eastAsia="Times New Roman" w:hAnsi="Arial" w:cs="Arial"/>
          <w:sz w:val="24"/>
          <w:szCs w:val="24"/>
          <w:lang w:eastAsia="en-GB"/>
        </w:rPr>
        <w:t xml:space="preserve"> maintain</w:t>
      </w:r>
      <w:r w:rsidR="0046794B">
        <w:rPr>
          <w:rFonts w:ascii="Arial" w:eastAsia="Times New Roman" w:hAnsi="Arial" w:cs="Arial"/>
          <w:sz w:val="24"/>
          <w:szCs w:val="24"/>
          <w:lang w:eastAsia="en-GB"/>
        </w:rPr>
        <w:t>ed</w:t>
      </w:r>
      <w:r w:rsidRPr="00AE2080">
        <w:rPr>
          <w:rFonts w:ascii="Arial" w:eastAsia="Times New Roman" w:hAnsi="Arial" w:cs="Arial"/>
          <w:sz w:val="24"/>
          <w:szCs w:val="24"/>
          <w:lang w:eastAsia="en-GB"/>
        </w:rPr>
        <w:t xml:space="preserve"> my reflexivity through its aims of balancing data analysis and researcher creativity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{"citationItems":[{"id":"ITEM-1","itemData":{"DOI":"10.1080/2159676X.2019.1628806","ISSN":"1939845X","abstract":"Since initially writing on thematic analysis in 2006, the popularity of the method we outlined has exploded, the variety of TA approaches have expanded, and, not least, our thinking has developed and shifted. In this reflexive commentary, we look back at some of the unspoken assumptions that informed how we wrote our 2006 paper. We connect some of these un-identified assumptions, and developments in the method over the years, with some conceptual mismatches and confusions we see in published TA studies. In order to facilitate better TA practice, we reflect on how our thinking has evolved–and in some cases sedimented–since the publication of our 2006 paper, and clarify and revise some of the ways we phrased or conceptualised TA, and the elements of, and processes around, a method we now prefer to call reflexive TA.","author":[{"dropping-particle":"","family":"Braun","given":"Virginia","non-dropping-particle":"","parse-names":false,"suffix":""},{"dropping-particle":"","family":"Clarke","given":"Victoria","non-dropping-particle":"","parse-names":false,"suffix":""}],"container-title":"Qualitative Research in Sport, Exercise and Health","id":"ITEM-1","issue":"4","issued":{"date-parts":[["2019"]]},"page":"589-597","publisher":"Routledge","title":"Reflecting on reflexive thematic analysis","type":"article-journal","volume":"11"},"uris":["http://www.mendeley.com/documents/?uuid=e24d767a-9c14-4ae2-b026-6f8fa0177c0e"]},{"id":"ITEM-2","itemData":{"DOI":"10.1191/1478088706qp063oa","ISSN":"14780887","abstract":"Thematic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author":[{"dropping-particle":"","family":"Braun","given":"Virginia","non-dropping-particle":"","parse-names":false,"suffix":""},{"dropping-particle":"","family":"Clarke","given":"Victoria","non-dropping-particle":"","parse-names":false,"suffix":""}],"container-title":"Qualitative Research in Psychology","id":"ITEM-2","issue":"2","issued":{"date-parts":[["2006"]]},"note":"Highlights by: Doc page - Journal page - Topic\n\np3 - p78 Foundational method\np3 - p78 - Epistomological approach\np6 - p81 &amp;quot; &amp;quot; yellow\np6 - p81 &amp;quot; &amp;quot; green\np4 - p79 - Importance of how research is done\np5 - p80 Researcher activer in finding themes (not emerging-passive)\np5 - p80 Researcher position and decisions in the process\n\nTheme - \np7 - p82 theme definition yellow, how many instances to qualify (not defined), \np7 - p82 - researcher judgemnt required\np7 - p82 - prevelence of a theme is not essential yellow\np8 - p83 - Inductive approach \n\nDefinitions:\np4 - p79 - Thematic analysis - Pink highlight\np4 - p79 - Corpus - all data collected for a a project\np4 - p79 Data set - all the data from the corpus being used for a particular analysis\np4 - p79 Data item - each idiviual pice of data collected to form the corpus (i.e. each article)\np4 - p79 Extract - coded chonk of data taken from an extract\np7 - p82 theme definition yellow","page":"77-101","title":"Using thematic analysis in psychology","type":"article-journal","volume":"3"},"uris":["http://www.mendeley.com/documents/?uuid=d79a4bb1-1383-4be0-9dfb-77bad2f80283"]}],"mendeley":{"formattedCitation":"(Braun and Clarke, 2006, 2019)","plainTextFormattedCitation":"(Braun and Clarke, 2006, 2019)","previouslyFormattedCitation":"(Braun and Clarke, 2006, 2019)"},"properties":{"noteIndex":0},"schema":"https://github.com/citation-style-language/schema/raw/master/csl-citation.json"}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(Braun and Clarke, 2006, 2019)</w:t>
      </w:r>
      <w:r w:rsidRPr="00AE2080">
        <w:rPr>
          <w:rFonts w:ascii="Arial" w:hAnsi="Arial" w:cs="Arial"/>
          <w:sz w:val="24"/>
          <w:szCs w:val="24"/>
        </w:rPr>
        <w:fldChar w:fldCharType="end"/>
      </w:r>
      <w:r w:rsidRPr="00AE2080">
        <w:rPr>
          <w:rFonts w:ascii="Arial" w:hAnsi="Arial" w:cs="Arial"/>
          <w:sz w:val="24"/>
          <w:szCs w:val="24"/>
        </w:rPr>
        <w:t xml:space="preserve">. It is inevitable that I will be ‘in the research’ as much as the participants involved in the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{"citationItems":[{"id":"ITEM-1","itemData":{"author":[{"dropping-particle":"","family":"Walliman","given":"N","non-dropping-particle":"","parse-names":false,"suffix":""}],"id":"ITEM-1","issued":{"date-parts":[["2001"]]},"publisher":"SAGE Publications Ltd","publisher-place":"London","title":"Your Rersearch Project","type":"book"},"uris":["http://www.mendeley.com/documents/?uuid=020a350b-5fff-49ba-be66-90689c5d657b"]},{"id":"ITEM-2","itemData":{"abstract":"In this article the authors discuss issues faced by early career researchers, including the dichotomy, which many research textbooks and journal articles create and perpetuate between qualitative and quantitative research methodology despite considerable literature to support the use of mixed methods. The authors review current research literature and discuss some of the language, which can prove confusing to the early career researcher and problematic for postgraduate supervisors and teachers of research. The authors argue that discussions of research methods in research texts and university courses should include mixed methods and should address the perceived dichotomy between qualitative and quantitative research methodology.","author":[{"dropping-particle":"","family":"Mackenzie","given":"Noella","non-dropping-particle":"","parse-names":false,"suffix":""},{"dropping-particle":"","family":"Knipe","given":"Sally","non-dropping-particle":"","parse-names":false,"suffix":""}],"container-title":"Issues In Educational Research","id":"ITEM-2","issued":{"date-parts":[["2006"]]},"page":"193-205","title":"Research dilemmas: Paradigms, methods and methodology [Electronic Version]","type":"article-journal","volume":"16"},"uris":["http://www.mendeley.com/documents/?uuid=ffa17eed-0ac5-4128-b5f5-22e258f2620a"]}],"mendeley":{"formattedCitation":"(Walliman, 2001; Mackenzie and Knipe, 2006)","plainTextFormattedCitation":"(Walliman, 2001; Mackenzie and Knipe, 2006)","previouslyFormattedCitation":"(Walliman, 2001; Mackenzie and Knipe, 2006)"},"properties":{"noteIndex":0},"schema":"https://github.com/citation-style-language/schema/raw/master/csl-citation.json"}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(Walliman, 2001; Mackenzie and Knipe, 2006)</w:t>
      </w:r>
      <w:r w:rsidRPr="00AE2080">
        <w:rPr>
          <w:rFonts w:ascii="Arial" w:hAnsi="Arial" w:cs="Arial"/>
          <w:sz w:val="24"/>
          <w:szCs w:val="24"/>
        </w:rPr>
        <w:fldChar w:fldCharType="end"/>
      </w:r>
      <w:r w:rsidRPr="00AE2080">
        <w:rPr>
          <w:rFonts w:ascii="Arial" w:hAnsi="Arial" w:cs="Arial"/>
          <w:sz w:val="24"/>
          <w:szCs w:val="24"/>
        </w:rPr>
        <w:t xml:space="preserve">. </w:t>
      </w:r>
      <w:r w:rsidRPr="00AE2080">
        <w:rPr>
          <w:rFonts w:ascii="Arial" w:hAnsi="Arial" w:cs="Arial"/>
          <w:color w:val="000000"/>
          <w:sz w:val="24"/>
          <w:szCs w:val="24"/>
        </w:rPr>
        <w:t>Critical reflection was embedded throughout the study which allowed me to consider and evaluate</w:t>
      </w:r>
      <w:r w:rsidR="00F91E18">
        <w:rPr>
          <w:rFonts w:ascii="Arial" w:hAnsi="Arial" w:cs="Arial"/>
          <w:color w:val="000000"/>
          <w:sz w:val="24"/>
          <w:szCs w:val="24"/>
        </w:rPr>
        <w:t xml:space="preserve"> the</w:t>
      </w:r>
      <w:r w:rsidRPr="00AE2080">
        <w:rPr>
          <w:rFonts w:ascii="Arial" w:hAnsi="Arial" w:cs="Arial"/>
          <w:color w:val="000000"/>
          <w:sz w:val="24"/>
          <w:szCs w:val="24"/>
        </w:rPr>
        <w:t xml:space="preserve"> </w:t>
      </w:r>
      <w:r w:rsidR="00F91E18" w:rsidRPr="00AE2080">
        <w:rPr>
          <w:rFonts w:ascii="Arial" w:hAnsi="Arial" w:cs="Arial"/>
          <w:color w:val="000000"/>
          <w:sz w:val="24"/>
          <w:szCs w:val="24"/>
        </w:rPr>
        <w:t xml:space="preserve">relevance </w:t>
      </w:r>
      <w:r w:rsidR="00C11D21">
        <w:rPr>
          <w:rFonts w:ascii="Arial" w:hAnsi="Arial" w:cs="Arial"/>
          <w:color w:val="000000"/>
          <w:sz w:val="24"/>
          <w:szCs w:val="24"/>
        </w:rPr>
        <w:t xml:space="preserve">of </w:t>
      </w:r>
      <w:r w:rsidRPr="00AE2080">
        <w:rPr>
          <w:rFonts w:ascii="Arial" w:hAnsi="Arial" w:cs="Arial"/>
          <w:color w:val="000000"/>
          <w:sz w:val="24"/>
          <w:szCs w:val="24"/>
        </w:rPr>
        <w:t xml:space="preserve">outcomes to my CPD and future teaching practice </w:t>
      </w:r>
      <w:r w:rsidRPr="00AE2080">
        <w:rPr>
          <w:rFonts w:ascii="Arial" w:hAnsi="Arial" w:cs="Arial"/>
          <w:color w:val="000000"/>
          <w:sz w:val="24"/>
          <w:szCs w:val="24"/>
        </w:rPr>
        <w:fldChar w:fldCharType="begin" w:fldLock="1"/>
      </w:r>
      <w:r w:rsidRPr="00AE2080">
        <w:rPr>
          <w:rFonts w:ascii="Arial" w:hAnsi="Arial" w:cs="Arial"/>
          <w:color w:val="000000"/>
          <w:sz w:val="24"/>
          <w:szCs w:val="24"/>
        </w:rPr>
        <w:instrText>ADDIN CSL_CITATION {"citationItems":[{"id":"ITEM-1","itemData":{"abstract":"Gibbs’ reflective cycle encourages you to think systematically about the phases of an experience or activity, and you should use all the headings to structure your reflection. See how we have used Gibbs' reflective cycle in our Health Visitor example . Forgotten the Health Visitor example?","author":[{"dropping-particle":"","family":"Gibbs","given":"","non-dropping-particle":"","parse-names":false,"suffix":""}],"container-title":"Academic Liasion, Employability and Skills (ALES)","id":"ITEM-1","issued":{"date-parts":[["1988"]]},"page":"1-4","title":"Reflective Cycle","type":"article-journal"},"uris":["http://www.mendeley.com/documents/?uuid=8e782df3-33a2-47fc-a950-29df34aeee74"]},{"id":"ITEM-2","itemData":{"author":[{"dropping-particle":"","family":"Lia","given":"Peter","non-dropping-particle":"","parse-names":false,"suffix":""}],"container-title":"Learning Support Tutor: Disability Advisory Service: KCL","id":"ITEM-2","issued":{"date-parts":[["1988"]]},"page":"1-5","title":"Using Gibbs ’ Reflective Cycle","type":"article-journal"},"uris":["http://www.mendeley.com/documents/?uuid=9495c23d-f300-4183-ac00-72dd1475e005"]},{"id":"ITEM-3","itemData":{"DOI":"10.4324/9780429455407-25","abstract":"Infection of sheep with Brucella ovis results in ovine brucellosis, a disease characterized by infertility in rams, abortion in ewes and increased perinatal mortality in lambs. During the course of the infection both the ovine immune response and host cell gene expression are modified. The objective of this research was to conduct a preliminary characterization of differential gene expression in rams experimentally infected with B. ovis by microarray hybridization and real-time RT-PCR. Of the 600 ruminant inflammatory and immune response genes that were analyzed in the microarray, 20 and 14 genes displayed an expression fold change &gt;1.75 with a P-value &lt;0.05 at 15 and 60 days post-challenge (dpc), respectively. Of these genes, 16 were upregulated and 4 were downregulated in infected rams at 15 dpc. At 60 dpc, 11 and 3 genes were up- and down-regulated in infected rams, respectively. Only four genes, desmoglein, epithelial sodium channel, alpha subunit (ENaC-alpha), interleukin 18 binding protein (IL18BP) and macrophage migration inhibition factor (MIF) were found upregulated in infected rams at both 15 and 60 dpc. The analysis of differentially expressed genes demonstrated activation of inflammatory and innate immune pathways in infected animals. B. ovis infection also resulted in upregulation of genes involved in phagocytosis and downregulation of protective host defense mechanisms, both of which may contribute to the chronicity of B. ovis infection. The gene expression profiles differed between rams with severe and moderate B. ovis infection. This is the first analysis of differential gene expression in rough brucellae and particularly in B. ovis-infected rams. The characterization of the genes and their expression profiles in response to B. ovis infection further contributes to our understanding of the molecular mechanisms of infection and the pathogenesis of brucellosis. ¬© 2008 Elsevier B.V. All rights reserved.","author":[{"dropping-particle":"","family":"Middleton","given":"Tristan","non-dropping-particle":"","parse-names":false,"suffix":""},{"dropping-particle":"","family":"Kay","given":"Lynda","non-dropping-particle":"","parse-names":false,"suffix":""},{"dropping-particle":"","family":"Middleton","given":"Tristan","non-dropping-particle":"","parse-names":false,"suffix":""},{"dropping-particle":"","family":"Kay","given":"Lynda","non-dropping-particle":"","parse-names":false,"suffix":""}],"container-title":"Using an Inclusive Approach to Reduce School Exclusion","id":"ITEM-3","issued":{"date-parts":[["2019"]]},"page":"199-208","title":"Framework for Reflection","type":"article-journal"},"uris":["http://www.mendeley.com/documents/?uuid=1e064446-beeb-49e6-84a3-bc56fc841d2f"]}],"mendeley":{"formattedCitation":"(Gibbs, 1988; Lia, 1988; Middleton &lt;i&gt;et al.&lt;/i&gt;, 2019)","plainTextFormattedCitation":"(Gibbs, 1988; Lia, 1988; Middleton et al., 2019)","previouslyFormattedCitation":"(Gibbs, 1988; Lia, 1988; Middleton &lt;i&gt;et al.&lt;/i&gt;, 2019)"},"properties":{"noteIndex":0},"schema":"https://github.com/citation-style-language/schema/raw/master/csl-citation.json"}</w:instrText>
      </w:r>
      <w:r w:rsidRPr="00AE2080">
        <w:rPr>
          <w:rFonts w:ascii="Arial" w:hAnsi="Arial" w:cs="Arial"/>
          <w:color w:val="000000"/>
          <w:sz w:val="24"/>
          <w:szCs w:val="24"/>
        </w:rPr>
        <w:fldChar w:fldCharType="separate"/>
      </w:r>
      <w:r w:rsidRPr="00AE2080">
        <w:rPr>
          <w:rFonts w:ascii="Arial" w:hAnsi="Arial" w:cs="Arial"/>
          <w:noProof/>
          <w:color w:val="000000"/>
          <w:sz w:val="24"/>
          <w:szCs w:val="24"/>
        </w:rPr>
        <w:t xml:space="preserve">(Gibbs, 1988; Lia, 1988; Middleton </w:t>
      </w:r>
      <w:r w:rsidRPr="00AE2080">
        <w:rPr>
          <w:rFonts w:ascii="Arial" w:hAnsi="Arial" w:cs="Arial"/>
          <w:i/>
          <w:noProof/>
          <w:color w:val="000000"/>
          <w:sz w:val="24"/>
          <w:szCs w:val="24"/>
        </w:rPr>
        <w:t>et al.</w:t>
      </w:r>
      <w:r w:rsidRPr="00AE2080">
        <w:rPr>
          <w:rFonts w:ascii="Arial" w:hAnsi="Arial" w:cs="Arial"/>
          <w:noProof/>
          <w:color w:val="000000"/>
          <w:sz w:val="24"/>
          <w:szCs w:val="24"/>
        </w:rPr>
        <w:t>, 2019)</w:t>
      </w:r>
      <w:r w:rsidRPr="00AE2080">
        <w:rPr>
          <w:rFonts w:ascii="Arial" w:hAnsi="Arial" w:cs="Arial"/>
          <w:color w:val="000000"/>
          <w:sz w:val="24"/>
          <w:szCs w:val="24"/>
        </w:rPr>
        <w:fldChar w:fldCharType="end"/>
      </w:r>
      <w:r w:rsidRPr="00AE2080">
        <w:rPr>
          <w:rFonts w:ascii="Arial" w:hAnsi="Arial" w:cs="Arial"/>
          <w:color w:val="000000"/>
          <w:sz w:val="24"/>
          <w:szCs w:val="24"/>
        </w:rPr>
        <w:t xml:space="preserve">. </w:t>
      </w:r>
      <w:r w:rsidRPr="00AE2080">
        <w:rPr>
          <w:rFonts w:ascii="Arial" w:hAnsi="Arial" w:cs="Arial"/>
          <w:sz w:val="24"/>
          <w:szCs w:val="24"/>
        </w:rPr>
        <w:t xml:space="preserve">Triangulation, respondent checks, data engagement, and the audit trail of this study aimed to promote reliability and validity in the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2016)","plainTextFormattedCitation":"(Merriam and Tisdell, 2016)","previouslyFormattedCitation":"(Merriam and Tisdell,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(Merriam and Tisdell, 2016)</w:t>
      </w:r>
      <w:r w:rsidRPr="00AE2080">
        <w:rPr>
          <w:rFonts w:ascii="Arial" w:hAnsi="Arial" w:cs="Arial"/>
          <w:sz w:val="24"/>
          <w:szCs w:val="24"/>
        </w:rPr>
        <w:fldChar w:fldCharType="end"/>
      </w:r>
      <w:r w:rsidRPr="00AE2080">
        <w:rPr>
          <w:rFonts w:ascii="Arial" w:hAnsi="Arial" w:cs="Arial"/>
          <w:sz w:val="24"/>
          <w:szCs w:val="24"/>
        </w:rPr>
        <w:t xml:space="preserve">. The methodology includes measures for ensuring reliability and validity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{"citationItems":[{"id":"ITEM-1","itemData":{"DOI":"10.1177/160940690200100202","ISSN":"1609-4069","abstract":"The rejection of reliability and validity in qualitative inquiry in the 1980s has resulted in an interesting shift for “ensuring rigor” from the investigator's actions during the course of the research, to the reader or consumer of qualitative inquiry. The emphasis on strategies that are implemented during the research process has been replaced by strategies for evaluating trustworthiness and utility that are implemented once a study is completed. In this article, we argue that reliability and validity remain appropriate concepts for attaining rigor in qualitative research. We argue that qualitative researchers should reclaim responsibility for reliability and validity by implementing verification strategies integral and self-correcting during the conduct of inquiry itself. This ensures the attainment of rigor using strategies inherent within each qualitative design, and moves the responsibility for incorporating and maintaining reliability and validity from external reviewers' judgements to the investigators themselves. Finally, we make a plea for a return to terminology for ensuring rigor that is used by mainstream science.","author":[{"dropping-particle":"","family":"Morse","given":"Janice M.","non-dropping-particle":"","parse-names":false,"suffix":""},{"dropping-particle":"","family":"Barrett","given":"Michael","non-dropping-particle":"","parse-names":false,"suffix":""},{"dropping-particle":"","family":"Mayan","given":"Maria","non-dropping-particle":"","parse-names":false,"suffix":""},{"dropping-particle":"","family":"Olson","given":"Karin","non-dropping-particle":"","parse-names":false,"suffix":""},{"dropping-particle":"","family":"Spiers","given":"Jude","non-dropping-particle":"","parse-names":false,"suffix":""}],"container-title":"International Journal of Qualitative Methods","id":"ITEM-1","issue":"2","issued":{"date-parts":[["2002"]]},"page":"13-22","title":"Verification Strategies for Establishing Reliability and Validity in Qualitative Research","type":"article-journal","volume":"1"},"uris":["http://www.mendeley.com/documents/?uuid=b09e1908-a242-4d86-a329-979c180446a0"]},{"id":"ITEM-2","itemData":{"DOI":"10.4324/9780367854249-4","abstract":"Both qualitative and quantitative paradigms try to find same result; the truth. However, both are often thought as competing paradigms where they take different approaches to establish truth. Reliability and validity are generally considered to be a concern for quantitative research; advocates of quantitative research often describe these issues in great detail in their research. However, in case of qualitative research the role of these dimensions are found to be blurred. Some researchers argue that the tools of reliability and validity are not applicable to qualitative research and they must be geared in a different way to measJre rigor and responsibility of qualitative research. This paper makes an attempt to clarify the meaning and use of reliability and validity in the qualitative research paradigm. It uses the widely accepted constructs proposed by Lincoln and Guba in their seminal work on qualitative paradigm. The paper also explains the techniques that can be used by the investigators to ensure the reliability and validity in a qualitative research.","author":[{"dropping-particle":"","family":"Skinner","given":"James","non-dropping-particle":"","parse-names":false,"suffix":""},{"dropping-particle":"","family":"Edwards","given":"Allan","non-dropping-particle":"","parse-names":false,"suffix":""},{"dropping-particle":"","family":"Smith","given":"Aaron C.T.","non-dropping-particle":"","parse-names":false,"suffix":""}],"container-title":"Qualitative Research in Sport Management","id":"ITEM-2","issue":"October","issued":{"date-parts":[["2020"]]},"page":"71-94","title":"Establishing reliability and validity in qualitative inquiry","type":"article-journal"},"uris":["http://www.mendeley.com/documents/?uuid=5bff18b1-fd22-46c3-9437-19afb475e0ef"]}],"mendeley":{"formattedCitation":"(Morse &lt;i&gt;et al.&lt;/i&gt;, 2002; Skinner, Edwards and Smith, 2020)","plainTextFormattedCitation":"(Morse et al., 2002; Skinner, Edwards and Smith, 2020)","previouslyFormattedCitation":"(Morse &lt;i&gt;et al.&lt;/i&gt;, 2002; Skinner, Edwards and Smith,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(Morse </w:t>
      </w:r>
      <w:r w:rsidRPr="00AE2080">
        <w:rPr>
          <w:rFonts w:ascii="Arial" w:hAnsi="Arial" w:cs="Arial"/>
          <w:i/>
          <w:noProof/>
          <w:sz w:val="24"/>
          <w:szCs w:val="24"/>
        </w:rPr>
        <w:t>et al.</w:t>
      </w:r>
      <w:r w:rsidRPr="00AE2080">
        <w:rPr>
          <w:rFonts w:ascii="Arial" w:hAnsi="Arial" w:cs="Arial"/>
          <w:noProof/>
          <w:sz w:val="24"/>
          <w:szCs w:val="24"/>
        </w:rPr>
        <w:t>, 2002; Skinner, Edwards and Smith, 2020)</w:t>
      </w:r>
      <w:r w:rsidRPr="00AE2080">
        <w:rPr>
          <w:rFonts w:ascii="Arial" w:hAnsi="Arial" w:cs="Arial"/>
          <w:sz w:val="24"/>
          <w:szCs w:val="24"/>
        </w:rPr>
        <w:fldChar w:fldCharType="end"/>
      </w:r>
      <w:r w:rsidRPr="00AE2080">
        <w:rPr>
          <w:rFonts w:ascii="Arial" w:hAnsi="Arial" w:cs="Arial"/>
          <w:sz w:val="24"/>
          <w:szCs w:val="24"/>
        </w:rPr>
        <w:t xml:space="preserve">. The nature of the study, being practitioner-led and qualitative research, means that specific outcomes relating to these singers may not apply in other situations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{"citationItems":[{"id":"ITEM-1","itemData":{"abstract":"The use of reliability and validity are common in quantitative research and now it is reconsidered in the qualitative research paradigm. Since reliability and validity are rooted in positivist perspective then they should be redefined for their use in a naturalistic approach. Like reliability and validity as used in quantitative research are providing springboard to examine what these two terms mean in the qualitative research paradigm, triangulation as used in quantitative research to test the reliability and validity can also illuminate some ways to test or maximize the validity and reliability of a qualitative study. Therefore, reliability, validity and triangulation, if they are relevant research concepts, particularly from a qualitative point of view, have to be redefined in order to reflect the multiple ways of establishing truth","author":[{"dropping-particle":"","family":"Nahid","given":"Golafshani","non-dropping-particle":"","parse-names":false,"suffix":""}],"container-title":"The qualitative report","id":"ITEM-1","issue":"4","issued":{"date-parts":[["2003"]]},"page":"597-607","title":"Understanding reliability and validity in qualitative research","type":"article-journal","volume":"8"},"uris":["http://www.mendeley.com/documents/?uuid=a180943e-b73f-4caf-8303-9397ebd0c183"]}],"mendeley":{"formattedCitation":"(Nahid, 2003)","plainTextFormattedCitation":"(Nahid, 2003)","previouslyFormattedCitation":"(Nahid, 2003)"},"properties":{"noteIndex":0},"schema":"https://github.com/citation-style-language/schema/raw/master/csl-citation.json"}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(Nahid, 2003)</w:t>
      </w:r>
      <w:r w:rsidRPr="00AE2080">
        <w:rPr>
          <w:rFonts w:ascii="Arial" w:hAnsi="Arial" w:cs="Arial"/>
          <w:sz w:val="24"/>
          <w:szCs w:val="24"/>
        </w:rPr>
        <w:fldChar w:fldCharType="end"/>
      </w:r>
      <w:r w:rsidRPr="00AE2080">
        <w:rPr>
          <w:rFonts w:ascii="Arial" w:hAnsi="Arial" w:cs="Arial"/>
          <w:sz w:val="24"/>
          <w:szCs w:val="24"/>
        </w:rPr>
        <w:t xml:space="preserve">. This study was designed </w:t>
      </w:r>
      <w:r w:rsidRPr="00AE2080">
        <w:rPr>
          <w:rFonts w:ascii="Arial" w:hAnsi="Arial" w:cs="Arial"/>
          <w:i/>
          <w:iCs/>
          <w:sz w:val="24"/>
          <w:szCs w:val="24"/>
        </w:rPr>
        <w:t>‘to understand the particular in depth’,</w:t>
      </w:r>
      <w:r w:rsidRPr="00AE2080">
        <w:rPr>
          <w:rFonts w:ascii="Arial" w:hAnsi="Arial" w:cs="Arial"/>
          <w:sz w:val="24"/>
          <w:szCs w:val="24"/>
        </w:rPr>
        <w:t xml:space="preserve"> regarding how to teach belting when the teacher and students are novices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Research","type":"book"},"uris":["http://www.mendeley.com/documents/?uuid=f0a0c8d9-5e9b-48c7-85fc-7981f990d40b"]}],"mendeley":{"formattedCitation":"(Merriam and Tisdell, 2016)","plainTextFormattedCitation":"(Merriam and Tisdell, 2016)","previouslyFormattedCitation":"(Merriam and Tisdell,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(Merriam and Tisdell, 2016)</w:t>
      </w:r>
      <w:r w:rsidRPr="00AE2080">
        <w:rPr>
          <w:rFonts w:ascii="Arial" w:hAnsi="Arial" w:cs="Arial"/>
          <w:sz w:val="24"/>
          <w:szCs w:val="24"/>
        </w:rPr>
        <w:fldChar w:fldCharType="end"/>
      </w:r>
      <w:r w:rsidRPr="00AE2080">
        <w:rPr>
          <w:rFonts w:ascii="Arial" w:hAnsi="Arial" w:cs="Arial"/>
          <w:sz w:val="24"/>
          <w:szCs w:val="24"/>
        </w:rPr>
        <w:t xml:space="preserve">. The outcomes of this study are most likely to have external validity when applied to a singing teacher and students with similar experience and training to those involved in this study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{"citationItems":[{"id":"ITEM-1","itemData":{"DOI":"10.4324/9780367854249-4","abstract":"Both qualitative and quantitative paradigms try to find same result; the truth. However, both are often thought as competing paradigms where they take different approaches to establish truth. Reliability and validity are generally considered to be a concern for quantitative research; advocates of quantitative research often describe these issues in great detail in their research. However, in case of qualitative research the role of these dimensions are found to be blurred. Some researchers argue that the tools of reliability and validity are not applicable to qualitative research and they must be geared in a different way to measJre rigor and responsibility of qualitative research. This paper makes an attempt to clarify the meaning and use of reliability and validity in the qualitative research paradigm. It uses the widely accepted constructs proposed by Lincoln and Guba in their seminal work on qualitative paradigm. The paper also explains the techniques that can be used by the investigators to ensure the reliability and validity in a qualitative research.","author":[{"dropping-particle":"","family":"Skinner","given":"James","non-dropping-particle":"","parse-names":false,"suffix":""},{"dropping-particle":"","family":"Edwards","given":"Allan","non-dropping-particle":"","parse-names":false,"suffix":""},{"dropping-particle":"","family":"Smith","given":"Aaron C.T.","non-dropping-particle":"","parse-names":false,"suffix":""}],"container-title":"Qualitative Research in Sport Management","id":"ITEM-1","issue":"October","issued":{"date-parts":[["2020"]]},"page":"71-94","title":"Establishing reliability and validity in qualitative inquiry","type":"article-journal"},"uris":["http://www.mendeley.com/documents/?uuid=5bff18b1-fd22-46c3-9437-19afb475e0ef"]}],"mendeley":{"formattedCitation":"(Skinner, Edwards and Smith, 2020)","plainTextFormattedCitation":"(Skinner, Edwards and Smith, 2020)","previouslyFormattedCitation":"(Skinner, Edwards and Smith, 2020)"},"properties":{"noteIndex":0},"schema":"https://github.com/citation-style-language/schema/raw/master/csl-citation.json"}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(Skinner, Edwards and Smith, 2020)</w:t>
      </w:r>
      <w:r w:rsidRPr="00AE2080">
        <w:rPr>
          <w:rFonts w:ascii="Arial" w:hAnsi="Arial" w:cs="Arial"/>
          <w:sz w:val="24"/>
          <w:szCs w:val="24"/>
        </w:rPr>
        <w:fldChar w:fldCharType="end"/>
      </w:r>
      <w:r w:rsidRPr="00AE2080">
        <w:rPr>
          <w:rFonts w:ascii="Arial" w:hAnsi="Arial" w:cs="Arial"/>
          <w:sz w:val="24"/>
          <w:szCs w:val="24"/>
        </w:rPr>
        <w:t xml:space="preserve">. Singing teachers can use this study to stimulate their reflections regarding their CPD and make decisions relevant to their situation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Education","id":"ITEM-1","issue":"1","issued":{"date-parts":[["2018"]]},"page":"82-97","title":"Creative Practice as Research: Discourse on Methodology","type":"article-journal","volume":"19"},"uris":["http://www.mendeley.com/documents/?uuid=32a1e4d1-85cb-4454-bb31-9c2f7b1daba3"]},{"id":"ITEM-2","itemData":{"ISBN":"9780335264704","author":[{"dropping-particle":"","family":"Denscombe","given":"Martyn","non-dropping-particle":"","parse-names":false,"suffix":""}],"id":"ITEM-2","issued":{"date-parts":[["2014"]]},"number-of-pages":"278","title":"Open UP Study Skills The Good Research Guide","type":"book"},"uris":["http://www.mendeley.com/documents/?uuid=f0f8632a-34fe-4332-acd9-274e093fbb0b"]},{"id":"ITEM-3","itemData":{"abstract":"Seiring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Documents","edition":"Fourth","id":"ITEM-3","issued":{"date-parts":[["2016"]]},"note":"There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Research","type":"book"},"uris":["http://www.mendeley.com/documents/?uuid=f0a0c8d9-5e9b-48c7-85fc-7981f990d40b"]}],"mendeley":{"formattedCitation":"(Denscombe, 2014; Merriam and Tisdell, 2016; Skains, 2018)","plainTextFormattedCitation":"(Denscombe, 2014; Merriam and Tisdell, 2016; Skains, 2018)","previouslyFormattedCitation":"(Denscombe, 2014; Merriam and Tisdell, 2016; Skains,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(Denscombe, 2014; Merriam and Tisdell, 2016; Skains, 2018)</w:t>
      </w:r>
      <w:r w:rsidRPr="00AE2080">
        <w:rPr>
          <w:rFonts w:ascii="Arial" w:hAnsi="Arial" w:cs="Arial"/>
          <w:sz w:val="24"/>
          <w:szCs w:val="24"/>
        </w:rPr>
        <w:fldChar w:fldCharType="end"/>
      </w:r>
      <w:r w:rsidRPr="00AE2080">
        <w:rPr>
          <w:rFonts w:ascii="Arial" w:hAnsi="Arial" w:cs="Arial"/>
          <w:sz w:val="24"/>
          <w:szCs w:val="24"/>
        </w:rPr>
        <w:t xml:space="preserve">. </w:t>
      </w:r>
    </w:p>
    <w:p w14:paraId="35DCE9EB" w14:textId="12CC1A9E"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Improving my knowledge of CCM techniques throughout this study g</w:t>
      </w:r>
      <w:r w:rsidR="000641BC" w:rsidRPr="00AE2080">
        <w:rPr>
          <w:rFonts w:ascii="Arial" w:hAnsi="Arial" w:cs="Arial"/>
          <w:sz w:val="24"/>
          <w:szCs w:val="24"/>
        </w:rPr>
        <w:t>ave</w:t>
      </w:r>
      <w:r w:rsidRPr="00AE2080">
        <w:rPr>
          <w:rFonts w:ascii="Arial" w:hAnsi="Arial" w:cs="Arial"/>
          <w:sz w:val="24"/>
          <w:szCs w:val="24"/>
        </w:rPr>
        <w:t xml:space="preserve"> me a sense of understanding of belting and </w:t>
      </w:r>
      <w:r w:rsidR="000641BC" w:rsidRPr="00AE2080">
        <w:rPr>
          <w:rFonts w:ascii="Arial" w:hAnsi="Arial" w:cs="Arial"/>
          <w:sz w:val="24"/>
          <w:szCs w:val="24"/>
        </w:rPr>
        <w:t xml:space="preserve">self-efficacy </w:t>
      </w:r>
      <w:r w:rsidRPr="00AE2080">
        <w:rPr>
          <w:rFonts w:ascii="Arial" w:hAnsi="Arial" w:cs="Arial"/>
          <w:sz w:val="24"/>
          <w:szCs w:val="24"/>
        </w:rPr>
        <w:t>when teaching belting</w:t>
      </w:r>
      <w:r w:rsidR="00276360">
        <w:rPr>
          <w:rFonts w:ascii="Arial" w:hAnsi="Arial" w:cs="Arial"/>
          <w:sz w:val="24"/>
          <w:szCs w:val="24"/>
        </w:rPr>
        <w:t xml:space="preserve"> to</w:t>
      </w:r>
      <w:r w:rsidRPr="00AE2080">
        <w:rPr>
          <w:rFonts w:ascii="Arial" w:hAnsi="Arial" w:cs="Arial"/>
          <w:sz w:val="24"/>
          <w:szCs w:val="24"/>
        </w:rPr>
        <w:t xml:space="preserve"> t</w:t>
      </w:r>
      <w:r w:rsidR="000641BC" w:rsidRPr="00AE2080">
        <w:rPr>
          <w:rFonts w:ascii="Arial" w:hAnsi="Arial" w:cs="Arial"/>
          <w:sz w:val="24"/>
          <w:szCs w:val="24"/>
        </w:rPr>
        <w:t>he</w:t>
      </w:r>
      <w:r w:rsidRPr="00AE2080">
        <w:rPr>
          <w:rFonts w:ascii="Arial" w:hAnsi="Arial" w:cs="Arial"/>
          <w:sz w:val="24"/>
          <w:szCs w:val="24"/>
        </w:rPr>
        <w:t xml:space="preserve"> female singers</w:t>
      </w:r>
      <w:r w:rsidR="000641BC" w:rsidRPr="00AE2080">
        <w:rPr>
          <w:rFonts w:ascii="Arial" w:hAnsi="Arial" w:cs="Arial"/>
          <w:sz w:val="24"/>
          <w:szCs w:val="24"/>
        </w:rPr>
        <w:t xml:space="preserve"> in this study</w:t>
      </w:r>
      <w:r w:rsidRPr="00AE2080">
        <w:rPr>
          <w:rFonts w:ascii="Arial" w:hAnsi="Arial" w:cs="Arial"/>
          <w:sz w:val="24"/>
          <w:szCs w:val="24"/>
        </w:rPr>
        <w:t>.</w:t>
      </w:r>
      <w:r w:rsidR="000641BC" w:rsidRPr="00AE2080">
        <w:rPr>
          <w:rFonts w:ascii="Arial" w:hAnsi="Arial" w:cs="Arial"/>
          <w:sz w:val="24"/>
          <w:szCs w:val="24"/>
        </w:rPr>
        <w:t xml:space="preserve"> I feel an increased confidence in my ability to teach belting and CMM techniques.</w:t>
      </w:r>
    </w:p>
    <w:p w14:paraId="57F64260" w14:textId="4CFF6179" w:rsidR="00830195" w:rsidRPr="00AE2080" w:rsidRDefault="00752642" w:rsidP="00AE2080">
      <w:pPr>
        <w:spacing w:line="360" w:lineRule="auto"/>
        <w:jc w:val="both"/>
        <w:rPr>
          <w:rFonts w:ascii="Arial" w:hAnsi="Arial" w:cs="Arial"/>
          <w:b/>
          <w:bCs/>
          <w:sz w:val="24"/>
          <w:szCs w:val="24"/>
        </w:rPr>
      </w:pPr>
      <w:r>
        <w:rPr>
          <w:rFonts w:ascii="Arial" w:hAnsi="Arial" w:cs="Arial"/>
          <w:color w:val="000000"/>
          <w:sz w:val="24"/>
          <w:szCs w:val="24"/>
        </w:rPr>
        <w:t xml:space="preserve">A small-scale qualitative research study, such as this, give a viable starting point for further research into belt training. </w:t>
      </w:r>
      <w:r w:rsidR="00830195" w:rsidRPr="00AE2080">
        <w:rPr>
          <w:rFonts w:ascii="Arial" w:hAnsi="Arial" w:cs="Arial"/>
          <w:color w:val="000000"/>
          <w:sz w:val="24"/>
          <w:szCs w:val="24"/>
        </w:rPr>
        <w:t xml:space="preserve">Broader development of the belt training process would require further research with larger numbers of experts and larger participant numbers to aid </w:t>
      </w:r>
      <w:r w:rsidR="00523824">
        <w:rPr>
          <w:rFonts w:ascii="Arial" w:hAnsi="Arial" w:cs="Arial"/>
          <w:color w:val="000000"/>
          <w:sz w:val="24"/>
          <w:szCs w:val="24"/>
        </w:rPr>
        <w:t xml:space="preserve">the </w:t>
      </w:r>
      <w:r w:rsidR="00830195" w:rsidRPr="00AE2080">
        <w:rPr>
          <w:rFonts w:ascii="Arial" w:hAnsi="Arial" w:cs="Arial"/>
          <w:color w:val="000000"/>
          <w:sz w:val="24"/>
          <w:szCs w:val="24"/>
        </w:rPr>
        <w:t xml:space="preserve">generalisability of outcomes </w:t>
      </w:r>
      <w:r w:rsidR="00830195" w:rsidRPr="00AE2080">
        <w:rPr>
          <w:rFonts w:ascii="Arial" w:hAnsi="Arial" w:cs="Arial"/>
          <w:color w:val="000000"/>
          <w:sz w:val="24"/>
          <w:szCs w:val="24"/>
        </w:rPr>
        <w:fldChar w:fldCharType="begin" w:fldLock="1"/>
      </w:r>
      <w:r w:rsidR="00830195" w:rsidRPr="00AE2080">
        <w:rPr>
          <w:rFonts w:ascii="Arial" w:hAnsi="Arial" w:cs="Arial"/>
          <w:color w:val="000000"/>
          <w:sz w:val="24"/>
          <w:szCs w:val="24"/>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Merriam","given":"Sharan","non-dropping-particle":"","parse-names":false,"suffix":""},{"dropping-particle":"","family":"Tisdell","given":"Elizabeth","non-dropping-particle":"","parse-names":false,"suffix":""}],"container-title":"Paper Knowledge . Toward a Media History of Documents","edition":"Fourth","id":"ITEM-1","issued":{"date-parts":[["2016"]]},"note":"There are a number of variations on these designs, but basically experimental approaches try to determine the cause of events and\nThere are a number of variations on these designs, but basically experimental approaches try to determine the cause of events and to predict similar events in the future. Survey or descriptive designs are\nexperimental approaches try to determine the cause of events and to predict similar events in the future. Survey or descriptive designs are intended to systematically describe\n\nRather than determining cause and effect, predicting, or describing the distribution of some attribute among a population, we might be interested in uncovering the meaning of a phenomenon for those involved. Qualitative researchers are interested in understanding how people interpret their experiences, how they construct their worlds, and what meaning they attribute to their experiences.\n\nBraun and Clarke's (2013) distinction between qualitative and quantitative research is somewhat simplified, they write that “the most basic definition of qualitative research is that it uses words as data …collected and analyzed in all sorts of ways. Quantitative research, in contrast, uses numbers as data and analyzes them using statistical techniques” (pp. 3–4, emphasis in original).\n\n\n","publisher":"Jossey-Bass","publisher-place":"San Francisco","title":"Qualitative Research","type":"book"},"uris":["http://www.mendeley.com/documents/?uuid=f0a0c8d9-5e9b-48c7-85fc-7981f990d40b"]},{"id":"ITEM-2","itemData":{"author":[{"dropping-particle":"","family":"Little","given":"Todd D.","non-dropping-particle":"","parse-names":false,"suffix":""}],"id":"ITEM-2","issued":{"date-parts":[["2013"]]},"publisher":"Oxford University Press","publisher-place":"New York","title":"The Oxford Handbook of Quantitative Methods","type":"book","volume":"2"},"uris":["http://www.mendeley.com/documents/?uuid=937daded-9886-4b8a-81e7-1268e80ff116"]},{"id":"ITEM-3","itemData":{"ISBN":"9780335264704","author":[{"dropping-particle":"","family":"Denscombe","given":"Martyn","non-dropping-particle":"","parse-names":false,"suffix":""}],"id":"ITEM-3","issued":{"date-parts":[["2014"]]},"number-of-pages":"278","title":"Open UP Study Skills The Good Research Guide","type":"book"},"uris":["http://www.mendeley.com/documents/?uuid=f0f8632a-34fe-4332-acd9-274e093fbb0b"]}],"mendeley":{"formattedCitation":"(Little, 2013; Denscombe, 2014; Merriam and Tisdell, 2016)","plainTextFormattedCitation":"(Little, 2013; Denscombe, 2014; Merriam and Tisdell, 2016)","previouslyFormattedCitation":"(Little, 2013; Denscombe, 2014; Merriam and Tisdell, 2016)"},"properties":{"noteIndex":0},"schema":"https://github.com/citation-style-language/schema/raw/master/csl-citation.json"}</w:instrText>
      </w:r>
      <w:r w:rsidR="00830195" w:rsidRPr="00AE2080">
        <w:rPr>
          <w:rFonts w:ascii="Arial" w:hAnsi="Arial" w:cs="Arial"/>
          <w:color w:val="000000"/>
          <w:sz w:val="24"/>
          <w:szCs w:val="24"/>
        </w:rPr>
        <w:fldChar w:fldCharType="separate"/>
      </w:r>
      <w:r w:rsidR="00830195" w:rsidRPr="00AE2080">
        <w:rPr>
          <w:rFonts w:ascii="Arial" w:hAnsi="Arial" w:cs="Arial"/>
          <w:noProof/>
          <w:color w:val="000000"/>
          <w:sz w:val="24"/>
          <w:szCs w:val="24"/>
        </w:rPr>
        <w:t>(Little, 2013; Denscombe, 2014; Merriam and Tisdell, 2016)</w:t>
      </w:r>
      <w:r w:rsidR="00830195" w:rsidRPr="00AE2080">
        <w:rPr>
          <w:rFonts w:ascii="Arial" w:hAnsi="Arial" w:cs="Arial"/>
          <w:color w:val="000000"/>
          <w:sz w:val="24"/>
          <w:szCs w:val="24"/>
        </w:rPr>
        <w:fldChar w:fldCharType="end"/>
      </w:r>
      <w:r w:rsidR="00830195" w:rsidRPr="00AE2080">
        <w:rPr>
          <w:rFonts w:ascii="Arial" w:hAnsi="Arial" w:cs="Arial"/>
          <w:color w:val="000000"/>
          <w:sz w:val="24"/>
          <w:szCs w:val="24"/>
        </w:rPr>
        <w:t xml:space="preserve">. Future research could include quantitative measurement </w:t>
      </w:r>
      <w:r w:rsidR="00830195" w:rsidRPr="00AE2080">
        <w:rPr>
          <w:rFonts w:ascii="Arial" w:hAnsi="Arial" w:cs="Arial"/>
          <w:color w:val="000000"/>
          <w:sz w:val="24"/>
          <w:szCs w:val="24"/>
        </w:rPr>
        <w:lastRenderedPageBreak/>
        <w:t xml:space="preserve">of vocal acoustics, the body and the voice to assess acoustic and physiological changes in belting technique during and after the study </w:t>
      </w:r>
      <w:r w:rsidR="00830195" w:rsidRPr="00AE2080">
        <w:rPr>
          <w:rFonts w:ascii="Arial" w:hAnsi="Arial" w:cs="Arial"/>
          <w:color w:val="000000"/>
          <w:sz w:val="24"/>
          <w:szCs w:val="24"/>
        </w:rPr>
        <w:fldChar w:fldCharType="begin" w:fldLock="1"/>
      </w:r>
      <w:r w:rsidR="00830195" w:rsidRPr="00AE2080">
        <w:rPr>
          <w:rFonts w:ascii="Arial" w:hAnsi="Arial" w:cs="Arial"/>
          <w:color w:val="000000"/>
          <w:sz w:val="24"/>
          <w:szCs w:val="24"/>
        </w:rPr>
        <w:instrText>ADDIN CSL_CITATION {"citationItems":[{"id":"ITEM-1","itemData":{"DOI":"10.1016/j.jvoice.2021.08.006","ISSN":"18734588","abstract":"Objective: To document and quantify vocal dose and student-singers' self-assessment during rehearsals for a contemporary musical theater production. Methods/Design: Six student singers fastened the sensor from the KayPentax APM 3200 dosimeter to the lower neck to capture neck vibration data during their preparation for the musical Wonderland by Frank Wildhorn. Data were collected during 8-hour periods, at four different stages throughout the rehearsal process: beginning (music and choreography learning phase), middle (staging phase), and end (running the entire show/dress rehearsal phase), plus a post-production day once the production had concluded to establish a baseline vocal load. Students concurrently completed the EASE questionnaire1 after each data collection day. Results: The EASE score (Appendix 1) and demographics/perceptual questionnaire (Appendix 2) revealed that all subjects (three males and three females) found the singing role vocally and physically demanding but only two found the roles to be emotionally challenging. The musical score demanded a higher usage of chest register (judged perceptually) than mixed register from lead singers. All subjects’ maximum fundamental frequency range exceeded the pitch range required by the score. The mean vibration dose (distance dose) across all singers for rehearsal days was higher for females, 1,100,000 meters, than males, 900,000 meters, and the subjects’ self-ratings on the EASE were not correlated with the distance dose. Conclusions: A review of Wonderland's score and perceptual judgment of the singers’ performances revealed extensive use of chest register, with belting and mix vocal strategies being the predominant stylistic choices. Students described the singing roles’ vocal and physical requirements as more challenging than the character's emotional components. This pilot study provides information on the vocal dose for lead and ensemble singers in rehearsal for a Contemporary Musical Theatre production. Singers and voice professionals may find dosimetry a valuable tool for monitoring the vocal dose during rehearsals and performances.","author":[{"dropping-particle":"","family":"Zuim","given":"Ana Flavia","non-dropping-particle":"","parse-names":false,"suffix":""},{"dropping-particle":"","family":"Stewart","given":"Celia F.","non-dropping-particle":"","parse-names":false,"suffix":""},{"dropping-particle":"","family":"Titze","given":"Ingo R.","non-dropping-particle":"","parse-names":false,"suffix":""}],"container-title":"Journal of Voice","id":"ITEM-1","issued":{"date-parts":[["2021"]]},"page":"1-16","publisher":"Elsevier Inc.","title":"Vocal Dose and Vocal Demands in Contemporary Musical Theatre","type":"article-journal"},"uris":["http://www.mendeley.com/documents/?uuid=2d356760-21e6-462e-afe0-72c6cf2a3a37"]},{"id":"ITEM-2","itemData":{"DOI":"10.1016/j.jvoice.2014.01.011","ISSN":"18734588","PMID":"24810998","abstract":"Objective. Singing styles in Musical Theater singing might differ in many ways from Western Classical singing. However, vocal tract adjustments are not understood in detail. Material and Methods. Vocal tract shapes of a single professional Music Theater female subject were analyzed concerning different aspects of singing styles using dynamic real-time magnetic resonance imaging technology with a frame rate of 8 fps. The different tasks include register differences, belting, and vibrato strategies. Results. Articulatory differences were found between head register, modal register, and belting. Also, some vibrato strategies (\"jazzy\" vibrato) do involve vocal tract adjustments, whereas others (classical vibrato) do not. Conclusions. Vocal tract shaping might contribute to the establishment of different singing functions in Musical Theater singing.","author":[{"dropping-particle":"","family":"Echternach","given":"Matthias","non-dropping-particle":"","parse-names":false,"suffix":""},{"dropping-particle":"","family":"Popeil","given":"Lisa","non-dropping-particle":"","parse-names":false,"suffix":""},{"dropping-particle":"","family":"Traser","given":"Louisa","non-dropping-particle":"","parse-names":false,"suffix":""},{"dropping-particle":"","family":"Wienhausen","given":"Sascha","non-dropping-particle":"","parse-names":false,"suffix":""},{"dropping-particle":"","family":"Richter","given":"Bernhard","non-dropping-particle":"","parse-names":false,"suffix":""}],"container-title":"Journal of Voice","id":"ITEM-2","issue":"5","issued":{"date-parts":[["2014"]]},"page":"653.e1-653.e7","publisher":"Elsevier Ltd","title":"Vocal tract shapes in different singing functions used in musical theater singing-a pilot study","type":"article-journal","volume":"28"},"uris":["http://www.mendeley.com/documents/?uuid=ef7fc61e-6634-4974-8896-12acc9049a4a"]},{"id":"ITEM-3","itemData":{"DOI":"10.1016/j.jvoice.2013.02.007","ISSN":"18734588","abstract":"Objective: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Voice","id":"ITEM-3","issue":"4","issued":{"date-parts":[["2013"]]},"page":"523.e19-523.e34","title":"Vocal tract and glottal function during and after vocal exercising with resonance tube and straw","type":"article-journal","volume":"27"},"uris":["http://www.mendeley.com/documents/?uuid=49a86ff6-19f7-4857-9389-1a18df65737e"]},{"id":"ITEM-4","itemData":{"author":[{"dropping-particle":"","family":"Little","given":"Todd D.","non-dropping-particle":"","parse-names":false,"suffix":""}],"id":"ITEM-4","issued":{"date-parts":[["2013"]]},"publisher":"Oxford University Press","publisher-place":"New York","title":"The Oxford Handbook of Quantitative Methods","type":"book","volume":"2"},"uris":["http://www.mendeley.com/documents/?uuid=937daded-9886-4b8a-81e7-1268e80ff116"]},{"id":"ITEM-5","itemData":{"DOI":"10.1177/1558689809349691","ISSN":"15586898","abstract":"This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 © The Author(s) 2010.","author":[{"dropping-particle":"","family":"Feilzer","given":"Martina Yvonne","non-dropping-particle":"","parse-names":false,"suffix":""}],"container-title":"Journal of Mixed Methods Research","id":"ITEM-5","issue":"1","issued":{"date-parts":[["2010"]]},"page":"6-16","title":"Doing mixed methods research pragmatically: Implications for the rediscovery of pragmatism as a research paradigm","type":"article-journal","volume":"4"},"uris":["http://www.mendeley.com/documents/?uuid=b0ba4dcf-749c-460e-8985-496bc3e705e1"]}],"mendeley":{"formattedCitation":"(Feilzer, 2010; Guzman &lt;i&gt;et al.&lt;/i&gt;, 2013; Little, 2013; Echternach &lt;i&gt;et al.&lt;/i&gt;, 2014; Zuim, Stewart and Titze, 2021)","plainTextFormattedCitation":"(Feilzer, 2010; Guzman et al., 2013; Little, 2013; Echternach et al., 2014; Zuim, Stewart and Titze, 2021)","previouslyFormattedCitation":"(Feilzer, 2010; Guzman &lt;i&gt;et al.&lt;/i&gt;, 2013; Little, 2013; Echternach &lt;i&gt;et al.&lt;/i&gt;, 2014; Zuim, Stewart and Titze, 2021)"},"properties":{"noteIndex":0},"schema":"https://github.com/citation-style-language/schema/raw/master/csl-citation.json"}</w:instrText>
      </w:r>
      <w:r w:rsidR="00830195" w:rsidRPr="00AE2080">
        <w:rPr>
          <w:rFonts w:ascii="Arial" w:hAnsi="Arial" w:cs="Arial"/>
          <w:color w:val="000000"/>
          <w:sz w:val="24"/>
          <w:szCs w:val="24"/>
        </w:rPr>
        <w:fldChar w:fldCharType="separate"/>
      </w:r>
      <w:r w:rsidR="00830195" w:rsidRPr="00AE2080">
        <w:rPr>
          <w:rFonts w:ascii="Arial" w:hAnsi="Arial" w:cs="Arial"/>
          <w:noProof/>
          <w:color w:val="000000"/>
          <w:sz w:val="24"/>
          <w:szCs w:val="24"/>
        </w:rPr>
        <w:t xml:space="preserve">(Feilzer, 2010; Guzman </w:t>
      </w:r>
      <w:r w:rsidR="00830195" w:rsidRPr="00AE2080">
        <w:rPr>
          <w:rFonts w:ascii="Arial" w:hAnsi="Arial" w:cs="Arial"/>
          <w:i/>
          <w:noProof/>
          <w:color w:val="000000"/>
          <w:sz w:val="24"/>
          <w:szCs w:val="24"/>
        </w:rPr>
        <w:t>et al.</w:t>
      </w:r>
      <w:r w:rsidR="00830195" w:rsidRPr="00AE2080">
        <w:rPr>
          <w:rFonts w:ascii="Arial" w:hAnsi="Arial" w:cs="Arial"/>
          <w:noProof/>
          <w:color w:val="000000"/>
          <w:sz w:val="24"/>
          <w:szCs w:val="24"/>
        </w:rPr>
        <w:t xml:space="preserve">, 2013; Little, 2013; Echternach </w:t>
      </w:r>
      <w:r w:rsidR="00830195" w:rsidRPr="00AE2080">
        <w:rPr>
          <w:rFonts w:ascii="Arial" w:hAnsi="Arial" w:cs="Arial"/>
          <w:i/>
          <w:noProof/>
          <w:color w:val="000000"/>
          <w:sz w:val="24"/>
          <w:szCs w:val="24"/>
        </w:rPr>
        <w:t>et al.</w:t>
      </w:r>
      <w:r w:rsidR="00830195" w:rsidRPr="00AE2080">
        <w:rPr>
          <w:rFonts w:ascii="Arial" w:hAnsi="Arial" w:cs="Arial"/>
          <w:noProof/>
          <w:color w:val="000000"/>
          <w:sz w:val="24"/>
          <w:szCs w:val="24"/>
        </w:rPr>
        <w:t>, 2014; Zuim, Stewart and Titze, 2021)</w:t>
      </w:r>
      <w:r w:rsidR="00830195" w:rsidRPr="00AE2080">
        <w:rPr>
          <w:rFonts w:ascii="Arial" w:hAnsi="Arial" w:cs="Arial"/>
          <w:color w:val="000000"/>
          <w:sz w:val="24"/>
          <w:szCs w:val="24"/>
        </w:rPr>
        <w:fldChar w:fldCharType="end"/>
      </w:r>
      <w:r w:rsidR="00830195" w:rsidRPr="00AE2080">
        <w:rPr>
          <w:rFonts w:ascii="Arial" w:hAnsi="Arial" w:cs="Arial"/>
          <w:color w:val="000000"/>
          <w:sz w:val="24"/>
          <w:szCs w:val="24"/>
        </w:rPr>
        <w:t xml:space="preserve">. As this was not the aim of this study, these aspects have not been assessed in this report. </w:t>
      </w:r>
      <w:r w:rsidR="007E2747">
        <w:rPr>
          <w:rFonts w:ascii="Arial" w:hAnsi="Arial" w:cs="Arial"/>
          <w:color w:val="000000"/>
          <w:sz w:val="24"/>
          <w:szCs w:val="24"/>
        </w:rPr>
        <w:t>Another future development of th</w:t>
      </w:r>
      <w:r w:rsidR="002456DB">
        <w:rPr>
          <w:rFonts w:ascii="Arial" w:hAnsi="Arial" w:cs="Arial"/>
          <w:color w:val="000000"/>
          <w:sz w:val="24"/>
          <w:szCs w:val="24"/>
        </w:rPr>
        <w:t xml:space="preserve">is study could be to </w:t>
      </w:r>
      <w:r w:rsidR="006178BF">
        <w:rPr>
          <w:rFonts w:ascii="Arial" w:hAnsi="Arial" w:cs="Arial"/>
          <w:color w:val="000000"/>
          <w:sz w:val="24"/>
          <w:szCs w:val="24"/>
        </w:rPr>
        <w:t>develop</w:t>
      </w:r>
      <w:r w:rsidR="002456DB">
        <w:rPr>
          <w:rFonts w:ascii="Arial" w:hAnsi="Arial" w:cs="Arial"/>
          <w:color w:val="000000"/>
          <w:sz w:val="24"/>
          <w:szCs w:val="24"/>
        </w:rPr>
        <w:t xml:space="preserve"> </w:t>
      </w:r>
      <w:r w:rsidR="00E8502C">
        <w:rPr>
          <w:rFonts w:ascii="Arial" w:hAnsi="Arial" w:cs="Arial"/>
          <w:color w:val="000000"/>
          <w:sz w:val="24"/>
          <w:szCs w:val="24"/>
        </w:rPr>
        <w:t>the outcomes of this</w:t>
      </w:r>
      <w:r w:rsidR="004838F1">
        <w:rPr>
          <w:rFonts w:ascii="Arial" w:hAnsi="Arial" w:cs="Arial"/>
          <w:color w:val="000000"/>
          <w:sz w:val="24"/>
          <w:szCs w:val="24"/>
        </w:rPr>
        <w:t xml:space="preserve"> study</w:t>
      </w:r>
      <w:r w:rsidR="002456DB">
        <w:rPr>
          <w:rFonts w:ascii="Arial" w:hAnsi="Arial" w:cs="Arial"/>
          <w:color w:val="000000"/>
          <w:sz w:val="24"/>
          <w:szCs w:val="24"/>
        </w:rPr>
        <w:t xml:space="preserve"> to form a </w:t>
      </w:r>
      <w:r w:rsidR="00FC1339">
        <w:rPr>
          <w:rFonts w:ascii="Arial" w:hAnsi="Arial" w:cs="Arial"/>
          <w:color w:val="000000"/>
          <w:sz w:val="24"/>
          <w:szCs w:val="24"/>
        </w:rPr>
        <w:t>teacher training programme for belting.</w:t>
      </w:r>
    </w:p>
    <w:p w14:paraId="1D5D331F" w14:textId="77777777" w:rsidR="00830195" w:rsidRPr="00AE2080" w:rsidRDefault="00830195" w:rsidP="00AE2080">
      <w:pPr>
        <w:spacing w:line="360" w:lineRule="auto"/>
        <w:rPr>
          <w:rFonts w:ascii="Arial" w:hAnsi="Arial" w:cs="Arial"/>
          <w:b/>
          <w:bCs/>
          <w:sz w:val="24"/>
          <w:szCs w:val="24"/>
        </w:rPr>
      </w:pPr>
      <w:bookmarkStart w:id="26" w:name="Conclusion"/>
      <w:r w:rsidRPr="00AE2080">
        <w:rPr>
          <w:rFonts w:ascii="Arial" w:hAnsi="Arial" w:cs="Arial"/>
          <w:b/>
          <w:bCs/>
          <w:sz w:val="24"/>
          <w:szCs w:val="24"/>
        </w:rPr>
        <w:t>Conclusion</w:t>
      </w:r>
    </w:p>
    <w:bookmarkEnd w:id="26"/>
    <w:p w14:paraId="6DBEC2CE" w14:textId="6E43357A"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My journey as a teacher has echoed the belt training process the students have experienced: familiarisation with the sounds, feeding audiation, followed by practice has improved my ability to demonstrate in lessons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{"citationItems":[{"id":"ITEM-1","itemData":{"author":[{"dropping-particle":"","family":"Moss Erickson","given":"Heidi","non-dropping-particle":"","parse-names":false,"suffix":""}],"id":"ITEM-1","issued":{"date-parts":[["2019"]]},"title":"Singing in the Brain","type":"report"},"uris":["http://www.mendeley.com/documents/?uuid=a910bf0b-29b7-45b8-b437-da0822581361"]},{"id":"ITEM-2","itemData":{"DOI":"10.53830/jupv9911","ISSN":"10867732","abstract":"Phonation is a wonder of physics and physiology. In reductionist terms, the mechanics of the glottis can be viewed as a valve system: the streaming airflow from the lungs is passed through a dynamic and complex structure which is constantly changing aperture and configuration. The resulting pressure waves from air passing through the glottis are ultimately shaped and refined by the vocal tract giving rise to our unique voices. The nuance of this is extraordinary: as we sing and speak the vocal fold configuration is constantly changing in length and degree of contact under pressure conditions which are not always predictable. Yet the folds remain remarkably diligent in their ability to maintain equilibrium throughout these rapid changes. Without such discipline of this mechanism, we wouldn’t be capable of getting stability in any sound. Large, distal muscles of respiration are not designed to regulate such nuance at the millisecond level. So it is left to the larynx and vocal folds to balance the source sound of the system.This installment of “Minding the Gap” will be about how the brain controls this valve element at the center of our instrument: the intricate behaviors of the glottis. Neuroscience has shown that voicing, pitch, and phrasing are all signaled independently through the two laryngeal motor cortices which are a hallmark of our vocal learning abilities. Understanding these elements can help singers and teachers design targeted pedagogical strategies.","author":[{"dropping-particle":"","family":"Moss Erickson","given":"Heidi","non-dropping-particle":"","parse-names":false,"suffix":""}],"container-title":"Journal of Singing","id":"ITEM-2","issue":"3","issued":{"date-parts":[["2023"]]},"page":"379-385","title":"What Garcia Got Right: Understanding Cortical Signaling of the Glottis","type":"article-journal","volume":"79"},"uris":["http://www.mendeley.com/documents/?uuid=e26884ce-2081-4f89-a2b4-192525f0d364"]},{"id":"ITEM-3","itemData":{"author":[{"dropping-particle":"","family":"Maxfield","given":"Lynn","non-dropping-particle":"","parse-names":false,"suffix":""}],"container-title":"Journal of Singing","id":"ITEM-3","issue":"June","issued":{"date-parts":[["2019"]]},"page":"583-587","title":"Your Model of Motor Learning","type":"article-journal"},"uris":["http://www.mendeley.com/documents/?uuid=5d4fae0a-36a6-46fd-b7b4-97444d81bdeb"]}],"mendeley":{"formattedCitation":"(Maxfield, 2019; Moss Erickson, 2019, 2023)","plainTextFormattedCitation":"(Maxfield, 2019; Moss Erickson, 2019, 2023)","previouslyFormattedCitation":"(Maxfield, 2019; Moss Erickson, 2019,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(Maxfield, 2019; Moss Erickson, 2019, 2023)</w:t>
      </w:r>
      <w:r w:rsidRPr="00AE2080">
        <w:rPr>
          <w:rFonts w:ascii="Arial" w:hAnsi="Arial" w:cs="Arial"/>
          <w:sz w:val="24"/>
          <w:szCs w:val="24"/>
        </w:rPr>
        <w:fldChar w:fldCharType="end"/>
      </w:r>
      <w:r w:rsidRPr="00AE2080">
        <w:rPr>
          <w:rFonts w:ascii="Arial" w:hAnsi="Arial" w:cs="Arial"/>
          <w:sz w:val="24"/>
          <w:szCs w:val="24"/>
        </w:rPr>
        <w:t>. The expert interviews were a collaboration vital to this study. Their knowledge and expertise directed the subsequent research</w:t>
      </w:r>
      <w:r w:rsidR="00752642">
        <w:rPr>
          <w:rFonts w:ascii="Arial" w:hAnsi="Arial" w:cs="Arial"/>
          <w:sz w:val="24"/>
          <w:szCs w:val="24"/>
        </w:rPr>
        <w:t>,</w:t>
      </w:r>
      <w:r w:rsidRPr="00AE2080">
        <w:rPr>
          <w:rFonts w:ascii="Arial" w:hAnsi="Arial" w:cs="Arial"/>
          <w:sz w:val="24"/>
          <w:szCs w:val="24"/>
        </w:rPr>
        <w:t xml:space="preserve"> some</w:t>
      </w:r>
      <w:r w:rsidR="00752642">
        <w:rPr>
          <w:rFonts w:ascii="Arial" w:hAnsi="Arial" w:cs="Arial"/>
          <w:sz w:val="24"/>
          <w:szCs w:val="24"/>
        </w:rPr>
        <w:t>time in</w:t>
      </w:r>
      <w:r w:rsidRPr="00AE2080">
        <w:rPr>
          <w:rFonts w:ascii="Arial" w:hAnsi="Arial" w:cs="Arial"/>
          <w:sz w:val="24"/>
          <w:szCs w:val="24"/>
        </w:rPr>
        <w:t xml:space="preserve"> ways I could not have anticipated. Studying the literature and contextualising the expert input and evidence base has allowed for </w:t>
      </w:r>
      <w:r w:rsidR="00D22BEF">
        <w:rPr>
          <w:rFonts w:ascii="Arial" w:hAnsi="Arial" w:cs="Arial"/>
          <w:sz w:val="24"/>
          <w:szCs w:val="24"/>
        </w:rPr>
        <w:t xml:space="preserve">the </w:t>
      </w:r>
      <w:r w:rsidRPr="00AE2080">
        <w:rPr>
          <w:rFonts w:ascii="Arial" w:hAnsi="Arial" w:cs="Arial"/>
          <w:sz w:val="24"/>
          <w:szCs w:val="24"/>
        </w:rPr>
        <w:t xml:space="preserve">assimilation of new knowledge and made me aware of further research areas which would benefit my CPD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{"citationItems":[{"id":"ITEM-1","itemData":{"DOI":"10.1080/14682753.2017.1362175","ISSN":"2574-1136","abstract":"In recent years artistic practice has developed into a major focus of research activity, both as process and product, and discourse in various disciplines have made a strong case for its validity as a method of studying art and the practice of art. This paper presents a methodological approach to creative practice as research, and includes an overview of the different types of practice-related research currently undertaken across a variety of disciplines; discussion of the purposes and applications of creative practice research; and the Practitioner Model of Creative Cognition sample methodology I developed through my own creative practice research. The online version of this paper1 is a living discussion of practice-based methodologies in creative practice research, included as part of the special issue The Disrupted Journal of Media Keywords: Practice, and invites reader contributions Practice-based Research&gt;&gt;&gt;&gt;&gt;&gt;&gt;&gt;&gt;&gt;&gt;&gt;&gt; and discussion for future revisions. &gt;&gt;&gt;&gt;&gt;&gt;&gt;&gt;&gt;&gt;&gt;&gt;&gt;Creative","author":[{"dropping-particle":"","family":"Skains","given":"R. Lyle","non-dropping-particle":"","parse-names":false,"suffix":""}],"container-title":"Media Practice and Education","id":"ITEM-1","issue":"1","issued":{"date-parts":[["2018"]]},"page":"82-97","title":"Creative Practice as Research: Discourse on Methodology","type":"article-journal","volume":"19"},"uris":["http://www.mendeley.com/documents/?uuid=32a1e4d1-85cb-4454-bb31-9c2f7b1daba3"]}],"mendeley":{"formattedCitation":"(Skains, 2018)","plainTextFormattedCitation":"(Skains, 2018)","previouslyFormattedCitation":"(Skains,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(Skains, 2018)</w:t>
      </w:r>
      <w:r w:rsidRPr="00AE2080">
        <w:rPr>
          <w:rFonts w:ascii="Arial" w:hAnsi="Arial" w:cs="Arial"/>
          <w:sz w:val="24"/>
          <w:szCs w:val="24"/>
        </w:rPr>
        <w:fldChar w:fldCharType="end"/>
      </w:r>
      <w:r w:rsidRPr="00AE2080">
        <w:rPr>
          <w:rFonts w:ascii="Arial" w:hAnsi="Arial" w:cs="Arial"/>
          <w:sz w:val="24"/>
          <w:szCs w:val="24"/>
        </w:rPr>
        <w:t xml:space="preserve">. A literature review could also be viewed as a form of collaboration, which synthesises knowledge from many experts in voice and related fields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{"citationItems":[{"id":"ITEM-1","itemData":{"ISBN":"978-90-329-2329-7","abstract":"Edited Book","author":[{"dropping-particle":"","family":"Plomp","given":"T","non-dropping-particle":"","parse-names":false,"suffix":""},{"dropping-particle":"","family":"Nieveen","given":"N M","non-dropping-particle":"","parse-names":false,"suffix":""}],"id":"ITEM-1","issued":{"date-parts":[["2010"]]},"title":"An introduction to educational design research","type":"article-journal"},"uris":["http://www.mendeley.com/documents/?uuid=3d903e11-a75e-401c-b864-4f301aac1ac9"]},{"id":"ITEM-2","itemData":{"DOI":"10.1186/s12874-018-0545-3","ISBN":"1287401805","ISSN":"14712288","PMID":"30107788","abstract":"Background: Systematic literature searching is recognised as a critical component of the systematic review process. It involves a systematic search for studies and aims for a transparent report of study identification, leaving readers clear about what was done to identify studies, and how the findings of the review are situated in the relevant evidence. Information specialists and review teams appear to work from a shared and tacit model of the literature search process. How this tacit model has developed and evolved is unclear, and it has not been explicitly examined before. The purpose of this review is to determine if a shared model of the literature searching process can be detected across systematic review guidance documents and, if so, how this process is reported in the guidance and supported by published studies. Method: A literature review. Two types of literature were reviewed: guidance and published studies. Nine guidance documents were identified, including: The Cochrane and Campbell Handbooks. Published studies were identified through 'pearl growing', citation chasing, a search of PubMed using the systematic review methods filter, and the authors' topic knowledge. The relevant sections within each guidance document were then read and re-read, with the aim of determining key methodological stages. Methodological stages were identified and defined. This data was reviewed to identify agreements and areas of unique guidance between guidance documents. Consensus across multiple guidance documents was used to inform selection of 'key stages' in the process of literature searching. Results: Eight key stages were determined relating specifically to literature searching in systematic reviews. They were: who should literature search, aims and purpose of literature searching, preparation, the search strategy, searching databases, supplementary searching, managing references and reporting the search process. Conclusions: Eight key stages to the process of literature searching in systematic reviews were identified. These key stages are consistently reported in the nine guidance documents, suggesting consensus on the key stages of literature searching, and therefore the process of literature searching as a whole, in systematic reviews. Further research to determine the suitability of using the same process of literature searching for all types of systematic review is indicated.","author":[{"dropping-particle":"","family":"Cooper","given":"Chris","non-dropping-particle":"","parse-names":false,"suffix":""},{"dropping-particle":"","family":"Booth","given":"Andrew","non-dropping-particle":"","parse-names":false,"suffix":""},{"dropping-particle":"","family":"Varley-Campbell","given":"Jo","non-dropping-particle":"","parse-names":false,"suffix":""},{"dropping-particle":"","family":"Britten","given":"Nicky","non-dropping-particle":"","parse-names":false,"suffix":""},{"dropping-particle":"","family":"Garside","given":"Ruth","non-dropping-particle":"","parse-names":false,"suffix":""}],"container-title":"BMC Medical Research Methodology","id":"ITEM-2","issue":"1","issued":{"date-parts":[["2018"]]},"page":"1-14","publisher":"BMC Medical Research Methodology","title":"Defining the process to literature searching in systematic reviews: A literature review of guidance and supporting studies","type":"article-journal","volume":"18"},"uris":["http://www.mendeley.com/documents/?uuid=7ba89b86-7ef1-4246-a794-0d22b80bbf69"]}],"mendeley":{"formattedCitation":"(Plomp and Nieveen, 2010; Cooper &lt;i&gt;et al.&lt;/i&gt;, 2018)","plainTextFormattedCitation":"(Plomp and Nieveen, 2010; Cooper et al., 2018)","previouslyFormattedCitation":"(Plomp and Nieveen, 2010; Cooper &lt;i&gt;et al.&lt;/i&gt;, 2018)"},"properties":{"noteIndex":0},"schema":"https://github.com/citation-style-language/schema/raw/master/csl-citation.json"}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(Plomp and Nieveen, 2010; Cooper </w:t>
      </w:r>
      <w:r w:rsidRPr="00AE2080">
        <w:rPr>
          <w:rFonts w:ascii="Arial" w:hAnsi="Arial" w:cs="Arial"/>
          <w:i/>
          <w:noProof/>
          <w:sz w:val="24"/>
          <w:szCs w:val="24"/>
        </w:rPr>
        <w:t>et al.</w:t>
      </w:r>
      <w:r w:rsidRPr="00AE2080">
        <w:rPr>
          <w:rFonts w:ascii="Arial" w:hAnsi="Arial" w:cs="Arial"/>
          <w:noProof/>
          <w:sz w:val="24"/>
          <w:szCs w:val="24"/>
        </w:rPr>
        <w:t>, 2018)</w:t>
      </w:r>
      <w:r w:rsidRPr="00AE2080">
        <w:rPr>
          <w:rFonts w:ascii="Arial" w:hAnsi="Arial" w:cs="Arial"/>
          <w:sz w:val="24"/>
          <w:szCs w:val="24"/>
        </w:rPr>
        <w:fldChar w:fldCharType="end"/>
      </w:r>
      <w:r w:rsidRPr="00AE2080">
        <w:rPr>
          <w:rFonts w:ascii="Arial" w:hAnsi="Arial" w:cs="Arial"/>
          <w:sz w:val="24"/>
          <w:szCs w:val="24"/>
        </w:rPr>
        <w:t xml:space="preserve">. Student logs are a valuable source of feedback which was essential to this study. In the context of DBR, the student feedback loop is </w:t>
      </w:r>
      <w:r w:rsidR="0007735C">
        <w:rPr>
          <w:rFonts w:ascii="Arial" w:hAnsi="Arial" w:cs="Arial"/>
          <w:sz w:val="24"/>
          <w:szCs w:val="24"/>
        </w:rPr>
        <w:t xml:space="preserve">a </w:t>
      </w:r>
      <w:r w:rsidRPr="00AE2080">
        <w:rPr>
          <w:rFonts w:ascii="Arial" w:hAnsi="Arial" w:cs="Arial"/>
          <w:sz w:val="24"/>
          <w:szCs w:val="24"/>
        </w:rPr>
        <w:t xml:space="preserve">form of collaboration which informed the future of the belt training process and my teaching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{"citationItems":[{"id":"ITEM-1","itemData":{"DOI":"10.24908/pceea.v0i0.3829","abstract":"Contemporary design practice is both borrowing from and contributing to other disciplines. This paper will examine two significant trends – design-based research and evidence-based design – that will have an impact on current and future design practices. Design-based research is currently popular in the field of education and borrows from the way architects and engineers work to develop their ideas in real-world contexts and as such it provides a new perspective into design engineering itself. Evidence-based design borrows from work done in evidence-based medicine to carefully observe and analyze the way people use the products of design. Taken together these two trends provide a new approach to design and a better means of connecting with collaborators, consumers and users.","author":[{"dropping-particle":"","family":"MacLeod","given":"Douglas","non-dropping-particle":"","parse-names":false,"suffix":""}],"container-title":"Proceedings of the Canadian Engineering Education Association (CEEA)","id":"ITEM-1","issued":{"date-parts":[["2011"]]},"page":"166-171","title":"New Approaches To Design Practice","type":"article-journal"},"uris":["http://www.mendeley.com/documents/?uuid=b3c6f641-b7e3-402a-9b47-0d0ca649366d"]}],"mendeley":{"formattedCitation":"(MacLeod, 2011)","plainTextFormattedCitation":"(MacLeod, 2011)","previouslyFormattedCitation":"(MacLeod, 2011)"},"properties":{"noteIndex":0},"schema":"https://github.com/citation-style-language/schema/raw/master/csl-citation.json"}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(MacLeod, 2011)</w:t>
      </w:r>
      <w:r w:rsidRPr="00AE2080">
        <w:rPr>
          <w:rFonts w:ascii="Arial" w:hAnsi="Arial" w:cs="Arial"/>
          <w:sz w:val="24"/>
          <w:szCs w:val="24"/>
        </w:rPr>
        <w:fldChar w:fldCharType="end"/>
      </w:r>
      <w:r w:rsidRPr="00AE2080">
        <w:rPr>
          <w:rFonts w:ascii="Arial" w:hAnsi="Arial" w:cs="Arial"/>
          <w:sz w:val="24"/>
          <w:szCs w:val="24"/>
        </w:rPr>
        <w:t>.</w:t>
      </w:r>
    </w:p>
    <w:p w14:paraId="4A443B71" w14:textId="46AE9696"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Assimilating new knowledge from DBR stages 1 and 2 fuelled my self-efficacy and ability to teach belting in anticipation of the practical application which followed. During DBR stage 3, I felt confident to teach belting and adapt with far greater self-efficacy than I have in the past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challenges","type":"article-journal","volume":"65"},"uris":["http://www.mendeley.com/documents/?uuid=fdb52a8b-a11e-4406-903f-a400d8280c27"]}],"mendeley":{"formattedCitation":"(Lindqvist &lt;i&gt;et al.&lt;/i&gt;, 2023)","plainTextFormattedCitation":"(Lindqvist et al., 2023)","previouslyFormattedCitation":"(Lindqvist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xml:space="preserve">. The </w:t>
      </w:r>
      <w:r w:rsidRPr="00AE2080">
        <w:rPr>
          <w:rFonts w:ascii="Arial" w:hAnsi="Arial" w:cs="Arial"/>
          <w:bCs/>
          <w:sz w:val="24"/>
          <w:szCs w:val="24"/>
        </w:rPr>
        <w:t>pragmatic paradigm</w:t>
      </w:r>
      <w:r w:rsidRPr="00AE2080">
        <w:rPr>
          <w:rFonts w:ascii="Arial" w:hAnsi="Arial" w:cs="Arial"/>
          <w:sz w:val="24"/>
          <w:szCs w:val="24"/>
        </w:rPr>
        <w:t xml:space="preserve"> which drove this study has broadened my knowledge </w:t>
      </w:r>
      <w:r w:rsidR="00654E9E">
        <w:rPr>
          <w:rFonts w:ascii="Arial" w:hAnsi="Arial" w:cs="Arial"/>
          <w:sz w:val="24"/>
          <w:szCs w:val="24"/>
        </w:rPr>
        <w:t>of</w:t>
      </w:r>
      <w:r w:rsidRPr="00AE2080">
        <w:rPr>
          <w:rFonts w:ascii="Arial" w:hAnsi="Arial" w:cs="Arial"/>
          <w:sz w:val="24"/>
          <w:szCs w:val="24"/>
        </w:rPr>
        <w:t xml:space="preserve"> teaching practice</w:t>
      </w:r>
      <w:r w:rsidR="008B767B">
        <w:rPr>
          <w:rFonts w:ascii="Arial" w:hAnsi="Arial" w:cs="Arial"/>
          <w:sz w:val="24"/>
          <w:szCs w:val="24"/>
        </w:rPr>
        <w:t>s</w:t>
      </w:r>
      <w:r w:rsidRPr="00AE2080">
        <w:rPr>
          <w:rFonts w:ascii="Arial" w:hAnsi="Arial" w:cs="Arial"/>
          <w:sz w:val="24"/>
          <w:szCs w:val="24"/>
        </w:rPr>
        <w:t xml:space="preserve"> and has had positive impacts on my ability to use bricolage approaches when teaching 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{"citationItems":[{"id":"ITEM-1","itemData":{"DOI":"10.1177/1558689811416940","ISSN":"15586898","abstract":"This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\"progressive engagement\" process involving \"multidisciplinary functioning,\" \"unambiguous protocols,\" and \"participant-centered procedures.\"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 © SAGE Publications 2011.","author":[{"dropping-particle":"","family":"Robinson","given":"Andrew L.","non-dropping-particle":"","parse-names":false,"suffix":""},{"dropping-particle":"","family":"Emden","given":"Carolyn G.","non-dropping-particle":"","parse-names":false,"suffix":""},{"dropping-particle":"","family":"Croft","given":"Tobias D.","non-dropping-particle":"","parse-names":false,"suffix":""},{"dropping-particle":"","family":"Vosper","given":"Gillian C.","non-dropping-particle":"","parse-names":false,"suffix":""},{"dropping-particle":"","family":"Elder","given":"Jean A.","non-dropping-particle":"","parse-names":false,"suffix":""},{"dropping-particle":"","family":"Stirling","given":"Christine","non-dropping-particle":"","parse-names":false,"suffix":""},{"dropping-particle":"","family":"Vickers","given":"James C.","non-dropping-particle":"","parse-names":false,"suffix":""}],"container-title":"Journal of Mixed Methods Research","id":"ITEM-1","issue":"4","issued":{"date-parts":[["2011"]]},"page":"330-344","title":"Mixed methods data collection in dementia research: A \"progressive engagement\" approach","type":"article-journal","volume":"5"},"uris":["http://www.mendeley.com/documents/?uuid=a5ebf958-e328-4cde-976e-b3facb5dc636"]},{"id":"ITEM-2","itemData":{"ISBN":"9780335214006","abstract":"maintain theoretical coherence and epistemological innovation. Such multidisciplinarity demands a new level of research self-consciousness and awareness of the numerous contexts in which any researcher is operating. As one labours to expose the various structures that covertly shape our own and other scholars' research narratives, the bricolage highlights the relationship between a researcher's ways of seeing and the social location of his or her personal history. Appreciating research as a power-driven act, the researcher-as-bricoleur abandons the quest for some naive concept of realism, focusing instead on the clarification of his or her position in the web of reality and the social locations of other researchers and the ways they shape the production and interpretation of knowledge. In this context bricoleurs move into the domain of complexity. The bricolage exists out of respect for the complexity of the lived world. Indeed, it is grounded on an epistemology of complexity. One dimension of this complexity can be illustrated by the relationship between research and the domain of social theory. All observations of the world are shaped either consciously or unconsciously by social theory – such theory pro-vides the framework that highlights or erases what might be observed. Theory in a modernist empiricist mode is a way of understanding that operates without variation in every context. Since theory is a cultural and linguistic artefact, its interpretation of the object of its observation is inseparable from the historical dynamics that have shaped it. The task of the bricoleur is to attack this complexity, uncovering the invisible arte-facts of power and culture, and documenting the nature of their influ-ence not only on their own scholarship but also on scholarship in general. In this process bricoleurs act upon the concept that theory is not an explanation of the world – it is more an explanation of our relation to the world. In its hard labours in the domain of complexity the bricolage views research methods actively rather than passively, meaning that we actively construct our research methods from the tools at hand rather than passively receiving the 'correct', universally applicable methodolo-gies. Avoiding modes of reasoning that come from certified processes of logical analysis, bricoleurs also steer clear of pre-existing guidelines and checklists developed outside the specific demands of the inquiry at hand. In its embrace of complexity, the b…","author":[{"dropping-particle":"","family":"Kincheloe","given":"Jl","non-dropping-particle":"","parse-names":false,"suffix":""}],"container-title":"Rigour and Complexity in Educational Research: Conceptualizing the bricolage.","id":"ITEM-2","issued":{"date-parts":[["2004"]]},"page":"1-22","title":"Introduction: The power of the bricolage: Expanding research methods","type":"article-journal"},"uris":["http://www.mendeley.com/documents/?uuid=0f52b925-d313-4407-8945-955d9e784bb6"]}],"mendeley":{"formattedCitation":"(Kincheloe, 2004; Robinson &lt;i&gt;et al.&lt;/i&gt;, 2011)","plainTextFormattedCitation":"(Kincheloe, 2004; Robinson et al., 2011)","previouslyFormattedCitation":"(Kincheloe, 2004; Robinson &lt;i&gt;et al.&lt;/i&gt;, 2011)"},"properties":{"noteIndex":0},"schema":"https://github.com/citation-style-language/schema/raw/master/csl-citation.json"}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(Kincheloe, 2004; Robinson </w:t>
      </w:r>
      <w:r w:rsidRPr="00AE2080">
        <w:rPr>
          <w:rFonts w:ascii="Arial" w:hAnsi="Arial" w:cs="Arial"/>
          <w:i/>
          <w:noProof/>
          <w:sz w:val="24"/>
          <w:szCs w:val="24"/>
        </w:rPr>
        <w:t>et al.</w:t>
      </w:r>
      <w:r w:rsidRPr="00AE2080">
        <w:rPr>
          <w:rFonts w:ascii="Arial" w:hAnsi="Arial" w:cs="Arial"/>
          <w:noProof/>
          <w:sz w:val="24"/>
          <w:szCs w:val="24"/>
        </w:rPr>
        <w:t>, 2011)</w:t>
      </w:r>
      <w:r w:rsidRPr="00AE2080">
        <w:rPr>
          <w:rFonts w:ascii="Arial" w:hAnsi="Arial" w:cs="Arial"/>
          <w:sz w:val="24"/>
          <w:szCs w:val="24"/>
        </w:rPr>
        <w:fldChar w:fldCharType="end"/>
      </w:r>
      <w:r w:rsidRPr="00AE2080">
        <w:rPr>
          <w:rFonts w:ascii="Arial" w:hAnsi="Arial" w:cs="Arial"/>
          <w:sz w:val="24"/>
          <w:szCs w:val="24"/>
        </w:rPr>
        <w:t xml:space="preserve">. This study has resulted in new knowledge which has operational significance for my current and future teaching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{"citationItems":[{"id":"ITEM-1","itemData":{"DOI":"10.1016/j.jct.2009.04.005","ISSN":"00219614","abstract":"Isothermal (vapour + liquid) equilibrium data for the ternary mixtures 1-butanol + n-hexane + 1-chlorobutane and 2-butanol + n-hexane + 1-chlorobutane have been studied with a recirculating still at T = 298.15 K. The experimental data were satisfactorily checked for thermodynamic consistency using the method of van Ness. Activity coefficients and excess Gibbs function have been correlated with the Wilson equation. The GE values obtained for the two ternary systems are very similar. © 2009 Elsevier Ltd. All rights reserved.","author":[{"dropping-particle":"","family":"Candy","given":"Linda","non-dropping-particle":"","parse-names":false,"suffix":""}],"container-title":"Creativity &amp; Cognition Studios","id":"ITEM-1","issued":{"date-parts":[["2006"]]},"title":"Practice Based Research: A Guide Linda","type":"report"},"uris":["http://www.mendeley.com/documents/?uuid=fdc51585-98e6-4410-80cf-f0c992d7ba10"]}],"mendeley":{"formattedCitation":"(Candy, 2006)","plainTextFormattedCitation":"(Candy, 2006)","previouslyFormattedCitation":"(Candy, 2006)"},"properties":{"noteIndex":0},"schema":"https://github.com/citation-style-language/schema/raw/master/csl-citation.json"}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(Candy, 2006)</w:t>
      </w:r>
      <w:r w:rsidRPr="00AE2080">
        <w:rPr>
          <w:rFonts w:ascii="Arial" w:hAnsi="Arial" w:cs="Arial"/>
          <w:sz w:val="24"/>
          <w:szCs w:val="24"/>
        </w:rPr>
        <w:fldChar w:fldCharType="end"/>
      </w:r>
      <w:r w:rsidRPr="00AE2080">
        <w:rPr>
          <w:rFonts w:ascii="Arial" w:hAnsi="Arial" w:cs="Arial"/>
          <w:sz w:val="24"/>
          <w:szCs w:val="24"/>
        </w:rPr>
        <w:t>. In the moments whe</w:t>
      </w:r>
      <w:r w:rsidR="005B4FD0">
        <w:rPr>
          <w:rFonts w:ascii="Arial" w:hAnsi="Arial" w:cs="Arial"/>
          <w:sz w:val="24"/>
          <w:szCs w:val="24"/>
        </w:rPr>
        <w:t>n</w:t>
      </w:r>
      <w:r w:rsidRPr="00AE2080">
        <w:rPr>
          <w:rFonts w:ascii="Arial" w:hAnsi="Arial" w:cs="Arial"/>
          <w:sz w:val="24"/>
          <w:szCs w:val="24"/>
        </w:rPr>
        <w:t xml:space="preserve"> a student met a challenge, I was confident to redirect the lesson with a sense of reason and positivity which best served the student.</w:t>
      </w:r>
    </w:p>
    <w:p w14:paraId="36A93964" w14:textId="50B90DCF"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Challenges that arose are in areas of which I will remain aware. I am confident that seeking further collaboration from the experts of this study or other experienced </w:t>
      </w:r>
      <w:r w:rsidRPr="00AE2080">
        <w:rPr>
          <w:rFonts w:ascii="Arial" w:hAnsi="Arial" w:cs="Arial"/>
          <w:sz w:val="24"/>
          <w:szCs w:val="24"/>
        </w:rPr>
        <w:lastRenderedPageBreak/>
        <w:t xml:space="preserve">practitioners would be valuable for future my CPD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Research","id":"ITEM-1","issue":"3","issued":{"date-parts":[["2023"]]},"page":"392-407","publisher":"Routledge","title":"Work-based learning partnerships: mentor-teachers’ perceptions of student teachers’ challenges","type":"article-journal","volume":"65"},"uris":["http://www.mendeley.com/documents/?uuid=fdb52a8b-a11e-4406-903f-a400d8280c27"]},{"id":"ITEM-2","itemData":{"abstract":"R esponsible voice teaching lives at the core of voice pedagogy. Both experienced and emerging teachers are called to explore evidence-based voice pedagogy through an understanding of functional anatomy, breath, and the resultant acoustic interactions , and we strive to model and convey best practices in vocal artistry and research while disseminating meaning through multiple languages and musical styles. Artful pedagogy teaches singing to singers; in other words, art is expressed to people. In voice pedagogy programs that offer mentored, real-time teaching experience, students are privileged to teach singing in an environment that allows them to see, hear, and analyze the consequences of their instruction, and to order their teaching into a hierarchy that promotes their ability to effect change while measuring the progress of their student. The process thrives on timely, effective feedback and generous allotments of observation , self-reflection, and mentorship. Although experienced voice teachers are predictable pedagogy mentors, student mentors impact their peers very favorably. Ten graduates who served as both student mentors and mentees in the Voice Pedagogy program at the University of Toronto were asked to provide feedback on their mentoring experiences. 1 Their responses underscore the value of pedagogic mentorship. When I am engaged in being a mentor, I notice that my own teaching is revitalized. The grading process reminds me of what I value about teaching, and is also a reminder to hold myself to high standards. When I see someone not observing closely, not listening to the student. .. and I witness the negative impact it has on the student, their learning, and the overall lesson experience, it clarifies for me the importance of high quality teaching behaviours. 2 Mentoring students and being mentored was one of the most valuable experiences of the vocal pedagogy program. It helped me improve my teaching skills, and it provided me with the opportunity to apply vocal pedagogy concepts learned in a concrete setting. 3 What follows is a description of a trilevel voice pedagogy program that involves multilevel mentoring. The design is an amalgam of various models devised over two decades at the University of Toronto, and it readies students for the reality and responsibility of voice teaching in both academia and independent studios. The benefits of both Indirect and Direct Mentoring practices are described and core mentoring skills are discussed. 4","author":[{"dropping-particle":"","family":"Mccoy","given":"Scott","non-dropping-particle":"","parse-names":false,"suffix":""},{"dropping-particle":"","family":"Macdonald","given":"Lorna","non-dropping-particle":"","parse-names":false,"suffix":""}],"container-title":"Journal of Singing","id":"ITEM-2","issue":"3","issued":{"date-parts":[["2019"]]},"page":"297-302","title":"VOICE PEDAGOGY A Mentoring Paradigm For Voice Pedagogy Programs","type":"article-journal","volume":"75"},"uris":["http://www.mendeley.com/documents/?uuid=33a53c97-7bf4-4c00-8050-299f7b67a522"]}],"mendeley":{"formattedCitation":"(Mccoy and Macdonald, 2019; Lindqvist &lt;i&gt;et al.&lt;/i&gt;, 2023)","plainTextFormattedCitation":"(Mccoy and Macdonald, 2019; Lindqvist et al., 2023)","previouslyFormattedCitation":"(Mccoy and Macdonald, 2019;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(Mccoy and Macdonald, 2019;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 xml:space="preserve">. Continuing to seek feedback from students as collaboration within the ‘real world setting’ is an opportunity for planning further CPD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{"citationItems":[{"id":"ITEM-1","itemData":{"DOI":"10.1080/09523987.2013.843832","ISBN":"9780415618038","ISSN":"0952-3987","abstract":"Many aspects of research design and methodology have changed very little in the quarter-century since this book first appeared. The challenge of formulating a researchable problem, labeling and operationalizing the variables that make up the problem, research design, their graphic representation, sources of validity and invalidity, the bases for evaluating measuring instruments, their statistical tests, format for reporting, etc., show little difference from the versions presented in the initial appearance of this textbook. When this book first appeared, statistical tests were mostly laboriously performed on \"high-speed\" desk calculators, which, like the dinosaur, have become extinct. The computer age, however, was in its infancy and most of us were learning how to run data on mainframe computers using punched cards and program control language. Today, the availability and easy use of statistical software packages for use on personal computers enable researchers to remain at their desks and run any number of statistical analyses from simple to sophisticated.","author":[{"dropping-particle":"","family":"Valentine","given":"Keri D.","non-dropping-particle":"","parse-names":false,"suffix":""},{"dropping-particle":"","family":"Kopcha","given":"Theodore J.","non-dropping-particle":"","parse-names":false,"suffix":""}],"container-title":"Educational Media International","id":"ITEM-1","issue":"3","issued":{"date-parts":[["2013"]]},"number-of-pages":"226-227","title":"Conducting educational design research","type":"book","volume":"50"},"uris":["http://www.mendeley.com/documents/?uuid=65fe1a69-feb3-481a-bae9-8feec0fc6a15"]},{"id":"ITEM-2","itemData":{"ISBN":"978-90-329-2329-7","abstract":"Edited Book","author":[{"dropping-particle":"","family":"Plomp","given":"T","non-dropping-particle":"","parse-names":false,"suffix":""},{"dropping-particle":"","family":"Nieveen","given":"N M","non-dropping-particle":"","parse-names":false,"suffix":""}],"id":"ITEM-2","issued":{"date-parts":[["2010"]]},"title":"An introduction to educational design research","type":"article-journal"},"uris":["http://www.mendeley.com/documents/?uuid=3d903e11-a75e-401c-b864-4f301aac1ac9"]}],"mendeley":{"formattedCitation":"(Plomp and Nieveen, 2010; Valentine and Kopcha, 2013)","plainTextFormattedCitation":"(Plomp and Nieveen, 2010; Valentine and Kopcha, 2013)","previouslyFormattedCitation":"(Plomp and Nieveen, 2010; Valentine and Kopcha, 2013)"},"properties":{"noteIndex":0},"schema":"https://github.com/citation-style-language/schema/raw/master/csl-citation.json"}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(Plomp and Nieveen, 2010; Valentine and Kopcha, 2013)</w:t>
      </w:r>
      <w:r w:rsidRPr="00AE2080">
        <w:rPr>
          <w:rFonts w:ascii="Arial" w:hAnsi="Arial" w:cs="Arial"/>
          <w:sz w:val="24"/>
          <w:szCs w:val="24"/>
        </w:rPr>
        <w:fldChar w:fldCharType="end"/>
      </w:r>
      <w:r w:rsidRPr="00AE2080">
        <w:rPr>
          <w:rFonts w:ascii="Arial" w:hAnsi="Arial" w:cs="Arial"/>
          <w:sz w:val="24"/>
          <w:szCs w:val="24"/>
        </w:rPr>
        <w:t>.</w:t>
      </w:r>
    </w:p>
    <w:p w14:paraId="150B74EB" w14:textId="15EA167B"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 xml:space="preserve">Before this project, belting was an area of singing about which I felt uncertain. Learning effective pedagogical approaches from experts and having formed this evidence base has increased my sense of competency in this area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{"citationItems":[{"id":"ITEM-1","itemData":{"DOI":"10.1016/0260-4779(91)90031-R","ISSN":"02604779","author":[{"dropping-particle":"","family":"Teather","given":"J. Lynne","non-dropping-particle":"","parse-names":false,"suffix":""}],"container-title":"Museum Management and Curatorship","id":"ITEM-1","issue":"4","issued":{"date-parts":[["1991"]]},"page":"403-417","title":"Museum studies. Reflecting on reflective practice","type":"article-journal","volume":"10"},"uris":["http://www.mendeley.com/documents/?uuid=79b8a30a-08d5-4520-aef0-7e904fbaa688"]}],"mendeley":{"formattedCitation":"(Teather, 1991)","plainTextFormattedCitation":"(Teather, 1991)","previouslyFormattedCitation":"(Teather, 1991)"},"properties":{"noteIndex":0},"schema":"https://github.com/citation-style-language/schema/raw/master/csl-citation.json"}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(Teather, 1991)</w:t>
      </w:r>
      <w:r w:rsidRPr="00AE2080">
        <w:rPr>
          <w:rFonts w:ascii="Arial" w:hAnsi="Arial" w:cs="Arial"/>
          <w:sz w:val="24"/>
          <w:szCs w:val="24"/>
        </w:rPr>
        <w:fldChar w:fldCharType="end"/>
      </w:r>
      <w:r w:rsidRPr="00AE2080">
        <w:rPr>
          <w:rFonts w:ascii="Arial" w:hAnsi="Arial" w:cs="Arial"/>
          <w:sz w:val="24"/>
          <w:szCs w:val="24"/>
        </w:rPr>
        <w:t xml:space="preserve">. A key message is the impact of the learning environment. A positive learning environment can open one’s mind to new possibilities by challenging beliefs and current practice approaches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Psychology","type":"article-journal","volume":"16"},"uris":["http://www.mendeley.com/documents/?uuid=d8ed6243-cdcb-4c4f-b9ac-ec00b829097c"]}],"mendeley":{"formattedCitation":"(Dixon, Lee and Ghaye, 2016)","plainTextFormattedCitation":"(Dixon, Lee and Ghaye, 2016)","previouslyFormattedCitation":"(Dixon, Lee and Ghaye, 2016)"},"properties":{"noteIndex":0},"schema":"https://github.com/citation-style-language/schema/raw/master/csl-citation.json"}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(Dixon, Lee and Ghaye, 2016)</w:t>
      </w:r>
      <w:r w:rsidRPr="00AE2080">
        <w:rPr>
          <w:rFonts w:ascii="Arial" w:hAnsi="Arial" w:cs="Arial"/>
          <w:sz w:val="24"/>
          <w:szCs w:val="24"/>
        </w:rPr>
        <w:fldChar w:fldCharType="end"/>
      </w:r>
      <w:r w:rsidRPr="00AE2080">
        <w:rPr>
          <w:rFonts w:ascii="Arial" w:hAnsi="Arial" w:cs="Arial"/>
          <w:sz w:val="24"/>
          <w:szCs w:val="24"/>
        </w:rPr>
        <w:t>. Having a reinforced confidence in the power of quality collaboration and mentorship for learning will have a continuing impact on my teaching as a whole and o</w:t>
      </w:r>
      <w:r w:rsidR="00FF4A13">
        <w:rPr>
          <w:rFonts w:ascii="Arial" w:hAnsi="Arial" w:cs="Arial"/>
          <w:sz w:val="24"/>
          <w:szCs w:val="24"/>
        </w:rPr>
        <w:t xml:space="preserve">n my ability to teach </w:t>
      </w:r>
      <w:r w:rsidRPr="00AE2080">
        <w:rPr>
          <w:rFonts w:ascii="Arial" w:hAnsi="Arial" w:cs="Arial"/>
          <w:sz w:val="24"/>
          <w:szCs w:val="24"/>
        </w:rPr>
        <w:t xml:space="preserve">belting </w:t>
      </w:r>
      <w:r w:rsidRPr="00AE2080">
        <w:rPr>
          <w:rFonts w:ascii="Arial" w:hAnsi="Arial" w:cs="Arial"/>
          <w:sz w:val="24"/>
          <w:szCs w:val="24"/>
        </w:rPr>
        <w:fldChar w:fldCharType="begin" w:fldLock="1"/>
      </w:r>
      <w:r w:rsidRPr="00AE2080">
        <w:rPr>
          <w:rFonts w:ascii="Arial" w:hAnsi="Arial" w:cs="Arial"/>
          <w:sz w:val="24"/>
          <w:szCs w:val="24"/>
        </w:rPr>
        <w:instrText>ADDIN CSL_CITATION {"citationItems":[{"id":"ITEM-1","itemData":{"DOI":"10.1080/14697017.2015.1125384","ISSN":"14791811","abstract":"The aim of this article is to demonstrate how reflective practices can enable change to be better managed by business leaders and organizations. The paper is positioned within recent and significant developments in the field of learning through reflection. These developments have given rise to puzzles and challenges, but also some opportunities. We address one of these opportunities for the better management of change, namely the use of applied positive psychology and its relationship with the practices of reflection. A sporting cameo of a ‘team in turmoil’ provides a comparative analysis of three possible change management strategies to revive the fortunes of the team. The three strategies focus on: (a) Deficit-reduction, trouble-shooting and fixing problems; (b) Using ‘traditional’ and often borrowed reflective models and cycles and (c) Managing change through enhancing positivity and using strengths-based reflective practices. Here the power of two core ideas from positive psychology and their application to change management are presented. These are the primacy of the positive and the focus on the use of human strengths. The paper concludes with reference to the work of an elite coach managing within a high performance organization and who has applied some of the principles and processes outlined in this paper, to manage change within the demanding, pressurized and ever changing environment of elite sport. Ultimately this article aims to present applied concepts of reflective practice, grounded in the relatively new field of positive psychology, to enable business leaders and organizations to more effectively manage change.","author":[{"dropping-particle":"","family":"Dixon","given":"Martin","non-dropping-particle":"","parse-names":false,"suffix":""},{"dropping-particle":"","family":"Lee","given":"Sarah","non-dropping-particle":"","parse-names":false,"suffix":""},{"dropping-particle":"","family":"Ghaye","given":"Tony","non-dropping-particle":"","parse-names":false,"suffix":""}],"container-title":"Journal of Change Management","id":"ITEM-1","issue":"2","issued":{"date-parts":[["2016"]]},"note":"It is an action ‘frame’ which many call the ‘primacy of the positive’ p145\n\nThe key to\ntaking advantage of positive emotions in managing change is to regard them as ‘resources’ that can be used to enhance individual and collective: (1) expression (2) development and (3) agency. p145-146\n\nThis means when we feel positive, we are generally more open-minded, more receptive to new ideas, more adaptive and more flexible p146\n\n1. A competency-based perspective: in that they are to do with the development of a par- ticular skill.\n2. A personalistic perspective: in that they are to do with personal agendas, emotionality, self-study and individual enhancement through a greater sense of self-worth and identity.\n3. An experiential perspective: in that they emphasize the active exploration of ‘lived experience’, one’s own and the experiences of others. This requires that learners\nJOURNAL OF CHANGE MANAGEMENT 149\nvalue their own experiences and have an openness that enables them to learn from the experiences of others (e.g. Kolb, 1984).\n4. A transformatory perspective: in that they are to do with asking questions that can chal- lenge the status quo, challenge oppressive and disempowering p148-149 workplace contexts and focus on reducing or removing barriers to improvement.","page":"142-157","publisher":"Taylor &amp; Francis","title":"Strengths-Based Reflective Practices for the Management of Change: Applications from Sport and Positive Psychology","type":"article-journal","volume":"16"},"uris":["http://www.mendeley.com/documents/?uuid=d8ed6243-cdcb-4c4f-b9ac-ec00b829097c"]},{"id":"ITEM-2","itemData":{"DOI":"10.1080/00131881.2023.2234384","ISSN":"14695847","abstract":"Background: For prospective teachers, the school-based learning component of their teacher education programme is a crucial, and often demanding, part of becoming a teacher. During this time, mentor-teachers work in close collaboration with student teachers, who are often teaching in an actual school setting for the first time. As the relationship between mentor-teacher and student teacher is pivotal to the quality of work-based learning and to supporting the professional development of prospective teachers, more needs to be understood about this complex dynamic. Purpose: Our study aimed to contribute to this area by investigating, from the viewpoint of mentor-teachers, how student teachers respond to the demands of work-based learning. It had a particular focus on mentor-teachers’ perceptions of student teachers’ emotional challenges associated with teaching and engagement. Methods: Data consisted of interviews with 22 experienced mentor -teachers from five different municipalities. Data were analysed qualitatively, using tools aligned with a constructivist grounded theory approach. Findings: Describing teaching as a complex practice, the mentor-teachers regarded proactive engagement in developing professionalism, and ability to make appropriately differentiated adjustments to their teaching as important criteria in their evaluation of student teacher progression. The mentor-teachers described student teachers’ emotional challenges in relation to these and discussed support strategies. Conclusions: The findings of the study highlight the complex dynamic of work-based learning and the key role that mentor-teachers can play in supporting the development of prospective teachers entering the profession, including the navigation of emotionally challenging situations.","author":[{"dropping-particle":"","family":"Lindqvist","given":"Henrik","non-dropping-particle":"","parse-names":false,"suffix":""},{"dropping-particle":"","family":"Weurlander","given":"Maria","non-dropping-particle":"","parse-names":false,"suffix":""},{"dropping-particle":"","family":"Barman","given":"Linda","non-dropping-particle":"","parse-names":false,"suffix":""},{"dropping-particle":"","family":"Wernerson","given":"Annika","non-dropping-particle":"","parse-names":false,"suffix":""},{"dropping-particle":"","family":"Thornberg","given":"Robert","non-dropping-particle":"","parse-names":false,"suffix":""}],"container-title":"Educational Research","id":"ITEM-2","issue":"3","issued":{"date-parts":[["2023"]]},"page":"392-407","publisher":"Routledge","title":"Work-based learning partnerships: mentor-teachers’ perceptions of student teachers’ challenges","type":"article-journal","volume":"65"},"uris":["http://www.mendeley.com/documents/?uuid=fdb52a8b-a11e-4406-903f-a400d8280c27"]}],"mendeley":{"formattedCitation":"(Dixon, Lee and Ghaye, 2016; Lindqvist &lt;i&gt;et al.&lt;/i&gt;, 2023)","plainTextFormattedCitation":"(Dixon, Lee and Ghaye, 2016; Lindqvist et al., 2023)","previouslyFormattedCitation":"(Dixon, Lee and Ghaye, 2016; Lindqvist &lt;i&gt;et al.&lt;/i&gt;, 2023)"},"properties":{"noteIndex":0},"schema":"https://github.com/citation-style-language/schema/raw/master/csl-citation.json"}</w:instrText>
      </w:r>
      <w:r w:rsidRPr="00AE2080">
        <w:rPr>
          <w:rFonts w:ascii="Arial" w:hAnsi="Arial" w:cs="Arial"/>
          <w:sz w:val="24"/>
          <w:szCs w:val="24"/>
        </w:rPr>
        <w:fldChar w:fldCharType="separate"/>
      </w:r>
      <w:r w:rsidRPr="00AE2080">
        <w:rPr>
          <w:rFonts w:ascii="Arial" w:hAnsi="Arial" w:cs="Arial"/>
          <w:noProof/>
          <w:sz w:val="24"/>
          <w:szCs w:val="24"/>
        </w:rPr>
        <w:t xml:space="preserve">(Dixon, Lee and Ghaye, 2016; Lindqvist </w:t>
      </w:r>
      <w:r w:rsidRPr="00AE2080">
        <w:rPr>
          <w:rFonts w:ascii="Arial" w:hAnsi="Arial" w:cs="Arial"/>
          <w:i/>
          <w:noProof/>
          <w:sz w:val="24"/>
          <w:szCs w:val="24"/>
        </w:rPr>
        <w:t>et al.</w:t>
      </w:r>
      <w:r w:rsidRPr="00AE2080">
        <w:rPr>
          <w:rFonts w:ascii="Arial" w:hAnsi="Arial" w:cs="Arial"/>
          <w:noProof/>
          <w:sz w:val="24"/>
          <w:szCs w:val="24"/>
        </w:rPr>
        <w:t>, 2023)</w:t>
      </w:r>
      <w:r w:rsidRPr="00AE2080">
        <w:rPr>
          <w:rFonts w:ascii="Arial" w:hAnsi="Arial" w:cs="Arial"/>
          <w:sz w:val="24"/>
          <w:szCs w:val="24"/>
        </w:rPr>
        <w:fldChar w:fldCharType="end"/>
      </w:r>
      <w:r w:rsidRPr="00AE2080">
        <w:rPr>
          <w:rFonts w:ascii="Arial" w:hAnsi="Arial" w:cs="Arial"/>
          <w:sz w:val="24"/>
          <w:szCs w:val="24"/>
        </w:rPr>
        <w:t>.</w:t>
      </w:r>
    </w:p>
    <w:p w14:paraId="739108B3" w14:textId="7AD8CCF3" w:rsidR="00830195" w:rsidRPr="00AE2080" w:rsidRDefault="00830195" w:rsidP="00AE2080">
      <w:pPr>
        <w:spacing w:line="360" w:lineRule="auto"/>
        <w:jc w:val="both"/>
        <w:rPr>
          <w:rFonts w:ascii="Arial" w:hAnsi="Arial" w:cs="Arial"/>
          <w:sz w:val="24"/>
          <w:szCs w:val="24"/>
        </w:rPr>
      </w:pPr>
      <w:r w:rsidRPr="00AE2080">
        <w:rPr>
          <w:rFonts w:ascii="Arial" w:hAnsi="Arial" w:cs="Arial"/>
          <w:sz w:val="24"/>
          <w:szCs w:val="24"/>
        </w:rPr>
        <w:t>Reading, analysing, and reflecting on the student feedback has reinforced the importance of approaches which support self-efficacy improvements: approaches such as</w:t>
      </w:r>
      <w:r w:rsidR="00B2143E">
        <w:rPr>
          <w:rFonts w:ascii="Arial" w:hAnsi="Arial" w:cs="Arial"/>
          <w:sz w:val="24"/>
          <w:szCs w:val="24"/>
        </w:rPr>
        <w:t xml:space="preserve"> a</w:t>
      </w:r>
      <w:r w:rsidRPr="00AE2080">
        <w:rPr>
          <w:rFonts w:ascii="Arial" w:hAnsi="Arial" w:cs="Arial"/>
          <w:sz w:val="24"/>
          <w:szCs w:val="24"/>
        </w:rPr>
        <w:t xml:space="preserve"> positive learning environment, attitude, clear two-way communication between student and teacher, and the benefits of self-reflection in any learning process and CPD. During this study, these approaches have made learning feel accessible. For </w:t>
      </w:r>
      <w:r w:rsidR="007C5399" w:rsidRPr="00AE2080">
        <w:rPr>
          <w:rFonts w:ascii="Arial" w:hAnsi="Arial" w:cs="Arial"/>
          <w:sz w:val="24"/>
          <w:szCs w:val="24"/>
        </w:rPr>
        <w:t xml:space="preserve">the students </w:t>
      </w:r>
      <w:r w:rsidRPr="00AE2080">
        <w:rPr>
          <w:rFonts w:ascii="Arial" w:hAnsi="Arial" w:cs="Arial"/>
          <w:sz w:val="24"/>
          <w:szCs w:val="24"/>
        </w:rPr>
        <w:t>and</w:t>
      </w:r>
      <w:r w:rsidR="007C5399" w:rsidRPr="007C5399">
        <w:rPr>
          <w:rFonts w:ascii="Arial" w:hAnsi="Arial" w:cs="Arial"/>
          <w:sz w:val="24"/>
          <w:szCs w:val="24"/>
        </w:rPr>
        <w:t xml:space="preserve"> </w:t>
      </w:r>
      <w:r w:rsidR="007C5399" w:rsidRPr="00AE2080">
        <w:rPr>
          <w:rFonts w:ascii="Arial" w:hAnsi="Arial" w:cs="Arial"/>
          <w:sz w:val="24"/>
          <w:szCs w:val="24"/>
        </w:rPr>
        <w:t>me</w:t>
      </w:r>
      <w:r w:rsidRPr="00AE2080">
        <w:rPr>
          <w:rFonts w:ascii="Arial" w:hAnsi="Arial" w:cs="Arial"/>
          <w:sz w:val="24"/>
          <w:szCs w:val="24"/>
        </w:rPr>
        <w:t>, awareness of how to access knowledge through collaborative approaches has fostered a positive attitude to</w:t>
      </w:r>
      <w:r w:rsidR="007C04C7">
        <w:rPr>
          <w:rFonts w:ascii="Arial" w:hAnsi="Arial" w:cs="Arial"/>
          <w:sz w:val="24"/>
          <w:szCs w:val="24"/>
        </w:rPr>
        <w:t>wards</w:t>
      </w:r>
      <w:r w:rsidRPr="00AE2080">
        <w:rPr>
          <w:rFonts w:ascii="Arial" w:hAnsi="Arial" w:cs="Arial"/>
          <w:sz w:val="24"/>
          <w:szCs w:val="24"/>
        </w:rPr>
        <w:t xml:space="preserve"> the process of gradual development. Finally, a quote which encapsulates my CPD and the learning experience of all the students during this study:</w:t>
      </w:r>
    </w:p>
    <w:p w14:paraId="1E07B71C" w14:textId="77777777" w:rsidR="00830195" w:rsidRPr="00AE2080" w:rsidRDefault="00830195" w:rsidP="00AE2080">
      <w:pPr>
        <w:spacing w:line="360" w:lineRule="auto"/>
        <w:jc w:val="center"/>
        <w:rPr>
          <w:rFonts w:ascii="Arial" w:hAnsi="Arial" w:cs="Arial"/>
          <w:sz w:val="24"/>
          <w:szCs w:val="24"/>
        </w:rPr>
      </w:pPr>
      <w:r w:rsidRPr="00AE2080">
        <w:rPr>
          <w:rFonts w:ascii="Arial" w:hAnsi="Arial" w:cs="Arial"/>
          <w:i/>
          <w:iCs/>
          <w:sz w:val="24"/>
          <w:szCs w:val="24"/>
        </w:rPr>
        <w:t xml:space="preserve">‘I have thoroughly enjoyed my experience participating in the study. I feel as though it has given me a fresh view of singing and has </w:t>
      </w:r>
      <w:proofErr w:type="gramStart"/>
      <w:r w:rsidRPr="00AE2080">
        <w:rPr>
          <w:rFonts w:ascii="Arial" w:hAnsi="Arial" w:cs="Arial"/>
          <w:i/>
          <w:iCs/>
          <w:sz w:val="24"/>
          <w:szCs w:val="24"/>
        </w:rPr>
        <w:t>opened up</w:t>
      </w:r>
      <w:proofErr w:type="gramEnd"/>
      <w:r w:rsidRPr="00AE2080">
        <w:rPr>
          <w:rFonts w:ascii="Arial" w:hAnsi="Arial" w:cs="Arial"/>
          <w:i/>
          <w:iCs/>
          <w:sz w:val="24"/>
          <w:szCs w:val="24"/>
        </w:rPr>
        <w:t xml:space="preserve"> new possibilities of what I may be able to do with my voice in the future.’</w:t>
      </w:r>
    </w:p>
    <w:p w14:paraId="29087F38" w14:textId="1D172451" w:rsidR="00F14A64" w:rsidRPr="00AE2080" w:rsidRDefault="00830195" w:rsidP="00AE2080">
      <w:pPr>
        <w:spacing w:line="360" w:lineRule="auto"/>
        <w:ind w:left="720"/>
        <w:jc w:val="center"/>
        <w:rPr>
          <w:rFonts w:ascii="Arial" w:hAnsi="Arial" w:cs="Arial"/>
          <w:sz w:val="24"/>
          <w:szCs w:val="24"/>
        </w:rPr>
      </w:pPr>
      <w:r w:rsidRPr="00AE2080">
        <w:rPr>
          <w:rFonts w:ascii="Arial" w:hAnsi="Arial" w:cs="Arial"/>
          <w:sz w:val="24"/>
          <w:szCs w:val="24"/>
        </w:rPr>
        <w:t>(C, 2024, post-study survey)</w:t>
      </w:r>
      <w:r w:rsidR="00F14A64" w:rsidRPr="00AE2080">
        <w:rPr>
          <w:rFonts w:ascii="Arial" w:hAnsi="Arial" w:cs="Arial"/>
          <w:sz w:val="24"/>
          <w:szCs w:val="24"/>
        </w:rPr>
        <w:br w:type="page"/>
      </w:r>
    </w:p>
    <w:p w14:paraId="1BD90414" w14:textId="503D7E91" w:rsidR="00830195" w:rsidRDefault="00F14A64" w:rsidP="00AE2080">
      <w:pPr>
        <w:spacing w:line="360" w:lineRule="auto"/>
        <w:jc w:val="center"/>
        <w:rPr>
          <w:rFonts w:ascii="Arial" w:hAnsi="Arial" w:cs="Arial"/>
          <w:b/>
          <w:bCs/>
          <w:sz w:val="24"/>
          <w:szCs w:val="24"/>
        </w:rPr>
      </w:pPr>
      <w:bookmarkStart w:id="27" w:name="References"/>
      <w:r w:rsidRPr="00AE2080">
        <w:rPr>
          <w:rFonts w:ascii="Arial" w:hAnsi="Arial" w:cs="Arial"/>
          <w:b/>
          <w:bCs/>
          <w:sz w:val="24"/>
          <w:szCs w:val="24"/>
        </w:rPr>
        <w:lastRenderedPageBreak/>
        <w:t>References</w:t>
      </w:r>
    </w:p>
    <w:p w14:paraId="55AFFDC6" w14:textId="0C69248B"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Pr>
          <w:rFonts w:ascii="Arial" w:hAnsi="Arial" w:cs="Arial"/>
          <w:b/>
          <w:bCs/>
          <w:sz w:val="24"/>
          <w:szCs w:val="24"/>
        </w:rPr>
        <w:fldChar w:fldCharType="begin" w:fldLock="1"/>
      </w:r>
      <w:r>
        <w:rPr>
          <w:rFonts w:ascii="Arial" w:hAnsi="Arial" w:cs="Arial"/>
          <w:b/>
          <w:bCs/>
          <w:sz w:val="24"/>
          <w:szCs w:val="24"/>
        </w:rPr>
        <w:instrText xml:space="preserve">ADDIN Mendeley Bibliography CSL_BIBLIOGRAPHY </w:instrText>
      </w:r>
      <w:r>
        <w:rPr>
          <w:rFonts w:ascii="Arial" w:hAnsi="Arial" w:cs="Arial"/>
          <w:b/>
          <w:bCs/>
          <w:sz w:val="24"/>
          <w:szCs w:val="24"/>
        </w:rPr>
        <w:fldChar w:fldCharType="separate"/>
      </w:r>
      <w:r w:rsidRPr="00381921">
        <w:rPr>
          <w:rFonts w:ascii="Arial" w:hAnsi="Arial" w:cs="Arial"/>
          <w:noProof/>
          <w:sz w:val="24"/>
          <w:szCs w:val="24"/>
        </w:rPr>
        <w:t>1, E. (2023) ‘Expert 1 data sources’.</w:t>
      </w:r>
    </w:p>
    <w:p w14:paraId="5BA7786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2, E. (2023) ‘Expert 2 data sources’.</w:t>
      </w:r>
    </w:p>
    <w:p w14:paraId="42C41C8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A, S. (2024) ‘Student A data sources’.</w:t>
      </w:r>
    </w:p>
    <w:p w14:paraId="7888527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B, S. (2024) ‘Student B data sources’.</w:t>
      </w:r>
    </w:p>
    <w:p w14:paraId="20CFB79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Becker, D. A. (2020) ‘Creating Online Teaching Resources and Suggesting Mobile Apps in the Time of COVID 19’, </w:t>
      </w:r>
      <w:r w:rsidRPr="00381921">
        <w:rPr>
          <w:rFonts w:ascii="Arial" w:hAnsi="Arial" w:cs="Arial"/>
          <w:i/>
          <w:iCs/>
          <w:noProof/>
          <w:sz w:val="24"/>
          <w:szCs w:val="24"/>
        </w:rPr>
        <w:t>Journal of Electronic Resources in Medical Libraries</w:t>
      </w:r>
      <w:r w:rsidRPr="00381921">
        <w:rPr>
          <w:rFonts w:ascii="Arial" w:hAnsi="Arial" w:cs="Arial"/>
          <w:noProof/>
          <w:sz w:val="24"/>
          <w:szCs w:val="24"/>
        </w:rPr>
        <w:t>, 17(3–4), pp. 105–112. doi: 10.1080/15424065.2020.1829233.</w:t>
      </w:r>
    </w:p>
    <w:p w14:paraId="5BC3873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Bell, J. and Waters, S. (2018) </w:t>
      </w:r>
      <w:r w:rsidRPr="00381921">
        <w:rPr>
          <w:rFonts w:ascii="Arial" w:hAnsi="Arial" w:cs="Arial"/>
          <w:i/>
          <w:iCs/>
          <w:noProof/>
          <w:sz w:val="24"/>
          <w:szCs w:val="24"/>
        </w:rPr>
        <w:t>Doing Your Research Project</w:t>
      </w:r>
      <w:r w:rsidRPr="00381921">
        <w:rPr>
          <w:rFonts w:ascii="Arial" w:hAnsi="Arial" w:cs="Arial"/>
          <w:noProof/>
          <w:sz w:val="24"/>
          <w:szCs w:val="24"/>
        </w:rPr>
        <w:t>. 7th edn. London: Open University Press.</w:t>
      </w:r>
    </w:p>
    <w:p w14:paraId="7726C42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Benson, E. A. (2018) ‘Functional training for all styles’, </w:t>
      </w:r>
      <w:r w:rsidRPr="00381921">
        <w:rPr>
          <w:rFonts w:ascii="Arial" w:hAnsi="Arial" w:cs="Arial"/>
          <w:i/>
          <w:iCs/>
          <w:noProof/>
          <w:sz w:val="24"/>
          <w:szCs w:val="24"/>
        </w:rPr>
        <w:t>The American Music Teacher</w:t>
      </w:r>
      <w:r w:rsidRPr="00381921">
        <w:rPr>
          <w:rFonts w:ascii="Arial" w:hAnsi="Arial" w:cs="Arial"/>
          <w:noProof/>
          <w:sz w:val="24"/>
          <w:szCs w:val="24"/>
        </w:rPr>
        <w:t>, 67(6), pp. 10–13. Available at: https://www.jstor.org/stable/26502682.</w:t>
      </w:r>
    </w:p>
    <w:p w14:paraId="2541274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Bestebreurtje, M. E. and Schutte, H. K. (2000) ‘Resonance strategies for the belting style: Results of a single female subject study’, </w:t>
      </w:r>
      <w:r w:rsidRPr="00381921">
        <w:rPr>
          <w:rFonts w:ascii="Arial" w:hAnsi="Arial" w:cs="Arial"/>
          <w:i/>
          <w:iCs/>
          <w:noProof/>
          <w:sz w:val="24"/>
          <w:szCs w:val="24"/>
        </w:rPr>
        <w:t>Journal of Voice</w:t>
      </w:r>
      <w:r w:rsidRPr="00381921">
        <w:rPr>
          <w:rFonts w:ascii="Arial" w:hAnsi="Arial" w:cs="Arial"/>
          <w:noProof/>
          <w:sz w:val="24"/>
          <w:szCs w:val="24"/>
        </w:rPr>
        <w:t>, 14(2), pp. 194–204. doi: 10.1016/S0892-1997(00)80027-2.</w:t>
      </w:r>
    </w:p>
    <w:p w14:paraId="4F8D81E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Bittencourt, M. F. Q. P. </w:t>
      </w:r>
      <w:r w:rsidRPr="00381921">
        <w:rPr>
          <w:rFonts w:ascii="Arial" w:hAnsi="Arial" w:cs="Arial"/>
          <w:i/>
          <w:iCs/>
          <w:noProof/>
          <w:sz w:val="24"/>
          <w:szCs w:val="24"/>
        </w:rPr>
        <w:t>et al.</w:t>
      </w:r>
      <w:r w:rsidRPr="00381921">
        <w:rPr>
          <w:rFonts w:ascii="Arial" w:hAnsi="Arial" w:cs="Arial"/>
          <w:noProof/>
          <w:sz w:val="24"/>
          <w:szCs w:val="24"/>
        </w:rPr>
        <w:t xml:space="preserve"> (2023) ‘Belting in English is Easier Than It is in Portuguese’, </w:t>
      </w:r>
      <w:r w:rsidRPr="00381921">
        <w:rPr>
          <w:rFonts w:ascii="Arial" w:hAnsi="Arial" w:cs="Arial"/>
          <w:i/>
          <w:iCs/>
          <w:noProof/>
          <w:sz w:val="24"/>
          <w:szCs w:val="24"/>
        </w:rPr>
        <w:t>Journal of Voice</w:t>
      </w:r>
      <w:r w:rsidRPr="00381921">
        <w:rPr>
          <w:rFonts w:ascii="Arial" w:hAnsi="Arial" w:cs="Arial"/>
          <w:noProof/>
          <w:sz w:val="24"/>
          <w:szCs w:val="24"/>
        </w:rPr>
        <w:t>, 37(6), pp. 968.e19-968.e24. doi: 10.1016/j.jvoice.2021.05.012.</w:t>
      </w:r>
    </w:p>
    <w:p w14:paraId="02BE297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Blackhurst, L. E. (2021) </w:t>
      </w:r>
      <w:r w:rsidRPr="00381921">
        <w:rPr>
          <w:rFonts w:ascii="Arial" w:hAnsi="Arial" w:cs="Arial"/>
          <w:i/>
          <w:iCs/>
          <w:noProof/>
          <w:sz w:val="24"/>
          <w:szCs w:val="24"/>
        </w:rPr>
        <w:t>Exploring the Whole Singing Self with Technique, Contemplative Education, and Mindfulness</w:t>
      </w:r>
      <w:r w:rsidRPr="00381921">
        <w:rPr>
          <w:rFonts w:ascii="Arial" w:hAnsi="Arial" w:cs="Arial"/>
          <w:noProof/>
          <w:sz w:val="24"/>
          <w:szCs w:val="24"/>
        </w:rPr>
        <w:t xml:space="preserve">, </w:t>
      </w:r>
      <w:r w:rsidRPr="00381921">
        <w:rPr>
          <w:rFonts w:ascii="Arial" w:hAnsi="Arial" w:cs="Arial"/>
          <w:i/>
          <w:iCs/>
          <w:noProof/>
          <w:sz w:val="24"/>
          <w:szCs w:val="24"/>
        </w:rPr>
        <w:t>University of Colombia Doctor of Education submission</w:t>
      </w:r>
      <w:r w:rsidRPr="00381921">
        <w:rPr>
          <w:rFonts w:ascii="Arial" w:hAnsi="Arial" w:cs="Arial"/>
          <w:noProof/>
          <w:sz w:val="24"/>
          <w:szCs w:val="24"/>
        </w:rPr>
        <w:t>.</w:t>
      </w:r>
    </w:p>
    <w:p w14:paraId="544A18F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Borrett, D. S., Sampson, H. and Cavoukian, A. (2017) ‘Research ethics by design: A collaborative research design proposal’, </w:t>
      </w:r>
      <w:r w:rsidRPr="00381921">
        <w:rPr>
          <w:rFonts w:ascii="Arial" w:hAnsi="Arial" w:cs="Arial"/>
          <w:i/>
          <w:iCs/>
          <w:noProof/>
          <w:sz w:val="24"/>
          <w:szCs w:val="24"/>
        </w:rPr>
        <w:t>Research Ethics</w:t>
      </w:r>
      <w:r w:rsidRPr="00381921">
        <w:rPr>
          <w:rFonts w:ascii="Arial" w:hAnsi="Arial" w:cs="Arial"/>
          <w:noProof/>
          <w:sz w:val="24"/>
          <w:szCs w:val="24"/>
        </w:rPr>
        <w:t>, 13(2), pp. 84–91. doi: 10.1177/1747016116673135.</w:t>
      </w:r>
    </w:p>
    <w:p w14:paraId="39ADA2C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Bourne, T. and Kenny, D. (2016) ‘Vocal Qualities in Music Theater Voice: Perceptions of Expert Pedagogues’, </w:t>
      </w:r>
      <w:r w:rsidRPr="00381921">
        <w:rPr>
          <w:rFonts w:ascii="Arial" w:hAnsi="Arial" w:cs="Arial"/>
          <w:i/>
          <w:iCs/>
          <w:noProof/>
          <w:sz w:val="24"/>
          <w:szCs w:val="24"/>
        </w:rPr>
        <w:t>Journal of Voice</w:t>
      </w:r>
      <w:r w:rsidRPr="00381921">
        <w:rPr>
          <w:rFonts w:ascii="Arial" w:hAnsi="Arial" w:cs="Arial"/>
          <w:noProof/>
          <w:sz w:val="24"/>
          <w:szCs w:val="24"/>
        </w:rPr>
        <w:t>, 30(1), pp. 128.e1-128.e12. doi: 10.1016/j.jvoice.2015.03.008.</w:t>
      </w:r>
    </w:p>
    <w:p w14:paraId="554AFA0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Bozeman, K. and Ragan, K. (2021) ‘Evidence-Based Voice Pedagogy (EBVP), Part </w:t>
      </w:r>
      <w:r w:rsidRPr="00381921">
        <w:rPr>
          <w:rFonts w:ascii="Arial" w:hAnsi="Arial" w:cs="Arial"/>
          <w:noProof/>
          <w:sz w:val="24"/>
          <w:szCs w:val="24"/>
        </w:rPr>
        <w:lastRenderedPageBreak/>
        <w:t xml:space="preserve">2: Voice Teacher Expertise and Experience’, </w:t>
      </w:r>
      <w:r w:rsidRPr="00381921">
        <w:rPr>
          <w:rFonts w:ascii="Arial" w:hAnsi="Arial" w:cs="Arial"/>
          <w:i/>
          <w:iCs/>
          <w:noProof/>
          <w:sz w:val="24"/>
          <w:szCs w:val="24"/>
        </w:rPr>
        <w:t>Journal of Singing</w:t>
      </w:r>
      <w:r w:rsidRPr="00381921">
        <w:rPr>
          <w:rFonts w:ascii="Arial" w:hAnsi="Arial" w:cs="Arial"/>
          <w:noProof/>
          <w:sz w:val="24"/>
          <w:szCs w:val="24"/>
        </w:rPr>
        <w:t>, 78(3), pp. 389–393. doi: 10.53830/xjox9734.</w:t>
      </w:r>
    </w:p>
    <w:p w14:paraId="38676FF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Bozeman, K. W. (2013) </w:t>
      </w:r>
      <w:r w:rsidRPr="00381921">
        <w:rPr>
          <w:rFonts w:ascii="Arial" w:hAnsi="Arial" w:cs="Arial"/>
          <w:i/>
          <w:iCs/>
          <w:noProof/>
          <w:sz w:val="24"/>
          <w:szCs w:val="24"/>
        </w:rPr>
        <w:t>Practical Vocal Acoustics</w:t>
      </w:r>
      <w:r w:rsidRPr="00381921">
        <w:rPr>
          <w:rFonts w:ascii="Arial" w:hAnsi="Arial" w:cs="Arial"/>
          <w:noProof/>
          <w:sz w:val="24"/>
          <w:szCs w:val="24"/>
        </w:rPr>
        <w:t>. New York: Pendragon.</w:t>
      </w:r>
    </w:p>
    <w:p w14:paraId="733EDC6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Braun, V. and Clarke, V. (2006) ‘Using thematic analysis in psychology’, </w:t>
      </w:r>
      <w:r w:rsidRPr="00381921">
        <w:rPr>
          <w:rFonts w:ascii="Arial" w:hAnsi="Arial" w:cs="Arial"/>
          <w:i/>
          <w:iCs/>
          <w:noProof/>
          <w:sz w:val="24"/>
          <w:szCs w:val="24"/>
        </w:rPr>
        <w:t>Qualitative Research in Psychology</w:t>
      </w:r>
      <w:r w:rsidRPr="00381921">
        <w:rPr>
          <w:rFonts w:ascii="Arial" w:hAnsi="Arial" w:cs="Arial"/>
          <w:noProof/>
          <w:sz w:val="24"/>
          <w:szCs w:val="24"/>
        </w:rPr>
        <w:t>, 3(2), pp. 77–101. doi: 10.1191/1478088706qp063oa.</w:t>
      </w:r>
    </w:p>
    <w:p w14:paraId="4D9B13F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Braun, V. and Clarke, V. (2019) ‘Reflecting on reflexive thematic analysis’, </w:t>
      </w:r>
      <w:r w:rsidRPr="00381921">
        <w:rPr>
          <w:rFonts w:ascii="Arial" w:hAnsi="Arial" w:cs="Arial"/>
          <w:i/>
          <w:iCs/>
          <w:noProof/>
          <w:sz w:val="24"/>
          <w:szCs w:val="24"/>
        </w:rPr>
        <w:t>Qualitative Research in Sport, Exercise and Health</w:t>
      </w:r>
      <w:r w:rsidRPr="00381921">
        <w:rPr>
          <w:rFonts w:ascii="Arial" w:hAnsi="Arial" w:cs="Arial"/>
          <w:noProof/>
          <w:sz w:val="24"/>
          <w:szCs w:val="24"/>
        </w:rPr>
        <w:t>, 11(4), pp. 589–597. doi: 10.1080/2159676X.2019.1628806.</w:t>
      </w:r>
    </w:p>
    <w:p w14:paraId="5158F65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C, S. (2024) ‘Student C data sources’.</w:t>
      </w:r>
    </w:p>
    <w:p w14:paraId="5CF04A9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Candy, L. (2006) </w:t>
      </w:r>
      <w:r w:rsidRPr="00381921">
        <w:rPr>
          <w:rFonts w:ascii="Arial" w:hAnsi="Arial" w:cs="Arial"/>
          <w:i/>
          <w:iCs/>
          <w:noProof/>
          <w:sz w:val="24"/>
          <w:szCs w:val="24"/>
        </w:rPr>
        <w:t>Practice Based Research: A Guide Linda</w:t>
      </w:r>
      <w:r w:rsidRPr="00381921">
        <w:rPr>
          <w:rFonts w:ascii="Arial" w:hAnsi="Arial" w:cs="Arial"/>
          <w:noProof/>
          <w:sz w:val="24"/>
          <w:szCs w:val="24"/>
        </w:rPr>
        <w:t xml:space="preserve">, </w:t>
      </w:r>
      <w:r w:rsidRPr="00381921">
        <w:rPr>
          <w:rFonts w:ascii="Arial" w:hAnsi="Arial" w:cs="Arial"/>
          <w:i/>
          <w:iCs/>
          <w:noProof/>
          <w:sz w:val="24"/>
          <w:szCs w:val="24"/>
        </w:rPr>
        <w:t>Creativity &amp; Cognition Studios</w:t>
      </w:r>
      <w:r w:rsidRPr="00381921">
        <w:rPr>
          <w:rFonts w:ascii="Arial" w:hAnsi="Arial" w:cs="Arial"/>
          <w:noProof/>
          <w:sz w:val="24"/>
          <w:szCs w:val="24"/>
        </w:rPr>
        <w:t>. doi: 10.1016/j.jct.2009.04.005.</w:t>
      </w:r>
    </w:p>
    <w:p w14:paraId="096B5A6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Caraballo, L. (2019) ‘Being “Loud”: Identities-in-Practice in a Figured World of Achievement’, </w:t>
      </w:r>
      <w:r w:rsidRPr="00381921">
        <w:rPr>
          <w:rFonts w:ascii="Arial" w:hAnsi="Arial" w:cs="Arial"/>
          <w:i/>
          <w:iCs/>
          <w:noProof/>
          <w:sz w:val="24"/>
          <w:szCs w:val="24"/>
        </w:rPr>
        <w:t>American Educational Research Journal</w:t>
      </w:r>
      <w:r w:rsidRPr="00381921">
        <w:rPr>
          <w:rFonts w:ascii="Arial" w:hAnsi="Arial" w:cs="Arial"/>
          <w:noProof/>
          <w:sz w:val="24"/>
          <w:szCs w:val="24"/>
        </w:rPr>
        <w:t>, 56(4), pp. 1281–1317. doi: 10.3102/0002831218816059.</w:t>
      </w:r>
    </w:p>
    <w:p w14:paraId="7677F46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Cobb, P. </w:t>
      </w:r>
      <w:r w:rsidRPr="00381921">
        <w:rPr>
          <w:rFonts w:ascii="Arial" w:hAnsi="Arial" w:cs="Arial"/>
          <w:i/>
          <w:iCs/>
          <w:noProof/>
          <w:sz w:val="24"/>
          <w:szCs w:val="24"/>
        </w:rPr>
        <w:t>et al.</w:t>
      </w:r>
      <w:r w:rsidRPr="00381921">
        <w:rPr>
          <w:rFonts w:ascii="Arial" w:hAnsi="Arial" w:cs="Arial"/>
          <w:noProof/>
          <w:sz w:val="24"/>
          <w:szCs w:val="24"/>
        </w:rPr>
        <w:t xml:space="preserve"> (2003) ‘Design Experiments in Educational Research’, </w:t>
      </w:r>
      <w:r w:rsidRPr="00381921">
        <w:rPr>
          <w:rFonts w:ascii="Arial" w:hAnsi="Arial" w:cs="Arial"/>
          <w:i/>
          <w:iCs/>
          <w:noProof/>
          <w:sz w:val="24"/>
          <w:szCs w:val="24"/>
        </w:rPr>
        <w:t>Educational Researcher</w:t>
      </w:r>
      <w:r w:rsidRPr="00381921">
        <w:rPr>
          <w:rFonts w:ascii="Arial" w:hAnsi="Arial" w:cs="Arial"/>
          <w:noProof/>
          <w:sz w:val="24"/>
          <w:szCs w:val="24"/>
        </w:rPr>
        <w:t>, 32(1), pp. 9–13. doi: 10.3102/0013189X032001009.</w:t>
      </w:r>
    </w:p>
    <w:p w14:paraId="72E9506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Cooper, C. </w:t>
      </w:r>
      <w:r w:rsidRPr="00381921">
        <w:rPr>
          <w:rFonts w:ascii="Arial" w:hAnsi="Arial" w:cs="Arial"/>
          <w:i/>
          <w:iCs/>
          <w:noProof/>
          <w:sz w:val="24"/>
          <w:szCs w:val="24"/>
        </w:rPr>
        <w:t>et al.</w:t>
      </w:r>
      <w:r w:rsidRPr="00381921">
        <w:rPr>
          <w:rFonts w:ascii="Arial" w:hAnsi="Arial" w:cs="Arial"/>
          <w:noProof/>
          <w:sz w:val="24"/>
          <w:szCs w:val="24"/>
        </w:rPr>
        <w:t xml:space="preserve"> (2018) ‘Defining the process to literature searching in systematic reviews: A literature review of guidance and supporting studies’, </w:t>
      </w:r>
      <w:r w:rsidRPr="00381921">
        <w:rPr>
          <w:rFonts w:ascii="Arial" w:hAnsi="Arial" w:cs="Arial"/>
          <w:i/>
          <w:iCs/>
          <w:noProof/>
          <w:sz w:val="24"/>
          <w:szCs w:val="24"/>
        </w:rPr>
        <w:t>BMC Medical Research Methodology</w:t>
      </w:r>
      <w:r w:rsidRPr="00381921">
        <w:rPr>
          <w:rFonts w:ascii="Arial" w:hAnsi="Arial" w:cs="Arial"/>
          <w:noProof/>
          <w:sz w:val="24"/>
          <w:szCs w:val="24"/>
        </w:rPr>
        <w:t>, 18(1), pp. 1–14. doi: 10.1186/s12874-018-0545-3.</w:t>
      </w:r>
    </w:p>
    <w:p w14:paraId="7BBEE9B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Cortez, L. P. and Warr, M. (2021) </w:t>
      </w:r>
      <w:r w:rsidRPr="00381921">
        <w:rPr>
          <w:rFonts w:ascii="Arial" w:hAnsi="Arial" w:cs="Arial"/>
          <w:i/>
          <w:iCs/>
          <w:noProof/>
          <w:sz w:val="24"/>
          <w:szCs w:val="24"/>
        </w:rPr>
        <w:t>DBR cycle diagram</w:t>
      </w:r>
      <w:r w:rsidRPr="00381921">
        <w:rPr>
          <w:rFonts w:ascii="Arial" w:hAnsi="Arial" w:cs="Arial"/>
          <w:noProof/>
          <w:sz w:val="24"/>
          <w:szCs w:val="24"/>
        </w:rPr>
        <w:t xml:space="preserve">, </w:t>
      </w:r>
      <w:r w:rsidRPr="00381921">
        <w:rPr>
          <w:rFonts w:ascii="Arial" w:hAnsi="Arial" w:cs="Arial"/>
          <w:i/>
          <w:iCs/>
          <w:noProof/>
          <w:sz w:val="24"/>
          <w:szCs w:val="24"/>
        </w:rPr>
        <w:t>Talking About Design</w:t>
      </w:r>
      <w:r w:rsidRPr="00381921">
        <w:rPr>
          <w:rFonts w:ascii="Arial" w:hAnsi="Arial" w:cs="Arial"/>
          <w:noProof/>
          <w:sz w:val="24"/>
          <w:szCs w:val="24"/>
        </w:rPr>
        <w:t>. Available at: https://talkingaboutdesign.com/two-perspectives-on-design-based-research/ (Accessed: 2 December 2023).</w:t>
      </w:r>
    </w:p>
    <w:p w14:paraId="6619116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Costley, C. (2006) ‘Practitioner-led enquiry as development of professional practice’, </w:t>
      </w:r>
      <w:r w:rsidRPr="00381921">
        <w:rPr>
          <w:rFonts w:ascii="Arial" w:hAnsi="Arial" w:cs="Arial"/>
          <w:i/>
          <w:iCs/>
          <w:noProof/>
          <w:sz w:val="24"/>
          <w:szCs w:val="24"/>
        </w:rPr>
        <w:t>Professional lifelong learning: beyond reflective practice</w:t>
      </w:r>
      <w:r w:rsidRPr="00381921">
        <w:rPr>
          <w:rFonts w:ascii="Arial" w:hAnsi="Arial" w:cs="Arial"/>
          <w:noProof/>
          <w:sz w:val="24"/>
          <w:szCs w:val="24"/>
        </w:rPr>
        <w:t>, pp. 1–13. Available at: http://www.leeds.ac.uk/educol/documents/155671.pdf.</w:t>
      </w:r>
    </w:p>
    <w:p w14:paraId="6ABCB8D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Creech, A. and Hallam, S. (2015) ‘Critical geragogy: A framework for facilitating older learners in community music’, </w:t>
      </w:r>
      <w:r w:rsidRPr="00381921">
        <w:rPr>
          <w:rFonts w:ascii="Arial" w:hAnsi="Arial" w:cs="Arial"/>
          <w:i/>
          <w:iCs/>
          <w:noProof/>
          <w:sz w:val="24"/>
          <w:szCs w:val="24"/>
        </w:rPr>
        <w:t>London Review of Education</w:t>
      </w:r>
      <w:r w:rsidRPr="00381921">
        <w:rPr>
          <w:rFonts w:ascii="Arial" w:hAnsi="Arial" w:cs="Arial"/>
          <w:noProof/>
          <w:sz w:val="24"/>
          <w:szCs w:val="24"/>
        </w:rPr>
        <w:t>, 13(1), pp. 43–57. doi: 10.18546/LRE.13.1.05.</w:t>
      </w:r>
    </w:p>
    <w:p w14:paraId="650BDA9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Dargin, T. C. (2017) ‘Compared with Ethel: analyzing the singing styles of Reba </w:t>
      </w:r>
      <w:r w:rsidRPr="00381921">
        <w:rPr>
          <w:rFonts w:ascii="Arial" w:hAnsi="Arial" w:cs="Arial"/>
          <w:noProof/>
          <w:sz w:val="24"/>
          <w:szCs w:val="24"/>
        </w:rPr>
        <w:lastRenderedPageBreak/>
        <w:t xml:space="preserve">McEntire and Bernadette Peters with Ethel Merman in Annie Get Your Gun’, </w:t>
      </w:r>
      <w:r w:rsidRPr="00381921">
        <w:rPr>
          <w:rFonts w:ascii="Arial" w:hAnsi="Arial" w:cs="Arial"/>
          <w:i/>
          <w:iCs/>
          <w:noProof/>
          <w:sz w:val="24"/>
          <w:szCs w:val="24"/>
        </w:rPr>
        <w:t>Voice and Speech Review</w:t>
      </w:r>
      <w:r w:rsidRPr="00381921">
        <w:rPr>
          <w:rFonts w:ascii="Arial" w:hAnsi="Arial" w:cs="Arial"/>
          <w:noProof/>
          <w:sz w:val="24"/>
          <w:szCs w:val="24"/>
        </w:rPr>
        <w:t>, 11(3), pp. 296–307. doi: 10.1080/23268263.2017.1391432.</w:t>
      </w:r>
    </w:p>
    <w:p w14:paraId="12CD751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Dargin, T. C. and Searl, J. (2015) ‘Semi-occluded vocal tract exercises: Aerodynamic and electroglottographic measurements in singers’, </w:t>
      </w:r>
      <w:r w:rsidRPr="00381921">
        <w:rPr>
          <w:rFonts w:ascii="Arial" w:hAnsi="Arial" w:cs="Arial"/>
          <w:i/>
          <w:iCs/>
          <w:noProof/>
          <w:sz w:val="24"/>
          <w:szCs w:val="24"/>
        </w:rPr>
        <w:t>Journal of Voice</w:t>
      </w:r>
      <w:r w:rsidRPr="00381921">
        <w:rPr>
          <w:rFonts w:ascii="Arial" w:hAnsi="Arial" w:cs="Arial"/>
          <w:noProof/>
          <w:sz w:val="24"/>
          <w:szCs w:val="24"/>
        </w:rPr>
        <w:t>, 29(2), pp. 155–164. doi: 10.1016/j.jvoice.2014.05.009.</w:t>
      </w:r>
    </w:p>
    <w:p w14:paraId="6F121A4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Darwin Holmes, A. G. (2020) ‘Researcher Positionality - A Consideration of Its Influence and Place in Qualitative Research - A New Researcher Guide’, </w:t>
      </w:r>
      <w:r w:rsidRPr="00381921">
        <w:rPr>
          <w:rFonts w:ascii="Arial" w:hAnsi="Arial" w:cs="Arial"/>
          <w:i/>
          <w:iCs/>
          <w:noProof/>
          <w:sz w:val="24"/>
          <w:szCs w:val="24"/>
        </w:rPr>
        <w:t>Shanlax International Journal of Education</w:t>
      </w:r>
      <w:r w:rsidRPr="00381921">
        <w:rPr>
          <w:rFonts w:ascii="Arial" w:hAnsi="Arial" w:cs="Arial"/>
          <w:noProof/>
          <w:sz w:val="24"/>
          <w:szCs w:val="24"/>
        </w:rPr>
        <w:t>, 8(4), pp. 1–10. doi: 10.34293/education.v8i4.3232.</w:t>
      </w:r>
    </w:p>
    <w:p w14:paraId="2487A3C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Debesay, J., Nåden, D. and Slettebø, Å. (2008) ‘How do we close the hermeneutic circle?A Gadamerian approach to justification in interpretation in qualitative studies: Feature’, </w:t>
      </w:r>
      <w:r w:rsidRPr="00381921">
        <w:rPr>
          <w:rFonts w:ascii="Arial" w:hAnsi="Arial" w:cs="Arial"/>
          <w:i/>
          <w:iCs/>
          <w:noProof/>
          <w:sz w:val="24"/>
          <w:szCs w:val="24"/>
        </w:rPr>
        <w:t>Nursing Inquiry</w:t>
      </w:r>
      <w:r w:rsidRPr="00381921">
        <w:rPr>
          <w:rFonts w:ascii="Arial" w:hAnsi="Arial" w:cs="Arial"/>
          <w:noProof/>
          <w:sz w:val="24"/>
          <w:szCs w:val="24"/>
        </w:rPr>
        <w:t>, 15(1), pp. 57–66. doi: 10.1111/j.1440-1800.2008.00390.x.</w:t>
      </w:r>
    </w:p>
    <w:p w14:paraId="02A234B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Deleo Leborgne, W. </w:t>
      </w:r>
      <w:r w:rsidRPr="00381921">
        <w:rPr>
          <w:rFonts w:ascii="Arial" w:hAnsi="Arial" w:cs="Arial"/>
          <w:i/>
          <w:iCs/>
          <w:noProof/>
          <w:sz w:val="24"/>
          <w:szCs w:val="24"/>
        </w:rPr>
        <w:t>et al.</w:t>
      </w:r>
      <w:r w:rsidRPr="00381921">
        <w:rPr>
          <w:rFonts w:ascii="Arial" w:hAnsi="Arial" w:cs="Arial"/>
          <w:noProof/>
          <w:sz w:val="24"/>
          <w:szCs w:val="24"/>
        </w:rPr>
        <w:t xml:space="preserve"> (2010) ‘Perceptual findings on the broadway belt voice’, </w:t>
      </w:r>
      <w:r w:rsidRPr="00381921">
        <w:rPr>
          <w:rFonts w:ascii="Arial" w:hAnsi="Arial" w:cs="Arial"/>
          <w:i/>
          <w:iCs/>
          <w:noProof/>
          <w:sz w:val="24"/>
          <w:szCs w:val="24"/>
        </w:rPr>
        <w:t>Journal of Voice</w:t>
      </w:r>
      <w:r w:rsidRPr="00381921">
        <w:rPr>
          <w:rFonts w:ascii="Arial" w:hAnsi="Arial" w:cs="Arial"/>
          <w:noProof/>
          <w:sz w:val="24"/>
          <w:szCs w:val="24"/>
        </w:rPr>
        <w:t>, 24(6), pp. 678–689. doi: 10.1016/j.jvoice.2009.02.004.</w:t>
      </w:r>
    </w:p>
    <w:p w14:paraId="23CC8E1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Denscombe, M. (2014) </w:t>
      </w:r>
      <w:r w:rsidRPr="00381921">
        <w:rPr>
          <w:rFonts w:ascii="Arial" w:hAnsi="Arial" w:cs="Arial"/>
          <w:i/>
          <w:iCs/>
          <w:noProof/>
          <w:sz w:val="24"/>
          <w:szCs w:val="24"/>
        </w:rPr>
        <w:t>Open UP Study Skills The Good Research Guide</w:t>
      </w:r>
      <w:r w:rsidRPr="00381921">
        <w:rPr>
          <w:rFonts w:ascii="Arial" w:hAnsi="Arial" w:cs="Arial"/>
          <w:noProof/>
          <w:sz w:val="24"/>
          <w:szCs w:val="24"/>
        </w:rPr>
        <w:t>.</w:t>
      </w:r>
    </w:p>
    <w:p w14:paraId="79740B1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Dixon, M., Lee, S. and Ghaye, T. (2016) ‘Strengths-Based Reflective Practices for the Management of Change: Applications from Sport and Positive Psychology’, </w:t>
      </w:r>
      <w:r w:rsidRPr="00381921">
        <w:rPr>
          <w:rFonts w:ascii="Arial" w:hAnsi="Arial" w:cs="Arial"/>
          <w:i/>
          <w:iCs/>
          <w:noProof/>
          <w:sz w:val="24"/>
          <w:szCs w:val="24"/>
        </w:rPr>
        <w:t>Journal of Change Management</w:t>
      </w:r>
      <w:r w:rsidRPr="00381921">
        <w:rPr>
          <w:rFonts w:ascii="Arial" w:hAnsi="Arial" w:cs="Arial"/>
          <w:noProof/>
          <w:sz w:val="24"/>
          <w:szCs w:val="24"/>
        </w:rPr>
        <w:t>, 16(2), pp. 142–157. doi: 10.1080/14697017.2015.1125384.</w:t>
      </w:r>
    </w:p>
    <w:p w14:paraId="73DAFA3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Donche, V. </w:t>
      </w:r>
      <w:r w:rsidRPr="00381921">
        <w:rPr>
          <w:rFonts w:ascii="Arial" w:hAnsi="Arial" w:cs="Arial"/>
          <w:i/>
          <w:iCs/>
          <w:noProof/>
          <w:sz w:val="24"/>
          <w:szCs w:val="24"/>
        </w:rPr>
        <w:t>et al.</w:t>
      </w:r>
      <w:r w:rsidRPr="00381921">
        <w:rPr>
          <w:rFonts w:ascii="Arial" w:hAnsi="Arial" w:cs="Arial"/>
          <w:noProof/>
          <w:sz w:val="24"/>
          <w:szCs w:val="24"/>
        </w:rPr>
        <w:t xml:space="preserve"> (2013) ‘Differential use of learning strategies in first-year higher education: The impact of personality, academic motivation, and teaching strategies’, </w:t>
      </w:r>
      <w:r w:rsidRPr="00381921">
        <w:rPr>
          <w:rFonts w:ascii="Arial" w:hAnsi="Arial" w:cs="Arial"/>
          <w:i/>
          <w:iCs/>
          <w:noProof/>
          <w:sz w:val="24"/>
          <w:szCs w:val="24"/>
        </w:rPr>
        <w:t>British Journal of Educational Psychology</w:t>
      </w:r>
      <w:r w:rsidRPr="00381921">
        <w:rPr>
          <w:rFonts w:ascii="Arial" w:hAnsi="Arial" w:cs="Arial"/>
          <w:noProof/>
          <w:sz w:val="24"/>
          <w:szCs w:val="24"/>
        </w:rPr>
        <w:t>, 83(2), pp. 238–251. doi: 10.1111/bjep.12016.</w:t>
      </w:r>
    </w:p>
    <w:p w14:paraId="32BE60C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van Doorn, I. (2021) ‘Breathing Technique for Jazz/Pop Singers’, </w:t>
      </w:r>
      <w:r w:rsidRPr="00381921">
        <w:rPr>
          <w:rFonts w:ascii="Arial" w:hAnsi="Arial" w:cs="Arial"/>
          <w:i/>
          <w:iCs/>
          <w:noProof/>
          <w:sz w:val="24"/>
          <w:szCs w:val="24"/>
        </w:rPr>
        <w:t>Journal of Singing</w:t>
      </w:r>
      <w:r w:rsidRPr="00381921">
        <w:rPr>
          <w:rFonts w:ascii="Arial" w:hAnsi="Arial" w:cs="Arial"/>
          <w:noProof/>
          <w:sz w:val="24"/>
          <w:szCs w:val="24"/>
        </w:rPr>
        <w:t>, 78(2), pp. 247–253. doi: 10.53830/ljmt7188.</w:t>
      </w:r>
    </w:p>
    <w:p w14:paraId="4C94A1A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Downe, S. </w:t>
      </w:r>
      <w:r w:rsidRPr="00381921">
        <w:rPr>
          <w:rFonts w:ascii="Arial" w:hAnsi="Arial" w:cs="Arial"/>
          <w:i/>
          <w:iCs/>
          <w:noProof/>
          <w:sz w:val="24"/>
          <w:szCs w:val="24"/>
        </w:rPr>
        <w:t>et al.</w:t>
      </w:r>
      <w:r w:rsidRPr="00381921">
        <w:rPr>
          <w:rFonts w:ascii="Arial" w:hAnsi="Arial" w:cs="Arial"/>
          <w:noProof/>
          <w:sz w:val="24"/>
          <w:szCs w:val="24"/>
        </w:rPr>
        <w:t xml:space="preserve"> (2019) ‘Qualitative Evidence Synthesis (QES) for Guidelines: Paper 2-Using qualitative evidence synthesis findings to inform evidence-to-decision frameworks and recommendations’, </w:t>
      </w:r>
      <w:r w:rsidRPr="00381921">
        <w:rPr>
          <w:rFonts w:ascii="Arial" w:hAnsi="Arial" w:cs="Arial"/>
          <w:i/>
          <w:iCs/>
          <w:noProof/>
          <w:sz w:val="24"/>
          <w:szCs w:val="24"/>
        </w:rPr>
        <w:t>Health Research Policy and Systems</w:t>
      </w:r>
      <w:r w:rsidRPr="00381921">
        <w:rPr>
          <w:rFonts w:ascii="Arial" w:hAnsi="Arial" w:cs="Arial"/>
          <w:noProof/>
          <w:sz w:val="24"/>
          <w:szCs w:val="24"/>
        </w:rPr>
        <w:t>, 17(1), pp. 1–12. doi: 10.1186/s12961-019-0468-4.</w:t>
      </w:r>
    </w:p>
    <w:p w14:paraId="7D0AE6F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Echternach, M. </w:t>
      </w:r>
      <w:r w:rsidRPr="00381921">
        <w:rPr>
          <w:rFonts w:ascii="Arial" w:hAnsi="Arial" w:cs="Arial"/>
          <w:i/>
          <w:iCs/>
          <w:noProof/>
          <w:sz w:val="24"/>
          <w:szCs w:val="24"/>
        </w:rPr>
        <w:t>et al.</w:t>
      </w:r>
      <w:r w:rsidRPr="00381921">
        <w:rPr>
          <w:rFonts w:ascii="Arial" w:hAnsi="Arial" w:cs="Arial"/>
          <w:noProof/>
          <w:sz w:val="24"/>
          <w:szCs w:val="24"/>
        </w:rPr>
        <w:t xml:space="preserve"> (2014) ‘Vocal tract shapes in different singing functions used in musical theater singing-a pilot study’, </w:t>
      </w:r>
      <w:r w:rsidRPr="00381921">
        <w:rPr>
          <w:rFonts w:ascii="Arial" w:hAnsi="Arial" w:cs="Arial"/>
          <w:i/>
          <w:iCs/>
          <w:noProof/>
          <w:sz w:val="24"/>
          <w:szCs w:val="24"/>
        </w:rPr>
        <w:t>Journal of Voice</w:t>
      </w:r>
      <w:r w:rsidRPr="00381921">
        <w:rPr>
          <w:rFonts w:ascii="Arial" w:hAnsi="Arial" w:cs="Arial"/>
          <w:noProof/>
          <w:sz w:val="24"/>
          <w:szCs w:val="24"/>
        </w:rPr>
        <w:t>, 28(5), pp. 653.e1-653.e7. doi: 10.1016/j.jvoice.2014.01.011.</w:t>
      </w:r>
    </w:p>
    <w:p w14:paraId="264CC89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Feilzer, M. Y. (2010) ‘Doing mixed methods research pragmatically: Implications for the rediscovery of pragmatism as a research paradigm’, </w:t>
      </w:r>
      <w:r w:rsidRPr="00381921">
        <w:rPr>
          <w:rFonts w:ascii="Arial" w:hAnsi="Arial" w:cs="Arial"/>
          <w:i/>
          <w:iCs/>
          <w:noProof/>
          <w:sz w:val="24"/>
          <w:szCs w:val="24"/>
        </w:rPr>
        <w:t>Journal of Mixed Methods Research</w:t>
      </w:r>
      <w:r w:rsidRPr="00381921">
        <w:rPr>
          <w:rFonts w:ascii="Arial" w:hAnsi="Arial" w:cs="Arial"/>
          <w:noProof/>
          <w:sz w:val="24"/>
          <w:szCs w:val="24"/>
        </w:rPr>
        <w:t>, 4(1), pp. 6–16. doi: 10.1177/1558689809349691.</w:t>
      </w:r>
    </w:p>
    <w:p w14:paraId="6AB7F76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Flynn, A., Trudeau, J. and Johnson, A. M. (2020) ‘Acoustic Comparison of Lower and Higher Belt Ranges in Professional Broadway Actresses’, </w:t>
      </w:r>
      <w:r w:rsidRPr="00381921">
        <w:rPr>
          <w:rFonts w:ascii="Arial" w:hAnsi="Arial" w:cs="Arial"/>
          <w:i/>
          <w:iCs/>
          <w:noProof/>
          <w:sz w:val="24"/>
          <w:szCs w:val="24"/>
        </w:rPr>
        <w:t>Journal of Voice</w:t>
      </w:r>
      <w:r w:rsidRPr="00381921">
        <w:rPr>
          <w:rFonts w:ascii="Arial" w:hAnsi="Arial" w:cs="Arial"/>
          <w:noProof/>
          <w:sz w:val="24"/>
          <w:szCs w:val="24"/>
        </w:rPr>
        <w:t>, 34(3), pp. 410–414. doi: 10.1016/j.jvoice.2018.10.006.</w:t>
      </w:r>
    </w:p>
    <w:p w14:paraId="2E9A631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Fouché, R. (2006) ‘Say it loud, I’m black and I’m proud: African Americans, American artifactual culture, and black vernacular technological creativity’, </w:t>
      </w:r>
      <w:r w:rsidRPr="00381921">
        <w:rPr>
          <w:rFonts w:ascii="Arial" w:hAnsi="Arial" w:cs="Arial"/>
          <w:i/>
          <w:iCs/>
          <w:noProof/>
          <w:sz w:val="24"/>
          <w:szCs w:val="24"/>
        </w:rPr>
        <w:t>American Quarterly</w:t>
      </w:r>
      <w:r w:rsidRPr="00381921">
        <w:rPr>
          <w:rFonts w:ascii="Arial" w:hAnsi="Arial" w:cs="Arial"/>
          <w:noProof/>
          <w:sz w:val="24"/>
          <w:szCs w:val="24"/>
        </w:rPr>
        <w:t>, 58(3), pp. 639–661. doi: 10.1353/aq.2006.0059.</w:t>
      </w:r>
    </w:p>
    <w:p w14:paraId="73D81FD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Gaskill, C. S. and Quinney, D. M. (2012) ‘The effect of resonance tubes on glottal contact quotient with and without task instruction: A comparison of trained and untrained voices’, </w:t>
      </w:r>
      <w:r w:rsidRPr="00381921">
        <w:rPr>
          <w:rFonts w:ascii="Arial" w:hAnsi="Arial" w:cs="Arial"/>
          <w:i/>
          <w:iCs/>
          <w:noProof/>
          <w:sz w:val="24"/>
          <w:szCs w:val="24"/>
        </w:rPr>
        <w:t>Journal of Voice</w:t>
      </w:r>
      <w:r w:rsidRPr="00381921">
        <w:rPr>
          <w:rFonts w:ascii="Arial" w:hAnsi="Arial" w:cs="Arial"/>
          <w:noProof/>
          <w:sz w:val="24"/>
          <w:szCs w:val="24"/>
        </w:rPr>
        <w:t>, 26(3), pp. e79–e93. doi: 10.1016/j.jvoice.2011.03.003.</w:t>
      </w:r>
    </w:p>
    <w:p w14:paraId="4549E3E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Gibbs (1988) ‘Reflective Cycle’, </w:t>
      </w:r>
      <w:r w:rsidRPr="00381921">
        <w:rPr>
          <w:rFonts w:ascii="Arial" w:hAnsi="Arial" w:cs="Arial"/>
          <w:i/>
          <w:iCs/>
          <w:noProof/>
          <w:sz w:val="24"/>
          <w:szCs w:val="24"/>
        </w:rPr>
        <w:t>Academic Liasion, Employability and Skills (ALES)</w:t>
      </w:r>
      <w:r w:rsidRPr="00381921">
        <w:rPr>
          <w:rFonts w:ascii="Arial" w:hAnsi="Arial" w:cs="Arial"/>
          <w:noProof/>
          <w:sz w:val="24"/>
          <w:szCs w:val="24"/>
        </w:rPr>
        <w:t>, pp. 1–4.</w:t>
      </w:r>
    </w:p>
    <w:p w14:paraId="3EB7FCE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Gill, P. </w:t>
      </w:r>
      <w:r w:rsidRPr="00381921">
        <w:rPr>
          <w:rFonts w:ascii="Arial" w:hAnsi="Arial" w:cs="Arial"/>
          <w:i/>
          <w:iCs/>
          <w:noProof/>
          <w:sz w:val="24"/>
          <w:szCs w:val="24"/>
        </w:rPr>
        <w:t>et al.</w:t>
      </w:r>
      <w:r w:rsidRPr="00381921">
        <w:rPr>
          <w:rFonts w:ascii="Arial" w:hAnsi="Arial" w:cs="Arial"/>
          <w:noProof/>
          <w:sz w:val="24"/>
          <w:szCs w:val="24"/>
        </w:rPr>
        <w:t xml:space="preserve"> (2008) ‘Methods of data collection in qualitative research: Interviews and focus groups’, </w:t>
      </w:r>
      <w:r w:rsidRPr="00381921">
        <w:rPr>
          <w:rFonts w:ascii="Arial" w:hAnsi="Arial" w:cs="Arial"/>
          <w:i/>
          <w:iCs/>
          <w:noProof/>
          <w:sz w:val="24"/>
          <w:szCs w:val="24"/>
        </w:rPr>
        <w:t>British Dental Journal</w:t>
      </w:r>
      <w:r w:rsidRPr="00381921">
        <w:rPr>
          <w:rFonts w:ascii="Arial" w:hAnsi="Arial" w:cs="Arial"/>
          <w:noProof/>
          <w:sz w:val="24"/>
          <w:szCs w:val="24"/>
        </w:rPr>
        <w:t>, 204(6), pp. 291–295. doi: 10.1038/bdj.2008.192.</w:t>
      </w:r>
    </w:p>
    <w:p w14:paraId="336D7B9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Van Ginkel, G. </w:t>
      </w:r>
      <w:r w:rsidRPr="00381921">
        <w:rPr>
          <w:rFonts w:ascii="Arial" w:hAnsi="Arial" w:cs="Arial"/>
          <w:i/>
          <w:iCs/>
          <w:noProof/>
          <w:sz w:val="24"/>
          <w:szCs w:val="24"/>
        </w:rPr>
        <w:t>et al.</w:t>
      </w:r>
      <w:r w:rsidRPr="00381921">
        <w:rPr>
          <w:rFonts w:ascii="Arial" w:hAnsi="Arial" w:cs="Arial"/>
          <w:noProof/>
          <w:sz w:val="24"/>
          <w:szCs w:val="24"/>
        </w:rPr>
        <w:t xml:space="preserve"> (2016) ‘Adapting mentoring to individual differences in novice teacher learning: The mentors viewpoint’, </w:t>
      </w:r>
      <w:r w:rsidRPr="00381921">
        <w:rPr>
          <w:rFonts w:ascii="Arial" w:hAnsi="Arial" w:cs="Arial"/>
          <w:i/>
          <w:iCs/>
          <w:noProof/>
          <w:sz w:val="24"/>
          <w:szCs w:val="24"/>
        </w:rPr>
        <w:t>Teachers and Teaching: Theory and Practice</w:t>
      </w:r>
      <w:r w:rsidRPr="00381921">
        <w:rPr>
          <w:rFonts w:ascii="Arial" w:hAnsi="Arial" w:cs="Arial"/>
          <w:noProof/>
          <w:sz w:val="24"/>
          <w:szCs w:val="24"/>
        </w:rPr>
        <w:t>, 22(2), pp. 198–218. doi: 10.1080/13540602.2015.1055438.</w:t>
      </w:r>
    </w:p>
    <w:p w14:paraId="0A2C062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Goker, S. D. (2006) ‘Impact of peer coaching on self-efficacy and instructional skills in TEFL teacher education’, </w:t>
      </w:r>
      <w:r w:rsidRPr="00381921">
        <w:rPr>
          <w:rFonts w:ascii="Arial" w:hAnsi="Arial" w:cs="Arial"/>
          <w:i/>
          <w:iCs/>
          <w:noProof/>
          <w:sz w:val="24"/>
          <w:szCs w:val="24"/>
        </w:rPr>
        <w:t>System</w:t>
      </w:r>
      <w:r w:rsidRPr="00381921">
        <w:rPr>
          <w:rFonts w:ascii="Arial" w:hAnsi="Arial" w:cs="Arial"/>
          <w:noProof/>
          <w:sz w:val="24"/>
          <w:szCs w:val="24"/>
        </w:rPr>
        <w:t>, 34(2), pp. 239–254. doi: 10.1016/j.system.2005.12.002.</w:t>
      </w:r>
    </w:p>
    <w:p w14:paraId="55F426D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Graf, S. </w:t>
      </w:r>
      <w:r w:rsidRPr="00381921">
        <w:rPr>
          <w:rFonts w:ascii="Arial" w:hAnsi="Arial" w:cs="Arial"/>
          <w:i/>
          <w:iCs/>
          <w:noProof/>
          <w:sz w:val="24"/>
          <w:szCs w:val="24"/>
        </w:rPr>
        <w:t>et al.</w:t>
      </w:r>
      <w:r w:rsidRPr="00381921">
        <w:rPr>
          <w:rFonts w:ascii="Arial" w:hAnsi="Arial" w:cs="Arial"/>
          <w:noProof/>
          <w:sz w:val="24"/>
          <w:szCs w:val="24"/>
        </w:rPr>
        <w:t xml:space="preserve"> (2020) ‘Adjustment of Vocal Tract Shape via Biofeedback: Influence on Vowels’, </w:t>
      </w:r>
      <w:r w:rsidRPr="00381921">
        <w:rPr>
          <w:rFonts w:ascii="Arial" w:hAnsi="Arial" w:cs="Arial"/>
          <w:i/>
          <w:iCs/>
          <w:noProof/>
          <w:sz w:val="24"/>
          <w:szCs w:val="24"/>
        </w:rPr>
        <w:t>Journal of Voice</w:t>
      </w:r>
      <w:r w:rsidRPr="00381921">
        <w:rPr>
          <w:rFonts w:ascii="Arial" w:hAnsi="Arial" w:cs="Arial"/>
          <w:noProof/>
          <w:sz w:val="24"/>
          <w:szCs w:val="24"/>
        </w:rPr>
        <w:t>, 34(3), pp. 335–345. doi: 10.1016/j.jvoice.2018.10.007.</w:t>
      </w:r>
    </w:p>
    <w:p w14:paraId="12839DF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Green, K. </w:t>
      </w:r>
      <w:r w:rsidRPr="00381921">
        <w:rPr>
          <w:rFonts w:ascii="Arial" w:hAnsi="Arial" w:cs="Arial"/>
          <w:i/>
          <w:iCs/>
          <w:noProof/>
          <w:sz w:val="24"/>
          <w:szCs w:val="24"/>
        </w:rPr>
        <w:t>et al.</w:t>
      </w:r>
      <w:r w:rsidRPr="00381921">
        <w:rPr>
          <w:rFonts w:ascii="Arial" w:hAnsi="Arial" w:cs="Arial"/>
          <w:noProof/>
          <w:sz w:val="24"/>
          <w:szCs w:val="24"/>
        </w:rPr>
        <w:t xml:space="preserve"> (2014) ‘Trends in musical theatre voice: An analysis of audition requirements for singers’, </w:t>
      </w:r>
      <w:r w:rsidRPr="00381921">
        <w:rPr>
          <w:rFonts w:ascii="Arial" w:hAnsi="Arial" w:cs="Arial"/>
          <w:i/>
          <w:iCs/>
          <w:noProof/>
          <w:sz w:val="24"/>
          <w:szCs w:val="24"/>
        </w:rPr>
        <w:t>Journal of Voice</w:t>
      </w:r>
      <w:r w:rsidRPr="00381921">
        <w:rPr>
          <w:rFonts w:ascii="Arial" w:hAnsi="Arial" w:cs="Arial"/>
          <w:noProof/>
          <w:sz w:val="24"/>
          <w:szCs w:val="24"/>
        </w:rPr>
        <w:t>, 28(3), pp. 324–327. doi: 10.1016/j.jvoice.2013.10.007.</w:t>
      </w:r>
    </w:p>
    <w:p w14:paraId="5E4FD09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Guzman, M. </w:t>
      </w:r>
      <w:r w:rsidRPr="00381921">
        <w:rPr>
          <w:rFonts w:ascii="Arial" w:hAnsi="Arial" w:cs="Arial"/>
          <w:i/>
          <w:iCs/>
          <w:noProof/>
          <w:sz w:val="24"/>
          <w:szCs w:val="24"/>
        </w:rPr>
        <w:t>et al.</w:t>
      </w:r>
      <w:r w:rsidRPr="00381921">
        <w:rPr>
          <w:rFonts w:ascii="Arial" w:hAnsi="Arial" w:cs="Arial"/>
          <w:noProof/>
          <w:sz w:val="24"/>
          <w:szCs w:val="24"/>
        </w:rPr>
        <w:t xml:space="preserve"> (2013) ‘Vocal tract and glottal function during and after vocal exercising with resonance tube and straw’, </w:t>
      </w:r>
      <w:r w:rsidRPr="00381921">
        <w:rPr>
          <w:rFonts w:ascii="Arial" w:hAnsi="Arial" w:cs="Arial"/>
          <w:i/>
          <w:iCs/>
          <w:noProof/>
          <w:sz w:val="24"/>
          <w:szCs w:val="24"/>
        </w:rPr>
        <w:t>Journal of Voice</w:t>
      </w:r>
      <w:r w:rsidRPr="00381921">
        <w:rPr>
          <w:rFonts w:ascii="Arial" w:hAnsi="Arial" w:cs="Arial"/>
          <w:noProof/>
          <w:sz w:val="24"/>
          <w:szCs w:val="24"/>
        </w:rPr>
        <w:t>, 27(4), pp. 523.e19-523.e34. doi: 10.1016/j.jvoice.2013.02.007.</w:t>
      </w:r>
    </w:p>
    <w:p w14:paraId="3703069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Guzman, M. </w:t>
      </w:r>
      <w:r w:rsidRPr="00381921">
        <w:rPr>
          <w:rFonts w:ascii="Arial" w:hAnsi="Arial" w:cs="Arial"/>
          <w:i/>
          <w:iCs/>
          <w:noProof/>
          <w:sz w:val="24"/>
          <w:szCs w:val="24"/>
        </w:rPr>
        <w:t>et al.</w:t>
      </w:r>
      <w:r w:rsidRPr="00381921">
        <w:rPr>
          <w:rFonts w:ascii="Arial" w:hAnsi="Arial" w:cs="Arial"/>
          <w:noProof/>
          <w:sz w:val="24"/>
          <w:szCs w:val="24"/>
        </w:rPr>
        <w:t xml:space="preserve"> (2015) ‘Laryngoscopic and spectral analysis of laryngeal and pharyngeal configuration in non-classical singing styles’, </w:t>
      </w:r>
      <w:r w:rsidRPr="00381921">
        <w:rPr>
          <w:rFonts w:ascii="Arial" w:hAnsi="Arial" w:cs="Arial"/>
          <w:i/>
          <w:iCs/>
          <w:noProof/>
          <w:sz w:val="24"/>
          <w:szCs w:val="24"/>
        </w:rPr>
        <w:t>Journal of Voice</w:t>
      </w:r>
      <w:r w:rsidRPr="00381921">
        <w:rPr>
          <w:rFonts w:ascii="Arial" w:hAnsi="Arial" w:cs="Arial"/>
          <w:noProof/>
          <w:sz w:val="24"/>
          <w:szCs w:val="24"/>
        </w:rPr>
        <w:t>, 29(1), pp. 130.e21-130.e28. doi: 10.1016/j.jvoice.2014.05.004.</w:t>
      </w:r>
    </w:p>
    <w:p w14:paraId="0A212D8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Harding, G., Gantley, M. and Taylor, K. (2017) ‘Analysing qualitative data’, </w:t>
      </w:r>
      <w:r w:rsidRPr="00381921">
        <w:rPr>
          <w:rFonts w:ascii="Arial" w:hAnsi="Arial" w:cs="Arial"/>
          <w:i/>
          <w:iCs/>
          <w:noProof/>
          <w:sz w:val="24"/>
          <w:szCs w:val="24"/>
        </w:rPr>
        <w:t>Pharmacy Practice: Second Edition</w:t>
      </w:r>
      <w:r w:rsidRPr="00381921">
        <w:rPr>
          <w:rFonts w:ascii="Arial" w:hAnsi="Arial" w:cs="Arial"/>
          <w:noProof/>
          <w:sz w:val="24"/>
          <w:szCs w:val="24"/>
        </w:rPr>
        <w:t>, 320(January), pp. 417–423. doi: 10.1201/b19093.</w:t>
      </w:r>
    </w:p>
    <w:p w14:paraId="35DD010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Helding, L. (2012) ‘MINDFUL VOICE. The Multitasking Monster.’, </w:t>
      </w:r>
      <w:r w:rsidRPr="00381921">
        <w:rPr>
          <w:rFonts w:ascii="Arial" w:hAnsi="Arial" w:cs="Arial"/>
          <w:i/>
          <w:iCs/>
          <w:noProof/>
          <w:sz w:val="24"/>
          <w:szCs w:val="24"/>
        </w:rPr>
        <w:t>Journal of Singing</w:t>
      </w:r>
      <w:r w:rsidRPr="00381921">
        <w:rPr>
          <w:rFonts w:ascii="Arial" w:hAnsi="Arial" w:cs="Arial"/>
          <w:noProof/>
          <w:sz w:val="24"/>
          <w:szCs w:val="24"/>
        </w:rPr>
        <w:t>, 68(4), pp. 451–455. Available at: http://ezproxy.deakin.edu.au/login?url=http://search.ebscohost.com/login.aspx?direct=true&amp;db=eue&amp;AN=73788981&amp;site=eds-live&amp;scope=site.</w:t>
      </w:r>
    </w:p>
    <w:p w14:paraId="7A7DCAC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Helding, L. and Ragan, K. (2022) ‘Evidence-Based Voice Pedagogy (EBVP), Part 3: Student Goals and Perspectives’, </w:t>
      </w:r>
      <w:r w:rsidRPr="00381921">
        <w:rPr>
          <w:rFonts w:ascii="Arial" w:hAnsi="Arial" w:cs="Arial"/>
          <w:i/>
          <w:iCs/>
          <w:noProof/>
          <w:sz w:val="24"/>
          <w:szCs w:val="24"/>
        </w:rPr>
        <w:t>Journal of Singing</w:t>
      </w:r>
      <w:r w:rsidRPr="00381921">
        <w:rPr>
          <w:rFonts w:ascii="Arial" w:hAnsi="Arial" w:cs="Arial"/>
          <w:noProof/>
          <w:sz w:val="24"/>
          <w:szCs w:val="24"/>
        </w:rPr>
        <w:t>, 78(5), pp. 635–640. doi: 10.53830/logc7063.</w:t>
      </w:r>
    </w:p>
    <w:p w14:paraId="46D90E9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Herbst, C. T., Story, B. H. and Meyer, D. (2023) ‘Acoustical Theory of Vowel Modification Strategies in Belting’, </w:t>
      </w:r>
      <w:r w:rsidRPr="00381921">
        <w:rPr>
          <w:rFonts w:ascii="Arial" w:hAnsi="Arial" w:cs="Arial"/>
          <w:i/>
          <w:iCs/>
          <w:noProof/>
          <w:sz w:val="24"/>
          <w:szCs w:val="24"/>
        </w:rPr>
        <w:t>Journal of Voice</w:t>
      </w:r>
      <w:r w:rsidRPr="00381921">
        <w:rPr>
          <w:rFonts w:ascii="Arial" w:hAnsi="Arial" w:cs="Arial"/>
          <w:noProof/>
          <w:sz w:val="24"/>
          <w:szCs w:val="24"/>
        </w:rPr>
        <w:t>, pp. 1–13. doi: 10.1016/j.jvoice.2023.01.004.</w:t>
      </w:r>
    </w:p>
    <w:p w14:paraId="10113F5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Hoadley, C. </w:t>
      </w:r>
      <w:r w:rsidRPr="00381921">
        <w:rPr>
          <w:rFonts w:ascii="Arial" w:hAnsi="Arial" w:cs="Arial"/>
          <w:i/>
          <w:iCs/>
          <w:noProof/>
          <w:sz w:val="24"/>
          <w:szCs w:val="24"/>
        </w:rPr>
        <w:t>et al.</w:t>
      </w:r>
      <w:r w:rsidRPr="00381921">
        <w:rPr>
          <w:rFonts w:ascii="Arial" w:hAnsi="Arial" w:cs="Arial"/>
          <w:noProof/>
          <w:sz w:val="24"/>
          <w:szCs w:val="24"/>
        </w:rPr>
        <w:t xml:space="preserve"> (2002) ‘Design-Based Research: An Emerging Paradigm for Educational Inquiry’, </w:t>
      </w:r>
      <w:r w:rsidRPr="00381921">
        <w:rPr>
          <w:rFonts w:ascii="Arial" w:hAnsi="Arial" w:cs="Arial"/>
          <w:i/>
          <w:iCs/>
          <w:noProof/>
          <w:sz w:val="24"/>
          <w:szCs w:val="24"/>
        </w:rPr>
        <w:t>Educational Researcher</w:t>
      </w:r>
      <w:r w:rsidRPr="00381921">
        <w:rPr>
          <w:rFonts w:ascii="Arial" w:hAnsi="Arial" w:cs="Arial"/>
          <w:noProof/>
          <w:sz w:val="24"/>
          <w:szCs w:val="24"/>
        </w:rPr>
        <w:t>, 32(1), pp. 5–8.</w:t>
      </w:r>
    </w:p>
    <w:p w14:paraId="00B71AC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Hodges, N. J. and Franks, I. M. (2002) ‘Modelling coaching practice: The role of instruction and demonstration’, </w:t>
      </w:r>
      <w:r w:rsidRPr="00381921">
        <w:rPr>
          <w:rFonts w:ascii="Arial" w:hAnsi="Arial" w:cs="Arial"/>
          <w:i/>
          <w:iCs/>
          <w:noProof/>
          <w:sz w:val="24"/>
          <w:szCs w:val="24"/>
        </w:rPr>
        <w:t>Journal of Sports Sciences</w:t>
      </w:r>
      <w:r w:rsidRPr="00381921">
        <w:rPr>
          <w:rFonts w:ascii="Arial" w:hAnsi="Arial" w:cs="Arial"/>
          <w:noProof/>
          <w:sz w:val="24"/>
          <w:szCs w:val="24"/>
        </w:rPr>
        <w:t>, 20(10), pp. 793–811. doi: 10.1080/026404102320675648.</w:t>
      </w:r>
    </w:p>
    <w:p w14:paraId="0B8B5D6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Hogle, L. A. (2021) ‘Fostering singing agency through emotional differentiation in an inclusive singing environment’, </w:t>
      </w:r>
      <w:r w:rsidRPr="00381921">
        <w:rPr>
          <w:rFonts w:ascii="Arial" w:hAnsi="Arial" w:cs="Arial"/>
          <w:i/>
          <w:iCs/>
          <w:noProof/>
          <w:sz w:val="24"/>
          <w:szCs w:val="24"/>
        </w:rPr>
        <w:t>Research Studies in Music Education</w:t>
      </w:r>
      <w:r w:rsidRPr="00381921">
        <w:rPr>
          <w:rFonts w:ascii="Arial" w:hAnsi="Arial" w:cs="Arial"/>
          <w:noProof/>
          <w:sz w:val="24"/>
          <w:szCs w:val="24"/>
        </w:rPr>
        <w:t>, 43(2), pp. 179–194. doi: 10.1177/1321103X20930426.</w:t>
      </w:r>
    </w:p>
    <w:p w14:paraId="7C89E2D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Hung, W. C. </w:t>
      </w:r>
      <w:r w:rsidRPr="00381921">
        <w:rPr>
          <w:rFonts w:ascii="Arial" w:hAnsi="Arial" w:cs="Arial"/>
          <w:i/>
          <w:iCs/>
          <w:noProof/>
          <w:sz w:val="24"/>
          <w:szCs w:val="24"/>
        </w:rPr>
        <w:t>et al.</w:t>
      </w:r>
      <w:r w:rsidRPr="00381921">
        <w:rPr>
          <w:rFonts w:ascii="Arial" w:hAnsi="Arial" w:cs="Arial"/>
          <w:noProof/>
          <w:sz w:val="24"/>
          <w:szCs w:val="24"/>
        </w:rPr>
        <w:t xml:space="preserve"> (2010) ‘Development research of a teachers’ educational performance support system: The practices of design, development, and evaluation’, </w:t>
      </w:r>
      <w:r w:rsidRPr="00381921">
        <w:rPr>
          <w:rFonts w:ascii="Arial" w:hAnsi="Arial" w:cs="Arial"/>
          <w:i/>
          <w:iCs/>
          <w:noProof/>
          <w:sz w:val="24"/>
          <w:szCs w:val="24"/>
        </w:rPr>
        <w:t>Educational Technology Research and Development</w:t>
      </w:r>
      <w:r w:rsidRPr="00381921">
        <w:rPr>
          <w:rFonts w:ascii="Arial" w:hAnsi="Arial" w:cs="Arial"/>
          <w:noProof/>
          <w:sz w:val="24"/>
          <w:szCs w:val="24"/>
        </w:rPr>
        <w:t>, 58(1), pp. 61–80. doi: 10.1007/s11423-007-9080-3.</w:t>
      </w:r>
    </w:p>
    <w:p w14:paraId="50D176C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Kawulich, B. (2001) ‘9.13 Selecting a research approach: paradigm, methodology and methods’, (January 2012), pp. 1–21.</w:t>
      </w:r>
    </w:p>
    <w:p w14:paraId="0EC709A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Kincheloe, J. (2004) ‘Introduction: The power of the bricolage: Expanding research methods’, </w:t>
      </w:r>
      <w:r w:rsidRPr="00381921">
        <w:rPr>
          <w:rFonts w:ascii="Arial" w:hAnsi="Arial" w:cs="Arial"/>
          <w:i/>
          <w:iCs/>
          <w:noProof/>
          <w:sz w:val="24"/>
          <w:szCs w:val="24"/>
        </w:rPr>
        <w:t>Rigour and Complexity in Educational Research: Conceptualizing the bricolage.</w:t>
      </w:r>
      <w:r w:rsidRPr="00381921">
        <w:rPr>
          <w:rFonts w:ascii="Arial" w:hAnsi="Arial" w:cs="Arial"/>
          <w:noProof/>
          <w:sz w:val="24"/>
          <w:szCs w:val="24"/>
        </w:rPr>
        <w:t>, pp. 1–22.</w:t>
      </w:r>
    </w:p>
    <w:p w14:paraId="04CA6FE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Kulasegarah, J., McGregor, K. and Mahadevan, M. (2018) ‘Quality of information on the Internet—has a decade made a difference?’, </w:t>
      </w:r>
      <w:r w:rsidRPr="00381921">
        <w:rPr>
          <w:rFonts w:ascii="Arial" w:hAnsi="Arial" w:cs="Arial"/>
          <w:i/>
          <w:iCs/>
          <w:noProof/>
          <w:sz w:val="24"/>
          <w:szCs w:val="24"/>
        </w:rPr>
        <w:t>Irish Journal of Medical Science</w:t>
      </w:r>
      <w:r w:rsidRPr="00381921">
        <w:rPr>
          <w:rFonts w:ascii="Arial" w:hAnsi="Arial" w:cs="Arial"/>
          <w:noProof/>
          <w:sz w:val="24"/>
          <w:szCs w:val="24"/>
        </w:rPr>
        <w:t>, 187(4), pp. 873–876. doi: 10.1007/s11845-018-1790-5.</w:t>
      </w:r>
    </w:p>
    <w:p w14:paraId="65341D7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Kyllo, L. B. and Landers, D. M. (2016) ‘Goal Setting in Sport and Exercise: A Research Synthesis to Resolve the Controversy’, </w:t>
      </w:r>
      <w:r w:rsidRPr="00381921">
        <w:rPr>
          <w:rFonts w:ascii="Arial" w:hAnsi="Arial" w:cs="Arial"/>
          <w:i/>
          <w:iCs/>
          <w:noProof/>
          <w:sz w:val="24"/>
          <w:szCs w:val="24"/>
        </w:rPr>
        <w:t>Journal of Sport and Exercise Psychology</w:t>
      </w:r>
      <w:r w:rsidRPr="00381921">
        <w:rPr>
          <w:rFonts w:ascii="Arial" w:hAnsi="Arial" w:cs="Arial"/>
          <w:noProof/>
          <w:sz w:val="24"/>
          <w:szCs w:val="24"/>
        </w:rPr>
        <w:t>, 17(2), pp. 117–137. doi: 10.1123/jsep.17.2.117.</w:t>
      </w:r>
    </w:p>
    <w:p w14:paraId="1B5BB76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Latham, G. P. and Locke, E. A. (2006) ‘Enhancing the Benefits and Overcoming the Pitfalls of Goal Setting’, </w:t>
      </w:r>
      <w:r w:rsidRPr="00381921">
        <w:rPr>
          <w:rFonts w:ascii="Arial" w:hAnsi="Arial" w:cs="Arial"/>
          <w:i/>
          <w:iCs/>
          <w:noProof/>
          <w:sz w:val="24"/>
          <w:szCs w:val="24"/>
        </w:rPr>
        <w:t>Organizational Dynamics</w:t>
      </w:r>
      <w:r w:rsidRPr="00381921">
        <w:rPr>
          <w:rFonts w:ascii="Arial" w:hAnsi="Arial" w:cs="Arial"/>
          <w:noProof/>
          <w:sz w:val="24"/>
          <w:szCs w:val="24"/>
        </w:rPr>
        <w:t>, 35(4), pp. 332–340. doi: 10.1016/j.orgdyn.2006.08.008.</w:t>
      </w:r>
    </w:p>
    <w:p w14:paraId="2896A07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Lebowitz, A. and Baken, R. J. (2011) ‘Correlates of the belt voice: A broader examination’, </w:t>
      </w:r>
      <w:r w:rsidRPr="00381921">
        <w:rPr>
          <w:rFonts w:ascii="Arial" w:hAnsi="Arial" w:cs="Arial"/>
          <w:i/>
          <w:iCs/>
          <w:noProof/>
          <w:sz w:val="24"/>
          <w:szCs w:val="24"/>
        </w:rPr>
        <w:t>Journal of Voice</w:t>
      </w:r>
      <w:r w:rsidRPr="00381921">
        <w:rPr>
          <w:rFonts w:ascii="Arial" w:hAnsi="Arial" w:cs="Arial"/>
          <w:noProof/>
          <w:sz w:val="24"/>
          <w:szCs w:val="24"/>
        </w:rPr>
        <w:t>, 25(2), pp. 159–165. doi: 10.1016/j.jvoice.2009.10.014.</w:t>
      </w:r>
    </w:p>
    <w:p w14:paraId="3597A13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Lewis, M. C. and Hendricks, K. S. (2022) ‘“It’s your body, it’s part of who you are!”: Influences upon collegiate vocalists’ performance self-efficacy beliefs’, </w:t>
      </w:r>
      <w:r w:rsidRPr="00381921">
        <w:rPr>
          <w:rFonts w:ascii="Arial" w:hAnsi="Arial" w:cs="Arial"/>
          <w:i/>
          <w:iCs/>
          <w:noProof/>
          <w:sz w:val="24"/>
          <w:szCs w:val="24"/>
        </w:rPr>
        <w:t>International Journal of Music Education</w:t>
      </w:r>
      <w:r w:rsidRPr="00381921">
        <w:rPr>
          <w:rFonts w:ascii="Arial" w:hAnsi="Arial" w:cs="Arial"/>
          <w:noProof/>
          <w:sz w:val="24"/>
          <w:szCs w:val="24"/>
        </w:rPr>
        <w:t>. doi: 10.1177/02557614221074057.</w:t>
      </w:r>
    </w:p>
    <w:p w14:paraId="1511AC7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Lia, P. (1988) ‘Using Gibbs ’ Reflective Cycle’, </w:t>
      </w:r>
      <w:r w:rsidRPr="00381921">
        <w:rPr>
          <w:rFonts w:ascii="Arial" w:hAnsi="Arial" w:cs="Arial"/>
          <w:i/>
          <w:iCs/>
          <w:noProof/>
          <w:sz w:val="24"/>
          <w:szCs w:val="24"/>
        </w:rPr>
        <w:t>Learning Support Tutor: Disability Advisory Service: KCL</w:t>
      </w:r>
      <w:r w:rsidRPr="00381921">
        <w:rPr>
          <w:rFonts w:ascii="Arial" w:hAnsi="Arial" w:cs="Arial"/>
          <w:noProof/>
          <w:sz w:val="24"/>
          <w:szCs w:val="24"/>
        </w:rPr>
        <w:t>, pp. 1–5. Available at: https://www.kcl.ac.uk/campuslife/services/disability/service/Using-Gibbs-Reflective-Cycle-in-Coursework.pdf.</w:t>
      </w:r>
    </w:p>
    <w:p w14:paraId="6211AB5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Lincoln, Y. S., Lynham, S. and Guba, E. G. (2011) ‘Chapter: Paradigmatic controversies, contradictions, and emerging confluences revisited’, in </w:t>
      </w:r>
      <w:r w:rsidRPr="00381921">
        <w:rPr>
          <w:rFonts w:ascii="Arial" w:hAnsi="Arial" w:cs="Arial"/>
          <w:i/>
          <w:iCs/>
          <w:noProof/>
          <w:sz w:val="24"/>
          <w:szCs w:val="24"/>
        </w:rPr>
        <w:t xml:space="preserve">The SAGE </w:t>
      </w:r>
      <w:r w:rsidRPr="00381921">
        <w:rPr>
          <w:rFonts w:ascii="Arial" w:hAnsi="Arial" w:cs="Arial"/>
          <w:i/>
          <w:iCs/>
          <w:noProof/>
          <w:sz w:val="24"/>
          <w:szCs w:val="24"/>
        </w:rPr>
        <w:lastRenderedPageBreak/>
        <w:t>Handbook of Qualitative Research</w:t>
      </w:r>
      <w:r w:rsidRPr="00381921">
        <w:rPr>
          <w:rFonts w:ascii="Arial" w:hAnsi="Arial" w:cs="Arial"/>
          <w:noProof/>
          <w:sz w:val="24"/>
          <w:szCs w:val="24"/>
        </w:rPr>
        <w:t>. 4th edn. SAGE, 2011.</w:t>
      </w:r>
    </w:p>
    <w:p w14:paraId="5AE61FB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Lindqvist, H. </w:t>
      </w:r>
      <w:r w:rsidRPr="00381921">
        <w:rPr>
          <w:rFonts w:ascii="Arial" w:hAnsi="Arial" w:cs="Arial"/>
          <w:i/>
          <w:iCs/>
          <w:noProof/>
          <w:sz w:val="24"/>
          <w:szCs w:val="24"/>
        </w:rPr>
        <w:t>et al.</w:t>
      </w:r>
      <w:r w:rsidRPr="00381921">
        <w:rPr>
          <w:rFonts w:ascii="Arial" w:hAnsi="Arial" w:cs="Arial"/>
          <w:noProof/>
          <w:sz w:val="24"/>
          <w:szCs w:val="24"/>
        </w:rPr>
        <w:t xml:space="preserve"> (2023) ‘Work-based learning partnerships: mentor-teachers’ perceptions of student teachers’ challenges’, </w:t>
      </w:r>
      <w:r w:rsidRPr="00381921">
        <w:rPr>
          <w:rFonts w:ascii="Arial" w:hAnsi="Arial" w:cs="Arial"/>
          <w:i/>
          <w:iCs/>
          <w:noProof/>
          <w:sz w:val="24"/>
          <w:szCs w:val="24"/>
        </w:rPr>
        <w:t>Educational Research</w:t>
      </w:r>
      <w:r w:rsidRPr="00381921">
        <w:rPr>
          <w:rFonts w:ascii="Arial" w:hAnsi="Arial" w:cs="Arial"/>
          <w:noProof/>
          <w:sz w:val="24"/>
          <w:szCs w:val="24"/>
        </w:rPr>
        <w:t>, 65(3), pp. 392–407. doi: 10.1080/00131881.2023.2234384.</w:t>
      </w:r>
    </w:p>
    <w:p w14:paraId="495B686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Little, T. D. (2013) </w:t>
      </w:r>
      <w:r w:rsidRPr="00381921">
        <w:rPr>
          <w:rFonts w:ascii="Arial" w:hAnsi="Arial" w:cs="Arial"/>
          <w:i/>
          <w:iCs/>
          <w:noProof/>
          <w:sz w:val="24"/>
          <w:szCs w:val="24"/>
        </w:rPr>
        <w:t>The Oxford Handbook of Quantitative Methods</w:t>
      </w:r>
      <w:r w:rsidRPr="00381921">
        <w:rPr>
          <w:rFonts w:ascii="Arial" w:hAnsi="Arial" w:cs="Arial"/>
          <w:noProof/>
          <w:sz w:val="24"/>
          <w:szCs w:val="24"/>
        </w:rPr>
        <w:t>. New York: Oxford University Press.</w:t>
      </w:r>
    </w:p>
    <w:p w14:paraId="52C1F93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Liu, Z. (2022) ‘Correlation Analysis between Emotion Control and Professional Self-Efficacy of Singing Artists Based on Multidimensional Environment’, </w:t>
      </w:r>
      <w:r w:rsidRPr="00381921">
        <w:rPr>
          <w:rFonts w:ascii="Arial" w:hAnsi="Arial" w:cs="Arial"/>
          <w:i/>
          <w:iCs/>
          <w:noProof/>
          <w:sz w:val="24"/>
          <w:szCs w:val="24"/>
        </w:rPr>
        <w:t>Journal of environmental and public health</w:t>
      </w:r>
      <w:r w:rsidRPr="00381921">
        <w:rPr>
          <w:rFonts w:ascii="Arial" w:hAnsi="Arial" w:cs="Arial"/>
          <w:noProof/>
          <w:sz w:val="24"/>
          <w:szCs w:val="24"/>
        </w:rPr>
        <w:t>, 2022, p. 2876474. doi: 10.1155/2022/2876474.</w:t>
      </w:r>
    </w:p>
    <w:p w14:paraId="7683524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Lorince, M. (1997) ‘Pedagogy saturday.’, </w:t>
      </w:r>
      <w:r w:rsidRPr="00381921">
        <w:rPr>
          <w:rFonts w:ascii="Arial" w:hAnsi="Arial" w:cs="Arial"/>
          <w:i/>
          <w:iCs/>
          <w:noProof/>
          <w:sz w:val="24"/>
          <w:szCs w:val="24"/>
        </w:rPr>
        <w:t>American Music Teacher</w:t>
      </w:r>
      <w:r w:rsidRPr="00381921">
        <w:rPr>
          <w:rFonts w:ascii="Arial" w:hAnsi="Arial" w:cs="Arial"/>
          <w:noProof/>
          <w:sz w:val="24"/>
          <w:szCs w:val="24"/>
        </w:rPr>
        <w:t>, 47(1), p. 34. Available at: http://search.ebscohost.com/login.aspx?direct=true&amp;db=a9h&amp;AN=9709226331&amp;site=ehost-live&amp;scope=site.</w:t>
      </w:r>
    </w:p>
    <w:p w14:paraId="26F7713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LoVetri, J. L. and Weekly, E. M. (2003) ‘Contemporary commercial music (CCM) survey: Who’s teaching what in nonclassical music’, </w:t>
      </w:r>
      <w:r w:rsidRPr="00381921">
        <w:rPr>
          <w:rFonts w:ascii="Arial" w:hAnsi="Arial" w:cs="Arial"/>
          <w:i/>
          <w:iCs/>
          <w:noProof/>
          <w:sz w:val="24"/>
          <w:szCs w:val="24"/>
        </w:rPr>
        <w:t>Journal of Voice</w:t>
      </w:r>
      <w:r w:rsidRPr="00381921">
        <w:rPr>
          <w:rFonts w:ascii="Arial" w:hAnsi="Arial" w:cs="Arial"/>
          <w:noProof/>
          <w:sz w:val="24"/>
          <w:szCs w:val="24"/>
        </w:rPr>
        <w:t>, 17(2), pp. 207–215. doi: 10.1016/S0892-1997(03)00004-3.</w:t>
      </w:r>
    </w:p>
    <w:p w14:paraId="7DBE15B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Van der Lubbe, R. H. J. </w:t>
      </w:r>
      <w:r w:rsidRPr="00381921">
        <w:rPr>
          <w:rFonts w:ascii="Arial" w:hAnsi="Arial" w:cs="Arial"/>
          <w:i/>
          <w:iCs/>
          <w:noProof/>
          <w:sz w:val="24"/>
          <w:szCs w:val="24"/>
        </w:rPr>
        <w:t>et al.</w:t>
      </w:r>
      <w:r w:rsidRPr="00381921">
        <w:rPr>
          <w:rFonts w:ascii="Arial" w:hAnsi="Arial" w:cs="Arial"/>
          <w:noProof/>
          <w:sz w:val="24"/>
          <w:szCs w:val="24"/>
        </w:rPr>
        <w:t xml:space="preserve"> (2018) ‘Does mindfulness training modulate the influence of spatial attention on the processing of intracutaneous electrical stimuli?’, </w:t>
      </w:r>
      <w:r w:rsidRPr="00381921">
        <w:rPr>
          <w:rFonts w:ascii="Arial" w:hAnsi="Arial" w:cs="Arial"/>
          <w:i/>
          <w:iCs/>
          <w:noProof/>
          <w:sz w:val="24"/>
          <w:szCs w:val="24"/>
        </w:rPr>
        <w:t>PLoS ONE</w:t>
      </w:r>
      <w:r w:rsidRPr="00381921">
        <w:rPr>
          <w:rFonts w:ascii="Arial" w:hAnsi="Arial" w:cs="Arial"/>
          <w:noProof/>
          <w:sz w:val="24"/>
          <w:szCs w:val="24"/>
        </w:rPr>
        <w:t>, 13(8), pp. 1–30. doi: 10.1371/journal.pone.0201689.</w:t>
      </w:r>
    </w:p>
    <w:p w14:paraId="005471D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Mackenzie, N. and Knipe, S. (2006) ‘Research dilemmas: Paradigms, methods and methodology [Electronic Version]’, </w:t>
      </w:r>
      <w:r w:rsidRPr="00381921">
        <w:rPr>
          <w:rFonts w:ascii="Arial" w:hAnsi="Arial" w:cs="Arial"/>
          <w:i/>
          <w:iCs/>
          <w:noProof/>
          <w:sz w:val="24"/>
          <w:szCs w:val="24"/>
        </w:rPr>
        <w:t>Issues In Educational Research</w:t>
      </w:r>
      <w:r w:rsidRPr="00381921">
        <w:rPr>
          <w:rFonts w:ascii="Arial" w:hAnsi="Arial" w:cs="Arial"/>
          <w:noProof/>
          <w:sz w:val="24"/>
          <w:szCs w:val="24"/>
        </w:rPr>
        <w:t>, 16, pp. 193–205. Available at: http://www.iier.org.au/iier16/mackenzie.html.</w:t>
      </w:r>
    </w:p>
    <w:p w14:paraId="42A0F75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MacLeod, D. (2011) ‘New Approaches To Design Practice’, </w:t>
      </w:r>
      <w:r w:rsidRPr="00381921">
        <w:rPr>
          <w:rFonts w:ascii="Arial" w:hAnsi="Arial" w:cs="Arial"/>
          <w:i/>
          <w:iCs/>
          <w:noProof/>
          <w:sz w:val="24"/>
          <w:szCs w:val="24"/>
        </w:rPr>
        <w:t>Proceedings of the Canadian Engineering Education Association (CEEA)</w:t>
      </w:r>
      <w:r w:rsidRPr="00381921">
        <w:rPr>
          <w:rFonts w:ascii="Arial" w:hAnsi="Arial" w:cs="Arial"/>
          <w:noProof/>
          <w:sz w:val="24"/>
          <w:szCs w:val="24"/>
        </w:rPr>
        <w:t>, pp. 166–171. doi: 10.24908/pceea.v0i0.3829.</w:t>
      </w:r>
    </w:p>
    <w:p w14:paraId="343D861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Manternach, B., Maxfield, L. and Manternach, J. N. (2021) ‘Effects of Varied Semi-Occluded Vocal Tract Exercises on Acoustic and Perceptual Measures of Music Theatre Singers: A Pilot Study’, </w:t>
      </w:r>
      <w:r w:rsidRPr="00381921">
        <w:rPr>
          <w:rFonts w:ascii="Arial" w:hAnsi="Arial" w:cs="Arial"/>
          <w:i/>
          <w:iCs/>
          <w:noProof/>
          <w:sz w:val="24"/>
          <w:szCs w:val="24"/>
        </w:rPr>
        <w:t>Voice and Speech Review</w:t>
      </w:r>
      <w:r w:rsidRPr="00381921">
        <w:rPr>
          <w:rFonts w:ascii="Arial" w:hAnsi="Arial" w:cs="Arial"/>
          <w:noProof/>
          <w:sz w:val="24"/>
          <w:szCs w:val="24"/>
        </w:rPr>
        <w:t>, 15(1), pp. 40–50. doi: 10.1080/23268263.2020.1781373.</w:t>
      </w:r>
    </w:p>
    <w:p w14:paraId="374E258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Manternach, J. N., Clark, C. and Daugherty, J. F. (2017) ‘Effects of a Straw Phonation Protocol on Acoustic Measures of an SATB Chorus Singing Two Contrasting Renaissance Works’, </w:t>
      </w:r>
      <w:r w:rsidRPr="00381921">
        <w:rPr>
          <w:rFonts w:ascii="Arial" w:hAnsi="Arial" w:cs="Arial"/>
          <w:i/>
          <w:iCs/>
          <w:noProof/>
          <w:sz w:val="24"/>
          <w:szCs w:val="24"/>
        </w:rPr>
        <w:t>Journal of Voice</w:t>
      </w:r>
      <w:r w:rsidRPr="00381921">
        <w:rPr>
          <w:rFonts w:ascii="Arial" w:hAnsi="Arial" w:cs="Arial"/>
          <w:noProof/>
          <w:sz w:val="24"/>
          <w:szCs w:val="24"/>
        </w:rPr>
        <w:t>, 31(4), pp. 514.e5-514.e10. doi: 10.1016/j.jvoice.2016.12.008.</w:t>
      </w:r>
    </w:p>
    <w:p w14:paraId="4C01971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(2013) ‘Improve Your Students’ Learning by Improving Your Feedback’, </w:t>
      </w:r>
      <w:r w:rsidRPr="00381921">
        <w:rPr>
          <w:rFonts w:ascii="Arial" w:hAnsi="Arial" w:cs="Arial"/>
          <w:i/>
          <w:iCs/>
          <w:noProof/>
          <w:sz w:val="24"/>
          <w:szCs w:val="24"/>
        </w:rPr>
        <w:t>Journal of Singing</w:t>
      </w:r>
      <w:r w:rsidRPr="00381921">
        <w:rPr>
          <w:rFonts w:ascii="Arial" w:hAnsi="Arial" w:cs="Arial"/>
          <w:noProof/>
          <w:sz w:val="24"/>
          <w:szCs w:val="24"/>
        </w:rPr>
        <w:t>, 69(4), pp. 471–478. Available at: http://proxy-s.mercer.edu/login?url=http://search.ebscohost.com/login.aspx?direct=true&amp;db=eft&amp;AN=85987196&amp;site=ehost-live.</w:t>
      </w:r>
    </w:p>
    <w:p w14:paraId="740DFCE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(2019) ‘Your Model of Motor Learning’, </w:t>
      </w:r>
      <w:r w:rsidRPr="00381921">
        <w:rPr>
          <w:rFonts w:ascii="Arial" w:hAnsi="Arial" w:cs="Arial"/>
          <w:i/>
          <w:iCs/>
          <w:noProof/>
          <w:sz w:val="24"/>
          <w:szCs w:val="24"/>
        </w:rPr>
        <w:t>Journal of Singing</w:t>
      </w:r>
      <w:r w:rsidRPr="00381921">
        <w:rPr>
          <w:rFonts w:ascii="Arial" w:hAnsi="Arial" w:cs="Arial"/>
          <w:noProof/>
          <w:sz w:val="24"/>
          <w:szCs w:val="24"/>
        </w:rPr>
        <w:t>, (June), pp. 583–587.</w:t>
      </w:r>
    </w:p>
    <w:p w14:paraId="57AD43C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M. (2011) ‘Application of principles from motor-learning theory to the studio voice lesson: Effects of feedback frequency on retention of classical singing technique’, </w:t>
      </w:r>
      <w:r w:rsidRPr="00381921">
        <w:rPr>
          <w:rFonts w:ascii="Arial" w:hAnsi="Arial" w:cs="Arial"/>
          <w:i/>
          <w:iCs/>
          <w:noProof/>
          <w:sz w:val="24"/>
          <w:szCs w:val="24"/>
        </w:rPr>
        <w:t>ProQuest Dissertations and Theses</w:t>
      </w:r>
      <w:r w:rsidRPr="00381921">
        <w:rPr>
          <w:rFonts w:ascii="Arial" w:hAnsi="Arial" w:cs="Arial"/>
          <w:noProof/>
          <w:sz w:val="24"/>
          <w:szCs w:val="24"/>
        </w:rPr>
        <w:t>, p. 191. Available at: http://ezproxy.auckland.ac.nz/login?url=http://search.proquest.com/docview/879636063?accountid=8424%5Cnhttp://openurl.auckland.ac.nz/resolve?url_ver=Z39.88-2004&amp;rft_val_fmt=info:ofi/fmt:kev:mtx:dissertation&amp;genre=dissertations+%26+theses&amp;sid=ProQ:ProQuest.</w:t>
      </w:r>
    </w:p>
    <w:p w14:paraId="2D0DF2F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Maxfield, L. and Manternach, B. (2018) ‘Perceptual Differences between Novice and Professional Music Theater Singers’, </w:t>
      </w:r>
      <w:r w:rsidRPr="00381921">
        <w:rPr>
          <w:rFonts w:ascii="Arial" w:hAnsi="Arial" w:cs="Arial"/>
          <w:i/>
          <w:iCs/>
          <w:noProof/>
          <w:sz w:val="24"/>
          <w:szCs w:val="24"/>
        </w:rPr>
        <w:t>Journal of Voice</w:t>
      </w:r>
      <w:r w:rsidRPr="00381921">
        <w:rPr>
          <w:rFonts w:ascii="Arial" w:hAnsi="Arial" w:cs="Arial"/>
          <w:noProof/>
          <w:sz w:val="24"/>
          <w:szCs w:val="24"/>
        </w:rPr>
        <w:t>, 32(5), pp. 572–577. doi: 10.1016/j.jvoice.2017.08.007.</w:t>
      </w:r>
    </w:p>
    <w:p w14:paraId="0B2E1CF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Mccoy, S. and Macdonald, L. (2019) ‘VOICE PEDAGOGY A Mentoring Paradigm For Voice Pedagogy Programs’, </w:t>
      </w:r>
      <w:r w:rsidRPr="00381921">
        <w:rPr>
          <w:rFonts w:ascii="Arial" w:hAnsi="Arial" w:cs="Arial"/>
          <w:i/>
          <w:iCs/>
          <w:noProof/>
          <w:sz w:val="24"/>
          <w:szCs w:val="24"/>
        </w:rPr>
        <w:t>Journal of Singing</w:t>
      </w:r>
      <w:r w:rsidRPr="00381921">
        <w:rPr>
          <w:rFonts w:ascii="Arial" w:hAnsi="Arial" w:cs="Arial"/>
          <w:noProof/>
          <w:sz w:val="24"/>
          <w:szCs w:val="24"/>
        </w:rPr>
        <w:t>, 75(3), pp. 297–302.</w:t>
      </w:r>
    </w:p>
    <w:p w14:paraId="0319C43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McGlashan, J., Thuesen, M. A. and Sadolin, C. (2017) ‘Overdrive and Edge as Refiners of “Belting”?: An Empirical Study Qualifying and Categorizing “Belting” Based on Audio Perception, Laryngostroboscopic Imaging, Acoustics, LTAS, and EGG’, </w:t>
      </w:r>
      <w:r w:rsidRPr="00381921">
        <w:rPr>
          <w:rFonts w:ascii="Arial" w:hAnsi="Arial" w:cs="Arial"/>
          <w:i/>
          <w:iCs/>
          <w:noProof/>
          <w:sz w:val="24"/>
          <w:szCs w:val="24"/>
        </w:rPr>
        <w:t>Journal of Voice</w:t>
      </w:r>
      <w:r w:rsidRPr="00381921">
        <w:rPr>
          <w:rFonts w:ascii="Arial" w:hAnsi="Arial" w:cs="Arial"/>
          <w:noProof/>
          <w:sz w:val="24"/>
          <w:szCs w:val="24"/>
        </w:rPr>
        <w:t>, 31(3), pp. 385.e11-385.e22. doi: 10.1016/j.jvoice.2016.09.006.</w:t>
      </w:r>
    </w:p>
    <w:p w14:paraId="0E882F7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McHenry, M. and Evans, J. (2016) ‘Aerobic Exercise as a Warm-Up for Singing: Aerodynamic Changes’, </w:t>
      </w:r>
      <w:r w:rsidRPr="00381921">
        <w:rPr>
          <w:rFonts w:ascii="Arial" w:hAnsi="Arial" w:cs="Arial"/>
          <w:i/>
          <w:iCs/>
          <w:noProof/>
          <w:sz w:val="24"/>
          <w:szCs w:val="24"/>
        </w:rPr>
        <w:t>Journal of Voice</w:t>
      </w:r>
      <w:r w:rsidRPr="00381921">
        <w:rPr>
          <w:rFonts w:ascii="Arial" w:hAnsi="Arial" w:cs="Arial"/>
          <w:noProof/>
          <w:sz w:val="24"/>
          <w:szCs w:val="24"/>
        </w:rPr>
        <w:t>, 30(6), pp. 693–697. doi: 10.1016/j.jvoice.2015.08.011.</w:t>
      </w:r>
    </w:p>
    <w:p w14:paraId="1991D3C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McKay, B. and Ste-Marie, D. M. (2020) ‘Autonomy support and reduced feedback frequency have trivial effects on learning and performance of a golf putting task’, </w:t>
      </w:r>
      <w:r w:rsidRPr="00381921">
        <w:rPr>
          <w:rFonts w:ascii="Arial" w:hAnsi="Arial" w:cs="Arial"/>
          <w:i/>
          <w:iCs/>
          <w:noProof/>
          <w:sz w:val="24"/>
          <w:szCs w:val="24"/>
        </w:rPr>
        <w:t>Human Movement Science</w:t>
      </w:r>
      <w:r w:rsidRPr="00381921">
        <w:rPr>
          <w:rFonts w:ascii="Arial" w:hAnsi="Arial" w:cs="Arial"/>
          <w:noProof/>
          <w:sz w:val="24"/>
          <w:szCs w:val="24"/>
        </w:rPr>
        <w:t>, 71(March), p. 102612. doi: 10.1016/j.humov.2020.102612.</w:t>
      </w:r>
    </w:p>
    <w:p w14:paraId="0A7576B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Mercer, J. (2007) ‘The Challenges of Insider Research in Educational Institutions: Wielding a double-edged sword and resolving delicate dilemmas By Dr. Justine Mercer, Centre for Educational Leadership and Management, University of Leicester.’, </w:t>
      </w:r>
      <w:r w:rsidRPr="00381921">
        <w:rPr>
          <w:rFonts w:ascii="Arial" w:hAnsi="Arial" w:cs="Arial"/>
          <w:i/>
          <w:iCs/>
          <w:noProof/>
          <w:sz w:val="24"/>
          <w:szCs w:val="24"/>
        </w:rPr>
        <w:t>Oxford Review of Education</w:t>
      </w:r>
      <w:r w:rsidRPr="00381921">
        <w:rPr>
          <w:rFonts w:ascii="Arial" w:hAnsi="Arial" w:cs="Arial"/>
          <w:noProof/>
          <w:sz w:val="24"/>
          <w:szCs w:val="24"/>
        </w:rPr>
        <w:t>, 33(1), pp. 1–17.</w:t>
      </w:r>
    </w:p>
    <w:p w14:paraId="57574D8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Merriam, S. (1995) ‘Merriam - Issue of validity in Qual research.pdf’, </w:t>
      </w:r>
      <w:r w:rsidRPr="00381921">
        <w:rPr>
          <w:rFonts w:ascii="Arial" w:hAnsi="Arial" w:cs="Arial"/>
          <w:i/>
          <w:iCs/>
          <w:noProof/>
          <w:sz w:val="24"/>
          <w:szCs w:val="24"/>
        </w:rPr>
        <w:t>Journal of Lifelong Learning</w:t>
      </w:r>
      <w:r w:rsidRPr="00381921">
        <w:rPr>
          <w:rFonts w:ascii="Arial" w:hAnsi="Arial" w:cs="Arial"/>
          <w:noProof/>
          <w:sz w:val="24"/>
          <w:szCs w:val="24"/>
        </w:rPr>
        <w:t>, 4, pp. 51–60.</w:t>
      </w:r>
    </w:p>
    <w:p w14:paraId="4B45023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Merriam, S. and Tisdell, E. (2016) </w:t>
      </w:r>
      <w:r w:rsidRPr="00381921">
        <w:rPr>
          <w:rFonts w:ascii="Arial" w:hAnsi="Arial" w:cs="Arial"/>
          <w:i/>
          <w:iCs/>
          <w:noProof/>
          <w:sz w:val="24"/>
          <w:szCs w:val="24"/>
        </w:rPr>
        <w:t>Qualitative Research</w:t>
      </w:r>
      <w:r w:rsidRPr="00381921">
        <w:rPr>
          <w:rFonts w:ascii="Arial" w:hAnsi="Arial" w:cs="Arial"/>
          <w:noProof/>
          <w:sz w:val="24"/>
          <w:szCs w:val="24"/>
        </w:rPr>
        <w:t xml:space="preserve">. Fourth, </w:t>
      </w:r>
      <w:r w:rsidRPr="00381921">
        <w:rPr>
          <w:rFonts w:ascii="Arial" w:hAnsi="Arial" w:cs="Arial"/>
          <w:i/>
          <w:iCs/>
          <w:noProof/>
          <w:sz w:val="24"/>
          <w:szCs w:val="24"/>
        </w:rPr>
        <w:t>Paper Knowledge . Toward a Media History of Documents</w:t>
      </w:r>
      <w:r w:rsidRPr="00381921">
        <w:rPr>
          <w:rFonts w:ascii="Arial" w:hAnsi="Arial" w:cs="Arial"/>
          <w:noProof/>
          <w:sz w:val="24"/>
          <w:szCs w:val="24"/>
        </w:rPr>
        <w:t>. Fourth. San Francisco: Jossey-Bass.</w:t>
      </w:r>
    </w:p>
    <w:p w14:paraId="3173B6B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Middleton, T. </w:t>
      </w:r>
      <w:r w:rsidRPr="00381921">
        <w:rPr>
          <w:rFonts w:ascii="Arial" w:hAnsi="Arial" w:cs="Arial"/>
          <w:i/>
          <w:iCs/>
          <w:noProof/>
          <w:sz w:val="24"/>
          <w:szCs w:val="24"/>
        </w:rPr>
        <w:t>et al.</w:t>
      </w:r>
      <w:r w:rsidRPr="00381921">
        <w:rPr>
          <w:rFonts w:ascii="Arial" w:hAnsi="Arial" w:cs="Arial"/>
          <w:noProof/>
          <w:sz w:val="24"/>
          <w:szCs w:val="24"/>
        </w:rPr>
        <w:t xml:space="preserve"> (2019) ‘Framework for Reflection’, </w:t>
      </w:r>
      <w:r w:rsidRPr="00381921">
        <w:rPr>
          <w:rFonts w:ascii="Arial" w:hAnsi="Arial" w:cs="Arial"/>
          <w:i/>
          <w:iCs/>
          <w:noProof/>
          <w:sz w:val="24"/>
          <w:szCs w:val="24"/>
        </w:rPr>
        <w:t>Using an Inclusive Approach to Reduce School Exclusion</w:t>
      </w:r>
      <w:r w:rsidRPr="00381921">
        <w:rPr>
          <w:rFonts w:ascii="Arial" w:hAnsi="Arial" w:cs="Arial"/>
          <w:noProof/>
          <w:sz w:val="24"/>
          <w:szCs w:val="24"/>
        </w:rPr>
        <w:t>, pp. 199–208. doi: 10.4324/9780429455407-25.</w:t>
      </w:r>
    </w:p>
    <w:p w14:paraId="3F35CBD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Moghal, S. and Khanam, F. (2012) ‘Self esteem as a predictor of fear of negative evaluation and social anxiety’, </w:t>
      </w:r>
      <w:r w:rsidRPr="00381921">
        <w:rPr>
          <w:rFonts w:ascii="Arial" w:hAnsi="Arial" w:cs="Arial"/>
          <w:i/>
          <w:iCs/>
          <w:noProof/>
          <w:sz w:val="24"/>
          <w:szCs w:val="24"/>
        </w:rPr>
        <w:t>Pakistan Journal of psychology</w:t>
      </w:r>
      <w:r w:rsidRPr="00381921">
        <w:rPr>
          <w:rFonts w:ascii="Arial" w:hAnsi="Arial" w:cs="Arial"/>
          <w:noProof/>
          <w:sz w:val="24"/>
          <w:szCs w:val="24"/>
        </w:rPr>
        <w:t>, 43(1), pp. 91–100.</w:t>
      </w:r>
    </w:p>
    <w:p w14:paraId="0DDAFCB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Morawska, J., Niebudek-Bogusz, E. and Pietruszewska, W. (2022) ‘Considerations and Demands in the Voice Care of Contemporary Commercial Singers in Occupational Health and Safety Aspects’, </w:t>
      </w:r>
      <w:r w:rsidRPr="00381921">
        <w:rPr>
          <w:rFonts w:ascii="Arial" w:hAnsi="Arial" w:cs="Arial"/>
          <w:i/>
          <w:iCs/>
          <w:noProof/>
          <w:sz w:val="24"/>
          <w:szCs w:val="24"/>
        </w:rPr>
        <w:t>Medycyna Pracy</w:t>
      </w:r>
      <w:r w:rsidRPr="00381921">
        <w:rPr>
          <w:rFonts w:ascii="Arial" w:hAnsi="Arial" w:cs="Arial"/>
          <w:noProof/>
          <w:sz w:val="24"/>
          <w:szCs w:val="24"/>
        </w:rPr>
        <w:t>, 73(1), pp. 33–41. doi: 10.13075/mp.5893.01201.</w:t>
      </w:r>
    </w:p>
    <w:p w14:paraId="251E802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Morgan, D. L. (2007) ‘Paradigms Lost and Pragmatism Regained: Methodological Implications of Combining Qualitative and Quantitative Methods’, </w:t>
      </w:r>
      <w:r w:rsidRPr="00381921">
        <w:rPr>
          <w:rFonts w:ascii="Arial" w:hAnsi="Arial" w:cs="Arial"/>
          <w:i/>
          <w:iCs/>
          <w:noProof/>
          <w:sz w:val="24"/>
          <w:szCs w:val="24"/>
        </w:rPr>
        <w:t>Journal of Mixed Methods Research</w:t>
      </w:r>
      <w:r w:rsidRPr="00381921">
        <w:rPr>
          <w:rFonts w:ascii="Arial" w:hAnsi="Arial" w:cs="Arial"/>
          <w:noProof/>
          <w:sz w:val="24"/>
          <w:szCs w:val="24"/>
        </w:rPr>
        <w:t>, 1(1), pp. 48–76. doi: 10.1177/2345678906292462.</w:t>
      </w:r>
    </w:p>
    <w:p w14:paraId="1E27396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Morris, J. (2023) </w:t>
      </w:r>
      <w:r w:rsidRPr="00381921">
        <w:rPr>
          <w:rFonts w:ascii="Arial" w:hAnsi="Arial" w:cs="Arial"/>
          <w:i/>
          <w:iCs/>
          <w:noProof/>
          <w:sz w:val="24"/>
          <w:szCs w:val="24"/>
        </w:rPr>
        <w:t>Module 5: Independent Study BMPF7013</w:t>
      </w:r>
      <w:r w:rsidRPr="00381921">
        <w:rPr>
          <w:rFonts w:ascii="Arial" w:hAnsi="Arial" w:cs="Arial"/>
          <w:noProof/>
          <w:sz w:val="24"/>
          <w:szCs w:val="24"/>
        </w:rPr>
        <w:t>.</w:t>
      </w:r>
    </w:p>
    <w:p w14:paraId="61D2DB9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Morris, J. (2024) ‘Teacher’s lesson notes’.</w:t>
      </w:r>
    </w:p>
    <w:p w14:paraId="713F3D9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Morse, J. M. </w:t>
      </w:r>
      <w:r w:rsidRPr="00381921">
        <w:rPr>
          <w:rFonts w:ascii="Arial" w:hAnsi="Arial" w:cs="Arial"/>
          <w:i/>
          <w:iCs/>
          <w:noProof/>
          <w:sz w:val="24"/>
          <w:szCs w:val="24"/>
        </w:rPr>
        <w:t>et al.</w:t>
      </w:r>
      <w:r w:rsidRPr="00381921">
        <w:rPr>
          <w:rFonts w:ascii="Arial" w:hAnsi="Arial" w:cs="Arial"/>
          <w:noProof/>
          <w:sz w:val="24"/>
          <w:szCs w:val="24"/>
        </w:rPr>
        <w:t xml:space="preserve"> (2002) ‘Verification Strategies for Establishing Reliability and Validity in Qualitative Research’, </w:t>
      </w:r>
      <w:r w:rsidRPr="00381921">
        <w:rPr>
          <w:rFonts w:ascii="Arial" w:hAnsi="Arial" w:cs="Arial"/>
          <w:i/>
          <w:iCs/>
          <w:noProof/>
          <w:sz w:val="24"/>
          <w:szCs w:val="24"/>
        </w:rPr>
        <w:t>International Journal of Qualitative Methods</w:t>
      </w:r>
      <w:r w:rsidRPr="00381921">
        <w:rPr>
          <w:rFonts w:ascii="Arial" w:hAnsi="Arial" w:cs="Arial"/>
          <w:noProof/>
          <w:sz w:val="24"/>
          <w:szCs w:val="24"/>
        </w:rPr>
        <w:t>, 1(2), pp. 13–22. doi: 10.1177/160940690200100202.</w:t>
      </w:r>
    </w:p>
    <w:p w14:paraId="222BC9B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Moss Erickson, H. (2019) </w:t>
      </w:r>
      <w:r w:rsidRPr="00381921">
        <w:rPr>
          <w:rFonts w:ascii="Arial" w:hAnsi="Arial" w:cs="Arial"/>
          <w:i/>
          <w:iCs/>
          <w:noProof/>
          <w:sz w:val="24"/>
          <w:szCs w:val="24"/>
        </w:rPr>
        <w:t>Singing in the Brain</w:t>
      </w:r>
      <w:r w:rsidRPr="00381921">
        <w:rPr>
          <w:rFonts w:ascii="Arial" w:hAnsi="Arial" w:cs="Arial"/>
          <w:noProof/>
          <w:sz w:val="24"/>
          <w:szCs w:val="24"/>
        </w:rPr>
        <w:t>.</w:t>
      </w:r>
    </w:p>
    <w:p w14:paraId="04E639F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Moss Erickson, H. (2023) ‘What Garcia Got Right: Understanding Cortical Signaling of the Glottis’, </w:t>
      </w:r>
      <w:r w:rsidRPr="00381921">
        <w:rPr>
          <w:rFonts w:ascii="Arial" w:hAnsi="Arial" w:cs="Arial"/>
          <w:i/>
          <w:iCs/>
          <w:noProof/>
          <w:sz w:val="24"/>
          <w:szCs w:val="24"/>
        </w:rPr>
        <w:t>Journal of Singing</w:t>
      </w:r>
      <w:r w:rsidRPr="00381921">
        <w:rPr>
          <w:rFonts w:ascii="Arial" w:hAnsi="Arial" w:cs="Arial"/>
          <w:noProof/>
          <w:sz w:val="24"/>
          <w:szCs w:val="24"/>
        </w:rPr>
        <w:t>, 79(3), pp. 379–385. doi: 10.53830/jupv9911.</w:t>
      </w:r>
    </w:p>
    <w:p w14:paraId="0F49787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Munna, A. S. and Kalam, M. A. (2021) ‘Teaching and learning process to enhance teaching effectiveness: literature review’, </w:t>
      </w:r>
      <w:r w:rsidRPr="00381921">
        <w:rPr>
          <w:rFonts w:ascii="Arial" w:hAnsi="Arial" w:cs="Arial"/>
          <w:i/>
          <w:iCs/>
          <w:noProof/>
          <w:sz w:val="24"/>
          <w:szCs w:val="24"/>
        </w:rPr>
        <w:t>International Journal of Humanities and Innovation (IJHI)</w:t>
      </w:r>
      <w:r w:rsidRPr="00381921">
        <w:rPr>
          <w:rFonts w:ascii="Arial" w:hAnsi="Arial" w:cs="Arial"/>
          <w:noProof/>
          <w:sz w:val="24"/>
          <w:szCs w:val="24"/>
        </w:rPr>
        <w:t>, 4(1), pp. 1–4. doi: 10.33750/ijhi.v4i1.102.</w:t>
      </w:r>
    </w:p>
    <w:p w14:paraId="109F43A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Nahid, G. (2003) ‘Understanding reliability and validity in qualitative research’, </w:t>
      </w:r>
      <w:r w:rsidRPr="00381921">
        <w:rPr>
          <w:rFonts w:ascii="Arial" w:hAnsi="Arial" w:cs="Arial"/>
          <w:i/>
          <w:iCs/>
          <w:noProof/>
          <w:sz w:val="24"/>
          <w:szCs w:val="24"/>
        </w:rPr>
        <w:t>The qualitative report</w:t>
      </w:r>
      <w:r w:rsidRPr="00381921">
        <w:rPr>
          <w:rFonts w:ascii="Arial" w:hAnsi="Arial" w:cs="Arial"/>
          <w:noProof/>
          <w:sz w:val="24"/>
          <w:szCs w:val="24"/>
        </w:rPr>
        <w:t>, 8(4), pp. 597–607. Available at: http://www.nova.edu/ssss/QR/QR8-4/golafshani.pdf.</w:t>
      </w:r>
    </w:p>
    <w:p w14:paraId="48F2152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Nair, A. (2023) ‘The Tongue: Perception versus Physiology’, </w:t>
      </w:r>
      <w:r w:rsidRPr="00381921">
        <w:rPr>
          <w:rFonts w:ascii="Arial" w:hAnsi="Arial" w:cs="Arial"/>
          <w:i/>
          <w:iCs/>
          <w:noProof/>
          <w:sz w:val="24"/>
          <w:szCs w:val="24"/>
        </w:rPr>
        <w:t>Journal of Singing</w:t>
      </w:r>
      <w:r w:rsidRPr="00381921">
        <w:rPr>
          <w:rFonts w:ascii="Arial" w:hAnsi="Arial" w:cs="Arial"/>
          <w:noProof/>
          <w:sz w:val="24"/>
          <w:szCs w:val="24"/>
        </w:rPr>
        <w:t>, 79(5), pp. 615–625. doi: 10.53830/cvfu1590.</w:t>
      </w:r>
    </w:p>
    <w:p w14:paraId="0A229D0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Naismith, M. L. and Bartlett, I. (2020) ‘An Investigation of Contemporary Commercial Music (CCM) Voice Pedagogy: A Class of its Own?’, </w:t>
      </w:r>
      <w:r w:rsidRPr="00381921">
        <w:rPr>
          <w:rFonts w:ascii="Arial" w:hAnsi="Arial" w:cs="Arial"/>
          <w:i/>
          <w:iCs/>
          <w:noProof/>
          <w:sz w:val="24"/>
          <w:szCs w:val="24"/>
        </w:rPr>
        <w:t>Journal of Singing</w:t>
      </w:r>
      <w:r w:rsidRPr="00381921">
        <w:rPr>
          <w:rFonts w:ascii="Arial" w:hAnsi="Arial" w:cs="Arial"/>
          <w:noProof/>
          <w:sz w:val="24"/>
          <w:szCs w:val="24"/>
        </w:rPr>
        <w:t>, 76(3), pp. 273–282.</w:t>
      </w:r>
    </w:p>
    <w:p w14:paraId="6CEF459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Nix, J. (2017) ‘Best Practices: Using Exercise Physiology and Motor Learning Principles in the Teaching Studio and the Practice Room’, </w:t>
      </w:r>
      <w:r w:rsidRPr="00381921">
        <w:rPr>
          <w:rFonts w:ascii="Arial" w:hAnsi="Arial" w:cs="Arial"/>
          <w:i/>
          <w:iCs/>
          <w:noProof/>
          <w:sz w:val="24"/>
          <w:szCs w:val="24"/>
        </w:rPr>
        <w:t>Journal of Singing</w:t>
      </w:r>
      <w:r w:rsidRPr="00381921">
        <w:rPr>
          <w:rFonts w:ascii="Arial" w:hAnsi="Arial" w:cs="Arial"/>
          <w:noProof/>
          <w:sz w:val="24"/>
          <w:szCs w:val="24"/>
        </w:rPr>
        <w:t>, 74(2), pp. 215–220.</w:t>
      </w:r>
    </w:p>
    <w:p w14:paraId="324EDF6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Opie, J., Southcott, J. and Deppeler, J. (2017) ‘It helps if you are a loud person: Listening to the voice of a school student with a vision impairment’, </w:t>
      </w:r>
      <w:r w:rsidRPr="00381921">
        <w:rPr>
          <w:rFonts w:ascii="Arial" w:hAnsi="Arial" w:cs="Arial"/>
          <w:i/>
          <w:iCs/>
          <w:noProof/>
          <w:sz w:val="24"/>
          <w:szCs w:val="24"/>
        </w:rPr>
        <w:t>Qualitative Report</w:t>
      </w:r>
      <w:r w:rsidRPr="00381921">
        <w:rPr>
          <w:rFonts w:ascii="Arial" w:hAnsi="Arial" w:cs="Arial"/>
          <w:noProof/>
          <w:sz w:val="24"/>
          <w:szCs w:val="24"/>
        </w:rPr>
        <w:t>, 22(9), pp. 2369–2384. doi: 10.46743/2160-3715/2017.2963.</w:t>
      </w:r>
    </w:p>
    <w:p w14:paraId="16DDF30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Pabon, P. </w:t>
      </w:r>
      <w:r w:rsidRPr="00381921">
        <w:rPr>
          <w:rFonts w:ascii="Arial" w:hAnsi="Arial" w:cs="Arial"/>
          <w:i/>
          <w:iCs/>
          <w:noProof/>
          <w:sz w:val="24"/>
          <w:szCs w:val="24"/>
        </w:rPr>
        <w:t>et al.</w:t>
      </w:r>
      <w:r w:rsidRPr="00381921">
        <w:rPr>
          <w:rFonts w:ascii="Arial" w:hAnsi="Arial" w:cs="Arial"/>
          <w:noProof/>
          <w:sz w:val="24"/>
          <w:szCs w:val="24"/>
        </w:rPr>
        <w:t xml:space="preserve"> (2014) ‘Effects on vocal range and voice quality of singing voice training: The classically trained female voice’, </w:t>
      </w:r>
      <w:r w:rsidRPr="00381921">
        <w:rPr>
          <w:rFonts w:ascii="Arial" w:hAnsi="Arial" w:cs="Arial"/>
          <w:i/>
          <w:iCs/>
          <w:noProof/>
          <w:sz w:val="24"/>
          <w:szCs w:val="24"/>
        </w:rPr>
        <w:t>Journal of Voice</w:t>
      </w:r>
      <w:r w:rsidRPr="00381921">
        <w:rPr>
          <w:rFonts w:ascii="Arial" w:hAnsi="Arial" w:cs="Arial"/>
          <w:noProof/>
          <w:sz w:val="24"/>
          <w:szCs w:val="24"/>
        </w:rPr>
        <w:t>, 28(1), pp. 36–51. doi: 10.1016/j.jvoice.2013.06.005.</w:t>
      </w:r>
    </w:p>
    <w:p w14:paraId="5BC1F1C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Patel, S. </w:t>
      </w:r>
      <w:r w:rsidRPr="00381921">
        <w:rPr>
          <w:rFonts w:ascii="Arial" w:hAnsi="Arial" w:cs="Arial"/>
          <w:i/>
          <w:iCs/>
          <w:noProof/>
          <w:sz w:val="24"/>
          <w:szCs w:val="24"/>
        </w:rPr>
        <w:t>et al.</w:t>
      </w:r>
      <w:r w:rsidRPr="00381921">
        <w:rPr>
          <w:rFonts w:ascii="Arial" w:hAnsi="Arial" w:cs="Arial"/>
          <w:noProof/>
          <w:sz w:val="24"/>
          <w:szCs w:val="24"/>
        </w:rPr>
        <w:t xml:space="preserve"> (2016) ‘Vocal and Neural Responses to Unexpected Changes in Voice Pitch Auditory Feedback During Register Transitions’, </w:t>
      </w:r>
      <w:r w:rsidRPr="00381921">
        <w:rPr>
          <w:rFonts w:ascii="Arial" w:hAnsi="Arial" w:cs="Arial"/>
          <w:i/>
          <w:iCs/>
          <w:noProof/>
          <w:sz w:val="24"/>
          <w:szCs w:val="24"/>
        </w:rPr>
        <w:t>Journal of Voice</w:t>
      </w:r>
      <w:r w:rsidRPr="00381921">
        <w:rPr>
          <w:rFonts w:ascii="Arial" w:hAnsi="Arial" w:cs="Arial"/>
          <w:noProof/>
          <w:sz w:val="24"/>
          <w:szCs w:val="24"/>
        </w:rPr>
        <w:t>, 30(6), pp. 772.e33-772.e40. doi: 10.1016/j.jvoice.2015.11.012.</w:t>
      </w:r>
    </w:p>
    <w:p w14:paraId="3A64E75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Plomp, T. and Nieveen, N. M. (2010) ‘An introduction to educational design research’.</w:t>
      </w:r>
    </w:p>
    <w:p w14:paraId="4C0AAC3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Pow, J. and Li, S. C. (2015) ‘The effect of students’ perceptions of Internet information quality on their use of Internet information in inquiry-based learning’, </w:t>
      </w:r>
      <w:r w:rsidRPr="00381921">
        <w:rPr>
          <w:rFonts w:ascii="Arial" w:hAnsi="Arial" w:cs="Arial"/>
          <w:i/>
          <w:iCs/>
          <w:noProof/>
          <w:sz w:val="24"/>
          <w:szCs w:val="24"/>
        </w:rPr>
        <w:lastRenderedPageBreak/>
        <w:t>Australasian Journal of Educational Technology</w:t>
      </w:r>
      <w:r w:rsidRPr="00381921">
        <w:rPr>
          <w:rFonts w:ascii="Arial" w:hAnsi="Arial" w:cs="Arial"/>
          <w:noProof/>
          <w:sz w:val="24"/>
          <w:szCs w:val="24"/>
        </w:rPr>
        <w:t>, 31(4), pp. 439–457. doi: 10.14742/ajet.1936.</w:t>
      </w:r>
    </w:p>
    <w:p w14:paraId="507ED1F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Ragan, K. and Maxfield, L. (2021) ‘Evidence-Based Voice Pedagogy (EBVP), Part 1: Voice Research Component MINDFUL VOICE’, </w:t>
      </w:r>
      <w:r w:rsidRPr="00381921">
        <w:rPr>
          <w:rFonts w:ascii="Arial" w:hAnsi="Arial" w:cs="Arial"/>
          <w:i/>
          <w:iCs/>
          <w:noProof/>
          <w:sz w:val="24"/>
          <w:szCs w:val="24"/>
        </w:rPr>
        <w:t>Journal of Singing</w:t>
      </w:r>
      <w:r w:rsidRPr="00381921">
        <w:rPr>
          <w:rFonts w:ascii="Arial" w:hAnsi="Arial" w:cs="Arial"/>
          <w:noProof/>
          <w:sz w:val="24"/>
          <w:szCs w:val="24"/>
        </w:rPr>
        <w:t>, 77(4), pp. 543–547.</w:t>
      </w:r>
    </w:p>
    <w:p w14:paraId="2C49CBD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Redmond, S. L. (2015) ‘Indivisible: The nation and its anthem in black musical performance’, </w:t>
      </w:r>
      <w:r w:rsidRPr="00381921">
        <w:rPr>
          <w:rFonts w:ascii="Arial" w:hAnsi="Arial" w:cs="Arial"/>
          <w:i/>
          <w:iCs/>
          <w:noProof/>
          <w:sz w:val="24"/>
          <w:szCs w:val="24"/>
        </w:rPr>
        <w:t>Black Music Research Journal</w:t>
      </w:r>
      <w:r w:rsidRPr="00381921">
        <w:rPr>
          <w:rFonts w:ascii="Arial" w:hAnsi="Arial" w:cs="Arial"/>
          <w:noProof/>
          <w:sz w:val="24"/>
          <w:szCs w:val="24"/>
        </w:rPr>
        <w:t>, 35(1), pp. 97–118. doi: 10.5406/blacmusiresej.35.1.0097.</w:t>
      </w:r>
    </w:p>
    <w:p w14:paraId="261DF28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Robinson, A. L. </w:t>
      </w:r>
      <w:r w:rsidRPr="00381921">
        <w:rPr>
          <w:rFonts w:ascii="Arial" w:hAnsi="Arial" w:cs="Arial"/>
          <w:i/>
          <w:iCs/>
          <w:noProof/>
          <w:sz w:val="24"/>
          <w:szCs w:val="24"/>
        </w:rPr>
        <w:t>et al.</w:t>
      </w:r>
      <w:r w:rsidRPr="00381921">
        <w:rPr>
          <w:rFonts w:ascii="Arial" w:hAnsi="Arial" w:cs="Arial"/>
          <w:noProof/>
          <w:sz w:val="24"/>
          <w:szCs w:val="24"/>
        </w:rPr>
        <w:t xml:space="preserve"> (2011) ‘Mixed methods data collection in dementia research: A “progressive engagement” approach’, </w:t>
      </w:r>
      <w:r w:rsidRPr="00381921">
        <w:rPr>
          <w:rFonts w:ascii="Arial" w:hAnsi="Arial" w:cs="Arial"/>
          <w:i/>
          <w:iCs/>
          <w:noProof/>
          <w:sz w:val="24"/>
          <w:szCs w:val="24"/>
        </w:rPr>
        <w:t>Journal of Mixed Methods Research</w:t>
      </w:r>
      <w:r w:rsidRPr="00381921">
        <w:rPr>
          <w:rFonts w:ascii="Arial" w:hAnsi="Arial" w:cs="Arial"/>
          <w:noProof/>
          <w:sz w:val="24"/>
          <w:szCs w:val="24"/>
        </w:rPr>
        <w:t>, 5(4), pp. 330–344. doi: 10.1177/1558689811416940.</w:t>
      </w:r>
    </w:p>
    <w:p w14:paraId="65ED6BA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Rogers, M. (2015) ‘Contextualizing Theories and Practices of Bricolage Research’, </w:t>
      </w:r>
      <w:r w:rsidRPr="00381921">
        <w:rPr>
          <w:rFonts w:ascii="Arial" w:hAnsi="Arial" w:cs="Arial"/>
          <w:i/>
          <w:iCs/>
          <w:noProof/>
          <w:sz w:val="24"/>
          <w:szCs w:val="24"/>
        </w:rPr>
        <w:t>The Qualitative Report</w:t>
      </w:r>
      <w:r w:rsidRPr="00381921">
        <w:rPr>
          <w:rFonts w:ascii="Arial" w:hAnsi="Arial" w:cs="Arial"/>
          <w:noProof/>
          <w:sz w:val="24"/>
          <w:szCs w:val="24"/>
        </w:rPr>
        <w:t>, 17, pp. 1–17. doi: 10.46743/2160-3715/2012.1704.</w:t>
      </w:r>
    </w:p>
    <w:p w14:paraId="604793E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Roll (2014) ‘FEMALE MUSICAL THEATER BELTING IN THE 21ST CENTURY’. Available at: https://pqdtopen.proquest.com/pubnum/3621794.html%0A.</w:t>
      </w:r>
    </w:p>
    <w:p w14:paraId="3501BB2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Roll, C. (2016) ‘The Evolution of the Female Broadway Belt Voice: Implications for Teachers and Singers’, </w:t>
      </w:r>
      <w:r w:rsidRPr="00381921">
        <w:rPr>
          <w:rFonts w:ascii="Arial" w:hAnsi="Arial" w:cs="Arial"/>
          <w:i/>
          <w:iCs/>
          <w:noProof/>
          <w:sz w:val="24"/>
          <w:szCs w:val="24"/>
        </w:rPr>
        <w:t>Journal of Voice</w:t>
      </w:r>
      <w:r w:rsidRPr="00381921">
        <w:rPr>
          <w:rFonts w:ascii="Arial" w:hAnsi="Arial" w:cs="Arial"/>
          <w:noProof/>
          <w:sz w:val="24"/>
          <w:szCs w:val="24"/>
        </w:rPr>
        <w:t>, 30(5), pp. 639.e1-639.e9. doi: 10.1016/j.jvoice.2015.07.008.</w:t>
      </w:r>
    </w:p>
    <w:p w14:paraId="1E762795"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Sadolin, C. (2021) </w:t>
      </w:r>
      <w:r w:rsidRPr="00381921">
        <w:rPr>
          <w:rFonts w:ascii="Arial" w:hAnsi="Arial" w:cs="Arial"/>
          <w:i/>
          <w:iCs/>
          <w:noProof/>
          <w:sz w:val="24"/>
          <w:szCs w:val="24"/>
        </w:rPr>
        <w:t>Complete Vocal Technique</w:t>
      </w:r>
      <w:r w:rsidRPr="00381921">
        <w:rPr>
          <w:rFonts w:ascii="Arial" w:hAnsi="Arial" w:cs="Arial"/>
          <w:noProof/>
          <w:sz w:val="24"/>
          <w:szCs w:val="24"/>
        </w:rPr>
        <w:t>. Copenhagen: Publications, CVI.</w:t>
      </w:r>
    </w:p>
    <w:p w14:paraId="35D9332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Saidin, K. (2017) ‘Insider Researchers: Challenges &amp; Opportunities’, </w:t>
      </w:r>
      <w:r w:rsidRPr="00381921">
        <w:rPr>
          <w:rFonts w:ascii="Arial" w:hAnsi="Arial" w:cs="Arial"/>
          <w:i/>
          <w:iCs/>
          <w:noProof/>
          <w:sz w:val="24"/>
          <w:szCs w:val="24"/>
        </w:rPr>
        <w:t>Proceedings of the ICECRS</w:t>
      </w:r>
      <w:r w:rsidRPr="00381921">
        <w:rPr>
          <w:rFonts w:ascii="Arial" w:hAnsi="Arial" w:cs="Arial"/>
          <w:noProof/>
          <w:sz w:val="24"/>
          <w:szCs w:val="24"/>
        </w:rPr>
        <w:t>, 1(1), pp. 849–854. doi: 10.21070/picecrs.v1i1.563.</w:t>
      </w:r>
    </w:p>
    <w:p w14:paraId="688B551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Saldaña, J. (2013) </w:t>
      </w:r>
      <w:r w:rsidRPr="00381921">
        <w:rPr>
          <w:rFonts w:ascii="Arial" w:hAnsi="Arial" w:cs="Arial"/>
          <w:i/>
          <w:iCs/>
          <w:noProof/>
          <w:sz w:val="24"/>
          <w:szCs w:val="24"/>
        </w:rPr>
        <w:t>The Coding Manual for Qualitative Researchers (3rd edition)</w:t>
      </w:r>
      <w:r w:rsidRPr="00381921">
        <w:rPr>
          <w:rFonts w:ascii="Arial" w:hAnsi="Arial" w:cs="Arial"/>
          <w:noProof/>
          <w:sz w:val="24"/>
          <w:szCs w:val="24"/>
        </w:rPr>
        <w:t xml:space="preserve">. Second, </w:t>
      </w:r>
      <w:r w:rsidRPr="00381921">
        <w:rPr>
          <w:rFonts w:ascii="Arial" w:hAnsi="Arial" w:cs="Arial"/>
          <w:i/>
          <w:iCs/>
          <w:noProof/>
          <w:sz w:val="24"/>
          <w:szCs w:val="24"/>
        </w:rPr>
        <w:t>Qualitative Research in Organizations and Management: An International Journal</w:t>
      </w:r>
      <w:r w:rsidRPr="00381921">
        <w:rPr>
          <w:rFonts w:ascii="Arial" w:hAnsi="Arial" w:cs="Arial"/>
          <w:noProof/>
          <w:sz w:val="24"/>
          <w:szCs w:val="24"/>
        </w:rPr>
        <w:t>. Second. Sage. doi: 10.1108/qrom-08-2016-1408.</w:t>
      </w:r>
    </w:p>
    <w:p w14:paraId="444B9CCF"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Saldías, M. </w:t>
      </w:r>
      <w:r w:rsidRPr="00381921">
        <w:rPr>
          <w:rFonts w:ascii="Arial" w:hAnsi="Arial" w:cs="Arial"/>
          <w:i/>
          <w:iCs/>
          <w:noProof/>
          <w:sz w:val="24"/>
          <w:szCs w:val="24"/>
        </w:rPr>
        <w:t>et al.</w:t>
      </w:r>
      <w:r w:rsidRPr="00381921">
        <w:rPr>
          <w:rFonts w:ascii="Arial" w:hAnsi="Arial" w:cs="Arial"/>
          <w:noProof/>
          <w:sz w:val="24"/>
          <w:szCs w:val="24"/>
        </w:rPr>
        <w:t xml:space="preserve"> (2021) ‘The Vocal Tract in Loud Twang-Like Singing While Producing High and Low Pitches’, </w:t>
      </w:r>
      <w:r w:rsidRPr="00381921">
        <w:rPr>
          <w:rFonts w:ascii="Arial" w:hAnsi="Arial" w:cs="Arial"/>
          <w:i/>
          <w:iCs/>
          <w:noProof/>
          <w:sz w:val="24"/>
          <w:szCs w:val="24"/>
        </w:rPr>
        <w:t>Journal of Voice</w:t>
      </w:r>
      <w:r w:rsidRPr="00381921">
        <w:rPr>
          <w:rFonts w:ascii="Arial" w:hAnsi="Arial" w:cs="Arial"/>
          <w:noProof/>
          <w:sz w:val="24"/>
          <w:szCs w:val="24"/>
        </w:rPr>
        <w:t>, 35(5), pp. 807.e1-807.e23. doi: 10.1016/j.jvoice.2020.02.005.</w:t>
      </w:r>
    </w:p>
    <w:p w14:paraId="23CB820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Saulius, T. and Malinauskas, R. K. (2021) ‘Involvement of Critical Thinking Education in University Studies: A Qualitative Research’, </w:t>
      </w:r>
      <w:r w:rsidRPr="00381921">
        <w:rPr>
          <w:rFonts w:ascii="Arial" w:hAnsi="Arial" w:cs="Arial"/>
          <w:i/>
          <w:iCs/>
          <w:noProof/>
          <w:sz w:val="24"/>
          <w:szCs w:val="24"/>
        </w:rPr>
        <w:t xml:space="preserve">European Journal of Contemporary </w:t>
      </w:r>
      <w:r w:rsidRPr="00381921">
        <w:rPr>
          <w:rFonts w:ascii="Arial" w:hAnsi="Arial" w:cs="Arial"/>
          <w:i/>
          <w:iCs/>
          <w:noProof/>
          <w:sz w:val="24"/>
          <w:szCs w:val="24"/>
        </w:rPr>
        <w:lastRenderedPageBreak/>
        <w:t>Education</w:t>
      </w:r>
      <w:r w:rsidRPr="00381921">
        <w:rPr>
          <w:rFonts w:ascii="Arial" w:hAnsi="Arial" w:cs="Arial"/>
          <w:noProof/>
          <w:sz w:val="24"/>
          <w:szCs w:val="24"/>
        </w:rPr>
        <w:t>, 10(1), pp. 113–126. doi: 10.13187/ejced.2021.1.113.</w:t>
      </w:r>
    </w:p>
    <w:p w14:paraId="5148DFD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Schmidt, R. A. and Lee, T. D. (2005) </w:t>
      </w:r>
      <w:r w:rsidRPr="00381921">
        <w:rPr>
          <w:rFonts w:ascii="Arial" w:hAnsi="Arial" w:cs="Arial"/>
          <w:i/>
          <w:iCs/>
          <w:noProof/>
          <w:sz w:val="24"/>
          <w:szCs w:val="24"/>
        </w:rPr>
        <w:t>Motor Control and Learning: A behavioural Emphasis</w:t>
      </w:r>
      <w:r w:rsidRPr="00381921">
        <w:rPr>
          <w:rFonts w:ascii="Arial" w:hAnsi="Arial" w:cs="Arial"/>
          <w:noProof/>
          <w:sz w:val="24"/>
          <w:szCs w:val="24"/>
        </w:rPr>
        <w:t>. 4th edn. Champaign, IL: Human Kietics.</w:t>
      </w:r>
    </w:p>
    <w:p w14:paraId="73BF76D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Schutte, H. K. and Miller, D. G. (1993) ‘Belting and pop, nonclassical approaches to the female middle voice: some preliminary considerations’, </w:t>
      </w:r>
      <w:r w:rsidRPr="00381921">
        <w:rPr>
          <w:rFonts w:ascii="Arial" w:hAnsi="Arial" w:cs="Arial"/>
          <w:i/>
          <w:iCs/>
          <w:noProof/>
          <w:sz w:val="24"/>
          <w:szCs w:val="24"/>
        </w:rPr>
        <w:t>Journal of voice</w:t>
      </w:r>
      <w:r w:rsidRPr="00381921">
        <w:rPr>
          <w:rFonts w:ascii="Arial" w:hAnsi="Arial" w:cs="Arial"/>
          <w:noProof/>
          <w:sz w:val="24"/>
          <w:szCs w:val="24"/>
        </w:rPr>
        <w:t>, Vol.7 (2), p. p.142-150. doi: 10.1016/S0892-1997(05)80344-3.</w:t>
      </w:r>
    </w:p>
    <w:p w14:paraId="133F2A7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Simonson, D. (2022) ‘Recent Research in Singing’, </w:t>
      </w:r>
      <w:r w:rsidRPr="00381921">
        <w:rPr>
          <w:rFonts w:ascii="Arial" w:hAnsi="Arial" w:cs="Arial"/>
          <w:i/>
          <w:iCs/>
          <w:noProof/>
          <w:sz w:val="24"/>
          <w:szCs w:val="24"/>
        </w:rPr>
        <w:t>Journal of Singing</w:t>
      </w:r>
      <w:r w:rsidRPr="00381921">
        <w:rPr>
          <w:rFonts w:ascii="Arial" w:hAnsi="Arial" w:cs="Arial"/>
          <w:noProof/>
          <w:sz w:val="24"/>
          <w:szCs w:val="24"/>
        </w:rPr>
        <w:t>, 79(1), pp. 117–118. doi: 10.53830/zhoq3330.</w:t>
      </w:r>
    </w:p>
    <w:p w14:paraId="794CE39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Sitzmann, T. and Yeo, G. (2013) ‘A Meta-Analytic Investigation of the Within-Person Self-Efficacy Domain: Is Self-Efficacy a Product of Past Performance or a Driver of Future Performance?’, </w:t>
      </w:r>
      <w:r w:rsidRPr="00381921">
        <w:rPr>
          <w:rFonts w:ascii="Arial" w:hAnsi="Arial" w:cs="Arial"/>
          <w:i/>
          <w:iCs/>
          <w:noProof/>
          <w:sz w:val="24"/>
          <w:szCs w:val="24"/>
        </w:rPr>
        <w:t>Personnel Psychology</w:t>
      </w:r>
      <w:r w:rsidRPr="00381921">
        <w:rPr>
          <w:rFonts w:ascii="Arial" w:hAnsi="Arial" w:cs="Arial"/>
          <w:noProof/>
          <w:sz w:val="24"/>
          <w:szCs w:val="24"/>
        </w:rPr>
        <w:t>, 66(3), pp. 531–568. doi: 10.1111/peps.12035.</w:t>
      </w:r>
    </w:p>
    <w:p w14:paraId="15C3A87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Skains, R. L. (2018) ‘Creative Practice as Research: Discourse on Methodology’, </w:t>
      </w:r>
      <w:r w:rsidRPr="00381921">
        <w:rPr>
          <w:rFonts w:ascii="Arial" w:hAnsi="Arial" w:cs="Arial"/>
          <w:i/>
          <w:iCs/>
          <w:noProof/>
          <w:sz w:val="24"/>
          <w:szCs w:val="24"/>
        </w:rPr>
        <w:t>Media Practice and Education</w:t>
      </w:r>
      <w:r w:rsidRPr="00381921">
        <w:rPr>
          <w:rFonts w:ascii="Arial" w:hAnsi="Arial" w:cs="Arial"/>
          <w:noProof/>
          <w:sz w:val="24"/>
          <w:szCs w:val="24"/>
        </w:rPr>
        <w:t>, 19(1), pp. 82–97. doi: 10.1080/14682753.2017.1362175.</w:t>
      </w:r>
    </w:p>
    <w:p w14:paraId="0E23A9D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Skinner, J., Edwards, A. and Smith, A. C. T. (2020) ‘Establishing reliability and validity in qualitative inquiry’, </w:t>
      </w:r>
      <w:r w:rsidRPr="00381921">
        <w:rPr>
          <w:rFonts w:ascii="Arial" w:hAnsi="Arial" w:cs="Arial"/>
          <w:i/>
          <w:iCs/>
          <w:noProof/>
          <w:sz w:val="24"/>
          <w:szCs w:val="24"/>
        </w:rPr>
        <w:t>Qualitative Research in Sport Management</w:t>
      </w:r>
      <w:r w:rsidRPr="00381921">
        <w:rPr>
          <w:rFonts w:ascii="Arial" w:hAnsi="Arial" w:cs="Arial"/>
          <w:noProof/>
          <w:sz w:val="24"/>
          <w:szCs w:val="24"/>
        </w:rPr>
        <w:t>, (October), pp. 71–94. doi: 10.4324/9780367854249-4.</w:t>
      </w:r>
    </w:p>
    <w:p w14:paraId="09375C3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Spector, J. M. </w:t>
      </w:r>
      <w:r w:rsidRPr="00381921">
        <w:rPr>
          <w:rFonts w:ascii="Arial" w:hAnsi="Arial" w:cs="Arial"/>
          <w:i/>
          <w:iCs/>
          <w:noProof/>
          <w:sz w:val="24"/>
          <w:szCs w:val="24"/>
        </w:rPr>
        <w:t>et al.</w:t>
      </w:r>
      <w:r w:rsidRPr="00381921">
        <w:rPr>
          <w:rFonts w:ascii="Arial" w:hAnsi="Arial" w:cs="Arial"/>
          <w:noProof/>
          <w:sz w:val="24"/>
          <w:szCs w:val="24"/>
        </w:rPr>
        <w:t xml:space="preserve"> (2014) ‘Handbook of research on educational communications and technology: Fourth edition’, </w:t>
      </w:r>
      <w:r w:rsidRPr="00381921">
        <w:rPr>
          <w:rFonts w:ascii="Arial" w:hAnsi="Arial" w:cs="Arial"/>
          <w:i/>
          <w:iCs/>
          <w:noProof/>
          <w:sz w:val="24"/>
          <w:szCs w:val="24"/>
        </w:rPr>
        <w:t>Handbook of Research on Educational Communications and Technology: Fourth Edition</w:t>
      </w:r>
      <w:r w:rsidRPr="00381921">
        <w:rPr>
          <w:rFonts w:ascii="Arial" w:hAnsi="Arial" w:cs="Arial"/>
          <w:noProof/>
          <w:sz w:val="24"/>
          <w:szCs w:val="24"/>
        </w:rPr>
        <w:t>, (May), pp. 1–1005. doi: 10.1007/978-1-4614-3185-5.</w:t>
      </w:r>
    </w:p>
    <w:p w14:paraId="2BD8C1C2"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Steinhauer, K. and Eichhorn, K. (2023) ‘Effect of Practice Structure and Feedback Frequency on Voice Motor Learning in Older Adults’, </w:t>
      </w:r>
      <w:r w:rsidRPr="00381921">
        <w:rPr>
          <w:rFonts w:ascii="Arial" w:hAnsi="Arial" w:cs="Arial"/>
          <w:i/>
          <w:iCs/>
          <w:noProof/>
          <w:sz w:val="24"/>
          <w:szCs w:val="24"/>
        </w:rPr>
        <w:t>Journal of Voice</w:t>
      </w:r>
      <w:r w:rsidRPr="00381921">
        <w:rPr>
          <w:rFonts w:ascii="Arial" w:hAnsi="Arial" w:cs="Arial"/>
          <w:noProof/>
          <w:sz w:val="24"/>
          <w:szCs w:val="24"/>
        </w:rPr>
        <w:t>. doi: 10.1016/j.jvoice.2023.04.006.</w:t>
      </w:r>
    </w:p>
    <w:p w14:paraId="358DEFE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Steinhauer, K. M. and McDonald Klimek, M. (2019) ‘Vocal Traditions: Estill Voice Training®’, </w:t>
      </w:r>
      <w:r w:rsidRPr="00381921">
        <w:rPr>
          <w:rFonts w:ascii="Arial" w:hAnsi="Arial" w:cs="Arial"/>
          <w:i/>
          <w:iCs/>
          <w:noProof/>
          <w:sz w:val="24"/>
          <w:szCs w:val="24"/>
        </w:rPr>
        <w:t>Voice and Speech Review</w:t>
      </w:r>
      <w:r w:rsidRPr="00381921">
        <w:rPr>
          <w:rFonts w:ascii="Arial" w:hAnsi="Arial" w:cs="Arial"/>
          <w:noProof/>
          <w:sz w:val="24"/>
          <w:szCs w:val="24"/>
        </w:rPr>
        <w:t>, 13(3), pp. 354–359. doi: 10.1080/23268263.2019.1605707.</w:t>
      </w:r>
    </w:p>
    <w:p w14:paraId="2139C5F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Stephenson, K. (2018) ‘Critical Thought, Intrinsic Motivation, and the Voice Studio: </w:t>
      </w:r>
      <w:r w:rsidRPr="00381921">
        <w:rPr>
          <w:rFonts w:ascii="Arial" w:hAnsi="Arial" w:cs="Arial"/>
          <w:noProof/>
          <w:sz w:val="24"/>
          <w:szCs w:val="24"/>
        </w:rPr>
        <w:lastRenderedPageBreak/>
        <w:t xml:space="preserve">Perspectives of Master Teachers.’, </w:t>
      </w:r>
      <w:r w:rsidRPr="00381921">
        <w:rPr>
          <w:rFonts w:ascii="Arial" w:hAnsi="Arial" w:cs="Arial"/>
          <w:i/>
          <w:iCs/>
          <w:noProof/>
          <w:sz w:val="24"/>
          <w:szCs w:val="24"/>
        </w:rPr>
        <w:t>Journal of Singing</w:t>
      </w:r>
      <w:r w:rsidRPr="00381921">
        <w:rPr>
          <w:rFonts w:ascii="Arial" w:hAnsi="Arial" w:cs="Arial"/>
          <w:noProof/>
          <w:sz w:val="24"/>
          <w:szCs w:val="24"/>
        </w:rPr>
        <w:t>, 74(4), pp. 405–414. Available at: http://search.ebscohost.com/login.aspx?direct=true&amp;db=ehh&amp;AN=128924806&amp;site=ehost-live.</w:t>
      </w:r>
    </w:p>
    <w:p w14:paraId="406B7189"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Stillitano, C. </w:t>
      </w:r>
      <w:r w:rsidRPr="00381921">
        <w:rPr>
          <w:rFonts w:ascii="Arial" w:hAnsi="Arial" w:cs="Arial"/>
          <w:i/>
          <w:iCs/>
          <w:noProof/>
          <w:sz w:val="24"/>
          <w:szCs w:val="24"/>
        </w:rPr>
        <w:t>et al.</w:t>
      </w:r>
      <w:r w:rsidRPr="00381921">
        <w:rPr>
          <w:rFonts w:ascii="Arial" w:hAnsi="Arial" w:cs="Arial"/>
          <w:noProof/>
          <w:sz w:val="24"/>
          <w:szCs w:val="24"/>
        </w:rPr>
        <w:t xml:space="preserve"> (2017) ‘The Effects of the Tomatis Method on the Artistic Voice’, </w:t>
      </w:r>
      <w:r w:rsidRPr="00381921">
        <w:rPr>
          <w:rFonts w:ascii="Arial" w:hAnsi="Arial" w:cs="Arial"/>
          <w:i/>
          <w:iCs/>
          <w:noProof/>
          <w:sz w:val="24"/>
          <w:szCs w:val="24"/>
        </w:rPr>
        <w:t>International Journal of Listening</w:t>
      </w:r>
      <w:r w:rsidRPr="00381921">
        <w:rPr>
          <w:rFonts w:ascii="Arial" w:hAnsi="Arial" w:cs="Arial"/>
          <w:noProof/>
          <w:sz w:val="24"/>
          <w:szCs w:val="24"/>
        </w:rPr>
        <w:t>, 31(2), pp. 113–120. doi: 10.1080/10904018.2016.1174935.</w:t>
      </w:r>
    </w:p>
    <w:p w14:paraId="74EF7D7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Sundberg, J. and Romedahl, C. (2009) ‘Text Intelligibility and the Singer’s Formant-A Relationship?’, </w:t>
      </w:r>
      <w:r w:rsidRPr="00381921">
        <w:rPr>
          <w:rFonts w:ascii="Arial" w:hAnsi="Arial" w:cs="Arial"/>
          <w:i/>
          <w:iCs/>
          <w:noProof/>
          <w:sz w:val="24"/>
          <w:szCs w:val="24"/>
        </w:rPr>
        <w:t>Journal of Voice</w:t>
      </w:r>
      <w:r w:rsidRPr="00381921">
        <w:rPr>
          <w:rFonts w:ascii="Arial" w:hAnsi="Arial" w:cs="Arial"/>
          <w:noProof/>
          <w:sz w:val="24"/>
          <w:szCs w:val="24"/>
        </w:rPr>
        <w:t>, 23(5), pp. 539–545. doi: 10.1016/j.jvoice.2008.01.010.</w:t>
      </w:r>
    </w:p>
    <w:p w14:paraId="22AC4EB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Sundberg, J. and Thalén, M. (2010) ‘What is “twang”?’, </w:t>
      </w:r>
      <w:r w:rsidRPr="00381921">
        <w:rPr>
          <w:rFonts w:ascii="Arial" w:hAnsi="Arial" w:cs="Arial"/>
          <w:i/>
          <w:iCs/>
          <w:noProof/>
          <w:sz w:val="24"/>
          <w:szCs w:val="24"/>
        </w:rPr>
        <w:t>Journal of Voice</w:t>
      </w:r>
      <w:r w:rsidRPr="00381921">
        <w:rPr>
          <w:rFonts w:ascii="Arial" w:hAnsi="Arial" w:cs="Arial"/>
          <w:noProof/>
          <w:sz w:val="24"/>
          <w:szCs w:val="24"/>
        </w:rPr>
        <w:t>, 24(6), pp. 654–660. doi: 10.1016/j.jvoice.2009.03.003.</w:t>
      </w:r>
    </w:p>
    <w:p w14:paraId="475577B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Sundberg, J. and Thalén, M. (2015) ‘Respiratory and Acoustical Differences Between Belt and Neutral Style of Singing’, </w:t>
      </w:r>
      <w:r w:rsidRPr="00381921">
        <w:rPr>
          <w:rFonts w:ascii="Arial" w:hAnsi="Arial" w:cs="Arial"/>
          <w:i/>
          <w:iCs/>
          <w:noProof/>
          <w:sz w:val="24"/>
          <w:szCs w:val="24"/>
        </w:rPr>
        <w:t>Journal of Voice</w:t>
      </w:r>
      <w:r w:rsidRPr="00381921">
        <w:rPr>
          <w:rFonts w:ascii="Arial" w:hAnsi="Arial" w:cs="Arial"/>
          <w:noProof/>
          <w:sz w:val="24"/>
          <w:szCs w:val="24"/>
        </w:rPr>
        <w:t>, 29(4), pp. 418–425. doi: 10.1016/j.jvoice.2014.09.018.</w:t>
      </w:r>
    </w:p>
    <w:p w14:paraId="34DE4CCC"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Teather, J. L. (1991) ‘Museum studies. Reflecting on reflective practice’, </w:t>
      </w:r>
      <w:r w:rsidRPr="00381921">
        <w:rPr>
          <w:rFonts w:ascii="Arial" w:hAnsi="Arial" w:cs="Arial"/>
          <w:i/>
          <w:iCs/>
          <w:noProof/>
          <w:sz w:val="24"/>
          <w:szCs w:val="24"/>
        </w:rPr>
        <w:t>Museum Management and Curatorship</w:t>
      </w:r>
      <w:r w:rsidRPr="00381921">
        <w:rPr>
          <w:rFonts w:ascii="Arial" w:hAnsi="Arial" w:cs="Arial"/>
          <w:noProof/>
          <w:sz w:val="24"/>
          <w:szCs w:val="24"/>
        </w:rPr>
        <w:t>, 10(4), pp. 403–417. doi: 10.1016/0260-4779(91)90031-R.</w:t>
      </w:r>
    </w:p>
    <w:p w14:paraId="4F34F31E"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Teddlie, C. and Yu, F. (2007) ‘Mixed Methods Sampling: A Typology With Examples’, </w:t>
      </w:r>
      <w:r w:rsidRPr="00381921">
        <w:rPr>
          <w:rFonts w:ascii="Arial" w:hAnsi="Arial" w:cs="Arial"/>
          <w:i/>
          <w:iCs/>
          <w:noProof/>
          <w:sz w:val="24"/>
          <w:szCs w:val="24"/>
        </w:rPr>
        <w:t>Journal of Mixed Methods Research</w:t>
      </w:r>
      <w:r w:rsidRPr="00381921">
        <w:rPr>
          <w:rFonts w:ascii="Arial" w:hAnsi="Arial" w:cs="Arial"/>
          <w:noProof/>
          <w:sz w:val="24"/>
          <w:szCs w:val="24"/>
        </w:rPr>
        <w:t>, 1(1), pp. 77–100. doi: 10.1177/2345678906292430.</w:t>
      </w:r>
    </w:p>
    <w:p w14:paraId="3D5FAAE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Titze, I. (2015) ‘On Flow Phonation and Airflow Management’, </w:t>
      </w:r>
      <w:r w:rsidRPr="00381921">
        <w:rPr>
          <w:rFonts w:ascii="Arial" w:hAnsi="Arial" w:cs="Arial"/>
          <w:i/>
          <w:iCs/>
          <w:noProof/>
          <w:sz w:val="24"/>
          <w:szCs w:val="24"/>
        </w:rPr>
        <w:t>Journal of Singing</w:t>
      </w:r>
      <w:r w:rsidRPr="00381921">
        <w:rPr>
          <w:rFonts w:ascii="Arial" w:hAnsi="Arial" w:cs="Arial"/>
          <w:noProof/>
          <w:sz w:val="24"/>
          <w:szCs w:val="24"/>
        </w:rPr>
        <w:t>, 72(1), pp. 57–58.</w:t>
      </w:r>
    </w:p>
    <w:p w14:paraId="1A2C341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Titze, I. (2022) ‘The Acoustic Characteristics of Vocal Twang’, </w:t>
      </w:r>
      <w:r w:rsidRPr="00381921">
        <w:rPr>
          <w:rFonts w:ascii="Arial" w:hAnsi="Arial" w:cs="Arial"/>
          <w:i/>
          <w:iCs/>
          <w:noProof/>
          <w:sz w:val="24"/>
          <w:szCs w:val="24"/>
        </w:rPr>
        <w:t>Journal of Singing</w:t>
      </w:r>
      <w:r w:rsidRPr="00381921">
        <w:rPr>
          <w:rFonts w:ascii="Arial" w:hAnsi="Arial" w:cs="Arial"/>
          <w:noProof/>
          <w:sz w:val="24"/>
          <w:szCs w:val="24"/>
        </w:rPr>
        <w:t>, 78(5), pp. 613–614. doi: 10.53830/lkzs7620.</w:t>
      </w:r>
    </w:p>
    <w:p w14:paraId="2CD622F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Tomlinson, C. A. and Archer, K. R. (2015) ‘Manual therapy and exercise to improve outcomes in patients with muscle tension dysphonia: A case series’, </w:t>
      </w:r>
      <w:r w:rsidRPr="00381921">
        <w:rPr>
          <w:rFonts w:ascii="Arial" w:hAnsi="Arial" w:cs="Arial"/>
          <w:i/>
          <w:iCs/>
          <w:noProof/>
          <w:sz w:val="24"/>
          <w:szCs w:val="24"/>
        </w:rPr>
        <w:t>Physical Therapy</w:t>
      </w:r>
      <w:r w:rsidRPr="00381921">
        <w:rPr>
          <w:rFonts w:ascii="Arial" w:hAnsi="Arial" w:cs="Arial"/>
          <w:noProof/>
          <w:sz w:val="24"/>
          <w:szCs w:val="24"/>
        </w:rPr>
        <w:t>, 95(1), pp. 117–128. doi: 10.2522/ptj.20130547.</w:t>
      </w:r>
    </w:p>
    <w:p w14:paraId="2E08B08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Trahar, S. (2009) ‘Beyond the Story Itself: Narrative Inquiry and Autoethnography in </w:t>
      </w:r>
      <w:r w:rsidRPr="00381921">
        <w:rPr>
          <w:rFonts w:ascii="Arial" w:hAnsi="Arial" w:cs="Arial"/>
          <w:noProof/>
          <w:sz w:val="24"/>
          <w:szCs w:val="24"/>
        </w:rPr>
        <w:lastRenderedPageBreak/>
        <w:t xml:space="preserve">Intercultural Research in Higher Education’, </w:t>
      </w:r>
      <w:r w:rsidRPr="00381921">
        <w:rPr>
          <w:rFonts w:ascii="Arial" w:hAnsi="Arial" w:cs="Arial"/>
          <w:i/>
          <w:iCs/>
          <w:noProof/>
          <w:sz w:val="24"/>
          <w:szCs w:val="24"/>
        </w:rPr>
        <w:t>Beyond the Story Itself: Narrative Inquiry and Autoethnography in Intercultural Research in Higher Education</w:t>
      </w:r>
      <w:r w:rsidRPr="00381921">
        <w:rPr>
          <w:rFonts w:ascii="Arial" w:hAnsi="Arial" w:cs="Arial"/>
          <w:noProof/>
          <w:sz w:val="24"/>
          <w:szCs w:val="24"/>
        </w:rPr>
        <w:t>, 10(1), p. 20. doi: 10.17169/fqs-10.1.1218.</w:t>
      </w:r>
    </w:p>
    <w:p w14:paraId="1E681CFB"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University of Wales Trinity Saint David (2015) ‘Integrity Code of Practice’, pp. 1–17.</w:t>
      </w:r>
    </w:p>
    <w:p w14:paraId="1B2C940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Valentine, K. D. and Kopcha, T. J. (2013) </w:t>
      </w:r>
      <w:r w:rsidRPr="00381921">
        <w:rPr>
          <w:rFonts w:ascii="Arial" w:hAnsi="Arial" w:cs="Arial"/>
          <w:i/>
          <w:iCs/>
          <w:noProof/>
          <w:sz w:val="24"/>
          <w:szCs w:val="24"/>
        </w:rPr>
        <w:t>Conducting educational design research</w:t>
      </w:r>
      <w:r w:rsidRPr="00381921">
        <w:rPr>
          <w:rFonts w:ascii="Arial" w:hAnsi="Arial" w:cs="Arial"/>
          <w:noProof/>
          <w:sz w:val="24"/>
          <w:szCs w:val="24"/>
        </w:rPr>
        <w:t xml:space="preserve">, </w:t>
      </w:r>
      <w:r w:rsidRPr="00381921">
        <w:rPr>
          <w:rFonts w:ascii="Arial" w:hAnsi="Arial" w:cs="Arial"/>
          <w:i/>
          <w:iCs/>
          <w:noProof/>
          <w:sz w:val="24"/>
          <w:szCs w:val="24"/>
        </w:rPr>
        <w:t>Educational Media International</w:t>
      </w:r>
      <w:r w:rsidRPr="00381921">
        <w:rPr>
          <w:rFonts w:ascii="Arial" w:hAnsi="Arial" w:cs="Arial"/>
          <w:noProof/>
          <w:sz w:val="24"/>
          <w:szCs w:val="24"/>
        </w:rPr>
        <w:t>. doi: 10.1080/09523987.2013.843832.</w:t>
      </w:r>
    </w:p>
    <w:p w14:paraId="183808B8"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Verdolini Abbott, K. </w:t>
      </w:r>
      <w:r w:rsidRPr="00381921">
        <w:rPr>
          <w:rFonts w:ascii="Arial" w:hAnsi="Arial" w:cs="Arial"/>
          <w:i/>
          <w:iCs/>
          <w:noProof/>
          <w:sz w:val="24"/>
          <w:szCs w:val="24"/>
        </w:rPr>
        <w:t>et al.</w:t>
      </w:r>
      <w:r w:rsidRPr="00381921">
        <w:rPr>
          <w:rFonts w:ascii="Arial" w:hAnsi="Arial" w:cs="Arial"/>
          <w:noProof/>
          <w:sz w:val="24"/>
          <w:szCs w:val="24"/>
        </w:rPr>
        <w:t xml:space="preserve"> (2012) ‘Vocal exercise may attenuate acute vocal fold inflammation’, </w:t>
      </w:r>
      <w:r w:rsidRPr="00381921">
        <w:rPr>
          <w:rFonts w:ascii="Arial" w:hAnsi="Arial" w:cs="Arial"/>
          <w:i/>
          <w:iCs/>
          <w:noProof/>
          <w:sz w:val="24"/>
          <w:szCs w:val="24"/>
        </w:rPr>
        <w:t>Journal of Voice</w:t>
      </w:r>
      <w:r w:rsidRPr="00381921">
        <w:rPr>
          <w:rFonts w:ascii="Arial" w:hAnsi="Arial" w:cs="Arial"/>
          <w:noProof/>
          <w:sz w:val="24"/>
          <w:szCs w:val="24"/>
        </w:rPr>
        <w:t>, 26(6), pp. 814.e1-814.e13. doi: 10.1016/j.jvoice.2012.03.008.</w:t>
      </w:r>
    </w:p>
    <w:p w14:paraId="38B3407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Verdolini, K. (1998) ‘Guide to Vocology’, </w:t>
      </w:r>
      <w:r w:rsidRPr="00381921">
        <w:rPr>
          <w:rFonts w:ascii="Arial" w:hAnsi="Arial" w:cs="Arial"/>
          <w:i/>
          <w:iCs/>
          <w:noProof/>
          <w:sz w:val="24"/>
          <w:szCs w:val="24"/>
        </w:rPr>
        <w:t>National Center for Voice and Speech</w:t>
      </w:r>
      <w:r w:rsidRPr="00381921">
        <w:rPr>
          <w:rFonts w:ascii="Arial" w:hAnsi="Arial" w:cs="Arial"/>
          <w:noProof/>
          <w:sz w:val="24"/>
          <w:szCs w:val="24"/>
        </w:rPr>
        <w:t>, pp. 1–58.</w:t>
      </w:r>
    </w:p>
    <w:p w14:paraId="4FBC722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Wakkee, I., Elfring, T. and Monaghan, S. (2010) ‘Creating entrepreneurial employees in traditional service sectors: The role of coaching and self-efficacy’, </w:t>
      </w:r>
      <w:r w:rsidRPr="00381921">
        <w:rPr>
          <w:rFonts w:ascii="Arial" w:hAnsi="Arial" w:cs="Arial"/>
          <w:i/>
          <w:iCs/>
          <w:noProof/>
          <w:sz w:val="24"/>
          <w:szCs w:val="24"/>
        </w:rPr>
        <w:t>International Entrepreneurship and Management Journal</w:t>
      </w:r>
      <w:r w:rsidRPr="00381921">
        <w:rPr>
          <w:rFonts w:ascii="Arial" w:hAnsi="Arial" w:cs="Arial"/>
          <w:noProof/>
          <w:sz w:val="24"/>
          <w:szCs w:val="24"/>
        </w:rPr>
        <w:t>, 6(1), pp. 1–21. doi: 10.1007/s11365-008-0078-z.</w:t>
      </w:r>
    </w:p>
    <w:p w14:paraId="0B748ECD"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Walliman, N. (2001) </w:t>
      </w:r>
      <w:r w:rsidRPr="00381921">
        <w:rPr>
          <w:rFonts w:ascii="Arial" w:hAnsi="Arial" w:cs="Arial"/>
          <w:i/>
          <w:iCs/>
          <w:noProof/>
          <w:sz w:val="24"/>
          <w:szCs w:val="24"/>
        </w:rPr>
        <w:t>Your Rersearch Project</w:t>
      </w:r>
      <w:r w:rsidRPr="00381921">
        <w:rPr>
          <w:rFonts w:ascii="Arial" w:hAnsi="Arial" w:cs="Arial"/>
          <w:noProof/>
          <w:sz w:val="24"/>
          <w:szCs w:val="24"/>
        </w:rPr>
        <w:t>. London: SAGE Publications Ltd.</w:t>
      </w:r>
    </w:p>
    <w:p w14:paraId="11970446"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Walsh, D. and Downe, S. (2005) ‘Meta-synthesis method for qualitative research: A literature review’, </w:t>
      </w:r>
      <w:r w:rsidRPr="00381921">
        <w:rPr>
          <w:rFonts w:ascii="Arial" w:hAnsi="Arial" w:cs="Arial"/>
          <w:i/>
          <w:iCs/>
          <w:noProof/>
          <w:sz w:val="24"/>
          <w:szCs w:val="24"/>
        </w:rPr>
        <w:t>Journal of Advanced Nursing</w:t>
      </w:r>
      <w:r w:rsidRPr="00381921">
        <w:rPr>
          <w:rFonts w:ascii="Arial" w:hAnsi="Arial" w:cs="Arial"/>
          <w:noProof/>
          <w:sz w:val="24"/>
          <w:szCs w:val="24"/>
        </w:rPr>
        <w:t>, 50(2), pp. 204–211. doi: 10.1111/j.1365-2648.2005.03380.x.</w:t>
      </w:r>
    </w:p>
    <w:p w14:paraId="698BB4F0"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Warwick, P. (2007) ‘Reflective practice: some notes on the development of the notion of professional reflection Why have I written this for the Busy Guide?’</w:t>
      </w:r>
    </w:p>
    <w:p w14:paraId="2FA94E4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Wehr, E. L. (2016) ‘Understanding the experiences of women in jazz: A suggested model’, </w:t>
      </w:r>
      <w:r w:rsidRPr="00381921">
        <w:rPr>
          <w:rFonts w:ascii="Arial" w:hAnsi="Arial" w:cs="Arial"/>
          <w:i/>
          <w:iCs/>
          <w:noProof/>
          <w:sz w:val="24"/>
          <w:szCs w:val="24"/>
        </w:rPr>
        <w:t>International Journal of Music Education</w:t>
      </w:r>
      <w:r w:rsidRPr="00381921">
        <w:rPr>
          <w:rFonts w:ascii="Arial" w:hAnsi="Arial" w:cs="Arial"/>
          <w:noProof/>
          <w:sz w:val="24"/>
          <w:szCs w:val="24"/>
        </w:rPr>
        <w:t>, 34(4), pp. 472–487. doi: 10.1177/0255761415619392.</w:t>
      </w:r>
    </w:p>
    <w:p w14:paraId="0D2CD3A3"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Welzer-Lang, D. (2008) ‘Speaking out loud about bisexuality: Biphobia in the gay and lesbian community’, </w:t>
      </w:r>
      <w:r w:rsidRPr="00381921">
        <w:rPr>
          <w:rFonts w:ascii="Arial" w:hAnsi="Arial" w:cs="Arial"/>
          <w:i/>
          <w:iCs/>
          <w:noProof/>
          <w:sz w:val="24"/>
          <w:szCs w:val="24"/>
        </w:rPr>
        <w:t>Journal of Bisexuality</w:t>
      </w:r>
      <w:r w:rsidRPr="00381921">
        <w:rPr>
          <w:rFonts w:ascii="Arial" w:hAnsi="Arial" w:cs="Arial"/>
          <w:noProof/>
          <w:sz w:val="24"/>
          <w:szCs w:val="24"/>
        </w:rPr>
        <w:t>, 8(1–2), pp. 81–95. doi: 10.1080/15299710802142259.</w:t>
      </w:r>
    </w:p>
    <w:p w14:paraId="0BBFBF87"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White, A. R. (2011) ‘Belting As An Academic Discipline’, </w:t>
      </w:r>
      <w:r w:rsidRPr="00381921">
        <w:rPr>
          <w:rFonts w:ascii="Arial" w:hAnsi="Arial" w:cs="Arial"/>
          <w:i/>
          <w:iCs/>
          <w:noProof/>
          <w:sz w:val="24"/>
          <w:szCs w:val="24"/>
        </w:rPr>
        <w:t>American Music Teacher</w:t>
      </w:r>
      <w:r w:rsidRPr="00381921">
        <w:rPr>
          <w:rFonts w:ascii="Arial" w:hAnsi="Arial" w:cs="Arial"/>
          <w:noProof/>
          <w:sz w:val="24"/>
          <w:szCs w:val="24"/>
        </w:rPr>
        <w:t>, (June/July), pp. 22–24.</w:t>
      </w:r>
    </w:p>
    <w:p w14:paraId="56235111"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lastRenderedPageBreak/>
        <w:t xml:space="preserve">Wilson, L. C. (2021) ‘Bel Canto to Punk and Back: Lessons for the Vocal Cross-Training Singer and Teacher’, </w:t>
      </w:r>
      <w:r w:rsidRPr="00381921">
        <w:rPr>
          <w:rFonts w:ascii="Arial" w:hAnsi="Arial" w:cs="Arial"/>
          <w:i/>
          <w:iCs/>
          <w:noProof/>
          <w:sz w:val="24"/>
          <w:szCs w:val="24"/>
        </w:rPr>
        <w:t>Voice and Speech Review</w:t>
      </w:r>
      <w:r w:rsidRPr="00381921">
        <w:rPr>
          <w:rFonts w:ascii="Arial" w:hAnsi="Arial" w:cs="Arial"/>
          <w:noProof/>
          <w:sz w:val="24"/>
          <w:szCs w:val="24"/>
        </w:rPr>
        <w:t>, 15(3), pp. 330–341. doi: 10.1080/23268263.2021.1889245.</w:t>
      </w:r>
    </w:p>
    <w:p w14:paraId="23E9EDC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Wolfswinkel, J. F., Furtmueller, E. and Wilderom, C. P. M. (2013) ‘Using grounded theory as a method for rigorously reviewing literature’, </w:t>
      </w:r>
      <w:r w:rsidRPr="00381921">
        <w:rPr>
          <w:rFonts w:ascii="Arial" w:hAnsi="Arial" w:cs="Arial"/>
          <w:i/>
          <w:iCs/>
          <w:noProof/>
          <w:sz w:val="24"/>
          <w:szCs w:val="24"/>
        </w:rPr>
        <w:t>European Journal of Information Systems</w:t>
      </w:r>
      <w:r w:rsidRPr="00381921">
        <w:rPr>
          <w:rFonts w:ascii="Arial" w:hAnsi="Arial" w:cs="Arial"/>
          <w:noProof/>
          <w:sz w:val="24"/>
          <w:szCs w:val="24"/>
        </w:rPr>
        <w:t>, 22(1), pp. 45–55. doi: 10.1057/ejis.2011.51.</w:t>
      </w:r>
    </w:p>
    <w:p w14:paraId="605343F4"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Woody, R. H. </w:t>
      </w:r>
      <w:r w:rsidRPr="00381921">
        <w:rPr>
          <w:rFonts w:ascii="Arial" w:hAnsi="Arial" w:cs="Arial"/>
          <w:i/>
          <w:iCs/>
          <w:noProof/>
          <w:sz w:val="24"/>
          <w:szCs w:val="24"/>
        </w:rPr>
        <w:t>et al.</w:t>
      </w:r>
      <w:r w:rsidRPr="00381921">
        <w:rPr>
          <w:rFonts w:ascii="Arial" w:hAnsi="Arial" w:cs="Arial"/>
          <w:noProof/>
          <w:sz w:val="24"/>
          <w:szCs w:val="24"/>
        </w:rPr>
        <w:t xml:space="preserve"> (2019) ‘Musical identities of older adults are not easily changed: an exploratory study’, </w:t>
      </w:r>
      <w:r w:rsidRPr="00381921">
        <w:rPr>
          <w:rFonts w:ascii="Arial" w:hAnsi="Arial" w:cs="Arial"/>
          <w:i/>
          <w:iCs/>
          <w:noProof/>
          <w:sz w:val="24"/>
          <w:szCs w:val="24"/>
        </w:rPr>
        <w:t>Music Education Research</w:t>
      </w:r>
      <w:r w:rsidRPr="00381921">
        <w:rPr>
          <w:rFonts w:ascii="Arial" w:hAnsi="Arial" w:cs="Arial"/>
          <w:noProof/>
          <w:sz w:val="24"/>
          <w:szCs w:val="24"/>
        </w:rPr>
        <w:t>, 21(3), pp. 315–330. doi: 10.1080/14613808.2019.1598346.</w:t>
      </w:r>
    </w:p>
    <w:p w14:paraId="7562D9FA" w14:textId="77777777" w:rsidR="00381921" w:rsidRPr="00381921" w:rsidRDefault="00381921" w:rsidP="00381921">
      <w:pPr>
        <w:widowControl w:val="0"/>
        <w:autoSpaceDE w:val="0"/>
        <w:autoSpaceDN w:val="0"/>
        <w:adjustRightInd w:val="0"/>
        <w:spacing w:line="360" w:lineRule="auto"/>
        <w:rPr>
          <w:rFonts w:ascii="Arial" w:hAnsi="Arial" w:cs="Arial"/>
          <w:noProof/>
          <w:sz w:val="24"/>
          <w:szCs w:val="24"/>
        </w:rPr>
      </w:pPr>
      <w:r w:rsidRPr="00381921">
        <w:rPr>
          <w:rFonts w:ascii="Arial" w:hAnsi="Arial" w:cs="Arial"/>
          <w:noProof/>
          <w:sz w:val="24"/>
          <w:szCs w:val="24"/>
        </w:rPr>
        <w:t xml:space="preserve">Wulf, G. and Lewthwaite, R. (2016) ‘Optimizing performance through intrinsic motivation and attention for learning: The OPTIMAL theory of motor learning’, </w:t>
      </w:r>
      <w:r w:rsidRPr="00381921">
        <w:rPr>
          <w:rFonts w:ascii="Arial" w:hAnsi="Arial" w:cs="Arial"/>
          <w:i/>
          <w:iCs/>
          <w:noProof/>
          <w:sz w:val="24"/>
          <w:szCs w:val="24"/>
        </w:rPr>
        <w:t>Psychonomic Bulletin and Review</w:t>
      </w:r>
      <w:r w:rsidRPr="00381921">
        <w:rPr>
          <w:rFonts w:ascii="Arial" w:hAnsi="Arial" w:cs="Arial"/>
          <w:noProof/>
          <w:sz w:val="24"/>
          <w:szCs w:val="24"/>
        </w:rPr>
        <w:t>, 23(5), pp. 1382–1414. doi: 10.3758/s13423-015-0999-9.</w:t>
      </w:r>
    </w:p>
    <w:p w14:paraId="6C515310" w14:textId="77777777" w:rsidR="00381921" w:rsidRPr="00381921" w:rsidRDefault="00381921" w:rsidP="00381921">
      <w:pPr>
        <w:widowControl w:val="0"/>
        <w:autoSpaceDE w:val="0"/>
        <w:autoSpaceDN w:val="0"/>
        <w:adjustRightInd w:val="0"/>
        <w:spacing w:line="360" w:lineRule="auto"/>
        <w:rPr>
          <w:rFonts w:ascii="Arial" w:hAnsi="Arial" w:cs="Arial"/>
          <w:noProof/>
          <w:sz w:val="24"/>
        </w:rPr>
      </w:pPr>
      <w:r w:rsidRPr="00381921">
        <w:rPr>
          <w:rFonts w:ascii="Arial" w:hAnsi="Arial" w:cs="Arial"/>
          <w:noProof/>
          <w:sz w:val="24"/>
          <w:szCs w:val="24"/>
        </w:rPr>
        <w:t xml:space="preserve">Zuim, A. F., Stewart, C. F. and Titze, I. R. (2021) ‘Vocal Dose and Vocal Demands in Contemporary Musical Theatre’, </w:t>
      </w:r>
      <w:r w:rsidRPr="00381921">
        <w:rPr>
          <w:rFonts w:ascii="Arial" w:hAnsi="Arial" w:cs="Arial"/>
          <w:i/>
          <w:iCs/>
          <w:noProof/>
          <w:sz w:val="24"/>
          <w:szCs w:val="24"/>
        </w:rPr>
        <w:t>Journal of Voice</w:t>
      </w:r>
      <w:r w:rsidRPr="00381921">
        <w:rPr>
          <w:rFonts w:ascii="Arial" w:hAnsi="Arial" w:cs="Arial"/>
          <w:noProof/>
          <w:sz w:val="24"/>
          <w:szCs w:val="24"/>
        </w:rPr>
        <w:t>, pp. 1–16. doi: 10.1016/j.jvoice.2021.08.006.</w:t>
      </w:r>
    </w:p>
    <w:p w14:paraId="240AF429" w14:textId="3B216D41" w:rsidR="00381921" w:rsidRPr="00AE2080" w:rsidRDefault="00381921" w:rsidP="00381921">
      <w:pPr>
        <w:spacing w:line="360" w:lineRule="auto"/>
        <w:rPr>
          <w:rFonts w:ascii="Arial" w:hAnsi="Arial" w:cs="Arial"/>
          <w:b/>
          <w:bCs/>
          <w:sz w:val="24"/>
          <w:szCs w:val="24"/>
        </w:rPr>
      </w:pPr>
      <w:r>
        <w:rPr>
          <w:rFonts w:ascii="Arial" w:hAnsi="Arial" w:cs="Arial"/>
          <w:b/>
          <w:bCs/>
          <w:sz w:val="24"/>
          <w:szCs w:val="24"/>
        </w:rPr>
        <w:fldChar w:fldCharType="end"/>
      </w:r>
      <w:bookmarkEnd w:id="27"/>
    </w:p>
    <w:sectPr w:rsidR="00381921" w:rsidRPr="00AE2080" w:rsidSect="008B7E1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E05F3" w14:textId="77777777" w:rsidR="008B7E14" w:rsidRDefault="008B7E14" w:rsidP="001B6263">
      <w:pPr>
        <w:spacing w:after="0" w:line="240" w:lineRule="auto"/>
      </w:pPr>
      <w:r>
        <w:separator/>
      </w:r>
    </w:p>
  </w:endnote>
  <w:endnote w:type="continuationSeparator" w:id="0">
    <w:p w14:paraId="3483AD2D" w14:textId="77777777" w:rsidR="008B7E14" w:rsidRDefault="008B7E14" w:rsidP="001B6263">
      <w:pPr>
        <w:spacing w:after="0" w:line="240" w:lineRule="auto"/>
      </w:pPr>
      <w:r>
        <w:continuationSeparator/>
      </w:r>
    </w:p>
  </w:endnote>
  <w:endnote w:type="continuationNotice" w:id="1">
    <w:p w14:paraId="5B0CBC14" w14:textId="77777777" w:rsidR="008B7E14" w:rsidRDefault="008B7E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774421"/>
      <w:docPartObj>
        <w:docPartGallery w:val="Page Numbers (Bottom of Page)"/>
        <w:docPartUnique/>
      </w:docPartObj>
    </w:sdtPr>
    <w:sdtEndPr>
      <w:rPr>
        <w:noProof/>
      </w:rPr>
    </w:sdtEndPr>
    <w:sdtContent>
      <w:p w14:paraId="4B3183E4" w14:textId="120ADCA1" w:rsidR="008455B5" w:rsidRDefault="00845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0396F" w14:textId="77777777" w:rsidR="008816D5" w:rsidRDefault="008816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244536"/>
      <w:docPartObj>
        <w:docPartGallery w:val="Page Numbers (Bottom of Page)"/>
        <w:docPartUnique/>
      </w:docPartObj>
    </w:sdtPr>
    <w:sdtEndPr>
      <w:rPr>
        <w:noProof/>
        <w:color w:val="FFFFFF" w:themeColor="background1"/>
      </w:rPr>
    </w:sdtEndPr>
    <w:sdtContent>
      <w:p w14:paraId="663A3671" w14:textId="7445177E" w:rsidR="00FA6964" w:rsidRPr="005B721B" w:rsidRDefault="00FA6964">
        <w:pPr>
          <w:pStyle w:val="Footer"/>
          <w:jc w:val="center"/>
          <w:rPr>
            <w:color w:val="FFFFFF" w:themeColor="background1"/>
          </w:rPr>
        </w:pPr>
        <w:r w:rsidRPr="005B721B">
          <w:rPr>
            <w:color w:val="FFFFFF" w:themeColor="background1"/>
          </w:rPr>
          <w:fldChar w:fldCharType="begin"/>
        </w:r>
        <w:r w:rsidRPr="005B721B">
          <w:rPr>
            <w:color w:val="FFFFFF" w:themeColor="background1"/>
          </w:rPr>
          <w:instrText xml:space="preserve"> PAGE   \* MERGEFORMAT </w:instrText>
        </w:r>
        <w:r w:rsidRPr="005B721B">
          <w:rPr>
            <w:color w:val="FFFFFF" w:themeColor="background1"/>
          </w:rPr>
          <w:fldChar w:fldCharType="separate"/>
        </w:r>
        <w:r w:rsidRPr="005B721B">
          <w:rPr>
            <w:noProof/>
            <w:color w:val="FFFFFF" w:themeColor="background1"/>
          </w:rPr>
          <w:t>2</w:t>
        </w:r>
        <w:r w:rsidRPr="005B721B">
          <w:rPr>
            <w:noProof/>
            <w:color w:val="FFFFFF" w:themeColor="background1"/>
          </w:rPr>
          <w:fldChar w:fldCharType="end"/>
        </w:r>
      </w:p>
    </w:sdtContent>
  </w:sdt>
  <w:p w14:paraId="24D6F9CF" w14:textId="77777777" w:rsidR="00FA6964" w:rsidRDefault="00FA6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13093" w14:textId="77777777" w:rsidR="008B7E14" w:rsidRDefault="008B7E14" w:rsidP="001B6263">
      <w:pPr>
        <w:spacing w:after="0" w:line="240" w:lineRule="auto"/>
      </w:pPr>
      <w:r>
        <w:separator/>
      </w:r>
    </w:p>
  </w:footnote>
  <w:footnote w:type="continuationSeparator" w:id="0">
    <w:p w14:paraId="64963E7A" w14:textId="77777777" w:rsidR="008B7E14" w:rsidRDefault="008B7E14" w:rsidP="001B6263">
      <w:pPr>
        <w:spacing w:after="0" w:line="240" w:lineRule="auto"/>
      </w:pPr>
      <w:r>
        <w:continuationSeparator/>
      </w:r>
    </w:p>
  </w:footnote>
  <w:footnote w:type="continuationNotice" w:id="1">
    <w:p w14:paraId="3D952E46" w14:textId="77777777" w:rsidR="008B7E14" w:rsidRDefault="008B7E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AB6" w14:textId="479F7CFD" w:rsidR="0008313F" w:rsidRDefault="00F06C89" w:rsidP="002F28D9">
    <w:r>
      <w:t xml:space="preserve">Jon Morris </w:t>
    </w:r>
    <w:r>
      <w:ptab w:relativeTo="margin" w:alignment="center" w:leader="none"/>
    </w:r>
    <w:r>
      <w:t>MA Voice Pedagogy</w:t>
    </w:r>
    <w:r>
      <w:ptab w:relativeTo="margin" w:alignment="right" w:leader="none"/>
    </w:r>
    <w:r>
      <w:t>Module code:</w:t>
    </w:r>
  </w:p>
  <w:p w14:paraId="740DA81A" w14:textId="673B4027" w:rsidR="0008313F" w:rsidRDefault="00897393">
    <w:r>
      <w:t xml:space="preserve"> </w:t>
    </w:r>
    <w:r w:rsidR="00F06C89">
      <w:t>2016633</w:t>
    </w:r>
    <w:r w:rsidR="00F06C89">
      <w:tab/>
    </w:r>
    <w:r w:rsidR="00F06C89">
      <w:tab/>
    </w:r>
    <w:r w:rsidR="00F06C89">
      <w:tab/>
    </w:r>
    <w:r w:rsidR="00F06C89">
      <w:tab/>
    </w:r>
    <w:r w:rsidR="00242166">
      <w:t xml:space="preserve">         </w:t>
    </w:r>
    <w:r>
      <w:t xml:space="preserve"> </w:t>
    </w:r>
    <w:r w:rsidR="00F06C89">
      <w:t xml:space="preserve">Cohort </w:t>
    </w:r>
    <w:r w:rsidR="001B6263">
      <w:t>G</w:t>
    </w:r>
    <w:r>
      <w:tab/>
    </w:r>
    <w:r>
      <w:tab/>
    </w:r>
    <w:r>
      <w:tab/>
    </w:r>
    <w:r>
      <w:tab/>
    </w:r>
    <w:r>
      <w:tab/>
      <w:t>BMPF7010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722D5"/>
    <w:multiLevelType w:val="hybridMultilevel"/>
    <w:tmpl w:val="E024739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F16A3F"/>
    <w:multiLevelType w:val="hybridMultilevel"/>
    <w:tmpl w:val="7524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04556"/>
    <w:multiLevelType w:val="hybridMultilevel"/>
    <w:tmpl w:val="5276D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410F1"/>
    <w:multiLevelType w:val="hybridMultilevel"/>
    <w:tmpl w:val="2F7E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950B1"/>
    <w:multiLevelType w:val="hybridMultilevel"/>
    <w:tmpl w:val="ABF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E37258"/>
    <w:multiLevelType w:val="hybridMultilevel"/>
    <w:tmpl w:val="EE02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6161D"/>
    <w:multiLevelType w:val="hybridMultilevel"/>
    <w:tmpl w:val="024C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4B0D6C"/>
    <w:multiLevelType w:val="hybridMultilevel"/>
    <w:tmpl w:val="412E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44CB0"/>
    <w:multiLevelType w:val="hybridMultilevel"/>
    <w:tmpl w:val="873C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D01E3E"/>
    <w:multiLevelType w:val="hybridMultilevel"/>
    <w:tmpl w:val="B7000B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A346335"/>
    <w:multiLevelType w:val="hybridMultilevel"/>
    <w:tmpl w:val="1F60130E"/>
    <w:lvl w:ilvl="0" w:tplc="DFB012DE">
      <w:numFmt w:val="bullet"/>
      <w:lvlText w:val=""/>
      <w:lvlJc w:val="left"/>
      <w:pPr>
        <w:ind w:left="720" w:hanging="360"/>
      </w:pPr>
      <w:rPr>
        <w:rFonts w:ascii="Symbol" w:eastAsiaTheme="minorHAns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CC572D"/>
    <w:multiLevelType w:val="multilevel"/>
    <w:tmpl w:val="31F27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9159948">
    <w:abstractNumId w:val="0"/>
  </w:num>
  <w:num w:numId="2" w16cid:durableId="1419444842">
    <w:abstractNumId w:val="6"/>
  </w:num>
  <w:num w:numId="3" w16cid:durableId="1143160527">
    <w:abstractNumId w:val="7"/>
  </w:num>
  <w:num w:numId="4" w16cid:durableId="2007398102">
    <w:abstractNumId w:val="3"/>
  </w:num>
  <w:num w:numId="5" w16cid:durableId="1002052288">
    <w:abstractNumId w:val="10"/>
  </w:num>
  <w:num w:numId="6" w16cid:durableId="1689866322">
    <w:abstractNumId w:val="1"/>
  </w:num>
  <w:num w:numId="7" w16cid:durableId="50465271">
    <w:abstractNumId w:val="9"/>
  </w:num>
  <w:num w:numId="8" w16cid:durableId="1364592988">
    <w:abstractNumId w:val="5"/>
  </w:num>
  <w:num w:numId="9" w16cid:durableId="2056345283">
    <w:abstractNumId w:val="11"/>
  </w:num>
  <w:num w:numId="10" w16cid:durableId="1985621886">
    <w:abstractNumId w:val="2"/>
  </w:num>
  <w:num w:numId="11" w16cid:durableId="598490748">
    <w:abstractNumId w:val="8"/>
  </w:num>
  <w:num w:numId="12" w16cid:durableId="201375213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699"/>
    <w:rsid w:val="00000579"/>
    <w:rsid w:val="000011D6"/>
    <w:rsid w:val="00001D0D"/>
    <w:rsid w:val="00002FB2"/>
    <w:rsid w:val="00003070"/>
    <w:rsid w:val="000032DF"/>
    <w:rsid w:val="00003703"/>
    <w:rsid w:val="000037F3"/>
    <w:rsid w:val="00003A15"/>
    <w:rsid w:val="00003E19"/>
    <w:rsid w:val="00004BEA"/>
    <w:rsid w:val="0000541F"/>
    <w:rsid w:val="000056FE"/>
    <w:rsid w:val="00005AFE"/>
    <w:rsid w:val="00005B8C"/>
    <w:rsid w:val="000062BC"/>
    <w:rsid w:val="000065F8"/>
    <w:rsid w:val="000069E8"/>
    <w:rsid w:val="000077C4"/>
    <w:rsid w:val="00007D4D"/>
    <w:rsid w:val="0001034A"/>
    <w:rsid w:val="00010A94"/>
    <w:rsid w:val="00012329"/>
    <w:rsid w:val="00012470"/>
    <w:rsid w:val="00012BB4"/>
    <w:rsid w:val="00012DB0"/>
    <w:rsid w:val="00012EB2"/>
    <w:rsid w:val="0001307A"/>
    <w:rsid w:val="0001453F"/>
    <w:rsid w:val="0001482A"/>
    <w:rsid w:val="00015459"/>
    <w:rsid w:val="000158D2"/>
    <w:rsid w:val="00015EDB"/>
    <w:rsid w:val="000160FE"/>
    <w:rsid w:val="000164B4"/>
    <w:rsid w:val="000165A8"/>
    <w:rsid w:val="00016732"/>
    <w:rsid w:val="00016D22"/>
    <w:rsid w:val="00016E4A"/>
    <w:rsid w:val="00016E8A"/>
    <w:rsid w:val="00020E2D"/>
    <w:rsid w:val="000215C9"/>
    <w:rsid w:val="00021C33"/>
    <w:rsid w:val="00021EB3"/>
    <w:rsid w:val="00021F0B"/>
    <w:rsid w:val="000226DE"/>
    <w:rsid w:val="00022793"/>
    <w:rsid w:val="00022CD1"/>
    <w:rsid w:val="000232E8"/>
    <w:rsid w:val="00023633"/>
    <w:rsid w:val="00023ABD"/>
    <w:rsid w:val="00023BE5"/>
    <w:rsid w:val="00023D3D"/>
    <w:rsid w:val="00023E98"/>
    <w:rsid w:val="00024611"/>
    <w:rsid w:val="00024B50"/>
    <w:rsid w:val="00025731"/>
    <w:rsid w:val="000257BB"/>
    <w:rsid w:val="000258EA"/>
    <w:rsid w:val="00025ABE"/>
    <w:rsid w:val="00026B2D"/>
    <w:rsid w:val="00026F41"/>
    <w:rsid w:val="00027283"/>
    <w:rsid w:val="00027A4D"/>
    <w:rsid w:val="00027CBF"/>
    <w:rsid w:val="00027DD5"/>
    <w:rsid w:val="00027FEA"/>
    <w:rsid w:val="000301C4"/>
    <w:rsid w:val="000306A1"/>
    <w:rsid w:val="00031277"/>
    <w:rsid w:val="000313F1"/>
    <w:rsid w:val="00031656"/>
    <w:rsid w:val="00031C54"/>
    <w:rsid w:val="00031E64"/>
    <w:rsid w:val="00032C70"/>
    <w:rsid w:val="000331F0"/>
    <w:rsid w:val="000332F8"/>
    <w:rsid w:val="0003334D"/>
    <w:rsid w:val="000335A3"/>
    <w:rsid w:val="000336F8"/>
    <w:rsid w:val="00033A11"/>
    <w:rsid w:val="00033A32"/>
    <w:rsid w:val="00033F6B"/>
    <w:rsid w:val="000340B8"/>
    <w:rsid w:val="00034144"/>
    <w:rsid w:val="00034502"/>
    <w:rsid w:val="0003472C"/>
    <w:rsid w:val="00034A65"/>
    <w:rsid w:val="000359F1"/>
    <w:rsid w:val="00035DC2"/>
    <w:rsid w:val="000366CD"/>
    <w:rsid w:val="0003681E"/>
    <w:rsid w:val="00036DA3"/>
    <w:rsid w:val="000373CD"/>
    <w:rsid w:val="00040222"/>
    <w:rsid w:val="0004047E"/>
    <w:rsid w:val="000408EA"/>
    <w:rsid w:val="00040A40"/>
    <w:rsid w:val="00040E5B"/>
    <w:rsid w:val="00040F7F"/>
    <w:rsid w:val="0004230A"/>
    <w:rsid w:val="00042722"/>
    <w:rsid w:val="0004365A"/>
    <w:rsid w:val="000436EF"/>
    <w:rsid w:val="00043B09"/>
    <w:rsid w:val="00045550"/>
    <w:rsid w:val="000456D6"/>
    <w:rsid w:val="000460D7"/>
    <w:rsid w:val="0004638D"/>
    <w:rsid w:val="000468AD"/>
    <w:rsid w:val="00046F12"/>
    <w:rsid w:val="00050024"/>
    <w:rsid w:val="00050AF1"/>
    <w:rsid w:val="0005117A"/>
    <w:rsid w:val="000515CA"/>
    <w:rsid w:val="000519F1"/>
    <w:rsid w:val="00052E78"/>
    <w:rsid w:val="00053138"/>
    <w:rsid w:val="000540AD"/>
    <w:rsid w:val="00054204"/>
    <w:rsid w:val="000545C6"/>
    <w:rsid w:val="0005481C"/>
    <w:rsid w:val="00054D6B"/>
    <w:rsid w:val="00054D6C"/>
    <w:rsid w:val="00055290"/>
    <w:rsid w:val="000559DB"/>
    <w:rsid w:val="00055DF0"/>
    <w:rsid w:val="00056365"/>
    <w:rsid w:val="000565FB"/>
    <w:rsid w:val="00056813"/>
    <w:rsid w:val="000569FA"/>
    <w:rsid w:val="00056A81"/>
    <w:rsid w:val="00056B48"/>
    <w:rsid w:val="00056D72"/>
    <w:rsid w:val="000577E5"/>
    <w:rsid w:val="00057DBF"/>
    <w:rsid w:val="00060408"/>
    <w:rsid w:val="00060709"/>
    <w:rsid w:val="00060E5D"/>
    <w:rsid w:val="0006110F"/>
    <w:rsid w:val="00061236"/>
    <w:rsid w:val="000619E1"/>
    <w:rsid w:val="00061B11"/>
    <w:rsid w:val="00062309"/>
    <w:rsid w:val="000637E7"/>
    <w:rsid w:val="00063C14"/>
    <w:rsid w:val="000641BC"/>
    <w:rsid w:val="00064209"/>
    <w:rsid w:val="000643D6"/>
    <w:rsid w:val="00064A2E"/>
    <w:rsid w:val="00065AD1"/>
    <w:rsid w:val="00065F4B"/>
    <w:rsid w:val="00066534"/>
    <w:rsid w:val="00066FE7"/>
    <w:rsid w:val="000671B9"/>
    <w:rsid w:val="0006764C"/>
    <w:rsid w:val="000700EB"/>
    <w:rsid w:val="00070344"/>
    <w:rsid w:val="00070B50"/>
    <w:rsid w:val="0007111E"/>
    <w:rsid w:val="00071147"/>
    <w:rsid w:val="00071192"/>
    <w:rsid w:val="00071731"/>
    <w:rsid w:val="00071849"/>
    <w:rsid w:val="00071913"/>
    <w:rsid w:val="00071D52"/>
    <w:rsid w:val="0007220E"/>
    <w:rsid w:val="000724A8"/>
    <w:rsid w:val="00072611"/>
    <w:rsid w:val="00072A2B"/>
    <w:rsid w:val="000734B3"/>
    <w:rsid w:val="0007355E"/>
    <w:rsid w:val="0007377A"/>
    <w:rsid w:val="00073911"/>
    <w:rsid w:val="000744A6"/>
    <w:rsid w:val="00074E32"/>
    <w:rsid w:val="0007523B"/>
    <w:rsid w:val="00075287"/>
    <w:rsid w:val="00076521"/>
    <w:rsid w:val="000766DF"/>
    <w:rsid w:val="0007681A"/>
    <w:rsid w:val="000769F7"/>
    <w:rsid w:val="00076A9A"/>
    <w:rsid w:val="00076D1C"/>
    <w:rsid w:val="00076D25"/>
    <w:rsid w:val="0007735C"/>
    <w:rsid w:val="00080297"/>
    <w:rsid w:val="00080B4E"/>
    <w:rsid w:val="00080E83"/>
    <w:rsid w:val="0008200D"/>
    <w:rsid w:val="000827DD"/>
    <w:rsid w:val="00082914"/>
    <w:rsid w:val="00082970"/>
    <w:rsid w:val="00082B88"/>
    <w:rsid w:val="0008313F"/>
    <w:rsid w:val="000833CB"/>
    <w:rsid w:val="00083449"/>
    <w:rsid w:val="00083852"/>
    <w:rsid w:val="000838A7"/>
    <w:rsid w:val="00083C2D"/>
    <w:rsid w:val="00083E4A"/>
    <w:rsid w:val="00084CBD"/>
    <w:rsid w:val="00084F76"/>
    <w:rsid w:val="00084FDF"/>
    <w:rsid w:val="0008503B"/>
    <w:rsid w:val="00085185"/>
    <w:rsid w:val="00085C22"/>
    <w:rsid w:val="000867CA"/>
    <w:rsid w:val="00086F4E"/>
    <w:rsid w:val="00087278"/>
    <w:rsid w:val="00087DF3"/>
    <w:rsid w:val="00090B52"/>
    <w:rsid w:val="0009175F"/>
    <w:rsid w:val="00091E0F"/>
    <w:rsid w:val="000925A7"/>
    <w:rsid w:val="0009281B"/>
    <w:rsid w:val="00092857"/>
    <w:rsid w:val="00092AB1"/>
    <w:rsid w:val="0009345D"/>
    <w:rsid w:val="000937DC"/>
    <w:rsid w:val="00093F85"/>
    <w:rsid w:val="0009400A"/>
    <w:rsid w:val="00094BE4"/>
    <w:rsid w:val="00095639"/>
    <w:rsid w:val="000964E1"/>
    <w:rsid w:val="000969E3"/>
    <w:rsid w:val="000971CD"/>
    <w:rsid w:val="00097B38"/>
    <w:rsid w:val="00097C4F"/>
    <w:rsid w:val="000A01FA"/>
    <w:rsid w:val="000A0445"/>
    <w:rsid w:val="000A05F0"/>
    <w:rsid w:val="000A0A43"/>
    <w:rsid w:val="000A0AE8"/>
    <w:rsid w:val="000A1D22"/>
    <w:rsid w:val="000A28E7"/>
    <w:rsid w:val="000A2BF9"/>
    <w:rsid w:val="000A2E3F"/>
    <w:rsid w:val="000A3AFE"/>
    <w:rsid w:val="000A4257"/>
    <w:rsid w:val="000A4B65"/>
    <w:rsid w:val="000A584E"/>
    <w:rsid w:val="000A6B30"/>
    <w:rsid w:val="000A6B58"/>
    <w:rsid w:val="000A7E0F"/>
    <w:rsid w:val="000B0134"/>
    <w:rsid w:val="000B0595"/>
    <w:rsid w:val="000B0FAC"/>
    <w:rsid w:val="000B195F"/>
    <w:rsid w:val="000B1A39"/>
    <w:rsid w:val="000B1A5D"/>
    <w:rsid w:val="000B2419"/>
    <w:rsid w:val="000B2A56"/>
    <w:rsid w:val="000B2F1B"/>
    <w:rsid w:val="000B376E"/>
    <w:rsid w:val="000B438D"/>
    <w:rsid w:val="000B4869"/>
    <w:rsid w:val="000B48B6"/>
    <w:rsid w:val="000B4A7C"/>
    <w:rsid w:val="000B5E72"/>
    <w:rsid w:val="000B5F60"/>
    <w:rsid w:val="000B7182"/>
    <w:rsid w:val="000B791C"/>
    <w:rsid w:val="000B7CF1"/>
    <w:rsid w:val="000C0696"/>
    <w:rsid w:val="000C0C06"/>
    <w:rsid w:val="000C104D"/>
    <w:rsid w:val="000C2CB7"/>
    <w:rsid w:val="000C3754"/>
    <w:rsid w:val="000C3755"/>
    <w:rsid w:val="000C3CBB"/>
    <w:rsid w:val="000C3FF3"/>
    <w:rsid w:val="000C4352"/>
    <w:rsid w:val="000C4516"/>
    <w:rsid w:val="000C4DAE"/>
    <w:rsid w:val="000C54F4"/>
    <w:rsid w:val="000C5B68"/>
    <w:rsid w:val="000C60DC"/>
    <w:rsid w:val="000C6972"/>
    <w:rsid w:val="000C723E"/>
    <w:rsid w:val="000C788F"/>
    <w:rsid w:val="000C79B0"/>
    <w:rsid w:val="000D0693"/>
    <w:rsid w:val="000D075B"/>
    <w:rsid w:val="000D0D25"/>
    <w:rsid w:val="000D13D1"/>
    <w:rsid w:val="000D1B65"/>
    <w:rsid w:val="000D1CCD"/>
    <w:rsid w:val="000D28B0"/>
    <w:rsid w:val="000D2921"/>
    <w:rsid w:val="000D34EC"/>
    <w:rsid w:val="000D34F8"/>
    <w:rsid w:val="000D482D"/>
    <w:rsid w:val="000D50E6"/>
    <w:rsid w:val="000D5243"/>
    <w:rsid w:val="000D5BDB"/>
    <w:rsid w:val="000D5FEF"/>
    <w:rsid w:val="000D6B15"/>
    <w:rsid w:val="000D6BCF"/>
    <w:rsid w:val="000D6ED4"/>
    <w:rsid w:val="000D7687"/>
    <w:rsid w:val="000D780B"/>
    <w:rsid w:val="000D7A85"/>
    <w:rsid w:val="000E038E"/>
    <w:rsid w:val="000E0555"/>
    <w:rsid w:val="000E0C08"/>
    <w:rsid w:val="000E0F79"/>
    <w:rsid w:val="000E180D"/>
    <w:rsid w:val="000E1AD4"/>
    <w:rsid w:val="000E22B1"/>
    <w:rsid w:val="000E279C"/>
    <w:rsid w:val="000E292C"/>
    <w:rsid w:val="000E3B79"/>
    <w:rsid w:val="000E46A2"/>
    <w:rsid w:val="000E4ADE"/>
    <w:rsid w:val="000E4DE1"/>
    <w:rsid w:val="000E4EC2"/>
    <w:rsid w:val="000E50E0"/>
    <w:rsid w:val="000E55CD"/>
    <w:rsid w:val="000E569B"/>
    <w:rsid w:val="000E572E"/>
    <w:rsid w:val="000E5873"/>
    <w:rsid w:val="000E5A87"/>
    <w:rsid w:val="000E6A6E"/>
    <w:rsid w:val="000E6AB6"/>
    <w:rsid w:val="000E6B33"/>
    <w:rsid w:val="000E6BE0"/>
    <w:rsid w:val="000E70A7"/>
    <w:rsid w:val="000E70DA"/>
    <w:rsid w:val="000E71A6"/>
    <w:rsid w:val="000F11E2"/>
    <w:rsid w:val="000F14B2"/>
    <w:rsid w:val="000F1944"/>
    <w:rsid w:val="000F2462"/>
    <w:rsid w:val="000F2C2A"/>
    <w:rsid w:val="000F3076"/>
    <w:rsid w:val="000F38EC"/>
    <w:rsid w:val="000F3E77"/>
    <w:rsid w:val="000F4226"/>
    <w:rsid w:val="000F431A"/>
    <w:rsid w:val="000F45B2"/>
    <w:rsid w:val="000F47E4"/>
    <w:rsid w:val="000F49D5"/>
    <w:rsid w:val="000F4C5A"/>
    <w:rsid w:val="000F53F4"/>
    <w:rsid w:val="000F5E4A"/>
    <w:rsid w:val="000F6C1C"/>
    <w:rsid w:val="000F75F6"/>
    <w:rsid w:val="000F776A"/>
    <w:rsid w:val="000F78E2"/>
    <w:rsid w:val="001003C1"/>
    <w:rsid w:val="001009B3"/>
    <w:rsid w:val="001016E8"/>
    <w:rsid w:val="0010200E"/>
    <w:rsid w:val="00102D4F"/>
    <w:rsid w:val="00103882"/>
    <w:rsid w:val="00103DFB"/>
    <w:rsid w:val="0010459D"/>
    <w:rsid w:val="00105C44"/>
    <w:rsid w:val="00105E68"/>
    <w:rsid w:val="001065C3"/>
    <w:rsid w:val="001069C5"/>
    <w:rsid w:val="001069FD"/>
    <w:rsid w:val="00106EE2"/>
    <w:rsid w:val="001074AD"/>
    <w:rsid w:val="00107706"/>
    <w:rsid w:val="00107B23"/>
    <w:rsid w:val="00110C86"/>
    <w:rsid w:val="00110F97"/>
    <w:rsid w:val="00111592"/>
    <w:rsid w:val="00111982"/>
    <w:rsid w:val="00111B97"/>
    <w:rsid w:val="00111CC8"/>
    <w:rsid w:val="00112717"/>
    <w:rsid w:val="00112CA2"/>
    <w:rsid w:val="00112FD9"/>
    <w:rsid w:val="001136DC"/>
    <w:rsid w:val="00113848"/>
    <w:rsid w:val="00113889"/>
    <w:rsid w:val="00114074"/>
    <w:rsid w:val="001144A4"/>
    <w:rsid w:val="0011610C"/>
    <w:rsid w:val="001166E7"/>
    <w:rsid w:val="00116BFF"/>
    <w:rsid w:val="00116C4D"/>
    <w:rsid w:val="0011700C"/>
    <w:rsid w:val="0012106F"/>
    <w:rsid w:val="001229F2"/>
    <w:rsid w:val="00123D55"/>
    <w:rsid w:val="00124201"/>
    <w:rsid w:val="0012435B"/>
    <w:rsid w:val="001258FC"/>
    <w:rsid w:val="0012695E"/>
    <w:rsid w:val="00126E0D"/>
    <w:rsid w:val="0012728A"/>
    <w:rsid w:val="00127DD4"/>
    <w:rsid w:val="00127E42"/>
    <w:rsid w:val="00127FD9"/>
    <w:rsid w:val="0013008A"/>
    <w:rsid w:val="00130670"/>
    <w:rsid w:val="00131664"/>
    <w:rsid w:val="00131A7C"/>
    <w:rsid w:val="00131E52"/>
    <w:rsid w:val="00131F14"/>
    <w:rsid w:val="001320A0"/>
    <w:rsid w:val="001325EF"/>
    <w:rsid w:val="00132659"/>
    <w:rsid w:val="00133694"/>
    <w:rsid w:val="00133C62"/>
    <w:rsid w:val="00134839"/>
    <w:rsid w:val="00135288"/>
    <w:rsid w:val="0013552D"/>
    <w:rsid w:val="00135610"/>
    <w:rsid w:val="00135904"/>
    <w:rsid w:val="00136301"/>
    <w:rsid w:val="00136470"/>
    <w:rsid w:val="001367D9"/>
    <w:rsid w:val="00136BC5"/>
    <w:rsid w:val="001373FB"/>
    <w:rsid w:val="0013740E"/>
    <w:rsid w:val="001375E3"/>
    <w:rsid w:val="001379C6"/>
    <w:rsid w:val="00137A75"/>
    <w:rsid w:val="00137AFC"/>
    <w:rsid w:val="00137E68"/>
    <w:rsid w:val="001401E8"/>
    <w:rsid w:val="00140CD7"/>
    <w:rsid w:val="00140D48"/>
    <w:rsid w:val="00141B15"/>
    <w:rsid w:val="00141C5D"/>
    <w:rsid w:val="00141E90"/>
    <w:rsid w:val="00142187"/>
    <w:rsid w:val="001421CE"/>
    <w:rsid w:val="00142239"/>
    <w:rsid w:val="00142D80"/>
    <w:rsid w:val="00143836"/>
    <w:rsid w:val="00143891"/>
    <w:rsid w:val="001439FE"/>
    <w:rsid w:val="001441C8"/>
    <w:rsid w:val="00144247"/>
    <w:rsid w:val="00144359"/>
    <w:rsid w:val="001447B8"/>
    <w:rsid w:val="00144AE9"/>
    <w:rsid w:val="001453A4"/>
    <w:rsid w:val="001458B3"/>
    <w:rsid w:val="00146257"/>
    <w:rsid w:val="00146464"/>
    <w:rsid w:val="00146EA3"/>
    <w:rsid w:val="00150AF6"/>
    <w:rsid w:val="00150ED9"/>
    <w:rsid w:val="001511A1"/>
    <w:rsid w:val="00151C49"/>
    <w:rsid w:val="0015226F"/>
    <w:rsid w:val="00152A1C"/>
    <w:rsid w:val="00154D47"/>
    <w:rsid w:val="001554A7"/>
    <w:rsid w:val="00155E15"/>
    <w:rsid w:val="00156D54"/>
    <w:rsid w:val="00157980"/>
    <w:rsid w:val="001579CB"/>
    <w:rsid w:val="00157D3F"/>
    <w:rsid w:val="0016116A"/>
    <w:rsid w:val="0016140A"/>
    <w:rsid w:val="0016171E"/>
    <w:rsid w:val="00162355"/>
    <w:rsid w:val="0016239F"/>
    <w:rsid w:val="001624B2"/>
    <w:rsid w:val="00162844"/>
    <w:rsid w:val="0016290F"/>
    <w:rsid w:val="00162B88"/>
    <w:rsid w:val="001632D0"/>
    <w:rsid w:val="00163414"/>
    <w:rsid w:val="001637F2"/>
    <w:rsid w:val="001639AC"/>
    <w:rsid w:val="00164B2E"/>
    <w:rsid w:val="00164C66"/>
    <w:rsid w:val="00164ED8"/>
    <w:rsid w:val="00164EF6"/>
    <w:rsid w:val="00165248"/>
    <w:rsid w:val="00165CB7"/>
    <w:rsid w:val="001662E8"/>
    <w:rsid w:val="00166E1C"/>
    <w:rsid w:val="00167780"/>
    <w:rsid w:val="001677AD"/>
    <w:rsid w:val="00167EDE"/>
    <w:rsid w:val="00167FAD"/>
    <w:rsid w:val="0017058A"/>
    <w:rsid w:val="00171438"/>
    <w:rsid w:val="001715F0"/>
    <w:rsid w:val="0017192D"/>
    <w:rsid w:val="001727DE"/>
    <w:rsid w:val="0017286B"/>
    <w:rsid w:val="00172AA3"/>
    <w:rsid w:val="00172B44"/>
    <w:rsid w:val="0017325A"/>
    <w:rsid w:val="001738F7"/>
    <w:rsid w:val="00174015"/>
    <w:rsid w:val="001742B6"/>
    <w:rsid w:val="0017480B"/>
    <w:rsid w:val="00175071"/>
    <w:rsid w:val="00175CDD"/>
    <w:rsid w:val="001763B4"/>
    <w:rsid w:val="0017645D"/>
    <w:rsid w:val="00176491"/>
    <w:rsid w:val="0017792A"/>
    <w:rsid w:val="00177E46"/>
    <w:rsid w:val="00180533"/>
    <w:rsid w:val="001806E6"/>
    <w:rsid w:val="00180B47"/>
    <w:rsid w:val="001815F1"/>
    <w:rsid w:val="00181A71"/>
    <w:rsid w:val="00182229"/>
    <w:rsid w:val="00182285"/>
    <w:rsid w:val="0018259A"/>
    <w:rsid w:val="00182757"/>
    <w:rsid w:val="001829F4"/>
    <w:rsid w:val="00182A2A"/>
    <w:rsid w:val="00182AA9"/>
    <w:rsid w:val="00182B07"/>
    <w:rsid w:val="00182DCE"/>
    <w:rsid w:val="00183EFB"/>
    <w:rsid w:val="00184578"/>
    <w:rsid w:val="00184B26"/>
    <w:rsid w:val="00184CDF"/>
    <w:rsid w:val="0018545B"/>
    <w:rsid w:val="0018559D"/>
    <w:rsid w:val="001855C0"/>
    <w:rsid w:val="00185FFB"/>
    <w:rsid w:val="001868FB"/>
    <w:rsid w:val="00187117"/>
    <w:rsid w:val="001873DC"/>
    <w:rsid w:val="001877E5"/>
    <w:rsid w:val="00187F2A"/>
    <w:rsid w:val="00190AD0"/>
    <w:rsid w:val="0019107C"/>
    <w:rsid w:val="001917D0"/>
    <w:rsid w:val="00192EF5"/>
    <w:rsid w:val="001931C3"/>
    <w:rsid w:val="0019349F"/>
    <w:rsid w:val="00193510"/>
    <w:rsid w:val="00193877"/>
    <w:rsid w:val="00194421"/>
    <w:rsid w:val="0019508B"/>
    <w:rsid w:val="0019530D"/>
    <w:rsid w:val="00195567"/>
    <w:rsid w:val="00195C0E"/>
    <w:rsid w:val="00195CE4"/>
    <w:rsid w:val="001966CC"/>
    <w:rsid w:val="00196B94"/>
    <w:rsid w:val="00196C58"/>
    <w:rsid w:val="001970E6"/>
    <w:rsid w:val="0019758B"/>
    <w:rsid w:val="00197BA4"/>
    <w:rsid w:val="00197EAA"/>
    <w:rsid w:val="001A02A0"/>
    <w:rsid w:val="001A038E"/>
    <w:rsid w:val="001A03E4"/>
    <w:rsid w:val="001A0A39"/>
    <w:rsid w:val="001A0AA6"/>
    <w:rsid w:val="001A258C"/>
    <w:rsid w:val="001A27A5"/>
    <w:rsid w:val="001A3A75"/>
    <w:rsid w:val="001A4079"/>
    <w:rsid w:val="001A44F0"/>
    <w:rsid w:val="001A508E"/>
    <w:rsid w:val="001A53BD"/>
    <w:rsid w:val="001A5E3E"/>
    <w:rsid w:val="001A606F"/>
    <w:rsid w:val="001A6676"/>
    <w:rsid w:val="001A6B94"/>
    <w:rsid w:val="001A71B1"/>
    <w:rsid w:val="001A7776"/>
    <w:rsid w:val="001A78E5"/>
    <w:rsid w:val="001A7AC6"/>
    <w:rsid w:val="001B0260"/>
    <w:rsid w:val="001B0632"/>
    <w:rsid w:val="001B11B8"/>
    <w:rsid w:val="001B1597"/>
    <w:rsid w:val="001B1AEA"/>
    <w:rsid w:val="001B1C71"/>
    <w:rsid w:val="001B2609"/>
    <w:rsid w:val="001B286C"/>
    <w:rsid w:val="001B3268"/>
    <w:rsid w:val="001B3624"/>
    <w:rsid w:val="001B37C9"/>
    <w:rsid w:val="001B4222"/>
    <w:rsid w:val="001B480A"/>
    <w:rsid w:val="001B558D"/>
    <w:rsid w:val="001B6263"/>
    <w:rsid w:val="001B631E"/>
    <w:rsid w:val="001B7457"/>
    <w:rsid w:val="001B7EFC"/>
    <w:rsid w:val="001C03A5"/>
    <w:rsid w:val="001C09AD"/>
    <w:rsid w:val="001C19CC"/>
    <w:rsid w:val="001C1F66"/>
    <w:rsid w:val="001C2C1B"/>
    <w:rsid w:val="001C2CF1"/>
    <w:rsid w:val="001C3DA6"/>
    <w:rsid w:val="001C44F1"/>
    <w:rsid w:val="001C4600"/>
    <w:rsid w:val="001C47E8"/>
    <w:rsid w:val="001C4C05"/>
    <w:rsid w:val="001C517C"/>
    <w:rsid w:val="001C591E"/>
    <w:rsid w:val="001C5BD0"/>
    <w:rsid w:val="001C5F07"/>
    <w:rsid w:val="001C6634"/>
    <w:rsid w:val="001C6C3C"/>
    <w:rsid w:val="001C702D"/>
    <w:rsid w:val="001C75B7"/>
    <w:rsid w:val="001C781D"/>
    <w:rsid w:val="001C7F08"/>
    <w:rsid w:val="001D0E56"/>
    <w:rsid w:val="001D0EDA"/>
    <w:rsid w:val="001D14A3"/>
    <w:rsid w:val="001D18CB"/>
    <w:rsid w:val="001D1D0D"/>
    <w:rsid w:val="001D21A8"/>
    <w:rsid w:val="001D3F03"/>
    <w:rsid w:val="001D41BE"/>
    <w:rsid w:val="001D4E33"/>
    <w:rsid w:val="001D4F4C"/>
    <w:rsid w:val="001D54E5"/>
    <w:rsid w:val="001D5526"/>
    <w:rsid w:val="001D6989"/>
    <w:rsid w:val="001D6A6C"/>
    <w:rsid w:val="001D6B72"/>
    <w:rsid w:val="001D6C70"/>
    <w:rsid w:val="001D6E0B"/>
    <w:rsid w:val="001D6E36"/>
    <w:rsid w:val="001D74CD"/>
    <w:rsid w:val="001D7771"/>
    <w:rsid w:val="001D7CA3"/>
    <w:rsid w:val="001E00E7"/>
    <w:rsid w:val="001E04B7"/>
    <w:rsid w:val="001E07C1"/>
    <w:rsid w:val="001E0D98"/>
    <w:rsid w:val="001E10DA"/>
    <w:rsid w:val="001E12FA"/>
    <w:rsid w:val="001E15A5"/>
    <w:rsid w:val="001E2396"/>
    <w:rsid w:val="001E2B76"/>
    <w:rsid w:val="001E2F62"/>
    <w:rsid w:val="001E31DC"/>
    <w:rsid w:val="001E33B4"/>
    <w:rsid w:val="001E393A"/>
    <w:rsid w:val="001E4141"/>
    <w:rsid w:val="001E47C9"/>
    <w:rsid w:val="001E48C0"/>
    <w:rsid w:val="001E48CE"/>
    <w:rsid w:val="001E4CFB"/>
    <w:rsid w:val="001E4E98"/>
    <w:rsid w:val="001E5102"/>
    <w:rsid w:val="001E5AB9"/>
    <w:rsid w:val="001E6362"/>
    <w:rsid w:val="001E65F8"/>
    <w:rsid w:val="001E6933"/>
    <w:rsid w:val="001E6C20"/>
    <w:rsid w:val="001E732F"/>
    <w:rsid w:val="001E7A79"/>
    <w:rsid w:val="001F007D"/>
    <w:rsid w:val="001F0195"/>
    <w:rsid w:val="001F0245"/>
    <w:rsid w:val="001F0256"/>
    <w:rsid w:val="001F0D07"/>
    <w:rsid w:val="001F0F41"/>
    <w:rsid w:val="001F1976"/>
    <w:rsid w:val="001F1A0E"/>
    <w:rsid w:val="001F1AF8"/>
    <w:rsid w:val="001F22F8"/>
    <w:rsid w:val="001F2B22"/>
    <w:rsid w:val="001F2F93"/>
    <w:rsid w:val="001F38A4"/>
    <w:rsid w:val="001F4580"/>
    <w:rsid w:val="001F4724"/>
    <w:rsid w:val="001F4D73"/>
    <w:rsid w:val="001F4FDC"/>
    <w:rsid w:val="001F5629"/>
    <w:rsid w:val="001F56C1"/>
    <w:rsid w:val="001F6209"/>
    <w:rsid w:val="001F66B0"/>
    <w:rsid w:val="001F6CEC"/>
    <w:rsid w:val="001F72A4"/>
    <w:rsid w:val="001F77EB"/>
    <w:rsid w:val="001F7AB5"/>
    <w:rsid w:val="001F7BF6"/>
    <w:rsid w:val="002001D7"/>
    <w:rsid w:val="0020043A"/>
    <w:rsid w:val="00201E5E"/>
    <w:rsid w:val="0020236F"/>
    <w:rsid w:val="002024BE"/>
    <w:rsid w:val="00202519"/>
    <w:rsid w:val="002027CA"/>
    <w:rsid w:val="00202967"/>
    <w:rsid w:val="00202AFD"/>
    <w:rsid w:val="00202B29"/>
    <w:rsid w:val="00202F11"/>
    <w:rsid w:val="002037BF"/>
    <w:rsid w:val="0020388F"/>
    <w:rsid w:val="00204641"/>
    <w:rsid w:val="002048F7"/>
    <w:rsid w:val="00204A58"/>
    <w:rsid w:val="0020503B"/>
    <w:rsid w:val="00206566"/>
    <w:rsid w:val="00206B41"/>
    <w:rsid w:val="00206CAF"/>
    <w:rsid w:val="00207E70"/>
    <w:rsid w:val="002105D5"/>
    <w:rsid w:val="00210FA8"/>
    <w:rsid w:val="00211050"/>
    <w:rsid w:val="00211A7D"/>
    <w:rsid w:val="00212498"/>
    <w:rsid w:val="002134F7"/>
    <w:rsid w:val="00213BF2"/>
    <w:rsid w:val="00213E33"/>
    <w:rsid w:val="00214362"/>
    <w:rsid w:val="00215445"/>
    <w:rsid w:val="0021586A"/>
    <w:rsid w:val="002161C1"/>
    <w:rsid w:val="0021635C"/>
    <w:rsid w:val="002163F7"/>
    <w:rsid w:val="00216AF4"/>
    <w:rsid w:val="00216BB2"/>
    <w:rsid w:val="00216C66"/>
    <w:rsid w:val="00216F80"/>
    <w:rsid w:val="002175CD"/>
    <w:rsid w:val="00217888"/>
    <w:rsid w:val="00217944"/>
    <w:rsid w:val="00217B8C"/>
    <w:rsid w:val="00220814"/>
    <w:rsid w:val="002208C6"/>
    <w:rsid w:val="00221C59"/>
    <w:rsid w:val="00221FD0"/>
    <w:rsid w:val="00223B3E"/>
    <w:rsid w:val="00224021"/>
    <w:rsid w:val="002240B8"/>
    <w:rsid w:val="00224149"/>
    <w:rsid w:val="00224887"/>
    <w:rsid w:val="00224942"/>
    <w:rsid w:val="00224F25"/>
    <w:rsid w:val="002253B4"/>
    <w:rsid w:val="00225E0E"/>
    <w:rsid w:val="002263C3"/>
    <w:rsid w:val="0022765D"/>
    <w:rsid w:val="00227826"/>
    <w:rsid w:val="00227F84"/>
    <w:rsid w:val="00230832"/>
    <w:rsid w:val="00230ACB"/>
    <w:rsid w:val="00230AD9"/>
    <w:rsid w:val="00231353"/>
    <w:rsid w:val="0023138E"/>
    <w:rsid w:val="002316B8"/>
    <w:rsid w:val="00231999"/>
    <w:rsid w:val="002324B0"/>
    <w:rsid w:val="00232E93"/>
    <w:rsid w:val="00233043"/>
    <w:rsid w:val="00233C6C"/>
    <w:rsid w:val="00234024"/>
    <w:rsid w:val="002345D3"/>
    <w:rsid w:val="0023488E"/>
    <w:rsid w:val="002350D0"/>
    <w:rsid w:val="002359E8"/>
    <w:rsid w:val="002359F8"/>
    <w:rsid w:val="00235B1F"/>
    <w:rsid w:val="00235BFB"/>
    <w:rsid w:val="00236133"/>
    <w:rsid w:val="0023635E"/>
    <w:rsid w:val="00236364"/>
    <w:rsid w:val="002368CA"/>
    <w:rsid w:val="002368F7"/>
    <w:rsid w:val="002371E3"/>
    <w:rsid w:val="00237663"/>
    <w:rsid w:val="002378DF"/>
    <w:rsid w:val="002405A2"/>
    <w:rsid w:val="00240688"/>
    <w:rsid w:val="00240979"/>
    <w:rsid w:val="00240D0D"/>
    <w:rsid w:val="0024130D"/>
    <w:rsid w:val="002416B8"/>
    <w:rsid w:val="00241BDD"/>
    <w:rsid w:val="00241DE3"/>
    <w:rsid w:val="00242166"/>
    <w:rsid w:val="00243290"/>
    <w:rsid w:val="00243C05"/>
    <w:rsid w:val="00243D63"/>
    <w:rsid w:val="002448F7"/>
    <w:rsid w:val="00244EEE"/>
    <w:rsid w:val="00244FD7"/>
    <w:rsid w:val="00244FD9"/>
    <w:rsid w:val="0024502A"/>
    <w:rsid w:val="002456DB"/>
    <w:rsid w:val="00245877"/>
    <w:rsid w:val="00245C8D"/>
    <w:rsid w:val="00246494"/>
    <w:rsid w:val="002467DF"/>
    <w:rsid w:val="00246800"/>
    <w:rsid w:val="00246B54"/>
    <w:rsid w:val="00250021"/>
    <w:rsid w:val="002511C9"/>
    <w:rsid w:val="002520AF"/>
    <w:rsid w:val="0025261C"/>
    <w:rsid w:val="002536CC"/>
    <w:rsid w:val="00253A02"/>
    <w:rsid w:val="002543B4"/>
    <w:rsid w:val="00254F46"/>
    <w:rsid w:val="00256192"/>
    <w:rsid w:val="00256AAB"/>
    <w:rsid w:val="00257F32"/>
    <w:rsid w:val="0026057A"/>
    <w:rsid w:val="002608B1"/>
    <w:rsid w:val="00260D3B"/>
    <w:rsid w:val="00261842"/>
    <w:rsid w:val="00261954"/>
    <w:rsid w:val="0026198B"/>
    <w:rsid w:val="00262956"/>
    <w:rsid w:val="00262A31"/>
    <w:rsid w:val="00263A30"/>
    <w:rsid w:val="00263D0F"/>
    <w:rsid w:val="00263DA1"/>
    <w:rsid w:val="002645B5"/>
    <w:rsid w:val="002646F2"/>
    <w:rsid w:val="00264A4C"/>
    <w:rsid w:val="00264D75"/>
    <w:rsid w:val="0026558D"/>
    <w:rsid w:val="0026589E"/>
    <w:rsid w:val="00265934"/>
    <w:rsid w:val="00265A6A"/>
    <w:rsid w:val="00265E93"/>
    <w:rsid w:val="00266009"/>
    <w:rsid w:val="002660D7"/>
    <w:rsid w:val="002662EF"/>
    <w:rsid w:val="002679E9"/>
    <w:rsid w:val="0027082D"/>
    <w:rsid w:val="00270A7C"/>
    <w:rsid w:val="00271319"/>
    <w:rsid w:val="00271AA9"/>
    <w:rsid w:val="00271ACC"/>
    <w:rsid w:val="00271D4D"/>
    <w:rsid w:val="00272840"/>
    <w:rsid w:val="00272C2B"/>
    <w:rsid w:val="00272D5B"/>
    <w:rsid w:val="00272D61"/>
    <w:rsid w:val="00273F5E"/>
    <w:rsid w:val="0027443B"/>
    <w:rsid w:val="00274C41"/>
    <w:rsid w:val="00274EAA"/>
    <w:rsid w:val="00275148"/>
    <w:rsid w:val="002759AD"/>
    <w:rsid w:val="00275A9C"/>
    <w:rsid w:val="002761BF"/>
    <w:rsid w:val="00276360"/>
    <w:rsid w:val="00276975"/>
    <w:rsid w:val="00277DEB"/>
    <w:rsid w:val="00277F0D"/>
    <w:rsid w:val="0028089E"/>
    <w:rsid w:val="00280CCF"/>
    <w:rsid w:val="00280D21"/>
    <w:rsid w:val="00281B74"/>
    <w:rsid w:val="00281F73"/>
    <w:rsid w:val="002822FC"/>
    <w:rsid w:val="0028246A"/>
    <w:rsid w:val="00282744"/>
    <w:rsid w:val="00282883"/>
    <w:rsid w:val="002829EE"/>
    <w:rsid w:val="00282F2C"/>
    <w:rsid w:val="002837E0"/>
    <w:rsid w:val="002847E8"/>
    <w:rsid w:val="00284BBC"/>
    <w:rsid w:val="00285261"/>
    <w:rsid w:val="00285552"/>
    <w:rsid w:val="0028577C"/>
    <w:rsid w:val="0028596A"/>
    <w:rsid w:val="00285E96"/>
    <w:rsid w:val="00285F84"/>
    <w:rsid w:val="00286022"/>
    <w:rsid w:val="00286773"/>
    <w:rsid w:val="00286890"/>
    <w:rsid w:val="00286AC8"/>
    <w:rsid w:val="00286B5D"/>
    <w:rsid w:val="00290A4A"/>
    <w:rsid w:val="00291334"/>
    <w:rsid w:val="00291C4E"/>
    <w:rsid w:val="00291F32"/>
    <w:rsid w:val="00292026"/>
    <w:rsid w:val="002927D1"/>
    <w:rsid w:val="002932AE"/>
    <w:rsid w:val="002934DD"/>
    <w:rsid w:val="002942F7"/>
    <w:rsid w:val="002943E7"/>
    <w:rsid w:val="00294860"/>
    <w:rsid w:val="002957A1"/>
    <w:rsid w:val="00295B57"/>
    <w:rsid w:val="00296032"/>
    <w:rsid w:val="002962EC"/>
    <w:rsid w:val="00296369"/>
    <w:rsid w:val="00296539"/>
    <w:rsid w:val="00296990"/>
    <w:rsid w:val="00296E30"/>
    <w:rsid w:val="00297AF0"/>
    <w:rsid w:val="00297EFA"/>
    <w:rsid w:val="002A130D"/>
    <w:rsid w:val="002A166A"/>
    <w:rsid w:val="002A18DC"/>
    <w:rsid w:val="002A2FD0"/>
    <w:rsid w:val="002A3A71"/>
    <w:rsid w:val="002A3EFC"/>
    <w:rsid w:val="002A402C"/>
    <w:rsid w:val="002A4325"/>
    <w:rsid w:val="002A4E2F"/>
    <w:rsid w:val="002A4EB0"/>
    <w:rsid w:val="002A5808"/>
    <w:rsid w:val="002A5B3A"/>
    <w:rsid w:val="002A5B48"/>
    <w:rsid w:val="002A5B96"/>
    <w:rsid w:val="002A5E00"/>
    <w:rsid w:val="002A6DE2"/>
    <w:rsid w:val="002A74D8"/>
    <w:rsid w:val="002A768C"/>
    <w:rsid w:val="002A78EA"/>
    <w:rsid w:val="002A7E09"/>
    <w:rsid w:val="002B04D0"/>
    <w:rsid w:val="002B05DE"/>
    <w:rsid w:val="002B0ABC"/>
    <w:rsid w:val="002B0BD6"/>
    <w:rsid w:val="002B1275"/>
    <w:rsid w:val="002B2464"/>
    <w:rsid w:val="002B2844"/>
    <w:rsid w:val="002B31A3"/>
    <w:rsid w:val="002B33D3"/>
    <w:rsid w:val="002B4031"/>
    <w:rsid w:val="002B478E"/>
    <w:rsid w:val="002B4C2C"/>
    <w:rsid w:val="002B4D3C"/>
    <w:rsid w:val="002B52B8"/>
    <w:rsid w:val="002B5C78"/>
    <w:rsid w:val="002B6037"/>
    <w:rsid w:val="002B67B8"/>
    <w:rsid w:val="002B700A"/>
    <w:rsid w:val="002B7343"/>
    <w:rsid w:val="002B756B"/>
    <w:rsid w:val="002C1407"/>
    <w:rsid w:val="002C1713"/>
    <w:rsid w:val="002C2058"/>
    <w:rsid w:val="002C2607"/>
    <w:rsid w:val="002C2682"/>
    <w:rsid w:val="002C2F35"/>
    <w:rsid w:val="002C36A5"/>
    <w:rsid w:val="002C38F3"/>
    <w:rsid w:val="002C43A9"/>
    <w:rsid w:val="002C4D48"/>
    <w:rsid w:val="002C531B"/>
    <w:rsid w:val="002C53F8"/>
    <w:rsid w:val="002C5946"/>
    <w:rsid w:val="002C5B91"/>
    <w:rsid w:val="002C5E31"/>
    <w:rsid w:val="002C6CC0"/>
    <w:rsid w:val="002C6F45"/>
    <w:rsid w:val="002C756E"/>
    <w:rsid w:val="002C75E4"/>
    <w:rsid w:val="002D08AB"/>
    <w:rsid w:val="002D0C82"/>
    <w:rsid w:val="002D0F25"/>
    <w:rsid w:val="002D14DD"/>
    <w:rsid w:val="002D23C3"/>
    <w:rsid w:val="002D26F6"/>
    <w:rsid w:val="002D2BA2"/>
    <w:rsid w:val="002D2D59"/>
    <w:rsid w:val="002D33E9"/>
    <w:rsid w:val="002D35CE"/>
    <w:rsid w:val="002D361B"/>
    <w:rsid w:val="002D3EC6"/>
    <w:rsid w:val="002D422C"/>
    <w:rsid w:val="002D44EE"/>
    <w:rsid w:val="002D4EB0"/>
    <w:rsid w:val="002D4F9F"/>
    <w:rsid w:val="002D504D"/>
    <w:rsid w:val="002D581D"/>
    <w:rsid w:val="002D6F9E"/>
    <w:rsid w:val="002D7404"/>
    <w:rsid w:val="002D7AC6"/>
    <w:rsid w:val="002D7E0E"/>
    <w:rsid w:val="002E015D"/>
    <w:rsid w:val="002E1F9F"/>
    <w:rsid w:val="002E28A3"/>
    <w:rsid w:val="002E2F2B"/>
    <w:rsid w:val="002E34DF"/>
    <w:rsid w:val="002E4056"/>
    <w:rsid w:val="002E4533"/>
    <w:rsid w:val="002E53E8"/>
    <w:rsid w:val="002E5477"/>
    <w:rsid w:val="002E5854"/>
    <w:rsid w:val="002E67F1"/>
    <w:rsid w:val="002E6D97"/>
    <w:rsid w:val="002E7CDA"/>
    <w:rsid w:val="002F0658"/>
    <w:rsid w:val="002F0A76"/>
    <w:rsid w:val="002F0F3B"/>
    <w:rsid w:val="002F22E9"/>
    <w:rsid w:val="002F2367"/>
    <w:rsid w:val="002F23DC"/>
    <w:rsid w:val="002F2FAC"/>
    <w:rsid w:val="002F3075"/>
    <w:rsid w:val="002F4A16"/>
    <w:rsid w:val="002F4E2B"/>
    <w:rsid w:val="002F4F7B"/>
    <w:rsid w:val="002F51B9"/>
    <w:rsid w:val="002F51F9"/>
    <w:rsid w:val="002F5511"/>
    <w:rsid w:val="002F59D1"/>
    <w:rsid w:val="002F694D"/>
    <w:rsid w:val="002F6DBB"/>
    <w:rsid w:val="002F7C12"/>
    <w:rsid w:val="00300D23"/>
    <w:rsid w:val="00301469"/>
    <w:rsid w:val="00301D8B"/>
    <w:rsid w:val="003025EB"/>
    <w:rsid w:val="00302B6F"/>
    <w:rsid w:val="00302F4D"/>
    <w:rsid w:val="003037DD"/>
    <w:rsid w:val="00303FC8"/>
    <w:rsid w:val="003042BC"/>
    <w:rsid w:val="00304507"/>
    <w:rsid w:val="003045FB"/>
    <w:rsid w:val="00304722"/>
    <w:rsid w:val="00304D2B"/>
    <w:rsid w:val="00304FDF"/>
    <w:rsid w:val="0030520C"/>
    <w:rsid w:val="003055BB"/>
    <w:rsid w:val="003066B1"/>
    <w:rsid w:val="003076FC"/>
    <w:rsid w:val="003077E9"/>
    <w:rsid w:val="00312FF3"/>
    <w:rsid w:val="003132DF"/>
    <w:rsid w:val="00313514"/>
    <w:rsid w:val="00313828"/>
    <w:rsid w:val="0031420D"/>
    <w:rsid w:val="0031477A"/>
    <w:rsid w:val="00314B34"/>
    <w:rsid w:val="00314DAC"/>
    <w:rsid w:val="00314F75"/>
    <w:rsid w:val="00315022"/>
    <w:rsid w:val="003151BA"/>
    <w:rsid w:val="00316B2E"/>
    <w:rsid w:val="00316B44"/>
    <w:rsid w:val="00316DE1"/>
    <w:rsid w:val="00316ED7"/>
    <w:rsid w:val="003172FD"/>
    <w:rsid w:val="0031733F"/>
    <w:rsid w:val="00317EC9"/>
    <w:rsid w:val="003202AB"/>
    <w:rsid w:val="003202B5"/>
    <w:rsid w:val="00321028"/>
    <w:rsid w:val="003210F3"/>
    <w:rsid w:val="00321479"/>
    <w:rsid w:val="003217D9"/>
    <w:rsid w:val="00321A56"/>
    <w:rsid w:val="00321E5D"/>
    <w:rsid w:val="00323B8E"/>
    <w:rsid w:val="00323C80"/>
    <w:rsid w:val="00324883"/>
    <w:rsid w:val="00324999"/>
    <w:rsid w:val="00324E7B"/>
    <w:rsid w:val="00325342"/>
    <w:rsid w:val="00325911"/>
    <w:rsid w:val="00325B79"/>
    <w:rsid w:val="00325BB1"/>
    <w:rsid w:val="003260D1"/>
    <w:rsid w:val="00326259"/>
    <w:rsid w:val="0032676D"/>
    <w:rsid w:val="0032749E"/>
    <w:rsid w:val="003274B8"/>
    <w:rsid w:val="00327B62"/>
    <w:rsid w:val="0033026D"/>
    <w:rsid w:val="0033051C"/>
    <w:rsid w:val="003309C4"/>
    <w:rsid w:val="00330F3A"/>
    <w:rsid w:val="0033133C"/>
    <w:rsid w:val="003313C5"/>
    <w:rsid w:val="003315D5"/>
    <w:rsid w:val="0033238C"/>
    <w:rsid w:val="00332A31"/>
    <w:rsid w:val="00333426"/>
    <w:rsid w:val="003340DA"/>
    <w:rsid w:val="00334C9B"/>
    <w:rsid w:val="00334EA5"/>
    <w:rsid w:val="003351C7"/>
    <w:rsid w:val="003359AE"/>
    <w:rsid w:val="00336A50"/>
    <w:rsid w:val="00336DEA"/>
    <w:rsid w:val="00336F26"/>
    <w:rsid w:val="003374D6"/>
    <w:rsid w:val="00340098"/>
    <w:rsid w:val="00340DD9"/>
    <w:rsid w:val="003412A2"/>
    <w:rsid w:val="00341A6A"/>
    <w:rsid w:val="003420F4"/>
    <w:rsid w:val="003425FC"/>
    <w:rsid w:val="00342C5E"/>
    <w:rsid w:val="00342D7E"/>
    <w:rsid w:val="00342DAC"/>
    <w:rsid w:val="00343420"/>
    <w:rsid w:val="00344478"/>
    <w:rsid w:val="003446FE"/>
    <w:rsid w:val="00344B60"/>
    <w:rsid w:val="00344FD5"/>
    <w:rsid w:val="00345851"/>
    <w:rsid w:val="003459B3"/>
    <w:rsid w:val="003462E1"/>
    <w:rsid w:val="00346611"/>
    <w:rsid w:val="00346911"/>
    <w:rsid w:val="00346996"/>
    <w:rsid w:val="003469CB"/>
    <w:rsid w:val="00347111"/>
    <w:rsid w:val="00347563"/>
    <w:rsid w:val="00347D1C"/>
    <w:rsid w:val="00350518"/>
    <w:rsid w:val="00350E94"/>
    <w:rsid w:val="0035127E"/>
    <w:rsid w:val="0035203B"/>
    <w:rsid w:val="00352668"/>
    <w:rsid w:val="00352936"/>
    <w:rsid w:val="0035319C"/>
    <w:rsid w:val="00355321"/>
    <w:rsid w:val="00355D22"/>
    <w:rsid w:val="003561D9"/>
    <w:rsid w:val="0035637D"/>
    <w:rsid w:val="00356572"/>
    <w:rsid w:val="00356DA7"/>
    <w:rsid w:val="00356EE8"/>
    <w:rsid w:val="00357719"/>
    <w:rsid w:val="00357872"/>
    <w:rsid w:val="00357C9E"/>
    <w:rsid w:val="00357F22"/>
    <w:rsid w:val="00361132"/>
    <w:rsid w:val="0036140D"/>
    <w:rsid w:val="00362193"/>
    <w:rsid w:val="00362D46"/>
    <w:rsid w:val="00362F21"/>
    <w:rsid w:val="003634AA"/>
    <w:rsid w:val="00364197"/>
    <w:rsid w:val="003642C7"/>
    <w:rsid w:val="003646D3"/>
    <w:rsid w:val="00365F8D"/>
    <w:rsid w:val="0036643F"/>
    <w:rsid w:val="00366453"/>
    <w:rsid w:val="003669A9"/>
    <w:rsid w:val="00366A7F"/>
    <w:rsid w:val="00366B1D"/>
    <w:rsid w:val="003676C6"/>
    <w:rsid w:val="00367A15"/>
    <w:rsid w:val="00367DCD"/>
    <w:rsid w:val="003705F0"/>
    <w:rsid w:val="00370632"/>
    <w:rsid w:val="003714E9"/>
    <w:rsid w:val="00372408"/>
    <w:rsid w:val="00372CFB"/>
    <w:rsid w:val="00373521"/>
    <w:rsid w:val="0037352D"/>
    <w:rsid w:val="0037354C"/>
    <w:rsid w:val="00373871"/>
    <w:rsid w:val="00373960"/>
    <w:rsid w:val="00373AE6"/>
    <w:rsid w:val="003741E3"/>
    <w:rsid w:val="0037498F"/>
    <w:rsid w:val="00374BAF"/>
    <w:rsid w:val="00375596"/>
    <w:rsid w:val="00375798"/>
    <w:rsid w:val="003770B2"/>
    <w:rsid w:val="003777D3"/>
    <w:rsid w:val="00377ADE"/>
    <w:rsid w:val="00377DFD"/>
    <w:rsid w:val="003803F6"/>
    <w:rsid w:val="00380DD4"/>
    <w:rsid w:val="00380EAD"/>
    <w:rsid w:val="0038103D"/>
    <w:rsid w:val="0038150D"/>
    <w:rsid w:val="00381580"/>
    <w:rsid w:val="003816E0"/>
    <w:rsid w:val="00381921"/>
    <w:rsid w:val="00381D54"/>
    <w:rsid w:val="00382893"/>
    <w:rsid w:val="003828B1"/>
    <w:rsid w:val="00382A2B"/>
    <w:rsid w:val="00382AF9"/>
    <w:rsid w:val="00385082"/>
    <w:rsid w:val="0038518E"/>
    <w:rsid w:val="00385209"/>
    <w:rsid w:val="00386055"/>
    <w:rsid w:val="00386129"/>
    <w:rsid w:val="00386382"/>
    <w:rsid w:val="003875B9"/>
    <w:rsid w:val="00387C30"/>
    <w:rsid w:val="00390E74"/>
    <w:rsid w:val="00390F5D"/>
    <w:rsid w:val="003915C6"/>
    <w:rsid w:val="0039173D"/>
    <w:rsid w:val="00391F17"/>
    <w:rsid w:val="00392419"/>
    <w:rsid w:val="00392548"/>
    <w:rsid w:val="003925D0"/>
    <w:rsid w:val="00392782"/>
    <w:rsid w:val="00392B6E"/>
    <w:rsid w:val="00392F3E"/>
    <w:rsid w:val="003932D2"/>
    <w:rsid w:val="003937D0"/>
    <w:rsid w:val="00393B8B"/>
    <w:rsid w:val="00393FE7"/>
    <w:rsid w:val="0039482F"/>
    <w:rsid w:val="00394CD0"/>
    <w:rsid w:val="00394D71"/>
    <w:rsid w:val="00394FD8"/>
    <w:rsid w:val="00395DCC"/>
    <w:rsid w:val="00396198"/>
    <w:rsid w:val="00396317"/>
    <w:rsid w:val="003968DE"/>
    <w:rsid w:val="00396BF0"/>
    <w:rsid w:val="00397657"/>
    <w:rsid w:val="0039784C"/>
    <w:rsid w:val="003A055E"/>
    <w:rsid w:val="003A0672"/>
    <w:rsid w:val="003A0790"/>
    <w:rsid w:val="003A132D"/>
    <w:rsid w:val="003A1D7C"/>
    <w:rsid w:val="003A2598"/>
    <w:rsid w:val="003A35FA"/>
    <w:rsid w:val="003A3700"/>
    <w:rsid w:val="003A375D"/>
    <w:rsid w:val="003A3A8F"/>
    <w:rsid w:val="003A4024"/>
    <w:rsid w:val="003A41B4"/>
    <w:rsid w:val="003A4D0F"/>
    <w:rsid w:val="003A4F0B"/>
    <w:rsid w:val="003A551F"/>
    <w:rsid w:val="003A583B"/>
    <w:rsid w:val="003A5B27"/>
    <w:rsid w:val="003A6442"/>
    <w:rsid w:val="003A6CF1"/>
    <w:rsid w:val="003A6EB2"/>
    <w:rsid w:val="003A7AAC"/>
    <w:rsid w:val="003A7B21"/>
    <w:rsid w:val="003A7DD3"/>
    <w:rsid w:val="003B0146"/>
    <w:rsid w:val="003B021A"/>
    <w:rsid w:val="003B05BB"/>
    <w:rsid w:val="003B09E2"/>
    <w:rsid w:val="003B198D"/>
    <w:rsid w:val="003B1E8F"/>
    <w:rsid w:val="003B1EF5"/>
    <w:rsid w:val="003B2BCE"/>
    <w:rsid w:val="003B2C2B"/>
    <w:rsid w:val="003B33A8"/>
    <w:rsid w:val="003B4062"/>
    <w:rsid w:val="003B434D"/>
    <w:rsid w:val="003B44D7"/>
    <w:rsid w:val="003B47AC"/>
    <w:rsid w:val="003B54C1"/>
    <w:rsid w:val="003B5D1C"/>
    <w:rsid w:val="003B5FA2"/>
    <w:rsid w:val="003B60CD"/>
    <w:rsid w:val="003B6A90"/>
    <w:rsid w:val="003B6E3E"/>
    <w:rsid w:val="003B7042"/>
    <w:rsid w:val="003B727B"/>
    <w:rsid w:val="003C0B9B"/>
    <w:rsid w:val="003C184C"/>
    <w:rsid w:val="003C1BB8"/>
    <w:rsid w:val="003C324A"/>
    <w:rsid w:val="003C44C1"/>
    <w:rsid w:val="003C4507"/>
    <w:rsid w:val="003C4F06"/>
    <w:rsid w:val="003C53DE"/>
    <w:rsid w:val="003C5540"/>
    <w:rsid w:val="003C5D24"/>
    <w:rsid w:val="003C5F4F"/>
    <w:rsid w:val="003C6206"/>
    <w:rsid w:val="003C675A"/>
    <w:rsid w:val="003C69FF"/>
    <w:rsid w:val="003C6AFC"/>
    <w:rsid w:val="003C6C41"/>
    <w:rsid w:val="003C73B8"/>
    <w:rsid w:val="003D018A"/>
    <w:rsid w:val="003D01EC"/>
    <w:rsid w:val="003D04BE"/>
    <w:rsid w:val="003D0872"/>
    <w:rsid w:val="003D0A60"/>
    <w:rsid w:val="003D0D88"/>
    <w:rsid w:val="003D1189"/>
    <w:rsid w:val="003D14BF"/>
    <w:rsid w:val="003D1EE7"/>
    <w:rsid w:val="003D2665"/>
    <w:rsid w:val="003D2895"/>
    <w:rsid w:val="003D29E0"/>
    <w:rsid w:val="003D30F1"/>
    <w:rsid w:val="003D347F"/>
    <w:rsid w:val="003D34C1"/>
    <w:rsid w:val="003D3A1B"/>
    <w:rsid w:val="003D3CF0"/>
    <w:rsid w:val="003D3E41"/>
    <w:rsid w:val="003D4027"/>
    <w:rsid w:val="003D437B"/>
    <w:rsid w:val="003D48EE"/>
    <w:rsid w:val="003D49E5"/>
    <w:rsid w:val="003D4ACC"/>
    <w:rsid w:val="003D4F95"/>
    <w:rsid w:val="003D518E"/>
    <w:rsid w:val="003D5684"/>
    <w:rsid w:val="003D5B85"/>
    <w:rsid w:val="003D68C0"/>
    <w:rsid w:val="003D6EFD"/>
    <w:rsid w:val="003D70BD"/>
    <w:rsid w:val="003D763D"/>
    <w:rsid w:val="003D76E3"/>
    <w:rsid w:val="003E0016"/>
    <w:rsid w:val="003E0253"/>
    <w:rsid w:val="003E06B6"/>
    <w:rsid w:val="003E0A2B"/>
    <w:rsid w:val="003E104A"/>
    <w:rsid w:val="003E1168"/>
    <w:rsid w:val="003E1704"/>
    <w:rsid w:val="003E19AA"/>
    <w:rsid w:val="003E1D83"/>
    <w:rsid w:val="003E1EA9"/>
    <w:rsid w:val="003E24B8"/>
    <w:rsid w:val="003E277E"/>
    <w:rsid w:val="003E2E72"/>
    <w:rsid w:val="003E31B3"/>
    <w:rsid w:val="003E3526"/>
    <w:rsid w:val="003E3663"/>
    <w:rsid w:val="003E40BC"/>
    <w:rsid w:val="003E4215"/>
    <w:rsid w:val="003E4A77"/>
    <w:rsid w:val="003E4D18"/>
    <w:rsid w:val="003E4F04"/>
    <w:rsid w:val="003E5463"/>
    <w:rsid w:val="003E5D0B"/>
    <w:rsid w:val="003E5F26"/>
    <w:rsid w:val="003E5FD6"/>
    <w:rsid w:val="003E6185"/>
    <w:rsid w:val="003E6607"/>
    <w:rsid w:val="003E6FEF"/>
    <w:rsid w:val="003E70C5"/>
    <w:rsid w:val="003E7550"/>
    <w:rsid w:val="003E77B7"/>
    <w:rsid w:val="003F0694"/>
    <w:rsid w:val="003F07B9"/>
    <w:rsid w:val="003F0ABE"/>
    <w:rsid w:val="003F0C85"/>
    <w:rsid w:val="003F0D40"/>
    <w:rsid w:val="003F20F2"/>
    <w:rsid w:val="003F255F"/>
    <w:rsid w:val="003F3671"/>
    <w:rsid w:val="003F3700"/>
    <w:rsid w:val="003F3A84"/>
    <w:rsid w:val="003F439A"/>
    <w:rsid w:val="003F46D6"/>
    <w:rsid w:val="003F4C1A"/>
    <w:rsid w:val="003F5212"/>
    <w:rsid w:val="003F56ED"/>
    <w:rsid w:val="003F5AEC"/>
    <w:rsid w:val="003F5DA5"/>
    <w:rsid w:val="003F6B20"/>
    <w:rsid w:val="003F7334"/>
    <w:rsid w:val="00400325"/>
    <w:rsid w:val="00400A90"/>
    <w:rsid w:val="00401036"/>
    <w:rsid w:val="00401334"/>
    <w:rsid w:val="0040151A"/>
    <w:rsid w:val="004019E7"/>
    <w:rsid w:val="00401CC0"/>
    <w:rsid w:val="00401F0F"/>
    <w:rsid w:val="004035D8"/>
    <w:rsid w:val="00403B4F"/>
    <w:rsid w:val="004043D0"/>
    <w:rsid w:val="0040461B"/>
    <w:rsid w:val="00404DEF"/>
    <w:rsid w:val="004052BD"/>
    <w:rsid w:val="00405326"/>
    <w:rsid w:val="0040571E"/>
    <w:rsid w:val="00406242"/>
    <w:rsid w:val="00406398"/>
    <w:rsid w:val="004071E8"/>
    <w:rsid w:val="004074A1"/>
    <w:rsid w:val="0040759C"/>
    <w:rsid w:val="004100E4"/>
    <w:rsid w:val="00410693"/>
    <w:rsid w:val="0041076C"/>
    <w:rsid w:val="00411128"/>
    <w:rsid w:val="00412C08"/>
    <w:rsid w:val="00413247"/>
    <w:rsid w:val="004133B0"/>
    <w:rsid w:val="004138A0"/>
    <w:rsid w:val="00413C3F"/>
    <w:rsid w:val="00415461"/>
    <w:rsid w:val="00415A24"/>
    <w:rsid w:val="00415A77"/>
    <w:rsid w:val="00415C34"/>
    <w:rsid w:val="00416759"/>
    <w:rsid w:val="0041679B"/>
    <w:rsid w:val="00416D28"/>
    <w:rsid w:val="00416F50"/>
    <w:rsid w:val="00417392"/>
    <w:rsid w:val="004177A9"/>
    <w:rsid w:val="00417ACC"/>
    <w:rsid w:val="00420626"/>
    <w:rsid w:val="00420AEB"/>
    <w:rsid w:val="00421203"/>
    <w:rsid w:val="00421E5F"/>
    <w:rsid w:val="004220CC"/>
    <w:rsid w:val="004220D5"/>
    <w:rsid w:val="0042217C"/>
    <w:rsid w:val="004223E1"/>
    <w:rsid w:val="00422A94"/>
    <w:rsid w:val="00422C9F"/>
    <w:rsid w:val="00424ED8"/>
    <w:rsid w:val="004258ED"/>
    <w:rsid w:val="00425BF6"/>
    <w:rsid w:val="0042609F"/>
    <w:rsid w:val="004261D8"/>
    <w:rsid w:val="00426C66"/>
    <w:rsid w:val="00426DA6"/>
    <w:rsid w:val="0042702C"/>
    <w:rsid w:val="0042749F"/>
    <w:rsid w:val="00427ABA"/>
    <w:rsid w:val="00427BB7"/>
    <w:rsid w:val="00430D5B"/>
    <w:rsid w:val="00430F66"/>
    <w:rsid w:val="004317E6"/>
    <w:rsid w:val="00431851"/>
    <w:rsid w:val="004324B6"/>
    <w:rsid w:val="00432564"/>
    <w:rsid w:val="004325C8"/>
    <w:rsid w:val="004338D7"/>
    <w:rsid w:val="00433ACE"/>
    <w:rsid w:val="00433E60"/>
    <w:rsid w:val="00434A56"/>
    <w:rsid w:val="00434AAB"/>
    <w:rsid w:val="004350FD"/>
    <w:rsid w:val="00435178"/>
    <w:rsid w:val="00435ACE"/>
    <w:rsid w:val="0043676B"/>
    <w:rsid w:val="004369E5"/>
    <w:rsid w:val="004379BF"/>
    <w:rsid w:val="00440317"/>
    <w:rsid w:val="0044043E"/>
    <w:rsid w:val="004405C5"/>
    <w:rsid w:val="00440D9F"/>
    <w:rsid w:val="00441087"/>
    <w:rsid w:val="0044150A"/>
    <w:rsid w:val="00441578"/>
    <w:rsid w:val="00441FE3"/>
    <w:rsid w:val="00442251"/>
    <w:rsid w:val="00442302"/>
    <w:rsid w:val="0044291E"/>
    <w:rsid w:val="00442BAD"/>
    <w:rsid w:val="00443DA9"/>
    <w:rsid w:val="00443DB3"/>
    <w:rsid w:val="00443EA9"/>
    <w:rsid w:val="0044423D"/>
    <w:rsid w:val="004444CF"/>
    <w:rsid w:val="00444A7C"/>
    <w:rsid w:val="00445817"/>
    <w:rsid w:val="00445B27"/>
    <w:rsid w:val="00446268"/>
    <w:rsid w:val="00446EF7"/>
    <w:rsid w:val="00447306"/>
    <w:rsid w:val="0045024B"/>
    <w:rsid w:val="00450F22"/>
    <w:rsid w:val="00451084"/>
    <w:rsid w:val="00451888"/>
    <w:rsid w:val="0045203F"/>
    <w:rsid w:val="00452143"/>
    <w:rsid w:val="004524E2"/>
    <w:rsid w:val="00452B24"/>
    <w:rsid w:val="00453947"/>
    <w:rsid w:val="00453E96"/>
    <w:rsid w:val="00453FB4"/>
    <w:rsid w:val="0045457A"/>
    <w:rsid w:val="00454683"/>
    <w:rsid w:val="00454FAD"/>
    <w:rsid w:val="004550B0"/>
    <w:rsid w:val="004554E2"/>
    <w:rsid w:val="00455A04"/>
    <w:rsid w:val="00456DA2"/>
    <w:rsid w:val="00457435"/>
    <w:rsid w:val="00457747"/>
    <w:rsid w:val="00457DB8"/>
    <w:rsid w:val="004602F8"/>
    <w:rsid w:val="004607D8"/>
    <w:rsid w:val="004609CC"/>
    <w:rsid w:val="00461856"/>
    <w:rsid w:val="00462449"/>
    <w:rsid w:val="00462707"/>
    <w:rsid w:val="00462B02"/>
    <w:rsid w:val="00462D47"/>
    <w:rsid w:val="00463C89"/>
    <w:rsid w:val="00463EB6"/>
    <w:rsid w:val="004641DE"/>
    <w:rsid w:val="004644B0"/>
    <w:rsid w:val="004650DD"/>
    <w:rsid w:val="0046525B"/>
    <w:rsid w:val="004658FD"/>
    <w:rsid w:val="0046653D"/>
    <w:rsid w:val="00467271"/>
    <w:rsid w:val="0046786E"/>
    <w:rsid w:val="0046794B"/>
    <w:rsid w:val="00467FC7"/>
    <w:rsid w:val="00470195"/>
    <w:rsid w:val="004704AE"/>
    <w:rsid w:val="00471059"/>
    <w:rsid w:val="004723F9"/>
    <w:rsid w:val="00472B0B"/>
    <w:rsid w:val="00473090"/>
    <w:rsid w:val="00473224"/>
    <w:rsid w:val="00474148"/>
    <w:rsid w:val="00474F07"/>
    <w:rsid w:val="00475125"/>
    <w:rsid w:val="004757D5"/>
    <w:rsid w:val="004759A5"/>
    <w:rsid w:val="00475BE8"/>
    <w:rsid w:val="00475F57"/>
    <w:rsid w:val="004760CD"/>
    <w:rsid w:val="00476448"/>
    <w:rsid w:val="004768D3"/>
    <w:rsid w:val="00476C78"/>
    <w:rsid w:val="00476FF5"/>
    <w:rsid w:val="004772DF"/>
    <w:rsid w:val="0047743A"/>
    <w:rsid w:val="00477F8D"/>
    <w:rsid w:val="00480333"/>
    <w:rsid w:val="00480B46"/>
    <w:rsid w:val="0048141D"/>
    <w:rsid w:val="0048165B"/>
    <w:rsid w:val="004816F3"/>
    <w:rsid w:val="00481726"/>
    <w:rsid w:val="00481AEB"/>
    <w:rsid w:val="004827CF"/>
    <w:rsid w:val="00482E23"/>
    <w:rsid w:val="004838F1"/>
    <w:rsid w:val="004848C8"/>
    <w:rsid w:val="00484BC7"/>
    <w:rsid w:val="00485EF4"/>
    <w:rsid w:val="00487363"/>
    <w:rsid w:val="00487486"/>
    <w:rsid w:val="00487BC7"/>
    <w:rsid w:val="00487D19"/>
    <w:rsid w:val="00487FEA"/>
    <w:rsid w:val="004902A0"/>
    <w:rsid w:val="00490460"/>
    <w:rsid w:val="00491D61"/>
    <w:rsid w:val="00491D69"/>
    <w:rsid w:val="00492E2A"/>
    <w:rsid w:val="004939B4"/>
    <w:rsid w:val="004939FD"/>
    <w:rsid w:val="00493DAB"/>
    <w:rsid w:val="00495506"/>
    <w:rsid w:val="00495512"/>
    <w:rsid w:val="0049629B"/>
    <w:rsid w:val="0049649A"/>
    <w:rsid w:val="004964C3"/>
    <w:rsid w:val="00496FD7"/>
    <w:rsid w:val="0049792F"/>
    <w:rsid w:val="00497F6A"/>
    <w:rsid w:val="004A0779"/>
    <w:rsid w:val="004A0907"/>
    <w:rsid w:val="004A113F"/>
    <w:rsid w:val="004A183B"/>
    <w:rsid w:val="004A1E56"/>
    <w:rsid w:val="004A242A"/>
    <w:rsid w:val="004A2505"/>
    <w:rsid w:val="004A2618"/>
    <w:rsid w:val="004A35F8"/>
    <w:rsid w:val="004A419B"/>
    <w:rsid w:val="004A4819"/>
    <w:rsid w:val="004A5704"/>
    <w:rsid w:val="004A5EA8"/>
    <w:rsid w:val="004A61A3"/>
    <w:rsid w:val="004A61F5"/>
    <w:rsid w:val="004A6BAC"/>
    <w:rsid w:val="004A6D14"/>
    <w:rsid w:val="004A7616"/>
    <w:rsid w:val="004B03CF"/>
    <w:rsid w:val="004B09A0"/>
    <w:rsid w:val="004B1360"/>
    <w:rsid w:val="004B1A8E"/>
    <w:rsid w:val="004B1BE8"/>
    <w:rsid w:val="004B1F4A"/>
    <w:rsid w:val="004B204D"/>
    <w:rsid w:val="004B2158"/>
    <w:rsid w:val="004B2371"/>
    <w:rsid w:val="004B30B3"/>
    <w:rsid w:val="004B4312"/>
    <w:rsid w:val="004B4E92"/>
    <w:rsid w:val="004B56FA"/>
    <w:rsid w:val="004B5A6C"/>
    <w:rsid w:val="004B5D85"/>
    <w:rsid w:val="004B5FD8"/>
    <w:rsid w:val="004B6434"/>
    <w:rsid w:val="004B6FBA"/>
    <w:rsid w:val="004B7154"/>
    <w:rsid w:val="004B7275"/>
    <w:rsid w:val="004B7904"/>
    <w:rsid w:val="004B7B82"/>
    <w:rsid w:val="004C05F5"/>
    <w:rsid w:val="004C0921"/>
    <w:rsid w:val="004C0A2D"/>
    <w:rsid w:val="004C0CCD"/>
    <w:rsid w:val="004C19C5"/>
    <w:rsid w:val="004C28E4"/>
    <w:rsid w:val="004C322F"/>
    <w:rsid w:val="004C353D"/>
    <w:rsid w:val="004C3D35"/>
    <w:rsid w:val="004C4A40"/>
    <w:rsid w:val="004C519F"/>
    <w:rsid w:val="004C5AD1"/>
    <w:rsid w:val="004C5B74"/>
    <w:rsid w:val="004C5F11"/>
    <w:rsid w:val="004C61EB"/>
    <w:rsid w:val="004C63AE"/>
    <w:rsid w:val="004C67E5"/>
    <w:rsid w:val="004C72D0"/>
    <w:rsid w:val="004C736C"/>
    <w:rsid w:val="004C7FE2"/>
    <w:rsid w:val="004D0466"/>
    <w:rsid w:val="004D0612"/>
    <w:rsid w:val="004D07C3"/>
    <w:rsid w:val="004D0F79"/>
    <w:rsid w:val="004D1E7A"/>
    <w:rsid w:val="004D2EA8"/>
    <w:rsid w:val="004D34BA"/>
    <w:rsid w:val="004D35C5"/>
    <w:rsid w:val="004D3E8D"/>
    <w:rsid w:val="004D3F53"/>
    <w:rsid w:val="004D41F0"/>
    <w:rsid w:val="004D428D"/>
    <w:rsid w:val="004D4BD6"/>
    <w:rsid w:val="004D5A17"/>
    <w:rsid w:val="004D62FC"/>
    <w:rsid w:val="004D63FF"/>
    <w:rsid w:val="004D6BA2"/>
    <w:rsid w:val="004D6BEB"/>
    <w:rsid w:val="004D6DF3"/>
    <w:rsid w:val="004D742D"/>
    <w:rsid w:val="004D7476"/>
    <w:rsid w:val="004D763D"/>
    <w:rsid w:val="004D78D0"/>
    <w:rsid w:val="004E028A"/>
    <w:rsid w:val="004E1368"/>
    <w:rsid w:val="004E290E"/>
    <w:rsid w:val="004E2929"/>
    <w:rsid w:val="004E2BDF"/>
    <w:rsid w:val="004E2DAC"/>
    <w:rsid w:val="004E3892"/>
    <w:rsid w:val="004E3BDF"/>
    <w:rsid w:val="004E41C3"/>
    <w:rsid w:val="004E4A34"/>
    <w:rsid w:val="004E5CC2"/>
    <w:rsid w:val="004E5D89"/>
    <w:rsid w:val="004E5D94"/>
    <w:rsid w:val="004E678E"/>
    <w:rsid w:val="004E6DFC"/>
    <w:rsid w:val="004E6E38"/>
    <w:rsid w:val="004E7373"/>
    <w:rsid w:val="004E73A8"/>
    <w:rsid w:val="004E76AC"/>
    <w:rsid w:val="004F00D9"/>
    <w:rsid w:val="004F0A80"/>
    <w:rsid w:val="004F0EFF"/>
    <w:rsid w:val="004F201F"/>
    <w:rsid w:val="004F2443"/>
    <w:rsid w:val="004F2D42"/>
    <w:rsid w:val="004F2DBA"/>
    <w:rsid w:val="004F2DC9"/>
    <w:rsid w:val="004F2F0F"/>
    <w:rsid w:val="004F3CD1"/>
    <w:rsid w:val="004F41DC"/>
    <w:rsid w:val="004F4504"/>
    <w:rsid w:val="004F472B"/>
    <w:rsid w:val="004F5102"/>
    <w:rsid w:val="004F6132"/>
    <w:rsid w:val="004F6269"/>
    <w:rsid w:val="004F65AB"/>
    <w:rsid w:val="004F66BA"/>
    <w:rsid w:val="004F6AA1"/>
    <w:rsid w:val="004F71B7"/>
    <w:rsid w:val="004F71E4"/>
    <w:rsid w:val="004F766D"/>
    <w:rsid w:val="005001AF"/>
    <w:rsid w:val="005001D9"/>
    <w:rsid w:val="00501749"/>
    <w:rsid w:val="00501E11"/>
    <w:rsid w:val="00502561"/>
    <w:rsid w:val="00502F58"/>
    <w:rsid w:val="00503103"/>
    <w:rsid w:val="005034AD"/>
    <w:rsid w:val="0050499A"/>
    <w:rsid w:val="00504C0A"/>
    <w:rsid w:val="00504D8D"/>
    <w:rsid w:val="0050557E"/>
    <w:rsid w:val="005055C0"/>
    <w:rsid w:val="00505E19"/>
    <w:rsid w:val="005061AB"/>
    <w:rsid w:val="0050630C"/>
    <w:rsid w:val="005069CE"/>
    <w:rsid w:val="00506E7F"/>
    <w:rsid w:val="00507912"/>
    <w:rsid w:val="0051046C"/>
    <w:rsid w:val="00511509"/>
    <w:rsid w:val="005118DE"/>
    <w:rsid w:val="00511B5E"/>
    <w:rsid w:val="00511DD1"/>
    <w:rsid w:val="005121E6"/>
    <w:rsid w:val="0051229B"/>
    <w:rsid w:val="0051269A"/>
    <w:rsid w:val="005128EE"/>
    <w:rsid w:val="005129DC"/>
    <w:rsid w:val="00512F72"/>
    <w:rsid w:val="005133D7"/>
    <w:rsid w:val="00513C47"/>
    <w:rsid w:val="00514D4D"/>
    <w:rsid w:val="005162E1"/>
    <w:rsid w:val="00516555"/>
    <w:rsid w:val="00517B2F"/>
    <w:rsid w:val="005209AB"/>
    <w:rsid w:val="00520BC6"/>
    <w:rsid w:val="005211B2"/>
    <w:rsid w:val="005214C1"/>
    <w:rsid w:val="00522DE0"/>
    <w:rsid w:val="00522E66"/>
    <w:rsid w:val="00523459"/>
    <w:rsid w:val="00523523"/>
    <w:rsid w:val="00523824"/>
    <w:rsid w:val="00523B14"/>
    <w:rsid w:val="00523CD9"/>
    <w:rsid w:val="005240E5"/>
    <w:rsid w:val="0052444C"/>
    <w:rsid w:val="005247FE"/>
    <w:rsid w:val="005252C2"/>
    <w:rsid w:val="00525CCE"/>
    <w:rsid w:val="00525D4C"/>
    <w:rsid w:val="00526DA0"/>
    <w:rsid w:val="005274AD"/>
    <w:rsid w:val="00527818"/>
    <w:rsid w:val="00532064"/>
    <w:rsid w:val="00532886"/>
    <w:rsid w:val="00533524"/>
    <w:rsid w:val="005337FD"/>
    <w:rsid w:val="00534487"/>
    <w:rsid w:val="0053668A"/>
    <w:rsid w:val="00536A77"/>
    <w:rsid w:val="005370E6"/>
    <w:rsid w:val="00537502"/>
    <w:rsid w:val="00537503"/>
    <w:rsid w:val="00537519"/>
    <w:rsid w:val="005376C3"/>
    <w:rsid w:val="005379B8"/>
    <w:rsid w:val="005379DF"/>
    <w:rsid w:val="00537A9A"/>
    <w:rsid w:val="00537B7C"/>
    <w:rsid w:val="00541D5D"/>
    <w:rsid w:val="00541F83"/>
    <w:rsid w:val="005424F3"/>
    <w:rsid w:val="00542F71"/>
    <w:rsid w:val="005431C8"/>
    <w:rsid w:val="00543A86"/>
    <w:rsid w:val="0054509D"/>
    <w:rsid w:val="005453E8"/>
    <w:rsid w:val="005458D9"/>
    <w:rsid w:val="00545A4F"/>
    <w:rsid w:val="00545A68"/>
    <w:rsid w:val="00550F35"/>
    <w:rsid w:val="00551061"/>
    <w:rsid w:val="005517CC"/>
    <w:rsid w:val="005519F1"/>
    <w:rsid w:val="00551B26"/>
    <w:rsid w:val="005520E6"/>
    <w:rsid w:val="0055264C"/>
    <w:rsid w:val="0055281F"/>
    <w:rsid w:val="005539E6"/>
    <w:rsid w:val="00553D4E"/>
    <w:rsid w:val="00554E73"/>
    <w:rsid w:val="005554F8"/>
    <w:rsid w:val="0055563D"/>
    <w:rsid w:val="00555887"/>
    <w:rsid w:val="00556052"/>
    <w:rsid w:val="00556839"/>
    <w:rsid w:val="00556AC9"/>
    <w:rsid w:val="00556D4A"/>
    <w:rsid w:val="00557197"/>
    <w:rsid w:val="005607F4"/>
    <w:rsid w:val="005615F9"/>
    <w:rsid w:val="005617C2"/>
    <w:rsid w:val="00561FFF"/>
    <w:rsid w:val="00562204"/>
    <w:rsid w:val="00562EA2"/>
    <w:rsid w:val="00563007"/>
    <w:rsid w:val="005633D2"/>
    <w:rsid w:val="005637F3"/>
    <w:rsid w:val="00564626"/>
    <w:rsid w:val="00564B14"/>
    <w:rsid w:val="0056530E"/>
    <w:rsid w:val="00565968"/>
    <w:rsid w:val="00565B35"/>
    <w:rsid w:val="005661A4"/>
    <w:rsid w:val="00566344"/>
    <w:rsid w:val="0056649B"/>
    <w:rsid w:val="005665DC"/>
    <w:rsid w:val="00566737"/>
    <w:rsid w:val="00566789"/>
    <w:rsid w:val="00566C7A"/>
    <w:rsid w:val="005700CE"/>
    <w:rsid w:val="005711D3"/>
    <w:rsid w:val="00571207"/>
    <w:rsid w:val="00571536"/>
    <w:rsid w:val="005717FA"/>
    <w:rsid w:val="00572585"/>
    <w:rsid w:val="00572B1D"/>
    <w:rsid w:val="0057350E"/>
    <w:rsid w:val="00573972"/>
    <w:rsid w:val="00573F7E"/>
    <w:rsid w:val="00575A2F"/>
    <w:rsid w:val="0057610D"/>
    <w:rsid w:val="00576268"/>
    <w:rsid w:val="005762C9"/>
    <w:rsid w:val="00576923"/>
    <w:rsid w:val="00576EA8"/>
    <w:rsid w:val="00577321"/>
    <w:rsid w:val="00577738"/>
    <w:rsid w:val="00580992"/>
    <w:rsid w:val="005809BD"/>
    <w:rsid w:val="00581915"/>
    <w:rsid w:val="005826D9"/>
    <w:rsid w:val="005830F8"/>
    <w:rsid w:val="0058326F"/>
    <w:rsid w:val="005835BA"/>
    <w:rsid w:val="00583906"/>
    <w:rsid w:val="00583A7C"/>
    <w:rsid w:val="00583E4D"/>
    <w:rsid w:val="0058473C"/>
    <w:rsid w:val="00585B60"/>
    <w:rsid w:val="005864F8"/>
    <w:rsid w:val="00586D8B"/>
    <w:rsid w:val="00586DC8"/>
    <w:rsid w:val="005870C2"/>
    <w:rsid w:val="00587A48"/>
    <w:rsid w:val="00587D0D"/>
    <w:rsid w:val="00587D10"/>
    <w:rsid w:val="0059057C"/>
    <w:rsid w:val="00590A0C"/>
    <w:rsid w:val="00590F91"/>
    <w:rsid w:val="005912FC"/>
    <w:rsid w:val="00591A1E"/>
    <w:rsid w:val="005921F7"/>
    <w:rsid w:val="0059255D"/>
    <w:rsid w:val="00592C1E"/>
    <w:rsid w:val="00593D89"/>
    <w:rsid w:val="005942CE"/>
    <w:rsid w:val="005943AA"/>
    <w:rsid w:val="005945F6"/>
    <w:rsid w:val="00594E25"/>
    <w:rsid w:val="00594FC5"/>
    <w:rsid w:val="005967DC"/>
    <w:rsid w:val="005973AE"/>
    <w:rsid w:val="005977AC"/>
    <w:rsid w:val="005979D1"/>
    <w:rsid w:val="00597AB8"/>
    <w:rsid w:val="00597EC5"/>
    <w:rsid w:val="005A0757"/>
    <w:rsid w:val="005A10AE"/>
    <w:rsid w:val="005A1768"/>
    <w:rsid w:val="005A197F"/>
    <w:rsid w:val="005A20F1"/>
    <w:rsid w:val="005A29A5"/>
    <w:rsid w:val="005A2C81"/>
    <w:rsid w:val="005A36A5"/>
    <w:rsid w:val="005A3E86"/>
    <w:rsid w:val="005A415C"/>
    <w:rsid w:val="005A46F1"/>
    <w:rsid w:val="005A4E49"/>
    <w:rsid w:val="005A566D"/>
    <w:rsid w:val="005A5BE1"/>
    <w:rsid w:val="005A5E12"/>
    <w:rsid w:val="005A6203"/>
    <w:rsid w:val="005A7E26"/>
    <w:rsid w:val="005B0E11"/>
    <w:rsid w:val="005B0E98"/>
    <w:rsid w:val="005B1A8B"/>
    <w:rsid w:val="005B261B"/>
    <w:rsid w:val="005B3215"/>
    <w:rsid w:val="005B344C"/>
    <w:rsid w:val="005B3588"/>
    <w:rsid w:val="005B35BF"/>
    <w:rsid w:val="005B4628"/>
    <w:rsid w:val="005B4F3E"/>
    <w:rsid w:val="005B4FD0"/>
    <w:rsid w:val="005B52AE"/>
    <w:rsid w:val="005B5698"/>
    <w:rsid w:val="005B5958"/>
    <w:rsid w:val="005B6D2D"/>
    <w:rsid w:val="005B721B"/>
    <w:rsid w:val="005B7230"/>
    <w:rsid w:val="005B72EF"/>
    <w:rsid w:val="005B7417"/>
    <w:rsid w:val="005B7612"/>
    <w:rsid w:val="005B7D7A"/>
    <w:rsid w:val="005B7E75"/>
    <w:rsid w:val="005B7FC7"/>
    <w:rsid w:val="005C0395"/>
    <w:rsid w:val="005C0817"/>
    <w:rsid w:val="005C1132"/>
    <w:rsid w:val="005C1B17"/>
    <w:rsid w:val="005C1BE8"/>
    <w:rsid w:val="005C25ED"/>
    <w:rsid w:val="005C283D"/>
    <w:rsid w:val="005C2910"/>
    <w:rsid w:val="005C2D29"/>
    <w:rsid w:val="005C2F8C"/>
    <w:rsid w:val="005C303A"/>
    <w:rsid w:val="005C396F"/>
    <w:rsid w:val="005C3C3A"/>
    <w:rsid w:val="005C4B79"/>
    <w:rsid w:val="005C52D0"/>
    <w:rsid w:val="005C5A3F"/>
    <w:rsid w:val="005C5D90"/>
    <w:rsid w:val="005C6185"/>
    <w:rsid w:val="005C6DEF"/>
    <w:rsid w:val="005C73EB"/>
    <w:rsid w:val="005C77AA"/>
    <w:rsid w:val="005C7B4A"/>
    <w:rsid w:val="005C7B50"/>
    <w:rsid w:val="005C7CF5"/>
    <w:rsid w:val="005C7DC7"/>
    <w:rsid w:val="005D0295"/>
    <w:rsid w:val="005D08C7"/>
    <w:rsid w:val="005D0BFF"/>
    <w:rsid w:val="005D126B"/>
    <w:rsid w:val="005D13BD"/>
    <w:rsid w:val="005D1841"/>
    <w:rsid w:val="005D1BCD"/>
    <w:rsid w:val="005D1CA5"/>
    <w:rsid w:val="005D28D0"/>
    <w:rsid w:val="005D2A8D"/>
    <w:rsid w:val="005D2AF6"/>
    <w:rsid w:val="005D2F91"/>
    <w:rsid w:val="005D32DD"/>
    <w:rsid w:val="005D35BD"/>
    <w:rsid w:val="005D41D2"/>
    <w:rsid w:val="005D42A2"/>
    <w:rsid w:val="005D43A3"/>
    <w:rsid w:val="005D4A80"/>
    <w:rsid w:val="005D4D9D"/>
    <w:rsid w:val="005D557D"/>
    <w:rsid w:val="005D5C89"/>
    <w:rsid w:val="005D6513"/>
    <w:rsid w:val="005D7E01"/>
    <w:rsid w:val="005D7FC5"/>
    <w:rsid w:val="005E0294"/>
    <w:rsid w:val="005E0E94"/>
    <w:rsid w:val="005E11BC"/>
    <w:rsid w:val="005E1343"/>
    <w:rsid w:val="005E15CD"/>
    <w:rsid w:val="005E160D"/>
    <w:rsid w:val="005E1691"/>
    <w:rsid w:val="005E18DF"/>
    <w:rsid w:val="005E27A5"/>
    <w:rsid w:val="005E2FEB"/>
    <w:rsid w:val="005E32D7"/>
    <w:rsid w:val="005E3358"/>
    <w:rsid w:val="005E41B8"/>
    <w:rsid w:val="005E4254"/>
    <w:rsid w:val="005E468F"/>
    <w:rsid w:val="005E4A2A"/>
    <w:rsid w:val="005E5C27"/>
    <w:rsid w:val="005E7712"/>
    <w:rsid w:val="005E7B46"/>
    <w:rsid w:val="005F03D5"/>
    <w:rsid w:val="005F0CAF"/>
    <w:rsid w:val="005F0FCF"/>
    <w:rsid w:val="005F1167"/>
    <w:rsid w:val="005F1325"/>
    <w:rsid w:val="005F191D"/>
    <w:rsid w:val="005F22EE"/>
    <w:rsid w:val="005F2858"/>
    <w:rsid w:val="005F2AF6"/>
    <w:rsid w:val="005F315D"/>
    <w:rsid w:val="005F33A2"/>
    <w:rsid w:val="005F3800"/>
    <w:rsid w:val="005F3890"/>
    <w:rsid w:val="005F446E"/>
    <w:rsid w:val="005F5AAF"/>
    <w:rsid w:val="005F6EB4"/>
    <w:rsid w:val="005F7A69"/>
    <w:rsid w:val="00600315"/>
    <w:rsid w:val="00600412"/>
    <w:rsid w:val="00600717"/>
    <w:rsid w:val="00600B9E"/>
    <w:rsid w:val="0060129C"/>
    <w:rsid w:val="0060227B"/>
    <w:rsid w:val="006023B2"/>
    <w:rsid w:val="006024D3"/>
    <w:rsid w:val="00603255"/>
    <w:rsid w:val="006036BA"/>
    <w:rsid w:val="00603751"/>
    <w:rsid w:val="0060428B"/>
    <w:rsid w:val="006047AD"/>
    <w:rsid w:val="006047F2"/>
    <w:rsid w:val="00604B56"/>
    <w:rsid w:val="00604EA4"/>
    <w:rsid w:val="00605F46"/>
    <w:rsid w:val="00606526"/>
    <w:rsid w:val="006066B5"/>
    <w:rsid w:val="006067D8"/>
    <w:rsid w:val="0060688C"/>
    <w:rsid w:val="00606BB3"/>
    <w:rsid w:val="00606EE0"/>
    <w:rsid w:val="0060792D"/>
    <w:rsid w:val="006112E6"/>
    <w:rsid w:val="0061272D"/>
    <w:rsid w:val="00612A7A"/>
    <w:rsid w:val="006130F3"/>
    <w:rsid w:val="00613ACA"/>
    <w:rsid w:val="00613ECE"/>
    <w:rsid w:val="00613F9B"/>
    <w:rsid w:val="006150C2"/>
    <w:rsid w:val="00615580"/>
    <w:rsid w:val="006155B8"/>
    <w:rsid w:val="00615699"/>
    <w:rsid w:val="006156CB"/>
    <w:rsid w:val="00615843"/>
    <w:rsid w:val="00615886"/>
    <w:rsid w:val="006159F1"/>
    <w:rsid w:val="00616296"/>
    <w:rsid w:val="006163ED"/>
    <w:rsid w:val="006167A7"/>
    <w:rsid w:val="00616B33"/>
    <w:rsid w:val="00616EA3"/>
    <w:rsid w:val="006170B5"/>
    <w:rsid w:val="00617150"/>
    <w:rsid w:val="00617244"/>
    <w:rsid w:val="00617619"/>
    <w:rsid w:val="006178A6"/>
    <w:rsid w:val="006178BF"/>
    <w:rsid w:val="00617B3C"/>
    <w:rsid w:val="00617EF4"/>
    <w:rsid w:val="00617FDB"/>
    <w:rsid w:val="0062086D"/>
    <w:rsid w:val="00620D7A"/>
    <w:rsid w:val="0062146C"/>
    <w:rsid w:val="00621979"/>
    <w:rsid w:val="0062232A"/>
    <w:rsid w:val="006225B6"/>
    <w:rsid w:val="00622C7D"/>
    <w:rsid w:val="006234AF"/>
    <w:rsid w:val="00623668"/>
    <w:rsid w:val="0062370F"/>
    <w:rsid w:val="006239F8"/>
    <w:rsid w:val="00623A28"/>
    <w:rsid w:val="00623F53"/>
    <w:rsid w:val="00623FE5"/>
    <w:rsid w:val="006240C9"/>
    <w:rsid w:val="006252CC"/>
    <w:rsid w:val="006253AA"/>
    <w:rsid w:val="006257BC"/>
    <w:rsid w:val="00626021"/>
    <w:rsid w:val="00626456"/>
    <w:rsid w:val="00626AEF"/>
    <w:rsid w:val="0062719B"/>
    <w:rsid w:val="00627226"/>
    <w:rsid w:val="00630DB5"/>
    <w:rsid w:val="00630FEC"/>
    <w:rsid w:val="006312A3"/>
    <w:rsid w:val="00631687"/>
    <w:rsid w:val="00631A2E"/>
    <w:rsid w:val="00632D44"/>
    <w:rsid w:val="006333C7"/>
    <w:rsid w:val="00633484"/>
    <w:rsid w:val="006337FB"/>
    <w:rsid w:val="00633B22"/>
    <w:rsid w:val="006341F3"/>
    <w:rsid w:val="00635091"/>
    <w:rsid w:val="006353BA"/>
    <w:rsid w:val="006358A0"/>
    <w:rsid w:val="00635C30"/>
    <w:rsid w:val="00636442"/>
    <w:rsid w:val="00636BC3"/>
    <w:rsid w:val="006370E0"/>
    <w:rsid w:val="006372D1"/>
    <w:rsid w:val="006376E5"/>
    <w:rsid w:val="00637FD2"/>
    <w:rsid w:val="006403AA"/>
    <w:rsid w:val="00640596"/>
    <w:rsid w:val="00640D1B"/>
    <w:rsid w:val="006412CB"/>
    <w:rsid w:val="00641487"/>
    <w:rsid w:val="00641691"/>
    <w:rsid w:val="00642C9C"/>
    <w:rsid w:val="006432A9"/>
    <w:rsid w:val="006434DB"/>
    <w:rsid w:val="00643831"/>
    <w:rsid w:val="0064408A"/>
    <w:rsid w:val="006453A0"/>
    <w:rsid w:val="006467FB"/>
    <w:rsid w:val="00646A3D"/>
    <w:rsid w:val="00646BC3"/>
    <w:rsid w:val="006474D5"/>
    <w:rsid w:val="00647C0A"/>
    <w:rsid w:val="006500DD"/>
    <w:rsid w:val="00650B38"/>
    <w:rsid w:val="00651490"/>
    <w:rsid w:val="006514E4"/>
    <w:rsid w:val="0065186A"/>
    <w:rsid w:val="0065196F"/>
    <w:rsid w:val="00651AD9"/>
    <w:rsid w:val="00651AF5"/>
    <w:rsid w:val="006529CA"/>
    <w:rsid w:val="00652CC5"/>
    <w:rsid w:val="00653492"/>
    <w:rsid w:val="00653CA7"/>
    <w:rsid w:val="00653FD5"/>
    <w:rsid w:val="00654006"/>
    <w:rsid w:val="00654ACE"/>
    <w:rsid w:val="00654E9E"/>
    <w:rsid w:val="006550CA"/>
    <w:rsid w:val="00655150"/>
    <w:rsid w:val="0065531D"/>
    <w:rsid w:val="006556F0"/>
    <w:rsid w:val="00655751"/>
    <w:rsid w:val="00655797"/>
    <w:rsid w:val="0065582B"/>
    <w:rsid w:val="00655EA8"/>
    <w:rsid w:val="00656610"/>
    <w:rsid w:val="00656CFF"/>
    <w:rsid w:val="0065724C"/>
    <w:rsid w:val="006577FE"/>
    <w:rsid w:val="00660277"/>
    <w:rsid w:val="00660303"/>
    <w:rsid w:val="006606DC"/>
    <w:rsid w:val="00660E66"/>
    <w:rsid w:val="006615A8"/>
    <w:rsid w:val="00661E60"/>
    <w:rsid w:val="0066207C"/>
    <w:rsid w:val="0066209C"/>
    <w:rsid w:val="006620B0"/>
    <w:rsid w:val="00662355"/>
    <w:rsid w:val="006624A0"/>
    <w:rsid w:val="006626C3"/>
    <w:rsid w:val="006629C5"/>
    <w:rsid w:val="00663AB9"/>
    <w:rsid w:val="00663C92"/>
    <w:rsid w:val="0066447F"/>
    <w:rsid w:val="006650DF"/>
    <w:rsid w:val="0066516A"/>
    <w:rsid w:val="006653DB"/>
    <w:rsid w:val="00665D58"/>
    <w:rsid w:val="00666065"/>
    <w:rsid w:val="006669EA"/>
    <w:rsid w:val="006675BA"/>
    <w:rsid w:val="00667988"/>
    <w:rsid w:val="00667BEB"/>
    <w:rsid w:val="00670C79"/>
    <w:rsid w:val="00672BC1"/>
    <w:rsid w:val="006735A4"/>
    <w:rsid w:val="00673810"/>
    <w:rsid w:val="00673B67"/>
    <w:rsid w:val="00673C2D"/>
    <w:rsid w:val="00674755"/>
    <w:rsid w:val="006751B7"/>
    <w:rsid w:val="006757A7"/>
    <w:rsid w:val="00675ACF"/>
    <w:rsid w:val="0067608C"/>
    <w:rsid w:val="006760FB"/>
    <w:rsid w:val="00676C3A"/>
    <w:rsid w:val="00676E87"/>
    <w:rsid w:val="006774D3"/>
    <w:rsid w:val="00677586"/>
    <w:rsid w:val="00677780"/>
    <w:rsid w:val="00677C4A"/>
    <w:rsid w:val="00680133"/>
    <w:rsid w:val="006804EF"/>
    <w:rsid w:val="00681C93"/>
    <w:rsid w:val="00681DEB"/>
    <w:rsid w:val="00682DDD"/>
    <w:rsid w:val="006833EC"/>
    <w:rsid w:val="00684414"/>
    <w:rsid w:val="0068546B"/>
    <w:rsid w:val="00685D9B"/>
    <w:rsid w:val="00685ED4"/>
    <w:rsid w:val="00685F63"/>
    <w:rsid w:val="00685FEB"/>
    <w:rsid w:val="006862DE"/>
    <w:rsid w:val="0068650E"/>
    <w:rsid w:val="00686A5B"/>
    <w:rsid w:val="00686E09"/>
    <w:rsid w:val="00687204"/>
    <w:rsid w:val="006875A0"/>
    <w:rsid w:val="00687FCB"/>
    <w:rsid w:val="006904C5"/>
    <w:rsid w:val="00690681"/>
    <w:rsid w:val="0069099F"/>
    <w:rsid w:val="0069105D"/>
    <w:rsid w:val="0069291F"/>
    <w:rsid w:val="00693063"/>
    <w:rsid w:val="006937A0"/>
    <w:rsid w:val="00693B3C"/>
    <w:rsid w:val="00693BE9"/>
    <w:rsid w:val="00693C53"/>
    <w:rsid w:val="006948F8"/>
    <w:rsid w:val="00695F55"/>
    <w:rsid w:val="00695F77"/>
    <w:rsid w:val="00696E64"/>
    <w:rsid w:val="0069751E"/>
    <w:rsid w:val="0069760F"/>
    <w:rsid w:val="006A0006"/>
    <w:rsid w:val="006A0F14"/>
    <w:rsid w:val="006A210B"/>
    <w:rsid w:val="006A2528"/>
    <w:rsid w:val="006A2C74"/>
    <w:rsid w:val="006A2D5A"/>
    <w:rsid w:val="006A305E"/>
    <w:rsid w:val="006A32A6"/>
    <w:rsid w:val="006A345B"/>
    <w:rsid w:val="006A3731"/>
    <w:rsid w:val="006A3B6A"/>
    <w:rsid w:val="006A453C"/>
    <w:rsid w:val="006A5121"/>
    <w:rsid w:val="006A5F02"/>
    <w:rsid w:val="006A604C"/>
    <w:rsid w:val="006A64BF"/>
    <w:rsid w:val="006A69EA"/>
    <w:rsid w:val="006A7AD5"/>
    <w:rsid w:val="006B0567"/>
    <w:rsid w:val="006B0682"/>
    <w:rsid w:val="006B06CE"/>
    <w:rsid w:val="006B09CB"/>
    <w:rsid w:val="006B1EC7"/>
    <w:rsid w:val="006B214E"/>
    <w:rsid w:val="006B4129"/>
    <w:rsid w:val="006B50C7"/>
    <w:rsid w:val="006B5B0B"/>
    <w:rsid w:val="006B5B1B"/>
    <w:rsid w:val="006B5DE2"/>
    <w:rsid w:val="006B5ED3"/>
    <w:rsid w:val="006B6010"/>
    <w:rsid w:val="006B6772"/>
    <w:rsid w:val="006B70DC"/>
    <w:rsid w:val="006B71BE"/>
    <w:rsid w:val="006C015C"/>
    <w:rsid w:val="006C02CF"/>
    <w:rsid w:val="006C03A2"/>
    <w:rsid w:val="006C0594"/>
    <w:rsid w:val="006C075E"/>
    <w:rsid w:val="006C0B48"/>
    <w:rsid w:val="006C14A2"/>
    <w:rsid w:val="006C15AA"/>
    <w:rsid w:val="006C15C9"/>
    <w:rsid w:val="006C20BB"/>
    <w:rsid w:val="006C21DC"/>
    <w:rsid w:val="006C2B83"/>
    <w:rsid w:val="006C34F8"/>
    <w:rsid w:val="006C38A9"/>
    <w:rsid w:val="006C3DEC"/>
    <w:rsid w:val="006C5089"/>
    <w:rsid w:val="006C58D2"/>
    <w:rsid w:val="006C65E2"/>
    <w:rsid w:val="006C76D1"/>
    <w:rsid w:val="006C7D30"/>
    <w:rsid w:val="006C7E8A"/>
    <w:rsid w:val="006D0952"/>
    <w:rsid w:val="006D2512"/>
    <w:rsid w:val="006D2BEF"/>
    <w:rsid w:val="006D3614"/>
    <w:rsid w:val="006D461D"/>
    <w:rsid w:val="006D4A80"/>
    <w:rsid w:val="006D4B3C"/>
    <w:rsid w:val="006D5381"/>
    <w:rsid w:val="006D61F9"/>
    <w:rsid w:val="006D74AE"/>
    <w:rsid w:val="006E04CB"/>
    <w:rsid w:val="006E0785"/>
    <w:rsid w:val="006E18DD"/>
    <w:rsid w:val="006E312E"/>
    <w:rsid w:val="006E34BB"/>
    <w:rsid w:val="006E3E31"/>
    <w:rsid w:val="006E4504"/>
    <w:rsid w:val="006E49AD"/>
    <w:rsid w:val="006E4BD3"/>
    <w:rsid w:val="006E4C30"/>
    <w:rsid w:val="006E4DB6"/>
    <w:rsid w:val="006E4DCF"/>
    <w:rsid w:val="006E532B"/>
    <w:rsid w:val="006E543F"/>
    <w:rsid w:val="006E5520"/>
    <w:rsid w:val="006E5B98"/>
    <w:rsid w:val="006E5D61"/>
    <w:rsid w:val="006E60DC"/>
    <w:rsid w:val="006E7FA5"/>
    <w:rsid w:val="006F0520"/>
    <w:rsid w:val="006F05BE"/>
    <w:rsid w:val="006F0D49"/>
    <w:rsid w:val="006F0F51"/>
    <w:rsid w:val="006F132B"/>
    <w:rsid w:val="006F1661"/>
    <w:rsid w:val="006F3303"/>
    <w:rsid w:val="006F3BEA"/>
    <w:rsid w:val="006F51E4"/>
    <w:rsid w:val="006F5697"/>
    <w:rsid w:val="006F587A"/>
    <w:rsid w:val="006F58AA"/>
    <w:rsid w:val="006F6103"/>
    <w:rsid w:val="006F6FFA"/>
    <w:rsid w:val="006F7535"/>
    <w:rsid w:val="006F7644"/>
    <w:rsid w:val="00700798"/>
    <w:rsid w:val="00700DE9"/>
    <w:rsid w:val="007013ED"/>
    <w:rsid w:val="00701ECD"/>
    <w:rsid w:val="007021D3"/>
    <w:rsid w:val="007022FF"/>
    <w:rsid w:val="00702328"/>
    <w:rsid w:val="0070318C"/>
    <w:rsid w:val="0070392E"/>
    <w:rsid w:val="007044A3"/>
    <w:rsid w:val="00704501"/>
    <w:rsid w:val="007051C8"/>
    <w:rsid w:val="0070564D"/>
    <w:rsid w:val="007065E7"/>
    <w:rsid w:val="007066F3"/>
    <w:rsid w:val="007069CC"/>
    <w:rsid w:val="00706D99"/>
    <w:rsid w:val="00706F24"/>
    <w:rsid w:val="007071E2"/>
    <w:rsid w:val="00707269"/>
    <w:rsid w:val="0070764D"/>
    <w:rsid w:val="00710C76"/>
    <w:rsid w:val="00710D06"/>
    <w:rsid w:val="00710E6A"/>
    <w:rsid w:val="0071113B"/>
    <w:rsid w:val="00712134"/>
    <w:rsid w:val="00712208"/>
    <w:rsid w:val="00712CC3"/>
    <w:rsid w:val="00712FFF"/>
    <w:rsid w:val="00714536"/>
    <w:rsid w:val="00714616"/>
    <w:rsid w:val="00714AF0"/>
    <w:rsid w:val="00714FF0"/>
    <w:rsid w:val="00715A58"/>
    <w:rsid w:val="00715ED1"/>
    <w:rsid w:val="00716573"/>
    <w:rsid w:val="0071663A"/>
    <w:rsid w:val="00716AD6"/>
    <w:rsid w:val="00716D4E"/>
    <w:rsid w:val="00717910"/>
    <w:rsid w:val="00717D50"/>
    <w:rsid w:val="007203F9"/>
    <w:rsid w:val="00720607"/>
    <w:rsid w:val="00720D54"/>
    <w:rsid w:val="007213A2"/>
    <w:rsid w:val="007215ED"/>
    <w:rsid w:val="00721632"/>
    <w:rsid w:val="007218A3"/>
    <w:rsid w:val="00721A31"/>
    <w:rsid w:val="00721AC5"/>
    <w:rsid w:val="00721D0B"/>
    <w:rsid w:val="00721D14"/>
    <w:rsid w:val="00721DBA"/>
    <w:rsid w:val="00722F0F"/>
    <w:rsid w:val="00723072"/>
    <w:rsid w:val="00723E4F"/>
    <w:rsid w:val="0072432B"/>
    <w:rsid w:val="0072481E"/>
    <w:rsid w:val="00724A77"/>
    <w:rsid w:val="00724DC6"/>
    <w:rsid w:val="00725913"/>
    <w:rsid w:val="00726007"/>
    <w:rsid w:val="007261F8"/>
    <w:rsid w:val="00726483"/>
    <w:rsid w:val="007269FA"/>
    <w:rsid w:val="007274EA"/>
    <w:rsid w:val="00727C21"/>
    <w:rsid w:val="00730311"/>
    <w:rsid w:val="007306FA"/>
    <w:rsid w:val="00730944"/>
    <w:rsid w:val="00731350"/>
    <w:rsid w:val="0073161C"/>
    <w:rsid w:val="00731A40"/>
    <w:rsid w:val="00732365"/>
    <w:rsid w:val="007329E2"/>
    <w:rsid w:val="0073382A"/>
    <w:rsid w:val="00734288"/>
    <w:rsid w:val="007346D8"/>
    <w:rsid w:val="00734D2D"/>
    <w:rsid w:val="007351DA"/>
    <w:rsid w:val="00735C8C"/>
    <w:rsid w:val="00735D85"/>
    <w:rsid w:val="00736444"/>
    <w:rsid w:val="00736B4F"/>
    <w:rsid w:val="00736CF3"/>
    <w:rsid w:val="00736FCF"/>
    <w:rsid w:val="00737A50"/>
    <w:rsid w:val="00737EC0"/>
    <w:rsid w:val="00737F92"/>
    <w:rsid w:val="00737FF2"/>
    <w:rsid w:val="00740273"/>
    <w:rsid w:val="00740954"/>
    <w:rsid w:val="00741581"/>
    <w:rsid w:val="007417AD"/>
    <w:rsid w:val="00741AFE"/>
    <w:rsid w:val="0074222A"/>
    <w:rsid w:val="00742D1E"/>
    <w:rsid w:val="00743823"/>
    <w:rsid w:val="007439CD"/>
    <w:rsid w:val="00743C68"/>
    <w:rsid w:val="00744918"/>
    <w:rsid w:val="00745139"/>
    <w:rsid w:val="00745A7E"/>
    <w:rsid w:val="007473BE"/>
    <w:rsid w:val="0074779D"/>
    <w:rsid w:val="007505E9"/>
    <w:rsid w:val="00751526"/>
    <w:rsid w:val="007520BD"/>
    <w:rsid w:val="007524C5"/>
    <w:rsid w:val="00752642"/>
    <w:rsid w:val="00753CAE"/>
    <w:rsid w:val="007543D7"/>
    <w:rsid w:val="00754785"/>
    <w:rsid w:val="00754A4F"/>
    <w:rsid w:val="0075504E"/>
    <w:rsid w:val="0075525C"/>
    <w:rsid w:val="0075585D"/>
    <w:rsid w:val="00756396"/>
    <w:rsid w:val="00756556"/>
    <w:rsid w:val="007565C1"/>
    <w:rsid w:val="00756C94"/>
    <w:rsid w:val="00756CB0"/>
    <w:rsid w:val="0075711A"/>
    <w:rsid w:val="00760C30"/>
    <w:rsid w:val="007610AD"/>
    <w:rsid w:val="00761383"/>
    <w:rsid w:val="0076144E"/>
    <w:rsid w:val="007617FE"/>
    <w:rsid w:val="00761B48"/>
    <w:rsid w:val="00761C54"/>
    <w:rsid w:val="00761DC4"/>
    <w:rsid w:val="00762333"/>
    <w:rsid w:val="007623EC"/>
    <w:rsid w:val="00762D49"/>
    <w:rsid w:val="00763430"/>
    <w:rsid w:val="00763726"/>
    <w:rsid w:val="0076408F"/>
    <w:rsid w:val="00764F19"/>
    <w:rsid w:val="0076529B"/>
    <w:rsid w:val="007656CA"/>
    <w:rsid w:val="007663A7"/>
    <w:rsid w:val="00766CFE"/>
    <w:rsid w:val="00767251"/>
    <w:rsid w:val="0076725F"/>
    <w:rsid w:val="007672F8"/>
    <w:rsid w:val="00767640"/>
    <w:rsid w:val="007679C7"/>
    <w:rsid w:val="0077026A"/>
    <w:rsid w:val="00770E63"/>
    <w:rsid w:val="007710BD"/>
    <w:rsid w:val="0077136E"/>
    <w:rsid w:val="00771CD7"/>
    <w:rsid w:val="00771D01"/>
    <w:rsid w:val="00772028"/>
    <w:rsid w:val="00772076"/>
    <w:rsid w:val="00772329"/>
    <w:rsid w:val="0077253D"/>
    <w:rsid w:val="007736B5"/>
    <w:rsid w:val="00773B73"/>
    <w:rsid w:val="00774323"/>
    <w:rsid w:val="0077483F"/>
    <w:rsid w:val="00774A65"/>
    <w:rsid w:val="00774C7B"/>
    <w:rsid w:val="00774D71"/>
    <w:rsid w:val="00774E82"/>
    <w:rsid w:val="007753E2"/>
    <w:rsid w:val="00775617"/>
    <w:rsid w:val="0077731E"/>
    <w:rsid w:val="007774C6"/>
    <w:rsid w:val="00777BE1"/>
    <w:rsid w:val="007801CA"/>
    <w:rsid w:val="00780F91"/>
    <w:rsid w:val="0078106A"/>
    <w:rsid w:val="007815CB"/>
    <w:rsid w:val="007818AC"/>
    <w:rsid w:val="0078284C"/>
    <w:rsid w:val="00782A31"/>
    <w:rsid w:val="00782CEC"/>
    <w:rsid w:val="0078314B"/>
    <w:rsid w:val="00783B60"/>
    <w:rsid w:val="007844E8"/>
    <w:rsid w:val="00784BDA"/>
    <w:rsid w:val="0078506D"/>
    <w:rsid w:val="00785CE8"/>
    <w:rsid w:val="00785DF7"/>
    <w:rsid w:val="007860FE"/>
    <w:rsid w:val="00786151"/>
    <w:rsid w:val="00786407"/>
    <w:rsid w:val="007873CD"/>
    <w:rsid w:val="00787F66"/>
    <w:rsid w:val="00791218"/>
    <w:rsid w:val="007914B0"/>
    <w:rsid w:val="007919C4"/>
    <w:rsid w:val="0079240B"/>
    <w:rsid w:val="00792532"/>
    <w:rsid w:val="007929DF"/>
    <w:rsid w:val="00792C78"/>
    <w:rsid w:val="007931D8"/>
    <w:rsid w:val="007935C2"/>
    <w:rsid w:val="00793EB4"/>
    <w:rsid w:val="007941C6"/>
    <w:rsid w:val="00794432"/>
    <w:rsid w:val="00794F92"/>
    <w:rsid w:val="00795541"/>
    <w:rsid w:val="00795C5F"/>
    <w:rsid w:val="0079656B"/>
    <w:rsid w:val="00797004"/>
    <w:rsid w:val="00797161"/>
    <w:rsid w:val="0079775D"/>
    <w:rsid w:val="00797B1F"/>
    <w:rsid w:val="007A0377"/>
    <w:rsid w:val="007A0C63"/>
    <w:rsid w:val="007A1396"/>
    <w:rsid w:val="007A1976"/>
    <w:rsid w:val="007A27A2"/>
    <w:rsid w:val="007A2985"/>
    <w:rsid w:val="007A4DC7"/>
    <w:rsid w:val="007A502A"/>
    <w:rsid w:val="007A56D9"/>
    <w:rsid w:val="007A5BDF"/>
    <w:rsid w:val="007A63AF"/>
    <w:rsid w:val="007A7590"/>
    <w:rsid w:val="007A7E1D"/>
    <w:rsid w:val="007B1046"/>
    <w:rsid w:val="007B15FE"/>
    <w:rsid w:val="007B1A3C"/>
    <w:rsid w:val="007B246F"/>
    <w:rsid w:val="007B51DC"/>
    <w:rsid w:val="007B52C2"/>
    <w:rsid w:val="007B5579"/>
    <w:rsid w:val="007B55E0"/>
    <w:rsid w:val="007B64A8"/>
    <w:rsid w:val="007B69B4"/>
    <w:rsid w:val="007B6BB4"/>
    <w:rsid w:val="007B6DFF"/>
    <w:rsid w:val="007B71E9"/>
    <w:rsid w:val="007C041D"/>
    <w:rsid w:val="007C04C7"/>
    <w:rsid w:val="007C08D2"/>
    <w:rsid w:val="007C0C83"/>
    <w:rsid w:val="007C11C9"/>
    <w:rsid w:val="007C1506"/>
    <w:rsid w:val="007C19D8"/>
    <w:rsid w:val="007C1F33"/>
    <w:rsid w:val="007C26AB"/>
    <w:rsid w:val="007C27EB"/>
    <w:rsid w:val="007C2C9F"/>
    <w:rsid w:val="007C2FF3"/>
    <w:rsid w:val="007C363E"/>
    <w:rsid w:val="007C38F6"/>
    <w:rsid w:val="007C4992"/>
    <w:rsid w:val="007C51C3"/>
    <w:rsid w:val="007C5399"/>
    <w:rsid w:val="007C5439"/>
    <w:rsid w:val="007C54AA"/>
    <w:rsid w:val="007C5873"/>
    <w:rsid w:val="007C60AE"/>
    <w:rsid w:val="007C60C7"/>
    <w:rsid w:val="007C6B4F"/>
    <w:rsid w:val="007C6F13"/>
    <w:rsid w:val="007C78DC"/>
    <w:rsid w:val="007C79D5"/>
    <w:rsid w:val="007C7DBC"/>
    <w:rsid w:val="007C7EE3"/>
    <w:rsid w:val="007D03CB"/>
    <w:rsid w:val="007D08E8"/>
    <w:rsid w:val="007D09B0"/>
    <w:rsid w:val="007D0D9B"/>
    <w:rsid w:val="007D127C"/>
    <w:rsid w:val="007D143D"/>
    <w:rsid w:val="007D1487"/>
    <w:rsid w:val="007D1743"/>
    <w:rsid w:val="007D2716"/>
    <w:rsid w:val="007D2F52"/>
    <w:rsid w:val="007D362D"/>
    <w:rsid w:val="007D39C5"/>
    <w:rsid w:val="007D5FE0"/>
    <w:rsid w:val="007D60CC"/>
    <w:rsid w:val="007D69E9"/>
    <w:rsid w:val="007D6D1B"/>
    <w:rsid w:val="007D7952"/>
    <w:rsid w:val="007D7C7F"/>
    <w:rsid w:val="007E022C"/>
    <w:rsid w:val="007E0FC6"/>
    <w:rsid w:val="007E1096"/>
    <w:rsid w:val="007E1593"/>
    <w:rsid w:val="007E15D4"/>
    <w:rsid w:val="007E16EB"/>
    <w:rsid w:val="007E2590"/>
    <w:rsid w:val="007E2747"/>
    <w:rsid w:val="007E31AA"/>
    <w:rsid w:val="007E36C9"/>
    <w:rsid w:val="007E3C08"/>
    <w:rsid w:val="007E3DAE"/>
    <w:rsid w:val="007E3FE7"/>
    <w:rsid w:val="007E4016"/>
    <w:rsid w:val="007E4502"/>
    <w:rsid w:val="007E4871"/>
    <w:rsid w:val="007E52F2"/>
    <w:rsid w:val="007E574E"/>
    <w:rsid w:val="007E5B82"/>
    <w:rsid w:val="007E60DF"/>
    <w:rsid w:val="007E672F"/>
    <w:rsid w:val="007E6D07"/>
    <w:rsid w:val="007E7708"/>
    <w:rsid w:val="007E7FB0"/>
    <w:rsid w:val="007F1A7C"/>
    <w:rsid w:val="007F1CFA"/>
    <w:rsid w:val="007F2408"/>
    <w:rsid w:val="007F2982"/>
    <w:rsid w:val="007F325F"/>
    <w:rsid w:val="007F33D4"/>
    <w:rsid w:val="007F3777"/>
    <w:rsid w:val="007F4757"/>
    <w:rsid w:val="007F4FDA"/>
    <w:rsid w:val="007F5049"/>
    <w:rsid w:val="007F5E69"/>
    <w:rsid w:val="007F5E70"/>
    <w:rsid w:val="007F6003"/>
    <w:rsid w:val="007F66D0"/>
    <w:rsid w:val="007F685C"/>
    <w:rsid w:val="007F6A45"/>
    <w:rsid w:val="007F6CD5"/>
    <w:rsid w:val="008000A2"/>
    <w:rsid w:val="008001BD"/>
    <w:rsid w:val="00800211"/>
    <w:rsid w:val="008003AC"/>
    <w:rsid w:val="008006DB"/>
    <w:rsid w:val="00801398"/>
    <w:rsid w:val="0080166F"/>
    <w:rsid w:val="008018AF"/>
    <w:rsid w:val="0080201C"/>
    <w:rsid w:val="0080298B"/>
    <w:rsid w:val="00802FC7"/>
    <w:rsid w:val="0080332F"/>
    <w:rsid w:val="00803689"/>
    <w:rsid w:val="008039DC"/>
    <w:rsid w:val="00803B4F"/>
    <w:rsid w:val="00803F7E"/>
    <w:rsid w:val="008043F8"/>
    <w:rsid w:val="00805037"/>
    <w:rsid w:val="00805148"/>
    <w:rsid w:val="008056A4"/>
    <w:rsid w:val="008056D9"/>
    <w:rsid w:val="00806748"/>
    <w:rsid w:val="008101F2"/>
    <w:rsid w:val="00810618"/>
    <w:rsid w:val="00810A8E"/>
    <w:rsid w:val="00811644"/>
    <w:rsid w:val="008118AB"/>
    <w:rsid w:val="00812295"/>
    <w:rsid w:val="0081241A"/>
    <w:rsid w:val="00812AD5"/>
    <w:rsid w:val="00812FA9"/>
    <w:rsid w:val="0081333C"/>
    <w:rsid w:val="008134F6"/>
    <w:rsid w:val="0081352A"/>
    <w:rsid w:val="008138EC"/>
    <w:rsid w:val="008139FD"/>
    <w:rsid w:val="00814360"/>
    <w:rsid w:val="008150E3"/>
    <w:rsid w:val="0081529F"/>
    <w:rsid w:val="00815DAF"/>
    <w:rsid w:val="00816055"/>
    <w:rsid w:val="00816140"/>
    <w:rsid w:val="0081643B"/>
    <w:rsid w:val="00820FBE"/>
    <w:rsid w:val="00822BF4"/>
    <w:rsid w:val="00822D11"/>
    <w:rsid w:val="00823184"/>
    <w:rsid w:val="00823641"/>
    <w:rsid w:val="00823E27"/>
    <w:rsid w:val="008245D2"/>
    <w:rsid w:val="00824DB7"/>
    <w:rsid w:val="00824E51"/>
    <w:rsid w:val="00824EFD"/>
    <w:rsid w:val="00825219"/>
    <w:rsid w:val="0082578D"/>
    <w:rsid w:val="00825DF5"/>
    <w:rsid w:val="008262EF"/>
    <w:rsid w:val="00826904"/>
    <w:rsid w:val="0082693E"/>
    <w:rsid w:val="00826958"/>
    <w:rsid w:val="008270E7"/>
    <w:rsid w:val="008272C5"/>
    <w:rsid w:val="0082741D"/>
    <w:rsid w:val="008279D8"/>
    <w:rsid w:val="00827AC0"/>
    <w:rsid w:val="00830195"/>
    <w:rsid w:val="008318F7"/>
    <w:rsid w:val="00831CDB"/>
    <w:rsid w:val="008322E9"/>
    <w:rsid w:val="0083263C"/>
    <w:rsid w:val="008328B5"/>
    <w:rsid w:val="008339D3"/>
    <w:rsid w:val="00834126"/>
    <w:rsid w:val="00834292"/>
    <w:rsid w:val="00834818"/>
    <w:rsid w:val="00834AD5"/>
    <w:rsid w:val="00834F02"/>
    <w:rsid w:val="008355AE"/>
    <w:rsid w:val="008373EC"/>
    <w:rsid w:val="008403F3"/>
    <w:rsid w:val="00840526"/>
    <w:rsid w:val="00840C81"/>
    <w:rsid w:val="00840F46"/>
    <w:rsid w:val="00841BD5"/>
    <w:rsid w:val="0084233B"/>
    <w:rsid w:val="0084293F"/>
    <w:rsid w:val="00842A54"/>
    <w:rsid w:val="00842CCD"/>
    <w:rsid w:val="00842CE2"/>
    <w:rsid w:val="00842F35"/>
    <w:rsid w:val="00843A42"/>
    <w:rsid w:val="00844CFC"/>
    <w:rsid w:val="008455B5"/>
    <w:rsid w:val="00845A8D"/>
    <w:rsid w:val="00845D7A"/>
    <w:rsid w:val="00846B7C"/>
    <w:rsid w:val="00847815"/>
    <w:rsid w:val="00847B5B"/>
    <w:rsid w:val="00847C5B"/>
    <w:rsid w:val="00850B2E"/>
    <w:rsid w:val="00850C2B"/>
    <w:rsid w:val="0085196E"/>
    <w:rsid w:val="00852809"/>
    <w:rsid w:val="00852856"/>
    <w:rsid w:val="00853F2C"/>
    <w:rsid w:val="008543AC"/>
    <w:rsid w:val="00854BEF"/>
    <w:rsid w:val="008554ED"/>
    <w:rsid w:val="00856194"/>
    <w:rsid w:val="00856484"/>
    <w:rsid w:val="008566ED"/>
    <w:rsid w:val="008567B3"/>
    <w:rsid w:val="0085690F"/>
    <w:rsid w:val="008577E7"/>
    <w:rsid w:val="0085782B"/>
    <w:rsid w:val="00857E7A"/>
    <w:rsid w:val="0086036A"/>
    <w:rsid w:val="008614EF"/>
    <w:rsid w:val="00862236"/>
    <w:rsid w:val="008622F6"/>
    <w:rsid w:val="008625B5"/>
    <w:rsid w:val="008625F5"/>
    <w:rsid w:val="008628CF"/>
    <w:rsid w:val="00862F29"/>
    <w:rsid w:val="008631F3"/>
    <w:rsid w:val="00863299"/>
    <w:rsid w:val="0086360D"/>
    <w:rsid w:val="00863AB6"/>
    <w:rsid w:val="00864869"/>
    <w:rsid w:val="0086516F"/>
    <w:rsid w:val="00865188"/>
    <w:rsid w:val="00865470"/>
    <w:rsid w:val="0086642D"/>
    <w:rsid w:val="00866550"/>
    <w:rsid w:val="00866C11"/>
    <w:rsid w:val="00866CC6"/>
    <w:rsid w:val="008672FD"/>
    <w:rsid w:val="008678BB"/>
    <w:rsid w:val="00867964"/>
    <w:rsid w:val="008703A4"/>
    <w:rsid w:val="008706ED"/>
    <w:rsid w:val="008707DB"/>
    <w:rsid w:val="00870D80"/>
    <w:rsid w:val="008714D0"/>
    <w:rsid w:val="00872990"/>
    <w:rsid w:val="00872E8B"/>
    <w:rsid w:val="00873952"/>
    <w:rsid w:val="00873F25"/>
    <w:rsid w:val="00874050"/>
    <w:rsid w:val="00874459"/>
    <w:rsid w:val="0087477A"/>
    <w:rsid w:val="00874CF3"/>
    <w:rsid w:val="00874F4D"/>
    <w:rsid w:val="00875222"/>
    <w:rsid w:val="00875B45"/>
    <w:rsid w:val="008769F7"/>
    <w:rsid w:val="00876D48"/>
    <w:rsid w:val="0087719C"/>
    <w:rsid w:val="00877512"/>
    <w:rsid w:val="00877656"/>
    <w:rsid w:val="008804BD"/>
    <w:rsid w:val="008808F7"/>
    <w:rsid w:val="00880C73"/>
    <w:rsid w:val="00880CAC"/>
    <w:rsid w:val="0088100F"/>
    <w:rsid w:val="008816D5"/>
    <w:rsid w:val="008823E8"/>
    <w:rsid w:val="0088250F"/>
    <w:rsid w:val="00882A28"/>
    <w:rsid w:val="00882FA3"/>
    <w:rsid w:val="00883AC0"/>
    <w:rsid w:val="00883C9A"/>
    <w:rsid w:val="00884362"/>
    <w:rsid w:val="0088445E"/>
    <w:rsid w:val="0088476D"/>
    <w:rsid w:val="008857F4"/>
    <w:rsid w:val="0088580E"/>
    <w:rsid w:val="0088594C"/>
    <w:rsid w:val="00885C5F"/>
    <w:rsid w:val="00886D87"/>
    <w:rsid w:val="00887992"/>
    <w:rsid w:val="00887C54"/>
    <w:rsid w:val="00887E67"/>
    <w:rsid w:val="00887F07"/>
    <w:rsid w:val="00887FB2"/>
    <w:rsid w:val="0089008D"/>
    <w:rsid w:val="00890F24"/>
    <w:rsid w:val="00891145"/>
    <w:rsid w:val="00891B13"/>
    <w:rsid w:val="008920A4"/>
    <w:rsid w:val="00892146"/>
    <w:rsid w:val="00892737"/>
    <w:rsid w:val="008930B1"/>
    <w:rsid w:val="00893DE7"/>
    <w:rsid w:val="0089442B"/>
    <w:rsid w:val="00894DD9"/>
    <w:rsid w:val="00894FC1"/>
    <w:rsid w:val="0089588A"/>
    <w:rsid w:val="00895E3E"/>
    <w:rsid w:val="00896B78"/>
    <w:rsid w:val="00897393"/>
    <w:rsid w:val="00897417"/>
    <w:rsid w:val="00897530"/>
    <w:rsid w:val="00897531"/>
    <w:rsid w:val="00897C61"/>
    <w:rsid w:val="00897EC3"/>
    <w:rsid w:val="008A015D"/>
    <w:rsid w:val="008A0216"/>
    <w:rsid w:val="008A06B9"/>
    <w:rsid w:val="008A07CD"/>
    <w:rsid w:val="008A0B4F"/>
    <w:rsid w:val="008A0DC3"/>
    <w:rsid w:val="008A131A"/>
    <w:rsid w:val="008A1520"/>
    <w:rsid w:val="008A1B53"/>
    <w:rsid w:val="008A1D5E"/>
    <w:rsid w:val="008A2090"/>
    <w:rsid w:val="008A235B"/>
    <w:rsid w:val="008A2526"/>
    <w:rsid w:val="008A2B98"/>
    <w:rsid w:val="008A2E01"/>
    <w:rsid w:val="008A3016"/>
    <w:rsid w:val="008A34DA"/>
    <w:rsid w:val="008A3801"/>
    <w:rsid w:val="008A3F8C"/>
    <w:rsid w:val="008A41C2"/>
    <w:rsid w:val="008A468D"/>
    <w:rsid w:val="008A5201"/>
    <w:rsid w:val="008A578D"/>
    <w:rsid w:val="008A5978"/>
    <w:rsid w:val="008A62E6"/>
    <w:rsid w:val="008A64A4"/>
    <w:rsid w:val="008A64CB"/>
    <w:rsid w:val="008A7AA2"/>
    <w:rsid w:val="008A7B46"/>
    <w:rsid w:val="008A7DE9"/>
    <w:rsid w:val="008B1450"/>
    <w:rsid w:val="008B15EB"/>
    <w:rsid w:val="008B19E5"/>
    <w:rsid w:val="008B1AB5"/>
    <w:rsid w:val="008B1BD0"/>
    <w:rsid w:val="008B1C81"/>
    <w:rsid w:val="008B291C"/>
    <w:rsid w:val="008B3280"/>
    <w:rsid w:val="008B38F9"/>
    <w:rsid w:val="008B3DBB"/>
    <w:rsid w:val="008B6660"/>
    <w:rsid w:val="008B6AAE"/>
    <w:rsid w:val="008B6C84"/>
    <w:rsid w:val="008B6CCA"/>
    <w:rsid w:val="008B767B"/>
    <w:rsid w:val="008B78ED"/>
    <w:rsid w:val="008B7C93"/>
    <w:rsid w:val="008B7E14"/>
    <w:rsid w:val="008B7F7B"/>
    <w:rsid w:val="008B7FA2"/>
    <w:rsid w:val="008C0076"/>
    <w:rsid w:val="008C0100"/>
    <w:rsid w:val="008C02FC"/>
    <w:rsid w:val="008C1D88"/>
    <w:rsid w:val="008C1F95"/>
    <w:rsid w:val="008C261C"/>
    <w:rsid w:val="008C2AD1"/>
    <w:rsid w:val="008C2C50"/>
    <w:rsid w:val="008C3A12"/>
    <w:rsid w:val="008C3A7C"/>
    <w:rsid w:val="008C3F24"/>
    <w:rsid w:val="008C48FB"/>
    <w:rsid w:val="008C4C4B"/>
    <w:rsid w:val="008C54E3"/>
    <w:rsid w:val="008C54F0"/>
    <w:rsid w:val="008C55BD"/>
    <w:rsid w:val="008C5B89"/>
    <w:rsid w:val="008C64D7"/>
    <w:rsid w:val="008C67FA"/>
    <w:rsid w:val="008C6BA5"/>
    <w:rsid w:val="008C6E72"/>
    <w:rsid w:val="008C6FC2"/>
    <w:rsid w:val="008C7403"/>
    <w:rsid w:val="008C7462"/>
    <w:rsid w:val="008C76DB"/>
    <w:rsid w:val="008D01ED"/>
    <w:rsid w:val="008D057E"/>
    <w:rsid w:val="008D13F7"/>
    <w:rsid w:val="008D28A4"/>
    <w:rsid w:val="008D33DE"/>
    <w:rsid w:val="008D3AF2"/>
    <w:rsid w:val="008D407E"/>
    <w:rsid w:val="008D4224"/>
    <w:rsid w:val="008D4329"/>
    <w:rsid w:val="008D60CB"/>
    <w:rsid w:val="008D6387"/>
    <w:rsid w:val="008D6BDE"/>
    <w:rsid w:val="008D6DF3"/>
    <w:rsid w:val="008E019B"/>
    <w:rsid w:val="008E043A"/>
    <w:rsid w:val="008E0BF1"/>
    <w:rsid w:val="008E0CE3"/>
    <w:rsid w:val="008E12C0"/>
    <w:rsid w:val="008E145E"/>
    <w:rsid w:val="008E1879"/>
    <w:rsid w:val="008E212C"/>
    <w:rsid w:val="008E23D7"/>
    <w:rsid w:val="008E28F3"/>
    <w:rsid w:val="008E2A1A"/>
    <w:rsid w:val="008E3054"/>
    <w:rsid w:val="008E3596"/>
    <w:rsid w:val="008E372A"/>
    <w:rsid w:val="008E38A6"/>
    <w:rsid w:val="008E3A9D"/>
    <w:rsid w:val="008E46A2"/>
    <w:rsid w:val="008E4761"/>
    <w:rsid w:val="008E4901"/>
    <w:rsid w:val="008E4946"/>
    <w:rsid w:val="008E4C9E"/>
    <w:rsid w:val="008E4F1D"/>
    <w:rsid w:val="008E53A1"/>
    <w:rsid w:val="008E54FF"/>
    <w:rsid w:val="008E5AE9"/>
    <w:rsid w:val="008E5E40"/>
    <w:rsid w:val="008E61C7"/>
    <w:rsid w:val="008E7571"/>
    <w:rsid w:val="008E7841"/>
    <w:rsid w:val="008E7944"/>
    <w:rsid w:val="008F0CD0"/>
    <w:rsid w:val="008F1112"/>
    <w:rsid w:val="008F1E29"/>
    <w:rsid w:val="008F37F8"/>
    <w:rsid w:val="008F3C1B"/>
    <w:rsid w:val="008F40F2"/>
    <w:rsid w:val="008F4567"/>
    <w:rsid w:val="008F4934"/>
    <w:rsid w:val="008F4A34"/>
    <w:rsid w:val="008F4E58"/>
    <w:rsid w:val="008F5051"/>
    <w:rsid w:val="008F5475"/>
    <w:rsid w:val="008F5894"/>
    <w:rsid w:val="008F596E"/>
    <w:rsid w:val="008F5D79"/>
    <w:rsid w:val="008F70BC"/>
    <w:rsid w:val="008F725C"/>
    <w:rsid w:val="008F74BF"/>
    <w:rsid w:val="008F79AF"/>
    <w:rsid w:val="008F7F61"/>
    <w:rsid w:val="00901A8D"/>
    <w:rsid w:val="00901B64"/>
    <w:rsid w:val="00901F8A"/>
    <w:rsid w:val="00902273"/>
    <w:rsid w:val="00902711"/>
    <w:rsid w:val="0090290B"/>
    <w:rsid w:val="00902A66"/>
    <w:rsid w:val="00902AED"/>
    <w:rsid w:val="00902F96"/>
    <w:rsid w:val="00903BF4"/>
    <w:rsid w:val="00903FAB"/>
    <w:rsid w:val="009040D8"/>
    <w:rsid w:val="0090475B"/>
    <w:rsid w:val="009047C2"/>
    <w:rsid w:val="00904869"/>
    <w:rsid w:val="0090492D"/>
    <w:rsid w:val="00905249"/>
    <w:rsid w:val="0090525D"/>
    <w:rsid w:val="009054A3"/>
    <w:rsid w:val="009062F0"/>
    <w:rsid w:val="00906781"/>
    <w:rsid w:val="00906A50"/>
    <w:rsid w:val="009073B5"/>
    <w:rsid w:val="009109E8"/>
    <w:rsid w:val="009110A7"/>
    <w:rsid w:val="009113AD"/>
    <w:rsid w:val="009118FD"/>
    <w:rsid w:val="00911C4B"/>
    <w:rsid w:val="0091274D"/>
    <w:rsid w:val="00912DF5"/>
    <w:rsid w:val="00913030"/>
    <w:rsid w:val="00913241"/>
    <w:rsid w:val="009132BB"/>
    <w:rsid w:val="00913633"/>
    <w:rsid w:val="00913E8D"/>
    <w:rsid w:val="0091428F"/>
    <w:rsid w:val="009149B3"/>
    <w:rsid w:val="00914B80"/>
    <w:rsid w:val="00914EA7"/>
    <w:rsid w:val="0091572B"/>
    <w:rsid w:val="00915B66"/>
    <w:rsid w:val="0091617F"/>
    <w:rsid w:val="009163C6"/>
    <w:rsid w:val="0091760C"/>
    <w:rsid w:val="00917AA1"/>
    <w:rsid w:val="00920308"/>
    <w:rsid w:val="009203BC"/>
    <w:rsid w:val="009203DA"/>
    <w:rsid w:val="0092164B"/>
    <w:rsid w:val="00921E28"/>
    <w:rsid w:val="0092222F"/>
    <w:rsid w:val="009222D6"/>
    <w:rsid w:val="0092234E"/>
    <w:rsid w:val="00923442"/>
    <w:rsid w:val="00923D5E"/>
    <w:rsid w:val="00923F71"/>
    <w:rsid w:val="00924040"/>
    <w:rsid w:val="00924595"/>
    <w:rsid w:val="009257C5"/>
    <w:rsid w:val="0092590D"/>
    <w:rsid w:val="0092735A"/>
    <w:rsid w:val="009325C7"/>
    <w:rsid w:val="009340C7"/>
    <w:rsid w:val="009345E8"/>
    <w:rsid w:val="00934850"/>
    <w:rsid w:val="00934B01"/>
    <w:rsid w:val="00934B6D"/>
    <w:rsid w:val="00934ED6"/>
    <w:rsid w:val="00934FDF"/>
    <w:rsid w:val="009352DB"/>
    <w:rsid w:val="0093536C"/>
    <w:rsid w:val="009361BF"/>
    <w:rsid w:val="00936AEE"/>
    <w:rsid w:val="00937428"/>
    <w:rsid w:val="00937A92"/>
    <w:rsid w:val="00937B9D"/>
    <w:rsid w:val="009406C7"/>
    <w:rsid w:val="00941C5B"/>
    <w:rsid w:val="00941D8B"/>
    <w:rsid w:val="00942C08"/>
    <w:rsid w:val="00942C9E"/>
    <w:rsid w:val="00943603"/>
    <w:rsid w:val="00943F47"/>
    <w:rsid w:val="0094540A"/>
    <w:rsid w:val="00945982"/>
    <w:rsid w:val="00945E5D"/>
    <w:rsid w:val="00945EA7"/>
    <w:rsid w:val="00946494"/>
    <w:rsid w:val="009471F4"/>
    <w:rsid w:val="009475FD"/>
    <w:rsid w:val="00950270"/>
    <w:rsid w:val="00950B96"/>
    <w:rsid w:val="00950D76"/>
    <w:rsid w:val="0095119A"/>
    <w:rsid w:val="009512C8"/>
    <w:rsid w:val="00952AEB"/>
    <w:rsid w:val="00953539"/>
    <w:rsid w:val="009535A3"/>
    <w:rsid w:val="00953643"/>
    <w:rsid w:val="00953CAE"/>
    <w:rsid w:val="009542C8"/>
    <w:rsid w:val="009544CA"/>
    <w:rsid w:val="0095454F"/>
    <w:rsid w:val="009557C0"/>
    <w:rsid w:val="009558C9"/>
    <w:rsid w:val="00955DC2"/>
    <w:rsid w:val="0095727B"/>
    <w:rsid w:val="0096082B"/>
    <w:rsid w:val="00960A6E"/>
    <w:rsid w:val="00960CDB"/>
    <w:rsid w:val="0096126E"/>
    <w:rsid w:val="009619D0"/>
    <w:rsid w:val="009619DD"/>
    <w:rsid w:val="00961FA7"/>
    <w:rsid w:val="009625EE"/>
    <w:rsid w:val="00962AAA"/>
    <w:rsid w:val="00962D57"/>
    <w:rsid w:val="00963696"/>
    <w:rsid w:val="00963A03"/>
    <w:rsid w:val="00964265"/>
    <w:rsid w:val="00964452"/>
    <w:rsid w:val="0096448F"/>
    <w:rsid w:val="00965290"/>
    <w:rsid w:val="0096652F"/>
    <w:rsid w:val="00967424"/>
    <w:rsid w:val="00970180"/>
    <w:rsid w:val="00970E6D"/>
    <w:rsid w:val="00971212"/>
    <w:rsid w:val="00971AA1"/>
    <w:rsid w:val="00971B95"/>
    <w:rsid w:val="00972A01"/>
    <w:rsid w:val="00972CE8"/>
    <w:rsid w:val="00973301"/>
    <w:rsid w:val="00973DA2"/>
    <w:rsid w:val="00974432"/>
    <w:rsid w:val="00974CEF"/>
    <w:rsid w:val="00975509"/>
    <w:rsid w:val="009767E5"/>
    <w:rsid w:val="00980724"/>
    <w:rsid w:val="00980947"/>
    <w:rsid w:val="0098109B"/>
    <w:rsid w:val="009820A0"/>
    <w:rsid w:val="00982186"/>
    <w:rsid w:val="00982419"/>
    <w:rsid w:val="0098255E"/>
    <w:rsid w:val="009832D7"/>
    <w:rsid w:val="009834AD"/>
    <w:rsid w:val="00983652"/>
    <w:rsid w:val="00983CBF"/>
    <w:rsid w:val="00984B2A"/>
    <w:rsid w:val="00984E90"/>
    <w:rsid w:val="00984FE8"/>
    <w:rsid w:val="009852F0"/>
    <w:rsid w:val="00985CA2"/>
    <w:rsid w:val="00986C8B"/>
    <w:rsid w:val="00986CBA"/>
    <w:rsid w:val="0098756C"/>
    <w:rsid w:val="009875C0"/>
    <w:rsid w:val="0099050C"/>
    <w:rsid w:val="00990556"/>
    <w:rsid w:val="00991096"/>
    <w:rsid w:val="009914B4"/>
    <w:rsid w:val="009918CC"/>
    <w:rsid w:val="00991C35"/>
    <w:rsid w:val="0099239E"/>
    <w:rsid w:val="00992E1B"/>
    <w:rsid w:val="00992FB8"/>
    <w:rsid w:val="00993317"/>
    <w:rsid w:val="00993773"/>
    <w:rsid w:val="00993DA1"/>
    <w:rsid w:val="00994217"/>
    <w:rsid w:val="0099434F"/>
    <w:rsid w:val="00994422"/>
    <w:rsid w:val="009944E2"/>
    <w:rsid w:val="00996399"/>
    <w:rsid w:val="009A0319"/>
    <w:rsid w:val="009A06A3"/>
    <w:rsid w:val="009A0B6C"/>
    <w:rsid w:val="009A10F4"/>
    <w:rsid w:val="009A1368"/>
    <w:rsid w:val="009A1653"/>
    <w:rsid w:val="009A1C97"/>
    <w:rsid w:val="009A2276"/>
    <w:rsid w:val="009A24D3"/>
    <w:rsid w:val="009A25A3"/>
    <w:rsid w:val="009A3CF8"/>
    <w:rsid w:val="009A3D64"/>
    <w:rsid w:val="009A4E01"/>
    <w:rsid w:val="009A5048"/>
    <w:rsid w:val="009A5142"/>
    <w:rsid w:val="009A5202"/>
    <w:rsid w:val="009A580D"/>
    <w:rsid w:val="009A58B8"/>
    <w:rsid w:val="009A60D8"/>
    <w:rsid w:val="009A6342"/>
    <w:rsid w:val="009A69CE"/>
    <w:rsid w:val="009A6AD8"/>
    <w:rsid w:val="009A6EF9"/>
    <w:rsid w:val="009A720F"/>
    <w:rsid w:val="009A7351"/>
    <w:rsid w:val="009B008A"/>
    <w:rsid w:val="009B0AF7"/>
    <w:rsid w:val="009B0E25"/>
    <w:rsid w:val="009B2017"/>
    <w:rsid w:val="009B25E2"/>
    <w:rsid w:val="009B2AF3"/>
    <w:rsid w:val="009B2C38"/>
    <w:rsid w:val="009B2F7C"/>
    <w:rsid w:val="009B2FE5"/>
    <w:rsid w:val="009B39AB"/>
    <w:rsid w:val="009B3B34"/>
    <w:rsid w:val="009B3F9D"/>
    <w:rsid w:val="009B43A2"/>
    <w:rsid w:val="009B478F"/>
    <w:rsid w:val="009B4DB2"/>
    <w:rsid w:val="009B4E3D"/>
    <w:rsid w:val="009B57F8"/>
    <w:rsid w:val="009B6220"/>
    <w:rsid w:val="009B694D"/>
    <w:rsid w:val="009B6DAC"/>
    <w:rsid w:val="009C06C8"/>
    <w:rsid w:val="009C09E0"/>
    <w:rsid w:val="009C101F"/>
    <w:rsid w:val="009C1407"/>
    <w:rsid w:val="009C16DD"/>
    <w:rsid w:val="009C18C7"/>
    <w:rsid w:val="009C1C5D"/>
    <w:rsid w:val="009C22D3"/>
    <w:rsid w:val="009C243B"/>
    <w:rsid w:val="009C30A9"/>
    <w:rsid w:val="009C34B3"/>
    <w:rsid w:val="009C3E38"/>
    <w:rsid w:val="009C5459"/>
    <w:rsid w:val="009C63F0"/>
    <w:rsid w:val="009C6FDF"/>
    <w:rsid w:val="009C71AB"/>
    <w:rsid w:val="009C726D"/>
    <w:rsid w:val="009C749D"/>
    <w:rsid w:val="009D078E"/>
    <w:rsid w:val="009D0B8A"/>
    <w:rsid w:val="009D0F97"/>
    <w:rsid w:val="009D247C"/>
    <w:rsid w:val="009D252E"/>
    <w:rsid w:val="009D2ABB"/>
    <w:rsid w:val="009D3151"/>
    <w:rsid w:val="009D38C7"/>
    <w:rsid w:val="009D3959"/>
    <w:rsid w:val="009D4927"/>
    <w:rsid w:val="009D6DB6"/>
    <w:rsid w:val="009D7CBC"/>
    <w:rsid w:val="009E0BC5"/>
    <w:rsid w:val="009E0C2D"/>
    <w:rsid w:val="009E2834"/>
    <w:rsid w:val="009E2BFF"/>
    <w:rsid w:val="009E2DBE"/>
    <w:rsid w:val="009E2E88"/>
    <w:rsid w:val="009E314B"/>
    <w:rsid w:val="009E3328"/>
    <w:rsid w:val="009E3488"/>
    <w:rsid w:val="009E3773"/>
    <w:rsid w:val="009E4961"/>
    <w:rsid w:val="009E5CA1"/>
    <w:rsid w:val="009E67D9"/>
    <w:rsid w:val="009E6828"/>
    <w:rsid w:val="009E7641"/>
    <w:rsid w:val="009F074D"/>
    <w:rsid w:val="009F07EB"/>
    <w:rsid w:val="009F136E"/>
    <w:rsid w:val="009F14D1"/>
    <w:rsid w:val="009F2019"/>
    <w:rsid w:val="009F23F6"/>
    <w:rsid w:val="009F23FB"/>
    <w:rsid w:val="009F2D83"/>
    <w:rsid w:val="009F2D8B"/>
    <w:rsid w:val="009F2E69"/>
    <w:rsid w:val="009F31B0"/>
    <w:rsid w:val="009F38BD"/>
    <w:rsid w:val="009F39C3"/>
    <w:rsid w:val="009F51B5"/>
    <w:rsid w:val="009F52A2"/>
    <w:rsid w:val="009F541B"/>
    <w:rsid w:val="009F5712"/>
    <w:rsid w:val="009F57F5"/>
    <w:rsid w:val="009F5E5F"/>
    <w:rsid w:val="009F6064"/>
    <w:rsid w:val="009F648D"/>
    <w:rsid w:val="009F6AB9"/>
    <w:rsid w:val="009F6D20"/>
    <w:rsid w:val="009F7279"/>
    <w:rsid w:val="009F72F5"/>
    <w:rsid w:val="009F7B80"/>
    <w:rsid w:val="009F7D35"/>
    <w:rsid w:val="00A007B4"/>
    <w:rsid w:val="00A00B33"/>
    <w:rsid w:val="00A00BAF"/>
    <w:rsid w:val="00A00EB5"/>
    <w:rsid w:val="00A01511"/>
    <w:rsid w:val="00A01AB7"/>
    <w:rsid w:val="00A01B9E"/>
    <w:rsid w:val="00A01D25"/>
    <w:rsid w:val="00A01DD6"/>
    <w:rsid w:val="00A02314"/>
    <w:rsid w:val="00A02371"/>
    <w:rsid w:val="00A02700"/>
    <w:rsid w:val="00A02FE9"/>
    <w:rsid w:val="00A0336B"/>
    <w:rsid w:val="00A044E2"/>
    <w:rsid w:val="00A0476E"/>
    <w:rsid w:val="00A04A4C"/>
    <w:rsid w:val="00A05940"/>
    <w:rsid w:val="00A06C11"/>
    <w:rsid w:val="00A072A2"/>
    <w:rsid w:val="00A07AED"/>
    <w:rsid w:val="00A07D4D"/>
    <w:rsid w:val="00A1106E"/>
    <w:rsid w:val="00A11093"/>
    <w:rsid w:val="00A110FA"/>
    <w:rsid w:val="00A1117F"/>
    <w:rsid w:val="00A1165E"/>
    <w:rsid w:val="00A11A9C"/>
    <w:rsid w:val="00A12121"/>
    <w:rsid w:val="00A13B35"/>
    <w:rsid w:val="00A13C7D"/>
    <w:rsid w:val="00A13E3A"/>
    <w:rsid w:val="00A14ACB"/>
    <w:rsid w:val="00A15441"/>
    <w:rsid w:val="00A15743"/>
    <w:rsid w:val="00A16BE3"/>
    <w:rsid w:val="00A16EF6"/>
    <w:rsid w:val="00A20183"/>
    <w:rsid w:val="00A207EE"/>
    <w:rsid w:val="00A20AF1"/>
    <w:rsid w:val="00A2164B"/>
    <w:rsid w:val="00A2189B"/>
    <w:rsid w:val="00A22ADA"/>
    <w:rsid w:val="00A22F61"/>
    <w:rsid w:val="00A23004"/>
    <w:rsid w:val="00A241D9"/>
    <w:rsid w:val="00A243B4"/>
    <w:rsid w:val="00A24963"/>
    <w:rsid w:val="00A250B0"/>
    <w:rsid w:val="00A258FF"/>
    <w:rsid w:val="00A25A93"/>
    <w:rsid w:val="00A25EEA"/>
    <w:rsid w:val="00A2677E"/>
    <w:rsid w:val="00A26AC6"/>
    <w:rsid w:val="00A276C5"/>
    <w:rsid w:val="00A27ED5"/>
    <w:rsid w:val="00A3052A"/>
    <w:rsid w:val="00A312FB"/>
    <w:rsid w:val="00A314B1"/>
    <w:rsid w:val="00A314FD"/>
    <w:rsid w:val="00A322B1"/>
    <w:rsid w:val="00A322BD"/>
    <w:rsid w:val="00A3265A"/>
    <w:rsid w:val="00A32D82"/>
    <w:rsid w:val="00A33856"/>
    <w:rsid w:val="00A33AA7"/>
    <w:rsid w:val="00A342FA"/>
    <w:rsid w:val="00A3456E"/>
    <w:rsid w:val="00A35F42"/>
    <w:rsid w:val="00A36079"/>
    <w:rsid w:val="00A366B1"/>
    <w:rsid w:val="00A37978"/>
    <w:rsid w:val="00A37D42"/>
    <w:rsid w:val="00A4064E"/>
    <w:rsid w:val="00A40DC4"/>
    <w:rsid w:val="00A40E23"/>
    <w:rsid w:val="00A4102F"/>
    <w:rsid w:val="00A4199B"/>
    <w:rsid w:val="00A41DA9"/>
    <w:rsid w:val="00A425BF"/>
    <w:rsid w:val="00A4284C"/>
    <w:rsid w:val="00A437C8"/>
    <w:rsid w:val="00A446FF"/>
    <w:rsid w:val="00A44A38"/>
    <w:rsid w:val="00A4580A"/>
    <w:rsid w:val="00A45EBF"/>
    <w:rsid w:val="00A45FE3"/>
    <w:rsid w:val="00A46BF4"/>
    <w:rsid w:val="00A46C0F"/>
    <w:rsid w:val="00A46C65"/>
    <w:rsid w:val="00A4762E"/>
    <w:rsid w:val="00A47D56"/>
    <w:rsid w:val="00A501BF"/>
    <w:rsid w:val="00A50667"/>
    <w:rsid w:val="00A50E7C"/>
    <w:rsid w:val="00A50F2D"/>
    <w:rsid w:val="00A5197F"/>
    <w:rsid w:val="00A51DCD"/>
    <w:rsid w:val="00A520A8"/>
    <w:rsid w:val="00A52352"/>
    <w:rsid w:val="00A528D7"/>
    <w:rsid w:val="00A52F53"/>
    <w:rsid w:val="00A53632"/>
    <w:rsid w:val="00A538BD"/>
    <w:rsid w:val="00A55186"/>
    <w:rsid w:val="00A55305"/>
    <w:rsid w:val="00A55783"/>
    <w:rsid w:val="00A55B86"/>
    <w:rsid w:val="00A56823"/>
    <w:rsid w:val="00A56C5D"/>
    <w:rsid w:val="00A56CAA"/>
    <w:rsid w:val="00A56E48"/>
    <w:rsid w:val="00A572B3"/>
    <w:rsid w:val="00A60198"/>
    <w:rsid w:val="00A60214"/>
    <w:rsid w:val="00A602D8"/>
    <w:rsid w:val="00A609C8"/>
    <w:rsid w:val="00A60A1E"/>
    <w:rsid w:val="00A60C18"/>
    <w:rsid w:val="00A6229F"/>
    <w:rsid w:val="00A624ED"/>
    <w:rsid w:val="00A629E3"/>
    <w:rsid w:val="00A62D23"/>
    <w:rsid w:val="00A62F08"/>
    <w:rsid w:val="00A638CD"/>
    <w:rsid w:val="00A63A38"/>
    <w:rsid w:val="00A64033"/>
    <w:rsid w:val="00A6440F"/>
    <w:rsid w:val="00A64C58"/>
    <w:rsid w:val="00A64E2C"/>
    <w:rsid w:val="00A64FB7"/>
    <w:rsid w:val="00A66332"/>
    <w:rsid w:val="00A6642F"/>
    <w:rsid w:val="00A666E2"/>
    <w:rsid w:val="00A66A88"/>
    <w:rsid w:val="00A675A3"/>
    <w:rsid w:val="00A67736"/>
    <w:rsid w:val="00A67B5C"/>
    <w:rsid w:val="00A70877"/>
    <w:rsid w:val="00A7165E"/>
    <w:rsid w:val="00A7275E"/>
    <w:rsid w:val="00A7314A"/>
    <w:rsid w:val="00A74BA4"/>
    <w:rsid w:val="00A758B5"/>
    <w:rsid w:val="00A75B8C"/>
    <w:rsid w:val="00A75C7F"/>
    <w:rsid w:val="00A75C82"/>
    <w:rsid w:val="00A75D7F"/>
    <w:rsid w:val="00A7600E"/>
    <w:rsid w:val="00A76FE3"/>
    <w:rsid w:val="00A77310"/>
    <w:rsid w:val="00A779A8"/>
    <w:rsid w:val="00A77D9E"/>
    <w:rsid w:val="00A805FA"/>
    <w:rsid w:val="00A80968"/>
    <w:rsid w:val="00A80AE2"/>
    <w:rsid w:val="00A80DB7"/>
    <w:rsid w:val="00A810DC"/>
    <w:rsid w:val="00A81EE6"/>
    <w:rsid w:val="00A82AA4"/>
    <w:rsid w:val="00A82ECF"/>
    <w:rsid w:val="00A83172"/>
    <w:rsid w:val="00A83180"/>
    <w:rsid w:val="00A8330B"/>
    <w:rsid w:val="00A83623"/>
    <w:rsid w:val="00A83DCA"/>
    <w:rsid w:val="00A83E2D"/>
    <w:rsid w:val="00A83EB7"/>
    <w:rsid w:val="00A841A7"/>
    <w:rsid w:val="00A84620"/>
    <w:rsid w:val="00A859F9"/>
    <w:rsid w:val="00A866CA"/>
    <w:rsid w:val="00A86CB8"/>
    <w:rsid w:val="00A86DBF"/>
    <w:rsid w:val="00A87246"/>
    <w:rsid w:val="00A9099D"/>
    <w:rsid w:val="00A90A5B"/>
    <w:rsid w:val="00A91005"/>
    <w:rsid w:val="00A910A6"/>
    <w:rsid w:val="00A91441"/>
    <w:rsid w:val="00A92207"/>
    <w:rsid w:val="00A92A7F"/>
    <w:rsid w:val="00A92EE4"/>
    <w:rsid w:val="00A932F9"/>
    <w:rsid w:val="00A935D7"/>
    <w:rsid w:val="00A94165"/>
    <w:rsid w:val="00A942AC"/>
    <w:rsid w:val="00A947A1"/>
    <w:rsid w:val="00A94978"/>
    <w:rsid w:val="00A94C07"/>
    <w:rsid w:val="00A962FD"/>
    <w:rsid w:val="00A976A1"/>
    <w:rsid w:val="00A97AE9"/>
    <w:rsid w:val="00AA059C"/>
    <w:rsid w:val="00AA0703"/>
    <w:rsid w:val="00AA08C2"/>
    <w:rsid w:val="00AA1E89"/>
    <w:rsid w:val="00AA1F22"/>
    <w:rsid w:val="00AA2008"/>
    <w:rsid w:val="00AA2868"/>
    <w:rsid w:val="00AA2B71"/>
    <w:rsid w:val="00AA2D64"/>
    <w:rsid w:val="00AA2EBE"/>
    <w:rsid w:val="00AA2F69"/>
    <w:rsid w:val="00AA3DFE"/>
    <w:rsid w:val="00AA4C48"/>
    <w:rsid w:val="00AA4CA6"/>
    <w:rsid w:val="00AA597A"/>
    <w:rsid w:val="00AA5CFA"/>
    <w:rsid w:val="00AA64CE"/>
    <w:rsid w:val="00AA64FB"/>
    <w:rsid w:val="00AA660E"/>
    <w:rsid w:val="00AA6738"/>
    <w:rsid w:val="00AA69B4"/>
    <w:rsid w:val="00AA6FFA"/>
    <w:rsid w:val="00AA7441"/>
    <w:rsid w:val="00AB02B2"/>
    <w:rsid w:val="00AB058A"/>
    <w:rsid w:val="00AB11A9"/>
    <w:rsid w:val="00AB12DB"/>
    <w:rsid w:val="00AB134A"/>
    <w:rsid w:val="00AB158F"/>
    <w:rsid w:val="00AB20A7"/>
    <w:rsid w:val="00AB2149"/>
    <w:rsid w:val="00AB243A"/>
    <w:rsid w:val="00AB24CC"/>
    <w:rsid w:val="00AB26FD"/>
    <w:rsid w:val="00AB36B8"/>
    <w:rsid w:val="00AB3A24"/>
    <w:rsid w:val="00AB3B89"/>
    <w:rsid w:val="00AB4B14"/>
    <w:rsid w:val="00AB542E"/>
    <w:rsid w:val="00AB5440"/>
    <w:rsid w:val="00AB57BE"/>
    <w:rsid w:val="00AB6476"/>
    <w:rsid w:val="00AB64DF"/>
    <w:rsid w:val="00AB7663"/>
    <w:rsid w:val="00AC101B"/>
    <w:rsid w:val="00AC1A7E"/>
    <w:rsid w:val="00AC24DB"/>
    <w:rsid w:val="00AC2A7D"/>
    <w:rsid w:val="00AC3020"/>
    <w:rsid w:val="00AC3266"/>
    <w:rsid w:val="00AC348C"/>
    <w:rsid w:val="00AC3F00"/>
    <w:rsid w:val="00AC44CE"/>
    <w:rsid w:val="00AC52EC"/>
    <w:rsid w:val="00AC598C"/>
    <w:rsid w:val="00AC5E4F"/>
    <w:rsid w:val="00AC6ABC"/>
    <w:rsid w:val="00AC7901"/>
    <w:rsid w:val="00AC7B06"/>
    <w:rsid w:val="00AD0AFE"/>
    <w:rsid w:val="00AD114C"/>
    <w:rsid w:val="00AD1610"/>
    <w:rsid w:val="00AD1AC1"/>
    <w:rsid w:val="00AD1AF0"/>
    <w:rsid w:val="00AD2EC4"/>
    <w:rsid w:val="00AD36CA"/>
    <w:rsid w:val="00AD403B"/>
    <w:rsid w:val="00AD4186"/>
    <w:rsid w:val="00AD5946"/>
    <w:rsid w:val="00AD67F7"/>
    <w:rsid w:val="00AD692B"/>
    <w:rsid w:val="00AD7392"/>
    <w:rsid w:val="00AD7AA3"/>
    <w:rsid w:val="00AD7FED"/>
    <w:rsid w:val="00AE0E2E"/>
    <w:rsid w:val="00AE18F3"/>
    <w:rsid w:val="00AE1F26"/>
    <w:rsid w:val="00AE2080"/>
    <w:rsid w:val="00AE290C"/>
    <w:rsid w:val="00AE338A"/>
    <w:rsid w:val="00AE371E"/>
    <w:rsid w:val="00AE3861"/>
    <w:rsid w:val="00AE4BD6"/>
    <w:rsid w:val="00AE5166"/>
    <w:rsid w:val="00AE53F5"/>
    <w:rsid w:val="00AE5B2A"/>
    <w:rsid w:val="00AE74BE"/>
    <w:rsid w:val="00AE7628"/>
    <w:rsid w:val="00AE76C7"/>
    <w:rsid w:val="00AE7F8B"/>
    <w:rsid w:val="00AF0287"/>
    <w:rsid w:val="00AF0D24"/>
    <w:rsid w:val="00AF0FBE"/>
    <w:rsid w:val="00AF1257"/>
    <w:rsid w:val="00AF1345"/>
    <w:rsid w:val="00AF1401"/>
    <w:rsid w:val="00AF2E32"/>
    <w:rsid w:val="00AF3A8C"/>
    <w:rsid w:val="00AF3B8B"/>
    <w:rsid w:val="00AF4110"/>
    <w:rsid w:val="00AF438E"/>
    <w:rsid w:val="00AF44CC"/>
    <w:rsid w:val="00AF48D9"/>
    <w:rsid w:val="00AF4950"/>
    <w:rsid w:val="00AF496B"/>
    <w:rsid w:val="00AF4AC7"/>
    <w:rsid w:val="00AF4F0D"/>
    <w:rsid w:val="00AF514B"/>
    <w:rsid w:val="00AF5560"/>
    <w:rsid w:val="00AF5632"/>
    <w:rsid w:val="00AF67CD"/>
    <w:rsid w:val="00AF6CE4"/>
    <w:rsid w:val="00AF6F80"/>
    <w:rsid w:val="00AF761D"/>
    <w:rsid w:val="00AF7830"/>
    <w:rsid w:val="00AF78D2"/>
    <w:rsid w:val="00AF7989"/>
    <w:rsid w:val="00AF7B94"/>
    <w:rsid w:val="00B0034F"/>
    <w:rsid w:val="00B01FF3"/>
    <w:rsid w:val="00B020A0"/>
    <w:rsid w:val="00B02246"/>
    <w:rsid w:val="00B02683"/>
    <w:rsid w:val="00B030EB"/>
    <w:rsid w:val="00B0316B"/>
    <w:rsid w:val="00B0381B"/>
    <w:rsid w:val="00B03EDE"/>
    <w:rsid w:val="00B03F27"/>
    <w:rsid w:val="00B0405E"/>
    <w:rsid w:val="00B04135"/>
    <w:rsid w:val="00B04177"/>
    <w:rsid w:val="00B042E1"/>
    <w:rsid w:val="00B044F3"/>
    <w:rsid w:val="00B04A65"/>
    <w:rsid w:val="00B055AD"/>
    <w:rsid w:val="00B058C7"/>
    <w:rsid w:val="00B05DB0"/>
    <w:rsid w:val="00B064E8"/>
    <w:rsid w:val="00B06570"/>
    <w:rsid w:val="00B06684"/>
    <w:rsid w:val="00B072A3"/>
    <w:rsid w:val="00B07343"/>
    <w:rsid w:val="00B07CD0"/>
    <w:rsid w:val="00B07D6C"/>
    <w:rsid w:val="00B07DC1"/>
    <w:rsid w:val="00B07F39"/>
    <w:rsid w:val="00B10ECB"/>
    <w:rsid w:val="00B111BA"/>
    <w:rsid w:val="00B11AF0"/>
    <w:rsid w:val="00B12994"/>
    <w:rsid w:val="00B12CE8"/>
    <w:rsid w:val="00B13444"/>
    <w:rsid w:val="00B1365C"/>
    <w:rsid w:val="00B136C0"/>
    <w:rsid w:val="00B1392B"/>
    <w:rsid w:val="00B13A62"/>
    <w:rsid w:val="00B13B25"/>
    <w:rsid w:val="00B142B6"/>
    <w:rsid w:val="00B14956"/>
    <w:rsid w:val="00B1508F"/>
    <w:rsid w:val="00B1511C"/>
    <w:rsid w:val="00B151B3"/>
    <w:rsid w:val="00B15615"/>
    <w:rsid w:val="00B15E17"/>
    <w:rsid w:val="00B1605B"/>
    <w:rsid w:val="00B16F3F"/>
    <w:rsid w:val="00B17AD0"/>
    <w:rsid w:val="00B17CF4"/>
    <w:rsid w:val="00B20E21"/>
    <w:rsid w:val="00B2120B"/>
    <w:rsid w:val="00B2143E"/>
    <w:rsid w:val="00B214FF"/>
    <w:rsid w:val="00B21802"/>
    <w:rsid w:val="00B21F6C"/>
    <w:rsid w:val="00B224D6"/>
    <w:rsid w:val="00B22876"/>
    <w:rsid w:val="00B229C4"/>
    <w:rsid w:val="00B22E53"/>
    <w:rsid w:val="00B23123"/>
    <w:rsid w:val="00B2368C"/>
    <w:rsid w:val="00B2394C"/>
    <w:rsid w:val="00B23CE7"/>
    <w:rsid w:val="00B24867"/>
    <w:rsid w:val="00B24A3D"/>
    <w:rsid w:val="00B25022"/>
    <w:rsid w:val="00B25054"/>
    <w:rsid w:val="00B252DE"/>
    <w:rsid w:val="00B25A22"/>
    <w:rsid w:val="00B26281"/>
    <w:rsid w:val="00B26F35"/>
    <w:rsid w:val="00B26F8F"/>
    <w:rsid w:val="00B274E2"/>
    <w:rsid w:val="00B2778B"/>
    <w:rsid w:val="00B277A8"/>
    <w:rsid w:val="00B27C4F"/>
    <w:rsid w:val="00B312A8"/>
    <w:rsid w:val="00B315B4"/>
    <w:rsid w:val="00B32317"/>
    <w:rsid w:val="00B3249D"/>
    <w:rsid w:val="00B32E76"/>
    <w:rsid w:val="00B338A9"/>
    <w:rsid w:val="00B345A4"/>
    <w:rsid w:val="00B3474C"/>
    <w:rsid w:val="00B34ECA"/>
    <w:rsid w:val="00B35A8E"/>
    <w:rsid w:val="00B35DDE"/>
    <w:rsid w:val="00B360F6"/>
    <w:rsid w:val="00B364CB"/>
    <w:rsid w:val="00B3675F"/>
    <w:rsid w:val="00B36965"/>
    <w:rsid w:val="00B36F63"/>
    <w:rsid w:val="00B40404"/>
    <w:rsid w:val="00B40539"/>
    <w:rsid w:val="00B40B28"/>
    <w:rsid w:val="00B410E1"/>
    <w:rsid w:val="00B41414"/>
    <w:rsid w:val="00B4149C"/>
    <w:rsid w:val="00B41BE1"/>
    <w:rsid w:val="00B41ECB"/>
    <w:rsid w:val="00B422E6"/>
    <w:rsid w:val="00B4254B"/>
    <w:rsid w:val="00B42641"/>
    <w:rsid w:val="00B42903"/>
    <w:rsid w:val="00B42F14"/>
    <w:rsid w:val="00B4365B"/>
    <w:rsid w:val="00B43D47"/>
    <w:rsid w:val="00B44EE7"/>
    <w:rsid w:val="00B45F00"/>
    <w:rsid w:val="00B46428"/>
    <w:rsid w:val="00B46478"/>
    <w:rsid w:val="00B469DA"/>
    <w:rsid w:val="00B47168"/>
    <w:rsid w:val="00B471C1"/>
    <w:rsid w:val="00B479E0"/>
    <w:rsid w:val="00B5037E"/>
    <w:rsid w:val="00B50A09"/>
    <w:rsid w:val="00B50BF2"/>
    <w:rsid w:val="00B51016"/>
    <w:rsid w:val="00B51CD4"/>
    <w:rsid w:val="00B51DDE"/>
    <w:rsid w:val="00B528E2"/>
    <w:rsid w:val="00B52BB0"/>
    <w:rsid w:val="00B5323F"/>
    <w:rsid w:val="00B53464"/>
    <w:rsid w:val="00B534AA"/>
    <w:rsid w:val="00B548DB"/>
    <w:rsid w:val="00B549AF"/>
    <w:rsid w:val="00B567A0"/>
    <w:rsid w:val="00B56FA2"/>
    <w:rsid w:val="00B570B2"/>
    <w:rsid w:val="00B57278"/>
    <w:rsid w:val="00B5784E"/>
    <w:rsid w:val="00B57B75"/>
    <w:rsid w:val="00B57BF2"/>
    <w:rsid w:val="00B600E1"/>
    <w:rsid w:val="00B60823"/>
    <w:rsid w:val="00B6082F"/>
    <w:rsid w:val="00B60EF1"/>
    <w:rsid w:val="00B61345"/>
    <w:rsid w:val="00B618F6"/>
    <w:rsid w:val="00B61B6B"/>
    <w:rsid w:val="00B61FCB"/>
    <w:rsid w:val="00B621E3"/>
    <w:rsid w:val="00B626BF"/>
    <w:rsid w:val="00B62BA6"/>
    <w:rsid w:val="00B62F4B"/>
    <w:rsid w:val="00B62FF4"/>
    <w:rsid w:val="00B63520"/>
    <w:rsid w:val="00B63714"/>
    <w:rsid w:val="00B63748"/>
    <w:rsid w:val="00B63C82"/>
    <w:rsid w:val="00B63E66"/>
    <w:rsid w:val="00B6451E"/>
    <w:rsid w:val="00B64741"/>
    <w:rsid w:val="00B647DE"/>
    <w:rsid w:val="00B650DA"/>
    <w:rsid w:val="00B65BCE"/>
    <w:rsid w:val="00B65D29"/>
    <w:rsid w:val="00B65E47"/>
    <w:rsid w:val="00B66076"/>
    <w:rsid w:val="00B66156"/>
    <w:rsid w:val="00B66B61"/>
    <w:rsid w:val="00B66C41"/>
    <w:rsid w:val="00B66D86"/>
    <w:rsid w:val="00B66DF5"/>
    <w:rsid w:val="00B670E4"/>
    <w:rsid w:val="00B70B3F"/>
    <w:rsid w:val="00B7113A"/>
    <w:rsid w:val="00B71347"/>
    <w:rsid w:val="00B725A8"/>
    <w:rsid w:val="00B72A9A"/>
    <w:rsid w:val="00B7308A"/>
    <w:rsid w:val="00B734E2"/>
    <w:rsid w:val="00B73D16"/>
    <w:rsid w:val="00B73D7D"/>
    <w:rsid w:val="00B73FE1"/>
    <w:rsid w:val="00B748FD"/>
    <w:rsid w:val="00B750E2"/>
    <w:rsid w:val="00B75302"/>
    <w:rsid w:val="00B753EB"/>
    <w:rsid w:val="00B75506"/>
    <w:rsid w:val="00B75A35"/>
    <w:rsid w:val="00B75B68"/>
    <w:rsid w:val="00B75ED7"/>
    <w:rsid w:val="00B76674"/>
    <w:rsid w:val="00B76CDC"/>
    <w:rsid w:val="00B77241"/>
    <w:rsid w:val="00B8034D"/>
    <w:rsid w:val="00B803B7"/>
    <w:rsid w:val="00B8075A"/>
    <w:rsid w:val="00B808B3"/>
    <w:rsid w:val="00B80CCE"/>
    <w:rsid w:val="00B80DBB"/>
    <w:rsid w:val="00B80DD4"/>
    <w:rsid w:val="00B814D8"/>
    <w:rsid w:val="00B81919"/>
    <w:rsid w:val="00B8196F"/>
    <w:rsid w:val="00B8234B"/>
    <w:rsid w:val="00B824C0"/>
    <w:rsid w:val="00B8291E"/>
    <w:rsid w:val="00B82F04"/>
    <w:rsid w:val="00B8303A"/>
    <w:rsid w:val="00B83323"/>
    <w:rsid w:val="00B8396E"/>
    <w:rsid w:val="00B83B0C"/>
    <w:rsid w:val="00B841CB"/>
    <w:rsid w:val="00B84D4D"/>
    <w:rsid w:val="00B865A6"/>
    <w:rsid w:val="00B86817"/>
    <w:rsid w:val="00B8740B"/>
    <w:rsid w:val="00B874A8"/>
    <w:rsid w:val="00B9030C"/>
    <w:rsid w:val="00B91053"/>
    <w:rsid w:val="00B91080"/>
    <w:rsid w:val="00B91458"/>
    <w:rsid w:val="00B9193F"/>
    <w:rsid w:val="00B92016"/>
    <w:rsid w:val="00B92668"/>
    <w:rsid w:val="00B92673"/>
    <w:rsid w:val="00B92A8B"/>
    <w:rsid w:val="00B932D5"/>
    <w:rsid w:val="00B93901"/>
    <w:rsid w:val="00B93D35"/>
    <w:rsid w:val="00B94337"/>
    <w:rsid w:val="00B94347"/>
    <w:rsid w:val="00B94644"/>
    <w:rsid w:val="00B94CA5"/>
    <w:rsid w:val="00B9539F"/>
    <w:rsid w:val="00B9604B"/>
    <w:rsid w:val="00B96352"/>
    <w:rsid w:val="00B9661D"/>
    <w:rsid w:val="00B9797B"/>
    <w:rsid w:val="00B97D82"/>
    <w:rsid w:val="00BA08D1"/>
    <w:rsid w:val="00BA0A0F"/>
    <w:rsid w:val="00BA0F59"/>
    <w:rsid w:val="00BA1125"/>
    <w:rsid w:val="00BA11C6"/>
    <w:rsid w:val="00BA16B0"/>
    <w:rsid w:val="00BA1D06"/>
    <w:rsid w:val="00BA1E8D"/>
    <w:rsid w:val="00BA2659"/>
    <w:rsid w:val="00BA2E22"/>
    <w:rsid w:val="00BA373F"/>
    <w:rsid w:val="00BA4051"/>
    <w:rsid w:val="00BA4088"/>
    <w:rsid w:val="00BA4291"/>
    <w:rsid w:val="00BA4677"/>
    <w:rsid w:val="00BA53D7"/>
    <w:rsid w:val="00BA5851"/>
    <w:rsid w:val="00BA6068"/>
    <w:rsid w:val="00BA6461"/>
    <w:rsid w:val="00BA6896"/>
    <w:rsid w:val="00BA72D7"/>
    <w:rsid w:val="00BA73B1"/>
    <w:rsid w:val="00BA73B2"/>
    <w:rsid w:val="00BA747A"/>
    <w:rsid w:val="00BA7A72"/>
    <w:rsid w:val="00BA7C92"/>
    <w:rsid w:val="00BB05CE"/>
    <w:rsid w:val="00BB08C2"/>
    <w:rsid w:val="00BB12C0"/>
    <w:rsid w:val="00BB13CB"/>
    <w:rsid w:val="00BB1CCC"/>
    <w:rsid w:val="00BB1EFD"/>
    <w:rsid w:val="00BB2015"/>
    <w:rsid w:val="00BB246B"/>
    <w:rsid w:val="00BB267A"/>
    <w:rsid w:val="00BB2DC1"/>
    <w:rsid w:val="00BB2FEA"/>
    <w:rsid w:val="00BB38AA"/>
    <w:rsid w:val="00BB49E2"/>
    <w:rsid w:val="00BB4BC6"/>
    <w:rsid w:val="00BB5AA8"/>
    <w:rsid w:val="00BB5FEE"/>
    <w:rsid w:val="00BB67DF"/>
    <w:rsid w:val="00BB6E62"/>
    <w:rsid w:val="00BB74D7"/>
    <w:rsid w:val="00BB753A"/>
    <w:rsid w:val="00BC0261"/>
    <w:rsid w:val="00BC11FE"/>
    <w:rsid w:val="00BC194A"/>
    <w:rsid w:val="00BC1B86"/>
    <w:rsid w:val="00BC2CA3"/>
    <w:rsid w:val="00BC33CC"/>
    <w:rsid w:val="00BC3F24"/>
    <w:rsid w:val="00BC3F29"/>
    <w:rsid w:val="00BC40D4"/>
    <w:rsid w:val="00BC49D6"/>
    <w:rsid w:val="00BC56C3"/>
    <w:rsid w:val="00BC5A02"/>
    <w:rsid w:val="00BC6068"/>
    <w:rsid w:val="00BC632A"/>
    <w:rsid w:val="00BC664F"/>
    <w:rsid w:val="00BC6C15"/>
    <w:rsid w:val="00BC6CE0"/>
    <w:rsid w:val="00BC71BB"/>
    <w:rsid w:val="00BC74B5"/>
    <w:rsid w:val="00BC7E89"/>
    <w:rsid w:val="00BC7EAD"/>
    <w:rsid w:val="00BD023D"/>
    <w:rsid w:val="00BD0CBF"/>
    <w:rsid w:val="00BD11CE"/>
    <w:rsid w:val="00BD1E06"/>
    <w:rsid w:val="00BD223B"/>
    <w:rsid w:val="00BD22DE"/>
    <w:rsid w:val="00BD23EF"/>
    <w:rsid w:val="00BD27EF"/>
    <w:rsid w:val="00BD2995"/>
    <w:rsid w:val="00BD2B9A"/>
    <w:rsid w:val="00BD2CE9"/>
    <w:rsid w:val="00BD3786"/>
    <w:rsid w:val="00BD38CD"/>
    <w:rsid w:val="00BD46BE"/>
    <w:rsid w:val="00BD4D6F"/>
    <w:rsid w:val="00BD586B"/>
    <w:rsid w:val="00BD5CCE"/>
    <w:rsid w:val="00BD65FB"/>
    <w:rsid w:val="00BD69C7"/>
    <w:rsid w:val="00BD6BB6"/>
    <w:rsid w:val="00BD6EFF"/>
    <w:rsid w:val="00BD71B4"/>
    <w:rsid w:val="00BD72D2"/>
    <w:rsid w:val="00BD7597"/>
    <w:rsid w:val="00BD75EF"/>
    <w:rsid w:val="00BE0015"/>
    <w:rsid w:val="00BE17CD"/>
    <w:rsid w:val="00BE1FA4"/>
    <w:rsid w:val="00BE2139"/>
    <w:rsid w:val="00BE3512"/>
    <w:rsid w:val="00BE35BA"/>
    <w:rsid w:val="00BE3CA9"/>
    <w:rsid w:val="00BE5A8B"/>
    <w:rsid w:val="00BE5F25"/>
    <w:rsid w:val="00BE6833"/>
    <w:rsid w:val="00BE6ABA"/>
    <w:rsid w:val="00BE6DB2"/>
    <w:rsid w:val="00BF0358"/>
    <w:rsid w:val="00BF03CF"/>
    <w:rsid w:val="00BF04C9"/>
    <w:rsid w:val="00BF1A3C"/>
    <w:rsid w:val="00BF230F"/>
    <w:rsid w:val="00BF25A4"/>
    <w:rsid w:val="00BF28A7"/>
    <w:rsid w:val="00BF2C9B"/>
    <w:rsid w:val="00BF30BB"/>
    <w:rsid w:val="00BF3DF7"/>
    <w:rsid w:val="00BF4884"/>
    <w:rsid w:val="00BF4A9D"/>
    <w:rsid w:val="00BF5349"/>
    <w:rsid w:val="00BF5ECE"/>
    <w:rsid w:val="00BF62F2"/>
    <w:rsid w:val="00BF67C1"/>
    <w:rsid w:val="00BF6B19"/>
    <w:rsid w:val="00BF6B45"/>
    <w:rsid w:val="00BF6E46"/>
    <w:rsid w:val="00BF7787"/>
    <w:rsid w:val="00BF7C99"/>
    <w:rsid w:val="00C00773"/>
    <w:rsid w:val="00C00BE9"/>
    <w:rsid w:val="00C00E91"/>
    <w:rsid w:val="00C01222"/>
    <w:rsid w:val="00C01796"/>
    <w:rsid w:val="00C01AE3"/>
    <w:rsid w:val="00C0201F"/>
    <w:rsid w:val="00C0248B"/>
    <w:rsid w:val="00C035D1"/>
    <w:rsid w:val="00C03712"/>
    <w:rsid w:val="00C039B3"/>
    <w:rsid w:val="00C03B32"/>
    <w:rsid w:val="00C03DFB"/>
    <w:rsid w:val="00C05156"/>
    <w:rsid w:val="00C05AD7"/>
    <w:rsid w:val="00C06613"/>
    <w:rsid w:val="00C068BF"/>
    <w:rsid w:val="00C0733A"/>
    <w:rsid w:val="00C074D4"/>
    <w:rsid w:val="00C10033"/>
    <w:rsid w:val="00C10EE4"/>
    <w:rsid w:val="00C11074"/>
    <w:rsid w:val="00C1151B"/>
    <w:rsid w:val="00C11B1F"/>
    <w:rsid w:val="00C11D21"/>
    <w:rsid w:val="00C11FDD"/>
    <w:rsid w:val="00C13724"/>
    <w:rsid w:val="00C14809"/>
    <w:rsid w:val="00C14B19"/>
    <w:rsid w:val="00C15013"/>
    <w:rsid w:val="00C165B1"/>
    <w:rsid w:val="00C1678A"/>
    <w:rsid w:val="00C16C13"/>
    <w:rsid w:val="00C172C0"/>
    <w:rsid w:val="00C1751D"/>
    <w:rsid w:val="00C17958"/>
    <w:rsid w:val="00C21D43"/>
    <w:rsid w:val="00C2229F"/>
    <w:rsid w:val="00C228C4"/>
    <w:rsid w:val="00C2297B"/>
    <w:rsid w:val="00C22E95"/>
    <w:rsid w:val="00C22F80"/>
    <w:rsid w:val="00C232A2"/>
    <w:rsid w:val="00C23EA4"/>
    <w:rsid w:val="00C24301"/>
    <w:rsid w:val="00C24724"/>
    <w:rsid w:val="00C2554D"/>
    <w:rsid w:val="00C25D1D"/>
    <w:rsid w:val="00C25E95"/>
    <w:rsid w:val="00C2641D"/>
    <w:rsid w:val="00C27303"/>
    <w:rsid w:val="00C275F7"/>
    <w:rsid w:val="00C27D5F"/>
    <w:rsid w:val="00C3043C"/>
    <w:rsid w:val="00C30F30"/>
    <w:rsid w:val="00C3109D"/>
    <w:rsid w:val="00C320B1"/>
    <w:rsid w:val="00C324B2"/>
    <w:rsid w:val="00C32E2F"/>
    <w:rsid w:val="00C33CF0"/>
    <w:rsid w:val="00C35379"/>
    <w:rsid w:val="00C35448"/>
    <w:rsid w:val="00C354A8"/>
    <w:rsid w:val="00C354B1"/>
    <w:rsid w:val="00C35A51"/>
    <w:rsid w:val="00C35DA0"/>
    <w:rsid w:val="00C35FF2"/>
    <w:rsid w:val="00C36001"/>
    <w:rsid w:val="00C36FF9"/>
    <w:rsid w:val="00C400F3"/>
    <w:rsid w:val="00C4073A"/>
    <w:rsid w:val="00C40B74"/>
    <w:rsid w:val="00C419B2"/>
    <w:rsid w:val="00C42A9D"/>
    <w:rsid w:val="00C4379F"/>
    <w:rsid w:val="00C437FE"/>
    <w:rsid w:val="00C43A4F"/>
    <w:rsid w:val="00C44402"/>
    <w:rsid w:val="00C445F8"/>
    <w:rsid w:val="00C4475F"/>
    <w:rsid w:val="00C44D65"/>
    <w:rsid w:val="00C44ED3"/>
    <w:rsid w:val="00C45D0D"/>
    <w:rsid w:val="00C45D56"/>
    <w:rsid w:val="00C46019"/>
    <w:rsid w:val="00C460D6"/>
    <w:rsid w:val="00C4670B"/>
    <w:rsid w:val="00C46BED"/>
    <w:rsid w:val="00C50092"/>
    <w:rsid w:val="00C500D3"/>
    <w:rsid w:val="00C50724"/>
    <w:rsid w:val="00C50823"/>
    <w:rsid w:val="00C50C35"/>
    <w:rsid w:val="00C50D8A"/>
    <w:rsid w:val="00C51023"/>
    <w:rsid w:val="00C5160D"/>
    <w:rsid w:val="00C51F46"/>
    <w:rsid w:val="00C52581"/>
    <w:rsid w:val="00C526DE"/>
    <w:rsid w:val="00C52FCF"/>
    <w:rsid w:val="00C54195"/>
    <w:rsid w:val="00C550F8"/>
    <w:rsid w:val="00C55BFB"/>
    <w:rsid w:val="00C55E23"/>
    <w:rsid w:val="00C55E96"/>
    <w:rsid w:val="00C563BF"/>
    <w:rsid w:val="00C56922"/>
    <w:rsid w:val="00C5738B"/>
    <w:rsid w:val="00C57681"/>
    <w:rsid w:val="00C61D37"/>
    <w:rsid w:val="00C6214E"/>
    <w:rsid w:val="00C6221D"/>
    <w:rsid w:val="00C623A8"/>
    <w:rsid w:val="00C62691"/>
    <w:rsid w:val="00C63215"/>
    <w:rsid w:val="00C63510"/>
    <w:rsid w:val="00C63980"/>
    <w:rsid w:val="00C63A63"/>
    <w:rsid w:val="00C63C47"/>
    <w:rsid w:val="00C63D67"/>
    <w:rsid w:val="00C63E70"/>
    <w:rsid w:val="00C64E59"/>
    <w:rsid w:val="00C65119"/>
    <w:rsid w:val="00C655BE"/>
    <w:rsid w:val="00C65E6A"/>
    <w:rsid w:val="00C65EA7"/>
    <w:rsid w:val="00C66029"/>
    <w:rsid w:val="00C66BC1"/>
    <w:rsid w:val="00C66BD8"/>
    <w:rsid w:val="00C67782"/>
    <w:rsid w:val="00C67800"/>
    <w:rsid w:val="00C67A98"/>
    <w:rsid w:val="00C703A6"/>
    <w:rsid w:val="00C7046C"/>
    <w:rsid w:val="00C70751"/>
    <w:rsid w:val="00C70CB9"/>
    <w:rsid w:val="00C71221"/>
    <w:rsid w:val="00C72016"/>
    <w:rsid w:val="00C72526"/>
    <w:rsid w:val="00C7282C"/>
    <w:rsid w:val="00C72D8C"/>
    <w:rsid w:val="00C7330E"/>
    <w:rsid w:val="00C73AFF"/>
    <w:rsid w:val="00C73B3C"/>
    <w:rsid w:val="00C74B2A"/>
    <w:rsid w:val="00C74CCF"/>
    <w:rsid w:val="00C755A7"/>
    <w:rsid w:val="00C75B51"/>
    <w:rsid w:val="00C75CE5"/>
    <w:rsid w:val="00C75FDA"/>
    <w:rsid w:val="00C76504"/>
    <w:rsid w:val="00C76715"/>
    <w:rsid w:val="00C773AC"/>
    <w:rsid w:val="00C8000B"/>
    <w:rsid w:val="00C80A93"/>
    <w:rsid w:val="00C80CBF"/>
    <w:rsid w:val="00C80E02"/>
    <w:rsid w:val="00C81A8B"/>
    <w:rsid w:val="00C83459"/>
    <w:rsid w:val="00C83B09"/>
    <w:rsid w:val="00C84D51"/>
    <w:rsid w:val="00C84D69"/>
    <w:rsid w:val="00C85731"/>
    <w:rsid w:val="00C85905"/>
    <w:rsid w:val="00C85BCB"/>
    <w:rsid w:val="00C8685E"/>
    <w:rsid w:val="00C86D16"/>
    <w:rsid w:val="00C87048"/>
    <w:rsid w:val="00C87BF2"/>
    <w:rsid w:val="00C87E0A"/>
    <w:rsid w:val="00C9075B"/>
    <w:rsid w:val="00C90E01"/>
    <w:rsid w:val="00C91A53"/>
    <w:rsid w:val="00C91E96"/>
    <w:rsid w:val="00C91EC3"/>
    <w:rsid w:val="00C92006"/>
    <w:rsid w:val="00C9209C"/>
    <w:rsid w:val="00C920E8"/>
    <w:rsid w:val="00C92A10"/>
    <w:rsid w:val="00C93B30"/>
    <w:rsid w:val="00C93D93"/>
    <w:rsid w:val="00C94F91"/>
    <w:rsid w:val="00C95CCE"/>
    <w:rsid w:val="00C95F5B"/>
    <w:rsid w:val="00C968B9"/>
    <w:rsid w:val="00CA02BA"/>
    <w:rsid w:val="00CA0304"/>
    <w:rsid w:val="00CA0B81"/>
    <w:rsid w:val="00CA0F82"/>
    <w:rsid w:val="00CA1B72"/>
    <w:rsid w:val="00CA1C37"/>
    <w:rsid w:val="00CA2993"/>
    <w:rsid w:val="00CA2CE7"/>
    <w:rsid w:val="00CA309D"/>
    <w:rsid w:val="00CA37D7"/>
    <w:rsid w:val="00CA46C1"/>
    <w:rsid w:val="00CA4B06"/>
    <w:rsid w:val="00CA54E4"/>
    <w:rsid w:val="00CA5619"/>
    <w:rsid w:val="00CA5D06"/>
    <w:rsid w:val="00CA62C0"/>
    <w:rsid w:val="00CA6A8F"/>
    <w:rsid w:val="00CA7597"/>
    <w:rsid w:val="00CA7DDF"/>
    <w:rsid w:val="00CB027C"/>
    <w:rsid w:val="00CB061C"/>
    <w:rsid w:val="00CB1296"/>
    <w:rsid w:val="00CB26A7"/>
    <w:rsid w:val="00CB2989"/>
    <w:rsid w:val="00CB2CC9"/>
    <w:rsid w:val="00CB3213"/>
    <w:rsid w:val="00CB3241"/>
    <w:rsid w:val="00CB365B"/>
    <w:rsid w:val="00CB40EF"/>
    <w:rsid w:val="00CB566F"/>
    <w:rsid w:val="00CB5881"/>
    <w:rsid w:val="00CB58C1"/>
    <w:rsid w:val="00CB6F9C"/>
    <w:rsid w:val="00CB6FA3"/>
    <w:rsid w:val="00CB7216"/>
    <w:rsid w:val="00CC04F6"/>
    <w:rsid w:val="00CC1ABB"/>
    <w:rsid w:val="00CC1FD1"/>
    <w:rsid w:val="00CC20D7"/>
    <w:rsid w:val="00CC2283"/>
    <w:rsid w:val="00CC2E3E"/>
    <w:rsid w:val="00CC4BCA"/>
    <w:rsid w:val="00CC5450"/>
    <w:rsid w:val="00CC5AE3"/>
    <w:rsid w:val="00CC5F6E"/>
    <w:rsid w:val="00CC70B6"/>
    <w:rsid w:val="00CC71D6"/>
    <w:rsid w:val="00CC72F2"/>
    <w:rsid w:val="00CC7C01"/>
    <w:rsid w:val="00CC7FE0"/>
    <w:rsid w:val="00CD015D"/>
    <w:rsid w:val="00CD01C9"/>
    <w:rsid w:val="00CD025C"/>
    <w:rsid w:val="00CD0371"/>
    <w:rsid w:val="00CD146B"/>
    <w:rsid w:val="00CD14B1"/>
    <w:rsid w:val="00CD1C22"/>
    <w:rsid w:val="00CD291D"/>
    <w:rsid w:val="00CD35CA"/>
    <w:rsid w:val="00CD3A86"/>
    <w:rsid w:val="00CD4AD6"/>
    <w:rsid w:val="00CD52F7"/>
    <w:rsid w:val="00CD5349"/>
    <w:rsid w:val="00CD5928"/>
    <w:rsid w:val="00CD5959"/>
    <w:rsid w:val="00CD60D0"/>
    <w:rsid w:val="00CD615D"/>
    <w:rsid w:val="00CD6E31"/>
    <w:rsid w:val="00CD70AE"/>
    <w:rsid w:val="00CD71B7"/>
    <w:rsid w:val="00CD7A7A"/>
    <w:rsid w:val="00CD7AC6"/>
    <w:rsid w:val="00CE020B"/>
    <w:rsid w:val="00CE19AE"/>
    <w:rsid w:val="00CE1BD0"/>
    <w:rsid w:val="00CE1E3B"/>
    <w:rsid w:val="00CE2117"/>
    <w:rsid w:val="00CE2BAE"/>
    <w:rsid w:val="00CE2C58"/>
    <w:rsid w:val="00CE3BD2"/>
    <w:rsid w:val="00CE4030"/>
    <w:rsid w:val="00CE4F97"/>
    <w:rsid w:val="00CE5BD4"/>
    <w:rsid w:val="00CE5DBE"/>
    <w:rsid w:val="00CE600B"/>
    <w:rsid w:val="00CE62B3"/>
    <w:rsid w:val="00CE636C"/>
    <w:rsid w:val="00CE65A8"/>
    <w:rsid w:val="00CE6667"/>
    <w:rsid w:val="00CE6EBF"/>
    <w:rsid w:val="00CE7341"/>
    <w:rsid w:val="00CF007E"/>
    <w:rsid w:val="00CF0252"/>
    <w:rsid w:val="00CF092E"/>
    <w:rsid w:val="00CF2968"/>
    <w:rsid w:val="00CF3373"/>
    <w:rsid w:val="00CF3393"/>
    <w:rsid w:val="00CF33A1"/>
    <w:rsid w:val="00CF3A09"/>
    <w:rsid w:val="00CF3BDE"/>
    <w:rsid w:val="00CF4440"/>
    <w:rsid w:val="00CF4B9D"/>
    <w:rsid w:val="00CF50BD"/>
    <w:rsid w:val="00CF5FBB"/>
    <w:rsid w:val="00CF6428"/>
    <w:rsid w:val="00CF6F31"/>
    <w:rsid w:val="00CF7A74"/>
    <w:rsid w:val="00CF7F7D"/>
    <w:rsid w:val="00D00AC9"/>
    <w:rsid w:val="00D018F7"/>
    <w:rsid w:val="00D0210A"/>
    <w:rsid w:val="00D02272"/>
    <w:rsid w:val="00D0255A"/>
    <w:rsid w:val="00D02C65"/>
    <w:rsid w:val="00D036A1"/>
    <w:rsid w:val="00D03979"/>
    <w:rsid w:val="00D03CA1"/>
    <w:rsid w:val="00D04A6C"/>
    <w:rsid w:val="00D04D0B"/>
    <w:rsid w:val="00D056C7"/>
    <w:rsid w:val="00D05DD2"/>
    <w:rsid w:val="00D06303"/>
    <w:rsid w:val="00D07083"/>
    <w:rsid w:val="00D072E6"/>
    <w:rsid w:val="00D1121C"/>
    <w:rsid w:val="00D118CF"/>
    <w:rsid w:val="00D122D9"/>
    <w:rsid w:val="00D1260C"/>
    <w:rsid w:val="00D12F7B"/>
    <w:rsid w:val="00D13064"/>
    <w:rsid w:val="00D132E5"/>
    <w:rsid w:val="00D138FF"/>
    <w:rsid w:val="00D13C26"/>
    <w:rsid w:val="00D13C2F"/>
    <w:rsid w:val="00D14269"/>
    <w:rsid w:val="00D14367"/>
    <w:rsid w:val="00D14B00"/>
    <w:rsid w:val="00D14BD9"/>
    <w:rsid w:val="00D14C2A"/>
    <w:rsid w:val="00D14F10"/>
    <w:rsid w:val="00D1517C"/>
    <w:rsid w:val="00D15334"/>
    <w:rsid w:val="00D156D1"/>
    <w:rsid w:val="00D16159"/>
    <w:rsid w:val="00D1663F"/>
    <w:rsid w:val="00D16814"/>
    <w:rsid w:val="00D1736F"/>
    <w:rsid w:val="00D17BC0"/>
    <w:rsid w:val="00D17CDB"/>
    <w:rsid w:val="00D205BC"/>
    <w:rsid w:val="00D20675"/>
    <w:rsid w:val="00D209F3"/>
    <w:rsid w:val="00D20A77"/>
    <w:rsid w:val="00D20F99"/>
    <w:rsid w:val="00D213EC"/>
    <w:rsid w:val="00D21A29"/>
    <w:rsid w:val="00D228A0"/>
    <w:rsid w:val="00D22BEF"/>
    <w:rsid w:val="00D24898"/>
    <w:rsid w:val="00D25665"/>
    <w:rsid w:val="00D2591C"/>
    <w:rsid w:val="00D2671F"/>
    <w:rsid w:val="00D269DB"/>
    <w:rsid w:val="00D3100A"/>
    <w:rsid w:val="00D31633"/>
    <w:rsid w:val="00D3282D"/>
    <w:rsid w:val="00D32A81"/>
    <w:rsid w:val="00D32CBF"/>
    <w:rsid w:val="00D331DD"/>
    <w:rsid w:val="00D331EB"/>
    <w:rsid w:val="00D33929"/>
    <w:rsid w:val="00D33A26"/>
    <w:rsid w:val="00D34944"/>
    <w:rsid w:val="00D3593C"/>
    <w:rsid w:val="00D35BDA"/>
    <w:rsid w:val="00D3764B"/>
    <w:rsid w:val="00D40B55"/>
    <w:rsid w:val="00D419A0"/>
    <w:rsid w:val="00D41AF0"/>
    <w:rsid w:val="00D41CAC"/>
    <w:rsid w:val="00D41FB1"/>
    <w:rsid w:val="00D42249"/>
    <w:rsid w:val="00D4250E"/>
    <w:rsid w:val="00D42BF2"/>
    <w:rsid w:val="00D43992"/>
    <w:rsid w:val="00D43F55"/>
    <w:rsid w:val="00D440F9"/>
    <w:rsid w:val="00D44160"/>
    <w:rsid w:val="00D44612"/>
    <w:rsid w:val="00D44881"/>
    <w:rsid w:val="00D44FB9"/>
    <w:rsid w:val="00D46296"/>
    <w:rsid w:val="00D47577"/>
    <w:rsid w:val="00D50E50"/>
    <w:rsid w:val="00D5138D"/>
    <w:rsid w:val="00D51F23"/>
    <w:rsid w:val="00D52037"/>
    <w:rsid w:val="00D521A4"/>
    <w:rsid w:val="00D52ACA"/>
    <w:rsid w:val="00D53C4D"/>
    <w:rsid w:val="00D53D7C"/>
    <w:rsid w:val="00D55447"/>
    <w:rsid w:val="00D56488"/>
    <w:rsid w:val="00D567F9"/>
    <w:rsid w:val="00D570DF"/>
    <w:rsid w:val="00D57688"/>
    <w:rsid w:val="00D576A2"/>
    <w:rsid w:val="00D579B5"/>
    <w:rsid w:val="00D57E3C"/>
    <w:rsid w:val="00D60855"/>
    <w:rsid w:val="00D608FD"/>
    <w:rsid w:val="00D62850"/>
    <w:rsid w:val="00D62B56"/>
    <w:rsid w:val="00D63323"/>
    <w:rsid w:val="00D63987"/>
    <w:rsid w:val="00D6475F"/>
    <w:rsid w:val="00D654A8"/>
    <w:rsid w:val="00D663ED"/>
    <w:rsid w:val="00D66923"/>
    <w:rsid w:val="00D66BC0"/>
    <w:rsid w:val="00D66CA0"/>
    <w:rsid w:val="00D67447"/>
    <w:rsid w:val="00D67F6B"/>
    <w:rsid w:val="00D70DF6"/>
    <w:rsid w:val="00D710E0"/>
    <w:rsid w:val="00D71343"/>
    <w:rsid w:val="00D71AC8"/>
    <w:rsid w:val="00D71B75"/>
    <w:rsid w:val="00D72316"/>
    <w:rsid w:val="00D7259C"/>
    <w:rsid w:val="00D72C15"/>
    <w:rsid w:val="00D73171"/>
    <w:rsid w:val="00D73B56"/>
    <w:rsid w:val="00D7401F"/>
    <w:rsid w:val="00D741A0"/>
    <w:rsid w:val="00D743EC"/>
    <w:rsid w:val="00D74A08"/>
    <w:rsid w:val="00D74BE5"/>
    <w:rsid w:val="00D7509D"/>
    <w:rsid w:val="00D7570C"/>
    <w:rsid w:val="00D758EF"/>
    <w:rsid w:val="00D76409"/>
    <w:rsid w:val="00D768B5"/>
    <w:rsid w:val="00D76FCB"/>
    <w:rsid w:val="00D77A29"/>
    <w:rsid w:val="00D800E2"/>
    <w:rsid w:val="00D8114C"/>
    <w:rsid w:val="00D81603"/>
    <w:rsid w:val="00D81C2E"/>
    <w:rsid w:val="00D82121"/>
    <w:rsid w:val="00D825D7"/>
    <w:rsid w:val="00D82AFD"/>
    <w:rsid w:val="00D82D5B"/>
    <w:rsid w:val="00D8318C"/>
    <w:rsid w:val="00D832B3"/>
    <w:rsid w:val="00D83508"/>
    <w:rsid w:val="00D837F2"/>
    <w:rsid w:val="00D83BB1"/>
    <w:rsid w:val="00D83C04"/>
    <w:rsid w:val="00D84212"/>
    <w:rsid w:val="00D85257"/>
    <w:rsid w:val="00D85CF7"/>
    <w:rsid w:val="00D8658A"/>
    <w:rsid w:val="00D87152"/>
    <w:rsid w:val="00D87C80"/>
    <w:rsid w:val="00D90822"/>
    <w:rsid w:val="00D9090D"/>
    <w:rsid w:val="00D90BF8"/>
    <w:rsid w:val="00D90D45"/>
    <w:rsid w:val="00D90F9F"/>
    <w:rsid w:val="00D90FA4"/>
    <w:rsid w:val="00D913AB"/>
    <w:rsid w:val="00D91B73"/>
    <w:rsid w:val="00D92026"/>
    <w:rsid w:val="00D92E52"/>
    <w:rsid w:val="00D936EA"/>
    <w:rsid w:val="00D93979"/>
    <w:rsid w:val="00D93D0F"/>
    <w:rsid w:val="00D93D77"/>
    <w:rsid w:val="00D944D1"/>
    <w:rsid w:val="00D94B6E"/>
    <w:rsid w:val="00D95536"/>
    <w:rsid w:val="00D9555D"/>
    <w:rsid w:val="00D965B8"/>
    <w:rsid w:val="00D96B3C"/>
    <w:rsid w:val="00D978C3"/>
    <w:rsid w:val="00DA10D5"/>
    <w:rsid w:val="00DA1288"/>
    <w:rsid w:val="00DA34E5"/>
    <w:rsid w:val="00DA34FB"/>
    <w:rsid w:val="00DA3582"/>
    <w:rsid w:val="00DA3B27"/>
    <w:rsid w:val="00DA3DE6"/>
    <w:rsid w:val="00DA3FA1"/>
    <w:rsid w:val="00DA403F"/>
    <w:rsid w:val="00DA48D8"/>
    <w:rsid w:val="00DA495B"/>
    <w:rsid w:val="00DA4B27"/>
    <w:rsid w:val="00DA4F29"/>
    <w:rsid w:val="00DA5269"/>
    <w:rsid w:val="00DA5AC9"/>
    <w:rsid w:val="00DA6DDE"/>
    <w:rsid w:val="00DA7357"/>
    <w:rsid w:val="00DA7812"/>
    <w:rsid w:val="00DA78CF"/>
    <w:rsid w:val="00DB04D0"/>
    <w:rsid w:val="00DB0DDE"/>
    <w:rsid w:val="00DB0FAB"/>
    <w:rsid w:val="00DB1422"/>
    <w:rsid w:val="00DB1A12"/>
    <w:rsid w:val="00DB1DBC"/>
    <w:rsid w:val="00DB264C"/>
    <w:rsid w:val="00DB2827"/>
    <w:rsid w:val="00DB2DCC"/>
    <w:rsid w:val="00DB3136"/>
    <w:rsid w:val="00DB39E2"/>
    <w:rsid w:val="00DB6579"/>
    <w:rsid w:val="00DB677F"/>
    <w:rsid w:val="00DB7AA6"/>
    <w:rsid w:val="00DC0913"/>
    <w:rsid w:val="00DC0C51"/>
    <w:rsid w:val="00DC0CE6"/>
    <w:rsid w:val="00DC18F9"/>
    <w:rsid w:val="00DC1AB4"/>
    <w:rsid w:val="00DC1C3F"/>
    <w:rsid w:val="00DC22B3"/>
    <w:rsid w:val="00DC25FA"/>
    <w:rsid w:val="00DC2EDD"/>
    <w:rsid w:val="00DC2FF9"/>
    <w:rsid w:val="00DC392A"/>
    <w:rsid w:val="00DC452D"/>
    <w:rsid w:val="00DC5CBB"/>
    <w:rsid w:val="00DC6516"/>
    <w:rsid w:val="00DC66D2"/>
    <w:rsid w:val="00DC6942"/>
    <w:rsid w:val="00DC720C"/>
    <w:rsid w:val="00DD07D8"/>
    <w:rsid w:val="00DD0887"/>
    <w:rsid w:val="00DD0E42"/>
    <w:rsid w:val="00DD1084"/>
    <w:rsid w:val="00DD109B"/>
    <w:rsid w:val="00DD118A"/>
    <w:rsid w:val="00DD27D3"/>
    <w:rsid w:val="00DD298D"/>
    <w:rsid w:val="00DD3163"/>
    <w:rsid w:val="00DD33DA"/>
    <w:rsid w:val="00DD3D79"/>
    <w:rsid w:val="00DD44BD"/>
    <w:rsid w:val="00DD4EB9"/>
    <w:rsid w:val="00DD50CD"/>
    <w:rsid w:val="00DD5492"/>
    <w:rsid w:val="00DD563D"/>
    <w:rsid w:val="00DD579F"/>
    <w:rsid w:val="00DD582B"/>
    <w:rsid w:val="00DD58F6"/>
    <w:rsid w:val="00DD64FB"/>
    <w:rsid w:val="00DD6F6B"/>
    <w:rsid w:val="00DD70AC"/>
    <w:rsid w:val="00DD73ED"/>
    <w:rsid w:val="00DD76F0"/>
    <w:rsid w:val="00DE021E"/>
    <w:rsid w:val="00DE09A1"/>
    <w:rsid w:val="00DE1333"/>
    <w:rsid w:val="00DE16C1"/>
    <w:rsid w:val="00DE19EC"/>
    <w:rsid w:val="00DE1F0A"/>
    <w:rsid w:val="00DE30A1"/>
    <w:rsid w:val="00DE3AF1"/>
    <w:rsid w:val="00DE3B76"/>
    <w:rsid w:val="00DE3E34"/>
    <w:rsid w:val="00DE432C"/>
    <w:rsid w:val="00DE4F67"/>
    <w:rsid w:val="00DE52AD"/>
    <w:rsid w:val="00DE5C40"/>
    <w:rsid w:val="00DE60FB"/>
    <w:rsid w:val="00DE6957"/>
    <w:rsid w:val="00DF0ADF"/>
    <w:rsid w:val="00DF0BFD"/>
    <w:rsid w:val="00DF0C77"/>
    <w:rsid w:val="00DF102D"/>
    <w:rsid w:val="00DF1A15"/>
    <w:rsid w:val="00DF1D19"/>
    <w:rsid w:val="00DF3BAD"/>
    <w:rsid w:val="00DF3CD8"/>
    <w:rsid w:val="00DF40FC"/>
    <w:rsid w:val="00DF4493"/>
    <w:rsid w:val="00DF48F3"/>
    <w:rsid w:val="00DF538C"/>
    <w:rsid w:val="00DF5A9E"/>
    <w:rsid w:val="00DF6791"/>
    <w:rsid w:val="00DF71C9"/>
    <w:rsid w:val="00DF742C"/>
    <w:rsid w:val="00DF7C16"/>
    <w:rsid w:val="00DF7EC1"/>
    <w:rsid w:val="00E00724"/>
    <w:rsid w:val="00E00E76"/>
    <w:rsid w:val="00E01950"/>
    <w:rsid w:val="00E0195F"/>
    <w:rsid w:val="00E01DEA"/>
    <w:rsid w:val="00E0223C"/>
    <w:rsid w:val="00E0232F"/>
    <w:rsid w:val="00E03403"/>
    <w:rsid w:val="00E03A8D"/>
    <w:rsid w:val="00E03FE5"/>
    <w:rsid w:val="00E04EF2"/>
    <w:rsid w:val="00E05639"/>
    <w:rsid w:val="00E061C0"/>
    <w:rsid w:val="00E065B8"/>
    <w:rsid w:val="00E067CF"/>
    <w:rsid w:val="00E069E9"/>
    <w:rsid w:val="00E06B52"/>
    <w:rsid w:val="00E06D7F"/>
    <w:rsid w:val="00E07400"/>
    <w:rsid w:val="00E079A0"/>
    <w:rsid w:val="00E102D1"/>
    <w:rsid w:val="00E10CC0"/>
    <w:rsid w:val="00E10DAB"/>
    <w:rsid w:val="00E11279"/>
    <w:rsid w:val="00E11820"/>
    <w:rsid w:val="00E11B1A"/>
    <w:rsid w:val="00E12260"/>
    <w:rsid w:val="00E12633"/>
    <w:rsid w:val="00E129A8"/>
    <w:rsid w:val="00E12B2C"/>
    <w:rsid w:val="00E12BD9"/>
    <w:rsid w:val="00E138E7"/>
    <w:rsid w:val="00E1455D"/>
    <w:rsid w:val="00E14718"/>
    <w:rsid w:val="00E147A0"/>
    <w:rsid w:val="00E14F13"/>
    <w:rsid w:val="00E1531B"/>
    <w:rsid w:val="00E159D4"/>
    <w:rsid w:val="00E15A54"/>
    <w:rsid w:val="00E15DE5"/>
    <w:rsid w:val="00E15F5E"/>
    <w:rsid w:val="00E167B8"/>
    <w:rsid w:val="00E16DD7"/>
    <w:rsid w:val="00E17B68"/>
    <w:rsid w:val="00E17C8D"/>
    <w:rsid w:val="00E20079"/>
    <w:rsid w:val="00E2037A"/>
    <w:rsid w:val="00E20A64"/>
    <w:rsid w:val="00E20C5E"/>
    <w:rsid w:val="00E20CED"/>
    <w:rsid w:val="00E21210"/>
    <w:rsid w:val="00E21262"/>
    <w:rsid w:val="00E21B61"/>
    <w:rsid w:val="00E21B73"/>
    <w:rsid w:val="00E21FDD"/>
    <w:rsid w:val="00E22513"/>
    <w:rsid w:val="00E230F0"/>
    <w:rsid w:val="00E2339A"/>
    <w:rsid w:val="00E2396B"/>
    <w:rsid w:val="00E23BD0"/>
    <w:rsid w:val="00E23E70"/>
    <w:rsid w:val="00E242A0"/>
    <w:rsid w:val="00E24652"/>
    <w:rsid w:val="00E24C3F"/>
    <w:rsid w:val="00E25494"/>
    <w:rsid w:val="00E2590D"/>
    <w:rsid w:val="00E259BE"/>
    <w:rsid w:val="00E25DFF"/>
    <w:rsid w:val="00E26756"/>
    <w:rsid w:val="00E269E8"/>
    <w:rsid w:val="00E2702A"/>
    <w:rsid w:val="00E274B2"/>
    <w:rsid w:val="00E27902"/>
    <w:rsid w:val="00E27CC5"/>
    <w:rsid w:val="00E27EF2"/>
    <w:rsid w:val="00E30BE9"/>
    <w:rsid w:val="00E30DC6"/>
    <w:rsid w:val="00E312F1"/>
    <w:rsid w:val="00E31C26"/>
    <w:rsid w:val="00E321CB"/>
    <w:rsid w:val="00E32311"/>
    <w:rsid w:val="00E32526"/>
    <w:rsid w:val="00E326C6"/>
    <w:rsid w:val="00E328CA"/>
    <w:rsid w:val="00E33207"/>
    <w:rsid w:val="00E33664"/>
    <w:rsid w:val="00E33797"/>
    <w:rsid w:val="00E33B83"/>
    <w:rsid w:val="00E33E68"/>
    <w:rsid w:val="00E3439E"/>
    <w:rsid w:val="00E3475E"/>
    <w:rsid w:val="00E3496E"/>
    <w:rsid w:val="00E35010"/>
    <w:rsid w:val="00E3576A"/>
    <w:rsid w:val="00E35782"/>
    <w:rsid w:val="00E357BB"/>
    <w:rsid w:val="00E35A45"/>
    <w:rsid w:val="00E35FC4"/>
    <w:rsid w:val="00E36E1B"/>
    <w:rsid w:val="00E37203"/>
    <w:rsid w:val="00E372A4"/>
    <w:rsid w:val="00E376A2"/>
    <w:rsid w:val="00E400EB"/>
    <w:rsid w:val="00E40FAE"/>
    <w:rsid w:val="00E41B83"/>
    <w:rsid w:val="00E4281B"/>
    <w:rsid w:val="00E42E1C"/>
    <w:rsid w:val="00E431A2"/>
    <w:rsid w:val="00E43BDD"/>
    <w:rsid w:val="00E43D37"/>
    <w:rsid w:val="00E43EBA"/>
    <w:rsid w:val="00E444A6"/>
    <w:rsid w:val="00E445B8"/>
    <w:rsid w:val="00E44FA4"/>
    <w:rsid w:val="00E45E40"/>
    <w:rsid w:val="00E464BF"/>
    <w:rsid w:val="00E46993"/>
    <w:rsid w:val="00E46FB3"/>
    <w:rsid w:val="00E4748F"/>
    <w:rsid w:val="00E50C85"/>
    <w:rsid w:val="00E510C6"/>
    <w:rsid w:val="00E515CD"/>
    <w:rsid w:val="00E51636"/>
    <w:rsid w:val="00E51FFB"/>
    <w:rsid w:val="00E520FD"/>
    <w:rsid w:val="00E52585"/>
    <w:rsid w:val="00E52DBA"/>
    <w:rsid w:val="00E52EFA"/>
    <w:rsid w:val="00E53167"/>
    <w:rsid w:val="00E536F7"/>
    <w:rsid w:val="00E542D2"/>
    <w:rsid w:val="00E54853"/>
    <w:rsid w:val="00E549AA"/>
    <w:rsid w:val="00E549CA"/>
    <w:rsid w:val="00E54B5B"/>
    <w:rsid w:val="00E54D25"/>
    <w:rsid w:val="00E55E3F"/>
    <w:rsid w:val="00E57663"/>
    <w:rsid w:val="00E57A8D"/>
    <w:rsid w:val="00E57D43"/>
    <w:rsid w:val="00E57F49"/>
    <w:rsid w:val="00E60B5A"/>
    <w:rsid w:val="00E61030"/>
    <w:rsid w:val="00E61694"/>
    <w:rsid w:val="00E626A9"/>
    <w:rsid w:val="00E626C3"/>
    <w:rsid w:val="00E629A0"/>
    <w:rsid w:val="00E62FBF"/>
    <w:rsid w:val="00E65165"/>
    <w:rsid w:val="00E652F6"/>
    <w:rsid w:val="00E658C5"/>
    <w:rsid w:val="00E65CEF"/>
    <w:rsid w:val="00E65E59"/>
    <w:rsid w:val="00E66C21"/>
    <w:rsid w:val="00E66C9A"/>
    <w:rsid w:val="00E673C7"/>
    <w:rsid w:val="00E67439"/>
    <w:rsid w:val="00E67483"/>
    <w:rsid w:val="00E67501"/>
    <w:rsid w:val="00E676F7"/>
    <w:rsid w:val="00E67809"/>
    <w:rsid w:val="00E706FC"/>
    <w:rsid w:val="00E70AAF"/>
    <w:rsid w:val="00E717D7"/>
    <w:rsid w:val="00E719EC"/>
    <w:rsid w:val="00E71FE2"/>
    <w:rsid w:val="00E72430"/>
    <w:rsid w:val="00E725F8"/>
    <w:rsid w:val="00E7290A"/>
    <w:rsid w:val="00E72C67"/>
    <w:rsid w:val="00E733C4"/>
    <w:rsid w:val="00E73713"/>
    <w:rsid w:val="00E73B80"/>
    <w:rsid w:val="00E7402B"/>
    <w:rsid w:val="00E7407A"/>
    <w:rsid w:val="00E74A3F"/>
    <w:rsid w:val="00E74F37"/>
    <w:rsid w:val="00E75312"/>
    <w:rsid w:val="00E7577E"/>
    <w:rsid w:val="00E75ACD"/>
    <w:rsid w:val="00E75C6B"/>
    <w:rsid w:val="00E75D57"/>
    <w:rsid w:val="00E76317"/>
    <w:rsid w:val="00E768B7"/>
    <w:rsid w:val="00E76DCE"/>
    <w:rsid w:val="00E77CC2"/>
    <w:rsid w:val="00E8021B"/>
    <w:rsid w:val="00E80BFE"/>
    <w:rsid w:val="00E81D06"/>
    <w:rsid w:val="00E83035"/>
    <w:rsid w:val="00E84300"/>
    <w:rsid w:val="00E8471B"/>
    <w:rsid w:val="00E8502C"/>
    <w:rsid w:val="00E860EE"/>
    <w:rsid w:val="00E87972"/>
    <w:rsid w:val="00E908E2"/>
    <w:rsid w:val="00E9098A"/>
    <w:rsid w:val="00E90C82"/>
    <w:rsid w:val="00E90DB8"/>
    <w:rsid w:val="00E91033"/>
    <w:rsid w:val="00E91341"/>
    <w:rsid w:val="00E918ED"/>
    <w:rsid w:val="00E91954"/>
    <w:rsid w:val="00E92296"/>
    <w:rsid w:val="00E937C5"/>
    <w:rsid w:val="00E9386B"/>
    <w:rsid w:val="00E93F69"/>
    <w:rsid w:val="00E948FB"/>
    <w:rsid w:val="00E949F2"/>
    <w:rsid w:val="00E94D8F"/>
    <w:rsid w:val="00E94ED3"/>
    <w:rsid w:val="00E95342"/>
    <w:rsid w:val="00E968A4"/>
    <w:rsid w:val="00E96D8B"/>
    <w:rsid w:val="00E971D0"/>
    <w:rsid w:val="00E97209"/>
    <w:rsid w:val="00E972E8"/>
    <w:rsid w:val="00E97A8D"/>
    <w:rsid w:val="00EA01E3"/>
    <w:rsid w:val="00EA0AB6"/>
    <w:rsid w:val="00EA0D32"/>
    <w:rsid w:val="00EA1817"/>
    <w:rsid w:val="00EA2AF2"/>
    <w:rsid w:val="00EA4578"/>
    <w:rsid w:val="00EA49F8"/>
    <w:rsid w:val="00EA5A62"/>
    <w:rsid w:val="00EA5E30"/>
    <w:rsid w:val="00EA60D1"/>
    <w:rsid w:val="00EA62A2"/>
    <w:rsid w:val="00EA6710"/>
    <w:rsid w:val="00EA679E"/>
    <w:rsid w:val="00EA77C3"/>
    <w:rsid w:val="00EA78D6"/>
    <w:rsid w:val="00EB004B"/>
    <w:rsid w:val="00EB02AA"/>
    <w:rsid w:val="00EB089B"/>
    <w:rsid w:val="00EB0D4A"/>
    <w:rsid w:val="00EB11AA"/>
    <w:rsid w:val="00EB1360"/>
    <w:rsid w:val="00EB22E9"/>
    <w:rsid w:val="00EB2354"/>
    <w:rsid w:val="00EB3409"/>
    <w:rsid w:val="00EB35AD"/>
    <w:rsid w:val="00EB37AC"/>
    <w:rsid w:val="00EB3C65"/>
    <w:rsid w:val="00EB46B6"/>
    <w:rsid w:val="00EB4A99"/>
    <w:rsid w:val="00EB5281"/>
    <w:rsid w:val="00EB5501"/>
    <w:rsid w:val="00EB5C09"/>
    <w:rsid w:val="00EB6148"/>
    <w:rsid w:val="00EB6455"/>
    <w:rsid w:val="00EB6FC7"/>
    <w:rsid w:val="00EB709E"/>
    <w:rsid w:val="00EB7DA5"/>
    <w:rsid w:val="00EC065B"/>
    <w:rsid w:val="00EC0910"/>
    <w:rsid w:val="00EC0A59"/>
    <w:rsid w:val="00EC0F86"/>
    <w:rsid w:val="00EC11F8"/>
    <w:rsid w:val="00EC121D"/>
    <w:rsid w:val="00EC1694"/>
    <w:rsid w:val="00EC1E3F"/>
    <w:rsid w:val="00EC2662"/>
    <w:rsid w:val="00EC2A30"/>
    <w:rsid w:val="00EC2B71"/>
    <w:rsid w:val="00EC2BE5"/>
    <w:rsid w:val="00EC383F"/>
    <w:rsid w:val="00EC39DB"/>
    <w:rsid w:val="00EC40F9"/>
    <w:rsid w:val="00EC414C"/>
    <w:rsid w:val="00EC49B3"/>
    <w:rsid w:val="00EC5722"/>
    <w:rsid w:val="00EC584A"/>
    <w:rsid w:val="00EC6559"/>
    <w:rsid w:val="00EC6CF7"/>
    <w:rsid w:val="00EC6F3D"/>
    <w:rsid w:val="00EC7D8F"/>
    <w:rsid w:val="00ED03E2"/>
    <w:rsid w:val="00ED0902"/>
    <w:rsid w:val="00ED1412"/>
    <w:rsid w:val="00ED1D83"/>
    <w:rsid w:val="00ED22D4"/>
    <w:rsid w:val="00ED2C8D"/>
    <w:rsid w:val="00ED30AF"/>
    <w:rsid w:val="00ED3185"/>
    <w:rsid w:val="00ED3315"/>
    <w:rsid w:val="00ED53C2"/>
    <w:rsid w:val="00ED54EA"/>
    <w:rsid w:val="00ED643C"/>
    <w:rsid w:val="00ED6442"/>
    <w:rsid w:val="00ED6BA4"/>
    <w:rsid w:val="00ED6C9F"/>
    <w:rsid w:val="00ED7956"/>
    <w:rsid w:val="00EE06EB"/>
    <w:rsid w:val="00EE0F74"/>
    <w:rsid w:val="00EE12E2"/>
    <w:rsid w:val="00EE1370"/>
    <w:rsid w:val="00EE1705"/>
    <w:rsid w:val="00EE2D81"/>
    <w:rsid w:val="00EE2E8B"/>
    <w:rsid w:val="00EE35AB"/>
    <w:rsid w:val="00EE434A"/>
    <w:rsid w:val="00EE450E"/>
    <w:rsid w:val="00EE46E4"/>
    <w:rsid w:val="00EE67C1"/>
    <w:rsid w:val="00EE7966"/>
    <w:rsid w:val="00EE7C2D"/>
    <w:rsid w:val="00EE7C33"/>
    <w:rsid w:val="00EF0976"/>
    <w:rsid w:val="00EF10C4"/>
    <w:rsid w:val="00EF128A"/>
    <w:rsid w:val="00EF131E"/>
    <w:rsid w:val="00EF23DD"/>
    <w:rsid w:val="00EF27D3"/>
    <w:rsid w:val="00EF3BA1"/>
    <w:rsid w:val="00EF3E8F"/>
    <w:rsid w:val="00EF47E3"/>
    <w:rsid w:val="00EF49EF"/>
    <w:rsid w:val="00EF616F"/>
    <w:rsid w:val="00EF6BFE"/>
    <w:rsid w:val="00EF73D4"/>
    <w:rsid w:val="00F00AC2"/>
    <w:rsid w:val="00F00D3C"/>
    <w:rsid w:val="00F01058"/>
    <w:rsid w:val="00F0136A"/>
    <w:rsid w:val="00F01399"/>
    <w:rsid w:val="00F01657"/>
    <w:rsid w:val="00F0261D"/>
    <w:rsid w:val="00F028E1"/>
    <w:rsid w:val="00F03EAA"/>
    <w:rsid w:val="00F046B0"/>
    <w:rsid w:val="00F049D5"/>
    <w:rsid w:val="00F04E05"/>
    <w:rsid w:val="00F057FB"/>
    <w:rsid w:val="00F060A1"/>
    <w:rsid w:val="00F06A06"/>
    <w:rsid w:val="00F06C89"/>
    <w:rsid w:val="00F07296"/>
    <w:rsid w:val="00F074E3"/>
    <w:rsid w:val="00F07FAC"/>
    <w:rsid w:val="00F101D8"/>
    <w:rsid w:val="00F10264"/>
    <w:rsid w:val="00F11286"/>
    <w:rsid w:val="00F119EA"/>
    <w:rsid w:val="00F11BBA"/>
    <w:rsid w:val="00F1257C"/>
    <w:rsid w:val="00F1285E"/>
    <w:rsid w:val="00F12A28"/>
    <w:rsid w:val="00F12C50"/>
    <w:rsid w:val="00F1323C"/>
    <w:rsid w:val="00F1383D"/>
    <w:rsid w:val="00F14834"/>
    <w:rsid w:val="00F14913"/>
    <w:rsid w:val="00F14A64"/>
    <w:rsid w:val="00F14FD6"/>
    <w:rsid w:val="00F15439"/>
    <w:rsid w:val="00F160D6"/>
    <w:rsid w:val="00F1654D"/>
    <w:rsid w:val="00F16565"/>
    <w:rsid w:val="00F16983"/>
    <w:rsid w:val="00F17799"/>
    <w:rsid w:val="00F17924"/>
    <w:rsid w:val="00F21465"/>
    <w:rsid w:val="00F21E41"/>
    <w:rsid w:val="00F22DCA"/>
    <w:rsid w:val="00F23392"/>
    <w:rsid w:val="00F235CA"/>
    <w:rsid w:val="00F237A5"/>
    <w:rsid w:val="00F23ADE"/>
    <w:rsid w:val="00F23C91"/>
    <w:rsid w:val="00F24756"/>
    <w:rsid w:val="00F24E92"/>
    <w:rsid w:val="00F25101"/>
    <w:rsid w:val="00F2533C"/>
    <w:rsid w:val="00F25547"/>
    <w:rsid w:val="00F255D7"/>
    <w:rsid w:val="00F256EE"/>
    <w:rsid w:val="00F263B1"/>
    <w:rsid w:val="00F26B25"/>
    <w:rsid w:val="00F273B6"/>
    <w:rsid w:val="00F27F85"/>
    <w:rsid w:val="00F30622"/>
    <w:rsid w:val="00F30810"/>
    <w:rsid w:val="00F3108F"/>
    <w:rsid w:val="00F313FF"/>
    <w:rsid w:val="00F319A7"/>
    <w:rsid w:val="00F31E8A"/>
    <w:rsid w:val="00F32C13"/>
    <w:rsid w:val="00F33522"/>
    <w:rsid w:val="00F340EE"/>
    <w:rsid w:val="00F34EEB"/>
    <w:rsid w:val="00F353F0"/>
    <w:rsid w:val="00F35646"/>
    <w:rsid w:val="00F35781"/>
    <w:rsid w:val="00F357C8"/>
    <w:rsid w:val="00F35ACC"/>
    <w:rsid w:val="00F36B3F"/>
    <w:rsid w:val="00F36CBE"/>
    <w:rsid w:val="00F37083"/>
    <w:rsid w:val="00F37312"/>
    <w:rsid w:val="00F37EAC"/>
    <w:rsid w:val="00F408A0"/>
    <w:rsid w:val="00F40916"/>
    <w:rsid w:val="00F41F39"/>
    <w:rsid w:val="00F4211D"/>
    <w:rsid w:val="00F42E75"/>
    <w:rsid w:val="00F4489B"/>
    <w:rsid w:val="00F44BE5"/>
    <w:rsid w:val="00F44E4F"/>
    <w:rsid w:val="00F45092"/>
    <w:rsid w:val="00F46E7C"/>
    <w:rsid w:val="00F46FA5"/>
    <w:rsid w:val="00F50854"/>
    <w:rsid w:val="00F50BD0"/>
    <w:rsid w:val="00F50F9D"/>
    <w:rsid w:val="00F513EE"/>
    <w:rsid w:val="00F513F0"/>
    <w:rsid w:val="00F51547"/>
    <w:rsid w:val="00F51F64"/>
    <w:rsid w:val="00F5248D"/>
    <w:rsid w:val="00F532FA"/>
    <w:rsid w:val="00F53FC1"/>
    <w:rsid w:val="00F543F7"/>
    <w:rsid w:val="00F54897"/>
    <w:rsid w:val="00F54A2A"/>
    <w:rsid w:val="00F54F2C"/>
    <w:rsid w:val="00F5529C"/>
    <w:rsid w:val="00F560A7"/>
    <w:rsid w:val="00F562B6"/>
    <w:rsid w:val="00F56558"/>
    <w:rsid w:val="00F56684"/>
    <w:rsid w:val="00F56D07"/>
    <w:rsid w:val="00F56E8F"/>
    <w:rsid w:val="00F572DC"/>
    <w:rsid w:val="00F57418"/>
    <w:rsid w:val="00F57B32"/>
    <w:rsid w:val="00F57C0C"/>
    <w:rsid w:val="00F60036"/>
    <w:rsid w:val="00F60118"/>
    <w:rsid w:val="00F6029D"/>
    <w:rsid w:val="00F6044F"/>
    <w:rsid w:val="00F60857"/>
    <w:rsid w:val="00F60B15"/>
    <w:rsid w:val="00F60D55"/>
    <w:rsid w:val="00F60F44"/>
    <w:rsid w:val="00F6181A"/>
    <w:rsid w:val="00F61ACE"/>
    <w:rsid w:val="00F61D99"/>
    <w:rsid w:val="00F62274"/>
    <w:rsid w:val="00F62374"/>
    <w:rsid w:val="00F629F0"/>
    <w:rsid w:val="00F62C3A"/>
    <w:rsid w:val="00F62F75"/>
    <w:rsid w:val="00F63DF2"/>
    <w:rsid w:val="00F63EBC"/>
    <w:rsid w:val="00F645D0"/>
    <w:rsid w:val="00F645D1"/>
    <w:rsid w:val="00F64D2A"/>
    <w:rsid w:val="00F65E7A"/>
    <w:rsid w:val="00F66487"/>
    <w:rsid w:val="00F66822"/>
    <w:rsid w:val="00F66BF8"/>
    <w:rsid w:val="00F700FA"/>
    <w:rsid w:val="00F7043D"/>
    <w:rsid w:val="00F70649"/>
    <w:rsid w:val="00F706A4"/>
    <w:rsid w:val="00F70CA4"/>
    <w:rsid w:val="00F71188"/>
    <w:rsid w:val="00F71995"/>
    <w:rsid w:val="00F71F4C"/>
    <w:rsid w:val="00F72B8E"/>
    <w:rsid w:val="00F72CF5"/>
    <w:rsid w:val="00F7369C"/>
    <w:rsid w:val="00F7374C"/>
    <w:rsid w:val="00F73841"/>
    <w:rsid w:val="00F73B2E"/>
    <w:rsid w:val="00F73CAD"/>
    <w:rsid w:val="00F74B37"/>
    <w:rsid w:val="00F74C65"/>
    <w:rsid w:val="00F74D27"/>
    <w:rsid w:val="00F7542D"/>
    <w:rsid w:val="00F7595C"/>
    <w:rsid w:val="00F75A45"/>
    <w:rsid w:val="00F75C41"/>
    <w:rsid w:val="00F76484"/>
    <w:rsid w:val="00F7680F"/>
    <w:rsid w:val="00F76FA9"/>
    <w:rsid w:val="00F779B2"/>
    <w:rsid w:val="00F81363"/>
    <w:rsid w:val="00F818CE"/>
    <w:rsid w:val="00F81D1F"/>
    <w:rsid w:val="00F82232"/>
    <w:rsid w:val="00F828E7"/>
    <w:rsid w:val="00F8321A"/>
    <w:rsid w:val="00F834B7"/>
    <w:rsid w:val="00F8395B"/>
    <w:rsid w:val="00F848B5"/>
    <w:rsid w:val="00F854BA"/>
    <w:rsid w:val="00F8553F"/>
    <w:rsid w:val="00F85552"/>
    <w:rsid w:val="00F85F16"/>
    <w:rsid w:val="00F86450"/>
    <w:rsid w:val="00F87139"/>
    <w:rsid w:val="00F8719C"/>
    <w:rsid w:val="00F90E5E"/>
    <w:rsid w:val="00F90EF9"/>
    <w:rsid w:val="00F914B9"/>
    <w:rsid w:val="00F914CB"/>
    <w:rsid w:val="00F917A2"/>
    <w:rsid w:val="00F91B96"/>
    <w:rsid w:val="00F91E18"/>
    <w:rsid w:val="00F92A7F"/>
    <w:rsid w:val="00F92AC3"/>
    <w:rsid w:val="00F94101"/>
    <w:rsid w:val="00F947A4"/>
    <w:rsid w:val="00F951DD"/>
    <w:rsid w:val="00F9521D"/>
    <w:rsid w:val="00F95542"/>
    <w:rsid w:val="00F9616E"/>
    <w:rsid w:val="00F96811"/>
    <w:rsid w:val="00F96979"/>
    <w:rsid w:val="00F96BF8"/>
    <w:rsid w:val="00F96F11"/>
    <w:rsid w:val="00F96FF7"/>
    <w:rsid w:val="00F97289"/>
    <w:rsid w:val="00F976FC"/>
    <w:rsid w:val="00F9784E"/>
    <w:rsid w:val="00F979CE"/>
    <w:rsid w:val="00F97A57"/>
    <w:rsid w:val="00F97AB5"/>
    <w:rsid w:val="00F97B96"/>
    <w:rsid w:val="00F97F87"/>
    <w:rsid w:val="00FA0353"/>
    <w:rsid w:val="00FA06FF"/>
    <w:rsid w:val="00FA0CDA"/>
    <w:rsid w:val="00FA1530"/>
    <w:rsid w:val="00FA1C7C"/>
    <w:rsid w:val="00FA1C9F"/>
    <w:rsid w:val="00FA227B"/>
    <w:rsid w:val="00FA30DE"/>
    <w:rsid w:val="00FA393B"/>
    <w:rsid w:val="00FA4435"/>
    <w:rsid w:val="00FA4450"/>
    <w:rsid w:val="00FA47C6"/>
    <w:rsid w:val="00FA4BB4"/>
    <w:rsid w:val="00FA4BC8"/>
    <w:rsid w:val="00FA4D67"/>
    <w:rsid w:val="00FA56A5"/>
    <w:rsid w:val="00FA5CED"/>
    <w:rsid w:val="00FA60A7"/>
    <w:rsid w:val="00FA60F1"/>
    <w:rsid w:val="00FA6576"/>
    <w:rsid w:val="00FA6964"/>
    <w:rsid w:val="00FA6ECF"/>
    <w:rsid w:val="00FA765A"/>
    <w:rsid w:val="00FA7923"/>
    <w:rsid w:val="00FA7ED9"/>
    <w:rsid w:val="00FB0E72"/>
    <w:rsid w:val="00FB0F40"/>
    <w:rsid w:val="00FB1198"/>
    <w:rsid w:val="00FB1202"/>
    <w:rsid w:val="00FB12DB"/>
    <w:rsid w:val="00FB1768"/>
    <w:rsid w:val="00FB21B5"/>
    <w:rsid w:val="00FB2257"/>
    <w:rsid w:val="00FB237D"/>
    <w:rsid w:val="00FB2E0A"/>
    <w:rsid w:val="00FB3764"/>
    <w:rsid w:val="00FB3B56"/>
    <w:rsid w:val="00FB42A1"/>
    <w:rsid w:val="00FB4A82"/>
    <w:rsid w:val="00FB5FF3"/>
    <w:rsid w:val="00FB6411"/>
    <w:rsid w:val="00FB678C"/>
    <w:rsid w:val="00FB6F9B"/>
    <w:rsid w:val="00FB7246"/>
    <w:rsid w:val="00FB7A11"/>
    <w:rsid w:val="00FC06F1"/>
    <w:rsid w:val="00FC0919"/>
    <w:rsid w:val="00FC0998"/>
    <w:rsid w:val="00FC0B39"/>
    <w:rsid w:val="00FC1013"/>
    <w:rsid w:val="00FC1032"/>
    <w:rsid w:val="00FC117C"/>
    <w:rsid w:val="00FC1339"/>
    <w:rsid w:val="00FC161E"/>
    <w:rsid w:val="00FC1AF9"/>
    <w:rsid w:val="00FC1E5A"/>
    <w:rsid w:val="00FC1EB8"/>
    <w:rsid w:val="00FC2DEF"/>
    <w:rsid w:val="00FC30A5"/>
    <w:rsid w:val="00FC319E"/>
    <w:rsid w:val="00FC35AC"/>
    <w:rsid w:val="00FC45DB"/>
    <w:rsid w:val="00FC46AD"/>
    <w:rsid w:val="00FC5B77"/>
    <w:rsid w:val="00FC6ACD"/>
    <w:rsid w:val="00FC709D"/>
    <w:rsid w:val="00FC76B7"/>
    <w:rsid w:val="00FC796A"/>
    <w:rsid w:val="00FC7C77"/>
    <w:rsid w:val="00FD0936"/>
    <w:rsid w:val="00FD0B65"/>
    <w:rsid w:val="00FD0E4B"/>
    <w:rsid w:val="00FD121C"/>
    <w:rsid w:val="00FD19BB"/>
    <w:rsid w:val="00FD1A16"/>
    <w:rsid w:val="00FD1FAE"/>
    <w:rsid w:val="00FD265D"/>
    <w:rsid w:val="00FD2C29"/>
    <w:rsid w:val="00FD2C3C"/>
    <w:rsid w:val="00FD3276"/>
    <w:rsid w:val="00FD3482"/>
    <w:rsid w:val="00FD35ED"/>
    <w:rsid w:val="00FD37A1"/>
    <w:rsid w:val="00FD389F"/>
    <w:rsid w:val="00FD4153"/>
    <w:rsid w:val="00FD4278"/>
    <w:rsid w:val="00FD442E"/>
    <w:rsid w:val="00FD44DA"/>
    <w:rsid w:val="00FD4A13"/>
    <w:rsid w:val="00FD4CD2"/>
    <w:rsid w:val="00FD50F7"/>
    <w:rsid w:val="00FD54D0"/>
    <w:rsid w:val="00FD5B53"/>
    <w:rsid w:val="00FD6156"/>
    <w:rsid w:val="00FD775F"/>
    <w:rsid w:val="00FD7BDD"/>
    <w:rsid w:val="00FD7D41"/>
    <w:rsid w:val="00FE059C"/>
    <w:rsid w:val="00FE0C04"/>
    <w:rsid w:val="00FE0E1A"/>
    <w:rsid w:val="00FE14C2"/>
    <w:rsid w:val="00FE1D7F"/>
    <w:rsid w:val="00FE1FE2"/>
    <w:rsid w:val="00FE25CB"/>
    <w:rsid w:val="00FE3A44"/>
    <w:rsid w:val="00FE3A7C"/>
    <w:rsid w:val="00FE41D8"/>
    <w:rsid w:val="00FE449C"/>
    <w:rsid w:val="00FE4A1B"/>
    <w:rsid w:val="00FE4D81"/>
    <w:rsid w:val="00FE4F1A"/>
    <w:rsid w:val="00FE5CFF"/>
    <w:rsid w:val="00FE5DE3"/>
    <w:rsid w:val="00FE7C16"/>
    <w:rsid w:val="00FE7DEB"/>
    <w:rsid w:val="00FF0239"/>
    <w:rsid w:val="00FF0790"/>
    <w:rsid w:val="00FF0FCE"/>
    <w:rsid w:val="00FF190A"/>
    <w:rsid w:val="00FF19F1"/>
    <w:rsid w:val="00FF1CDC"/>
    <w:rsid w:val="00FF3D74"/>
    <w:rsid w:val="00FF48D3"/>
    <w:rsid w:val="00FF4A13"/>
    <w:rsid w:val="00FF56E6"/>
    <w:rsid w:val="00FF579E"/>
    <w:rsid w:val="00FF57E9"/>
    <w:rsid w:val="00FF5A56"/>
    <w:rsid w:val="00FF5B3B"/>
    <w:rsid w:val="00FF5D52"/>
    <w:rsid w:val="00FF6451"/>
    <w:rsid w:val="00FF7A0C"/>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8DBC69"/>
  <w15:chartTrackingRefBased/>
  <w15:docId w15:val="{33B73EA9-9C6B-4D9A-BB45-1DB06B8D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19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3019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30195"/>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30195"/>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30195"/>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3019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3019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3019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3019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56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8000B"/>
    <w:pPr>
      <w:ind w:left="720"/>
      <w:contextualSpacing/>
    </w:pPr>
  </w:style>
  <w:style w:type="character" w:styleId="CommentReference">
    <w:name w:val="annotation reference"/>
    <w:basedOn w:val="DefaultParagraphFont"/>
    <w:uiPriority w:val="99"/>
    <w:semiHidden/>
    <w:unhideWhenUsed/>
    <w:rsid w:val="005B7417"/>
    <w:rPr>
      <w:sz w:val="16"/>
      <w:szCs w:val="16"/>
    </w:rPr>
  </w:style>
  <w:style w:type="paragraph" w:styleId="CommentText">
    <w:name w:val="annotation text"/>
    <w:basedOn w:val="Normal"/>
    <w:link w:val="CommentTextChar"/>
    <w:uiPriority w:val="99"/>
    <w:unhideWhenUsed/>
    <w:rsid w:val="005B7417"/>
    <w:pPr>
      <w:spacing w:line="240" w:lineRule="auto"/>
    </w:pPr>
    <w:rPr>
      <w:sz w:val="20"/>
      <w:szCs w:val="20"/>
    </w:rPr>
  </w:style>
  <w:style w:type="character" w:customStyle="1" w:styleId="CommentTextChar">
    <w:name w:val="Comment Text Char"/>
    <w:basedOn w:val="DefaultParagraphFont"/>
    <w:link w:val="CommentText"/>
    <w:uiPriority w:val="99"/>
    <w:rsid w:val="005B7417"/>
    <w:rPr>
      <w:sz w:val="20"/>
      <w:szCs w:val="20"/>
    </w:rPr>
  </w:style>
  <w:style w:type="paragraph" w:styleId="CommentSubject">
    <w:name w:val="annotation subject"/>
    <w:basedOn w:val="CommentText"/>
    <w:next w:val="CommentText"/>
    <w:link w:val="CommentSubjectChar"/>
    <w:uiPriority w:val="99"/>
    <w:semiHidden/>
    <w:unhideWhenUsed/>
    <w:rsid w:val="005B7417"/>
    <w:rPr>
      <w:b/>
      <w:bCs/>
    </w:rPr>
  </w:style>
  <w:style w:type="character" w:customStyle="1" w:styleId="CommentSubjectChar">
    <w:name w:val="Comment Subject Char"/>
    <w:basedOn w:val="CommentTextChar"/>
    <w:link w:val="CommentSubject"/>
    <w:uiPriority w:val="99"/>
    <w:semiHidden/>
    <w:rsid w:val="005B7417"/>
    <w:rPr>
      <w:b/>
      <w:bCs/>
      <w:sz w:val="20"/>
      <w:szCs w:val="20"/>
    </w:rPr>
  </w:style>
  <w:style w:type="paragraph" w:customStyle="1" w:styleId="Paragraph">
    <w:name w:val="Paragraph"/>
    <w:basedOn w:val="Normal"/>
    <w:next w:val="Normal"/>
    <w:qFormat/>
    <w:rsid w:val="00994217"/>
    <w:pPr>
      <w:widowControl w:val="0"/>
      <w:spacing w:before="240" w:after="0" w:line="480" w:lineRule="auto"/>
    </w:pPr>
    <w:rPr>
      <w:rFonts w:ascii="Times New Roman" w:eastAsia="Times New Roman" w:hAnsi="Times New Roman" w:cs="Times New Roman"/>
      <w:sz w:val="24"/>
      <w:szCs w:val="24"/>
      <w:lang w:eastAsia="en-GB"/>
    </w:rPr>
  </w:style>
  <w:style w:type="paragraph" w:customStyle="1" w:styleId="Body">
    <w:name w:val="Body"/>
    <w:rsid w:val="00C25D1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character" w:styleId="Emphasis">
    <w:name w:val="Emphasis"/>
    <w:basedOn w:val="DefaultParagraphFont"/>
    <w:uiPriority w:val="20"/>
    <w:qFormat/>
    <w:rsid w:val="00E75ACD"/>
    <w:rPr>
      <w:i/>
      <w:iCs/>
    </w:rPr>
  </w:style>
  <w:style w:type="character" w:styleId="Hyperlink">
    <w:name w:val="Hyperlink"/>
    <w:basedOn w:val="DefaultParagraphFont"/>
    <w:uiPriority w:val="99"/>
    <w:unhideWhenUsed/>
    <w:rsid w:val="00E75ACD"/>
    <w:rPr>
      <w:color w:val="0000FF"/>
      <w:u w:val="single"/>
    </w:rPr>
  </w:style>
  <w:style w:type="character" w:customStyle="1" w:styleId="cs1-format">
    <w:name w:val="cs1-format"/>
    <w:basedOn w:val="DefaultParagraphFont"/>
    <w:rsid w:val="00E75ACD"/>
  </w:style>
  <w:style w:type="character" w:customStyle="1" w:styleId="reference-accessdate">
    <w:name w:val="reference-accessdate"/>
    <w:basedOn w:val="DefaultParagraphFont"/>
    <w:rsid w:val="00E75ACD"/>
  </w:style>
  <w:style w:type="character" w:customStyle="1" w:styleId="nowrap">
    <w:name w:val="nowrap"/>
    <w:basedOn w:val="DefaultParagraphFont"/>
    <w:rsid w:val="00E75ACD"/>
  </w:style>
  <w:style w:type="paragraph" w:styleId="Header">
    <w:name w:val="header"/>
    <w:basedOn w:val="Normal"/>
    <w:link w:val="HeaderChar"/>
    <w:uiPriority w:val="99"/>
    <w:unhideWhenUsed/>
    <w:rsid w:val="001B6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263"/>
  </w:style>
  <w:style w:type="paragraph" w:styleId="Footer">
    <w:name w:val="footer"/>
    <w:basedOn w:val="Normal"/>
    <w:link w:val="FooterChar"/>
    <w:uiPriority w:val="99"/>
    <w:unhideWhenUsed/>
    <w:rsid w:val="001B6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263"/>
  </w:style>
  <w:style w:type="table" w:styleId="TableGrid">
    <w:name w:val="Table Grid"/>
    <w:basedOn w:val="TableNormal"/>
    <w:uiPriority w:val="39"/>
    <w:rsid w:val="00F57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07400"/>
    <w:pPr>
      <w:spacing w:after="0" w:line="240" w:lineRule="auto"/>
    </w:pPr>
  </w:style>
  <w:style w:type="character" w:styleId="UnresolvedMention">
    <w:name w:val="Unresolved Mention"/>
    <w:basedOn w:val="DefaultParagraphFont"/>
    <w:uiPriority w:val="99"/>
    <w:semiHidden/>
    <w:unhideWhenUsed/>
    <w:rsid w:val="003C69FF"/>
    <w:rPr>
      <w:color w:val="605E5C"/>
      <w:shd w:val="clear" w:color="auto" w:fill="E1DFDD"/>
    </w:rPr>
  </w:style>
  <w:style w:type="character" w:styleId="FollowedHyperlink">
    <w:name w:val="FollowedHyperlink"/>
    <w:basedOn w:val="DefaultParagraphFont"/>
    <w:uiPriority w:val="99"/>
    <w:semiHidden/>
    <w:unhideWhenUsed/>
    <w:rsid w:val="00131F14"/>
    <w:rPr>
      <w:color w:val="954F72" w:themeColor="followedHyperlink"/>
      <w:u w:val="single"/>
    </w:rPr>
  </w:style>
  <w:style w:type="paragraph" w:customStyle="1" w:styleId="Default">
    <w:name w:val="Default"/>
    <w:rsid w:val="0017792A"/>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marksd1dktwjs">
    <w:name w:val="marksd1dktwjs"/>
    <w:basedOn w:val="DefaultParagraphFont"/>
    <w:rsid w:val="006E49AD"/>
  </w:style>
  <w:style w:type="character" w:customStyle="1" w:styleId="Heading1Char">
    <w:name w:val="Heading 1 Char"/>
    <w:basedOn w:val="DefaultParagraphFont"/>
    <w:link w:val="Heading1"/>
    <w:uiPriority w:val="9"/>
    <w:rsid w:val="00830195"/>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830195"/>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830195"/>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830195"/>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830195"/>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83019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83019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83019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83019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83019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30195"/>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30195"/>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30195"/>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30195"/>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3019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830195"/>
    <w:rPr>
      <w:i/>
      <w:iCs/>
      <w:color w:val="2F5496" w:themeColor="accent1" w:themeShade="BF"/>
    </w:rPr>
  </w:style>
  <w:style w:type="paragraph" w:styleId="IntenseQuote">
    <w:name w:val="Intense Quote"/>
    <w:basedOn w:val="Normal"/>
    <w:next w:val="Normal"/>
    <w:link w:val="IntenseQuoteChar"/>
    <w:uiPriority w:val="30"/>
    <w:qFormat/>
    <w:rsid w:val="0083019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30195"/>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830195"/>
    <w:rPr>
      <w:b/>
      <w:bCs/>
      <w:smallCaps/>
      <w:color w:val="2F5496" w:themeColor="accent1" w:themeShade="BF"/>
      <w:spacing w:val="5"/>
    </w:rPr>
  </w:style>
  <w:style w:type="paragraph" w:customStyle="1" w:styleId="pf0">
    <w:name w:val="pf0"/>
    <w:basedOn w:val="Normal"/>
    <w:rsid w:val="00830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83019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87624">
      <w:bodyDiv w:val="1"/>
      <w:marLeft w:val="0"/>
      <w:marRight w:val="0"/>
      <w:marTop w:val="0"/>
      <w:marBottom w:val="0"/>
      <w:divBdr>
        <w:top w:val="none" w:sz="0" w:space="0" w:color="auto"/>
        <w:left w:val="none" w:sz="0" w:space="0" w:color="auto"/>
        <w:bottom w:val="none" w:sz="0" w:space="0" w:color="auto"/>
        <w:right w:val="none" w:sz="0" w:space="0" w:color="auto"/>
      </w:divBdr>
    </w:div>
    <w:div w:id="316542389">
      <w:bodyDiv w:val="1"/>
      <w:marLeft w:val="0"/>
      <w:marRight w:val="0"/>
      <w:marTop w:val="0"/>
      <w:marBottom w:val="0"/>
      <w:divBdr>
        <w:top w:val="none" w:sz="0" w:space="0" w:color="auto"/>
        <w:left w:val="none" w:sz="0" w:space="0" w:color="auto"/>
        <w:bottom w:val="none" w:sz="0" w:space="0" w:color="auto"/>
        <w:right w:val="none" w:sz="0" w:space="0" w:color="auto"/>
      </w:divBdr>
    </w:div>
    <w:div w:id="379594713">
      <w:bodyDiv w:val="1"/>
      <w:marLeft w:val="0"/>
      <w:marRight w:val="0"/>
      <w:marTop w:val="0"/>
      <w:marBottom w:val="0"/>
      <w:divBdr>
        <w:top w:val="none" w:sz="0" w:space="0" w:color="auto"/>
        <w:left w:val="none" w:sz="0" w:space="0" w:color="auto"/>
        <w:bottom w:val="none" w:sz="0" w:space="0" w:color="auto"/>
        <w:right w:val="none" w:sz="0" w:space="0" w:color="auto"/>
      </w:divBdr>
    </w:div>
    <w:div w:id="521751729">
      <w:bodyDiv w:val="1"/>
      <w:marLeft w:val="0"/>
      <w:marRight w:val="0"/>
      <w:marTop w:val="0"/>
      <w:marBottom w:val="0"/>
      <w:divBdr>
        <w:top w:val="none" w:sz="0" w:space="0" w:color="auto"/>
        <w:left w:val="none" w:sz="0" w:space="0" w:color="auto"/>
        <w:bottom w:val="none" w:sz="0" w:space="0" w:color="auto"/>
        <w:right w:val="none" w:sz="0" w:space="0" w:color="auto"/>
      </w:divBdr>
    </w:div>
    <w:div w:id="576329700">
      <w:bodyDiv w:val="1"/>
      <w:marLeft w:val="0"/>
      <w:marRight w:val="0"/>
      <w:marTop w:val="0"/>
      <w:marBottom w:val="0"/>
      <w:divBdr>
        <w:top w:val="none" w:sz="0" w:space="0" w:color="auto"/>
        <w:left w:val="none" w:sz="0" w:space="0" w:color="auto"/>
        <w:bottom w:val="none" w:sz="0" w:space="0" w:color="auto"/>
        <w:right w:val="none" w:sz="0" w:space="0" w:color="auto"/>
      </w:divBdr>
    </w:div>
    <w:div w:id="922253432">
      <w:bodyDiv w:val="1"/>
      <w:marLeft w:val="0"/>
      <w:marRight w:val="0"/>
      <w:marTop w:val="0"/>
      <w:marBottom w:val="0"/>
      <w:divBdr>
        <w:top w:val="none" w:sz="0" w:space="0" w:color="auto"/>
        <w:left w:val="none" w:sz="0" w:space="0" w:color="auto"/>
        <w:bottom w:val="none" w:sz="0" w:space="0" w:color="auto"/>
        <w:right w:val="none" w:sz="0" w:space="0" w:color="auto"/>
      </w:divBdr>
    </w:div>
    <w:div w:id="1144590977">
      <w:bodyDiv w:val="1"/>
      <w:marLeft w:val="0"/>
      <w:marRight w:val="0"/>
      <w:marTop w:val="0"/>
      <w:marBottom w:val="0"/>
      <w:divBdr>
        <w:top w:val="none" w:sz="0" w:space="0" w:color="auto"/>
        <w:left w:val="none" w:sz="0" w:space="0" w:color="auto"/>
        <w:bottom w:val="none" w:sz="0" w:space="0" w:color="auto"/>
        <w:right w:val="none" w:sz="0" w:space="0" w:color="auto"/>
      </w:divBdr>
      <w:divsChild>
        <w:div w:id="800807951">
          <w:marLeft w:val="547"/>
          <w:marRight w:val="0"/>
          <w:marTop w:val="200"/>
          <w:marBottom w:val="0"/>
          <w:divBdr>
            <w:top w:val="none" w:sz="0" w:space="0" w:color="auto"/>
            <w:left w:val="none" w:sz="0" w:space="0" w:color="auto"/>
            <w:bottom w:val="none" w:sz="0" w:space="0" w:color="auto"/>
            <w:right w:val="none" w:sz="0" w:space="0" w:color="auto"/>
          </w:divBdr>
        </w:div>
      </w:divsChild>
    </w:div>
    <w:div w:id="1209488748">
      <w:bodyDiv w:val="1"/>
      <w:marLeft w:val="0"/>
      <w:marRight w:val="0"/>
      <w:marTop w:val="0"/>
      <w:marBottom w:val="0"/>
      <w:divBdr>
        <w:top w:val="none" w:sz="0" w:space="0" w:color="auto"/>
        <w:left w:val="none" w:sz="0" w:space="0" w:color="auto"/>
        <w:bottom w:val="none" w:sz="0" w:space="0" w:color="auto"/>
        <w:right w:val="none" w:sz="0" w:space="0" w:color="auto"/>
      </w:divBdr>
    </w:div>
    <w:div w:id="1875536466">
      <w:bodyDiv w:val="1"/>
      <w:marLeft w:val="0"/>
      <w:marRight w:val="0"/>
      <w:marTop w:val="0"/>
      <w:marBottom w:val="0"/>
      <w:divBdr>
        <w:top w:val="none" w:sz="0" w:space="0" w:color="auto"/>
        <w:left w:val="none" w:sz="0" w:space="0" w:color="auto"/>
        <w:bottom w:val="none" w:sz="0" w:space="0" w:color="auto"/>
        <w:right w:val="none" w:sz="0" w:space="0" w:color="auto"/>
      </w:divBdr>
      <w:divsChild>
        <w:div w:id="84944216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A70DD-0534-4B1F-931C-0F7E92559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71</Pages>
  <Words>19969</Words>
  <Characters>113694</Characters>
  <Application>Microsoft Office Word</Application>
  <DocSecurity>0</DocSecurity>
  <Lines>1903</Lines>
  <Paragraphs>465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Morris</dc:creator>
  <cp:keywords/>
  <dc:description/>
  <cp:lastModifiedBy>Jon Morris</cp:lastModifiedBy>
  <cp:revision>10</cp:revision>
  <dcterms:created xsi:type="dcterms:W3CDTF">2024-02-24T16:43:00Z</dcterms:created>
  <dcterms:modified xsi:type="dcterms:W3CDTF">2024-02-27T15:08:00Z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68dbbc1f-ca0c-31db-8a02-0fbe714ae500</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c4ae794790d3fe448ee74539f489b9a4e120d5b996eceeff8260af8fbea84304</vt:lpwstr>
  </property>
</Properties>
</file>