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5788E" w14:textId="77777777" w:rsidR="00F63C10" w:rsidRPr="00C43E1C" w:rsidRDefault="008D151C" w:rsidP="00F63C10">
      <w:pPr>
        <w:rPr>
          <w:rFonts w:ascii="Bookman Old Style" w:hAnsi="Bookman Old Style" w:cs="Times New Roman"/>
          <w:i/>
          <w:sz w:val="24"/>
          <w:szCs w:val="24"/>
          <w:lang w:val="en-GB"/>
        </w:rPr>
      </w:pPr>
      <w:r w:rsidRPr="00C43E1C">
        <w:rPr>
          <w:rFonts w:ascii="Bookman Old Style" w:hAnsi="Bookman Old Style" w:cs="Times New Roman"/>
          <w:sz w:val="24"/>
          <w:szCs w:val="24"/>
          <w:lang w:val="en-GB"/>
        </w:rPr>
        <w:t>Q.9.</w:t>
      </w:r>
      <w:r w:rsidRPr="00C43E1C">
        <w:rPr>
          <w:rFonts w:ascii="Bookman Old Style" w:hAnsi="Bookman Old Style" w:cs="Times New Roman"/>
          <w:i/>
          <w:sz w:val="24"/>
          <w:szCs w:val="24"/>
          <w:lang w:val="en-GB"/>
        </w:rPr>
        <w:t xml:space="preserve"> Nozick criticised the principle of fairness defined by Rawls as a principle </w:t>
      </w:r>
      <w:r w:rsidR="00F63C10" w:rsidRPr="00C43E1C">
        <w:rPr>
          <w:rFonts w:ascii="Bookman Old Style" w:hAnsi="Bookman Old Style" w:cs="Times New Roman"/>
          <w:i/>
          <w:sz w:val="24"/>
          <w:szCs w:val="24"/>
          <w:lang w:val="en-GB"/>
        </w:rPr>
        <w:t xml:space="preserve"> </w:t>
      </w:r>
    </w:p>
    <w:p w14:paraId="4E2ECF87" w14:textId="77777777" w:rsidR="00F63C10" w:rsidRPr="00C43E1C" w:rsidRDefault="00F63C10" w:rsidP="008D151C">
      <w:pPr>
        <w:rPr>
          <w:rFonts w:ascii="Bookman Old Style" w:hAnsi="Bookman Old Style" w:cs="Times New Roman"/>
          <w:i/>
          <w:sz w:val="24"/>
          <w:szCs w:val="24"/>
          <w:lang w:val="en-GB"/>
        </w:rPr>
      </w:pPr>
      <w:r w:rsidRPr="00C43E1C">
        <w:rPr>
          <w:rFonts w:ascii="Bookman Old Style" w:hAnsi="Bookman Old Style" w:cs="Times New Roman"/>
          <w:i/>
          <w:sz w:val="24"/>
          <w:szCs w:val="24"/>
          <w:lang w:val="en-GB"/>
        </w:rPr>
        <w:t xml:space="preserve">       which </w:t>
      </w:r>
      <w:r w:rsidR="008D151C" w:rsidRPr="00C43E1C">
        <w:rPr>
          <w:rFonts w:ascii="Bookman Old Style" w:hAnsi="Bookman Old Style" w:cs="Times New Roman"/>
          <w:i/>
          <w:sz w:val="24"/>
          <w:szCs w:val="24"/>
          <w:lang w:val="en-GB"/>
        </w:rPr>
        <w:t xml:space="preserve">legitimizes enforcement of the obligations that have arisen under </w:t>
      </w:r>
      <w:r w:rsidRPr="00C43E1C">
        <w:rPr>
          <w:rFonts w:ascii="Bookman Old Style" w:hAnsi="Bookman Old Style" w:cs="Times New Roman"/>
          <w:i/>
          <w:sz w:val="24"/>
          <w:szCs w:val="24"/>
          <w:lang w:val="en-GB"/>
        </w:rPr>
        <w:t xml:space="preserve"> </w:t>
      </w:r>
    </w:p>
    <w:p w14:paraId="74DC561E" w14:textId="77777777" w:rsidR="00F63C10" w:rsidRPr="00C43E1C" w:rsidRDefault="00F63C10" w:rsidP="008D151C">
      <w:pPr>
        <w:rPr>
          <w:rFonts w:ascii="Bookman Old Style" w:hAnsi="Bookman Old Style" w:cs="Times New Roman"/>
          <w:i/>
          <w:sz w:val="24"/>
          <w:szCs w:val="24"/>
          <w:lang w:val="en-GB"/>
        </w:rPr>
      </w:pPr>
      <w:r w:rsidRPr="00C43E1C">
        <w:rPr>
          <w:rFonts w:ascii="Bookman Old Style" w:hAnsi="Bookman Old Style" w:cs="Times New Roman"/>
          <w:i/>
          <w:sz w:val="24"/>
          <w:szCs w:val="24"/>
          <w:lang w:val="en-GB"/>
        </w:rPr>
        <w:t xml:space="preserve">       </w:t>
      </w:r>
      <w:r w:rsidR="008D151C" w:rsidRPr="00C43E1C">
        <w:rPr>
          <w:rFonts w:ascii="Bookman Old Style" w:hAnsi="Bookman Old Style" w:cs="Times New Roman"/>
          <w:i/>
          <w:sz w:val="24"/>
          <w:szCs w:val="24"/>
          <w:lang w:val="en-GB"/>
        </w:rPr>
        <w:t xml:space="preserve">this principle of fairness. Discuss the basis for this criticism and Nozick’s </w:t>
      </w:r>
    </w:p>
    <w:p w14:paraId="43E0A234" w14:textId="77777777" w:rsidR="008D151C" w:rsidRPr="00C43E1C" w:rsidRDefault="00F63C10" w:rsidP="008D151C">
      <w:pPr>
        <w:rPr>
          <w:rFonts w:ascii="Bookman Old Style" w:hAnsi="Bookman Old Style" w:cs="Times New Roman"/>
          <w:i/>
          <w:sz w:val="24"/>
          <w:szCs w:val="24"/>
          <w:lang w:val="en-GB"/>
        </w:rPr>
      </w:pPr>
      <w:r w:rsidRPr="00C43E1C">
        <w:rPr>
          <w:rFonts w:ascii="Bookman Old Style" w:hAnsi="Bookman Old Style" w:cs="Times New Roman"/>
          <w:i/>
          <w:sz w:val="24"/>
          <w:szCs w:val="24"/>
          <w:lang w:val="en-GB"/>
        </w:rPr>
        <w:t xml:space="preserve">       </w:t>
      </w:r>
      <w:r w:rsidR="008D151C" w:rsidRPr="00C43E1C">
        <w:rPr>
          <w:rFonts w:ascii="Bookman Old Style" w:hAnsi="Bookman Old Style" w:cs="Times New Roman"/>
          <w:i/>
          <w:sz w:val="24"/>
          <w:szCs w:val="24"/>
          <w:lang w:val="en-GB"/>
        </w:rPr>
        <w:t>alternative.</w:t>
      </w:r>
    </w:p>
    <w:p w14:paraId="3C189D10" w14:textId="6A14455F" w:rsidR="00405D34" w:rsidRDefault="00405D34">
      <w:pPr>
        <w:rPr>
          <w:rFonts w:ascii="Bookman Old Style" w:hAnsi="Bookman Old Style"/>
          <w:sz w:val="24"/>
          <w:szCs w:val="24"/>
        </w:rPr>
      </w:pPr>
    </w:p>
    <w:p w14:paraId="4431B122" w14:textId="244C14EE" w:rsidR="00BA3768" w:rsidRDefault="00BA3768" w:rsidP="00C748D7">
      <w:pPr>
        <w:ind w:firstLine="720"/>
        <w:rPr>
          <w:rFonts w:ascii="Bookman Old Style" w:hAnsi="Bookman Old Style"/>
          <w:sz w:val="24"/>
          <w:szCs w:val="24"/>
        </w:rPr>
      </w:pPr>
      <w:r>
        <w:rPr>
          <w:rFonts w:ascii="Bookman Old Style" w:hAnsi="Bookman Old Style"/>
          <w:sz w:val="24"/>
          <w:szCs w:val="24"/>
        </w:rPr>
        <w:t xml:space="preserve">Firstly, considering the large amount of Nozick’s criticism of Rawls in his ‘Anarchy, State and Utopia’, there is hardly any reference to purely Rawlsian </w:t>
      </w:r>
      <w:r w:rsidR="001E636F">
        <w:rPr>
          <w:rFonts w:ascii="Bookman Old Style" w:hAnsi="Bookman Old Style"/>
          <w:sz w:val="24"/>
          <w:szCs w:val="24"/>
        </w:rPr>
        <w:t>‘</w:t>
      </w:r>
      <w:r>
        <w:rPr>
          <w:rFonts w:ascii="Bookman Old Style" w:hAnsi="Bookman Old Style"/>
          <w:sz w:val="24"/>
          <w:szCs w:val="24"/>
        </w:rPr>
        <w:t>fair play</w:t>
      </w:r>
      <w:r w:rsidR="001E636F">
        <w:rPr>
          <w:rFonts w:ascii="Bookman Old Style" w:hAnsi="Bookman Old Style"/>
          <w:sz w:val="24"/>
          <w:szCs w:val="24"/>
        </w:rPr>
        <w:t>’</w:t>
      </w:r>
      <w:r w:rsidR="001E636F">
        <w:rPr>
          <w:rStyle w:val="FootnoteReference"/>
          <w:rFonts w:ascii="Bookman Old Style" w:hAnsi="Bookman Old Style"/>
          <w:sz w:val="24"/>
          <w:szCs w:val="24"/>
        </w:rPr>
        <w:footnoteReference w:id="1"/>
      </w:r>
      <w:r>
        <w:rPr>
          <w:rFonts w:ascii="Bookman Old Style" w:hAnsi="Bookman Old Style"/>
          <w:sz w:val="24"/>
          <w:szCs w:val="24"/>
        </w:rPr>
        <w:t xml:space="preserve"> principle in Nozick’s criticism of it. The only reference to Rawls in</w:t>
      </w:r>
      <w:r w:rsidR="001E636F">
        <w:rPr>
          <w:rFonts w:ascii="Bookman Old Style" w:hAnsi="Bookman Old Style"/>
          <w:sz w:val="24"/>
          <w:szCs w:val="24"/>
        </w:rPr>
        <w:t xml:space="preserve"> </w:t>
      </w:r>
      <w:r>
        <w:rPr>
          <w:rFonts w:ascii="Bookman Old Style" w:hAnsi="Bookman Old Style"/>
          <w:sz w:val="24"/>
          <w:szCs w:val="24"/>
        </w:rPr>
        <w:t>chapter ‘</w:t>
      </w:r>
      <w:r w:rsidR="001E636F">
        <w:rPr>
          <w:rFonts w:ascii="Bookman Old Style" w:hAnsi="Bookman Old Style"/>
          <w:sz w:val="24"/>
          <w:szCs w:val="24"/>
        </w:rPr>
        <w:t>The State’ happens when he is mentioned</w:t>
      </w:r>
      <w:r>
        <w:rPr>
          <w:rFonts w:ascii="Bookman Old Style" w:hAnsi="Bookman Old Style"/>
          <w:sz w:val="24"/>
          <w:szCs w:val="24"/>
        </w:rPr>
        <w:t xml:space="preserve"> </w:t>
      </w:r>
      <w:r w:rsidR="001E636F">
        <w:rPr>
          <w:rFonts w:ascii="Bookman Old Style" w:hAnsi="Bookman Old Style"/>
          <w:sz w:val="24"/>
          <w:szCs w:val="24"/>
        </w:rPr>
        <w:t>in addition to Hart and</w:t>
      </w:r>
      <w:r>
        <w:rPr>
          <w:rFonts w:ascii="Bookman Old Style" w:hAnsi="Bookman Old Style"/>
          <w:sz w:val="24"/>
          <w:szCs w:val="24"/>
        </w:rPr>
        <w:t xml:space="preserve"> to explain why </w:t>
      </w:r>
      <w:r w:rsidR="001E636F">
        <w:rPr>
          <w:rFonts w:ascii="Bookman Old Style" w:hAnsi="Bookman Old Style"/>
          <w:sz w:val="24"/>
          <w:szCs w:val="24"/>
        </w:rPr>
        <w:t>the ‘principle of fairness’</w:t>
      </w:r>
      <w:r w:rsidR="001E636F">
        <w:rPr>
          <w:rStyle w:val="FootnoteReference"/>
          <w:rFonts w:ascii="Bookman Old Style" w:hAnsi="Bookman Old Style"/>
          <w:sz w:val="24"/>
          <w:szCs w:val="24"/>
        </w:rPr>
        <w:footnoteReference w:id="2"/>
      </w:r>
      <w:r w:rsidR="001E636F">
        <w:rPr>
          <w:rFonts w:ascii="Bookman Old Style" w:hAnsi="Bookman Old Style"/>
          <w:sz w:val="24"/>
          <w:szCs w:val="24"/>
        </w:rPr>
        <w:t xml:space="preserve"> </w:t>
      </w:r>
      <w:r>
        <w:rPr>
          <w:rFonts w:ascii="Bookman Old Style" w:hAnsi="Bookman Old Style"/>
          <w:sz w:val="24"/>
          <w:szCs w:val="24"/>
        </w:rPr>
        <w:t xml:space="preserve">is called </w:t>
      </w:r>
      <w:r w:rsidR="00F75C32">
        <w:rPr>
          <w:rFonts w:ascii="Bookman Old Style" w:hAnsi="Bookman Old Style"/>
          <w:sz w:val="24"/>
          <w:szCs w:val="24"/>
        </w:rPr>
        <w:t xml:space="preserve">this way, namely </w:t>
      </w:r>
      <w:r w:rsidR="001E636F">
        <w:rPr>
          <w:rFonts w:ascii="Bookman Old Style" w:hAnsi="Bookman Old Style"/>
          <w:sz w:val="24"/>
          <w:szCs w:val="24"/>
        </w:rPr>
        <w:t>in line with his idea</w:t>
      </w:r>
      <w:r>
        <w:rPr>
          <w:rFonts w:ascii="Bookman Old Style" w:hAnsi="Bookman Old Style"/>
          <w:sz w:val="24"/>
          <w:szCs w:val="24"/>
        </w:rPr>
        <w:t>. Rather, Nozick seems fixated with Hart’s interpretation of fairness within the ‘state of nature’</w:t>
      </w:r>
      <w:r w:rsidR="00F75C32">
        <w:rPr>
          <w:rStyle w:val="FootnoteReference"/>
          <w:rFonts w:ascii="Bookman Old Style" w:hAnsi="Bookman Old Style"/>
          <w:sz w:val="24"/>
          <w:szCs w:val="24"/>
        </w:rPr>
        <w:footnoteReference w:id="3"/>
      </w:r>
      <w:r>
        <w:rPr>
          <w:rFonts w:ascii="Bookman Old Style" w:hAnsi="Bookman Old Style"/>
          <w:sz w:val="24"/>
          <w:szCs w:val="24"/>
        </w:rPr>
        <w:t xml:space="preserve"> theory</w:t>
      </w:r>
      <w:r w:rsidR="001E636F">
        <w:rPr>
          <w:rFonts w:ascii="Bookman Old Style" w:hAnsi="Bookman Old Style"/>
          <w:sz w:val="24"/>
          <w:szCs w:val="24"/>
        </w:rPr>
        <w:t xml:space="preserve"> and his subsequent criticism of it</w:t>
      </w:r>
      <w:r w:rsidR="00F75C32">
        <w:rPr>
          <w:rFonts w:ascii="Bookman Old Style" w:hAnsi="Bookman Old Style"/>
          <w:sz w:val="24"/>
          <w:szCs w:val="24"/>
        </w:rPr>
        <w:t xml:space="preserve"> is also </w:t>
      </w:r>
      <w:r>
        <w:rPr>
          <w:rFonts w:ascii="Bookman Old Style" w:hAnsi="Bookman Old Style"/>
          <w:sz w:val="24"/>
          <w:szCs w:val="24"/>
        </w:rPr>
        <w:t xml:space="preserve">clearly directed at Hart. However, considering the similarity of both theories and the requirement of the essay question to follow the Rawls versus Nozick path, I shall </w:t>
      </w:r>
      <w:r w:rsidR="001E636F">
        <w:rPr>
          <w:rFonts w:ascii="Bookman Old Style" w:hAnsi="Bookman Old Style"/>
          <w:sz w:val="24"/>
          <w:szCs w:val="24"/>
        </w:rPr>
        <w:t xml:space="preserve">use Rawls versus Nozick in my debate. It might be slightly confusing as Nozick took on the less developed theory of Hart, while Rawlsian framework is more developed and might therefore </w:t>
      </w:r>
      <w:r w:rsidR="00F75C32">
        <w:rPr>
          <w:rFonts w:ascii="Bookman Old Style" w:hAnsi="Bookman Old Style"/>
          <w:sz w:val="24"/>
          <w:szCs w:val="24"/>
        </w:rPr>
        <w:t xml:space="preserve">apply </w:t>
      </w:r>
      <w:r w:rsidR="00C748D7">
        <w:rPr>
          <w:rFonts w:ascii="Bookman Old Style" w:hAnsi="Bookman Old Style"/>
          <w:sz w:val="24"/>
          <w:szCs w:val="24"/>
        </w:rPr>
        <w:t xml:space="preserve">slightly </w:t>
      </w:r>
      <w:r w:rsidR="00F75C32">
        <w:rPr>
          <w:rFonts w:ascii="Bookman Old Style" w:hAnsi="Bookman Old Style"/>
          <w:sz w:val="24"/>
          <w:szCs w:val="24"/>
        </w:rPr>
        <w:t xml:space="preserve">different standards. </w:t>
      </w:r>
    </w:p>
    <w:p w14:paraId="37073920" w14:textId="77777777" w:rsidR="00F52492" w:rsidRDefault="00DB2171" w:rsidP="00B23139">
      <w:pPr>
        <w:ind w:firstLine="720"/>
        <w:rPr>
          <w:rFonts w:ascii="Bookman Old Style" w:hAnsi="Bookman Old Style"/>
          <w:sz w:val="24"/>
          <w:szCs w:val="24"/>
        </w:rPr>
      </w:pPr>
      <w:r>
        <w:rPr>
          <w:rFonts w:ascii="Bookman Old Style" w:hAnsi="Bookman Old Style"/>
          <w:sz w:val="24"/>
          <w:szCs w:val="24"/>
        </w:rPr>
        <w:t>Rawlsian principle of fair</w:t>
      </w:r>
      <w:r w:rsidR="00FA0210">
        <w:rPr>
          <w:rFonts w:ascii="Bookman Old Style" w:hAnsi="Bookman Old Style"/>
          <w:sz w:val="24"/>
          <w:szCs w:val="24"/>
        </w:rPr>
        <w:t>ness</w:t>
      </w:r>
      <w:r w:rsidR="006B6935">
        <w:rPr>
          <w:rFonts w:ascii="Bookman Old Style" w:hAnsi="Bookman Old Style"/>
          <w:sz w:val="24"/>
          <w:szCs w:val="24"/>
        </w:rPr>
        <w:t xml:space="preserve"> maintains that in a ‘mutually beneficial and just scheme of social cooperation’</w:t>
      </w:r>
      <w:r w:rsidR="006B6935">
        <w:rPr>
          <w:rStyle w:val="FootnoteReference"/>
          <w:rFonts w:ascii="Bookman Old Style" w:hAnsi="Bookman Old Style"/>
          <w:sz w:val="24"/>
          <w:szCs w:val="24"/>
        </w:rPr>
        <w:footnoteReference w:id="4"/>
      </w:r>
      <w:r w:rsidR="006B6935">
        <w:rPr>
          <w:rFonts w:ascii="Bookman Old Style" w:hAnsi="Bookman Old Style"/>
          <w:sz w:val="24"/>
          <w:szCs w:val="24"/>
        </w:rPr>
        <w:t xml:space="preserve"> which requires ‘a certain sacrifice from each person’</w:t>
      </w:r>
      <w:r w:rsidR="006B6935">
        <w:rPr>
          <w:rStyle w:val="FootnoteReference"/>
          <w:rFonts w:ascii="Bookman Old Style" w:hAnsi="Bookman Old Style"/>
          <w:sz w:val="24"/>
          <w:szCs w:val="24"/>
        </w:rPr>
        <w:footnoteReference w:id="5"/>
      </w:r>
      <w:r w:rsidR="006B6935">
        <w:rPr>
          <w:rFonts w:ascii="Bookman Old Style" w:hAnsi="Bookman Old Style"/>
          <w:sz w:val="24"/>
          <w:szCs w:val="24"/>
        </w:rPr>
        <w:t xml:space="preserve"> or ‘a certain restriction of his liberty’</w:t>
      </w:r>
      <w:r w:rsidR="006B6935">
        <w:rPr>
          <w:rStyle w:val="FootnoteReference"/>
          <w:rFonts w:ascii="Bookman Old Style" w:hAnsi="Bookman Old Style"/>
          <w:sz w:val="24"/>
          <w:szCs w:val="24"/>
        </w:rPr>
        <w:footnoteReference w:id="6"/>
      </w:r>
      <w:r w:rsidR="006B6935">
        <w:rPr>
          <w:rFonts w:ascii="Bookman Old Style" w:hAnsi="Bookman Old Style"/>
          <w:sz w:val="24"/>
          <w:szCs w:val="24"/>
        </w:rPr>
        <w:t xml:space="preserve">, </w:t>
      </w:r>
      <w:r w:rsidR="00FA0210">
        <w:rPr>
          <w:rFonts w:ascii="Bookman Old Style" w:hAnsi="Bookman Old Style"/>
          <w:sz w:val="24"/>
          <w:szCs w:val="24"/>
        </w:rPr>
        <w:t>each and every participant who ‘accepted the benefits of the scheme is bound by a duty of fair play to do his part and not to take advantage of the free benefit by not cooperating’</w:t>
      </w:r>
      <w:r w:rsidR="00FA0210">
        <w:rPr>
          <w:rStyle w:val="FootnoteReference"/>
          <w:rFonts w:ascii="Bookman Old Style" w:hAnsi="Bookman Old Style"/>
          <w:sz w:val="24"/>
          <w:szCs w:val="24"/>
        </w:rPr>
        <w:footnoteReference w:id="7"/>
      </w:r>
      <w:r w:rsidR="00FA0210">
        <w:rPr>
          <w:rFonts w:ascii="Bookman Old Style" w:hAnsi="Bookman Old Style"/>
          <w:sz w:val="24"/>
          <w:szCs w:val="24"/>
        </w:rPr>
        <w:t>.</w:t>
      </w:r>
      <w:r w:rsidR="00B23139">
        <w:rPr>
          <w:rFonts w:ascii="Bookman Old Style" w:hAnsi="Bookman Old Style"/>
          <w:sz w:val="24"/>
          <w:szCs w:val="24"/>
        </w:rPr>
        <w:t xml:space="preserve"> </w:t>
      </w:r>
      <w:r w:rsidR="00FA0210">
        <w:rPr>
          <w:rFonts w:ascii="Bookman Old Style" w:hAnsi="Bookman Old Style"/>
          <w:sz w:val="24"/>
          <w:szCs w:val="24"/>
        </w:rPr>
        <w:t xml:space="preserve">Rawls </w:t>
      </w:r>
      <w:r w:rsidR="00647C1A">
        <w:rPr>
          <w:rFonts w:ascii="Bookman Old Style" w:hAnsi="Bookman Old Style"/>
          <w:sz w:val="24"/>
          <w:szCs w:val="24"/>
        </w:rPr>
        <w:t xml:space="preserve">proposes that his fair play principle forms the foundations for moral obligation to obey the State law </w:t>
      </w:r>
      <w:r w:rsidR="00F17E5F">
        <w:rPr>
          <w:rFonts w:ascii="Bookman Old Style" w:hAnsi="Bookman Old Style"/>
          <w:sz w:val="24"/>
          <w:szCs w:val="24"/>
        </w:rPr>
        <w:t>by all members of</w:t>
      </w:r>
      <w:r w:rsidR="00647C1A">
        <w:rPr>
          <w:rFonts w:ascii="Bookman Old Style" w:hAnsi="Bookman Old Style"/>
          <w:sz w:val="24"/>
          <w:szCs w:val="24"/>
        </w:rPr>
        <w:t xml:space="preserve"> </w:t>
      </w:r>
      <w:r w:rsidR="00F17E5F">
        <w:rPr>
          <w:rFonts w:ascii="Bookman Old Style" w:hAnsi="Bookman Old Style"/>
          <w:sz w:val="24"/>
          <w:szCs w:val="24"/>
        </w:rPr>
        <w:t xml:space="preserve">a </w:t>
      </w:r>
      <w:r w:rsidR="00647C1A">
        <w:rPr>
          <w:rFonts w:ascii="Bookman Old Style" w:hAnsi="Bookman Old Style"/>
          <w:sz w:val="24"/>
          <w:szCs w:val="24"/>
        </w:rPr>
        <w:t>democratic societ</w:t>
      </w:r>
      <w:r w:rsidR="00F17E5F">
        <w:rPr>
          <w:rFonts w:ascii="Bookman Old Style" w:hAnsi="Bookman Old Style"/>
          <w:sz w:val="24"/>
          <w:szCs w:val="24"/>
        </w:rPr>
        <w:t>y</w:t>
      </w:r>
      <w:r w:rsidR="00647C1A">
        <w:rPr>
          <w:rFonts w:ascii="Bookman Old Style" w:hAnsi="Bookman Old Style"/>
          <w:sz w:val="24"/>
          <w:szCs w:val="24"/>
        </w:rPr>
        <w:t xml:space="preserve"> as imposed by </w:t>
      </w:r>
      <w:r w:rsidR="00F17E5F">
        <w:rPr>
          <w:rFonts w:ascii="Bookman Old Style" w:hAnsi="Bookman Old Style"/>
          <w:sz w:val="24"/>
          <w:szCs w:val="24"/>
        </w:rPr>
        <w:t>its</w:t>
      </w:r>
      <w:r w:rsidR="00647C1A">
        <w:rPr>
          <w:rFonts w:ascii="Bookman Old Style" w:hAnsi="Bookman Old Style"/>
          <w:sz w:val="24"/>
          <w:szCs w:val="24"/>
        </w:rPr>
        <w:t xml:space="preserve"> </w:t>
      </w:r>
      <w:r w:rsidR="0058134D">
        <w:rPr>
          <w:rFonts w:ascii="Bookman Old Style" w:hAnsi="Bookman Old Style"/>
          <w:sz w:val="24"/>
          <w:szCs w:val="24"/>
        </w:rPr>
        <w:t xml:space="preserve">‘just </w:t>
      </w:r>
      <w:r w:rsidR="00647C1A">
        <w:rPr>
          <w:rFonts w:ascii="Bookman Old Style" w:hAnsi="Bookman Old Style"/>
          <w:sz w:val="24"/>
          <w:szCs w:val="24"/>
        </w:rPr>
        <w:t>constitution</w:t>
      </w:r>
      <w:r w:rsidR="0058134D">
        <w:rPr>
          <w:rFonts w:ascii="Bookman Old Style" w:hAnsi="Bookman Old Style"/>
          <w:sz w:val="24"/>
          <w:szCs w:val="24"/>
        </w:rPr>
        <w:t>’</w:t>
      </w:r>
      <w:r w:rsidR="0058134D">
        <w:rPr>
          <w:rStyle w:val="FootnoteReference"/>
          <w:rFonts w:ascii="Bookman Old Style" w:hAnsi="Bookman Old Style"/>
          <w:sz w:val="24"/>
          <w:szCs w:val="24"/>
        </w:rPr>
        <w:footnoteReference w:id="8"/>
      </w:r>
      <w:r w:rsidR="00647C1A">
        <w:rPr>
          <w:rFonts w:ascii="Bookman Old Style" w:hAnsi="Bookman Old Style"/>
          <w:sz w:val="24"/>
          <w:szCs w:val="24"/>
        </w:rPr>
        <w:t xml:space="preserve">. </w:t>
      </w:r>
      <w:r w:rsidR="00E92D00">
        <w:rPr>
          <w:rFonts w:ascii="Bookman Old Style" w:hAnsi="Bookman Old Style"/>
          <w:sz w:val="24"/>
          <w:szCs w:val="24"/>
        </w:rPr>
        <w:t xml:space="preserve">Rawlsian thesis is here that ‘the moral </w:t>
      </w:r>
      <w:r w:rsidR="00E92D00">
        <w:rPr>
          <w:rFonts w:ascii="Bookman Old Style" w:hAnsi="Bookman Old Style"/>
          <w:sz w:val="24"/>
          <w:szCs w:val="24"/>
        </w:rPr>
        <w:lastRenderedPageBreak/>
        <w:t>obligation to obey the law is a special case of the prima facie duty of fair play’</w:t>
      </w:r>
      <w:r w:rsidR="00E92D00">
        <w:rPr>
          <w:rStyle w:val="FootnoteReference"/>
          <w:rFonts w:ascii="Bookman Old Style" w:hAnsi="Bookman Old Style"/>
          <w:sz w:val="24"/>
          <w:szCs w:val="24"/>
        </w:rPr>
        <w:footnoteReference w:id="9"/>
      </w:r>
      <w:r w:rsidR="00E92D00">
        <w:rPr>
          <w:rFonts w:ascii="Bookman Old Style" w:hAnsi="Bookman Old Style"/>
          <w:sz w:val="24"/>
          <w:szCs w:val="24"/>
        </w:rPr>
        <w:t xml:space="preserve">. </w:t>
      </w:r>
      <w:r w:rsidR="00A27E30">
        <w:rPr>
          <w:rFonts w:ascii="Bookman Old Style" w:hAnsi="Bookman Old Style"/>
          <w:sz w:val="24"/>
          <w:szCs w:val="24"/>
        </w:rPr>
        <w:t>T</w:t>
      </w:r>
      <w:r w:rsidR="00E92D00">
        <w:rPr>
          <w:rFonts w:ascii="Bookman Old Style" w:hAnsi="Bookman Old Style"/>
          <w:sz w:val="24"/>
          <w:szCs w:val="24"/>
        </w:rPr>
        <w:t xml:space="preserve">he </w:t>
      </w:r>
      <w:r w:rsidR="00A27E30">
        <w:rPr>
          <w:rFonts w:ascii="Bookman Old Style" w:hAnsi="Bookman Old Style"/>
          <w:sz w:val="24"/>
          <w:szCs w:val="24"/>
        </w:rPr>
        <w:t xml:space="preserve">moral </w:t>
      </w:r>
      <w:r w:rsidR="00E92D00">
        <w:rPr>
          <w:rFonts w:ascii="Bookman Old Style" w:hAnsi="Bookman Old Style"/>
          <w:sz w:val="24"/>
          <w:szCs w:val="24"/>
        </w:rPr>
        <w:t xml:space="preserve">obligation that Rawls imposes here is </w:t>
      </w:r>
      <w:r w:rsidR="00A27E30">
        <w:rPr>
          <w:rFonts w:ascii="Bookman Old Style" w:hAnsi="Bookman Old Style"/>
          <w:sz w:val="24"/>
          <w:szCs w:val="24"/>
        </w:rPr>
        <w:t xml:space="preserve">based on </w:t>
      </w:r>
      <w:r w:rsidR="005224DC">
        <w:rPr>
          <w:rFonts w:ascii="Bookman Old Style" w:hAnsi="Bookman Old Style"/>
          <w:sz w:val="24"/>
          <w:szCs w:val="24"/>
        </w:rPr>
        <w:t>some</w:t>
      </w:r>
      <w:r w:rsidR="00A27E30">
        <w:rPr>
          <w:rFonts w:ascii="Bookman Old Style" w:hAnsi="Bookman Old Style"/>
          <w:sz w:val="24"/>
          <w:szCs w:val="24"/>
        </w:rPr>
        <w:t xml:space="preserve"> kind of ‘moral principle’</w:t>
      </w:r>
      <w:r w:rsidR="00A27E30">
        <w:rPr>
          <w:rStyle w:val="FootnoteReference"/>
          <w:rFonts w:ascii="Bookman Old Style" w:hAnsi="Bookman Old Style"/>
          <w:sz w:val="24"/>
          <w:szCs w:val="24"/>
        </w:rPr>
        <w:footnoteReference w:id="10"/>
      </w:r>
      <w:r w:rsidR="00A27E30">
        <w:rPr>
          <w:rFonts w:ascii="Bookman Old Style" w:hAnsi="Bookman Old Style"/>
          <w:sz w:val="24"/>
          <w:szCs w:val="24"/>
        </w:rPr>
        <w:t xml:space="preserve"> and is </w:t>
      </w:r>
      <w:r w:rsidR="00E92D00">
        <w:rPr>
          <w:rFonts w:ascii="Bookman Old Style" w:hAnsi="Bookman Old Style"/>
          <w:sz w:val="24"/>
          <w:szCs w:val="24"/>
        </w:rPr>
        <w:t xml:space="preserve">meant in specific terms of </w:t>
      </w:r>
      <w:r w:rsidR="00A27E30">
        <w:rPr>
          <w:rFonts w:ascii="Bookman Old Style" w:hAnsi="Bookman Old Style"/>
          <w:sz w:val="24"/>
          <w:szCs w:val="24"/>
        </w:rPr>
        <w:t>‘</w:t>
      </w:r>
      <w:r w:rsidR="00E92D00">
        <w:rPr>
          <w:rFonts w:ascii="Bookman Old Style" w:hAnsi="Bookman Old Style"/>
          <w:sz w:val="24"/>
          <w:szCs w:val="24"/>
        </w:rPr>
        <w:t>constitutional democracy</w:t>
      </w:r>
      <w:r w:rsidR="00A27E30">
        <w:rPr>
          <w:rFonts w:ascii="Bookman Old Style" w:hAnsi="Bookman Old Style"/>
          <w:sz w:val="24"/>
          <w:szCs w:val="24"/>
        </w:rPr>
        <w:t>’</w:t>
      </w:r>
      <w:r w:rsidR="00A27E30">
        <w:rPr>
          <w:rStyle w:val="FootnoteReference"/>
          <w:rFonts w:ascii="Bookman Old Style" w:hAnsi="Bookman Old Style"/>
          <w:sz w:val="24"/>
          <w:szCs w:val="24"/>
        </w:rPr>
        <w:footnoteReference w:id="11"/>
      </w:r>
      <w:r w:rsidR="00E92D00">
        <w:rPr>
          <w:rFonts w:ascii="Bookman Old Style" w:hAnsi="Bookman Old Style"/>
          <w:sz w:val="24"/>
          <w:szCs w:val="24"/>
        </w:rPr>
        <w:t xml:space="preserve"> with its </w:t>
      </w:r>
      <w:r w:rsidR="00A27E30">
        <w:rPr>
          <w:rFonts w:ascii="Bookman Old Style" w:hAnsi="Bookman Old Style"/>
          <w:sz w:val="24"/>
          <w:szCs w:val="24"/>
        </w:rPr>
        <w:t>corresponding</w:t>
      </w:r>
      <w:r w:rsidR="00E92D00">
        <w:rPr>
          <w:rFonts w:ascii="Bookman Old Style" w:hAnsi="Bookman Old Style"/>
          <w:sz w:val="24"/>
          <w:szCs w:val="24"/>
        </w:rPr>
        <w:t xml:space="preserve"> </w:t>
      </w:r>
      <w:r w:rsidR="00A27E30">
        <w:rPr>
          <w:rFonts w:ascii="Bookman Old Style" w:hAnsi="Bookman Old Style"/>
          <w:sz w:val="24"/>
          <w:szCs w:val="24"/>
        </w:rPr>
        <w:t>‘</w:t>
      </w:r>
      <w:r w:rsidR="00E92D00">
        <w:rPr>
          <w:rFonts w:ascii="Bookman Old Style" w:hAnsi="Bookman Old Style"/>
          <w:sz w:val="24"/>
          <w:szCs w:val="24"/>
        </w:rPr>
        <w:t xml:space="preserve">institutional </w:t>
      </w:r>
      <w:r w:rsidR="00A27E30">
        <w:rPr>
          <w:rFonts w:ascii="Bookman Old Style" w:hAnsi="Bookman Old Style"/>
          <w:sz w:val="24"/>
          <w:szCs w:val="24"/>
        </w:rPr>
        <w:t>rules’</w:t>
      </w:r>
      <w:r w:rsidR="00A27E30">
        <w:rPr>
          <w:rStyle w:val="FootnoteReference"/>
          <w:rFonts w:ascii="Bookman Old Style" w:hAnsi="Bookman Old Style"/>
          <w:sz w:val="24"/>
          <w:szCs w:val="24"/>
        </w:rPr>
        <w:footnoteReference w:id="12"/>
      </w:r>
      <w:r w:rsidR="00A27E30">
        <w:rPr>
          <w:rFonts w:ascii="Bookman Old Style" w:hAnsi="Bookman Old Style"/>
          <w:sz w:val="24"/>
          <w:szCs w:val="24"/>
        </w:rPr>
        <w:t xml:space="preserve">. </w:t>
      </w:r>
    </w:p>
    <w:p w14:paraId="2EDFB53F" w14:textId="64C11158" w:rsidR="003A5B82" w:rsidRDefault="00F52492" w:rsidP="00E171FB">
      <w:pPr>
        <w:ind w:firstLine="720"/>
        <w:rPr>
          <w:rFonts w:ascii="Bookman Old Style" w:hAnsi="Bookman Old Style"/>
          <w:sz w:val="24"/>
          <w:szCs w:val="24"/>
        </w:rPr>
      </w:pPr>
      <w:r>
        <w:rPr>
          <w:rFonts w:ascii="Bookman Old Style" w:hAnsi="Bookman Old Style"/>
          <w:sz w:val="24"/>
          <w:szCs w:val="24"/>
        </w:rPr>
        <w:t xml:space="preserve">Nozick argues against the Hart-Rawls principle of fairness on the grounds of enforceability of obligation as well as </w:t>
      </w:r>
      <w:r w:rsidR="00E171FB">
        <w:rPr>
          <w:rFonts w:ascii="Bookman Old Style" w:hAnsi="Bookman Old Style"/>
          <w:sz w:val="24"/>
          <w:szCs w:val="24"/>
        </w:rPr>
        <w:t>the</w:t>
      </w:r>
      <w:r>
        <w:rPr>
          <w:rFonts w:ascii="Bookman Old Style" w:hAnsi="Bookman Old Style"/>
          <w:sz w:val="24"/>
          <w:szCs w:val="24"/>
        </w:rPr>
        <w:t xml:space="preserve"> very existence of obligation, to conclude that in both instances it should be rejected. To restate the above</w:t>
      </w:r>
      <w:r w:rsidR="00E345A0">
        <w:rPr>
          <w:rFonts w:ascii="Bookman Old Style" w:hAnsi="Bookman Old Style"/>
          <w:sz w:val="24"/>
          <w:szCs w:val="24"/>
        </w:rPr>
        <w:t>,</w:t>
      </w:r>
      <w:r>
        <w:rPr>
          <w:rFonts w:ascii="Bookman Old Style" w:hAnsi="Bookman Old Style"/>
          <w:sz w:val="24"/>
          <w:szCs w:val="24"/>
        </w:rPr>
        <w:t xml:space="preserve"> </w:t>
      </w:r>
      <w:r w:rsidR="00E345A0">
        <w:rPr>
          <w:rFonts w:ascii="Bookman Old Style" w:hAnsi="Bookman Old Style"/>
          <w:sz w:val="24"/>
          <w:szCs w:val="24"/>
        </w:rPr>
        <w:t xml:space="preserve">in Nozick’s terms </w:t>
      </w:r>
      <w:r>
        <w:rPr>
          <w:rFonts w:ascii="Bookman Old Style" w:hAnsi="Bookman Old Style"/>
          <w:sz w:val="24"/>
          <w:szCs w:val="24"/>
        </w:rPr>
        <w:t xml:space="preserve">the is no </w:t>
      </w:r>
      <w:r w:rsidR="00E345A0">
        <w:rPr>
          <w:rFonts w:ascii="Bookman Old Style" w:hAnsi="Bookman Old Style"/>
          <w:sz w:val="24"/>
          <w:szCs w:val="24"/>
        </w:rPr>
        <w:t xml:space="preserve">such </w:t>
      </w:r>
      <w:r>
        <w:rPr>
          <w:rFonts w:ascii="Bookman Old Style" w:hAnsi="Bookman Old Style"/>
          <w:sz w:val="24"/>
          <w:szCs w:val="24"/>
        </w:rPr>
        <w:t xml:space="preserve">obligation and it cannot therefore be rightfully enforced. Nozick presents his objections to the Hart-Rawls principle by using an example of a fictitious communal radio station, where some number of people </w:t>
      </w:r>
      <w:r w:rsidR="003A5B82">
        <w:rPr>
          <w:rFonts w:ascii="Bookman Old Style" w:hAnsi="Bookman Old Style"/>
          <w:sz w:val="24"/>
          <w:szCs w:val="24"/>
        </w:rPr>
        <w:t>in</w:t>
      </w:r>
      <w:r>
        <w:rPr>
          <w:rFonts w:ascii="Bookman Old Style" w:hAnsi="Bookman Old Style"/>
          <w:sz w:val="24"/>
          <w:szCs w:val="24"/>
        </w:rPr>
        <w:t xml:space="preserve"> </w:t>
      </w:r>
      <w:r w:rsidR="003A5B82">
        <w:rPr>
          <w:rFonts w:ascii="Bookman Old Style" w:hAnsi="Bookman Old Style"/>
          <w:sz w:val="24"/>
          <w:szCs w:val="24"/>
        </w:rPr>
        <w:t>the ‘Anarchy, State and Utopia’ reader’s</w:t>
      </w:r>
      <w:r>
        <w:rPr>
          <w:rFonts w:ascii="Bookman Old Style" w:hAnsi="Bookman Old Style"/>
          <w:sz w:val="24"/>
          <w:szCs w:val="24"/>
        </w:rPr>
        <w:t xml:space="preserve"> </w:t>
      </w:r>
      <w:proofErr w:type="spellStart"/>
      <w:r>
        <w:rPr>
          <w:rFonts w:ascii="Bookman Old Style" w:hAnsi="Bookman Old Style"/>
          <w:sz w:val="24"/>
          <w:szCs w:val="24"/>
        </w:rPr>
        <w:t>neighbourhood</w:t>
      </w:r>
      <w:proofErr w:type="spellEnd"/>
      <w:r>
        <w:rPr>
          <w:rFonts w:ascii="Bookman Old Style" w:hAnsi="Bookman Old Style"/>
          <w:sz w:val="24"/>
          <w:szCs w:val="24"/>
        </w:rPr>
        <w:t xml:space="preserve"> decide to provide the community with entertaining year-round philosophy podcasts. The problem is, they decided about it among themselves and without consulting it with you</w:t>
      </w:r>
      <w:r w:rsidR="003A5B82">
        <w:rPr>
          <w:rFonts w:ascii="Bookman Old Style" w:hAnsi="Bookman Old Style"/>
          <w:sz w:val="24"/>
          <w:szCs w:val="24"/>
        </w:rPr>
        <w:t>-the reader, t</w:t>
      </w:r>
      <w:r>
        <w:rPr>
          <w:rFonts w:ascii="Bookman Old Style" w:hAnsi="Bookman Old Style"/>
          <w:sz w:val="24"/>
          <w:szCs w:val="24"/>
        </w:rPr>
        <w:t xml:space="preserve">hey included you in their cooperative scheme. You are now obliged to take your turn in presenting a podcast for one day when your turn comes. </w:t>
      </w:r>
      <w:r w:rsidR="00E345A0">
        <w:rPr>
          <w:rFonts w:ascii="Bookman Old Style" w:hAnsi="Bookman Old Style"/>
          <w:sz w:val="24"/>
          <w:szCs w:val="24"/>
        </w:rPr>
        <w:t>Although</w:t>
      </w:r>
      <w:r>
        <w:rPr>
          <w:rFonts w:ascii="Bookman Old Style" w:hAnsi="Bookman Old Style"/>
          <w:sz w:val="24"/>
          <w:szCs w:val="24"/>
        </w:rPr>
        <w:t xml:space="preserve"> you have occasionally benefited from the podcasts in the past</w:t>
      </w:r>
      <w:r w:rsidR="00E345A0">
        <w:rPr>
          <w:rFonts w:ascii="Bookman Old Style" w:hAnsi="Bookman Old Style"/>
          <w:sz w:val="24"/>
          <w:szCs w:val="24"/>
        </w:rPr>
        <w:t>, you</w:t>
      </w:r>
      <w:r>
        <w:rPr>
          <w:rFonts w:ascii="Bookman Old Style" w:hAnsi="Bookman Old Style"/>
          <w:sz w:val="24"/>
          <w:szCs w:val="24"/>
        </w:rPr>
        <w:t xml:space="preserve"> would prefer not to participate by doing your part</w:t>
      </w:r>
      <w:r w:rsidR="00E345A0">
        <w:rPr>
          <w:rFonts w:ascii="Bookman Old Style" w:hAnsi="Bookman Old Style"/>
          <w:sz w:val="24"/>
          <w:szCs w:val="24"/>
        </w:rPr>
        <w:t xml:space="preserve"> of the deal. </w:t>
      </w:r>
      <w:r w:rsidR="00717185">
        <w:rPr>
          <w:rFonts w:ascii="Bookman Old Style" w:hAnsi="Bookman Old Style"/>
          <w:sz w:val="24"/>
          <w:szCs w:val="24"/>
        </w:rPr>
        <w:t>Nozick asks: must you do what others put you up to when your turn comes or ‘can others create an obligation for you’</w:t>
      </w:r>
      <w:r w:rsidR="00717185">
        <w:rPr>
          <w:rStyle w:val="FootnoteReference"/>
          <w:rFonts w:ascii="Bookman Old Style" w:hAnsi="Bookman Old Style"/>
          <w:sz w:val="24"/>
          <w:szCs w:val="24"/>
        </w:rPr>
        <w:footnoteReference w:id="13"/>
      </w:r>
      <w:r w:rsidR="00717185">
        <w:rPr>
          <w:rFonts w:ascii="Bookman Old Style" w:hAnsi="Bookman Old Style"/>
          <w:sz w:val="24"/>
          <w:szCs w:val="24"/>
        </w:rPr>
        <w:t xml:space="preserve"> in such circumstances? </w:t>
      </w:r>
      <w:r w:rsidR="00E345A0">
        <w:rPr>
          <w:rFonts w:ascii="Bookman Old Style" w:hAnsi="Bookman Old Style"/>
          <w:sz w:val="24"/>
          <w:szCs w:val="24"/>
        </w:rPr>
        <w:t>Nozick argues that the enforceability of obligation part of the fairness principle therefore fails here due to lack of your explicit consent.</w:t>
      </w:r>
      <w:r w:rsidR="00717185">
        <w:rPr>
          <w:rFonts w:ascii="Bookman Old Style" w:hAnsi="Bookman Old Style"/>
          <w:sz w:val="24"/>
          <w:szCs w:val="24"/>
        </w:rPr>
        <w:t xml:space="preserve"> </w:t>
      </w:r>
      <w:r w:rsidR="00E171FB">
        <w:rPr>
          <w:rFonts w:ascii="Bookman Old Style" w:hAnsi="Bookman Old Style"/>
          <w:sz w:val="24"/>
          <w:szCs w:val="24"/>
        </w:rPr>
        <w:t xml:space="preserve">Just because you happen to be </w:t>
      </w:r>
      <w:r w:rsidR="005A50FC">
        <w:rPr>
          <w:rFonts w:ascii="Bookman Old Style" w:hAnsi="Bookman Old Style"/>
          <w:sz w:val="24"/>
          <w:szCs w:val="24"/>
        </w:rPr>
        <w:t xml:space="preserve">a minority person </w:t>
      </w:r>
      <w:r w:rsidR="00E171FB">
        <w:rPr>
          <w:rFonts w:ascii="Bookman Old Style" w:hAnsi="Bookman Old Style"/>
          <w:sz w:val="24"/>
          <w:szCs w:val="24"/>
        </w:rPr>
        <w:t xml:space="preserve">at the center of some </w:t>
      </w:r>
      <w:r w:rsidR="005A50FC">
        <w:rPr>
          <w:rFonts w:ascii="Bookman Old Style" w:hAnsi="Bookman Old Style"/>
          <w:sz w:val="24"/>
          <w:szCs w:val="24"/>
        </w:rPr>
        <w:t xml:space="preserve">scheme </w:t>
      </w:r>
      <w:r w:rsidR="00E171FB">
        <w:rPr>
          <w:rFonts w:ascii="Bookman Old Style" w:hAnsi="Bookman Old Style"/>
          <w:sz w:val="24"/>
          <w:szCs w:val="24"/>
        </w:rPr>
        <w:t xml:space="preserve">established </w:t>
      </w:r>
      <w:r w:rsidR="005A50FC">
        <w:rPr>
          <w:rFonts w:ascii="Bookman Old Style" w:hAnsi="Bookman Old Style"/>
          <w:sz w:val="24"/>
          <w:szCs w:val="24"/>
        </w:rPr>
        <w:t xml:space="preserve">by majority group and you cannot avoid its imposition of supposed benefits does not make you a participant in the scheme that you did not subscribe to in the first place.  </w:t>
      </w:r>
    </w:p>
    <w:p w14:paraId="112434FB" w14:textId="3AD3F226" w:rsidR="005A50FC" w:rsidRDefault="00E171FB" w:rsidP="00E171FB">
      <w:pPr>
        <w:ind w:firstLine="720"/>
        <w:rPr>
          <w:rFonts w:ascii="Bookman Old Style" w:hAnsi="Bookman Old Style"/>
          <w:sz w:val="24"/>
          <w:szCs w:val="24"/>
        </w:rPr>
      </w:pPr>
      <w:r>
        <w:rPr>
          <w:rFonts w:ascii="Bookman Old Style" w:hAnsi="Bookman Old Style"/>
          <w:sz w:val="24"/>
          <w:szCs w:val="24"/>
        </w:rPr>
        <w:t>Now,</w:t>
      </w:r>
      <w:r w:rsidR="005A50FC">
        <w:rPr>
          <w:rFonts w:ascii="Bookman Old Style" w:hAnsi="Bookman Old Style"/>
          <w:sz w:val="24"/>
          <w:szCs w:val="24"/>
        </w:rPr>
        <w:t xml:space="preserve"> in contrast with</w:t>
      </w:r>
      <w:r>
        <w:rPr>
          <w:rFonts w:ascii="Bookman Old Style" w:hAnsi="Bookman Old Style"/>
          <w:sz w:val="24"/>
          <w:szCs w:val="24"/>
        </w:rPr>
        <w:t xml:space="preserve"> </w:t>
      </w:r>
      <w:r w:rsidR="005A50FC">
        <w:rPr>
          <w:rFonts w:ascii="Bookman Old Style" w:hAnsi="Bookman Old Style"/>
          <w:sz w:val="24"/>
          <w:szCs w:val="24"/>
        </w:rPr>
        <w:t xml:space="preserve">Nozick, </w:t>
      </w:r>
      <w:r>
        <w:rPr>
          <w:rFonts w:ascii="Bookman Old Style" w:hAnsi="Bookman Old Style"/>
          <w:sz w:val="24"/>
          <w:szCs w:val="24"/>
        </w:rPr>
        <w:t>Rawls</w:t>
      </w:r>
      <w:r w:rsidR="005A50FC">
        <w:rPr>
          <w:rFonts w:ascii="Bookman Old Style" w:hAnsi="Bookman Old Style"/>
          <w:sz w:val="24"/>
          <w:szCs w:val="24"/>
        </w:rPr>
        <w:t xml:space="preserve"> </w:t>
      </w:r>
      <w:r>
        <w:rPr>
          <w:rFonts w:ascii="Bookman Old Style" w:hAnsi="Bookman Old Style"/>
          <w:sz w:val="24"/>
          <w:szCs w:val="24"/>
        </w:rPr>
        <w:t>admits that the usual route to obligation in civil life is through ‘voluntary acts of persons’</w:t>
      </w:r>
      <w:r>
        <w:rPr>
          <w:rStyle w:val="FootnoteReference"/>
          <w:rFonts w:ascii="Bookman Old Style" w:hAnsi="Bookman Old Style"/>
          <w:sz w:val="24"/>
          <w:szCs w:val="24"/>
        </w:rPr>
        <w:footnoteReference w:id="14"/>
      </w:r>
      <w:r>
        <w:rPr>
          <w:rFonts w:ascii="Bookman Old Style" w:hAnsi="Bookman Old Style"/>
          <w:sz w:val="24"/>
          <w:szCs w:val="24"/>
        </w:rPr>
        <w:t xml:space="preserve"> or, simply said, explicit consent. However, on a State-wide scale some civil obligations derive from tacit, unaware or even unwilling acceptance of benefits that the State provides for us. Therefore, the acceptance of benefits, whether voluntary or as </w:t>
      </w:r>
      <w:r>
        <w:rPr>
          <w:rFonts w:ascii="Bookman Old Style" w:hAnsi="Bookman Old Style"/>
          <w:sz w:val="24"/>
          <w:szCs w:val="24"/>
        </w:rPr>
        <w:lastRenderedPageBreak/>
        <w:t>means of transfer, allows others to ‘put us under obligation to them’</w:t>
      </w:r>
      <w:r>
        <w:rPr>
          <w:rStyle w:val="FootnoteReference"/>
          <w:rFonts w:ascii="Bookman Old Style" w:hAnsi="Bookman Old Style"/>
          <w:sz w:val="24"/>
          <w:szCs w:val="24"/>
        </w:rPr>
        <w:footnoteReference w:id="15"/>
      </w:r>
      <w:r>
        <w:rPr>
          <w:rFonts w:ascii="Bookman Old Style" w:hAnsi="Bookman Old Style"/>
          <w:sz w:val="24"/>
          <w:szCs w:val="24"/>
        </w:rPr>
        <w:t>. To put it bluntly, being a citizen of a democratic society means that the share of benefits produced through civil cooperation comes with obligation to obey the rules of such cooperation which produced these benefits. No explicit consent is required by the State to enforce the civil obligations or responsibilities of its citizens as the constitution of a country is the binding legal ‘superpower’ overriding the issue of minority versus majority rule.</w:t>
      </w:r>
      <w:r w:rsidR="005A50FC">
        <w:rPr>
          <w:rFonts w:ascii="Bookman Old Style" w:hAnsi="Bookman Old Style"/>
          <w:sz w:val="24"/>
          <w:szCs w:val="24"/>
        </w:rPr>
        <w:t xml:space="preserve"> </w:t>
      </w:r>
    </w:p>
    <w:p w14:paraId="1AE5A18D" w14:textId="48A20D12" w:rsidR="00722EE6" w:rsidRDefault="00722EE6" w:rsidP="00722EE6">
      <w:pPr>
        <w:ind w:firstLine="720"/>
        <w:rPr>
          <w:rFonts w:ascii="Bookman Old Style" w:hAnsi="Bookman Old Style"/>
          <w:sz w:val="24"/>
          <w:szCs w:val="24"/>
        </w:rPr>
      </w:pPr>
      <w:r>
        <w:rPr>
          <w:rFonts w:ascii="Bookman Old Style" w:hAnsi="Bookman Old Style"/>
          <w:sz w:val="24"/>
          <w:szCs w:val="24"/>
        </w:rPr>
        <w:t xml:space="preserve">Additionally, Rawls says that where majority of citizens vote for an option that is not an optimal good solution or is simply unjust, this does not give the minority of the voters a right to undermine the voting outcome or not to comply with the newly established regulations. This is because the constitution implies that the State regulations pass through a majority vote. Without majority vote no legislative progress could be made. All citizens are assumed to be aware and comply with the constitutional rules and obliged to </w:t>
      </w:r>
      <w:proofErr w:type="spellStart"/>
      <w:r>
        <w:rPr>
          <w:rFonts w:ascii="Bookman Old Style" w:hAnsi="Bookman Old Style"/>
          <w:sz w:val="24"/>
          <w:szCs w:val="24"/>
        </w:rPr>
        <w:t>honour</w:t>
      </w:r>
      <w:proofErr w:type="spellEnd"/>
      <w:r>
        <w:rPr>
          <w:rFonts w:ascii="Bookman Old Style" w:hAnsi="Bookman Old Style"/>
          <w:sz w:val="24"/>
          <w:szCs w:val="24"/>
        </w:rPr>
        <w:t xml:space="preserve"> the outcome of democratically voted in legislation. </w:t>
      </w:r>
    </w:p>
    <w:p w14:paraId="2C9521D9" w14:textId="567EE360" w:rsidR="00722EE6" w:rsidRDefault="00722EE6" w:rsidP="00722EE6">
      <w:pPr>
        <w:rPr>
          <w:rFonts w:ascii="Bookman Old Style" w:hAnsi="Bookman Old Style"/>
          <w:sz w:val="24"/>
          <w:szCs w:val="24"/>
        </w:rPr>
      </w:pPr>
      <w:r>
        <w:rPr>
          <w:rFonts w:ascii="Bookman Old Style" w:hAnsi="Bookman Old Style"/>
          <w:sz w:val="24"/>
          <w:szCs w:val="24"/>
        </w:rPr>
        <w:t>Interestingly, Rawls states that the citizens are not obliged to believe that the ‘enacted rule represents the best policy’</w:t>
      </w:r>
      <w:r>
        <w:rPr>
          <w:rStyle w:val="FootnoteReference"/>
          <w:rFonts w:ascii="Bookman Old Style" w:hAnsi="Bookman Old Style"/>
          <w:sz w:val="24"/>
          <w:szCs w:val="24"/>
        </w:rPr>
        <w:footnoteReference w:id="16"/>
      </w:r>
      <w:r>
        <w:rPr>
          <w:rFonts w:ascii="Bookman Old Style" w:hAnsi="Bookman Old Style"/>
          <w:sz w:val="24"/>
          <w:szCs w:val="24"/>
        </w:rPr>
        <w:t xml:space="preserve"> and therefore agree to it. They are not required to accept it, but they are obliged to bear the consequences of its enforcement. Rawls explains that the outcomes of democratic procedures derived from the constitution have no power or obligation to ‘reconcile differences of opinion into an opinion to be taken as true’</w:t>
      </w:r>
      <w:r>
        <w:rPr>
          <w:rStyle w:val="FootnoteReference"/>
          <w:rFonts w:ascii="Bookman Old Style" w:hAnsi="Bookman Old Style"/>
          <w:sz w:val="24"/>
          <w:szCs w:val="24"/>
        </w:rPr>
        <w:footnoteReference w:id="17"/>
      </w:r>
      <w:r>
        <w:rPr>
          <w:rFonts w:ascii="Bookman Old Style" w:hAnsi="Bookman Old Style"/>
          <w:sz w:val="24"/>
          <w:szCs w:val="24"/>
        </w:rPr>
        <w:t>. They simply decide ‘whose opinion is to determine legislative policy’</w:t>
      </w:r>
      <w:r>
        <w:rPr>
          <w:rStyle w:val="FootnoteReference"/>
          <w:rFonts w:ascii="Bookman Old Style" w:hAnsi="Bookman Old Style"/>
          <w:sz w:val="24"/>
          <w:szCs w:val="24"/>
        </w:rPr>
        <w:footnoteReference w:id="18"/>
      </w:r>
      <w:r>
        <w:rPr>
          <w:rFonts w:ascii="Bookman Old Style" w:hAnsi="Bookman Old Style"/>
          <w:sz w:val="24"/>
          <w:szCs w:val="24"/>
        </w:rPr>
        <w:t>. Therefore, ‘the constitutional procedure (…) is a process social decision that does not produce a statement to be believed (…) but a rule to be followed’</w:t>
      </w:r>
      <w:r>
        <w:rPr>
          <w:rStyle w:val="FootnoteReference"/>
          <w:rFonts w:ascii="Bookman Old Style" w:hAnsi="Bookman Old Style"/>
          <w:sz w:val="24"/>
          <w:szCs w:val="24"/>
        </w:rPr>
        <w:footnoteReference w:id="19"/>
      </w:r>
      <w:r>
        <w:rPr>
          <w:rFonts w:ascii="Bookman Old Style" w:hAnsi="Bookman Old Style"/>
          <w:sz w:val="24"/>
          <w:szCs w:val="24"/>
        </w:rPr>
        <w:t>.</w:t>
      </w:r>
    </w:p>
    <w:p w14:paraId="00ADBC85" w14:textId="4EB874D8" w:rsidR="003A5B82" w:rsidRDefault="00F52492" w:rsidP="00DB712A">
      <w:pPr>
        <w:ind w:firstLine="720"/>
        <w:rPr>
          <w:rFonts w:ascii="Bookman Old Style" w:hAnsi="Bookman Old Style"/>
          <w:sz w:val="24"/>
          <w:szCs w:val="24"/>
        </w:rPr>
      </w:pPr>
      <w:r>
        <w:rPr>
          <w:rFonts w:ascii="Bookman Old Style" w:hAnsi="Bookman Old Style"/>
          <w:sz w:val="24"/>
          <w:szCs w:val="24"/>
        </w:rPr>
        <w:t xml:space="preserve">Nozick’s </w:t>
      </w:r>
      <w:r w:rsidR="00717185">
        <w:rPr>
          <w:rFonts w:ascii="Bookman Old Style" w:hAnsi="Bookman Old Style"/>
          <w:sz w:val="24"/>
          <w:szCs w:val="24"/>
        </w:rPr>
        <w:t xml:space="preserve">further </w:t>
      </w:r>
      <w:r>
        <w:rPr>
          <w:rFonts w:ascii="Bookman Old Style" w:hAnsi="Bookman Old Style"/>
          <w:sz w:val="24"/>
          <w:szCs w:val="24"/>
        </w:rPr>
        <w:t>criticism is that the principle of fairness is objectionable from the utilitarian point of view of the cooperative endeavor because it inadequately weighs the benefits versus costs of participation in the initiative for those who participate. Although you might have enjoyed the podcasts in the past, you just might have better things to do on the day when you are expected to engage in the activity to the benefit of others. Additionally, even if the cost-</w:t>
      </w:r>
      <w:r>
        <w:rPr>
          <w:rFonts w:ascii="Bookman Old Style" w:hAnsi="Bookman Old Style"/>
          <w:sz w:val="24"/>
          <w:szCs w:val="24"/>
        </w:rPr>
        <w:lastRenderedPageBreak/>
        <w:t xml:space="preserve">benefit ratio works in your </w:t>
      </w:r>
      <w:proofErr w:type="spellStart"/>
      <w:r>
        <w:rPr>
          <w:rFonts w:ascii="Bookman Old Style" w:hAnsi="Bookman Old Style"/>
          <w:sz w:val="24"/>
          <w:szCs w:val="24"/>
        </w:rPr>
        <w:t>favour</w:t>
      </w:r>
      <w:proofErr w:type="spellEnd"/>
      <w:r>
        <w:rPr>
          <w:rFonts w:ascii="Bookman Old Style" w:hAnsi="Bookman Old Style"/>
          <w:sz w:val="24"/>
          <w:szCs w:val="24"/>
        </w:rPr>
        <w:t xml:space="preserve">, it might be in </w:t>
      </w:r>
      <w:proofErr w:type="spellStart"/>
      <w:r>
        <w:rPr>
          <w:rFonts w:ascii="Bookman Old Style" w:hAnsi="Bookman Old Style"/>
          <w:sz w:val="24"/>
          <w:szCs w:val="24"/>
        </w:rPr>
        <w:t>favour</w:t>
      </w:r>
      <w:proofErr w:type="spellEnd"/>
      <w:r>
        <w:rPr>
          <w:rFonts w:ascii="Bookman Old Style" w:hAnsi="Bookman Old Style"/>
          <w:sz w:val="24"/>
          <w:szCs w:val="24"/>
        </w:rPr>
        <w:t xml:space="preserve"> of other participants even more so. Therefore, you end up as the worst off in</w:t>
      </w:r>
      <w:r w:rsidR="00717185">
        <w:rPr>
          <w:rFonts w:ascii="Bookman Old Style" w:hAnsi="Bookman Old Style"/>
          <w:sz w:val="24"/>
          <w:szCs w:val="24"/>
        </w:rPr>
        <w:t xml:space="preserve"> </w:t>
      </w:r>
      <w:r>
        <w:rPr>
          <w:rFonts w:ascii="Bookman Old Style" w:hAnsi="Bookman Old Style"/>
          <w:sz w:val="24"/>
          <w:szCs w:val="24"/>
        </w:rPr>
        <w:t xml:space="preserve">comparison. Are you in this case obliged to contribute equally to the venture that someone else gains more benefit from? You might as well want to participate in a scheme more suiting your interests or needs and not further implicate yourself by consenting to the unwanted activity. </w:t>
      </w:r>
      <w:r w:rsidR="00DB712A">
        <w:rPr>
          <w:rFonts w:ascii="Bookman Old Style" w:hAnsi="Bookman Old Style"/>
          <w:sz w:val="24"/>
          <w:szCs w:val="24"/>
        </w:rPr>
        <w:t>However, Nozick’s self-interested version of the fairness principle does not create a good utility for those who did all the hard work to reap the rewards while the ‘free-riders</w:t>
      </w:r>
      <w:r w:rsidR="00DB712A">
        <w:rPr>
          <w:rStyle w:val="FootnoteReference"/>
          <w:rFonts w:ascii="Bookman Old Style" w:hAnsi="Bookman Old Style"/>
          <w:sz w:val="24"/>
          <w:szCs w:val="24"/>
        </w:rPr>
        <w:footnoteReference w:id="20"/>
      </w:r>
      <w:r w:rsidR="00DB712A">
        <w:rPr>
          <w:rFonts w:ascii="Bookman Old Style" w:hAnsi="Bookman Old Style"/>
          <w:sz w:val="24"/>
          <w:szCs w:val="24"/>
        </w:rPr>
        <w:t xml:space="preserve">’ got their share for doing nothing. The free-riders’ share might be understood as undeserved as it was acquired through manipulation and avoidance of work. He seems to forget that there are more people participating in the scheme and if I weigh my own personal entitlement to my share against those others, they have the same right to do the same thing to me. In the end, Nozick’s proposition turns into a circular theory </w:t>
      </w:r>
      <w:r w:rsidR="00B43C2E">
        <w:rPr>
          <w:rFonts w:ascii="Bookman Old Style" w:hAnsi="Bookman Old Style"/>
          <w:sz w:val="24"/>
          <w:szCs w:val="24"/>
        </w:rPr>
        <w:t xml:space="preserve">and does not resolve any issues in the cooperative scheme.  </w:t>
      </w:r>
    </w:p>
    <w:p w14:paraId="2335AFCB" w14:textId="3A90CFCC" w:rsidR="00722EE6" w:rsidRDefault="00722EE6" w:rsidP="00DB712A">
      <w:pPr>
        <w:ind w:firstLine="720"/>
        <w:rPr>
          <w:rFonts w:ascii="Bookman Old Style" w:hAnsi="Bookman Old Style"/>
          <w:sz w:val="24"/>
          <w:szCs w:val="24"/>
        </w:rPr>
      </w:pPr>
      <w:r>
        <w:rPr>
          <w:rFonts w:ascii="Bookman Old Style" w:hAnsi="Bookman Old Style"/>
          <w:sz w:val="24"/>
          <w:szCs w:val="24"/>
        </w:rPr>
        <w:t>In opposition to this, Rawls maintains that ‘the principles of justice are absolute with respect to the principle of utility (as the principle of the net sum of advantages)</w:t>
      </w:r>
      <w:r>
        <w:rPr>
          <w:rStyle w:val="FootnoteReference"/>
          <w:rFonts w:ascii="Bookman Old Style" w:hAnsi="Bookman Old Style"/>
          <w:sz w:val="24"/>
          <w:szCs w:val="24"/>
        </w:rPr>
        <w:footnoteReference w:id="21"/>
      </w:r>
      <w:r>
        <w:rPr>
          <w:rFonts w:ascii="Bookman Old Style" w:hAnsi="Bookman Old Style"/>
          <w:sz w:val="24"/>
          <w:szCs w:val="24"/>
        </w:rPr>
        <w:t xml:space="preserve">. </w:t>
      </w:r>
      <w:r w:rsidR="00DB712A">
        <w:rPr>
          <w:rFonts w:ascii="Bookman Old Style" w:hAnsi="Bookman Old Style"/>
          <w:sz w:val="24"/>
          <w:szCs w:val="24"/>
        </w:rPr>
        <w:t>Furthermore, Rawls assumes that the democratic state in question is governed by the ‘rule of law’</w:t>
      </w:r>
      <w:r w:rsidR="00DB712A">
        <w:rPr>
          <w:rStyle w:val="FootnoteReference"/>
          <w:rFonts w:ascii="Bookman Old Style" w:hAnsi="Bookman Old Style"/>
          <w:sz w:val="24"/>
          <w:szCs w:val="24"/>
        </w:rPr>
        <w:footnoteReference w:id="22"/>
      </w:r>
      <w:r w:rsidR="00DB712A">
        <w:rPr>
          <w:rFonts w:ascii="Bookman Old Style" w:hAnsi="Bookman Old Style"/>
          <w:sz w:val="24"/>
          <w:szCs w:val="24"/>
        </w:rPr>
        <w:t xml:space="preserve"> where justice is a regular occurrence and the state provides its citizens with similar public rules and treatment. </w:t>
      </w:r>
      <w:r>
        <w:rPr>
          <w:rFonts w:ascii="Bookman Old Style" w:hAnsi="Bookman Old Style"/>
          <w:sz w:val="24"/>
          <w:szCs w:val="24"/>
        </w:rPr>
        <w:t>Rawls says is that ‘our obligation to obey the law, which is a special case of the principle of fair play, cannot be overridden by an appeal to utility’</w:t>
      </w:r>
      <w:r>
        <w:rPr>
          <w:rStyle w:val="FootnoteReference"/>
          <w:rFonts w:ascii="Bookman Old Style" w:hAnsi="Bookman Old Style"/>
          <w:sz w:val="24"/>
          <w:szCs w:val="24"/>
        </w:rPr>
        <w:footnoteReference w:id="23"/>
      </w:r>
      <w:r>
        <w:rPr>
          <w:rFonts w:ascii="Bookman Old Style" w:hAnsi="Bookman Old Style"/>
          <w:sz w:val="24"/>
          <w:szCs w:val="24"/>
        </w:rPr>
        <w:t xml:space="preserve">. That is, I cannot disobey the law either on the basis that: (1) it does not create the benefits that I want for myself or that (2) I might personally benefit more from not complying. </w:t>
      </w:r>
      <w:r w:rsidR="00B43C2E">
        <w:rPr>
          <w:rFonts w:ascii="Bookman Old Style" w:hAnsi="Bookman Old Style"/>
          <w:sz w:val="24"/>
          <w:szCs w:val="24"/>
        </w:rPr>
        <w:t xml:space="preserve">Now, that sounds more like a working theory in progress to me rather than a concoction of contra arguments for the sake of being original as I often feel is the case with Nozick’s argument.  </w:t>
      </w:r>
    </w:p>
    <w:p w14:paraId="5EE090B1" w14:textId="68161920" w:rsidR="00722EE6" w:rsidRDefault="00B43C2E" w:rsidP="00722EE6">
      <w:pPr>
        <w:ind w:firstLine="720"/>
        <w:rPr>
          <w:rFonts w:ascii="Bookman Old Style" w:hAnsi="Bookman Old Style"/>
          <w:sz w:val="24"/>
          <w:szCs w:val="24"/>
        </w:rPr>
      </w:pPr>
      <w:r>
        <w:rPr>
          <w:rFonts w:ascii="Bookman Old Style" w:hAnsi="Bookman Old Style"/>
          <w:sz w:val="24"/>
          <w:szCs w:val="24"/>
        </w:rPr>
        <w:t>Going back to the above mentioned Rawlsian proposition, t</w:t>
      </w:r>
      <w:r w:rsidR="00722EE6">
        <w:rPr>
          <w:rFonts w:ascii="Bookman Old Style" w:hAnsi="Bookman Old Style"/>
          <w:sz w:val="24"/>
          <w:szCs w:val="24"/>
        </w:rPr>
        <w:t xml:space="preserve">he former is perhaps best understood as an electoral vote. I cannot defy the established law just because my candidate didn’t win the presidency or the party I support fell out of </w:t>
      </w:r>
      <w:proofErr w:type="spellStart"/>
      <w:r w:rsidR="00722EE6">
        <w:rPr>
          <w:rFonts w:ascii="Bookman Old Style" w:hAnsi="Bookman Old Style"/>
          <w:sz w:val="24"/>
          <w:szCs w:val="24"/>
        </w:rPr>
        <w:t>favour</w:t>
      </w:r>
      <w:proofErr w:type="spellEnd"/>
      <w:r w:rsidR="00722EE6">
        <w:rPr>
          <w:rFonts w:ascii="Bookman Old Style" w:hAnsi="Bookman Old Style"/>
          <w:sz w:val="24"/>
          <w:szCs w:val="24"/>
        </w:rPr>
        <w:t xml:space="preserve"> due to low support by my fellow citizens. The overriding power of the constitution implies that majority of votes decides about what legislation will be implemented or who wins the elections and that is the rule of law. As for </w:t>
      </w:r>
      <w:r w:rsidR="00722EE6">
        <w:rPr>
          <w:rFonts w:ascii="Bookman Old Style" w:hAnsi="Bookman Old Style"/>
          <w:sz w:val="24"/>
          <w:szCs w:val="24"/>
        </w:rPr>
        <w:lastRenderedPageBreak/>
        <w:t xml:space="preserve">the latter, Rawls provides taxation as an example. Here, my refusal to pay taxes or trying to evade paying them would have a considerable personal benefit to myself but based on the fair play principle it would harm others within the scheme who obliged themselves to follow the rule of law. </w:t>
      </w:r>
    </w:p>
    <w:p w14:paraId="65FEE763" w14:textId="489B4FD2" w:rsidR="00722EE6" w:rsidRDefault="00722EE6" w:rsidP="00722EE6">
      <w:pPr>
        <w:ind w:firstLine="720"/>
        <w:rPr>
          <w:rFonts w:ascii="Bookman Old Style" w:hAnsi="Bookman Old Style"/>
          <w:sz w:val="24"/>
          <w:szCs w:val="24"/>
        </w:rPr>
      </w:pPr>
      <w:r>
        <w:rPr>
          <w:rFonts w:ascii="Bookman Old Style" w:hAnsi="Bookman Old Style"/>
          <w:sz w:val="24"/>
          <w:szCs w:val="24"/>
        </w:rPr>
        <w:t xml:space="preserve">The way I see it, the supposedly small shortfall of monies accrued by my non-cooperation may not be immediately noticeable within the much greater State’s budget, but it will nonetheless create some hole. My not paying of 5000 pounds in tax might not be a big deal to me when compared to the total budget of my country counting in billions. Nonetheless, considering the current financial shortages within the NHS for instance, my tax avoidance may cost someone his health or even life, all while at the same time I reaped the benefits acquired through others’ tax contributions. Hence, while I was driving my new car that I bought for 5000 more than I could afford if I had paid my tax, someone who got unlucky died in the hospital corridor because of lack of money to train new doctors etc. </w:t>
      </w:r>
    </w:p>
    <w:p w14:paraId="09521444" w14:textId="5ECAEA54" w:rsidR="00722EE6" w:rsidRDefault="00722EE6" w:rsidP="00DB712A">
      <w:pPr>
        <w:ind w:firstLine="720"/>
        <w:rPr>
          <w:rFonts w:ascii="Bookman Old Style" w:hAnsi="Bookman Old Style"/>
          <w:sz w:val="24"/>
          <w:szCs w:val="24"/>
        </w:rPr>
      </w:pPr>
      <w:r>
        <w:rPr>
          <w:rFonts w:ascii="Bookman Old Style" w:hAnsi="Bookman Old Style"/>
          <w:sz w:val="24"/>
          <w:szCs w:val="24"/>
        </w:rPr>
        <w:t xml:space="preserve">Now, in my case this is just £5000. However, I am the mid-wage worker with relatively low income. How about the high-level bankers or, indeed, the whole corporations who currently have a status of persons? What would happen if Facebook or Google did not pay their taxes? Since majority of the country pay anyway, they might as well not worry about it. According to Nozick’s rule, they’re better off not paying and the State has no right to impose this type of political obligation on them. Now let us suppose that we can get away with some not paying taxes. What would be the deciding criteria for such practice? Do we allow the tallest or the most attractive people not pay their taxes, or the largest or smallest companies? Do we go for the most ethical ones to reward them and as such, what would be the criteria to decide who is the most ethical? This may sound silly, but it is in my opinion quite as valid as Nozick’s proposition. The bottom line is that there is no way to establish who gets what in a cooperative scheme unless all are subject to proportionally similar rules and all participate in equal measure. I might decide not to participate today. Tomorrow someone else might decide the same thing. In the end, if all or most opt out, there is no scheme and no benefit. </w:t>
      </w:r>
    </w:p>
    <w:p w14:paraId="4A1CBA3F" w14:textId="2A901BB8" w:rsidR="003A5B82" w:rsidRDefault="00E171FB" w:rsidP="003A5B82">
      <w:pPr>
        <w:ind w:firstLine="720"/>
        <w:rPr>
          <w:rFonts w:ascii="Bookman Old Style" w:hAnsi="Bookman Old Style"/>
          <w:sz w:val="24"/>
          <w:szCs w:val="24"/>
        </w:rPr>
      </w:pPr>
      <w:r>
        <w:rPr>
          <w:rFonts w:ascii="Bookman Old Style" w:hAnsi="Bookman Old Style"/>
          <w:sz w:val="24"/>
          <w:szCs w:val="24"/>
        </w:rPr>
        <w:t>N</w:t>
      </w:r>
      <w:r w:rsidR="00F52492">
        <w:rPr>
          <w:rFonts w:ascii="Bookman Old Style" w:hAnsi="Bookman Old Style"/>
          <w:sz w:val="24"/>
          <w:szCs w:val="24"/>
        </w:rPr>
        <w:t>ozick’s argument deals with the issue of consent</w:t>
      </w:r>
      <w:r w:rsidR="003A5B82">
        <w:rPr>
          <w:rFonts w:ascii="Bookman Old Style" w:hAnsi="Bookman Old Style"/>
          <w:sz w:val="24"/>
          <w:szCs w:val="24"/>
        </w:rPr>
        <w:t xml:space="preserve"> and the enforceability of obligation when it is not present</w:t>
      </w:r>
      <w:r w:rsidR="00F52492">
        <w:rPr>
          <w:rFonts w:ascii="Bookman Old Style" w:hAnsi="Bookman Old Style"/>
          <w:sz w:val="24"/>
          <w:szCs w:val="24"/>
        </w:rPr>
        <w:t xml:space="preserve">. He implies that neither tacit consent nor passive acceptance of benefits give an individual or a group of individuals the </w:t>
      </w:r>
      <w:r w:rsidR="00F52492">
        <w:rPr>
          <w:rFonts w:ascii="Bookman Old Style" w:hAnsi="Bookman Old Style"/>
          <w:sz w:val="24"/>
          <w:szCs w:val="24"/>
        </w:rPr>
        <w:lastRenderedPageBreak/>
        <w:t>right to enforce obligation on an unwilling person to do his fair-share and participate in a cooperative scheme. Extrapolating this notion to the inheritance of benefits transferred upon us by past generations, Nozick concludes that although we are partially ‘social products’</w:t>
      </w:r>
      <w:r w:rsidR="00F52492">
        <w:rPr>
          <w:rStyle w:val="FootnoteReference"/>
          <w:rFonts w:ascii="Bookman Old Style" w:hAnsi="Bookman Old Style"/>
          <w:sz w:val="24"/>
          <w:szCs w:val="24"/>
        </w:rPr>
        <w:footnoteReference w:id="24"/>
      </w:r>
      <w:r w:rsidR="00F52492">
        <w:rPr>
          <w:rFonts w:ascii="Bookman Old Style" w:hAnsi="Bookman Old Style"/>
          <w:sz w:val="24"/>
          <w:szCs w:val="24"/>
        </w:rPr>
        <w:t xml:space="preserve"> of past endeavors, we do not have a corresponding ‘general floating debt which the current society can collect and use as it will’</w:t>
      </w:r>
      <w:r w:rsidR="00F52492">
        <w:rPr>
          <w:rStyle w:val="FootnoteReference"/>
          <w:rFonts w:ascii="Bookman Old Style" w:hAnsi="Bookman Old Style"/>
          <w:sz w:val="24"/>
          <w:szCs w:val="24"/>
        </w:rPr>
        <w:footnoteReference w:id="25"/>
      </w:r>
      <w:r w:rsidR="00F52492">
        <w:rPr>
          <w:rFonts w:ascii="Bookman Old Style" w:hAnsi="Bookman Old Style"/>
          <w:sz w:val="24"/>
          <w:szCs w:val="24"/>
        </w:rPr>
        <w:t>. Therefore, Nozick advises that the principle of fairness be adjusted to account for its failings</w:t>
      </w:r>
      <w:r w:rsidR="00B43C2E">
        <w:rPr>
          <w:rFonts w:ascii="Bookman Old Style" w:hAnsi="Bookman Old Style"/>
          <w:sz w:val="24"/>
          <w:szCs w:val="24"/>
        </w:rPr>
        <w:t>, but how is it to be done?</w:t>
      </w:r>
    </w:p>
    <w:p w14:paraId="336233B8" w14:textId="5C82834B" w:rsidR="003A5B82" w:rsidRDefault="00F52492" w:rsidP="003A5B82">
      <w:pPr>
        <w:ind w:firstLine="720"/>
        <w:rPr>
          <w:rFonts w:ascii="Bookman Old Style" w:hAnsi="Bookman Old Style"/>
          <w:sz w:val="24"/>
          <w:szCs w:val="24"/>
        </w:rPr>
      </w:pPr>
      <w:r>
        <w:rPr>
          <w:rFonts w:ascii="Bookman Old Style" w:hAnsi="Bookman Old Style"/>
          <w:sz w:val="24"/>
          <w:szCs w:val="24"/>
        </w:rPr>
        <w:t xml:space="preserve"> Other than suggesting an adjustment to the fair play principle and advising on avoiding cooperative schemes Hart-Rawls style altogether, Nozick leaves us empty-handed. I would argue that both of his propositions are not good enough to count as a viable replacement of Rawlsian framework. In fact, Nozick </w:t>
      </w:r>
      <w:r w:rsidR="00B43C2E">
        <w:rPr>
          <w:rFonts w:ascii="Bookman Old Style" w:hAnsi="Bookman Old Style"/>
          <w:sz w:val="24"/>
          <w:szCs w:val="24"/>
        </w:rPr>
        <w:t xml:space="preserve">himself </w:t>
      </w:r>
      <w:r>
        <w:rPr>
          <w:rFonts w:ascii="Bookman Old Style" w:hAnsi="Bookman Old Style"/>
          <w:sz w:val="24"/>
          <w:szCs w:val="24"/>
        </w:rPr>
        <w:t>predicts that the future fair play principle or its replacement version might be ‘so complex and involuted that one could not combine it with a special principle legitimizing enforcement within a state of nature of the obligations that have arisen under it’</w:t>
      </w:r>
      <w:r>
        <w:rPr>
          <w:rStyle w:val="FootnoteReference"/>
          <w:rFonts w:ascii="Bookman Old Style" w:hAnsi="Bookman Old Style"/>
          <w:sz w:val="24"/>
          <w:szCs w:val="24"/>
        </w:rPr>
        <w:footnoteReference w:id="26"/>
      </w:r>
      <w:r>
        <w:rPr>
          <w:rFonts w:ascii="Bookman Old Style" w:hAnsi="Bookman Old Style"/>
          <w:sz w:val="24"/>
          <w:szCs w:val="24"/>
        </w:rPr>
        <w:t xml:space="preserve">. </w:t>
      </w:r>
      <w:r w:rsidR="003A5B82">
        <w:rPr>
          <w:rFonts w:ascii="Bookman Old Style" w:hAnsi="Bookman Old Style"/>
          <w:sz w:val="24"/>
          <w:szCs w:val="24"/>
        </w:rPr>
        <w:t>He</w:t>
      </w:r>
      <w:r>
        <w:rPr>
          <w:rFonts w:ascii="Bookman Old Style" w:hAnsi="Bookman Old Style"/>
          <w:sz w:val="24"/>
          <w:szCs w:val="24"/>
        </w:rPr>
        <w:t xml:space="preserve"> states that ‘it will be in the interests of any individual to refrain from otherwise unanimous agreements in the state of nature: for example, the agreement to set up a state</w:t>
      </w:r>
      <w:r>
        <w:rPr>
          <w:rStyle w:val="FootnoteReference"/>
          <w:rFonts w:ascii="Bookman Old Style" w:hAnsi="Bookman Old Style"/>
          <w:sz w:val="24"/>
          <w:szCs w:val="24"/>
        </w:rPr>
        <w:footnoteReference w:id="27"/>
      </w:r>
      <w:r>
        <w:rPr>
          <w:rFonts w:ascii="Bookman Old Style" w:hAnsi="Bookman Old Style"/>
          <w:sz w:val="24"/>
          <w:szCs w:val="24"/>
        </w:rPr>
        <w:t xml:space="preserve">’. </w:t>
      </w:r>
      <w:r w:rsidR="003A5B82">
        <w:rPr>
          <w:rFonts w:ascii="Bookman Old Style" w:hAnsi="Bookman Old Style"/>
          <w:sz w:val="24"/>
          <w:szCs w:val="24"/>
        </w:rPr>
        <w:t>He proposes that: ‘Anything an individual can gain by such a unanimous agreement he can gain through separate bilateral agreement’</w:t>
      </w:r>
      <w:r w:rsidR="003A5B82">
        <w:rPr>
          <w:rStyle w:val="FootnoteReference"/>
          <w:rFonts w:ascii="Bookman Old Style" w:hAnsi="Bookman Old Style"/>
          <w:sz w:val="24"/>
          <w:szCs w:val="24"/>
        </w:rPr>
        <w:footnoteReference w:id="28"/>
      </w:r>
      <w:r w:rsidR="003A5B82">
        <w:rPr>
          <w:rFonts w:ascii="Bookman Old Style" w:hAnsi="Bookman Old Style"/>
          <w:sz w:val="24"/>
          <w:szCs w:val="24"/>
        </w:rPr>
        <w:t xml:space="preserve">. </w:t>
      </w:r>
      <w:r w:rsidR="00B43C2E">
        <w:rPr>
          <w:rFonts w:ascii="Bookman Old Style" w:hAnsi="Bookman Old Style"/>
          <w:sz w:val="24"/>
          <w:szCs w:val="24"/>
        </w:rPr>
        <w:t xml:space="preserve">What, then, is the resolution of Nozick’s issue with Rawls’ fairness principle? None, but a recipe to keep searching for one. </w:t>
      </w:r>
    </w:p>
    <w:p w14:paraId="7967E76D" w14:textId="46699BB1" w:rsidR="00DB712A" w:rsidRDefault="00DB712A" w:rsidP="00B43C2E">
      <w:pPr>
        <w:ind w:firstLine="720"/>
        <w:rPr>
          <w:rFonts w:ascii="Bookman Old Style" w:hAnsi="Bookman Old Style"/>
          <w:sz w:val="24"/>
          <w:szCs w:val="24"/>
        </w:rPr>
      </w:pPr>
      <w:r>
        <w:rPr>
          <w:rFonts w:ascii="Bookman Old Style" w:hAnsi="Bookman Old Style"/>
          <w:sz w:val="24"/>
          <w:szCs w:val="24"/>
        </w:rPr>
        <w:t>In all fairness, Rawls also admits failures in his own theory by stating that citizens have different approaches to social issues stemming from their different backgrounds and the level of information they base them upon. Hence, various situations have ‘different moral features’</w:t>
      </w:r>
      <w:r>
        <w:rPr>
          <w:rStyle w:val="FootnoteReference"/>
          <w:rFonts w:ascii="Bookman Old Style" w:hAnsi="Bookman Old Style"/>
          <w:sz w:val="24"/>
          <w:szCs w:val="24"/>
        </w:rPr>
        <w:footnoteReference w:id="29"/>
      </w:r>
      <w:r>
        <w:rPr>
          <w:rFonts w:ascii="Bookman Old Style" w:hAnsi="Bookman Old Style"/>
          <w:sz w:val="24"/>
          <w:szCs w:val="24"/>
        </w:rPr>
        <w:t xml:space="preserve"> of unequal weighing on a personal level. As such, Rawls says that the constitution-based version of moral obligation comes with two anomalies. One is that we may be obliged to ‘obey an unjust law (…) though it is founded on justice’</w:t>
      </w:r>
      <w:r>
        <w:rPr>
          <w:rStyle w:val="FootnoteReference"/>
          <w:rFonts w:ascii="Bookman Old Style" w:hAnsi="Bookman Old Style"/>
          <w:sz w:val="24"/>
          <w:szCs w:val="24"/>
        </w:rPr>
        <w:footnoteReference w:id="30"/>
      </w:r>
      <w:r>
        <w:rPr>
          <w:rFonts w:ascii="Bookman Old Style" w:hAnsi="Bookman Old Style"/>
          <w:sz w:val="24"/>
          <w:szCs w:val="24"/>
        </w:rPr>
        <w:t xml:space="preserve">. The other is that ‘we </w:t>
      </w:r>
      <w:r>
        <w:rPr>
          <w:rFonts w:ascii="Bookman Old Style" w:hAnsi="Bookman Old Style"/>
          <w:sz w:val="24"/>
          <w:szCs w:val="24"/>
        </w:rPr>
        <w:lastRenderedPageBreak/>
        <w:t>may have an obligation to obey the law even though more good (…) may be gained by not doing so’</w:t>
      </w:r>
      <w:r>
        <w:rPr>
          <w:rStyle w:val="FootnoteReference"/>
          <w:rFonts w:ascii="Bookman Old Style" w:hAnsi="Bookman Old Style"/>
          <w:sz w:val="24"/>
          <w:szCs w:val="24"/>
        </w:rPr>
        <w:footnoteReference w:id="31"/>
      </w:r>
      <w:r>
        <w:rPr>
          <w:rFonts w:ascii="Bookman Old Style" w:hAnsi="Bookman Old Style"/>
          <w:sz w:val="24"/>
          <w:szCs w:val="24"/>
        </w:rPr>
        <w:t xml:space="preserve">. </w:t>
      </w:r>
    </w:p>
    <w:p w14:paraId="15938FCC" w14:textId="7CF101C1" w:rsidR="006B6935" w:rsidRDefault="006705E3" w:rsidP="00B43C2E">
      <w:pPr>
        <w:ind w:firstLine="720"/>
        <w:rPr>
          <w:rFonts w:ascii="Bookman Old Style" w:hAnsi="Bookman Old Style"/>
          <w:sz w:val="24"/>
          <w:szCs w:val="24"/>
        </w:rPr>
      </w:pPr>
      <w:r>
        <w:rPr>
          <w:rFonts w:ascii="Bookman Old Style" w:hAnsi="Bookman Old Style"/>
          <w:sz w:val="24"/>
          <w:szCs w:val="24"/>
        </w:rPr>
        <w:t>The most pronounced in my opinion criticism of Nozick’s opposition to the fair play principle is the Rawlsian explicit statement that the obligation to do one’s equal share derives from the fact that ‘</w:t>
      </w:r>
      <w:r w:rsidR="00426DF8">
        <w:rPr>
          <w:rFonts w:ascii="Bookman Old Style" w:hAnsi="Bookman Old Style"/>
          <w:sz w:val="24"/>
          <w:szCs w:val="24"/>
        </w:rPr>
        <w:t xml:space="preserve">the existence of </w:t>
      </w:r>
      <w:r>
        <w:rPr>
          <w:rFonts w:ascii="Bookman Old Style" w:hAnsi="Bookman Old Style"/>
          <w:sz w:val="24"/>
          <w:szCs w:val="24"/>
        </w:rPr>
        <w:t>the benefit is the result of everyone’s effort</w:t>
      </w:r>
      <w:r w:rsidR="00426DF8">
        <w:rPr>
          <w:rFonts w:ascii="Bookman Old Style" w:hAnsi="Bookman Old Style"/>
          <w:sz w:val="24"/>
          <w:szCs w:val="24"/>
        </w:rPr>
        <w:t>,</w:t>
      </w:r>
      <w:r>
        <w:rPr>
          <w:rFonts w:ascii="Bookman Old Style" w:hAnsi="Bookman Old Style"/>
          <w:sz w:val="24"/>
          <w:szCs w:val="24"/>
        </w:rPr>
        <w:t xml:space="preserve"> and </w:t>
      </w:r>
      <w:r w:rsidR="00426DF8">
        <w:rPr>
          <w:rFonts w:ascii="Bookman Old Style" w:hAnsi="Bookman Old Style"/>
          <w:sz w:val="24"/>
          <w:szCs w:val="24"/>
        </w:rPr>
        <w:t xml:space="preserve">prior to some understanding as to how it is to be shared (…) </w:t>
      </w:r>
      <w:r>
        <w:rPr>
          <w:rFonts w:ascii="Bookman Old Style" w:hAnsi="Bookman Old Style"/>
          <w:sz w:val="24"/>
          <w:szCs w:val="24"/>
        </w:rPr>
        <w:t>it belongs in fairness to no one’</w:t>
      </w:r>
      <w:r>
        <w:rPr>
          <w:rStyle w:val="FootnoteReference"/>
          <w:rFonts w:ascii="Bookman Old Style" w:hAnsi="Bookman Old Style"/>
          <w:sz w:val="24"/>
          <w:szCs w:val="24"/>
        </w:rPr>
        <w:footnoteReference w:id="32"/>
      </w:r>
      <w:r>
        <w:rPr>
          <w:rFonts w:ascii="Bookman Old Style" w:hAnsi="Bookman Old Style"/>
          <w:sz w:val="24"/>
          <w:szCs w:val="24"/>
        </w:rPr>
        <w:t xml:space="preserve">. </w:t>
      </w:r>
      <w:r w:rsidR="00C748D7">
        <w:rPr>
          <w:rFonts w:ascii="Bookman Old Style" w:hAnsi="Bookman Old Style"/>
          <w:sz w:val="24"/>
          <w:szCs w:val="24"/>
        </w:rPr>
        <w:t>Once again, we find here the notion that</w:t>
      </w:r>
      <w:r>
        <w:rPr>
          <w:rFonts w:ascii="Bookman Old Style" w:hAnsi="Bookman Old Style"/>
          <w:sz w:val="24"/>
          <w:szCs w:val="24"/>
        </w:rPr>
        <w:t xml:space="preserve"> only cooperation creates benefits</w:t>
      </w:r>
      <w:r w:rsidR="00426DF8">
        <w:rPr>
          <w:rFonts w:ascii="Bookman Old Style" w:hAnsi="Bookman Old Style"/>
          <w:sz w:val="24"/>
          <w:szCs w:val="24"/>
        </w:rPr>
        <w:t xml:space="preserve"> and the rules of such cooperation create the share</w:t>
      </w:r>
      <w:r w:rsidR="004C2803">
        <w:rPr>
          <w:rFonts w:ascii="Bookman Old Style" w:hAnsi="Bookman Old Style"/>
          <w:sz w:val="24"/>
          <w:szCs w:val="24"/>
        </w:rPr>
        <w:t>.</w:t>
      </w:r>
      <w:r>
        <w:rPr>
          <w:rFonts w:ascii="Bookman Old Style" w:hAnsi="Bookman Old Style"/>
          <w:sz w:val="24"/>
          <w:szCs w:val="24"/>
        </w:rPr>
        <w:t xml:space="preserve"> </w:t>
      </w:r>
      <w:r w:rsidR="004C2803">
        <w:rPr>
          <w:rFonts w:ascii="Bookman Old Style" w:hAnsi="Bookman Old Style"/>
          <w:sz w:val="24"/>
          <w:szCs w:val="24"/>
        </w:rPr>
        <w:t>W</w:t>
      </w:r>
      <w:r>
        <w:rPr>
          <w:rFonts w:ascii="Bookman Old Style" w:hAnsi="Bookman Old Style"/>
          <w:sz w:val="24"/>
          <w:szCs w:val="24"/>
        </w:rPr>
        <w:t xml:space="preserve">hether it is </w:t>
      </w:r>
      <w:r w:rsidR="004C2803">
        <w:rPr>
          <w:rFonts w:ascii="Bookman Old Style" w:hAnsi="Bookman Old Style"/>
          <w:sz w:val="24"/>
          <w:szCs w:val="24"/>
        </w:rPr>
        <w:t>through</w:t>
      </w:r>
      <w:r>
        <w:rPr>
          <w:rFonts w:ascii="Bookman Old Style" w:hAnsi="Bookman Old Style"/>
          <w:sz w:val="24"/>
          <w:szCs w:val="24"/>
        </w:rPr>
        <w:t xml:space="preserve"> the</w:t>
      </w:r>
      <w:r w:rsidR="004C2803">
        <w:rPr>
          <w:rFonts w:ascii="Bookman Old Style" w:hAnsi="Bookman Old Style"/>
          <w:sz w:val="24"/>
          <w:szCs w:val="24"/>
        </w:rPr>
        <w:t xml:space="preserve"> cooperation of members of</w:t>
      </w:r>
      <w:r>
        <w:rPr>
          <w:rFonts w:ascii="Bookman Old Style" w:hAnsi="Bookman Old Style"/>
          <w:sz w:val="24"/>
          <w:szCs w:val="24"/>
        </w:rPr>
        <w:t xml:space="preserve"> </w:t>
      </w:r>
      <w:r w:rsidR="004C2803">
        <w:rPr>
          <w:rFonts w:ascii="Bookman Old Style" w:hAnsi="Bookman Old Style"/>
          <w:sz w:val="24"/>
          <w:szCs w:val="24"/>
        </w:rPr>
        <w:t xml:space="preserve">a </w:t>
      </w:r>
      <w:r>
        <w:rPr>
          <w:rFonts w:ascii="Bookman Old Style" w:hAnsi="Bookman Old Style"/>
          <w:sz w:val="24"/>
          <w:szCs w:val="24"/>
        </w:rPr>
        <w:t xml:space="preserve">larger society </w:t>
      </w:r>
      <w:r w:rsidR="004C2803">
        <w:rPr>
          <w:rFonts w:ascii="Bookman Old Style" w:hAnsi="Bookman Old Style"/>
          <w:sz w:val="24"/>
          <w:szCs w:val="24"/>
        </w:rPr>
        <w:t>such</w:t>
      </w:r>
      <w:r>
        <w:rPr>
          <w:rFonts w:ascii="Bookman Old Style" w:hAnsi="Bookman Old Style"/>
          <w:sz w:val="24"/>
          <w:szCs w:val="24"/>
        </w:rPr>
        <w:t xml:space="preserve"> as </w:t>
      </w:r>
      <w:r w:rsidR="004C2803">
        <w:rPr>
          <w:rFonts w:ascii="Bookman Old Style" w:hAnsi="Bookman Old Style"/>
          <w:sz w:val="24"/>
          <w:szCs w:val="24"/>
        </w:rPr>
        <w:t>the</w:t>
      </w:r>
      <w:r>
        <w:rPr>
          <w:rFonts w:ascii="Bookman Old Style" w:hAnsi="Bookman Old Style"/>
          <w:sz w:val="24"/>
          <w:szCs w:val="24"/>
        </w:rPr>
        <w:t xml:space="preserve"> State or through Nozick</w:t>
      </w:r>
      <w:r w:rsidR="004C2803">
        <w:rPr>
          <w:rFonts w:ascii="Bookman Old Style" w:hAnsi="Bookman Old Style"/>
          <w:sz w:val="24"/>
          <w:szCs w:val="24"/>
        </w:rPr>
        <w:t>’s</w:t>
      </w:r>
      <w:r>
        <w:rPr>
          <w:rFonts w:ascii="Bookman Old Style" w:hAnsi="Bookman Old Style"/>
          <w:sz w:val="24"/>
          <w:szCs w:val="24"/>
        </w:rPr>
        <w:t xml:space="preserve"> </w:t>
      </w:r>
      <w:r w:rsidR="004C2803">
        <w:rPr>
          <w:rFonts w:ascii="Bookman Old Style" w:hAnsi="Bookman Old Style"/>
          <w:sz w:val="24"/>
          <w:szCs w:val="24"/>
        </w:rPr>
        <w:t>preferred ‘bilateral agreements’</w:t>
      </w:r>
      <w:r w:rsidR="004C2803">
        <w:rPr>
          <w:rStyle w:val="FootnoteReference"/>
          <w:rFonts w:ascii="Bookman Old Style" w:hAnsi="Bookman Old Style"/>
          <w:sz w:val="24"/>
          <w:szCs w:val="24"/>
        </w:rPr>
        <w:footnoteReference w:id="33"/>
      </w:r>
      <w:r w:rsidR="004C2803">
        <w:rPr>
          <w:rFonts w:ascii="Bookman Old Style" w:hAnsi="Bookman Old Style"/>
          <w:sz w:val="24"/>
          <w:szCs w:val="24"/>
        </w:rPr>
        <w:t xml:space="preserve">, there are no benefits if there is no cooperation. </w:t>
      </w:r>
      <w:r w:rsidR="00426DF8">
        <w:rPr>
          <w:rFonts w:ascii="Bookman Old Style" w:hAnsi="Bookman Old Style"/>
          <w:sz w:val="24"/>
          <w:szCs w:val="24"/>
        </w:rPr>
        <w:t xml:space="preserve">Additionally, the preexisting framework decides about the share of benefits. </w:t>
      </w:r>
      <w:r w:rsidR="004C2803">
        <w:rPr>
          <w:rFonts w:ascii="Bookman Old Style" w:hAnsi="Bookman Old Style"/>
          <w:sz w:val="24"/>
          <w:szCs w:val="24"/>
        </w:rPr>
        <w:t xml:space="preserve">Those who do not cooperate are not producing benefits for themselves. It is therefore </w:t>
      </w:r>
      <w:r w:rsidR="00426DF8">
        <w:rPr>
          <w:rFonts w:ascii="Bookman Old Style" w:hAnsi="Bookman Old Style"/>
          <w:sz w:val="24"/>
          <w:szCs w:val="24"/>
        </w:rPr>
        <w:t>to</w:t>
      </w:r>
      <w:r w:rsidR="004C2803">
        <w:rPr>
          <w:rFonts w:ascii="Bookman Old Style" w:hAnsi="Bookman Old Style"/>
          <w:sz w:val="24"/>
          <w:szCs w:val="24"/>
        </w:rPr>
        <w:t xml:space="preserve"> everyone’s </w:t>
      </w:r>
      <w:r w:rsidR="00426DF8">
        <w:rPr>
          <w:rFonts w:ascii="Bookman Old Style" w:hAnsi="Bookman Old Style"/>
          <w:sz w:val="24"/>
          <w:szCs w:val="24"/>
        </w:rPr>
        <w:t>advantage to participate</w:t>
      </w:r>
      <w:r w:rsidR="00C748D7">
        <w:rPr>
          <w:rFonts w:ascii="Bookman Old Style" w:hAnsi="Bookman Old Style"/>
          <w:sz w:val="24"/>
          <w:szCs w:val="24"/>
        </w:rPr>
        <w:t xml:space="preserve"> to advance their personal circumstances. </w:t>
      </w:r>
    </w:p>
    <w:p w14:paraId="44DD4904" w14:textId="060EE5A1" w:rsidR="00B43C2E" w:rsidRDefault="00B43C2E" w:rsidP="00B43C2E">
      <w:pPr>
        <w:ind w:firstLine="720"/>
        <w:rPr>
          <w:rFonts w:ascii="Bookman Old Style" w:hAnsi="Bookman Old Style"/>
          <w:sz w:val="24"/>
          <w:szCs w:val="24"/>
        </w:rPr>
      </w:pPr>
      <w:r>
        <w:rPr>
          <w:rFonts w:ascii="Bookman Old Style" w:hAnsi="Bookman Old Style"/>
          <w:sz w:val="24"/>
          <w:szCs w:val="24"/>
        </w:rPr>
        <w:t xml:space="preserve">In summary, it is interesting to see two such different approaches to the same issue. </w:t>
      </w:r>
      <w:r w:rsidR="006F1A2E">
        <w:rPr>
          <w:rFonts w:ascii="Bookman Old Style" w:hAnsi="Bookman Old Style"/>
          <w:sz w:val="24"/>
          <w:szCs w:val="24"/>
        </w:rPr>
        <w:t xml:space="preserve">My conclusion from the Nozick-Rawls debate is that however interesting Nozick’s points might be, Rawls managed to create a sound a working theory of fair sharing within a social cooperative. His theory is more practical and leads somewhere, whereas Nozick in many ways creates an argument just for the sake of it. There is no closure to his argument. I personally prefer philosophy to have practical application to human life. The most off-putting part of Nozick’s theory is however his focus on the individual to the extent where he lives in his own little bubble and disregards the society that he is part of, the society that in many ways ‘creates’ him. I get a very Western taste reading both theories, but Rawlsian approach just seems more human due to its communal character. </w:t>
      </w:r>
    </w:p>
    <w:p w14:paraId="17981A61" w14:textId="653779E6" w:rsidR="00095D79" w:rsidRDefault="00095D79">
      <w:pPr>
        <w:rPr>
          <w:rFonts w:ascii="Bookman Old Style" w:hAnsi="Bookman Old Style"/>
          <w:sz w:val="24"/>
          <w:szCs w:val="24"/>
        </w:rPr>
      </w:pPr>
    </w:p>
    <w:p w14:paraId="75592C81" w14:textId="77777777" w:rsidR="006F1A2E" w:rsidRDefault="006F1A2E">
      <w:pPr>
        <w:rPr>
          <w:rFonts w:ascii="Bookman Old Style" w:hAnsi="Bookman Old Style"/>
          <w:sz w:val="24"/>
          <w:szCs w:val="24"/>
        </w:rPr>
      </w:pPr>
    </w:p>
    <w:p w14:paraId="1A7864D4" w14:textId="77777777" w:rsidR="006F1A2E" w:rsidRDefault="006F1A2E">
      <w:pPr>
        <w:rPr>
          <w:rFonts w:ascii="Bookman Old Style" w:hAnsi="Bookman Old Style"/>
          <w:sz w:val="24"/>
          <w:szCs w:val="24"/>
        </w:rPr>
      </w:pPr>
    </w:p>
    <w:p w14:paraId="5369DDA0" w14:textId="77777777" w:rsidR="006F1A2E" w:rsidRDefault="006F1A2E">
      <w:pPr>
        <w:rPr>
          <w:rFonts w:ascii="Bookman Old Style" w:hAnsi="Bookman Old Style"/>
          <w:sz w:val="24"/>
          <w:szCs w:val="24"/>
        </w:rPr>
      </w:pPr>
    </w:p>
    <w:p w14:paraId="735629CF" w14:textId="5A964F37" w:rsidR="00BC498D" w:rsidRDefault="00F52492">
      <w:pPr>
        <w:rPr>
          <w:rFonts w:ascii="Bookman Old Style" w:hAnsi="Bookman Old Style"/>
          <w:sz w:val="24"/>
          <w:szCs w:val="24"/>
        </w:rPr>
      </w:pPr>
      <w:r>
        <w:rPr>
          <w:rFonts w:ascii="Bookman Old Style" w:hAnsi="Bookman Old Style"/>
          <w:sz w:val="24"/>
          <w:szCs w:val="24"/>
        </w:rPr>
        <w:lastRenderedPageBreak/>
        <w:t>Bibliography:</w:t>
      </w:r>
    </w:p>
    <w:p w14:paraId="7D27112E" w14:textId="39F6ECE3" w:rsidR="00F52492" w:rsidRPr="00923EDD" w:rsidRDefault="00F52492">
      <w:pPr>
        <w:rPr>
          <w:rFonts w:ascii="Bookman Old Style" w:hAnsi="Bookman Old Style"/>
          <w:sz w:val="24"/>
          <w:szCs w:val="24"/>
        </w:rPr>
      </w:pPr>
      <w:r w:rsidRPr="00923EDD">
        <w:rPr>
          <w:rFonts w:ascii="Bookman Old Style" w:hAnsi="Bookman Old Style"/>
          <w:sz w:val="24"/>
          <w:szCs w:val="24"/>
        </w:rPr>
        <w:t>Nozick, Robert,</w:t>
      </w:r>
      <w:r w:rsidR="00BD1755">
        <w:rPr>
          <w:rFonts w:ascii="Bookman Old Style" w:hAnsi="Bookman Old Style"/>
          <w:sz w:val="24"/>
          <w:szCs w:val="24"/>
        </w:rPr>
        <w:t xml:space="preserve"> </w:t>
      </w:r>
      <w:r w:rsidRPr="00BD1755">
        <w:rPr>
          <w:rFonts w:ascii="Bookman Old Style" w:hAnsi="Bookman Old Style"/>
          <w:i/>
          <w:sz w:val="24"/>
          <w:szCs w:val="24"/>
        </w:rPr>
        <w:t>The State</w:t>
      </w:r>
      <w:r w:rsidRPr="00923EDD">
        <w:rPr>
          <w:rFonts w:ascii="Bookman Old Style" w:hAnsi="Bookman Old Style"/>
          <w:sz w:val="24"/>
          <w:szCs w:val="24"/>
        </w:rPr>
        <w:t xml:space="preserve">, in Nozick, Robert, </w:t>
      </w:r>
      <w:r w:rsidRPr="00BD1755">
        <w:rPr>
          <w:rFonts w:ascii="Bookman Old Style" w:hAnsi="Bookman Old Style"/>
          <w:i/>
          <w:sz w:val="24"/>
          <w:szCs w:val="24"/>
        </w:rPr>
        <w:t>Anarchy, State and Utopia</w:t>
      </w:r>
      <w:r w:rsidR="00BD1755">
        <w:rPr>
          <w:rFonts w:ascii="Bookman Old Style" w:hAnsi="Bookman Old Style"/>
          <w:i/>
          <w:sz w:val="24"/>
          <w:szCs w:val="24"/>
        </w:rPr>
        <w:t>.</w:t>
      </w:r>
      <w:bookmarkStart w:id="0" w:name="_GoBack"/>
      <w:bookmarkEnd w:id="0"/>
    </w:p>
    <w:p w14:paraId="30BCCC8C" w14:textId="13276C35" w:rsidR="00F52492" w:rsidRPr="00923EDD" w:rsidRDefault="00F52492">
      <w:pPr>
        <w:rPr>
          <w:rFonts w:ascii="Bookman Old Style" w:hAnsi="Bookman Old Style"/>
          <w:sz w:val="24"/>
          <w:szCs w:val="24"/>
        </w:rPr>
      </w:pPr>
      <w:r w:rsidRPr="00923EDD">
        <w:rPr>
          <w:rFonts w:ascii="Bookman Old Style" w:hAnsi="Bookman Old Style"/>
          <w:sz w:val="24"/>
          <w:szCs w:val="24"/>
        </w:rPr>
        <w:t xml:space="preserve">Rawls, John, </w:t>
      </w:r>
      <w:r w:rsidRPr="00BD1755">
        <w:rPr>
          <w:rFonts w:ascii="Bookman Old Style" w:hAnsi="Bookman Old Style"/>
          <w:i/>
          <w:sz w:val="24"/>
          <w:szCs w:val="24"/>
          <w:lang w:val="en-GB"/>
        </w:rPr>
        <w:t>Legal Obligation and the Duty of Fair Play</w:t>
      </w:r>
      <w:r w:rsidRPr="00923EDD">
        <w:rPr>
          <w:rFonts w:ascii="Bookman Old Style" w:hAnsi="Bookman Old Style"/>
          <w:sz w:val="24"/>
          <w:szCs w:val="24"/>
          <w:lang w:val="en-GB"/>
        </w:rPr>
        <w:t xml:space="preserve">, in Rawls John: </w:t>
      </w:r>
      <w:r w:rsidRPr="00BD1755">
        <w:rPr>
          <w:rFonts w:ascii="Bookman Old Style" w:hAnsi="Bookman Old Style"/>
          <w:i/>
          <w:sz w:val="24"/>
          <w:szCs w:val="24"/>
          <w:lang w:val="en-GB"/>
        </w:rPr>
        <w:t>Collected Papers,</w:t>
      </w:r>
      <w:r w:rsidRPr="00923EDD">
        <w:rPr>
          <w:rFonts w:ascii="Bookman Old Style" w:hAnsi="Bookman Old Style"/>
          <w:sz w:val="24"/>
          <w:szCs w:val="24"/>
          <w:lang w:val="en-GB"/>
        </w:rPr>
        <w:t xml:space="preserve"> pp.</w:t>
      </w:r>
      <w:r w:rsidR="00BD1755">
        <w:rPr>
          <w:rFonts w:ascii="Bookman Old Style" w:hAnsi="Bookman Old Style"/>
          <w:sz w:val="24"/>
          <w:szCs w:val="24"/>
          <w:lang w:val="en-GB"/>
        </w:rPr>
        <w:t>117-129.</w:t>
      </w:r>
    </w:p>
    <w:p w14:paraId="3106AE01" w14:textId="6EF2F666" w:rsidR="009259F9" w:rsidRPr="00F63C10" w:rsidRDefault="009259F9">
      <w:pPr>
        <w:rPr>
          <w:rFonts w:ascii="Bookman Old Style" w:hAnsi="Bookman Old Style"/>
          <w:sz w:val="24"/>
          <w:szCs w:val="24"/>
        </w:rPr>
      </w:pPr>
    </w:p>
    <w:sectPr w:rsidR="009259F9" w:rsidRPr="00F63C10" w:rsidSect="005B7B87">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390EB" w14:textId="77777777" w:rsidR="003E7FE8" w:rsidRDefault="003E7FE8" w:rsidP="00EB304F">
      <w:pPr>
        <w:spacing w:after="0" w:line="240" w:lineRule="auto"/>
      </w:pPr>
      <w:r>
        <w:separator/>
      </w:r>
    </w:p>
  </w:endnote>
  <w:endnote w:type="continuationSeparator" w:id="0">
    <w:p w14:paraId="22745B2B" w14:textId="77777777" w:rsidR="003E7FE8" w:rsidRDefault="003E7FE8" w:rsidP="00EB3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184111"/>
      <w:docPartObj>
        <w:docPartGallery w:val="Page Numbers (Bottom of Page)"/>
        <w:docPartUnique/>
      </w:docPartObj>
    </w:sdtPr>
    <w:sdtEndPr>
      <w:rPr>
        <w:noProof/>
      </w:rPr>
    </w:sdtEndPr>
    <w:sdtContent>
      <w:p w14:paraId="4DE59FF9" w14:textId="212E76AC" w:rsidR="00B030BB" w:rsidRDefault="00B030BB">
        <w:pPr>
          <w:pStyle w:val="Footer"/>
          <w:jc w:val="center"/>
        </w:pPr>
        <w:r>
          <w:fldChar w:fldCharType="begin"/>
        </w:r>
        <w:r>
          <w:instrText xml:space="preserve"> PAGE   \* MERGEFORMAT </w:instrText>
        </w:r>
        <w:r>
          <w:fldChar w:fldCharType="separate"/>
        </w:r>
        <w:r w:rsidR="00BD1755">
          <w:rPr>
            <w:noProof/>
          </w:rPr>
          <w:t>7</w:t>
        </w:r>
        <w:r>
          <w:rPr>
            <w:noProof/>
          </w:rPr>
          <w:fldChar w:fldCharType="end"/>
        </w:r>
      </w:p>
    </w:sdtContent>
  </w:sdt>
  <w:p w14:paraId="051E2AAF" w14:textId="2563B4AC" w:rsidR="00B030BB" w:rsidRDefault="00B030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0A632" w14:textId="77777777" w:rsidR="003E7FE8" w:rsidRDefault="003E7FE8" w:rsidP="00EB304F">
      <w:pPr>
        <w:spacing w:after="0" w:line="240" w:lineRule="auto"/>
      </w:pPr>
      <w:r>
        <w:separator/>
      </w:r>
    </w:p>
  </w:footnote>
  <w:footnote w:type="continuationSeparator" w:id="0">
    <w:p w14:paraId="52193982" w14:textId="77777777" w:rsidR="003E7FE8" w:rsidRDefault="003E7FE8" w:rsidP="00EB304F">
      <w:pPr>
        <w:spacing w:after="0" w:line="240" w:lineRule="auto"/>
      </w:pPr>
      <w:r>
        <w:continuationSeparator/>
      </w:r>
    </w:p>
  </w:footnote>
  <w:footnote w:id="1">
    <w:p w14:paraId="306044D8" w14:textId="4FDA0060" w:rsidR="00B030BB" w:rsidRPr="001E636F" w:rsidRDefault="00B030BB">
      <w:pPr>
        <w:pStyle w:val="FootnoteText"/>
        <w:rPr>
          <w:lang w:val="en-GB"/>
        </w:rPr>
      </w:pPr>
      <w:r>
        <w:rPr>
          <w:rStyle w:val="FootnoteReference"/>
        </w:rPr>
        <w:footnoteRef/>
      </w:r>
      <w:r>
        <w:t xml:space="preserve"> Rawls, </w:t>
      </w:r>
      <w:r>
        <w:rPr>
          <w:lang w:val="en-GB"/>
        </w:rPr>
        <w:t>Legal Obligation and the Duty of Fair Play, in Rawls: Collected Papers,</w:t>
      </w:r>
      <w:r>
        <w:t xml:space="preserve"> p.117</w:t>
      </w:r>
    </w:p>
  </w:footnote>
  <w:footnote w:id="2">
    <w:p w14:paraId="790A300F" w14:textId="4F81D778" w:rsidR="00B030BB" w:rsidRPr="001E636F" w:rsidRDefault="00B030BB">
      <w:pPr>
        <w:pStyle w:val="FootnoteText"/>
        <w:rPr>
          <w:lang w:val="en-GB"/>
        </w:rPr>
      </w:pPr>
      <w:r>
        <w:rPr>
          <w:rStyle w:val="FootnoteReference"/>
        </w:rPr>
        <w:footnoteRef/>
      </w:r>
      <w:r>
        <w:t xml:space="preserve"> Rawls, in Nozick, Anarchy, State and Utopia, p.90.</w:t>
      </w:r>
    </w:p>
  </w:footnote>
  <w:footnote w:id="3">
    <w:p w14:paraId="0C2BD7B1" w14:textId="1219EAA7" w:rsidR="00B030BB" w:rsidRPr="00F75C32" w:rsidRDefault="00B030BB">
      <w:pPr>
        <w:pStyle w:val="FootnoteText"/>
        <w:rPr>
          <w:lang w:val="en-GB"/>
        </w:rPr>
      </w:pPr>
      <w:r>
        <w:rPr>
          <w:rStyle w:val="FootnoteReference"/>
        </w:rPr>
        <w:footnoteRef/>
      </w:r>
      <w:r>
        <w:t xml:space="preserve"> </w:t>
      </w:r>
      <w:r w:rsidR="00A60169">
        <w:t>Hart, Ibid</w:t>
      </w:r>
    </w:p>
  </w:footnote>
  <w:footnote w:id="4">
    <w:p w14:paraId="689BAE22" w14:textId="5431D0A5" w:rsidR="00B030BB" w:rsidRPr="006B6935" w:rsidRDefault="00B030BB">
      <w:pPr>
        <w:pStyle w:val="FootnoteText"/>
        <w:rPr>
          <w:lang w:val="en-GB"/>
        </w:rPr>
      </w:pPr>
      <w:r>
        <w:rPr>
          <w:rStyle w:val="FootnoteReference"/>
        </w:rPr>
        <w:footnoteRef/>
      </w:r>
      <w:r>
        <w:t xml:space="preserve"> </w:t>
      </w:r>
      <w:r>
        <w:rPr>
          <w:lang w:val="en-GB"/>
        </w:rPr>
        <w:t>Rawls, Legal Obligation and the Duty of Fair Play, in Rawls: Collected Papers, p. 122.</w:t>
      </w:r>
    </w:p>
  </w:footnote>
  <w:footnote w:id="5">
    <w:p w14:paraId="00F0AD54" w14:textId="6AF62376" w:rsidR="00B030BB" w:rsidRPr="006B6935" w:rsidRDefault="00B030BB">
      <w:pPr>
        <w:pStyle w:val="FootnoteText"/>
        <w:rPr>
          <w:lang w:val="en-GB"/>
        </w:rPr>
      </w:pPr>
      <w:r>
        <w:rPr>
          <w:rStyle w:val="FootnoteReference"/>
        </w:rPr>
        <w:footnoteRef/>
      </w:r>
      <w:r>
        <w:t xml:space="preserve"> Ibid</w:t>
      </w:r>
    </w:p>
  </w:footnote>
  <w:footnote w:id="6">
    <w:p w14:paraId="0FA3AD7A" w14:textId="28F2D736" w:rsidR="00B030BB" w:rsidRPr="006B6935" w:rsidRDefault="00B030BB">
      <w:pPr>
        <w:pStyle w:val="FootnoteText"/>
        <w:rPr>
          <w:lang w:val="en-GB"/>
        </w:rPr>
      </w:pPr>
      <w:r>
        <w:rPr>
          <w:rStyle w:val="FootnoteReference"/>
        </w:rPr>
        <w:footnoteRef/>
      </w:r>
      <w:r>
        <w:t xml:space="preserve"> Ibid</w:t>
      </w:r>
    </w:p>
  </w:footnote>
  <w:footnote w:id="7">
    <w:p w14:paraId="7A9FB8DD" w14:textId="70D903D6" w:rsidR="00B030BB" w:rsidRPr="00FA0210" w:rsidRDefault="00B030BB">
      <w:pPr>
        <w:pStyle w:val="FootnoteText"/>
        <w:rPr>
          <w:lang w:val="en-GB"/>
        </w:rPr>
      </w:pPr>
      <w:r>
        <w:rPr>
          <w:rStyle w:val="FootnoteReference"/>
        </w:rPr>
        <w:footnoteRef/>
      </w:r>
      <w:r>
        <w:t xml:space="preserve"> Ibid</w:t>
      </w:r>
    </w:p>
  </w:footnote>
  <w:footnote w:id="8">
    <w:p w14:paraId="235F0EA0" w14:textId="60C8EC9F" w:rsidR="00B030BB" w:rsidRPr="0058134D" w:rsidRDefault="00B030BB">
      <w:pPr>
        <w:pStyle w:val="FootnoteText"/>
        <w:rPr>
          <w:lang w:val="en-GB"/>
        </w:rPr>
      </w:pPr>
      <w:r>
        <w:rPr>
          <w:rStyle w:val="FootnoteReference"/>
        </w:rPr>
        <w:footnoteRef/>
      </w:r>
      <w:r>
        <w:t xml:space="preserve"> </w:t>
      </w:r>
      <w:r w:rsidR="00A60169">
        <w:t>Ibid, p.</w:t>
      </w:r>
      <w:r>
        <w:rPr>
          <w:lang w:val="en-GB"/>
        </w:rPr>
        <w:t>120</w:t>
      </w:r>
    </w:p>
  </w:footnote>
  <w:footnote w:id="9">
    <w:p w14:paraId="33E0F095" w14:textId="5AE0E920" w:rsidR="00B030BB" w:rsidRPr="00E92D00" w:rsidRDefault="00B030BB">
      <w:pPr>
        <w:pStyle w:val="FootnoteText"/>
        <w:rPr>
          <w:lang w:val="en-GB"/>
        </w:rPr>
      </w:pPr>
      <w:r>
        <w:rPr>
          <w:rStyle w:val="FootnoteReference"/>
        </w:rPr>
        <w:footnoteRef/>
      </w:r>
      <w:r>
        <w:t xml:space="preserve"> </w:t>
      </w:r>
      <w:r w:rsidR="00A60169">
        <w:rPr>
          <w:lang w:val="en-GB"/>
        </w:rPr>
        <w:t>Rawls, Legal Obligation and the Duty of Fair Play, in Rawls: Collected Papers, p.</w:t>
      </w:r>
      <w:r>
        <w:rPr>
          <w:lang w:val="en-GB"/>
        </w:rPr>
        <w:t>117</w:t>
      </w:r>
    </w:p>
  </w:footnote>
  <w:footnote w:id="10">
    <w:p w14:paraId="2C1F254E" w14:textId="6E2CFB8C" w:rsidR="00B030BB" w:rsidRPr="00A27E30" w:rsidRDefault="00B030BB">
      <w:pPr>
        <w:pStyle w:val="FootnoteText"/>
        <w:rPr>
          <w:lang w:val="en-GB"/>
        </w:rPr>
      </w:pPr>
      <w:r>
        <w:rPr>
          <w:rStyle w:val="FootnoteReference"/>
        </w:rPr>
        <w:footnoteRef/>
      </w:r>
      <w:r>
        <w:t xml:space="preserve"> </w:t>
      </w:r>
      <w:r w:rsidR="00A60169">
        <w:t>Ibid, p.</w:t>
      </w:r>
      <w:r>
        <w:t>118</w:t>
      </w:r>
    </w:p>
  </w:footnote>
  <w:footnote w:id="11">
    <w:p w14:paraId="2417DF4E" w14:textId="54FEA1D6" w:rsidR="00B030BB" w:rsidRPr="00A27E30" w:rsidRDefault="00B030BB">
      <w:pPr>
        <w:pStyle w:val="FootnoteText"/>
        <w:rPr>
          <w:lang w:val="en-GB"/>
        </w:rPr>
      </w:pPr>
      <w:r>
        <w:rPr>
          <w:rStyle w:val="FootnoteReference"/>
        </w:rPr>
        <w:footnoteRef/>
      </w:r>
      <w:r>
        <w:t xml:space="preserve"> </w:t>
      </w:r>
      <w:proofErr w:type="gramStart"/>
      <w:r w:rsidR="00A60169">
        <w:t>Ibid</w:t>
      </w:r>
      <w:r w:rsidR="00A60169">
        <w:t xml:space="preserve"> ,</w:t>
      </w:r>
      <w:proofErr w:type="gramEnd"/>
      <w:r w:rsidR="00A60169">
        <w:t xml:space="preserve"> p.</w:t>
      </w:r>
      <w:r>
        <w:t>119</w:t>
      </w:r>
    </w:p>
  </w:footnote>
  <w:footnote w:id="12">
    <w:p w14:paraId="49FCAD8C" w14:textId="4100B6AD" w:rsidR="00B030BB" w:rsidRPr="00A27E30" w:rsidRDefault="00B030BB">
      <w:pPr>
        <w:pStyle w:val="FootnoteText"/>
        <w:rPr>
          <w:lang w:val="en-GB"/>
        </w:rPr>
      </w:pPr>
      <w:r>
        <w:rPr>
          <w:rStyle w:val="FootnoteReference"/>
        </w:rPr>
        <w:footnoteRef/>
      </w:r>
      <w:r>
        <w:t xml:space="preserve"> </w:t>
      </w:r>
      <w:r w:rsidR="00A60169">
        <w:t>Ibid</w:t>
      </w:r>
      <w:r w:rsidR="00A60169">
        <w:t>, p.</w:t>
      </w:r>
      <w:r>
        <w:t>118</w:t>
      </w:r>
    </w:p>
  </w:footnote>
  <w:footnote w:id="13">
    <w:p w14:paraId="2756721D" w14:textId="688BF393" w:rsidR="00B030BB" w:rsidRPr="005C6F4C" w:rsidRDefault="00B030BB" w:rsidP="00717185">
      <w:pPr>
        <w:pStyle w:val="FootnoteText"/>
        <w:rPr>
          <w:lang w:val="en-GB"/>
        </w:rPr>
      </w:pPr>
      <w:r>
        <w:rPr>
          <w:rStyle w:val="FootnoteReference"/>
        </w:rPr>
        <w:footnoteRef/>
      </w:r>
      <w:r>
        <w:t xml:space="preserve"> </w:t>
      </w:r>
      <w:r w:rsidR="00A60169">
        <w:t>Nozick, Anarchy, State and Utopia, p</w:t>
      </w:r>
      <w:r w:rsidR="00A60169">
        <w:rPr>
          <w:lang w:val="en-GB"/>
        </w:rPr>
        <w:t>.</w:t>
      </w:r>
      <w:r>
        <w:rPr>
          <w:lang w:val="en-GB"/>
        </w:rPr>
        <w:t>94</w:t>
      </w:r>
    </w:p>
  </w:footnote>
  <w:footnote w:id="14">
    <w:p w14:paraId="60B01274" w14:textId="4AF4460B" w:rsidR="00B030BB" w:rsidRPr="00A27E30" w:rsidRDefault="00B030BB" w:rsidP="00E171FB">
      <w:pPr>
        <w:pStyle w:val="FootnoteText"/>
        <w:rPr>
          <w:lang w:val="en-GB"/>
        </w:rPr>
      </w:pPr>
      <w:r>
        <w:rPr>
          <w:rStyle w:val="FootnoteReference"/>
        </w:rPr>
        <w:footnoteRef/>
      </w:r>
      <w:r>
        <w:t xml:space="preserve"> </w:t>
      </w:r>
      <w:r w:rsidR="00A60169">
        <w:rPr>
          <w:lang w:val="en-GB"/>
        </w:rPr>
        <w:t>Rawls, Legal Obligation and the Duty of Fair Play, in Rawls: Collected Papers, p.</w:t>
      </w:r>
      <w:r>
        <w:t>118</w:t>
      </w:r>
    </w:p>
  </w:footnote>
  <w:footnote w:id="15">
    <w:p w14:paraId="5DC0CC7F" w14:textId="13B035A9" w:rsidR="00B030BB" w:rsidRPr="00A27E30" w:rsidRDefault="00B030BB" w:rsidP="00E171FB">
      <w:pPr>
        <w:pStyle w:val="FootnoteText"/>
        <w:rPr>
          <w:lang w:val="en-GB"/>
        </w:rPr>
      </w:pPr>
      <w:r>
        <w:rPr>
          <w:rStyle w:val="FootnoteReference"/>
        </w:rPr>
        <w:footnoteRef/>
      </w:r>
      <w:r>
        <w:t xml:space="preserve"> </w:t>
      </w:r>
      <w:r w:rsidR="00A60169">
        <w:rPr>
          <w:lang w:val="en-GB"/>
        </w:rPr>
        <w:t>Rawls, Legal Obligation and the Duty of Fair Play, in Rawls: Collected Papers, p.</w:t>
      </w:r>
      <w:r>
        <w:t>118</w:t>
      </w:r>
    </w:p>
  </w:footnote>
  <w:footnote w:id="16">
    <w:p w14:paraId="70405766" w14:textId="6050F0FA" w:rsidR="00B030BB" w:rsidRPr="00DD4C3B" w:rsidRDefault="00B030BB" w:rsidP="00722EE6">
      <w:pPr>
        <w:pStyle w:val="FootnoteText"/>
        <w:rPr>
          <w:lang w:val="en-GB"/>
        </w:rPr>
      </w:pPr>
      <w:r>
        <w:rPr>
          <w:rStyle w:val="FootnoteReference"/>
        </w:rPr>
        <w:footnoteRef/>
      </w:r>
      <w:r>
        <w:t xml:space="preserve"> </w:t>
      </w:r>
      <w:r w:rsidR="00A60169">
        <w:t>Ibid, p.</w:t>
      </w:r>
      <w:r>
        <w:rPr>
          <w:lang w:val="en-GB"/>
        </w:rPr>
        <w:t>120</w:t>
      </w:r>
    </w:p>
  </w:footnote>
  <w:footnote w:id="17">
    <w:p w14:paraId="6F65E587" w14:textId="0E054D0F" w:rsidR="00B030BB" w:rsidRPr="00DD4C3B" w:rsidRDefault="00B030BB" w:rsidP="00722EE6">
      <w:pPr>
        <w:pStyle w:val="FootnoteText"/>
        <w:rPr>
          <w:lang w:val="en-GB"/>
        </w:rPr>
      </w:pPr>
      <w:r>
        <w:rPr>
          <w:rStyle w:val="FootnoteReference"/>
        </w:rPr>
        <w:footnoteRef/>
      </w:r>
      <w:r>
        <w:t xml:space="preserve"> </w:t>
      </w:r>
      <w:r w:rsidR="00A60169">
        <w:t>Ibid</w:t>
      </w:r>
    </w:p>
  </w:footnote>
  <w:footnote w:id="18">
    <w:p w14:paraId="33236773" w14:textId="279B7FD2" w:rsidR="00B030BB" w:rsidRPr="00DD4C3B" w:rsidRDefault="00B030BB" w:rsidP="00722EE6">
      <w:pPr>
        <w:pStyle w:val="FootnoteText"/>
        <w:rPr>
          <w:lang w:val="en-GB"/>
        </w:rPr>
      </w:pPr>
      <w:r>
        <w:rPr>
          <w:rStyle w:val="FootnoteReference"/>
        </w:rPr>
        <w:footnoteRef/>
      </w:r>
      <w:r>
        <w:t xml:space="preserve"> </w:t>
      </w:r>
      <w:r w:rsidR="00A60169">
        <w:t>Ibid</w:t>
      </w:r>
    </w:p>
  </w:footnote>
  <w:footnote w:id="19">
    <w:p w14:paraId="704486E8" w14:textId="4C3131D8" w:rsidR="00B030BB" w:rsidRPr="00DD4C3B" w:rsidRDefault="00B030BB" w:rsidP="00722EE6">
      <w:pPr>
        <w:pStyle w:val="FootnoteText"/>
        <w:rPr>
          <w:lang w:val="en-GB"/>
        </w:rPr>
      </w:pPr>
      <w:r>
        <w:rPr>
          <w:rStyle w:val="FootnoteReference"/>
        </w:rPr>
        <w:footnoteRef/>
      </w:r>
      <w:r>
        <w:t xml:space="preserve"> </w:t>
      </w:r>
      <w:r w:rsidR="00A60169">
        <w:t xml:space="preserve">Ibid, </w:t>
      </w:r>
      <w:r w:rsidR="00A60169">
        <w:t>p.</w:t>
      </w:r>
      <w:r>
        <w:rPr>
          <w:lang w:val="en-GB"/>
        </w:rPr>
        <w:t>122</w:t>
      </w:r>
    </w:p>
  </w:footnote>
  <w:footnote w:id="20">
    <w:p w14:paraId="62BC2D29" w14:textId="1F4FE26F" w:rsidR="00B030BB" w:rsidRPr="005224DC" w:rsidRDefault="00B030BB" w:rsidP="00DB712A">
      <w:pPr>
        <w:pStyle w:val="FootnoteText"/>
        <w:rPr>
          <w:lang w:val="en-GB"/>
        </w:rPr>
      </w:pPr>
      <w:r>
        <w:rPr>
          <w:rStyle w:val="FootnoteReference"/>
        </w:rPr>
        <w:footnoteRef/>
      </w:r>
      <w:r>
        <w:t xml:space="preserve"> </w:t>
      </w:r>
      <w:r w:rsidR="00A60169">
        <w:t>Nozick, Anarchy, State and Utopia, p</w:t>
      </w:r>
      <w:r w:rsidR="00A60169">
        <w:rPr>
          <w:lang w:val="en-GB"/>
        </w:rPr>
        <w:t>.</w:t>
      </w:r>
      <w:r>
        <w:rPr>
          <w:lang w:val="en-GB"/>
        </w:rPr>
        <w:t>90</w:t>
      </w:r>
    </w:p>
  </w:footnote>
  <w:footnote w:id="21">
    <w:p w14:paraId="4DFAEB11" w14:textId="118B6C89" w:rsidR="00B030BB" w:rsidRPr="000622AE" w:rsidRDefault="00B030BB" w:rsidP="00722EE6">
      <w:pPr>
        <w:pStyle w:val="FootnoteText"/>
        <w:rPr>
          <w:lang w:val="en-GB"/>
        </w:rPr>
      </w:pPr>
      <w:r>
        <w:rPr>
          <w:rStyle w:val="FootnoteReference"/>
        </w:rPr>
        <w:footnoteRef/>
      </w:r>
      <w:r>
        <w:t xml:space="preserve"> </w:t>
      </w:r>
      <w:r w:rsidR="00A60169">
        <w:rPr>
          <w:lang w:val="en-GB"/>
        </w:rPr>
        <w:t>Rawls, Legal Obligation and the Duty of Fair Play, in Rawls: Collected Papers, p</w:t>
      </w:r>
      <w:r w:rsidR="00A60169">
        <w:rPr>
          <w:lang w:val="en-GB"/>
        </w:rPr>
        <w:t>.</w:t>
      </w:r>
      <w:r>
        <w:rPr>
          <w:lang w:val="en-GB"/>
        </w:rPr>
        <w:t>125</w:t>
      </w:r>
    </w:p>
  </w:footnote>
  <w:footnote w:id="22">
    <w:p w14:paraId="6E79E44A" w14:textId="427E0707" w:rsidR="00B030BB" w:rsidRPr="0058134D" w:rsidRDefault="00B030BB" w:rsidP="00DB712A">
      <w:pPr>
        <w:pStyle w:val="FootnoteText"/>
        <w:rPr>
          <w:lang w:val="en-GB"/>
        </w:rPr>
      </w:pPr>
      <w:r>
        <w:rPr>
          <w:rStyle w:val="FootnoteReference"/>
        </w:rPr>
        <w:footnoteRef/>
      </w:r>
      <w:r>
        <w:t xml:space="preserve"> </w:t>
      </w:r>
      <w:r w:rsidR="00A60169">
        <w:t>Ibid, p.</w:t>
      </w:r>
      <w:r>
        <w:rPr>
          <w:lang w:val="en-GB"/>
        </w:rPr>
        <w:t>118</w:t>
      </w:r>
    </w:p>
  </w:footnote>
  <w:footnote w:id="23">
    <w:p w14:paraId="0BD18A9F" w14:textId="70F1D949" w:rsidR="00B030BB" w:rsidRPr="00612A30" w:rsidRDefault="00B030BB" w:rsidP="00722EE6">
      <w:pPr>
        <w:pStyle w:val="FootnoteText"/>
        <w:rPr>
          <w:lang w:val="en-GB"/>
        </w:rPr>
      </w:pPr>
      <w:r>
        <w:rPr>
          <w:rStyle w:val="FootnoteReference"/>
        </w:rPr>
        <w:footnoteRef/>
      </w:r>
      <w:r>
        <w:t xml:space="preserve"> </w:t>
      </w:r>
      <w:r w:rsidR="00A60169">
        <w:t>Ibid, p.</w:t>
      </w:r>
      <w:r>
        <w:t>122</w:t>
      </w:r>
    </w:p>
  </w:footnote>
  <w:footnote w:id="24">
    <w:p w14:paraId="4B69645C" w14:textId="3C6EB01E" w:rsidR="00B030BB" w:rsidRPr="00DF3CD8" w:rsidRDefault="00B030BB" w:rsidP="00F52492">
      <w:pPr>
        <w:pStyle w:val="FootnoteText"/>
        <w:rPr>
          <w:lang w:val="en-GB"/>
        </w:rPr>
      </w:pPr>
      <w:r>
        <w:rPr>
          <w:rStyle w:val="FootnoteReference"/>
        </w:rPr>
        <w:footnoteRef/>
      </w:r>
      <w:r>
        <w:t xml:space="preserve"> </w:t>
      </w:r>
      <w:r w:rsidR="00A60169">
        <w:t>Nozick, Anarchy, State and Utopia, p</w:t>
      </w:r>
      <w:r w:rsidR="00A60169">
        <w:rPr>
          <w:lang w:val="en-GB"/>
        </w:rPr>
        <w:t>.</w:t>
      </w:r>
      <w:r>
        <w:rPr>
          <w:lang w:val="en-GB"/>
        </w:rPr>
        <w:t>95</w:t>
      </w:r>
    </w:p>
  </w:footnote>
  <w:footnote w:id="25">
    <w:p w14:paraId="253C081F" w14:textId="1AF38A81" w:rsidR="00B030BB" w:rsidRPr="00DF3CD8" w:rsidRDefault="00B030BB" w:rsidP="00F52492">
      <w:pPr>
        <w:pStyle w:val="FootnoteText"/>
        <w:rPr>
          <w:lang w:val="en-GB"/>
        </w:rPr>
      </w:pPr>
      <w:r>
        <w:rPr>
          <w:rStyle w:val="FootnoteReference"/>
        </w:rPr>
        <w:footnoteRef/>
      </w:r>
      <w:r>
        <w:t xml:space="preserve"> </w:t>
      </w:r>
      <w:r w:rsidR="00A60169">
        <w:rPr>
          <w:lang w:val="en-GB"/>
        </w:rPr>
        <w:t>Ibid</w:t>
      </w:r>
    </w:p>
  </w:footnote>
  <w:footnote w:id="26">
    <w:p w14:paraId="0B1059EB" w14:textId="2F82990F" w:rsidR="00B030BB" w:rsidRPr="0052656A" w:rsidRDefault="00B030BB" w:rsidP="00F52492">
      <w:pPr>
        <w:pStyle w:val="FootnoteText"/>
        <w:rPr>
          <w:lang w:val="en-GB"/>
        </w:rPr>
      </w:pPr>
      <w:r>
        <w:rPr>
          <w:rStyle w:val="FootnoteReference"/>
        </w:rPr>
        <w:footnoteRef/>
      </w:r>
      <w:r>
        <w:t xml:space="preserve"> </w:t>
      </w:r>
      <w:r w:rsidR="00A60169">
        <w:rPr>
          <w:lang w:val="en-GB"/>
        </w:rPr>
        <w:t>Ibid</w:t>
      </w:r>
    </w:p>
  </w:footnote>
  <w:footnote w:id="27">
    <w:p w14:paraId="3FD0E588" w14:textId="06C94995" w:rsidR="00B030BB" w:rsidRPr="00DF6933" w:rsidRDefault="00B030BB" w:rsidP="00F52492">
      <w:pPr>
        <w:pStyle w:val="FootnoteText"/>
        <w:rPr>
          <w:lang w:val="en-GB"/>
        </w:rPr>
      </w:pPr>
      <w:r>
        <w:rPr>
          <w:rStyle w:val="FootnoteReference"/>
        </w:rPr>
        <w:footnoteRef/>
      </w:r>
      <w:r>
        <w:t xml:space="preserve"> </w:t>
      </w:r>
      <w:r w:rsidR="00A60169">
        <w:t>Ibid, p.</w:t>
      </w:r>
      <w:r>
        <w:rPr>
          <w:lang w:val="en-GB"/>
        </w:rPr>
        <w:t>90</w:t>
      </w:r>
    </w:p>
  </w:footnote>
  <w:footnote w:id="28">
    <w:p w14:paraId="5966FA20" w14:textId="4C1D3CFA" w:rsidR="00B030BB" w:rsidRPr="00DF6933" w:rsidRDefault="00B030BB" w:rsidP="003A5B82">
      <w:pPr>
        <w:pStyle w:val="FootnoteText"/>
        <w:rPr>
          <w:lang w:val="en-GB"/>
        </w:rPr>
      </w:pPr>
      <w:r>
        <w:rPr>
          <w:rStyle w:val="FootnoteReference"/>
        </w:rPr>
        <w:footnoteRef/>
      </w:r>
      <w:r>
        <w:t xml:space="preserve"> </w:t>
      </w:r>
      <w:r w:rsidR="00A60169">
        <w:t>ibid</w:t>
      </w:r>
    </w:p>
  </w:footnote>
  <w:footnote w:id="29">
    <w:p w14:paraId="21C9E7FB" w14:textId="063B5148" w:rsidR="00B030BB" w:rsidRPr="004F1561" w:rsidRDefault="00B030BB" w:rsidP="00DB712A">
      <w:pPr>
        <w:pStyle w:val="FootnoteText"/>
        <w:rPr>
          <w:lang w:val="en-GB"/>
        </w:rPr>
      </w:pPr>
      <w:r>
        <w:rPr>
          <w:rStyle w:val="FootnoteReference"/>
        </w:rPr>
        <w:footnoteRef/>
      </w:r>
      <w:r>
        <w:t xml:space="preserve"> </w:t>
      </w:r>
      <w:r w:rsidR="00923EDD">
        <w:rPr>
          <w:lang w:val="en-GB"/>
        </w:rPr>
        <w:t>Rawls, Legal Obligation and the Duty of Fair Play, in Rawls: Collected Papers, p.</w:t>
      </w:r>
      <w:r>
        <w:t>122</w:t>
      </w:r>
    </w:p>
  </w:footnote>
  <w:footnote w:id="30">
    <w:p w14:paraId="59D53FEE" w14:textId="19D27100" w:rsidR="00B030BB" w:rsidRPr="0071579D" w:rsidRDefault="00B030BB" w:rsidP="00DB712A">
      <w:pPr>
        <w:pStyle w:val="FootnoteText"/>
        <w:rPr>
          <w:lang w:val="en-GB"/>
        </w:rPr>
      </w:pPr>
      <w:r>
        <w:rPr>
          <w:rStyle w:val="FootnoteReference"/>
        </w:rPr>
        <w:footnoteRef/>
      </w:r>
      <w:r>
        <w:t xml:space="preserve"> </w:t>
      </w:r>
      <w:r w:rsidR="00923EDD">
        <w:t>Ibid, p.</w:t>
      </w:r>
      <w:r>
        <w:rPr>
          <w:lang w:val="en-GB"/>
        </w:rPr>
        <w:t>125</w:t>
      </w:r>
    </w:p>
  </w:footnote>
  <w:footnote w:id="31">
    <w:p w14:paraId="65026CB1" w14:textId="37889D49" w:rsidR="00B030BB" w:rsidRPr="0071579D" w:rsidRDefault="00B030BB" w:rsidP="00DB712A">
      <w:pPr>
        <w:pStyle w:val="FootnoteText"/>
        <w:rPr>
          <w:lang w:val="en-GB"/>
        </w:rPr>
      </w:pPr>
      <w:r>
        <w:rPr>
          <w:rStyle w:val="FootnoteReference"/>
        </w:rPr>
        <w:footnoteRef/>
      </w:r>
      <w:r>
        <w:t xml:space="preserve"> </w:t>
      </w:r>
      <w:r w:rsidR="00923EDD">
        <w:rPr>
          <w:lang w:val="en-GB"/>
        </w:rPr>
        <w:t>Rawls, Legal Obligation and the Duty of Fair Play, in Rawls: Collected Papers, p</w:t>
      </w:r>
      <w:r w:rsidR="00923EDD">
        <w:rPr>
          <w:lang w:val="en-GB"/>
        </w:rPr>
        <w:t>.</w:t>
      </w:r>
      <w:r>
        <w:rPr>
          <w:lang w:val="en-GB"/>
        </w:rPr>
        <w:t>122</w:t>
      </w:r>
    </w:p>
  </w:footnote>
  <w:footnote w:id="32">
    <w:p w14:paraId="456B13D5" w14:textId="5F32F1C4" w:rsidR="00B030BB" w:rsidRPr="006705E3" w:rsidRDefault="00B030BB">
      <w:pPr>
        <w:pStyle w:val="FootnoteText"/>
        <w:rPr>
          <w:lang w:val="en-GB"/>
        </w:rPr>
      </w:pPr>
      <w:r>
        <w:rPr>
          <w:rStyle w:val="FootnoteReference"/>
        </w:rPr>
        <w:footnoteRef/>
      </w:r>
      <w:r>
        <w:t xml:space="preserve"> </w:t>
      </w:r>
      <w:r w:rsidR="00923EDD">
        <w:t>Ibid</w:t>
      </w:r>
    </w:p>
  </w:footnote>
  <w:footnote w:id="33">
    <w:p w14:paraId="521806B0" w14:textId="427CB76D" w:rsidR="00B030BB" w:rsidRPr="004C2803" w:rsidRDefault="00B030BB">
      <w:pPr>
        <w:pStyle w:val="FootnoteText"/>
        <w:rPr>
          <w:lang w:val="en-GB"/>
        </w:rPr>
      </w:pPr>
      <w:r>
        <w:rPr>
          <w:rStyle w:val="FootnoteReference"/>
        </w:rPr>
        <w:footnoteRef/>
      </w:r>
      <w:r>
        <w:t xml:space="preserve"> Nozick, </w:t>
      </w:r>
      <w:r w:rsidR="00923EDD">
        <w:t>Nozick, Anarchy, State and Utopia, p</w:t>
      </w:r>
      <w:r w:rsidR="00923EDD">
        <w:rPr>
          <w:lang w:val="en-GB"/>
        </w:rPr>
        <w:t>.</w:t>
      </w:r>
      <w:r>
        <w:rPr>
          <w:lang w:val="en-GB"/>
        </w:rPr>
        <w:t>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28BE9" w14:textId="6B7DBEB4" w:rsidR="00B030BB" w:rsidRPr="00EB304F" w:rsidRDefault="00B030BB" w:rsidP="00EB304F">
    <w:pPr>
      <w:spacing w:after="0"/>
      <w:rPr>
        <w:rFonts w:ascii="Bookman Old Style" w:hAnsi="Bookman Old Style" w:cs="Times New Roman"/>
        <w:sz w:val="20"/>
        <w:szCs w:val="20"/>
        <w:lang w:val="en-GB"/>
      </w:rPr>
    </w:pPr>
    <w:r w:rsidRPr="00EB304F">
      <w:rPr>
        <w:rFonts w:ascii="Bookman Old Style" w:hAnsi="Bookman Old Style" w:cs="Times New Roman"/>
        <w:sz w:val="20"/>
        <w:szCs w:val="20"/>
        <w:lang w:val="en-GB"/>
      </w:rPr>
      <w:t>Monika Kazana</w:t>
    </w:r>
  </w:p>
  <w:p w14:paraId="52AE6BCB" w14:textId="77777777" w:rsidR="00B030BB" w:rsidRPr="00EB304F" w:rsidRDefault="00B030BB" w:rsidP="00EB304F">
    <w:pPr>
      <w:spacing w:after="0"/>
      <w:rPr>
        <w:rFonts w:ascii="Bookman Old Style" w:hAnsi="Bookman Old Style" w:cs="Times New Roman"/>
        <w:sz w:val="20"/>
        <w:szCs w:val="20"/>
        <w:lang w:val="en-GB"/>
      </w:rPr>
    </w:pPr>
    <w:r w:rsidRPr="00EB304F">
      <w:rPr>
        <w:rFonts w:ascii="Bookman Old Style" w:hAnsi="Bookman Old Style" w:cs="Times New Roman"/>
        <w:sz w:val="20"/>
        <w:szCs w:val="20"/>
        <w:lang w:val="en-GB"/>
      </w:rPr>
      <w:t>ID:1602523</w:t>
    </w:r>
  </w:p>
  <w:p w14:paraId="086A3838" w14:textId="77777777" w:rsidR="00B030BB" w:rsidRPr="00EB304F" w:rsidRDefault="00B030BB" w:rsidP="00EB304F">
    <w:pPr>
      <w:spacing w:after="0"/>
      <w:rPr>
        <w:rFonts w:ascii="Bookman Old Style" w:hAnsi="Bookman Old Style" w:cs="Times New Roman"/>
        <w:sz w:val="20"/>
        <w:szCs w:val="20"/>
        <w:lang w:val="en-GB"/>
      </w:rPr>
    </w:pPr>
    <w:r w:rsidRPr="00EB304F">
      <w:rPr>
        <w:rFonts w:ascii="Bookman Old Style" w:hAnsi="Bookman Old Style" w:cs="Times New Roman"/>
        <w:sz w:val="20"/>
        <w:szCs w:val="20"/>
        <w:lang w:val="en-GB"/>
      </w:rPr>
      <w:t>CSPH7037</w:t>
    </w:r>
  </w:p>
  <w:p w14:paraId="6DFB7E47" w14:textId="64D2F9A3" w:rsidR="00B030BB" w:rsidRPr="00EB304F" w:rsidRDefault="00B030BB" w:rsidP="00EB304F">
    <w:pPr>
      <w:spacing w:after="0"/>
      <w:rPr>
        <w:rFonts w:ascii="Bookman Old Style" w:hAnsi="Bookman Old Style" w:cs="Times New Roman"/>
        <w:sz w:val="20"/>
        <w:szCs w:val="20"/>
        <w:lang w:val="en-GB"/>
      </w:rPr>
    </w:pPr>
    <w:r w:rsidRPr="00EB304F">
      <w:rPr>
        <w:rFonts w:ascii="Bookman Old Style" w:hAnsi="Bookman Old Style" w:cs="Times New Roman"/>
        <w:sz w:val="20"/>
        <w:szCs w:val="20"/>
        <w:lang w:val="en-GB"/>
      </w:rPr>
      <w:t>Assignment 2</w:t>
    </w:r>
  </w:p>
  <w:p w14:paraId="0AE67335" w14:textId="048B3505" w:rsidR="00B030BB" w:rsidRDefault="00B030BB">
    <w:pPr>
      <w:pStyle w:val="Header"/>
    </w:pPr>
  </w:p>
  <w:p w14:paraId="32AA903A" w14:textId="77777777" w:rsidR="00B030BB" w:rsidRDefault="00B030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151C"/>
    <w:rsid w:val="000056C0"/>
    <w:rsid w:val="000079CE"/>
    <w:rsid w:val="000622AE"/>
    <w:rsid w:val="00070A0B"/>
    <w:rsid w:val="00095D79"/>
    <w:rsid w:val="001673CE"/>
    <w:rsid w:val="001813C5"/>
    <w:rsid w:val="0019273F"/>
    <w:rsid w:val="001E2100"/>
    <w:rsid w:val="001E636F"/>
    <w:rsid w:val="00236DD9"/>
    <w:rsid w:val="00274CE2"/>
    <w:rsid w:val="00372310"/>
    <w:rsid w:val="003A5B82"/>
    <w:rsid w:val="003B2B8B"/>
    <w:rsid w:val="003E7FE8"/>
    <w:rsid w:val="00405D34"/>
    <w:rsid w:val="00426744"/>
    <w:rsid w:val="00426DF8"/>
    <w:rsid w:val="00463E8B"/>
    <w:rsid w:val="00492557"/>
    <w:rsid w:val="004C2803"/>
    <w:rsid w:val="004F1561"/>
    <w:rsid w:val="005224DC"/>
    <w:rsid w:val="0052656A"/>
    <w:rsid w:val="00567468"/>
    <w:rsid w:val="0058134D"/>
    <w:rsid w:val="005A50FC"/>
    <w:rsid w:val="005B7B87"/>
    <w:rsid w:val="005C6F4C"/>
    <w:rsid w:val="005D6396"/>
    <w:rsid w:val="00612A30"/>
    <w:rsid w:val="00647C1A"/>
    <w:rsid w:val="006705E3"/>
    <w:rsid w:val="006B6935"/>
    <w:rsid w:val="006D1914"/>
    <w:rsid w:val="006D63EA"/>
    <w:rsid w:val="006F1A2E"/>
    <w:rsid w:val="0071579D"/>
    <w:rsid w:val="00717185"/>
    <w:rsid w:val="00720587"/>
    <w:rsid w:val="00722EE6"/>
    <w:rsid w:val="007D3165"/>
    <w:rsid w:val="007E34AB"/>
    <w:rsid w:val="008440A3"/>
    <w:rsid w:val="00857DF0"/>
    <w:rsid w:val="008B6F19"/>
    <w:rsid w:val="008D151C"/>
    <w:rsid w:val="00923EDD"/>
    <w:rsid w:val="009259F9"/>
    <w:rsid w:val="00944874"/>
    <w:rsid w:val="00A27E30"/>
    <w:rsid w:val="00A60169"/>
    <w:rsid w:val="00B030BB"/>
    <w:rsid w:val="00B23139"/>
    <w:rsid w:val="00B30FC1"/>
    <w:rsid w:val="00B43C2E"/>
    <w:rsid w:val="00B474B4"/>
    <w:rsid w:val="00B67C55"/>
    <w:rsid w:val="00BA3768"/>
    <w:rsid w:val="00BC498D"/>
    <w:rsid w:val="00BD1755"/>
    <w:rsid w:val="00C235E3"/>
    <w:rsid w:val="00C43E1C"/>
    <w:rsid w:val="00C748D7"/>
    <w:rsid w:val="00CC129E"/>
    <w:rsid w:val="00D34B85"/>
    <w:rsid w:val="00D7656A"/>
    <w:rsid w:val="00DB2171"/>
    <w:rsid w:val="00DB712A"/>
    <w:rsid w:val="00DD4C3B"/>
    <w:rsid w:val="00DF3CD8"/>
    <w:rsid w:val="00DF6933"/>
    <w:rsid w:val="00E171FB"/>
    <w:rsid w:val="00E345A0"/>
    <w:rsid w:val="00E5752E"/>
    <w:rsid w:val="00E6492A"/>
    <w:rsid w:val="00E92D00"/>
    <w:rsid w:val="00EB304F"/>
    <w:rsid w:val="00EF6316"/>
    <w:rsid w:val="00F17E5F"/>
    <w:rsid w:val="00F52492"/>
    <w:rsid w:val="00F63C10"/>
    <w:rsid w:val="00F75C32"/>
    <w:rsid w:val="00FA0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6C451"/>
  <w15:docId w15:val="{BCC9D6FE-A884-4801-BC80-E0FD8F90D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15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0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04F"/>
  </w:style>
  <w:style w:type="paragraph" w:styleId="Footer">
    <w:name w:val="footer"/>
    <w:basedOn w:val="Normal"/>
    <w:link w:val="FooterChar"/>
    <w:uiPriority w:val="99"/>
    <w:unhideWhenUsed/>
    <w:rsid w:val="00EB30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04F"/>
  </w:style>
  <w:style w:type="paragraph" w:styleId="FootnoteText">
    <w:name w:val="footnote text"/>
    <w:basedOn w:val="Normal"/>
    <w:link w:val="FootnoteTextChar"/>
    <w:uiPriority w:val="99"/>
    <w:semiHidden/>
    <w:unhideWhenUsed/>
    <w:rsid w:val="009259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59F9"/>
    <w:rPr>
      <w:sz w:val="20"/>
      <w:szCs w:val="20"/>
    </w:rPr>
  </w:style>
  <w:style w:type="character" w:styleId="FootnoteReference">
    <w:name w:val="footnote reference"/>
    <w:basedOn w:val="DefaultParagraphFont"/>
    <w:uiPriority w:val="99"/>
    <w:semiHidden/>
    <w:unhideWhenUsed/>
    <w:rsid w:val="009259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58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43B76-CABF-4877-B789-4D3D8095F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8</Pages>
  <Words>2624</Words>
  <Characters>12937</Characters>
  <Application>Microsoft Office Word</Application>
  <DocSecurity>0</DocSecurity>
  <Lines>215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27</cp:revision>
  <dcterms:created xsi:type="dcterms:W3CDTF">2018-02-03T20:52:00Z</dcterms:created>
  <dcterms:modified xsi:type="dcterms:W3CDTF">2018-03-03T23:58:00Z</dcterms:modified>
</cp:coreProperties>
</file>