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BA Business Management Module:</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Accounting Fundamentals</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Module code: LCBB4001</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STUDENT NAME:</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GIANMARCO</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FORTE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Q1 Answer (a)</w:t>
      </w:r>
    </w:p>
    <w:tbl>
      <w:tblPr/>
      <w:tblGrid>
        <w:gridCol w:w="4230"/>
        <w:gridCol w:w="1470"/>
        <w:gridCol w:w="1620"/>
        <w:gridCol w:w="1695"/>
      </w:tblGrid>
      <w:tr>
        <w:trPr>
          <w:trHeight w:val="1" w:hRule="atLeast"/>
          <w:jc w:val="left"/>
        </w:trPr>
        <w:tc>
          <w:tcPr>
            <w:tcW w:w="423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Income statement 31</w:t>
            </w:r>
            <w:r>
              <w:rPr>
                <w:rFonts w:ascii="Calibri" w:hAnsi="Calibri" w:cs="Calibri" w:eastAsia="Calibri"/>
                <w:b/>
                <w:color w:val="auto"/>
                <w:spacing w:val="0"/>
                <w:position w:val="0"/>
                <w:sz w:val="22"/>
                <w:shd w:fill="auto" w:val="clear"/>
                <w:vertAlign w:val="superscript"/>
              </w:rPr>
              <w:t xml:space="preserve">st</w:t>
            </w:r>
            <w:r>
              <w:rPr>
                <w:rFonts w:ascii="Calibri" w:hAnsi="Calibri" w:cs="Calibri" w:eastAsia="Calibri"/>
                <w:b/>
                <w:color w:val="auto"/>
                <w:spacing w:val="0"/>
                <w:position w:val="0"/>
                <w:sz w:val="22"/>
                <w:shd w:fill="auto" w:val="clear"/>
              </w:rPr>
              <w:t xml:space="preserve"> dec 2021</w:t>
            </w:r>
          </w:p>
        </w:tc>
        <w:tc>
          <w:tcPr>
            <w:tcW w:w="147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1</w:t>
            </w:r>
          </w:p>
        </w:tc>
        <w:tc>
          <w:tcPr>
            <w:tcW w:w="162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2</w:t>
            </w:r>
          </w:p>
        </w:tc>
        <w:tc>
          <w:tcPr>
            <w:tcW w:w="169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3</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Details  </w:t>
            </w:r>
          </w:p>
        </w:tc>
        <w:tc>
          <w:tcPr>
            <w:tcW w:w="147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tc>
        <w:tc>
          <w:tcPr>
            <w:tcW w:w="162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p>
        </w:tc>
        <w:tc>
          <w:tcPr>
            <w:tcW w:w="169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Sales</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800980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Cost of sales</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-578,650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Gross Profit</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222,330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Sales Commission</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Administrative expenses</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30,000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interest expenses</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Directors' remuneration</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Distribution costs</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28000</w:t>
            </w: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70,000</w:t>
            </w: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-70000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Profit before tax</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152,330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Tax</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-100000</w:t>
            </w:r>
          </w:p>
        </w:tc>
      </w:tr>
      <w:tr>
        <w:trPr>
          <w:trHeight w:val="1" w:hRule="atLeast"/>
          <w:jc w:val="left"/>
        </w:trPr>
        <w:tc>
          <w:tcPr>
            <w:tcW w:w="42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profit</w:t>
            </w:r>
          </w:p>
        </w:tc>
        <w:tc>
          <w:tcPr>
            <w:tcW w:w="14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52,330</w:t>
            </w:r>
          </w:p>
        </w:tc>
      </w:tr>
    </w:tbl>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3105"/>
        <w:gridCol w:w="1005"/>
      </w:tblGrid>
      <w:tr>
        <w:trPr>
          <w:trHeight w:val="1" w:hRule="atLeast"/>
          <w:jc w:val="left"/>
        </w:trPr>
        <w:tc>
          <w:tcPr>
            <w:tcW w:w="310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 1</w:t>
            </w:r>
          </w:p>
        </w:tc>
        <w:tc>
          <w:tcPr>
            <w:tcW w:w="100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2</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Note 1</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Sales</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800000</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Unrecorded sale</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980</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sales</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800980</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Note 2</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90" w:hRule="auto"/>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Interest paid</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    2000</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Due</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    2000</w:t>
            </w:r>
          </w:p>
        </w:tc>
      </w:tr>
      <w:tr>
        <w:trPr>
          <w:trHeight w:val="1" w:hRule="atLeast"/>
          <w:jc w:val="left"/>
        </w:trPr>
        <w:tc>
          <w:tcPr>
            <w:tcW w:w="31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w:t>
            </w:r>
          </w:p>
        </w:tc>
        <w:tc>
          <w:tcPr>
            <w:tcW w:w="1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    4000</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3885"/>
        <w:gridCol w:w="15"/>
        <w:gridCol w:w="1680"/>
        <w:gridCol w:w="1620"/>
        <w:gridCol w:w="1815"/>
      </w:tblGrid>
      <w:tr>
        <w:trPr>
          <w:trHeight w:val="1" w:hRule="atLeast"/>
          <w:jc w:val="left"/>
        </w:trPr>
        <w:tc>
          <w:tcPr>
            <w:tcW w:w="388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Balance sheet</w:t>
            </w:r>
          </w:p>
        </w:tc>
        <w:tc>
          <w:tcPr>
            <w:tcW w:w="1695" w:type="dxa"/>
            <w:gridSpan w:val="2"/>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1</w:t>
            </w:r>
          </w:p>
        </w:tc>
        <w:tc>
          <w:tcPr>
            <w:tcW w:w="162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2</w:t>
            </w:r>
          </w:p>
        </w:tc>
        <w:tc>
          <w:tcPr>
            <w:tcW w:w="181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3</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Details</w:t>
            </w:r>
          </w:p>
        </w:tc>
        <w:tc>
          <w:tcPr>
            <w:tcW w:w="1695" w:type="dxa"/>
            <w:gridSpan w:val="2"/>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tc>
        <w:tc>
          <w:tcPr>
            <w:tcW w:w="162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tc>
        <w:tc>
          <w:tcPr>
            <w:tcW w:w="181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spacing w:val="0"/>
                <w:position w:val="0"/>
                <w:shd w:fill="auto" w:val="clear"/>
              </w:rPr>
            </w:pPr>
            <w:r>
              <w:rPr>
                <w:rFonts w:ascii="Arial" w:hAnsi="Arial" w:cs="Arial" w:eastAsia="Arial"/>
                <w:color w:val="202124"/>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Asset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Current asset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577,955</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Cash and Bank</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76,250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trade receivable</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171105</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Stock on 31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December 2021</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330600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Non-current asset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650000</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Plant and equipment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650000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Total assets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1,227,955</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Liabilities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Current liabilities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193625</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Due interest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Trade payable</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188625</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Due sales commission</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Non-current liabilities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100000</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 Debentures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100000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Equity</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834330</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202124"/>
                <w:spacing w:val="0"/>
                <w:position w:val="0"/>
                <w:sz w:val="22"/>
                <w:shd w:fill="auto" w:val="clear"/>
              </w:rPr>
              <w:t xml:space="preserve">£1 ordinary shares</w:t>
            </w:r>
            <w:r>
              <w:rPr>
                <w:rFonts w:ascii="Calibri" w:hAnsi="Calibri" w:cs="Calibri" w:eastAsia="Calibri"/>
                <w:color w:val="auto"/>
                <w:spacing w:val="0"/>
                <w:position w:val="0"/>
                <w:sz w:val="22"/>
                <w:shd w:fill="auto" w:val="clear"/>
              </w:rPr>
              <w:t xml:space="preserve">            </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500000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auto"/>
                <w:spacing w:val="0"/>
                <w:position w:val="0"/>
                <w:sz w:val="22"/>
                <w:shd w:fill="auto" w:val="clear"/>
              </w:rPr>
              <w:t xml:space="preserve">10% </w:t>
            </w:r>
            <w:r>
              <w:rPr>
                <w:rFonts w:ascii="Calibri" w:hAnsi="Calibri" w:cs="Calibri" w:eastAsia="Calibri"/>
                <w:color w:val="202124"/>
                <w:spacing w:val="0"/>
                <w:position w:val="0"/>
                <w:sz w:val="22"/>
                <w:shd w:fill="auto" w:val="clear"/>
              </w:rPr>
              <w:t xml:space="preserve">£1 preference shares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200000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Retained earnings 31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2021</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134330</w:t>
            </w: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Total liabilities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1,127,955</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Miscellaneous account</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100000</w:t>
            </w:r>
          </w:p>
        </w:tc>
      </w:tr>
      <w:tr>
        <w:trPr>
          <w:trHeight w:val="1" w:hRule="atLeast"/>
          <w:jc w:val="left"/>
        </w:trPr>
        <w:tc>
          <w:tcPr>
            <w:tcW w:w="38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Total liabilities</w:t>
            </w:r>
          </w:p>
        </w:tc>
        <w:tc>
          <w:tcPr>
            <w:tcW w:w="169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1,227,955</w:t>
            </w:r>
          </w:p>
        </w:tc>
      </w:tr>
      <w:tr>
        <w:trPr>
          <w:trHeight w:val="1" w:hRule="atLeast"/>
          <w:jc w:val="left"/>
        </w:trPr>
        <w:tc>
          <w:tcPr>
            <w:tcW w:w="3900" w:type="dxa"/>
            <w:gridSpan w:val="2"/>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1</w:t>
            </w:r>
          </w:p>
        </w:tc>
        <w:tc>
          <w:tcPr>
            <w:tcW w:w="3300" w:type="dxa"/>
            <w:gridSpan w:val="2"/>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2</w:t>
            </w:r>
          </w:p>
        </w:tc>
      </w:tr>
      <w:tr>
        <w:trPr>
          <w:trHeight w:val="300" w:hRule="auto"/>
          <w:jc w:val="left"/>
        </w:trPr>
        <w:tc>
          <w:tcPr>
            <w:tcW w:w="39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Note 1</w:t>
            </w:r>
          </w:p>
        </w:tc>
        <w:tc>
          <w:tcPr>
            <w:tcW w:w="33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9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Trade receivable</w:t>
            </w:r>
          </w:p>
        </w:tc>
        <w:tc>
          <w:tcPr>
            <w:tcW w:w="33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170125</w:t>
            </w:r>
          </w:p>
        </w:tc>
      </w:tr>
      <w:tr>
        <w:trPr>
          <w:trHeight w:val="1" w:hRule="atLeast"/>
          <w:jc w:val="left"/>
        </w:trPr>
        <w:tc>
          <w:tcPr>
            <w:tcW w:w="39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Due sales</w:t>
            </w:r>
          </w:p>
        </w:tc>
        <w:tc>
          <w:tcPr>
            <w:tcW w:w="33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980</w:t>
            </w:r>
          </w:p>
        </w:tc>
      </w:tr>
      <w:tr>
        <w:trPr>
          <w:trHeight w:val="1" w:hRule="atLeast"/>
          <w:jc w:val="left"/>
        </w:trPr>
        <w:tc>
          <w:tcPr>
            <w:tcW w:w="39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trade receivable</w:t>
            </w:r>
          </w:p>
        </w:tc>
        <w:tc>
          <w:tcPr>
            <w:tcW w:w="33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171105</w:t>
            </w:r>
          </w:p>
        </w:tc>
      </w:tr>
    </w:tbl>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3960"/>
        <w:gridCol w:w="3278"/>
      </w:tblGrid>
      <w:tr>
        <w:trPr>
          <w:trHeight w:val="1" w:hRule="atLeast"/>
          <w:jc w:val="left"/>
        </w:trPr>
        <w:tc>
          <w:tcPr>
            <w:tcW w:w="3960"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1</w:t>
            </w:r>
          </w:p>
        </w:tc>
        <w:tc>
          <w:tcPr>
            <w:tcW w:w="3278"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Column 2</w:t>
            </w: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Note 2</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Retained earnings 2021</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132000</w:t>
            </w: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profit</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52330</w:t>
            </w: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Ordinary dividend paid</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-20000</w:t>
            </w: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Ordinary dividend paid</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-30000</w:t>
            </w: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Net retained earnings</w:t>
            </w:r>
          </w:p>
        </w:tc>
        <w:tc>
          <w:tcPr>
            <w:tcW w:w="327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134330</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Q1 Answer (b)</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Why does the statement of financial position balance?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total assets of an entity must equal the sum of its liabilities and equity in order for the balance sheet to make sense. Financial support for an entity's assets may come from internal sources (such as share capital and profits) or from external credit (for example, bank loan, trade creditors, etc.). Since a company's total assets must equal the sum of its equity and liabilities, this means that a company's total assets must equal the amount of capital invested by its owners (i.e., in the form of share capital and earnings that have not been withdrawn) plus any borrowings. This means that the assets must always equal the total of the liabilities plus owner's equity, just like in the accounting calculation. When we consider that there are only three avenues for the business to acquire new assets, this makes sense. It may use both an existing asset and a new one (spend cash for something else). It may also borrow money to make a new buy (take out a mortgage to purchase a building). The owners' money may also be required for a purchase, to finish (sell stock to raise cash for an expansion). All three of these commercial activities adhere to the double entry accounting system and the accounting equation, where both sides of the equation are always entered.</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Q2 Answer (a)</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1) ROCE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8"/>
          <w:shd w:fill="auto" w:val="clear"/>
        </w:rPr>
        <w:t xml:space="preserve">(</w:t>
      </w:r>
      <w:r>
        <w:rPr>
          <w:rFonts w:ascii="Calibri" w:hAnsi="Calibri" w:cs="Calibri" w:eastAsia="Calibri"/>
          <w:b/>
          <w:color w:val="auto"/>
          <w:spacing w:val="0"/>
          <w:position w:val="0"/>
          <w:sz w:val="24"/>
          <w:shd w:fill="auto" w:val="clear"/>
        </w:rPr>
        <w:t xml:space="preserve">Operating profit/ Capital employed</w:t>
      </w:r>
      <w:r>
        <w:rPr>
          <w:rFonts w:ascii="Calibri" w:hAnsi="Calibri" w:cs="Calibri" w:eastAsia="Calibri"/>
          <w:b/>
          <w:color w:val="auto"/>
          <w:spacing w:val="0"/>
          <w:position w:val="0"/>
          <w:sz w:val="22"/>
          <w:shd w:fill="auto" w:val="clear"/>
        </w:rPr>
        <w:t xml:space="preserve">)</w:t>
      </w:r>
    </w:p>
    <w:p>
      <w:pPr>
        <w:spacing w:before="0" w:after="160" w:line="259"/>
        <w:ind w:right="0" w:left="0" w:firstLine="0"/>
        <w:jc w:val="left"/>
        <w:rPr>
          <w:rFonts w:ascii="Calibri" w:hAnsi="Calibri" w:cs="Calibri" w:eastAsia="Calibri"/>
          <w:b/>
          <w:color w:val="auto"/>
          <w:spacing w:val="0"/>
          <w:position w:val="0"/>
          <w:sz w:val="22"/>
          <w:shd w:fill="auto" w:val="clear"/>
        </w:rPr>
      </w:pPr>
    </w:p>
    <w:p>
      <w:pPr>
        <w:numPr>
          <w:ilvl w:val="0"/>
          <w:numId w:val="154"/>
        </w:numPr>
        <w:spacing w:before="0" w:after="160" w:line="259"/>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  </w:t>
      </w: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=805/(4137+3088)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auto" w:val="clear"/>
        </w:rPr>
        <w:t xml:space="preserve">=11.15%   </w: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numPr>
          <w:ilvl w:val="0"/>
          <w:numId w:val="156"/>
        </w:numPr>
        <w:spacing w:before="0" w:after="160" w:line="259"/>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    </w:t>
      </w: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=699/(4129+2912)</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=9.93%</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2) ROE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w:t>
      </w:r>
      <w:r>
        <w:rPr>
          <w:rFonts w:ascii="Calibri" w:hAnsi="Calibri" w:cs="Calibri" w:eastAsia="Calibri"/>
          <w:b/>
          <w:color w:val="auto"/>
          <w:spacing w:val="0"/>
          <w:position w:val="0"/>
          <w:sz w:val="24"/>
          <w:shd w:fill="auto" w:val="clear"/>
        </w:rPr>
        <w:t xml:space="preserve">Net income/shareholder’s Equity</w:t>
      </w:r>
      <w:r>
        <w:rPr>
          <w:rFonts w:ascii="Calibri" w:hAnsi="Calibri" w:cs="Calibri" w:eastAsia="Calibri"/>
          <w:b/>
          <w:color w:val="auto"/>
          <w:spacing w:val="0"/>
          <w:position w:val="0"/>
          <w:sz w:val="28"/>
          <w:shd w:fill="auto" w:val="clear"/>
        </w:rPr>
        <w:t xml:space="preserve">)</w:t>
      </w:r>
    </w:p>
    <w:p>
      <w:pPr>
        <w:numPr>
          <w:ilvl w:val="0"/>
          <w:numId w:val="158"/>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431/3088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=13.96%</w:t>
      </w:r>
    </w:p>
    <w:p>
      <w:pPr>
        <w:spacing w:before="0" w:after="160" w:line="259"/>
        <w:ind w:right="0" w:left="0" w:firstLine="0"/>
        <w:jc w:val="left"/>
        <w:rPr>
          <w:rFonts w:ascii="Calibri" w:hAnsi="Calibri" w:cs="Calibri" w:eastAsia="Calibri"/>
          <w:color w:val="auto"/>
          <w:spacing w:val="0"/>
          <w:position w:val="0"/>
          <w:sz w:val="24"/>
          <w:shd w:fill="auto" w:val="clear"/>
        </w:rPr>
      </w:pPr>
    </w:p>
    <w:p>
      <w:pPr>
        <w:numPr>
          <w:ilvl w:val="0"/>
          <w:numId w:val="160"/>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366/2912</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=12.57%</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3) Earnings per share </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(Net income-dividend payment)/Average outstanding share</w:t>
      </w:r>
    </w:p>
    <w:p>
      <w:pPr>
        <w:numPr>
          <w:ilvl w:val="0"/>
          <w:numId w:val="162"/>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(431-255)/300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=59%</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64"/>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(366-242)/300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=41.3%</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4) Net profit margin</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(Net profit/Revenue)</w:t>
      </w:r>
    </w:p>
    <w:p>
      <w:pPr>
        <w:numPr>
          <w:ilvl w:val="0"/>
          <w:numId w:val="166"/>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(431/6738)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=6.4%</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68"/>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(366/6441)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=5.68%</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5) Asset turnover</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(Net sales/average total asset)</w:t>
      </w:r>
    </w:p>
    <w:p>
      <w:pPr>
        <w:numPr>
          <w:ilvl w:val="0"/>
          <w:numId w:val="170"/>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(6738/9911.5)</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=0.68 times</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72"/>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(6441/9911.5)</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=0.65 times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6) Stock holding days</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(Inventory/Cost of sales) *365</w:t>
      </w:r>
    </w:p>
    <w:p>
      <w:pPr>
        <w:numPr>
          <w:ilvl w:val="0"/>
          <w:numId w:val="174"/>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(708/3235)</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=80 days</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76"/>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(649/3096)</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=76 days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7) Debtors' collection period</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(Receivables/sales) *365</w:t>
      </w:r>
    </w:p>
    <w:p>
      <w:pPr>
        <w:numPr>
          <w:ilvl w:val="0"/>
          <w:numId w:val="178"/>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(1249/6738)</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=68 days</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80"/>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(1287/6441)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=73 days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8) Current Ratio</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(Current asset/current liability)</w:t>
      </w:r>
    </w:p>
    <w:p>
      <w:pPr>
        <w:numPr>
          <w:ilvl w:val="0"/>
          <w:numId w:val="182"/>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(2303/2511)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=0.92</w:t>
      </w:r>
    </w:p>
    <w:p>
      <w:pPr>
        <w:spacing w:before="0" w:after="160" w:line="259"/>
        <w:ind w:right="0" w:left="0" w:firstLine="0"/>
        <w:jc w:val="left"/>
        <w:rPr>
          <w:rFonts w:ascii="Calibri" w:hAnsi="Calibri" w:cs="Calibri" w:eastAsia="Calibri"/>
          <w:color w:val="auto"/>
          <w:spacing w:val="0"/>
          <w:position w:val="0"/>
          <w:sz w:val="24"/>
          <w:shd w:fill="auto" w:val="clear"/>
        </w:rPr>
      </w:pPr>
    </w:p>
    <w:p>
      <w:pPr>
        <w:numPr>
          <w:ilvl w:val="0"/>
          <w:numId w:val="184"/>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(2355/3046)</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=0.77</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9) Gearing Ratio</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(Non current liabilities/ capital employed)</w:t>
      </w:r>
    </w:p>
    <w:p>
      <w:pPr>
        <w:numPr>
          <w:ilvl w:val="0"/>
          <w:numId w:val="186"/>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4137/ (3088+4137)</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=57%</w:t>
      </w:r>
    </w:p>
    <w:p>
      <w:pPr>
        <w:spacing w:before="0" w:after="160" w:line="259"/>
        <w:ind w:right="0" w:left="0" w:firstLine="0"/>
        <w:jc w:val="left"/>
        <w:rPr>
          <w:rFonts w:ascii="Calibri" w:hAnsi="Calibri" w:cs="Calibri" w:eastAsia="Calibri"/>
          <w:b/>
          <w:color w:val="auto"/>
          <w:spacing w:val="0"/>
          <w:position w:val="0"/>
          <w:sz w:val="24"/>
          <w:shd w:fill="auto" w:val="clear"/>
        </w:rPr>
      </w:pPr>
    </w:p>
    <w:p>
      <w:pPr>
        <w:numPr>
          <w:ilvl w:val="0"/>
          <w:numId w:val="188"/>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4129/ (2912+4129)</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=59%</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10) Interest cover</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EBIT (operating expense)/Interest expense</w:t>
      </w:r>
    </w:p>
    <w:p>
      <w:pPr>
        <w:numPr>
          <w:ilvl w:val="0"/>
          <w:numId w:val="190"/>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(805/226)</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=3.56</w:t>
      </w:r>
    </w:p>
    <w:p>
      <w:pPr>
        <w:spacing w:before="0" w:after="160" w:line="259"/>
        <w:ind w:right="0" w:left="0" w:firstLine="0"/>
        <w:jc w:val="left"/>
        <w:rPr>
          <w:rFonts w:ascii="Calibri" w:hAnsi="Calibri" w:cs="Calibri" w:eastAsia="Calibri"/>
          <w:color w:val="auto"/>
          <w:spacing w:val="0"/>
          <w:position w:val="0"/>
          <w:sz w:val="24"/>
          <w:shd w:fill="auto" w:val="clear"/>
        </w:rPr>
      </w:pPr>
    </w:p>
    <w:p>
      <w:pPr>
        <w:numPr>
          <w:ilvl w:val="0"/>
          <w:numId w:val="192"/>
        </w:numPr>
        <w:spacing w:before="0" w:after="160" w:line="259"/>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2020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(699/181)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=3.86</w:t>
      </w: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Q2 Answer (b)</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Sweet plc’s financial position has been delineated below:</w:t>
      </w:r>
    </w:p>
    <w:p>
      <w:pPr>
        <w:spacing w:before="0" w:after="160" w:line="259"/>
        <w:ind w:right="0" w:left="0" w:firstLine="0"/>
        <w:jc w:val="left"/>
        <w:rPr>
          <w:rFonts w:ascii="Calibri" w:hAnsi="Calibri" w:cs="Calibri" w:eastAsia="Calibri"/>
          <w:b/>
          <w:color w:val="auto"/>
          <w:spacing w:val="0"/>
          <w:position w:val="0"/>
          <w:sz w:val="24"/>
          <w:shd w:fill="auto" w:val="clear"/>
        </w:rPr>
      </w:pPr>
    </w:p>
    <w:tbl>
      <w:tblPr/>
      <w:tblGrid>
        <w:gridCol w:w="3005"/>
        <w:gridCol w:w="3202"/>
        <w:gridCol w:w="1394"/>
        <w:gridCol w:w="1534"/>
      </w:tblGrid>
      <w:tr>
        <w:trPr>
          <w:trHeight w:val="1" w:hRule="atLeast"/>
          <w:jc w:val="left"/>
        </w:trPr>
        <w:tc>
          <w:tcPr>
            <w:tcW w:w="3005"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32"/>
                <w:shd w:fill="auto" w:val="clear"/>
              </w:rPr>
              <w:t xml:space="preserve">RATIOS</w:t>
            </w:r>
          </w:p>
        </w:tc>
        <w:tc>
          <w:tcPr>
            <w:tcW w:w="3202"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32"/>
                <w:shd w:fill="auto" w:val="clear"/>
              </w:rPr>
              <w:t xml:space="preserve">STANDARD VALUE</w:t>
            </w:r>
          </w:p>
        </w:tc>
        <w:tc>
          <w:tcPr>
            <w:tcW w:w="1394"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32"/>
                <w:shd w:fill="auto" w:val="clear"/>
              </w:rPr>
              <w:t xml:space="preserve">2021</w:t>
            </w:r>
          </w:p>
        </w:tc>
        <w:tc>
          <w:tcPr>
            <w:tcW w:w="1534" w:type="dxa"/>
            <w:tcBorders>
              <w:top w:val="single" w:color="000000" w:sz="4"/>
              <w:left w:val="single" w:color="000000" w:sz="4"/>
              <w:bottom w:val="single" w:color="000000" w:sz="4"/>
              <w:right w:val="single" w:color="000000" w:sz="4"/>
            </w:tcBorders>
            <w:shd w:color="auto" w:fill="d0cece"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32"/>
                <w:shd w:fill="auto" w:val="clear"/>
              </w:rPr>
              <w:t xml:space="preserve">2020</w:t>
            </w:r>
          </w:p>
        </w:tc>
      </w:tr>
      <w:tr>
        <w:trPr>
          <w:trHeight w:val="603"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ROCE</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10% (but depends)</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11.15%</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9.93%</w:t>
            </w:r>
          </w:p>
        </w:tc>
      </w:tr>
      <w:tr>
        <w:trPr>
          <w:trHeight w:val="603"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ROE</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10%</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13.96%</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12.57%</w:t>
            </w:r>
          </w:p>
        </w:tc>
      </w:tr>
      <w:tr>
        <w:trPr>
          <w:trHeight w:val="621"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Earnings per share</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80% is the best but mostly it depends</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59%</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41.3%</w:t>
            </w:r>
          </w:p>
        </w:tc>
      </w:tr>
      <w:tr>
        <w:trPr>
          <w:trHeight w:val="603"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Net profit margin</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10%</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6.4%</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5.68%</w:t>
            </w:r>
          </w:p>
        </w:tc>
      </w:tr>
      <w:tr>
        <w:trPr>
          <w:trHeight w:val="638"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Asset turnover</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Greater than 1</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0.68</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0.65</w:t>
            </w:r>
          </w:p>
        </w:tc>
      </w:tr>
      <w:tr>
        <w:trPr>
          <w:trHeight w:val="586"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Stock holding days </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30-60 days (mostly depends)</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80 days</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76 days</w:t>
            </w:r>
          </w:p>
        </w:tc>
      </w:tr>
      <w:tr>
        <w:trPr>
          <w:trHeight w:val="500"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Debtors' collection period</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45 days</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68 days</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73 days</w:t>
            </w:r>
          </w:p>
        </w:tc>
      </w:tr>
      <w:tr>
        <w:trPr>
          <w:trHeight w:val="621"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Current ratio</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2</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0.92</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0.77</w:t>
            </w:r>
          </w:p>
        </w:tc>
      </w:tr>
      <w:tr>
        <w:trPr>
          <w:trHeight w:val="517"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Gearing ratio</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25%-50%</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57%</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59%</w:t>
            </w:r>
          </w:p>
        </w:tc>
      </w:tr>
      <w:tr>
        <w:trPr>
          <w:trHeight w:val="621" w:hRule="auto"/>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Interest cover</w:t>
            </w:r>
          </w:p>
        </w:tc>
        <w:tc>
          <w:tcPr>
            <w:tcW w:w="320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2</w:t>
            </w:r>
          </w:p>
        </w:tc>
        <w:tc>
          <w:tcPr>
            <w:tcW w:w="1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3.56</w:t>
            </w:r>
          </w:p>
        </w:tc>
        <w:tc>
          <w:tcPr>
            <w:tcW w:w="15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3.86</w:t>
            </w:r>
          </w:p>
        </w:tc>
      </w:tr>
    </w:tbl>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Q2 Answer (b)</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Based upon above ratios and figures given in the financial statements it can be concluded that company’s performance is being increased as compared to the past year. It shows the increasing trend as compared to the previous year. Return on Capital Employed and Return on Equity ratio has been improved since last year. Also, the net profit has also been increased in year 2021 (I.e., 431) as compared to net profit in year 2020 (I.e., 366).</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Further, earning per share is also in increasing trend. Due to such increasing trend, company is able to declare higher dividend (£ 255m) as compared to the previous year (£ 242m).</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It shows that the Sweets plc is growing entity. Its market price has also been increased in year 2021, in fact in 2021 was (£5.12), instead of the 2020 that was (£4.00).</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assets turnover ratio shows a little change in current year; however, it is an acceptable change.</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past, company used to cover its receivables in 73 days, but now it just takes 68 days approximately to cover receivables in cash. Although, it has been improved since last year, but company needs more improvement in collecting its receivables.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Current ratio also needs to improve more. Since it is improved as compared to year 2020, the entity needs more improved steps in such direction. The interest expense of the entity has been increased since past year. The gearing ratio is acceptable due to respective increase in equity of the entity, but interest coverage ratio has been declined, this is due to increased debt in the entity. In 2020 interest coverage ratio was (3.86), instead in 2021 was (3.56), and this presents a difficulty since a reduced interest coverage ratio equals a heavier debt load for the business and a higher risk of bankruptcy. A decreased interest coverage ratio indicates that there are less earnings available to cover interest costs, making the company particularly vulnerable to rising interest rates.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Overall, it can be concluded that the company's financial performance has been improved as compared to last year.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br/>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num w:numId="154">
    <w:abstractNumId w:val="114"/>
  </w:num>
  <w:num w:numId="156">
    <w:abstractNumId w:val="108"/>
  </w:num>
  <w:num w:numId="158">
    <w:abstractNumId w:val="102"/>
  </w:num>
  <w:num w:numId="160">
    <w:abstractNumId w:val="96"/>
  </w:num>
  <w:num w:numId="162">
    <w:abstractNumId w:val="90"/>
  </w:num>
  <w:num w:numId="164">
    <w:abstractNumId w:val="84"/>
  </w:num>
  <w:num w:numId="166">
    <w:abstractNumId w:val="78"/>
  </w:num>
  <w:num w:numId="168">
    <w:abstractNumId w:val="72"/>
  </w:num>
  <w:num w:numId="170">
    <w:abstractNumId w:val="66"/>
  </w:num>
  <w:num w:numId="172">
    <w:abstractNumId w:val="60"/>
  </w:num>
  <w:num w:numId="174">
    <w:abstractNumId w:val="54"/>
  </w:num>
  <w:num w:numId="176">
    <w:abstractNumId w:val="48"/>
  </w:num>
  <w:num w:numId="178">
    <w:abstractNumId w:val="42"/>
  </w:num>
  <w:num w:numId="180">
    <w:abstractNumId w:val="36"/>
  </w:num>
  <w:num w:numId="182">
    <w:abstractNumId w:val="30"/>
  </w:num>
  <w:num w:numId="184">
    <w:abstractNumId w:val="24"/>
  </w:num>
  <w:num w:numId="186">
    <w:abstractNumId w:val="18"/>
  </w:num>
  <w:num w:numId="188">
    <w:abstractNumId w:val="12"/>
  </w:num>
  <w:num w:numId="190">
    <w:abstractNumId w:val="6"/>
  </w:num>
  <w:num w:numId="19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