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26074255"/>
        <w:docPartObj>
          <w:docPartGallery w:val="Cover Pages"/>
          <w:docPartUnique/>
        </w:docPartObj>
      </w:sdtPr>
      <w:sdtEndPr>
        <w:rPr>
          <w:rFonts w:eastAsiaTheme="minorHAnsi"/>
          <w:lang w:val="en-GB"/>
        </w:rPr>
      </w:sdtEndPr>
      <w:sdtContent>
        <w:p w14:paraId="1B7A8A52" w14:textId="442BC6AA" w:rsidR="00277947" w:rsidRDefault="00277947">
          <w:pPr>
            <w:pStyle w:val="NoSpacing"/>
          </w:pPr>
          <w:r>
            <w:rPr>
              <w:noProof/>
            </w:rPr>
            <mc:AlternateContent>
              <mc:Choice Requires="wpg">
                <w:drawing>
                  <wp:anchor distT="0" distB="0" distL="114300" distR="114300" simplePos="0" relativeHeight="251659264" behindDoc="1" locked="0" layoutInCell="1" allowOverlap="1" wp14:anchorId="47191FB7" wp14:editId="29E2849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7-01T00:00:00Z">
                                      <w:dateFormat w:val="M/d/yyyy"/>
                                      <w:lid w:val="en-US"/>
                                      <w:storeMappedDataAs w:val="dateTime"/>
                                      <w:calendar w:val="gregorian"/>
                                    </w:date>
                                  </w:sdtPr>
                                  <w:sdtContent>
                                    <w:p w14:paraId="5E16290F" w14:textId="39768584" w:rsidR="00277947" w:rsidRDefault="00277947">
                                      <w:pPr>
                                        <w:pStyle w:val="NoSpacing"/>
                                        <w:jc w:val="right"/>
                                        <w:rPr>
                                          <w:color w:val="FFFFFF" w:themeColor="background1"/>
                                          <w:sz w:val="28"/>
                                          <w:szCs w:val="28"/>
                                        </w:rPr>
                                      </w:pPr>
                                      <w:r>
                                        <w:rPr>
                                          <w:color w:val="FFFFFF" w:themeColor="background1"/>
                                          <w:sz w:val="28"/>
                                          <w:szCs w:val="28"/>
                                        </w:rPr>
                                        <w:t>7/1/2022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191FB7"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7-01T00:00:00Z">
                                <w:dateFormat w:val="M/d/yyyy"/>
                                <w:lid w:val="en-US"/>
                                <w:storeMappedDataAs w:val="dateTime"/>
                                <w:calendar w:val="gregorian"/>
                              </w:date>
                            </w:sdtPr>
                            <w:sdtContent>
                              <w:p w14:paraId="5E16290F" w14:textId="39768584" w:rsidR="00277947" w:rsidRDefault="00277947">
                                <w:pPr>
                                  <w:pStyle w:val="NoSpacing"/>
                                  <w:jc w:val="right"/>
                                  <w:rPr>
                                    <w:color w:val="FFFFFF" w:themeColor="background1"/>
                                    <w:sz w:val="28"/>
                                    <w:szCs w:val="28"/>
                                  </w:rPr>
                                </w:pPr>
                                <w:r>
                                  <w:rPr>
                                    <w:color w:val="FFFFFF" w:themeColor="background1"/>
                                    <w:sz w:val="28"/>
                                    <w:szCs w:val="28"/>
                                  </w:rPr>
                                  <w:t>7/1/2022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205C89B" wp14:editId="62EDD92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6DE921" w14:textId="078DF4F5" w:rsidR="00277947" w:rsidRDefault="0027794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Mel Box (2003707)</w:t>
                                    </w:r>
                                  </w:sdtContent>
                                </w:sdt>
                              </w:p>
                              <w:p w14:paraId="13953663" w14:textId="25D82495" w:rsidR="00277947" w:rsidRDefault="00277947" w:rsidP="00277947">
                                <w:pPr>
                                  <w:pStyle w:val="NoSpacing"/>
                                  <w:spacing w:line="480" w:lineRule="auto"/>
                                  <w:rPr>
                                    <w:color w:val="595959" w:themeColor="text1" w:themeTint="A6"/>
                                    <w:sz w:val="20"/>
                                    <w:szCs w:val="20"/>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Pr="00277947">
                                      <w:rPr>
                                        <w:rFonts w:ascii="Arial" w:hAnsi="Arial" w:cs="Arial"/>
                                        <w:caps/>
                                        <w:color w:val="595959" w:themeColor="text1" w:themeTint="A6"/>
                                        <w:sz w:val="24"/>
                                        <w:szCs w:val="24"/>
                                      </w:rPr>
                                      <w:t>BMLW5007.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205C89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06DE921" w14:textId="078DF4F5" w:rsidR="00277947" w:rsidRDefault="0027794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Mel Box (2003707)</w:t>
                              </w:r>
                            </w:sdtContent>
                          </w:sdt>
                        </w:p>
                        <w:p w14:paraId="13953663" w14:textId="25D82495" w:rsidR="00277947" w:rsidRDefault="00277947" w:rsidP="00277947">
                          <w:pPr>
                            <w:pStyle w:val="NoSpacing"/>
                            <w:spacing w:line="480" w:lineRule="auto"/>
                            <w:rPr>
                              <w:color w:val="595959" w:themeColor="text1" w:themeTint="A6"/>
                              <w:sz w:val="20"/>
                              <w:szCs w:val="20"/>
                            </w:rPr>
                          </w:pPr>
                          <w:sdt>
                            <w:sdtPr>
                              <w:rPr>
                                <w:rFonts w:ascii="Arial" w:hAnsi="Arial" w:cs="Arial"/>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Pr="00277947">
                                <w:rPr>
                                  <w:rFonts w:ascii="Arial" w:hAnsi="Arial" w:cs="Arial"/>
                                  <w:caps/>
                                  <w:color w:val="595959" w:themeColor="text1" w:themeTint="A6"/>
                                  <w:sz w:val="24"/>
                                  <w:szCs w:val="24"/>
                                </w:rPr>
                                <w:t>BMLW5007.</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9B03D93" wp14:editId="5937282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18101C" w14:textId="4A21D75A" w:rsidR="00277947" w:rsidRDefault="0027794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Democratic Deficit.</w:t>
                                    </w:r>
                                  </w:sdtContent>
                                </w:sdt>
                              </w:p>
                              <w:p w14:paraId="5C2EEDC4" w14:textId="4C410196" w:rsidR="00277947" w:rsidRDefault="0027794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European Union Law.</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9B03D93"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5E18101C" w14:textId="4A21D75A" w:rsidR="00277947" w:rsidRDefault="0027794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Democratic Deficit.</w:t>
                              </w:r>
                            </w:sdtContent>
                          </w:sdt>
                        </w:p>
                        <w:p w14:paraId="5C2EEDC4" w14:textId="4C410196" w:rsidR="00277947" w:rsidRDefault="0027794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European Union Law.</w:t>
                              </w:r>
                            </w:sdtContent>
                          </w:sdt>
                        </w:p>
                      </w:txbxContent>
                    </v:textbox>
                    <w10:wrap anchorx="page" anchory="page"/>
                  </v:shape>
                </w:pict>
              </mc:Fallback>
            </mc:AlternateContent>
          </w:r>
        </w:p>
        <w:p w14:paraId="3902E017" w14:textId="340BAA98" w:rsidR="00277947" w:rsidRDefault="00277947">
          <w:r>
            <w:br w:type="page"/>
          </w:r>
        </w:p>
      </w:sdtContent>
    </w:sdt>
    <w:p w14:paraId="0D600234" w14:textId="4E1DFA20" w:rsidR="00277947" w:rsidRDefault="0060498A" w:rsidP="0060498A">
      <w:pPr>
        <w:spacing w:line="480" w:lineRule="auto"/>
        <w:rPr>
          <w:rFonts w:ascii="Arial" w:hAnsi="Arial" w:cs="Arial"/>
          <w:sz w:val="24"/>
          <w:szCs w:val="24"/>
        </w:rPr>
      </w:pPr>
      <w:r>
        <w:rPr>
          <w:rFonts w:ascii="Arial" w:hAnsi="Arial" w:cs="Arial"/>
          <w:sz w:val="24"/>
          <w:szCs w:val="24"/>
        </w:rPr>
        <w:lastRenderedPageBreak/>
        <w:t>The purpose in compiling this assignment is to try to be able to assess whether a democratic deficit exists within any of the institutions of the European Union.</w:t>
      </w:r>
    </w:p>
    <w:p w14:paraId="274A3941" w14:textId="7ABB5432" w:rsidR="0060498A" w:rsidRDefault="0060498A" w:rsidP="0060498A">
      <w:pPr>
        <w:spacing w:line="480" w:lineRule="auto"/>
        <w:rPr>
          <w:rFonts w:ascii="Arial" w:hAnsi="Arial" w:cs="Arial"/>
          <w:sz w:val="24"/>
          <w:szCs w:val="24"/>
        </w:rPr>
      </w:pPr>
      <w:r>
        <w:rPr>
          <w:rFonts w:ascii="Arial" w:hAnsi="Arial" w:cs="Arial"/>
          <w:sz w:val="24"/>
          <w:szCs w:val="24"/>
        </w:rPr>
        <w:t>The term democratic deficit is seen as a deficiency with a way to a political argument of works, which is set against a benchmark as to how this could work in theory. The use of the term is mostly used within the European Union (EU) institutions and their policy making. Only decisions which have fulfilled a certain procedure can be viewed as legitimate, this would be direct and indirect participation of the citizens which takes place through elections with of course scrutiny and the accountability of all its policy makers. (Oxford reference – 06/28/2022).</w:t>
      </w:r>
    </w:p>
    <w:p w14:paraId="7F9A03A3" w14:textId="71E03532" w:rsidR="0060498A" w:rsidRDefault="00A159BD" w:rsidP="0060498A">
      <w:pPr>
        <w:spacing w:line="480" w:lineRule="auto"/>
        <w:rPr>
          <w:rFonts w:ascii="Arial" w:hAnsi="Arial" w:cs="Arial"/>
          <w:sz w:val="24"/>
          <w:szCs w:val="24"/>
        </w:rPr>
      </w:pPr>
      <w:r>
        <w:rPr>
          <w:rFonts w:ascii="Arial" w:hAnsi="Arial" w:cs="Arial"/>
          <w:sz w:val="24"/>
          <w:szCs w:val="24"/>
        </w:rPr>
        <w:t>In the case of the union’s democratic deficit, this is known to be a lesser accountability of the institutions when it is compared to the governments of all the Member states. This goes on to be rather more of a political concept than a legal concept, but any traces of concern with any regards to the credentials of the unions can be found within the case law of the court of Justice, regarding the Van Gen den Loos (1963) case 26/62 ECR1.</w:t>
      </w:r>
    </w:p>
    <w:p w14:paraId="4165A764" w14:textId="3AB36901" w:rsidR="00A159BD" w:rsidRDefault="00A159BD" w:rsidP="0060498A">
      <w:pPr>
        <w:spacing w:line="480" w:lineRule="auto"/>
        <w:rPr>
          <w:rFonts w:ascii="Arial" w:hAnsi="Arial" w:cs="Arial"/>
          <w:sz w:val="24"/>
          <w:szCs w:val="24"/>
        </w:rPr>
      </w:pPr>
      <w:r>
        <w:rPr>
          <w:rFonts w:ascii="Arial" w:hAnsi="Arial" w:cs="Arial"/>
          <w:sz w:val="24"/>
          <w:szCs w:val="24"/>
        </w:rPr>
        <w:t>The phrase democratic deficit was first used in 1977 by the young European Federalists, within their manifesto. This was drafted by Richard Corbett in 1979 and referenced to the then European Economic Community (the forerunner of the European Union) by David Marquand. (By Richard 10/10/1977).</w:t>
      </w:r>
    </w:p>
    <w:p w14:paraId="0FD01F70" w14:textId="4845D24A" w:rsidR="00A159BD" w:rsidRDefault="00263BC6" w:rsidP="0060498A">
      <w:pPr>
        <w:spacing w:line="480" w:lineRule="auto"/>
        <w:rPr>
          <w:rFonts w:ascii="Arial" w:hAnsi="Arial" w:cs="Arial"/>
          <w:sz w:val="24"/>
          <w:szCs w:val="24"/>
        </w:rPr>
      </w:pPr>
      <w:r>
        <w:rPr>
          <w:rFonts w:ascii="Arial" w:hAnsi="Arial" w:cs="Arial"/>
          <w:sz w:val="24"/>
          <w:szCs w:val="24"/>
        </w:rPr>
        <w:t xml:space="preserve">A democratic deficit would also refer to a lack of accessibility to the ordinary person, lack of representation of the person </w:t>
      </w:r>
      <w:proofErr w:type="gramStart"/>
      <w:r>
        <w:rPr>
          <w:rFonts w:ascii="Arial" w:hAnsi="Arial" w:cs="Arial"/>
          <w:sz w:val="24"/>
          <w:szCs w:val="24"/>
        </w:rPr>
        <w:t>and also</w:t>
      </w:r>
      <w:proofErr w:type="gramEnd"/>
      <w:r>
        <w:rPr>
          <w:rFonts w:ascii="Arial" w:hAnsi="Arial" w:cs="Arial"/>
          <w:sz w:val="24"/>
          <w:szCs w:val="24"/>
        </w:rPr>
        <w:t xml:space="preserve"> lacking in accountability of the European institutions. This would only happen if the democratic institutions or the organisations </w:t>
      </w:r>
      <w:proofErr w:type="gramStart"/>
      <w:r>
        <w:rPr>
          <w:rFonts w:ascii="Arial" w:hAnsi="Arial" w:cs="Arial"/>
          <w:sz w:val="24"/>
          <w:szCs w:val="24"/>
        </w:rPr>
        <w:t>( in</w:t>
      </w:r>
      <w:proofErr w:type="gramEnd"/>
      <w:r>
        <w:rPr>
          <w:rFonts w:ascii="Arial" w:hAnsi="Arial" w:cs="Arial"/>
          <w:sz w:val="24"/>
          <w:szCs w:val="24"/>
        </w:rPr>
        <w:t xml:space="preserve"> other words government) fall short of fulfilling their duties of democracy in their practices where everything becomes widely discussed by </w:t>
      </w:r>
      <w:r>
        <w:rPr>
          <w:rFonts w:ascii="Arial" w:hAnsi="Arial" w:cs="Arial"/>
          <w:sz w:val="24"/>
          <w:szCs w:val="24"/>
        </w:rPr>
        <w:lastRenderedPageBreak/>
        <w:t xml:space="preserve">representatives and linked to parliamentary integrity. The case that was used to define the above was Van Gen den Loos 26/62 (1963). The judgements upon this case were greatly contributed to, not only in terms of a separate community to be built, but now a European union legal system. These would stand the </w:t>
      </w:r>
      <w:proofErr w:type="spellStart"/>
      <w:r>
        <w:rPr>
          <w:rFonts w:ascii="Arial" w:hAnsi="Arial" w:cs="Arial"/>
          <w:sz w:val="24"/>
          <w:szCs w:val="24"/>
        </w:rPr>
        <w:t>suprnational</w:t>
      </w:r>
      <w:proofErr w:type="spellEnd"/>
      <w:r>
        <w:rPr>
          <w:rFonts w:ascii="Arial" w:hAnsi="Arial" w:cs="Arial"/>
          <w:sz w:val="24"/>
          <w:szCs w:val="24"/>
        </w:rPr>
        <w:t xml:space="preserve"> status of the new European legal order and constitutionally of the communities. (Foster 2017).</w:t>
      </w:r>
    </w:p>
    <w:p w14:paraId="39A139F9" w14:textId="059C8835" w:rsidR="00263BC6" w:rsidRDefault="00263BC6" w:rsidP="0060498A">
      <w:pPr>
        <w:spacing w:line="480" w:lineRule="auto"/>
        <w:rPr>
          <w:rFonts w:ascii="Arial" w:hAnsi="Arial" w:cs="Arial"/>
          <w:sz w:val="24"/>
          <w:szCs w:val="24"/>
        </w:rPr>
      </w:pPr>
      <w:r>
        <w:rPr>
          <w:rFonts w:ascii="Arial" w:hAnsi="Arial" w:cs="Arial"/>
          <w:sz w:val="24"/>
          <w:szCs w:val="24"/>
        </w:rPr>
        <w:t xml:space="preserve">Article 10, of the TEU goes upon to state that the European union can be founded on any representative democracy, where as </w:t>
      </w:r>
      <w:r w:rsidR="00AE5A48">
        <w:rPr>
          <w:rFonts w:ascii="Arial" w:hAnsi="Arial" w:cs="Arial"/>
          <w:sz w:val="24"/>
          <w:szCs w:val="24"/>
        </w:rPr>
        <w:t xml:space="preserve">Article 11 of the TEU will provide for a </w:t>
      </w:r>
      <w:proofErr w:type="spellStart"/>
      <w:r w:rsidR="00AE5A48">
        <w:rPr>
          <w:rFonts w:ascii="Arial" w:hAnsi="Arial" w:cs="Arial"/>
          <w:sz w:val="24"/>
          <w:szCs w:val="24"/>
        </w:rPr>
        <w:t>participary</w:t>
      </w:r>
      <w:proofErr w:type="spellEnd"/>
      <w:r w:rsidR="00AE5A48">
        <w:rPr>
          <w:rFonts w:ascii="Arial" w:hAnsi="Arial" w:cs="Arial"/>
          <w:sz w:val="24"/>
          <w:szCs w:val="24"/>
        </w:rPr>
        <w:t xml:space="preserve"> democracy. Article 10 is when Member states are required with the good faith clause.  This cause takes all measures to try and fulfil </w:t>
      </w:r>
      <w:proofErr w:type="gramStart"/>
      <w:r w:rsidR="00AE5A48">
        <w:rPr>
          <w:rFonts w:ascii="Arial" w:hAnsi="Arial" w:cs="Arial"/>
          <w:sz w:val="24"/>
          <w:szCs w:val="24"/>
        </w:rPr>
        <w:t>all of</w:t>
      </w:r>
      <w:proofErr w:type="gramEnd"/>
      <w:r w:rsidR="00AE5A48">
        <w:rPr>
          <w:rFonts w:ascii="Arial" w:hAnsi="Arial" w:cs="Arial"/>
          <w:sz w:val="24"/>
          <w:szCs w:val="24"/>
        </w:rPr>
        <w:t xml:space="preserve"> its obligations which rise under the treaties. Article 11, which was brought forward to the European Communities Treaty </w:t>
      </w:r>
      <w:proofErr w:type="gramStart"/>
      <w:r w:rsidR="00AE5A48">
        <w:rPr>
          <w:rFonts w:ascii="Arial" w:hAnsi="Arial" w:cs="Arial"/>
          <w:sz w:val="24"/>
          <w:szCs w:val="24"/>
        </w:rPr>
        <w:t>and also</w:t>
      </w:r>
      <w:proofErr w:type="gramEnd"/>
      <w:r w:rsidR="00AE5A48">
        <w:rPr>
          <w:rFonts w:ascii="Arial" w:hAnsi="Arial" w:cs="Arial"/>
          <w:sz w:val="24"/>
          <w:szCs w:val="24"/>
        </w:rPr>
        <w:t xml:space="preserve"> added into the TEU section, is now seen in Article 20 of the TEU</w:t>
      </w:r>
      <w:r w:rsidR="00375A9F">
        <w:rPr>
          <w:rFonts w:ascii="Arial" w:hAnsi="Arial" w:cs="Arial"/>
          <w:sz w:val="24"/>
          <w:szCs w:val="24"/>
        </w:rPr>
        <w:t xml:space="preserve">. Article 20 will allow for any of the Member states to integrate into other areas. This </w:t>
      </w:r>
      <w:proofErr w:type="gramStart"/>
      <w:r w:rsidR="00375A9F">
        <w:rPr>
          <w:rFonts w:ascii="Arial" w:hAnsi="Arial" w:cs="Arial"/>
          <w:sz w:val="24"/>
          <w:szCs w:val="24"/>
        </w:rPr>
        <w:t>actually helped</w:t>
      </w:r>
      <w:proofErr w:type="gramEnd"/>
      <w:r w:rsidR="00375A9F">
        <w:rPr>
          <w:rFonts w:ascii="Arial" w:hAnsi="Arial" w:cs="Arial"/>
          <w:sz w:val="24"/>
          <w:szCs w:val="24"/>
        </w:rPr>
        <w:t xml:space="preserve"> into the breaking up of the communities possible, and it too also allowed for the body of community law or Acquis Communautaire. This was to apply to </w:t>
      </w:r>
      <w:proofErr w:type="gramStart"/>
      <w:r w:rsidR="00375A9F">
        <w:rPr>
          <w:rFonts w:ascii="Arial" w:hAnsi="Arial" w:cs="Arial"/>
          <w:sz w:val="24"/>
          <w:szCs w:val="24"/>
        </w:rPr>
        <w:t>all of</w:t>
      </w:r>
      <w:proofErr w:type="gramEnd"/>
      <w:r w:rsidR="00375A9F">
        <w:rPr>
          <w:rFonts w:ascii="Arial" w:hAnsi="Arial" w:cs="Arial"/>
          <w:sz w:val="24"/>
          <w:szCs w:val="24"/>
        </w:rPr>
        <w:t xml:space="preserve"> the Member states in very much the same way and could also be undermined as to a different combination of any Member state, who went forward with choosing their own particular policies. (Barnard and Peers 2014).</w:t>
      </w:r>
    </w:p>
    <w:p w14:paraId="61221FE9" w14:textId="17F0D7CC" w:rsidR="002F6B66" w:rsidRDefault="002F6B66" w:rsidP="0060498A">
      <w:pPr>
        <w:spacing w:line="480" w:lineRule="auto"/>
        <w:rPr>
          <w:rFonts w:ascii="Arial" w:hAnsi="Arial" w:cs="Arial"/>
          <w:sz w:val="24"/>
          <w:szCs w:val="24"/>
        </w:rPr>
      </w:pPr>
      <w:r>
        <w:rPr>
          <w:rFonts w:ascii="Arial" w:hAnsi="Arial" w:cs="Arial"/>
          <w:sz w:val="24"/>
          <w:szCs w:val="24"/>
        </w:rPr>
        <w:t xml:space="preserve">The role of the commission within the European unions political system can obtain some very strong criticism. This is due to the great deal of power it owns, this power can be overstated </w:t>
      </w:r>
      <w:proofErr w:type="gramStart"/>
      <w:r>
        <w:rPr>
          <w:rFonts w:ascii="Arial" w:hAnsi="Arial" w:cs="Arial"/>
          <w:sz w:val="24"/>
          <w:szCs w:val="24"/>
        </w:rPr>
        <w:t>and also</w:t>
      </w:r>
      <w:proofErr w:type="gramEnd"/>
      <w:r>
        <w:rPr>
          <w:rFonts w:ascii="Arial" w:hAnsi="Arial" w:cs="Arial"/>
          <w:sz w:val="24"/>
          <w:szCs w:val="24"/>
        </w:rPr>
        <w:t xml:space="preserve"> misunderstood at times because so many are to believe that it is not democratically accountable. The commission plays a rather important part of the executive, and this can be seen through its responsibilities within the day – to – day administration of the European union, this would be applying European union law to </w:t>
      </w:r>
      <w:proofErr w:type="gramStart"/>
      <w:r>
        <w:rPr>
          <w:rFonts w:ascii="Arial" w:hAnsi="Arial" w:cs="Arial"/>
          <w:sz w:val="24"/>
          <w:szCs w:val="24"/>
        </w:rPr>
        <w:t>each and every</w:t>
      </w:r>
      <w:proofErr w:type="gramEnd"/>
      <w:r>
        <w:rPr>
          <w:rFonts w:ascii="Arial" w:hAnsi="Arial" w:cs="Arial"/>
          <w:sz w:val="24"/>
          <w:szCs w:val="24"/>
        </w:rPr>
        <w:t xml:space="preserve"> individual case. This should not be forgotten that nearly </w:t>
      </w:r>
      <w:proofErr w:type="gramStart"/>
      <w:r>
        <w:rPr>
          <w:rFonts w:ascii="Arial" w:hAnsi="Arial" w:cs="Arial"/>
          <w:sz w:val="24"/>
          <w:szCs w:val="24"/>
        </w:rPr>
        <w:lastRenderedPageBreak/>
        <w:t>all of</w:t>
      </w:r>
      <w:proofErr w:type="gramEnd"/>
      <w:r>
        <w:rPr>
          <w:rFonts w:ascii="Arial" w:hAnsi="Arial" w:cs="Arial"/>
          <w:sz w:val="24"/>
          <w:szCs w:val="24"/>
        </w:rPr>
        <w:t xml:space="preserve"> the European union law would be administrated by the Member states. (Barnard and Peers 2014).</w:t>
      </w:r>
    </w:p>
    <w:p w14:paraId="0D937365" w14:textId="1CB0F372" w:rsidR="002F6B66" w:rsidRDefault="002F6B66" w:rsidP="0060498A">
      <w:pPr>
        <w:spacing w:line="480" w:lineRule="auto"/>
        <w:rPr>
          <w:rFonts w:ascii="Arial" w:hAnsi="Arial" w:cs="Arial"/>
          <w:sz w:val="24"/>
          <w:szCs w:val="24"/>
        </w:rPr>
      </w:pPr>
      <w:r>
        <w:rPr>
          <w:rFonts w:ascii="Arial" w:hAnsi="Arial" w:cs="Arial"/>
          <w:sz w:val="24"/>
          <w:szCs w:val="24"/>
        </w:rPr>
        <w:t>Article 258</w:t>
      </w:r>
      <w:r w:rsidR="00377520">
        <w:rPr>
          <w:rFonts w:ascii="Arial" w:hAnsi="Arial" w:cs="Arial"/>
          <w:sz w:val="24"/>
          <w:szCs w:val="24"/>
        </w:rPr>
        <w:t xml:space="preserve"> of the TFEU (formally Article 226 EC) now includes a possibility for the commission to set out any penalties towards a member state under Article 258 TFEU. This would be where the case concerns that there has been a failure from a member state</w:t>
      </w:r>
      <w:r w:rsidR="00A42F48">
        <w:rPr>
          <w:rFonts w:ascii="Arial" w:hAnsi="Arial" w:cs="Arial"/>
          <w:sz w:val="24"/>
          <w:szCs w:val="24"/>
        </w:rPr>
        <w:t xml:space="preserve"> of implementing any legislation for new directives within a certain time frame. </w:t>
      </w:r>
      <w:proofErr w:type="gramStart"/>
      <w:r w:rsidR="00A42F48">
        <w:rPr>
          <w:rFonts w:ascii="Arial" w:hAnsi="Arial" w:cs="Arial"/>
          <w:sz w:val="24"/>
          <w:szCs w:val="24"/>
        </w:rPr>
        <w:t xml:space="preserve">( </w:t>
      </w:r>
      <w:proofErr w:type="spellStart"/>
      <w:r w:rsidR="00A42F48">
        <w:rPr>
          <w:rFonts w:ascii="Arial" w:hAnsi="Arial" w:cs="Arial"/>
          <w:sz w:val="24"/>
          <w:szCs w:val="24"/>
        </w:rPr>
        <w:t>Szyszczak</w:t>
      </w:r>
      <w:proofErr w:type="spellEnd"/>
      <w:proofErr w:type="gramEnd"/>
      <w:r w:rsidR="00A42F48">
        <w:rPr>
          <w:rFonts w:ascii="Arial" w:hAnsi="Arial" w:cs="Arial"/>
          <w:sz w:val="24"/>
          <w:szCs w:val="24"/>
        </w:rPr>
        <w:t xml:space="preserve"> and </w:t>
      </w:r>
      <w:proofErr w:type="spellStart"/>
      <w:r w:rsidR="00A42F48">
        <w:rPr>
          <w:rFonts w:ascii="Arial" w:hAnsi="Arial" w:cs="Arial"/>
          <w:sz w:val="24"/>
          <w:szCs w:val="24"/>
        </w:rPr>
        <w:t>Cygan</w:t>
      </w:r>
      <w:proofErr w:type="spellEnd"/>
      <w:r w:rsidR="00A42F48">
        <w:rPr>
          <w:rFonts w:ascii="Arial" w:hAnsi="Arial" w:cs="Arial"/>
          <w:sz w:val="24"/>
          <w:szCs w:val="24"/>
        </w:rPr>
        <w:t xml:space="preserve"> 2008).</w:t>
      </w:r>
    </w:p>
    <w:p w14:paraId="4B782698" w14:textId="3AF2D563" w:rsidR="00A42F48" w:rsidRDefault="00A42F48" w:rsidP="0060498A">
      <w:pPr>
        <w:spacing w:line="480" w:lineRule="auto"/>
        <w:rPr>
          <w:rFonts w:ascii="Arial" w:hAnsi="Arial" w:cs="Arial"/>
          <w:sz w:val="24"/>
          <w:szCs w:val="24"/>
        </w:rPr>
      </w:pPr>
      <w:r>
        <w:rPr>
          <w:rFonts w:ascii="Arial" w:hAnsi="Arial" w:cs="Arial"/>
          <w:sz w:val="24"/>
          <w:szCs w:val="24"/>
        </w:rPr>
        <w:t>The case that went on to implement the above would have been Francovich v Italy (1991) ECR 1 -5357.</w:t>
      </w:r>
      <w:r w:rsidR="00F95B29">
        <w:rPr>
          <w:rFonts w:ascii="Arial" w:hAnsi="Arial" w:cs="Arial"/>
          <w:sz w:val="24"/>
          <w:szCs w:val="24"/>
        </w:rPr>
        <w:t xml:space="preserve"> For this case, the Court of Justice would often refer to a concept of useful effect of European union law, this can be undermined if a certain provision is not interpreted in an expansive way. This is known to be more in line with any of the objectives of the treaty and not the words which are used. </w:t>
      </w:r>
      <w:proofErr w:type="gramStart"/>
      <w:r w:rsidR="00F95B29">
        <w:rPr>
          <w:rFonts w:ascii="Arial" w:hAnsi="Arial" w:cs="Arial"/>
          <w:sz w:val="24"/>
          <w:szCs w:val="24"/>
        </w:rPr>
        <w:t>So</w:t>
      </w:r>
      <w:proofErr w:type="gramEnd"/>
      <w:r w:rsidR="00F95B29">
        <w:rPr>
          <w:rFonts w:ascii="Arial" w:hAnsi="Arial" w:cs="Arial"/>
          <w:sz w:val="24"/>
          <w:szCs w:val="24"/>
        </w:rPr>
        <w:t xml:space="preserve"> the case of Francovich et al v Italy (C-6 and 9/90) would establish any liability on part of the member states which could never have been taken from a reading of the treaty or of a secondary law</w:t>
      </w:r>
      <w:r w:rsidR="00471A45">
        <w:rPr>
          <w:rFonts w:ascii="Arial" w:hAnsi="Arial" w:cs="Arial"/>
          <w:sz w:val="24"/>
          <w:szCs w:val="24"/>
        </w:rPr>
        <w:t xml:space="preserve">. These </w:t>
      </w:r>
      <w:proofErr w:type="gramStart"/>
      <w:r w:rsidR="00471A45">
        <w:rPr>
          <w:rFonts w:ascii="Arial" w:hAnsi="Arial" w:cs="Arial"/>
          <w:sz w:val="24"/>
          <w:szCs w:val="24"/>
        </w:rPr>
        <w:t>particular methods</w:t>
      </w:r>
      <w:proofErr w:type="gramEnd"/>
      <w:r w:rsidR="00471A45">
        <w:rPr>
          <w:rFonts w:ascii="Arial" w:hAnsi="Arial" w:cs="Arial"/>
          <w:sz w:val="24"/>
          <w:szCs w:val="24"/>
        </w:rPr>
        <w:t xml:space="preserve"> of interpretation used under European union methods can be applied alongside the usual array which are found in any member states legal systems. </w:t>
      </w:r>
    </w:p>
    <w:p w14:paraId="10F10006" w14:textId="02B16468" w:rsidR="00471A45" w:rsidRDefault="00471A45" w:rsidP="0060498A">
      <w:pPr>
        <w:spacing w:line="480" w:lineRule="auto"/>
        <w:rPr>
          <w:rFonts w:ascii="Arial" w:hAnsi="Arial" w:cs="Arial"/>
          <w:sz w:val="24"/>
          <w:szCs w:val="24"/>
        </w:rPr>
      </w:pPr>
      <w:r>
        <w:rPr>
          <w:rFonts w:ascii="Arial" w:hAnsi="Arial" w:cs="Arial"/>
          <w:sz w:val="24"/>
          <w:szCs w:val="24"/>
        </w:rPr>
        <w:t xml:space="preserve">Included are the literal, logical </w:t>
      </w:r>
      <w:proofErr w:type="gramStart"/>
      <w:r>
        <w:rPr>
          <w:rFonts w:ascii="Arial" w:hAnsi="Arial" w:cs="Arial"/>
          <w:sz w:val="24"/>
          <w:szCs w:val="24"/>
        </w:rPr>
        <w:t>and also</w:t>
      </w:r>
      <w:proofErr w:type="gramEnd"/>
      <w:r>
        <w:rPr>
          <w:rFonts w:ascii="Arial" w:hAnsi="Arial" w:cs="Arial"/>
          <w:sz w:val="24"/>
          <w:szCs w:val="24"/>
        </w:rPr>
        <w:t xml:space="preserve"> the purposive means of interpretation. Any strict use of these methods though, have now been rejected by the Court of Justice as being unsuitable within the context of the European union. (Foster 2017).</w:t>
      </w:r>
    </w:p>
    <w:p w14:paraId="6A658C8C" w14:textId="10D5687B" w:rsidR="00560BF9" w:rsidRDefault="00560BF9" w:rsidP="0060498A">
      <w:pPr>
        <w:spacing w:line="480" w:lineRule="auto"/>
        <w:rPr>
          <w:rFonts w:ascii="Arial" w:hAnsi="Arial" w:cs="Arial"/>
          <w:sz w:val="24"/>
          <w:szCs w:val="24"/>
        </w:rPr>
      </w:pPr>
      <w:r>
        <w:rPr>
          <w:rFonts w:ascii="Arial" w:hAnsi="Arial" w:cs="Arial"/>
          <w:sz w:val="24"/>
          <w:szCs w:val="24"/>
        </w:rPr>
        <w:t xml:space="preserve">More of the above can be seen in cases C – 46 &amp;48/93 Brasserie du </w:t>
      </w:r>
      <w:proofErr w:type="spellStart"/>
      <w:r>
        <w:rPr>
          <w:rFonts w:ascii="Arial" w:hAnsi="Arial" w:cs="Arial"/>
          <w:sz w:val="24"/>
          <w:szCs w:val="24"/>
        </w:rPr>
        <w:t>Pecheur</w:t>
      </w:r>
      <w:proofErr w:type="spellEnd"/>
      <w:r w:rsidR="00046964">
        <w:rPr>
          <w:rFonts w:ascii="Arial" w:hAnsi="Arial" w:cs="Arial"/>
          <w:sz w:val="24"/>
          <w:szCs w:val="24"/>
        </w:rPr>
        <w:t xml:space="preserve"> v Germany </w:t>
      </w:r>
      <w:proofErr w:type="gramStart"/>
      <w:r w:rsidR="00046964">
        <w:rPr>
          <w:rFonts w:ascii="Arial" w:hAnsi="Arial" w:cs="Arial"/>
          <w:sz w:val="24"/>
          <w:szCs w:val="24"/>
        </w:rPr>
        <w:t>and also</w:t>
      </w:r>
      <w:proofErr w:type="gramEnd"/>
      <w:r w:rsidR="00046964">
        <w:rPr>
          <w:rFonts w:ascii="Arial" w:hAnsi="Arial" w:cs="Arial"/>
          <w:sz w:val="24"/>
          <w:szCs w:val="24"/>
        </w:rPr>
        <w:t xml:space="preserve"> R v secretary of State for Transport, ex </w:t>
      </w:r>
      <w:proofErr w:type="spellStart"/>
      <w:r w:rsidR="00046964">
        <w:rPr>
          <w:rFonts w:ascii="Arial" w:hAnsi="Arial" w:cs="Arial"/>
          <w:sz w:val="24"/>
          <w:szCs w:val="24"/>
        </w:rPr>
        <w:t>Parte</w:t>
      </w:r>
      <w:proofErr w:type="spellEnd"/>
      <w:r w:rsidR="00046964">
        <w:rPr>
          <w:rFonts w:ascii="Arial" w:hAnsi="Arial" w:cs="Arial"/>
          <w:sz w:val="24"/>
          <w:szCs w:val="24"/>
        </w:rPr>
        <w:t xml:space="preserve"> </w:t>
      </w:r>
      <w:proofErr w:type="spellStart"/>
      <w:r w:rsidR="00046964">
        <w:rPr>
          <w:rFonts w:ascii="Arial" w:hAnsi="Arial" w:cs="Arial"/>
          <w:sz w:val="24"/>
          <w:szCs w:val="24"/>
        </w:rPr>
        <w:t>Factortome</w:t>
      </w:r>
      <w:proofErr w:type="spellEnd"/>
      <w:r w:rsidR="00046964">
        <w:rPr>
          <w:rFonts w:ascii="Arial" w:hAnsi="Arial" w:cs="Arial"/>
          <w:sz w:val="24"/>
          <w:szCs w:val="24"/>
        </w:rPr>
        <w:t xml:space="preserve"> (1996) ECR 1 – 1029). (Barnard and Peers 2014).</w:t>
      </w:r>
    </w:p>
    <w:p w14:paraId="5F5A6ADB" w14:textId="33EC140D" w:rsidR="00466D8C" w:rsidRDefault="00046964" w:rsidP="0060498A">
      <w:pPr>
        <w:spacing w:line="480" w:lineRule="auto"/>
        <w:rPr>
          <w:rFonts w:ascii="Arial" w:hAnsi="Arial" w:cs="Arial"/>
          <w:sz w:val="24"/>
          <w:szCs w:val="24"/>
        </w:rPr>
      </w:pPr>
      <w:r>
        <w:rPr>
          <w:rFonts w:ascii="Arial" w:hAnsi="Arial" w:cs="Arial"/>
          <w:sz w:val="24"/>
          <w:szCs w:val="24"/>
        </w:rPr>
        <w:lastRenderedPageBreak/>
        <w:t>The European commission would consist of twenty – seven commissioners, that is one from each of the member states. These commissioners do not represent</w:t>
      </w:r>
      <w:r w:rsidR="00466D8C">
        <w:rPr>
          <w:rFonts w:ascii="Arial" w:hAnsi="Arial" w:cs="Arial"/>
          <w:sz w:val="24"/>
          <w:szCs w:val="24"/>
        </w:rPr>
        <w:t xml:space="preserve"> their member state, they operate under a collective responsibility. Under the most recent treaty, the European parliament would have power to which they are entitled to appoint commissioners </w:t>
      </w:r>
      <w:proofErr w:type="gramStart"/>
      <w:r w:rsidR="00466D8C">
        <w:rPr>
          <w:rFonts w:ascii="Arial" w:hAnsi="Arial" w:cs="Arial"/>
          <w:sz w:val="24"/>
          <w:szCs w:val="24"/>
        </w:rPr>
        <w:t>and also</w:t>
      </w:r>
      <w:proofErr w:type="gramEnd"/>
      <w:r w:rsidR="00466D8C">
        <w:rPr>
          <w:rFonts w:ascii="Arial" w:hAnsi="Arial" w:cs="Arial"/>
          <w:sz w:val="24"/>
          <w:szCs w:val="24"/>
        </w:rPr>
        <w:t xml:space="preserve"> be liable to dismiss the whole of the commission. (</w:t>
      </w:r>
      <w:proofErr w:type="spellStart"/>
      <w:r w:rsidR="00466D8C">
        <w:rPr>
          <w:rFonts w:ascii="Arial" w:hAnsi="Arial" w:cs="Arial"/>
          <w:sz w:val="24"/>
          <w:szCs w:val="24"/>
        </w:rPr>
        <w:t>Szyszczak</w:t>
      </w:r>
      <w:proofErr w:type="spellEnd"/>
      <w:r w:rsidR="00466D8C">
        <w:rPr>
          <w:rFonts w:ascii="Arial" w:hAnsi="Arial" w:cs="Arial"/>
          <w:sz w:val="24"/>
          <w:szCs w:val="24"/>
        </w:rPr>
        <w:t xml:space="preserve"> and </w:t>
      </w:r>
      <w:proofErr w:type="spellStart"/>
      <w:r w:rsidR="00466D8C">
        <w:rPr>
          <w:rFonts w:ascii="Arial" w:hAnsi="Arial" w:cs="Arial"/>
          <w:sz w:val="24"/>
          <w:szCs w:val="24"/>
        </w:rPr>
        <w:t>Cygan</w:t>
      </w:r>
      <w:proofErr w:type="spellEnd"/>
      <w:r w:rsidR="00466D8C">
        <w:rPr>
          <w:rFonts w:ascii="Arial" w:hAnsi="Arial" w:cs="Arial"/>
          <w:sz w:val="24"/>
          <w:szCs w:val="24"/>
        </w:rPr>
        <w:t xml:space="preserve"> 2008). The commission does have its own decision-making powers. They go on to provide all the institutions with law – making powers that are needed by the commission and are found under Article 105 TEFU competition law policy. These regulations have regards to competition law, with a necessary element </w:t>
      </w:r>
      <w:proofErr w:type="gramStart"/>
      <w:r w:rsidR="00466D8C">
        <w:rPr>
          <w:rFonts w:ascii="Arial" w:hAnsi="Arial" w:cs="Arial"/>
          <w:sz w:val="24"/>
          <w:szCs w:val="24"/>
        </w:rPr>
        <w:t>and also</w:t>
      </w:r>
      <w:proofErr w:type="gramEnd"/>
      <w:r w:rsidR="00466D8C">
        <w:rPr>
          <w:rFonts w:ascii="Arial" w:hAnsi="Arial" w:cs="Arial"/>
          <w:sz w:val="24"/>
          <w:szCs w:val="24"/>
        </w:rPr>
        <w:t xml:space="preserve"> essential with the functioning and the building of the union and the community</w:t>
      </w:r>
      <w:r w:rsidR="00792753">
        <w:rPr>
          <w:rFonts w:ascii="Arial" w:hAnsi="Arial" w:cs="Arial"/>
          <w:sz w:val="24"/>
          <w:szCs w:val="24"/>
        </w:rPr>
        <w:t>. The case with regards to the above can be found in case C – 126/97, Eco Swiss China Time Ltd v Benetton International NV (1999) ECR 13055. (Foster 2017).</w:t>
      </w:r>
    </w:p>
    <w:p w14:paraId="02CA1643" w14:textId="677DE65B" w:rsidR="00792753" w:rsidRDefault="00792753" w:rsidP="0060498A">
      <w:pPr>
        <w:spacing w:line="480" w:lineRule="auto"/>
        <w:rPr>
          <w:rFonts w:ascii="Arial" w:hAnsi="Arial" w:cs="Arial"/>
          <w:sz w:val="24"/>
          <w:szCs w:val="24"/>
        </w:rPr>
      </w:pPr>
      <w:r>
        <w:rPr>
          <w:rFonts w:ascii="Arial" w:hAnsi="Arial" w:cs="Arial"/>
          <w:sz w:val="24"/>
          <w:szCs w:val="24"/>
        </w:rPr>
        <w:t>Each European union country would nominate a candidate of choice from a list. They are then allotted a specific policy area, which is handed over to them by the president of the European commission. The process that is applied when selecting a president of the European commissioners can be a lot more difficult. This would involve both the European parliament</w:t>
      </w:r>
      <w:r w:rsidR="004A0FD8">
        <w:rPr>
          <w:rFonts w:ascii="Arial" w:hAnsi="Arial" w:cs="Arial"/>
          <w:sz w:val="24"/>
          <w:szCs w:val="24"/>
        </w:rPr>
        <w:t xml:space="preserve"> plus the European council. The president is not elected by the people. The 2009 Lisbon treaty states that council, who are acting upon </w:t>
      </w:r>
      <w:proofErr w:type="gramStart"/>
      <w:r w:rsidR="004A0FD8">
        <w:rPr>
          <w:rFonts w:ascii="Arial" w:hAnsi="Arial" w:cs="Arial"/>
          <w:sz w:val="24"/>
          <w:szCs w:val="24"/>
        </w:rPr>
        <w:t>the majority of</w:t>
      </w:r>
      <w:proofErr w:type="gramEnd"/>
      <w:r w:rsidR="004A0FD8">
        <w:rPr>
          <w:rFonts w:ascii="Arial" w:hAnsi="Arial" w:cs="Arial"/>
          <w:sz w:val="24"/>
          <w:szCs w:val="24"/>
        </w:rPr>
        <w:t xml:space="preserve"> qualified votes</w:t>
      </w:r>
      <w:r w:rsidR="0007461F">
        <w:rPr>
          <w:rFonts w:ascii="Arial" w:hAnsi="Arial" w:cs="Arial"/>
          <w:sz w:val="24"/>
          <w:szCs w:val="24"/>
        </w:rPr>
        <w:t xml:space="preserve">, are to propose a candidate for the European </w:t>
      </w:r>
      <w:r w:rsidR="0017745A">
        <w:rPr>
          <w:rFonts w:ascii="Arial" w:hAnsi="Arial" w:cs="Arial"/>
          <w:sz w:val="24"/>
          <w:szCs w:val="24"/>
        </w:rPr>
        <w:t>commissions’</w:t>
      </w:r>
      <w:r w:rsidR="0007461F">
        <w:rPr>
          <w:rFonts w:ascii="Arial" w:hAnsi="Arial" w:cs="Arial"/>
          <w:sz w:val="24"/>
          <w:szCs w:val="24"/>
        </w:rPr>
        <w:t xml:space="preserve"> president to the European parliament, if they are to fail to obtain a majority, rejected, in which the process would then be repeated until a candidate can be elected successfully by the parliament.</w:t>
      </w:r>
    </w:p>
    <w:p w14:paraId="335ECF93" w14:textId="5D7E7D2F" w:rsidR="0017745A" w:rsidRDefault="0017745A" w:rsidP="0060498A">
      <w:pPr>
        <w:spacing w:line="480" w:lineRule="auto"/>
        <w:rPr>
          <w:rFonts w:ascii="Arial" w:hAnsi="Arial" w:cs="Arial"/>
          <w:sz w:val="24"/>
          <w:szCs w:val="24"/>
        </w:rPr>
      </w:pPr>
      <w:r>
        <w:rPr>
          <w:rFonts w:ascii="Arial" w:hAnsi="Arial" w:cs="Arial"/>
          <w:sz w:val="24"/>
          <w:szCs w:val="24"/>
        </w:rPr>
        <w:t xml:space="preserve">The 2007 Lisbon treaty went on to put in place more notable amendments. What was included was to have a permanent, and full – time president for the European </w:t>
      </w:r>
      <w:r>
        <w:rPr>
          <w:rFonts w:ascii="Arial" w:hAnsi="Arial" w:cs="Arial"/>
          <w:sz w:val="24"/>
          <w:szCs w:val="24"/>
        </w:rPr>
        <w:lastRenderedPageBreak/>
        <w:t>council which</w:t>
      </w:r>
      <w:r w:rsidR="00DB7B6C">
        <w:rPr>
          <w:rFonts w:ascii="Arial" w:hAnsi="Arial" w:cs="Arial"/>
          <w:sz w:val="24"/>
          <w:szCs w:val="24"/>
        </w:rPr>
        <w:t xml:space="preserve"> would go on to be able to strengthen the European parliament’s powers and role amongst this.</w:t>
      </w:r>
    </w:p>
    <w:p w14:paraId="58955208" w14:textId="37B082B9" w:rsidR="00DB7B6C" w:rsidRDefault="00DB7B6C" w:rsidP="0060498A">
      <w:pPr>
        <w:spacing w:line="480" w:lineRule="auto"/>
        <w:rPr>
          <w:rFonts w:ascii="Arial" w:hAnsi="Arial" w:cs="Arial"/>
          <w:sz w:val="24"/>
          <w:szCs w:val="24"/>
        </w:rPr>
      </w:pPr>
      <w:r>
        <w:rPr>
          <w:rFonts w:ascii="Arial" w:hAnsi="Arial" w:cs="Arial"/>
          <w:sz w:val="24"/>
          <w:szCs w:val="24"/>
        </w:rPr>
        <w:t xml:space="preserve">The European parliament has changed and evolved over the decades. They have acquired extra responsibilities </w:t>
      </w:r>
      <w:proofErr w:type="gramStart"/>
      <w:r>
        <w:rPr>
          <w:rFonts w:ascii="Arial" w:hAnsi="Arial" w:cs="Arial"/>
          <w:sz w:val="24"/>
          <w:szCs w:val="24"/>
        </w:rPr>
        <w:t>and also</w:t>
      </w:r>
      <w:proofErr w:type="gramEnd"/>
      <w:r>
        <w:rPr>
          <w:rFonts w:ascii="Arial" w:hAnsi="Arial" w:cs="Arial"/>
          <w:sz w:val="24"/>
          <w:szCs w:val="24"/>
        </w:rPr>
        <w:t xml:space="preserve"> gained in importance too. The predecessor to this </w:t>
      </w:r>
      <w:r w:rsidR="001E681D">
        <w:rPr>
          <w:rFonts w:ascii="Arial" w:hAnsi="Arial" w:cs="Arial"/>
          <w:sz w:val="24"/>
          <w:szCs w:val="24"/>
        </w:rPr>
        <w:t>was known as the Assembly, they were only there in a supervisory way. Today the parliament is the directly elected European union institution. They have been charged with representing our interests, also</w:t>
      </w:r>
      <w:r w:rsidR="006E79E9">
        <w:rPr>
          <w:rFonts w:ascii="Arial" w:hAnsi="Arial" w:cs="Arial"/>
          <w:sz w:val="24"/>
          <w:szCs w:val="24"/>
        </w:rPr>
        <w:t xml:space="preserve"> alongside </w:t>
      </w:r>
      <w:proofErr w:type="gramStart"/>
      <w:r w:rsidR="006E79E9">
        <w:rPr>
          <w:rFonts w:ascii="Arial" w:hAnsi="Arial" w:cs="Arial"/>
          <w:sz w:val="24"/>
          <w:szCs w:val="24"/>
        </w:rPr>
        <w:t>shaping</w:t>
      </w:r>
      <w:proofErr w:type="gramEnd"/>
      <w:r w:rsidR="006E79E9">
        <w:rPr>
          <w:rFonts w:ascii="Arial" w:hAnsi="Arial" w:cs="Arial"/>
          <w:sz w:val="24"/>
          <w:szCs w:val="24"/>
        </w:rPr>
        <w:t xml:space="preserve"> and deciding on any new forms of legislation. They are also able to scrutinise the European union</w:t>
      </w:r>
      <w:r w:rsidR="0046370B">
        <w:rPr>
          <w:rFonts w:ascii="Arial" w:hAnsi="Arial" w:cs="Arial"/>
          <w:sz w:val="24"/>
          <w:szCs w:val="24"/>
        </w:rPr>
        <w:t xml:space="preserve"> institutions as well as promote human rights within Europe and outside of Europe.</w:t>
      </w:r>
    </w:p>
    <w:p w14:paraId="0993D19F" w14:textId="0A0C5267" w:rsidR="0046370B" w:rsidRDefault="0046370B" w:rsidP="0060498A">
      <w:pPr>
        <w:spacing w:line="480" w:lineRule="auto"/>
        <w:rPr>
          <w:rFonts w:ascii="Arial" w:hAnsi="Arial" w:cs="Arial"/>
          <w:sz w:val="24"/>
          <w:szCs w:val="24"/>
        </w:rPr>
      </w:pPr>
      <w:r>
        <w:rPr>
          <w:rFonts w:ascii="Arial" w:hAnsi="Arial" w:cs="Arial"/>
          <w:sz w:val="24"/>
          <w:szCs w:val="24"/>
        </w:rPr>
        <w:t>Turnout for the European parliament elections have been steadily falling from 1979 up until 2014. Then in 2019, there was a big change, where turnout for these elections had made a slight increase</w:t>
      </w:r>
      <w:r w:rsidR="00E35FE1">
        <w:rPr>
          <w:rFonts w:ascii="Arial" w:hAnsi="Arial" w:cs="Arial"/>
          <w:sz w:val="24"/>
          <w:szCs w:val="24"/>
        </w:rPr>
        <w:t xml:space="preserve"> to its highest level since 1994.</w:t>
      </w:r>
    </w:p>
    <w:p w14:paraId="15C1F870" w14:textId="601337A0" w:rsidR="00393856" w:rsidRDefault="00393856" w:rsidP="0060498A">
      <w:pPr>
        <w:spacing w:line="480" w:lineRule="auto"/>
        <w:rPr>
          <w:rFonts w:ascii="Arial" w:hAnsi="Arial" w:cs="Arial"/>
          <w:sz w:val="24"/>
          <w:szCs w:val="24"/>
        </w:rPr>
      </w:pPr>
      <w:r>
        <w:rPr>
          <w:rFonts w:ascii="Arial" w:hAnsi="Arial" w:cs="Arial"/>
          <w:sz w:val="24"/>
          <w:szCs w:val="24"/>
        </w:rPr>
        <w:t>There are twenty – eight members of the European council plus Ursula Von de Leyen, who is the president of the European commission. There are more male European councillors than there are female councillors. Each one of these members are from different countries within Europe, and each one of the councillors would have a different role to play in the European council. (</w:t>
      </w:r>
      <w:proofErr w:type="spellStart"/>
      <w:r>
        <w:rPr>
          <w:rFonts w:ascii="Arial" w:hAnsi="Arial" w:cs="Arial"/>
          <w:sz w:val="24"/>
          <w:szCs w:val="24"/>
        </w:rPr>
        <w:t>Szyszczak</w:t>
      </w:r>
      <w:proofErr w:type="spellEnd"/>
      <w:r>
        <w:rPr>
          <w:rFonts w:ascii="Arial" w:hAnsi="Arial" w:cs="Arial"/>
          <w:sz w:val="24"/>
          <w:szCs w:val="24"/>
        </w:rPr>
        <w:t xml:space="preserve"> and </w:t>
      </w:r>
      <w:proofErr w:type="spellStart"/>
      <w:r>
        <w:rPr>
          <w:rFonts w:ascii="Arial" w:hAnsi="Arial" w:cs="Arial"/>
          <w:sz w:val="24"/>
          <w:szCs w:val="24"/>
        </w:rPr>
        <w:t>Cygan</w:t>
      </w:r>
      <w:proofErr w:type="spellEnd"/>
      <w:r>
        <w:rPr>
          <w:rFonts w:ascii="Arial" w:hAnsi="Arial" w:cs="Arial"/>
          <w:sz w:val="24"/>
          <w:szCs w:val="24"/>
        </w:rPr>
        <w:t xml:space="preserve"> 2008).</w:t>
      </w:r>
    </w:p>
    <w:p w14:paraId="5C49DD33" w14:textId="039C623A" w:rsidR="00B138B3" w:rsidRDefault="00B138B3" w:rsidP="0060498A">
      <w:pPr>
        <w:spacing w:line="480" w:lineRule="auto"/>
        <w:rPr>
          <w:rFonts w:ascii="Arial" w:hAnsi="Arial" w:cs="Arial"/>
          <w:sz w:val="24"/>
          <w:szCs w:val="24"/>
        </w:rPr>
      </w:pPr>
      <w:r>
        <w:rPr>
          <w:rFonts w:ascii="Arial" w:hAnsi="Arial" w:cs="Arial"/>
          <w:sz w:val="24"/>
          <w:szCs w:val="24"/>
        </w:rPr>
        <w:t xml:space="preserve">Appointments and removal of the European president would go by the rules which were amended by the Lisbon treaty. To elect a commission president there </w:t>
      </w:r>
      <w:proofErr w:type="gramStart"/>
      <w:r>
        <w:rPr>
          <w:rFonts w:ascii="Arial" w:hAnsi="Arial" w:cs="Arial"/>
          <w:sz w:val="24"/>
          <w:szCs w:val="24"/>
        </w:rPr>
        <w:t>has to</w:t>
      </w:r>
      <w:proofErr w:type="gramEnd"/>
      <w:r>
        <w:rPr>
          <w:rFonts w:ascii="Arial" w:hAnsi="Arial" w:cs="Arial"/>
          <w:sz w:val="24"/>
          <w:szCs w:val="24"/>
        </w:rPr>
        <w:t xml:space="preserve"> be a qualified majority voting by the European council to the European parliament. Before anything is to be considered then there would need to be several consultations, also </w:t>
      </w:r>
      <w:proofErr w:type="gramStart"/>
      <w:r>
        <w:rPr>
          <w:rFonts w:ascii="Arial" w:hAnsi="Arial" w:cs="Arial"/>
          <w:sz w:val="24"/>
          <w:szCs w:val="24"/>
        </w:rPr>
        <w:t>taken into account</w:t>
      </w:r>
      <w:proofErr w:type="gramEnd"/>
      <w:r>
        <w:rPr>
          <w:rFonts w:ascii="Arial" w:hAnsi="Arial" w:cs="Arial"/>
          <w:sz w:val="24"/>
          <w:szCs w:val="24"/>
        </w:rPr>
        <w:t xml:space="preserve"> would be the elections for the European parliament which is procured under Article 17 (7) of the TEU. The next step would then be an approval which is carried out via a vote. </w:t>
      </w:r>
      <w:proofErr w:type="gramStart"/>
      <w:r>
        <w:rPr>
          <w:rFonts w:ascii="Arial" w:hAnsi="Arial" w:cs="Arial"/>
          <w:sz w:val="24"/>
          <w:szCs w:val="24"/>
        </w:rPr>
        <w:t>The majority of</w:t>
      </w:r>
      <w:proofErr w:type="gramEnd"/>
      <w:r>
        <w:rPr>
          <w:rFonts w:ascii="Arial" w:hAnsi="Arial" w:cs="Arial"/>
          <w:sz w:val="24"/>
          <w:szCs w:val="24"/>
        </w:rPr>
        <w:t xml:space="preserve"> proposals and </w:t>
      </w:r>
      <w:r>
        <w:rPr>
          <w:rFonts w:ascii="Arial" w:hAnsi="Arial" w:cs="Arial"/>
          <w:sz w:val="24"/>
          <w:szCs w:val="24"/>
        </w:rPr>
        <w:lastRenderedPageBreak/>
        <w:t>also their appointments</w:t>
      </w:r>
      <w:r w:rsidR="006D6811">
        <w:rPr>
          <w:rFonts w:ascii="Arial" w:hAnsi="Arial" w:cs="Arial"/>
          <w:sz w:val="24"/>
          <w:szCs w:val="24"/>
        </w:rPr>
        <w:t xml:space="preserve"> for the president of the European union would go through unopposed. (Foster 2017).</w:t>
      </w:r>
    </w:p>
    <w:p w14:paraId="2170FEB3" w14:textId="6D870ADD" w:rsidR="006D6811" w:rsidRDefault="006D6811" w:rsidP="0060498A">
      <w:pPr>
        <w:spacing w:line="480" w:lineRule="auto"/>
        <w:rPr>
          <w:rFonts w:ascii="Arial" w:hAnsi="Arial" w:cs="Arial"/>
          <w:sz w:val="24"/>
          <w:szCs w:val="24"/>
        </w:rPr>
      </w:pPr>
      <w:r>
        <w:rPr>
          <w:rFonts w:ascii="Arial" w:hAnsi="Arial" w:cs="Arial"/>
          <w:sz w:val="24"/>
          <w:szCs w:val="24"/>
        </w:rPr>
        <w:t xml:space="preserve">There are only three institutions (of which are political) that would have legislative and executive power over the union. The government are represented by the European union council, citizens would be represented by parliament, plus the European interest is represented by the commission. All legislation must be submitted for a request to the commission by parliament, the council of the European union are presented with a draft from the commission. In </w:t>
      </w:r>
      <w:proofErr w:type="gramStart"/>
      <w:r>
        <w:rPr>
          <w:rFonts w:ascii="Arial" w:hAnsi="Arial" w:cs="Arial"/>
          <w:sz w:val="24"/>
          <w:szCs w:val="24"/>
        </w:rPr>
        <w:t>the majority of</w:t>
      </w:r>
      <w:proofErr w:type="gramEnd"/>
      <w:r>
        <w:rPr>
          <w:rFonts w:ascii="Arial" w:hAnsi="Arial" w:cs="Arial"/>
          <w:sz w:val="24"/>
          <w:szCs w:val="24"/>
        </w:rPr>
        <w:t xml:space="preserve"> these cases, both parties must consent by awarding their approval. This </w:t>
      </w:r>
      <w:proofErr w:type="gramStart"/>
      <w:r>
        <w:rPr>
          <w:rFonts w:ascii="Arial" w:hAnsi="Arial" w:cs="Arial"/>
          <w:sz w:val="24"/>
          <w:szCs w:val="24"/>
        </w:rPr>
        <w:t>actually depends</w:t>
      </w:r>
      <w:proofErr w:type="gramEnd"/>
      <w:r>
        <w:rPr>
          <w:rFonts w:ascii="Arial" w:hAnsi="Arial" w:cs="Arial"/>
          <w:sz w:val="24"/>
          <w:szCs w:val="24"/>
        </w:rPr>
        <w:t xml:space="preserve"> on any of its legislative procedures which would be in use at the time. Once all this has been approved by both of the parties which are involved, this will then become a law. (Barnard and Peers 2014).</w:t>
      </w:r>
    </w:p>
    <w:p w14:paraId="70B8A6EF" w14:textId="664FC723" w:rsidR="00A66967" w:rsidRDefault="00A66967" w:rsidP="0060498A">
      <w:pPr>
        <w:spacing w:line="480" w:lineRule="auto"/>
        <w:rPr>
          <w:rFonts w:ascii="Arial" w:hAnsi="Arial" w:cs="Arial"/>
          <w:sz w:val="24"/>
          <w:szCs w:val="24"/>
        </w:rPr>
      </w:pPr>
      <w:r>
        <w:rPr>
          <w:rFonts w:ascii="Arial" w:hAnsi="Arial" w:cs="Arial"/>
          <w:sz w:val="24"/>
          <w:szCs w:val="24"/>
        </w:rPr>
        <w:t>The commission has a duty to oversee the law would be placed into day – to – day procedures within the union, and if others are to fail to implement this then take them</w:t>
      </w:r>
      <w:r w:rsidR="00713E9E">
        <w:rPr>
          <w:rFonts w:ascii="Arial" w:hAnsi="Arial" w:cs="Arial"/>
          <w:sz w:val="24"/>
          <w:szCs w:val="24"/>
        </w:rPr>
        <w:t xml:space="preserve"> to court.</w:t>
      </w:r>
      <w:r w:rsidR="006228FB">
        <w:rPr>
          <w:rFonts w:ascii="Arial" w:hAnsi="Arial" w:cs="Arial"/>
          <w:sz w:val="24"/>
          <w:szCs w:val="24"/>
        </w:rPr>
        <w:t xml:space="preserve"> The role of the judge of the European party is to make sure that all European union law is applied and interpreted the correct way within each European country. </w:t>
      </w:r>
      <w:proofErr w:type="gramStart"/>
      <w:r w:rsidR="006228FB">
        <w:rPr>
          <w:rFonts w:ascii="Arial" w:hAnsi="Arial" w:cs="Arial"/>
          <w:sz w:val="24"/>
          <w:szCs w:val="24"/>
        </w:rPr>
        <w:t>Each and every</w:t>
      </w:r>
      <w:proofErr w:type="gramEnd"/>
      <w:r w:rsidR="006228FB">
        <w:rPr>
          <w:rFonts w:ascii="Arial" w:hAnsi="Arial" w:cs="Arial"/>
          <w:sz w:val="24"/>
          <w:szCs w:val="24"/>
        </w:rPr>
        <w:t xml:space="preserve"> country and all of the European institutions must abide by these laws. There are several cases which are brought to the Court of the European Justice. Two of these, or the most common types of case would be interpreting and enforcing the law. To firstly interpret</w:t>
      </w:r>
      <w:r w:rsidR="00A4619C">
        <w:rPr>
          <w:rFonts w:ascii="Arial" w:hAnsi="Arial" w:cs="Arial"/>
          <w:sz w:val="24"/>
          <w:szCs w:val="24"/>
        </w:rPr>
        <w:t xml:space="preserve"> the law, the National courts of the European union must ensure that all law is applied correctly, official courts may </w:t>
      </w:r>
      <w:proofErr w:type="gramStart"/>
      <w:r w:rsidR="00A4619C">
        <w:rPr>
          <w:rFonts w:ascii="Arial" w:hAnsi="Arial" w:cs="Arial"/>
          <w:sz w:val="24"/>
          <w:szCs w:val="24"/>
        </w:rPr>
        <w:t>actually interpret</w:t>
      </w:r>
      <w:proofErr w:type="gramEnd"/>
      <w:r w:rsidR="00A4619C">
        <w:rPr>
          <w:rFonts w:ascii="Arial" w:hAnsi="Arial" w:cs="Arial"/>
          <w:sz w:val="24"/>
          <w:szCs w:val="24"/>
        </w:rPr>
        <w:t xml:space="preserve"> this a lot differently. If National courts become unsure of any validity or any of the interpretations of anything with regards to European union law, they may ask for clarification from the courts. (Foster</w:t>
      </w:r>
      <w:r w:rsidR="00096CFF">
        <w:rPr>
          <w:rFonts w:ascii="Arial" w:hAnsi="Arial" w:cs="Arial"/>
          <w:sz w:val="24"/>
          <w:szCs w:val="24"/>
        </w:rPr>
        <w:t xml:space="preserve"> 2017).</w:t>
      </w:r>
    </w:p>
    <w:p w14:paraId="1D978772" w14:textId="550C36D0" w:rsidR="004E4608" w:rsidRDefault="004E4608" w:rsidP="0060498A">
      <w:pPr>
        <w:spacing w:line="480" w:lineRule="auto"/>
        <w:rPr>
          <w:rFonts w:ascii="Arial" w:hAnsi="Arial" w:cs="Arial"/>
          <w:sz w:val="24"/>
          <w:szCs w:val="24"/>
        </w:rPr>
      </w:pPr>
      <w:r>
        <w:rPr>
          <w:rFonts w:ascii="Arial" w:hAnsi="Arial" w:cs="Arial"/>
          <w:sz w:val="24"/>
          <w:szCs w:val="24"/>
        </w:rPr>
        <w:lastRenderedPageBreak/>
        <w:t xml:space="preserve">Ant enforcement of the law would be against a national government, if member states are to fail in complying with the laws of the European union. This type of enforcement may begin with the European commission or one of the other European countries. If a particular country is in the wrong, at fault then they </w:t>
      </w:r>
      <w:proofErr w:type="gramStart"/>
      <w:r>
        <w:rPr>
          <w:rFonts w:ascii="Arial" w:hAnsi="Arial" w:cs="Arial"/>
          <w:sz w:val="24"/>
          <w:szCs w:val="24"/>
        </w:rPr>
        <w:t>have to</w:t>
      </w:r>
      <w:proofErr w:type="gramEnd"/>
      <w:r>
        <w:rPr>
          <w:rFonts w:ascii="Arial" w:hAnsi="Arial" w:cs="Arial"/>
          <w:sz w:val="24"/>
          <w:szCs w:val="24"/>
        </w:rPr>
        <w:t xml:space="preserve"> correct this immediately. If they decide not to comply with this, then there may be a second case brought against them, this could result in a fine. (Kirk 2009).</w:t>
      </w:r>
    </w:p>
    <w:p w14:paraId="509FA580" w14:textId="38CBB0DF" w:rsidR="004E4608" w:rsidRDefault="004E4608" w:rsidP="0060498A">
      <w:pPr>
        <w:spacing w:line="480" w:lineRule="auto"/>
        <w:rPr>
          <w:rFonts w:ascii="Arial" w:hAnsi="Arial" w:cs="Arial"/>
          <w:sz w:val="24"/>
          <w:szCs w:val="24"/>
        </w:rPr>
      </w:pPr>
      <w:r>
        <w:rPr>
          <w:rFonts w:ascii="Arial" w:hAnsi="Arial" w:cs="Arial"/>
          <w:sz w:val="24"/>
          <w:szCs w:val="24"/>
        </w:rPr>
        <w:t>In conclusion to this, European union law is a difficult thing to work out. In the end, it should become</w:t>
      </w:r>
      <w:r w:rsidR="008B13D4">
        <w:rPr>
          <w:rFonts w:ascii="Arial" w:hAnsi="Arial" w:cs="Arial"/>
          <w:sz w:val="24"/>
          <w:szCs w:val="24"/>
        </w:rPr>
        <w:t xml:space="preserve"> more like a jigsaw puzzle and go together easily piece by piece.</w:t>
      </w:r>
    </w:p>
    <w:p w14:paraId="794D2377" w14:textId="1F567EE0" w:rsidR="008B13D4" w:rsidRDefault="008B13D4" w:rsidP="0060498A">
      <w:pPr>
        <w:spacing w:line="480" w:lineRule="auto"/>
        <w:rPr>
          <w:rFonts w:ascii="Arial" w:hAnsi="Arial" w:cs="Arial"/>
          <w:sz w:val="24"/>
          <w:szCs w:val="24"/>
        </w:rPr>
      </w:pPr>
    </w:p>
    <w:p w14:paraId="544E078E" w14:textId="1E35B828" w:rsidR="008B13D4" w:rsidRDefault="008B13D4" w:rsidP="0060498A">
      <w:pPr>
        <w:spacing w:line="480" w:lineRule="auto"/>
        <w:rPr>
          <w:rFonts w:ascii="Arial" w:hAnsi="Arial" w:cs="Arial"/>
          <w:sz w:val="24"/>
          <w:szCs w:val="24"/>
        </w:rPr>
      </w:pPr>
      <w:r>
        <w:rPr>
          <w:rFonts w:ascii="Arial" w:hAnsi="Arial" w:cs="Arial"/>
          <w:sz w:val="24"/>
          <w:szCs w:val="24"/>
        </w:rPr>
        <w:t>Barnard, C and Peers, S (2014), European union law, 4</w:t>
      </w:r>
      <w:r w:rsidRPr="008B13D4">
        <w:rPr>
          <w:rFonts w:ascii="Arial" w:hAnsi="Arial" w:cs="Arial"/>
          <w:sz w:val="24"/>
          <w:szCs w:val="24"/>
          <w:vertAlign w:val="superscript"/>
        </w:rPr>
        <w:t>th</w:t>
      </w:r>
      <w:r>
        <w:rPr>
          <w:rFonts w:ascii="Arial" w:hAnsi="Arial" w:cs="Arial"/>
          <w:sz w:val="24"/>
          <w:szCs w:val="24"/>
        </w:rPr>
        <w:t xml:space="preserve"> ed, Great Clarendon Street, London.</w:t>
      </w:r>
    </w:p>
    <w:p w14:paraId="60209454" w14:textId="7F92D72F" w:rsidR="008B13D4" w:rsidRDefault="008B13D4" w:rsidP="0060498A">
      <w:pPr>
        <w:spacing w:line="480" w:lineRule="auto"/>
        <w:rPr>
          <w:rFonts w:ascii="Arial" w:hAnsi="Arial" w:cs="Arial"/>
          <w:sz w:val="24"/>
          <w:szCs w:val="24"/>
        </w:rPr>
      </w:pPr>
      <w:r>
        <w:rPr>
          <w:rFonts w:ascii="Arial" w:hAnsi="Arial" w:cs="Arial"/>
          <w:sz w:val="24"/>
          <w:szCs w:val="24"/>
        </w:rPr>
        <w:t>Foster, N, (2017), Foster on EU law, 6</w:t>
      </w:r>
      <w:r w:rsidRPr="008B13D4">
        <w:rPr>
          <w:rFonts w:ascii="Arial" w:hAnsi="Arial" w:cs="Arial"/>
          <w:sz w:val="24"/>
          <w:szCs w:val="24"/>
          <w:vertAlign w:val="superscript"/>
        </w:rPr>
        <w:t>th</w:t>
      </w:r>
      <w:r>
        <w:rPr>
          <w:rFonts w:ascii="Arial" w:hAnsi="Arial" w:cs="Arial"/>
          <w:sz w:val="24"/>
          <w:szCs w:val="24"/>
        </w:rPr>
        <w:t xml:space="preserve"> ed, Great Clarendon Street, London.</w:t>
      </w:r>
    </w:p>
    <w:p w14:paraId="3F56345D" w14:textId="2F0F573A" w:rsidR="008B13D4" w:rsidRDefault="008B13D4" w:rsidP="0060498A">
      <w:pPr>
        <w:spacing w:line="480" w:lineRule="auto"/>
        <w:rPr>
          <w:rFonts w:ascii="Arial" w:hAnsi="Arial" w:cs="Arial"/>
          <w:sz w:val="24"/>
          <w:szCs w:val="24"/>
        </w:rPr>
      </w:pPr>
      <w:r>
        <w:rPr>
          <w:rFonts w:ascii="Arial" w:hAnsi="Arial" w:cs="Arial"/>
          <w:sz w:val="24"/>
          <w:szCs w:val="24"/>
        </w:rPr>
        <w:t>Kirk, E (2009), EU law, Edinburgh Gate, Essex.</w:t>
      </w:r>
    </w:p>
    <w:p w14:paraId="7A921426" w14:textId="7B01A4CA" w:rsidR="008B13D4" w:rsidRDefault="008B13D4" w:rsidP="0060498A">
      <w:pPr>
        <w:spacing w:line="480" w:lineRule="auto"/>
        <w:rPr>
          <w:rFonts w:ascii="Arial" w:hAnsi="Arial" w:cs="Arial"/>
          <w:sz w:val="24"/>
          <w:szCs w:val="24"/>
        </w:rPr>
      </w:pPr>
      <w:proofErr w:type="spellStart"/>
      <w:r>
        <w:rPr>
          <w:rFonts w:ascii="Arial" w:hAnsi="Arial" w:cs="Arial"/>
          <w:sz w:val="24"/>
          <w:szCs w:val="24"/>
        </w:rPr>
        <w:t>Szyszczak</w:t>
      </w:r>
      <w:proofErr w:type="spellEnd"/>
      <w:r>
        <w:rPr>
          <w:rFonts w:ascii="Arial" w:hAnsi="Arial" w:cs="Arial"/>
          <w:sz w:val="24"/>
          <w:szCs w:val="24"/>
        </w:rPr>
        <w:t xml:space="preserve">, E and </w:t>
      </w:r>
      <w:proofErr w:type="spellStart"/>
      <w:r>
        <w:rPr>
          <w:rFonts w:ascii="Arial" w:hAnsi="Arial" w:cs="Arial"/>
          <w:sz w:val="24"/>
          <w:szCs w:val="24"/>
        </w:rPr>
        <w:t>Cy</w:t>
      </w:r>
      <w:r w:rsidR="00954ADB">
        <w:rPr>
          <w:rFonts w:ascii="Arial" w:hAnsi="Arial" w:cs="Arial"/>
          <w:sz w:val="24"/>
          <w:szCs w:val="24"/>
        </w:rPr>
        <w:t>gan</w:t>
      </w:r>
      <w:proofErr w:type="spellEnd"/>
      <w:r w:rsidR="00954ADB">
        <w:rPr>
          <w:rFonts w:ascii="Arial" w:hAnsi="Arial" w:cs="Arial"/>
          <w:sz w:val="24"/>
          <w:szCs w:val="24"/>
        </w:rPr>
        <w:t>, A, (2008) Understanding EU law, Netherlands.</w:t>
      </w:r>
    </w:p>
    <w:p w14:paraId="091BC74E" w14:textId="74AB116B" w:rsidR="00954ADB" w:rsidRDefault="00954ADB" w:rsidP="0060498A">
      <w:pPr>
        <w:spacing w:line="480" w:lineRule="auto"/>
        <w:rPr>
          <w:rFonts w:ascii="Arial" w:hAnsi="Arial" w:cs="Arial"/>
          <w:sz w:val="24"/>
          <w:szCs w:val="24"/>
        </w:rPr>
      </w:pPr>
      <w:hyperlink r:id="rId5" w:history="1">
        <w:r w:rsidRPr="000B104E">
          <w:rPr>
            <w:rStyle w:val="Hyperlink"/>
            <w:rFonts w:ascii="Arial" w:hAnsi="Arial" w:cs="Arial"/>
            <w:sz w:val="24"/>
            <w:szCs w:val="24"/>
          </w:rPr>
          <w:t>https://www.oxfordreference.com/oso/viewauthority/10.1093$002fauthority.20110803095709730?t;s</w:t>
        </w:r>
      </w:hyperlink>
      <w:r>
        <w:rPr>
          <w:rFonts w:ascii="Arial" w:hAnsi="Arial" w:cs="Arial"/>
          <w:sz w:val="24"/>
          <w:szCs w:val="24"/>
        </w:rPr>
        <w:t>...</w:t>
      </w:r>
    </w:p>
    <w:p w14:paraId="377AEE0F" w14:textId="34EC9E15" w:rsidR="00954ADB" w:rsidRDefault="00954ADB" w:rsidP="0060498A">
      <w:pPr>
        <w:spacing w:line="480" w:lineRule="auto"/>
        <w:rPr>
          <w:rFonts w:ascii="Arial" w:hAnsi="Arial" w:cs="Arial"/>
          <w:sz w:val="24"/>
          <w:szCs w:val="24"/>
        </w:rPr>
      </w:pPr>
      <w:r>
        <w:rPr>
          <w:rFonts w:ascii="Arial" w:hAnsi="Arial" w:cs="Arial"/>
          <w:sz w:val="24"/>
          <w:szCs w:val="24"/>
        </w:rPr>
        <w:t>(Accessed – 28</w:t>
      </w:r>
      <w:r w:rsidRPr="00954ADB">
        <w:rPr>
          <w:rFonts w:ascii="Arial" w:hAnsi="Arial" w:cs="Arial"/>
          <w:sz w:val="24"/>
          <w:szCs w:val="24"/>
          <w:vertAlign w:val="superscript"/>
        </w:rPr>
        <w:t>th</w:t>
      </w:r>
      <w:r>
        <w:rPr>
          <w:rFonts w:ascii="Arial" w:hAnsi="Arial" w:cs="Arial"/>
          <w:sz w:val="24"/>
          <w:szCs w:val="24"/>
        </w:rPr>
        <w:t xml:space="preserve"> June 2022).</w:t>
      </w:r>
    </w:p>
    <w:p w14:paraId="74794924" w14:textId="6581DEE2" w:rsidR="00954ADB" w:rsidRDefault="00954ADB" w:rsidP="0060498A">
      <w:pPr>
        <w:spacing w:line="480" w:lineRule="auto"/>
        <w:rPr>
          <w:rFonts w:ascii="Arial" w:hAnsi="Arial" w:cs="Arial"/>
          <w:sz w:val="24"/>
          <w:szCs w:val="24"/>
        </w:rPr>
      </w:pPr>
      <w:r>
        <w:rPr>
          <w:rFonts w:ascii="Arial" w:hAnsi="Arial" w:cs="Arial"/>
          <w:sz w:val="24"/>
          <w:szCs w:val="24"/>
        </w:rPr>
        <w:t xml:space="preserve">Brasserie du </w:t>
      </w:r>
      <w:proofErr w:type="spellStart"/>
      <w:r>
        <w:rPr>
          <w:rFonts w:ascii="Arial" w:hAnsi="Arial" w:cs="Arial"/>
          <w:sz w:val="24"/>
          <w:szCs w:val="24"/>
        </w:rPr>
        <w:t>Pecheur</w:t>
      </w:r>
      <w:proofErr w:type="spellEnd"/>
      <w:r>
        <w:rPr>
          <w:rFonts w:ascii="Arial" w:hAnsi="Arial" w:cs="Arial"/>
          <w:sz w:val="24"/>
          <w:szCs w:val="24"/>
        </w:rPr>
        <w:t xml:space="preserve"> SA v Germany (C -46/93) (1996) QB 404.</w:t>
      </w:r>
    </w:p>
    <w:p w14:paraId="425079AA" w14:textId="44C2DB2D" w:rsidR="00954ADB" w:rsidRDefault="00954ADB" w:rsidP="0060498A">
      <w:pPr>
        <w:spacing w:line="480" w:lineRule="auto"/>
        <w:rPr>
          <w:rFonts w:ascii="Arial" w:hAnsi="Arial" w:cs="Arial"/>
          <w:sz w:val="24"/>
          <w:szCs w:val="24"/>
        </w:rPr>
      </w:pPr>
      <w:r>
        <w:rPr>
          <w:rFonts w:ascii="Arial" w:hAnsi="Arial" w:cs="Arial"/>
          <w:sz w:val="24"/>
          <w:szCs w:val="24"/>
        </w:rPr>
        <w:t>Costa V Enel (6/64</w:t>
      </w:r>
      <w:r w:rsidR="005D032F">
        <w:rPr>
          <w:rFonts w:ascii="Arial" w:hAnsi="Arial" w:cs="Arial"/>
          <w:sz w:val="24"/>
          <w:szCs w:val="24"/>
        </w:rPr>
        <w:t>) (1964) ECR 114lCMLR425.</w:t>
      </w:r>
    </w:p>
    <w:p w14:paraId="025F2B63" w14:textId="6346A350" w:rsidR="005D032F" w:rsidRDefault="005D032F" w:rsidP="0060498A">
      <w:pPr>
        <w:spacing w:line="480" w:lineRule="auto"/>
        <w:rPr>
          <w:rFonts w:ascii="Arial" w:hAnsi="Arial" w:cs="Arial"/>
          <w:sz w:val="24"/>
          <w:szCs w:val="24"/>
        </w:rPr>
      </w:pPr>
      <w:r>
        <w:rPr>
          <w:rFonts w:ascii="Arial" w:hAnsi="Arial" w:cs="Arial"/>
          <w:sz w:val="24"/>
          <w:szCs w:val="24"/>
        </w:rPr>
        <w:t>Eco Swiss China Time Ltd v Benetton International NV (C – 126/97) (1999) ECR I – 3055.</w:t>
      </w:r>
    </w:p>
    <w:p w14:paraId="785535A6" w14:textId="33843807" w:rsidR="005D032F" w:rsidRDefault="005D032F" w:rsidP="0060498A">
      <w:pPr>
        <w:spacing w:line="480" w:lineRule="auto"/>
        <w:rPr>
          <w:rFonts w:ascii="Arial" w:hAnsi="Arial" w:cs="Arial"/>
          <w:sz w:val="24"/>
          <w:szCs w:val="24"/>
        </w:rPr>
      </w:pPr>
      <w:r>
        <w:rPr>
          <w:rFonts w:ascii="Arial" w:hAnsi="Arial" w:cs="Arial"/>
          <w:sz w:val="24"/>
          <w:szCs w:val="24"/>
        </w:rPr>
        <w:t>Francovich v Italy (C – 6/90 &amp; C – 9/90) (1991) ECRI – 5357; (1993) CMLR 66.</w:t>
      </w:r>
    </w:p>
    <w:p w14:paraId="72662727" w14:textId="6398E289" w:rsidR="005D032F" w:rsidRDefault="005D032F" w:rsidP="0060498A">
      <w:pPr>
        <w:spacing w:line="480" w:lineRule="auto"/>
        <w:rPr>
          <w:rFonts w:ascii="Arial" w:hAnsi="Arial" w:cs="Arial"/>
          <w:sz w:val="24"/>
          <w:szCs w:val="24"/>
        </w:rPr>
      </w:pPr>
      <w:r>
        <w:rPr>
          <w:rFonts w:ascii="Arial" w:hAnsi="Arial" w:cs="Arial"/>
          <w:sz w:val="24"/>
          <w:szCs w:val="24"/>
        </w:rPr>
        <w:lastRenderedPageBreak/>
        <w:t>R v Secretary of State for Transport exp Factortame Ltd (No 3) (C – 48/93) (1996) ECRI – 1029.</w:t>
      </w:r>
    </w:p>
    <w:p w14:paraId="7B379CA6" w14:textId="1EA0CCE1" w:rsidR="005D032F" w:rsidRPr="0060498A" w:rsidRDefault="005D032F" w:rsidP="0060498A">
      <w:pPr>
        <w:spacing w:line="480" w:lineRule="auto"/>
        <w:rPr>
          <w:rFonts w:ascii="Arial" w:hAnsi="Arial" w:cs="Arial"/>
          <w:sz w:val="24"/>
          <w:szCs w:val="24"/>
        </w:rPr>
      </w:pPr>
      <w:r>
        <w:rPr>
          <w:rFonts w:ascii="Arial" w:hAnsi="Arial" w:cs="Arial"/>
          <w:sz w:val="24"/>
          <w:szCs w:val="24"/>
        </w:rPr>
        <w:t>Van Gen den Loos (26/62)</w:t>
      </w:r>
      <w:r w:rsidR="00B4030A">
        <w:rPr>
          <w:rFonts w:ascii="Arial" w:hAnsi="Arial" w:cs="Arial"/>
          <w:sz w:val="24"/>
          <w:szCs w:val="24"/>
        </w:rPr>
        <w:t xml:space="preserve"> </w:t>
      </w:r>
      <w:proofErr w:type="spellStart"/>
      <w:r w:rsidR="00B4030A">
        <w:rPr>
          <w:rFonts w:ascii="Arial" w:hAnsi="Arial" w:cs="Arial"/>
          <w:sz w:val="24"/>
          <w:szCs w:val="24"/>
        </w:rPr>
        <w:t>NVAIgemene</w:t>
      </w:r>
      <w:proofErr w:type="spellEnd"/>
      <w:r w:rsidR="00B4030A">
        <w:rPr>
          <w:rFonts w:ascii="Arial" w:hAnsi="Arial" w:cs="Arial"/>
          <w:sz w:val="24"/>
          <w:szCs w:val="24"/>
        </w:rPr>
        <w:t xml:space="preserve"> Transport </w:t>
      </w:r>
      <w:proofErr w:type="spellStart"/>
      <w:r w:rsidR="00B4030A">
        <w:rPr>
          <w:rFonts w:ascii="Arial" w:hAnsi="Arial" w:cs="Arial"/>
          <w:sz w:val="24"/>
          <w:szCs w:val="24"/>
        </w:rPr>
        <w:t>en</w:t>
      </w:r>
      <w:proofErr w:type="spellEnd"/>
      <w:r w:rsidR="00B4030A">
        <w:rPr>
          <w:rFonts w:ascii="Arial" w:hAnsi="Arial" w:cs="Arial"/>
          <w:sz w:val="24"/>
          <w:szCs w:val="24"/>
        </w:rPr>
        <w:t xml:space="preserve"> </w:t>
      </w:r>
      <w:proofErr w:type="spellStart"/>
      <w:r w:rsidR="00B4030A">
        <w:rPr>
          <w:rFonts w:ascii="Arial" w:hAnsi="Arial" w:cs="Arial"/>
          <w:sz w:val="24"/>
          <w:szCs w:val="24"/>
        </w:rPr>
        <w:t>Expeditie</w:t>
      </w:r>
      <w:proofErr w:type="spellEnd"/>
      <w:r w:rsidR="00B4030A">
        <w:rPr>
          <w:rFonts w:ascii="Arial" w:hAnsi="Arial" w:cs="Arial"/>
          <w:sz w:val="24"/>
          <w:szCs w:val="24"/>
        </w:rPr>
        <w:t xml:space="preserve"> </w:t>
      </w:r>
      <w:proofErr w:type="spellStart"/>
      <w:r w:rsidR="00B4030A">
        <w:rPr>
          <w:rFonts w:ascii="Arial" w:hAnsi="Arial" w:cs="Arial"/>
          <w:sz w:val="24"/>
          <w:szCs w:val="24"/>
        </w:rPr>
        <w:t>Onderneming</w:t>
      </w:r>
      <w:proofErr w:type="spellEnd"/>
      <w:r w:rsidR="00B4030A">
        <w:rPr>
          <w:rFonts w:ascii="Arial" w:hAnsi="Arial" w:cs="Arial"/>
          <w:sz w:val="24"/>
          <w:szCs w:val="24"/>
        </w:rPr>
        <w:t xml:space="preserve"> (1963) ECR 1.</w:t>
      </w:r>
    </w:p>
    <w:sectPr w:rsidR="005D032F" w:rsidRPr="0060498A" w:rsidSect="00277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947"/>
    <w:rsid w:val="00046964"/>
    <w:rsid w:val="0007461F"/>
    <w:rsid w:val="00096CFF"/>
    <w:rsid w:val="0017745A"/>
    <w:rsid w:val="001E681D"/>
    <w:rsid w:val="00263BC6"/>
    <w:rsid w:val="00277947"/>
    <w:rsid w:val="002F6B66"/>
    <w:rsid w:val="00375A9F"/>
    <w:rsid w:val="00377520"/>
    <w:rsid w:val="00393856"/>
    <w:rsid w:val="0046370B"/>
    <w:rsid w:val="00466D8C"/>
    <w:rsid w:val="00471A45"/>
    <w:rsid w:val="004A0FD8"/>
    <w:rsid w:val="004E4608"/>
    <w:rsid w:val="00560BF9"/>
    <w:rsid w:val="005D032F"/>
    <w:rsid w:val="0060498A"/>
    <w:rsid w:val="006228FB"/>
    <w:rsid w:val="006D6811"/>
    <w:rsid w:val="006E79E9"/>
    <w:rsid w:val="00713E9E"/>
    <w:rsid w:val="00792753"/>
    <w:rsid w:val="008B13D4"/>
    <w:rsid w:val="00954ADB"/>
    <w:rsid w:val="00A159BD"/>
    <w:rsid w:val="00A42F48"/>
    <w:rsid w:val="00A4619C"/>
    <w:rsid w:val="00A66967"/>
    <w:rsid w:val="00AE5A48"/>
    <w:rsid w:val="00B138B3"/>
    <w:rsid w:val="00B4030A"/>
    <w:rsid w:val="00DB7B6C"/>
    <w:rsid w:val="00E35FE1"/>
    <w:rsid w:val="00F95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6F21D"/>
  <w15:chartTrackingRefBased/>
  <w15:docId w15:val="{4BAE011D-57B2-4690-8FBE-10DEDC2341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7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7947"/>
    <w:rPr>
      <w:rFonts w:eastAsiaTheme="minorEastAsia"/>
      <w:lang w:val="en-US"/>
    </w:rPr>
  </w:style>
  <w:style w:type="character" w:styleId="Hyperlink">
    <w:name w:val="Hyperlink"/>
    <w:basedOn w:val="DefaultParagraphFont"/>
    <w:uiPriority w:val="99"/>
    <w:unhideWhenUsed/>
    <w:rsid w:val="00954ADB"/>
    <w:rPr>
      <w:color w:val="0563C1" w:themeColor="hyperlink"/>
      <w:u w:val="single"/>
    </w:rPr>
  </w:style>
  <w:style w:type="character" w:styleId="UnresolvedMention">
    <w:name w:val="Unresolved Mention"/>
    <w:basedOn w:val="DefaultParagraphFont"/>
    <w:uiPriority w:val="99"/>
    <w:semiHidden/>
    <w:unhideWhenUsed/>
    <w:rsid w:val="00954A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oxfordreference.com/oso/viewauthority/10.1093$002fauthority.20110803095709730?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2022-07-01T00:00:00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1908</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BMLW5007.</Company>
  <LinksUpToDate>false</LinksUpToDate>
  <CharactersWithSpaces>12759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Democratic Deficit.</dc:title>
  <dc:subject>European Union Law.</dc:subject>
  <dc:creator>Mel Box (2003707)</dc:creator>
  <cp:keywords/>
  <dc:description/>
  <cp:lastModifiedBy>Mel Box (2003707)</cp:lastModifiedBy>
  <cp:revision>2</cp:revision>
  <dcterms:created xsi:type="dcterms:W3CDTF">2022-07-02T00:11:00Z</dcterms:created>
  <dcterms:modified xsi:type="dcterms:W3CDTF">2022-07-02T00:11:00Z</dcterms:modified>
</cp:coreProperties>
</file>