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5AAD596" w14:textId="77777777" w:rsidR="00C33CEF" w:rsidRDefault="00C33CEF" w:rsidP="00C33CEF">
      <w:pPr>
        <w:jc w:val="center"/>
        <w:rPr>
          <w:b/>
          <w:bCs/>
          <w:sz w:val="44"/>
          <w:szCs w:val="44"/>
          <w:u w:val="single"/>
        </w:rPr>
      </w:pPr>
    </w:p>
    <w:p w14:paraId="049DDA79" w14:textId="77777777" w:rsidR="00C33CEF" w:rsidRDefault="00C33CEF" w:rsidP="00C33CEF">
      <w:pPr>
        <w:jc w:val="center"/>
        <w:rPr>
          <w:b/>
          <w:bCs/>
          <w:sz w:val="44"/>
          <w:szCs w:val="44"/>
          <w:u w:val="single"/>
        </w:rPr>
      </w:pPr>
    </w:p>
    <w:p w14:paraId="5D4E89B9" w14:textId="36D319CB" w:rsidR="000677C9" w:rsidRDefault="00C33CEF" w:rsidP="00C33CEF">
      <w:pPr>
        <w:jc w:val="center"/>
        <w:rPr>
          <w:b/>
          <w:bCs/>
          <w:sz w:val="44"/>
          <w:szCs w:val="44"/>
          <w:u w:val="single"/>
        </w:rPr>
      </w:pPr>
      <w:r w:rsidRPr="00C33CEF">
        <w:rPr>
          <w:b/>
          <w:bCs/>
          <w:sz w:val="44"/>
          <w:szCs w:val="44"/>
          <w:u w:val="single"/>
        </w:rPr>
        <w:t>Financial Management for the Hotel Industry</w:t>
      </w:r>
    </w:p>
    <w:p w14:paraId="5B913F4F" w14:textId="3BC800FF" w:rsidR="00C33CEF" w:rsidRDefault="00276A2E" w:rsidP="00C33CEF">
      <w:pPr>
        <w:jc w:val="center"/>
        <w:rPr>
          <w:b/>
          <w:bCs/>
          <w:sz w:val="44"/>
          <w:szCs w:val="44"/>
          <w:u w:val="single"/>
        </w:rPr>
      </w:pPr>
      <w:r>
        <w:rPr>
          <w:b/>
          <w:bCs/>
          <w:sz w:val="44"/>
          <w:szCs w:val="44"/>
          <w:u w:val="single"/>
        </w:rPr>
        <w:t xml:space="preserve">Student </w:t>
      </w:r>
      <w:proofErr w:type="gramStart"/>
      <w:r>
        <w:rPr>
          <w:b/>
          <w:bCs/>
          <w:sz w:val="44"/>
          <w:szCs w:val="44"/>
          <w:u w:val="single"/>
        </w:rPr>
        <w:t>name :</w:t>
      </w:r>
      <w:proofErr w:type="gramEnd"/>
      <w:r>
        <w:rPr>
          <w:b/>
          <w:bCs/>
          <w:sz w:val="44"/>
          <w:szCs w:val="44"/>
          <w:u w:val="single"/>
        </w:rPr>
        <w:t xml:space="preserve"> </w:t>
      </w:r>
      <w:proofErr w:type="spellStart"/>
      <w:r>
        <w:rPr>
          <w:b/>
          <w:bCs/>
          <w:sz w:val="44"/>
          <w:szCs w:val="44"/>
          <w:u w:val="single"/>
        </w:rPr>
        <w:t>Oana</w:t>
      </w:r>
      <w:proofErr w:type="spellEnd"/>
      <w:r>
        <w:rPr>
          <w:b/>
          <w:bCs/>
          <w:sz w:val="44"/>
          <w:szCs w:val="44"/>
          <w:u w:val="single"/>
        </w:rPr>
        <w:t xml:space="preserve"> Maria </w:t>
      </w:r>
      <w:proofErr w:type="spellStart"/>
      <w:r>
        <w:rPr>
          <w:b/>
          <w:bCs/>
          <w:sz w:val="44"/>
          <w:szCs w:val="44"/>
          <w:u w:val="single"/>
        </w:rPr>
        <w:t>Colac</w:t>
      </w:r>
      <w:proofErr w:type="spellEnd"/>
    </w:p>
    <w:p w14:paraId="07F7781F" w14:textId="372BF8A7" w:rsidR="00276A2E" w:rsidRDefault="00276A2E" w:rsidP="00C33CEF">
      <w:pPr>
        <w:jc w:val="center"/>
        <w:rPr>
          <w:b/>
          <w:bCs/>
          <w:sz w:val="44"/>
          <w:szCs w:val="44"/>
          <w:u w:val="single"/>
        </w:rPr>
      </w:pPr>
      <w:r>
        <w:rPr>
          <w:b/>
          <w:bCs/>
          <w:sz w:val="44"/>
          <w:szCs w:val="44"/>
          <w:u w:val="single"/>
        </w:rPr>
        <w:t>Student ID: 2021252</w:t>
      </w:r>
    </w:p>
    <w:p w14:paraId="09D7CEFA" w14:textId="1D7DE109" w:rsidR="00276A2E" w:rsidRDefault="00276A2E" w:rsidP="00C33CEF">
      <w:pPr>
        <w:jc w:val="center"/>
        <w:rPr>
          <w:b/>
          <w:bCs/>
          <w:sz w:val="44"/>
          <w:szCs w:val="44"/>
          <w:u w:val="single"/>
        </w:rPr>
      </w:pPr>
      <w:r>
        <w:rPr>
          <w:b/>
          <w:bCs/>
          <w:sz w:val="44"/>
          <w:szCs w:val="44"/>
          <w:u w:val="single"/>
        </w:rPr>
        <w:t>Lecturer: Dale Clarke</w:t>
      </w:r>
    </w:p>
    <w:p w14:paraId="5A5F84FE" w14:textId="78033AA2" w:rsidR="00276A2E" w:rsidRDefault="00276A2E" w:rsidP="00C33CEF">
      <w:pPr>
        <w:jc w:val="center"/>
        <w:rPr>
          <w:b/>
          <w:bCs/>
          <w:sz w:val="44"/>
          <w:szCs w:val="44"/>
          <w:u w:val="single"/>
        </w:rPr>
      </w:pPr>
      <w:r>
        <w:rPr>
          <w:b/>
          <w:bCs/>
          <w:sz w:val="44"/>
          <w:szCs w:val="44"/>
          <w:u w:val="single"/>
        </w:rPr>
        <w:t>Module code: BMIH5007</w:t>
      </w:r>
      <w:bookmarkStart w:id="0" w:name="_GoBack"/>
      <w:bookmarkEnd w:id="0"/>
    </w:p>
    <w:p w14:paraId="42A0DA72" w14:textId="2FE926CD" w:rsidR="00C33CEF" w:rsidRDefault="00C33CEF" w:rsidP="00C33CEF"/>
    <w:p w14:paraId="1E8242B8" w14:textId="064641D2" w:rsidR="00C33CEF" w:rsidRDefault="00C33CEF" w:rsidP="00C33CEF"/>
    <w:p w14:paraId="5057D8E0" w14:textId="272B8C49" w:rsidR="00C33CEF" w:rsidRDefault="00C33CEF">
      <w:pPr>
        <w:spacing w:line="259" w:lineRule="auto"/>
        <w:jc w:val="left"/>
      </w:pPr>
      <w:r>
        <w:br w:type="page"/>
      </w:r>
    </w:p>
    <w:sdt>
      <w:sdtPr>
        <w:rPr>
          <w:rFonts w:ascii="Times New Roman" w:eastAsiaTheme="minorHAnsi" w:hAnsi="Times New Roman" w:cstheme="minorBidi"/>
          <w:color w:val="auto"/>
          <w:sz w:val="24"/>
          <w:szCs w:val="22"/>
          <w:lang w:val="en-IN"/>
        </w:rPr>
        <w:id w:val="487903840"/>
        <w:docPartObj>
          <w:docPartGallery w:val="Table of Contents"/>
          <w:docPartUnique/>
        </w:docPartObj>
      </w:sdtPr>
      <w:sdtEndPr>
        <w:rPr>
          <w:b/>
          <w:bCs/>
          <w:noProof/>
          <w:lang w:val="en-GB"/>
        </w:rPr>
      </w:sdtEndPr>
      <w:sdtContent>
        <w:p w14:paraId="50BCA407" w14:textId="29DAFA93" w:rsidR="00C33CEF" w:rsidRPr="00C33CEF" w:rsidRDefault="00C33CEF">
          <w:pPr>
            <w:pStyle w:val="TOCHeading"/>
            <w:rPr>
              <w:rFonts w:ascii="Times New Roman" w:hAnsi="Times New Roman" w:cs="Times New Roman"/>
              <w:b/>
              <w:bCs/>
              <w:sz w:val="28"/>
              <w:szCs w:val="28"/>
            </w:rPr>
          </w:pPr>
          <w:r w:rsidRPr="00C33CEF">
            <w:rPr>
              <w:rFonts w:ascii="Times New Roman" w:hAnsi="Times New Roman" w:cs="Times New Roman"/>
              <w:b/>
              <w:bCs/>
              <w:sz w:val="28"/>
              <w:szCs w:val="28"/>
            </w:rPr>
            <w:t>Table of Contents</w:t>
          </w:r>
        </w:p>
        <w:p w14:paraId="1906EA53" w14:textId="361A3383" w:rsidR="00FB1B5D" w:rsidRDefault="00C33CEF">
          <w:pPr>
            <w:pStyle w:val="TOC1"/>
            <w:tabs>
              <w:tab w:val="right" w:leader="dot" w:pos="9016"/>
            </w:tabs>
            <w:rPr>
              <w:noProof/>
            </w:rPr>
          </w:pPr>
          <w:r>
            <w:fldChar w:fldCharType="begin"/>
          </w:r>
          <w:r>
            <w:instrText xml:space="preserve"> TOC \o "1-3" \h \z \u </w:instrText>
          </w:r>
          <w:r>
            <w:fldChar w:fldCharType="separate"/>
          </w:r>
          <w:hyperlink w:anchor="_Toc104147059" w:history="1">
            <w:r w:rsidR="00FB1B5D" w:rsidRPr="00A63007">
              <w:rPr>
                <w:rStyle w:val="Hyperlink"/>
                <w:rFonts w:eastAsia="Times New Roman"/>
                <w:noProof/>
                <w:lang w:eastAsia="en-IN"/>
              </w:rPr>
              <w:t>Introduction</w:t>
            </w:r>
            <w:r w:rsidR="00FB1B5D">
              <w:rPr>
                <w:noProof/>
                <w:webHidden/>
              </w:rPr>
              <w:tab/>
            </w:r>
            <w:r w:rsidR="00FB1B5D">
              <w:rPr>
                <w:noProof/>
                <w:webHidden/>
              </w:rPr>
              <w:fldChar w:fldCharType="begin"/>
            </w:r>
            <w:r w:rsidR="00FB1B5D">
              <w:rPr>
                <w:noProof/>
                <w:webHidden/>
              </w:rPr>
              <w:instrText xml:space="preserve"> PAGEREF _Toc104147059 \h </w:instrText>
            </w:r>
            <w:r w:rsidR="00FB1B5D">
              <w:rPr>
                <w:noProof/>
                <w:webHidden/>
              </w:rPr>
            </w:r>
            <w:r w:rsidR="00FB1B5D">
              <w:rPr>
                <w:noProof/>
                <w:webHidden/>
              </w:rPr>
              <w:fldChar w:fldCharType="separate"/>
            </w:r>
            <w:r w:rsidR="00FB1B5D">
              <w:rPr>
                <w:noProof/>
                <w:webHidden/>
              </w:rPr>
              <w:t>3</w:t>
            </w:r>
            <w:r w:rsidR="00FB1B5D">
              <w:rPr>
                <w:noProof/>
                <w:webHidden/>
              </w:rPr>
              <w:fldChar w:fldCharType="end"/>
            </w:r>
          </w:hyperlink>
        </w:p>
        <w:p w14:paraId="395841F4" w14:textId="1771A0F2" w:rsidR="00FB1B5D" w:rsidRDefault="00276A2E">
          <w:pPr>
            <w:pStyle w:val="TOC1"/>
            <w:tabs>
              <w:tab w:val="right" w:leader="dot" w:pos="9016"/>
            </w:tabs>
            <w:rPr>
              <w:noProof/>
            </w:rPr>
          </w:pPr>
          <w:hyperlink w:anchor="_Toc104147060" w:history="1">
            <w:r w:rsidR="00FB1B5D" w:rsidRPr="00A63007">
              <w:rPr>
                <w:rStyle w:val="Hyperlink"/>
                <w:rFonts w:eastAsia="Times New Roman"/>
                <w:noProof/>
                <w:lang w:eastAsia="en-IN"/>
              </w:rPr>
              <w:t>Calculate Horizontal ratios for 2019 and 2020 to aid the analysis of the financial information</w:t>
            </w:r>
            <w:r w:rsidR="00FB1B5D">
              <w:rPr>
                <w:noProof/>
                <w:webHidden/>
              </w:rPr>
              <w:tab/>
            </w:r>
            <w:r w:rsidR="00FB1B5D">
              <w:rPr>
                <w:noProof/>
                <w:webHidden/>
              </w:rPr>
              <w:fldChar w:fldCharType="begin"/>
            </w:r>
            <w:r w:rsidR="00FB1B5D">
              <w:rPr>
                <w:noProof/>
                <w:webHidden/>
              </w:rPr>
              <w:instrText xml:space="preserve"> PAGEREF _Toc104147060 \h </w:instrText>
            </w:r>
            <w:r w:rsidR="00FB1B5D">
              <w:rPr>
                <w:noProof/>
                <w:webHidden/>
              </w:rPr>
            </w:r>
            <w:r w:rsidR="00FB1B5D">
              <w:rPr>
                <w:noProof/>
                <w:webHidden/>
              </w:rPr>
              <w:fldChar w:fldCharType="separate"/>
            </w:r>
            <w:r w:rsidR="00FB1B5D">
              <w:rPr>
                <w:noProof/>
                <w:webHidden/>
              </w:rPr>
              <w:t>3</w:t>
            </w:r>
            <w:r w:rsidR="00FB1B5D">
              <w:rPr>
                <w:noProof/>
                <w:webHidden/>
              </w:rPr>
              <w:fldChar w:fldCharType="end"/>
            </w:r>
          </w:hyperlink>
        </w:p>
        <w:p w14:paraId="09E6F247" w14:textId="434676FF" w:rsidR="00FB1B5D" w:rsidRDefault="00276A2E">
          <w:pPr>
            <w:pStyle w:val="TOC1"/>
            <w:tabs>
              <w:tab w:val="right" w:leader="dot" w:pos="9016"/>
            </w:tabs>
            <w:rPr>
              <w:noProof/>
            </w:rPr>
          </w:pPr>
          <w:hyperlink w:anchor="_Toc104147061" w:history="1">
            <w:r w:rsidR="00FB1B5D" w:rsidRPr="00A63007">
              <w:rPr>
                <w:rStyle w:val="Hyperlink"/>
                <w:rFonts w:eastAsia="Times New Roman"/>
                <w:noProof/>
                <w:lang w:eastAsia="en-IN"/>
              </w:rPr>
              <w:t>Outline the importance of using ratio analysis for decision making</w:t>
            </w:r>
            <w:r w:rsidR="00FB1B5D">
              <w:rPr>
                <w:noProof/>
                <w:webHidden/>
              </w:rPr>
              <w:tab/>
            </w:r>
            <w:r w:rsidR="00FB1B5D">
              <w:rPr>
                <w:noProof/>
                <w:webHidden/>
              </w:rPr>
              <w:fldChar w:fldCharType="begin"/>
            </w:r>
            <w:r w:rsidR="00FB1B5D">
              <w:rPr>
                <w:noProof/>
                <w:webHidden/>
              </w:rPr>
              <w:instrText xml:space="preserve"> PAGEREF _Toc104147061 \h </w:instrText>
            </w:r>
            <w:r w:rsidR="00FB1B5D">
              <w:rPr>
                <w:noProof/>
                <w:webHidden/>
              </w:rPr>
            </w:r>
            <w:r w:rsidR="00FB1B5D">
              <w:rPr>
                <w:noProof/>
                <w:webHidden/>
              </w:rPr>
              <w:fldChar w:fldCharType="separate"/>
            </w:r>
            <w:r w:rsidR="00FB1B5D">
              <w:rPr>
                <w:noProof/>
                <w:webHidden/>
              </w:rPr>
              <w:t>6</w:t>
            </w:r>
            <w:r w:rsidR="00FB1B5D">
              <w:rPr>
                <w:noProof/>
                <w:webHidden/>
              </w:rPr>
              <w:fldChar w:fldCharType="end"/>
            </w:r>
          </w:hyperlink>
        </w:p>
        <w:p w14:paraId="7BE94FF4" w14:textId="239E5080" w:rsidR="00FB1B5D" w:rsidRDefault="00276A2E">
          <w:pPr>
            <w:pStyle w:val="TOC1"/>
            <w:tabs>
              <w:tab w:val="right" w:leader="dot" w:pos="9016"/>
            </w:tabs>
            <w:rPr>
              <w:noProof/>
            </w:rPr>
          </w:pPr>
          <w:hyperlink w:anchor="_Toc104147062" w:history="1">
            <w:r w:rsidR="00FB1B5D" w:rsidRPr="00A63007">
              <w:rPr>
                <w:rStyle w:val="Hyperlink"/>
                <w:rFonts w:eastAsia="Times New Roman"/>
                <w:noProof/>
                <w:lang w:eastAsia="en-IN"/>
              </w:rPr>
              <w:t>Investigate the limitation of ratio analysis, including why an understanding of ratios and their fluctuations is essential for hotel management in analysing the information seen in their financial statements.</w:t>
            </w:r>
            <w:r w:rsidR="00FB1B5D">
              <w:rPr>
                <w:noProof/>
                <w:webHidden/>
              </w:rPr>
              <w:tab/>
            </w:r>
            <w:r w:rsidR="00FB1B5D">
              <w:rPr>
                <w:noProof/>
                <w:webHidden/>
              </w:rPr>
              <w:fldChar w:fldCharType="begin"/>
            </w:r>
            <w:r w:rsidR="00FB1B5D">
              <w:rPr>
                <w:noProof/>
                <w:webHidden/>
              </w:rPr>
              <w:instrText xml:space="preserve"> PAGEREF _Toc104147062 \h </w:instrText>
            </w:r>
            <w:r w:rsidR="00FB1B5D">
              <w:rPr>
                <w:noProof/>
                <w:webHidden/>
              </w:rPr>
            </w:r>
            <w:r w:rsidR="00FB1B5D">
              <w:rPr>
                <w:noProof/>
                <w:webHidden/>
              </w:rPr>
              <w:fldChar w:fldCharType="separate"/>
            </w:r>
            <w:r w:rsidR="00FB1B5D">
              <w:rPr>
                <w:noProof/>
                <w:webHidden/>
              </w:rPr>
              <w:t>8</w:t>
            </w:r>
            <w:r w:rsidR="00FB1B5D">
              <w:rPr>
                <w:noProof/>
                <w:webHidden/>
              </w:rPr>
              <w:fldChar w:fldCharType="end"/>
            </w:r>
          </w:hyperlink>
        </w:p>
        <w:p w14:paraId="40AD2C64" w14:textId="40D731F9" w:rsidR="00FB1B5D" w:rsidRDefault="00276A2E">
          <w:pPr>
            <w:pStyle w:val="TOC1"/>
            <w:tabs>
              <w:tab w:val="right" w:leader="dot" w:pos="9016"/>
            </w:tabs>
            <w:rPr>
              <w:noProof/>
            </w:rPr>
          </w:pPr>
          <w:hyperlink w:anchor="_Toc104147063" w:history="1">
            <w:r w:rsidR="00FB1B5D" w:rsidRPr="00A63007">
              <w:rPr>
                <w:rStyle w:val="Hyperlink"/>
                <w:rFonts w:eastAsia="Times New Roman"/>
                <w:noProof/>
                <w:lang w:eastAsia="en-IN"/>
              </w:rPr>
              <w:t>Conclusion</w:t>
            </w:r>
            <w:r w:rsidR="00FB1B5D">
              <w:rPr>
                <w:noProof/>
                <w:webHidden/>
              </w:rPr>
              <w:tab/>
            </w:r>
            <w:r w:rsidR="00FB1B5D">
              <w:rPr>
                <w:noProof/>
                <w:webHidden/>
              </w:rPr>
              <w:fldChar w:fldCharType="begin"/>
            </w:r>
            <w:r w:rsidR="00FB1B5D">
              <w:rPr>
                <w:noProof/>
                <w:webHidden/>
              </w:rPr>
              <w:instrText xml:space="preserve"> PAGEREF _Toc104147063 \h </w:instrText>
            </w:r>
            <w:r w:rsidR="00FB1B5D">
              <w:rPr>
                <w:noProof/>
                <w:webHidden/>
              </w:rPr>
            </w:r>
            <w:r w:rsidR="00FB1B5D">
              <w:rPr>
                <w:noProof/>
                <w:webHidden/>
              </w:rPr>
              <w:fldChar w:fldCharType="separate"/>
            </w:r>
            <w:r w:rsidR="00FB1B5D">
              <w:rPr>
                <w:noProof/>
                <w:webHidden/>
              </w:rPr>
              <w:t>9</w:t>
            </w:r>
            <w:r w:rsidR="00FB1B5D">
              <w:rPr>
                <w:noProof/>
                <w:webHidden/>
              </w:rPr>
              <w:fldChar w:fldCharType="end"/>
            </w:r>
          </w:hyperlink>
        </w:p>
        <w:p w14:paraId="4E8CCFC5" w14:textId="339C93A4" w:rsidR="00FB1B5D" w:rsidRDefault="00276A2E">
          <w:pPr>
            <w:pStyle w:val="TOC1"/>
            <w:tabs>
              <w:tab w:val="right" w:leader="dot" w:pos="9016"/>
            </w:tabs>
            <w:rPr>
              <w:noProof/>
            </w:rPr>
          </w:pPr>
          <w:hyperlink w:anchor="_Toc104147064" w:history="1">
            <w:r w:rsidR="00FB1B5D" w:rsidRPr="00A63007">
              <w:rPr>
                <w:rStyle w:val="Hyperlink"/>
                <w:noProof/>
              </w:rPr>
              <w:t>References</w:t>
            </w:r>
            <w:r w:rsidR="00FB1B5D">
              <w:rPr>
                <w:noProof/>
                <w:webHidden/>
              </w:rPr>
              <w:tab/>
            </w:r>
            <w:r w:rsidR="00FB1B5D">
              <w:rPr>
                <w:noProof/>
                <w:webHidden/>
              </w:rPr>
              <w:fldChar w:fldCharType="begin"/>
            </w:r>
            <w:r w:rsidR="00FB1B5D">
              <w:rPr>
                <w:noProof/>
                <w:webHidden/>
              </w:rPr>
              <w:instrText xml:space="preserve"> PAGEREF _Toc104147064 \h </w:instrText>
            </w:r>
            <w:r w:rsidR="00FB1B5D">
              <w:rPr>
                <w:noProof/>
                <w:webHidden/>
              </w:rPr>
            </w:r>
            <w:r w:rsidR="00FB1B5D">
              <w:rPr>
                <w:noProof/>
                <w:webHidden/>
              </w:rPr>
              <w:fldChar w:fldCharType="separate"/>
            </w:r>
            <w:r w:rsidR="00FB1B5D">
              <w:rPr>
                <w:noProof/>
                <w:webHidden/>
              </w:rPr>
              <w:t>10</w:t>
            </w:r>
            <w:r w:rsidR="00FB1B5D">
              <w:rPr>
                <w:noProof/>
                <w:webHidden/>
              </w:rPr>
              <w:fldChar w:fldCharType="end"/>
            </w:r>
          </w:hyperlink>
        </w:p>
        <w:p w14:paraId="6FED907C" w14:textId="0B0B916F" w:rsidR="00C33CEF" w:rsidRDefault="00C33CEF">
          <w:r>
            <w:rPr>
              <w:b/>
              <w:bCs/>
              <w:noProof/>
            </w:rPr>
            <w:fldChar w:fldCharType="end"/>
          </w:r>
        </w:p>
      </w:sdtContent>
    </w:sdt>
    <w:p w14:paraId="7558D141" w14:textId="5477D726" w:rsidR="00C33CEF" w:rsidRDefault="00C33CEF" w:rsidP="00C33CEF"/>
    <w:p w14:paraId="1485AF0A" w14:textId="6798CB20" w:rsidR="00C33CEF" w:rsidRPr="00C33CEF" w:rsidRDefault="00C33CEF" w:rsidP="00C33CEF">
      <w:pPr>
        <w:rPr>
          <w:rFonts w:cs="Times New Roman"/>
          <w:szCs w:val="24"/>
        </w:rPr>
      </w:pPr>
      <w:r w:rsidRPr="00C33CEF">
        <w:rPr>
          <w:rFonts w:cs="Times New Roman"/>
          <w:szCs w:val="24"/>
        </w:rPr>
        <w:br w:type="page"/>
      </w:r>
    </w:p>
    <w:p w14:paraId="53D65795" w14:textId="77777777" w:rsidR="00C33CEF" w:rsidRPr="00C33CEF" w:rsidRDefault="00C33CEF" w:rsidP="00C33CEF">
      <w:pPr>
        <w:pStyle w:val="Heading1"/>
        <w:rPr>
          <w:rFonts w:eastAsia="Times New Roman"/>
          <w:lang w:eastAsia="en-IN"/>
        </w:rPr>
      </w:pPr>
      <w:bookmarkStart w:id="1" w:name="_Toc104147059"/>
      <w:r w:rsidRPr="00C33CEF">
        <w:rPr>
          <w:rFonts w:eastAsia="Times New Roman"/>
          <w:lang w:eastAsia="en-IN"/>
        </w:rPr>
        <w:lastRenderedPageBreak/>
        <w:t>Introduction</w:t>
      </w:r>
      <w:bookmarkEnd w:id="1"/>
    </w:p>
    <w:p w14:paraId="60EACBA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This report aims at analysing the financial report of Hilton Worldwide Holdings Inc., which tends to be a key hospitality organisation within the UK having the purpose of managing the portfolios of hotels all around the world. The report shall be done for the Chief Executive of the organisation in terms of letting the individual know how well or poorly the organisation is performing within the market. The report shall firstly discuss the different horizontal ratios for 2019 and 2020 considering the financial statements of the business. After that discussion on how important is the aspect of ratio analysis to the company in terms of the decision making process. Lastly, limitations of the ratio analysis and the importance of fluctuations of ratios within the organisation are necessary to be considered shall be discussed.</w:t>
      </w:r>
    </w:p>
    <w:p w14:paraId="2A941F1D" w14:textId="77777777" w:rsidR="00C33CEF" w:rsidRPr="00C33CEF" w:rsidRDefault="00C33CEF" w:rsidP="00C33CEF">
      <w:pPr>
        <w:pStyle w:val="Heading1"/>
        <w:rPr>
          <w:rFonts w:eastAsia="Times New Roman"/>
          <w:lang w:eastAsia="en-IN"/>
        </w:rPr>
      </w:pPr>
      <w:bookmarkStart w:id="2" w:name="_Toc104147060"/>
      <w:r w:rsidRPr="00C33CEF">
        <w:rPr>
          <w:rFonts w:eastAsia="Times New Roman"/>
          <w:lang w:eastAsia="en-IN"/>
        </w:rPr>
        <w:t>Calculate Horizontal ratios for 2019 and 2020 to aid the analysis of the financial information</w:t>
      </w:r>
      <w:bookmarkEnd w:id="2"/>
    </w:p>
    <w:p w14:paraId="0F7A53A9" w14:textId="14F32975"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The aspect of horizontal ratio analysis generally involves the evaluation of the financial statements mainly involving the comparison of different financial ratios, a line item or a benchmark over different numbers of accounting periods within the organisation. This analysis method is also known as trend analysis for an organisation and the assessment mainly allows the organisation to understand the relative changes in the various items of the company over a certain period of time</w:t>
      </w:r>
      <w:r w:rsidR="005B6F88">
        <w:rPr>
          <w:rFonts w:eastAsia="Times New Roman" w:cs="Times New Roman"/>
          <w:color w:val="0E101A"/>
          <w:szCs w:val="24"/>
          <w:lang w:eastAsia="en-IN"/>
        </w:rPr>
        <w:t xml:space="preserve"> </w:t>
      </w:r>
      <w:sdt>
        <w:sdtPr>
          <w:rPr>
            <w:rFonts w:eastAsia="Times New Roman" w:cs="Times New Roman"/>
            <w:color w:val="0E101A"/>
            <w:szCs w:val="24"/>
            <w:lang w:eastAsia="en-IN"/>
          </w:rPr>
          <w:id w:val="155578607"/>
          <w:citation/>
        </w:sdtPr>
        <w:sdtEndPr/>
        <w:sdtContent>
          <w:r w:rsidR="005B6F88">
            <w:rPr>
              <w:rFonts w:eastAsia="Times New Roman" w:cs="Times New Roman"/>
              <w:color w:val="0E101A"/>
              <w:szCs w:val="24"/>
              <w:lang w:eastAsia="en-IN"/>
            </w:rPr>
            <w:fldChar w:fldCharType="begin"/>
          </w:r>
          <w:r w:rsidR="005B6F88">
            <w:rPr>
              <w:rFonts w:eastAsia="Times New Roman" w:cs="Times New Roman"/>
              <w:color w:val="0E101A"/>
              <w:szCs w:val="24"/>
              <w:lang w:val="en-US" w:eastAsia="en-IN"/>
            </w:rPr>
            <w:instrText xml:space="preserve"> CITATION Mol18 \l 1033 </w:instrText>
          </w:r>
          <w:r w:rsidR="005B6F88">
            <w:rPr>
              <w:rFonts w:eastAsia="Times New Roman" w:cs="Times New Roman"/>
              <w:color w:val="0E101A"/>
              <w:szCs w:val="24"/>
              <w:lang w:eastAsia="en-IN"/>
            </w:rPr>
            <w:fldChar w:fldCharType="separate"/>
          </w:r>
          <w:r w:rsidR="005B6F88" w:rsidRPr="005B6F88">
            <w:rPr>
              <w:rFonts w:eastAsia="Times New Roman" w:cs="Times New Roman"/>
              <w:noProof/>
              <w:color w:val="0E101A"/>
              <w:szCs w:val="24"/>
              <w:lang w:val="en-US" w:eastAsia="en-IN"/>
            </w:rPr>
            <w:t>(Molnar, et al., 2018)</w:t>
          </w:r>
          <w:r w:rsidR="005B6F8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w:t>
      </w:r>
    </w:p>
    <w:p w14:paraId="007C7274" w14:textId="16DF682C"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Following is the provision of Hilton Worldwide Holdings Inc.’s financial statements as well as a few ratio analysis calculations that</w:t>
      </w:r>
      <w:r w:rsidRPr="00C33CEF">
        <w:rPr>
          <w:rFonts w:eastAsia="Times New Roman" w:cs="Times New Roman"/>
          <w:color w:val="000000"/>
          <w:szCs w:val="24"/>
          <w:lang w:eastAsia="en-IN"/>
        </w:rPr>
        <w:t> will ultimately help in providing a detailed horizontal ratio analysis of the business.</w:t>
      </w:r>
    </w:p>
    <w:tbl>
      <w:tblPr>
        <w:tblW w:w="9018" w:type="dxa"/>
        <w:tblCellMar>
          <w:top w:w="15" w:type="dxa"/>
          <w:left w:w="15" w:type="dxa"/>
          <w:bottom w:w="15" w:type="dxa"/>
          <w:right w:w="15" w:type="dxa"/>
        </w:tblCellMar>
        <w:tblLook w:val="04A0" w:firstRow="1" w:lastRow="0" w:firstColumn="1" w:lastColumn="0" w:noHBand="0" w:noVBand="1"/>
      </w:tblPr>
      <w:tblGrid>
        <w:gridCol w:w="4832"/>
        <w:gridCol w:w="2093"/>
        <w:gridCol w:w="2093"/>
      </w:tblGrid>
      <w:tr w:rsidR="00C33CEF" w:rsidRPr="00C33CEF" w14:paraId="036B8E73" w14:textId="77777777" w:rsidTr="00C33CEF">
        <w:trPr>
          <w:trHeight w:val="448"/>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CD2E07"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Income Statement for Hilton Worldwide Holdings Inc. for 2019 and 2020</w:t>
            </w:r>
          </w:p>
        </w:tc>
      </w:tr>
      <w:tr w:rsidR="00C33CEF" w:rsidRPr="00C33CEF" w14:paraId="36C824DE" w14:textId="77777777" w:rsidTr="00C33CEF">
        <w:trPr>
          <w:trHeight w:val="11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448554" w14:textId="77777777" w:rsidR="00C33CEF" w:rsidRPr="00C33CEF" w:rsidRDefault="00C33CEF" w:rsidP="00C33CEF">
            <w:pPr>
              <w:rPr>
                <w:rFonts w:eastAsia="Times New Roman" w:cs="Times New Roman"/>
                <w:szCs w:val="24"/>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BC027"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2020</w:t>
            </w:r>
          </w:p>
          <w:p w14:paraId="10C793CE"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Amount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7DEE39"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2019</w:t>
            </w:r>
          </w:p>
          <w:p w14:paraId="2128D6E0"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Amount (£)</w:t>
            </w:r>
          </w:p>
        </w:tc>
      </w:tr>
      <w:tr w:rsidR="00C33CEF" w:rsidRPr="00C33CEF" w14:paraId="4C424A59"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B3C27"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Sales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7F8665"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4307000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53D5E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9452000</w:t>
            </w:r>
          </w:p>
        </w:tc>
      </w:tr>
      <w:tr w:rsidR="00C33CEF" w:rsidRPr="00C33CEF" w14:paraId="4A07B67A"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B181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Cost of Goods Sold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480970"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3725000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9EFAC9"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7017000</w:t>
            </w:r>
          </w:p>
        </w:tc>
      </w:tr>
      <w:tr w:rsidR="00C33CEF" w:rsidRPr="00C33CEF" w14:paraId="11EA9BF2"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F04EC6"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lastRenderedPageBreak/>
              <w:t>Gross Profit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0ABD59"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583000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EDABE"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2435000</w:t>
            </w:r>
          </w:p>
        </w:tc>
      </w:tr>
      <w:tr w:rsidR="00C33CEF" w:rsidRPr="00C33CEF" w14:paraId="57E5AFA5"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6D3C1F"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Operating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A86DB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702000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5FA72"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859000</w:t>
            </w:r>
          </w:p>
        </w:tc>
      </w:tr>
      <w:tr w:rsidR="00C33CEF" w:rsidRPr="00C33CEF" w14:paraId="1EA2880D"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02AAE"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Operating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C2119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-119000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2A2A3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1576000</w:t>
            </w:r>
          </w:p>
        </w:tc>
      </w:tr>
      <w:tr w:rsidR="00C33CEF" w:rsidRPr="00C33CEF" w14:paraId="41EA33D0" w14:textId="77777777" w:rsidTr="00C33CEF">
        <w:trPr>
          <w:trHeight w:val="598"/>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4A2F2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Interest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00534C"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429000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8859D0"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414000</w:t>
            </w:r>
          </w:p>
        </w:tc>
      </w:tr>
      <w:tr w:rsidR="00C33CEF" w:rsidRPr="00C33CEF" w14:paraId="0DD64AC2"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D295B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Total Other Income / Expenses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58D0E"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-376000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C11F2F"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82000</w:t>
            </w:r>
          </w:p>
        </w:tc>
      </w:tr>
      <w:tr w:rsidR="00C33CEF" w:rsidRPr="00C33CEF" w14:paraId="02A6FD24"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FEB18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Income Before Taxes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EDFCC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-924000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06819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1244000</w:t>
            </w:r>
          </w:p>
        </w:tc>
      </w:tr>
      <w:tr w:rsidR="00C33CEF" w:rsidRPr="00C33CEF" w14:paraId="655E8C0E" w14:textId="77777777" w:rsidTr="00C33CEF">
        <w:trPr>
          <w:trHeight w:val="58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49FBC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Net Income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D203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-715000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D9D8C9"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881000</w:t>
            </w:r>
          </w:p>
        </w:tc>
      </w:tr>
    </w:tbl>
    <w:p w14:paraId="772FEAA5" w14:textId="77777777" w:rsidR="00C33CEF" w:rsidRPr="00C33CEF" w:rsidRDefault="00C33CEF" w:rsidP="00C33CEF">
      <w:pPr>
        <w:rPr>
          <w:rFonts w:eastAsia="Times New Roman" w:cs="Times New Roman"/>
          <w:szCs w:val="24"/>
          <w:lang w:eastAsia="en-IN"/>
        </w:rPr>
      </w:pPr>
    </w:p>
    <w:tbl>
      <w:tblPr>
        <w:tblW w:w="9002" w:type="dxa"/>
        <w:tblCellMar>
          <w:top w:w="15" w:type="dxa"/>
          <w:left w:w="15" w:type="dxa"/>
          <w:bottom w:w="15" w:type="dxa"/>
          <w:right w:w="15" w:type="dxa"/>
        </w:tblCellMar>
        <w:tblLook w:val="04A0" w:firstRow="1" w:lastRow="0" w:firstColumn="1" w:lastColumn="0" w:noHBand="0" w:noVBand="1"/>
      </w:tblPr>
      <w:tblGrid>
        <w:gridCol w:w="4946"/>
        <w:gridCol w:w="2028"/>
        <w:gridCol w:w="2028"/>
      </w:tblGrid>
      <w:tr w:rsidR="00C33CEF" w:rsidRPr="00C33CEF" w14:paraId="1BBB0981" w14:textId="77777777" w:rsidTr="00C33CEF">
        <w:trPr>
          <w:trHeight w:val="438"/>
        </w:trPr>
        <w:tc>
          <w:tcPr>
            <w:tcW w:w="0" w:type="auto"/>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49BBEC"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Balance Sheet for Hilton Worldwide Holdings Inc. for 2019 and 2020</w:t>
            </w:r>
          </w:p>
        </w:tc>
      </w:tr>
      <w:tr w:rsidR="00C33CEF" w:rsidRPr="00C33CEF" w14:paraId="16A950E1" w14:textId="77777777" w:rsidTr="00C33CEF">
        <w:trPr>
          <w:trHeight w:val="1147"/>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685940" w14:textId="77777777" w:rsidR="00C33CEF" w:rsidRPr="00C33CEF" w:rsidRDefault="00C33CEF" w:rsidP="00C33CEF">
            <w:pPr>
              <w:rPr>
                <w:rFonts w:eastAsia="Times New Roman" w:cs="Times New Roman"/>
                <w:szCs w:val="24"/>
                <w:lang w:eastAsia="en-IN"/>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4DFB7"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2020</w:t>
            </w:r>
          </w:p>
          <w:p w14:paraId="467745DF"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Amount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C06668"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2019</w:t>
            </w:r>
          </w:p>
          <w:p w14:paraId="3825A149"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Amount (£)</w:t>
            </w:r>
          </w:p>
        </w:tc>
      </w:tr>
      <w:tr w:rsidR="00C33CEF" w:rsidRPr="00C33CEF" w14:paraId="3F886CAC"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9075A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Current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FF0839"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4202000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B4A26"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2093000</w:t>
            </w:r>
          </w:p>
        </w:tc>
      </w:tr>
      <w:tr w:rsidR="00C33CEF" w:rsidRPr="00C33CEF" w14:paraId="0BC8459D"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DC64B" w14:textId="77777777" w:rsidR="00C33CEF" w:rsidRPr="00C33CEF" w:rsidRDefault="00C33CEF" w:rsidP="00C33CEF">
            <w:pPr>
              <w:rPr>
                <w:rFonts w:eastAsia="Times New Roman" w:cs="Times New Roman"/>
                <w:szCs w:val="24"/>
                <w:lang w:eastAsia="en-IN"/>
              </w:rPr>
            </w:pPr>
            <w:proofErr w:type="spellStart"/>
            <w:r w:rsidRPr="00C33CEF">
              <w:rPr>
                <w:rFonts w:eastAsia="Times New Roman" w:cs="Times New Roman"/>
                <w:color w:val="000000"/>
                <w:szCs w:val="24"/>
                <w:lang w:eastAsia="en-IN"/>
              </w:rPr>
              <w:t>Non Current</w:t>
            </w:r>
            <w:proofErr w:type="spellEnd"/>
            <w:r w:rsidRPr="00C33CEF">
              <w:rPr>
                <w:rFonts w:eastAsia="Times New Roman" w:cs="Times New Roman"/>
                <w:color w:val="000000"/>
                <w:szCs w:val="24"/>
                <w:lang w:eastAsia="en-IN"/>
              </w:rPr>
              <w:t xml:space="preserve">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D13D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15810000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9F353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12558000</w:t>
            </w:r>
          </w:p>
        </w:tc>
      </w:tr>
      <w:tr w:rsidR="00C33CEF" w:rsidRPr="00C33CEF" w14:paraId="5C0045E5" w14:textId="77777777" w:rsidTr="00C33CEF">
        <w:trPr>
          <w:trHeight w:val="58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233CF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Total Assets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E70B59"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16755000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AB4EF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14957000</w:t>
            </w:r>
          </w:p>
        </w:tc>
      </w:tr>
      <w:tr w:rsidR="00C33CEF" w:rsidRPr="00C33CEF" w14:paraId="03629871"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8653F0"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Current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94EC752"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2431000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418A4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2871000</w:t>
            </w:r>
          </w:p>
        </w:tc>
      </w:tr>
      <w:tr w:rsidR="00C33CEF" w:rsidRPr="00C33CEF" w14:paraId="0B04EC68"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EE7F0" w14:textId="77777777" w:rsidR="00C33CEF" w:rsidRPr="00C33CEF" w:rsidRDefault="00C33CEF" w:rsidP="00C33CEF">
            <w:pPr>
              <w:rPr>
                <w:rFonts w:eastAsia="Times New Roman" w:cs="Times New Roman"/>
                <w:szCs w:val="24"/>
                <w:lang w:eastAsia="en-IN"/>
              </w:rPr>
            </w:pPr>
            <w:proofErr w:type="spellStart"/>
            <w:r w:rsidRPr="00C33CEF">
              <w:rPr>
                <w:rFonts w:eastAsia="Times New Roman" w:cs="Times New Roman"/>
                <w:color w:val="000000"/>
                <w:szCs w:val="24"/>
                <w:lang w:eastAsia="en-IN"/>
              </w:rPr>
              <w:t>Non Current</w:t>
            </w:r>
            <w:proofErr w:type="spellEnd"/>
            <w:r w:rsidRPr="00C33CEF">
              <w:rPr>
                <w:rFonts w:eastAsia="Times New Roman" w:cs="Times New Roman"/>
                <w:color w:val="000000"/>
                <w:szCs w:val="24"/>
                <w:lang w:eastAsia="en-IN"/>
              </w:rPr>
              <w:t xml:space="preserve">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94C79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15810000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B8D65F"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12558000</w:t>
            </w:r>
          </w:p>
        </w:tc>
      </w:tr>
      <w:tr w:rsidR="00C33CEF" w:rsidRPr="00C33CEF" w14:paraId="08A3EFA0"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E08D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Total Liabilities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D68072"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18241000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0A4272"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15429000</w:t>
            </w:r>
          </w:p>
        </w:tc>
      </w:tr>
      <w:tr w:rsidR="00C33CEF" w:rsidRPr="00C33CEF" w14:paraId="35066621"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C894C"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lastRenderedPageBreak/>
              <w:t>Common Stock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BD69E"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3000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85331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3000</w:t>
            </w:r>
          </w:p>
        </w:tc>
      </w:tr>
      <w:tr w:rsidR="00C33CEF" w:rsidRPr="00C33CEF" w14:paraId="37609B1F"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88D93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Retained Earnings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26CB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-6732000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11C934"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-5965000</w:t>
            </w:r>
          </w:p>
        </w:tc>
      </w:tr>
      <w:tr w:rsidR="00C33CEF" w:rsidRPr="00C33CEF" w14:paraId="4AE5107C"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2BB5D4" w14:textId="59681E03"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 xml:space="preserve">Total </w:t>
            </w:r>
            <w:r w:rsidR="005B6F88" w:rsidRPr="00C33CEF">
              <w:rPr>
                <w:rFonts w:eastAsia="Times New Roman" w:cs="Times New Roman"/>
                <w:color w:val="000000"/>
                <w:szCs w:val="24"/>
                <w:lang w:eastAsia="en-IN"/>
              </w:rPr>
              <w:t>Stockholders’</w:t>
            </w:r>
            <w:r w:rsidRPr="00C33CEF">
              <w:rPr>
                <w:rFonts w:eastAsia="Times New Roman" w:cs="Times New Roman"/>
                <w:color w:val="000000"/>
                <w:szCs w:val="24"/>
                <w:lang w:eastAsia="en-IN"/>
              </w:rPr>
              <w:t xml:space="preserve"> Equity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EB3704"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-1490000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A8CB7"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-482000</w:t>
            </w:r>
          </w:p>
        </w:tc>
      </w:tr>
      <w:tr w:rsidR="00C33CEF" w:rsidRPr="00C33CEF" w14:paraId="6FEC17F8" w14:textId="77777777" w:rsidTr="00C33CEF">
        <w:trPr>
          <w:trHeight w:val="57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6543D"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Total Liabilities and Stockholder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A9746"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16755000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1A66F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14957000</w:t>
            </w:r>
          </w:p>
        </w:tc>
      </w:tr>
    </w:tbl>
    <w:p w14:paraId="4F607EED" w14:textId="77777777" w:rsidR="00C33CEF" w:rsidRPr="00C33CEF" w:rsidRDefault="00C33CEF" w:rsidP="00C33CEF">
      <w:pPr>
        <w:rPr>
          <w:rFonts w:eastAsia="Times New Roman" w:cs="Times New Roman"/>
          <w:szCs w:val="24"/>
          <w:lang w:eastAsia="en-IN"/>
        </w:rPr>
      </w:pPr>
    </w:p>
    <w:tbl>
      <w:tblPr>
        <w:tblW w:w="0" w:type="auto"/>
        <w:tblCellMar>
          <w:top w:w="15" w:type="dxa"/>
          <w:left w:w="15" w:type="dxa"/>
          <w:bottom w:w="15" w:type="dxa"/>
          <w:right w:w="15" w:type="dxa"/>
        </w:tblCellMar>
        <w:tblLook w:val="04A0" w:firstRow="1" w:lastRow="0" w:firstColumn="1" w:lastColumn="0" w:noHBand="0" w:noVBand="1"/>
      </w:tblPr>
      <w:tblGrid>
        <w:gridCol w:w="2107"/>
        <w:gridCol w:w="3258"/>
        <w:gridCol w:w="1860"/>
        <w:gridCol w:w="1881"/>
      </w:tblGrid>
      <w:tr w:rsidR="00C33CEF" w:rsidRPr="00C33CEF" w14:paraId="3D5EE895" w14:textId="77777777" w:rsidTr="00C33CEF">
        <w:trPr>
          <w:trHeight w:val="345"/>
        </w:trPr>
        <w:tc>
          <w:tcPr>
            <w:tcW w:w="0" w:type="auto"/>
            <w:gridSpan w:val="4"/>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3F2316D"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Ratio Analysis for Hilton Worldwide Holdings Inc. for 2019 and 2020</w:t>
            </w:r>
          </w:p>
        </w:tc>
      </w:tr>
      <w:tr w:rsidR="00C33CEF" w:rsidRPr="00C33CEF" w14:paraId="01F2A67D" w14:textId="77777777" w:rsidTr="00C33CEF">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D0D68A1"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Ratio</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673D3CA"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Formula</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490A40E"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2020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BF2855A"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2019</w:t>
            </w:r>
          </w:p>
        </w:tc>
      </w:tr>
      <w:tr w:rsidR="00C33CEF" w:rsidRPr="00C33CEF" w14:paraId="4F00FE94" w14:textId="77777777" w:rsidTr="00C33CEF">
        <w:trPr>
          <w:trHeight w:val="112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4E9C640"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Current Ratio</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76771F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Current Assets / Current Liabilities</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68C3D7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(4202000 / 2431000)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D1DE5AE"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(2093000 / 2871000)</w:t>
            </w:r>
          </w:p>
        </w:tc>
      </w:tr>
      <w:tr w:rsidR="00C33CEF" w:rsidRPr="00C33CEF" w14:paraId="33CFD819" w14:textId="77777777" w:rsidTr="00C33CEF">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43360B5"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2120400"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83064C5"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1.73</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3969B4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0.73</w:t>
            </w:r>
          </w:p>
        </w:tc>
      </w:tr>
      <w:tr w:rsidR="00C33CEF" w:rsidRPr="00C33CEF" w14:paraId="6C3D5BAA" w14:textId="77777777" w:rsidTr="00C33CEF">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7A200BD"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D031B58"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B3CB9C9"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3B0446A" w14:textId="77777777" w:rsidR="00C33CEF" w:rsidRPr="00C33CEF" w:rsidRDefault="00C33CEF" w:rsidP="00C33CEF">
            <w:pPr>
              <w:rPr>
                <w:rFonts w:eastAsia="Times New Roman" w:cs="Times New Roman"/>
                <w:szCs w:val="24"/>
                <w:lang w:eastAsia="en-IN"/>
              </w:rPr>
            </w:pPr>
          </w:p>
        </w:tc>
      </w:tr>
      <w:tr w:rsidR="00C33CEF" w:rsidRPr="00C33CEF" w14:paraId="1E94D1A1" w14:textId="77777777" w:rsidTr="00C33CEF">
        <w:trPr>
          <w:trHeight w:val="87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8F27BB4"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Gross Profit Ratio</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9804E14"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(Gross Profit / Net Sales) * 100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A403D1E"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(583000 / 4307000) * 100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D75784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(2435000 / 9452000) * 100</w:t>
            </w:r>
          </w:p>
        </w:tc>
      </w:tr>
      <w:tr w:rsidR="00C33CEF" w:rsidRPr="00C33CEF" w14:paraId="54B0B03D" w14:textId="77777777" w:rsidTr="00C33CEF">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E3AD50B"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20BF2BE"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F6C448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13.54%</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78CEEC4"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25.76%</w:t>
            </w:r>
          </w:p>
        </w:tc>
      </w:tr>
      <w:tr w:rsidR="00C33CEF" w:rsidRPr="00C33CEF" w14:paraId="505844B1" w14:textId="77777777" w:rsidTr="00C33CEF">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966089A"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A64B9C2"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5374210"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3EE1995" w14:textId="77777777" w:rsidR="00C33CEF" w:rsidRPr="00C33CEF" w:rsidRDefault="00C33CEF" w:rsidP="00C33CEF">
            <w:pPr>
              <w:rPr>
                <w:rFonts w:eastAsia="Times New Roman" w:cs="Times New Roman"/>
                <w:szCs w:val="24"/>
                <w:lang w:eastAsia="en-IN"/>
              </w:rPr>
            </w:pPr>
          </w:p>
        </w:tc>
      </w:tr>
      <w:tr w:rsidR="00C33CEF" w:rsidRPr="00C33CEF" w14:paraId="0E00179A" w14:textId="77777777" w:rsidTr="00C33CEF">
        <w:trPr>
          <w:trHeight w:val="139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55012CA"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Operating Profit Ratio</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BEDBD14"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(Earnings Before Interest and Taxes / Net Sales) * 100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A7B7F1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(-924000 / 4307000) * 100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EC81CA7"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(1244000 / 9452000) * 100</w:t>
            </w:r>
          </w:p>
        </w:tc>
      </w:tr>
      <w:tr w:rsidR="00C33CEF" w:rsidRPr="00C33CEF" w14:paraId="40B566C0" w14:textId="77777777" w:rsidTr="00C33CEF">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349615D6"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D070A1"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37DD20A"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-21.45%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CEFA5B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13.16%</w:t>
            </w:r>
          </w:p>
        </w:tc>
      </w:tr>
      <w:tr w:rsidR="00C33CEF" w:rsidRPr="00C33CEF" w14:paraId="4A5AB391" w14:textId="77777777" w:rsidTr="00C33CEF">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A33A49A"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A3E5B0B"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537B08E"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047CFF4C" w14:textId="77777777" w:rsidR="00C33CEF" w:rsidRPr="00C33CEF" w:rsidRDefault="00C33CEF" w:rsidP="00C33CEF">
            <w:pPr>
              <w:rPr>
                <w:rFonts w:eastAsia="Times New Roman" w:cs="Times New Roman"/>
                <w:szCs w:val="24"/>
                <w:lang w:eastAsia="en-IN"/>
              </w:rPr>
            </w:pPr>
          </w:p>
        </w:tc>
      </w:tr>
      <w:tr w:rsidR="00C33CEF" w:rsidRPr="00C33CEF" w14:paraId="4A388675" w14:textId="77777777" w:rsidTr="00C33CEF">
        <w:trPr>
          <w:trHeight w:val="870"/>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14A79AEB" w14:textId="77777777" w:rsidR="00C33CEF" w:rsidRPr="00C33CEF" w:rsidRDefault="00C33CEF" w:rsidP="00C33CEF">
            <w:pPr>
              <w:rPr>
                <w:rFonts w:eastAsia="Times New Roman" w:cs="Times New Roman"/>
                <w:szCs w:val="24"/>
                <w:lang w:eastAsia="en-IN"/>
              </w:rPr>
            </w:pPr>
            <w:r w:rsidRPr="00C33CEF">
              <w:rPr>
                <w:rFonts w:eastAsia="Times New Roman" w:cs="Times New Roman"/>
                <w:b/>
                <w:bCs/>
                <w:color w:val="000000"/>
                <w:szCs w:val="24"/>
                <w:lang w:eastAsia="en-IN"/>
              </w:rPr>
              <w:t>Fixed Assets Turnover Ratio</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CEEE9A8"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(Net Sales / Average Fixed Assets)</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486CC63"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(4307000 / 1118000)</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25BE3A1"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(9452000 / 1247000)</w:t>
            </w:r>
          </w:p>
        </w:tc>
      </w:tr>
      <w:tr w:rsidR="00C33CEF" w:rsidRPr="00C33CEF" w14:paraId="2937FAA1" w14:textId="77777777" w:rsidTr="00C33CEF">
        <w:trPr>
          <w:trHeight w:val="34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58B10CA"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31010DD"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4A63D550"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3.85</w:t>
            </w: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72FB2E9C"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00000"/>
                <w:szCs w:val="24"/>
                <w:lang w:eastAsia="en-IN"/>
              </w:rPr>
              <w:t>7.58</w:t>
            </w:r>
          </w:p>
        </w:tc>
      </w:tr>
      <w:tr w:rsidR="00C33CEF" w:rsidRPr="00C33CEF" w14:paraId="11FEC965" w14:textId="77777777" w:rsidTr="00C33CEF">
        <w:trPr>
          <w:trHeight w:val="315"/>
        </w:trPr>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396B1F3"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2735B1B6"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51EF6550" w14:textId="77777777" w:rsidR="00C33CEF" w:rsidRPr="00C33CEF" w:rsidRDefault="00C33CEF" w:rsidP="00C33CEF">
            <w:pPr>
              <w:rPr>
                <w:rFonts w:eastAsia="Times New Roman" w:cs="Times New Roman"/>
                <w:szCs w:val="24"/>
                <w:lang w:eastAsia="en-IN"/>
              </w:rPr>
            </w:pPr>
          </w:p>
        </w:tc>
        <w:tc>
          <w:tcPr>
            <w:tcW w:w="0" w:type="auto"/>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hideMark/>
          </w:tcPr>
          <w:p w14:paraId="680E91DD" w14:textId="77777777" w:rsidR="00C33CEF" w:rsidRPr="00C33CEF" w:rsidRDefault="00C33CEF" w:rsidP="00C33CEF">
            <w:pPr>
              <w:rPr>
                <w:rFonts w:eastAsia="Times New Roman" w:cs="Times New Roman"/>
                <w:szCs w:val="24"/>
                <w:lang w:eastAsia="en-IN"/>
              </w:rPr>
            </w:pPr>
          </w:p>
        </w:tc>
      </w:tr>
    </w:tbl>
    <w:p w14:paraId="7680CFB3" w14:textId="77777777" w:rsidR="00C33CEF" w:rsidRPr="00C33CEF" w:rsidRDefault="00C33CEF" w:rsidP="00C33CEF">
      <w:pPr>
        <w:rPr>
          <w:rFonts w:eastAsia="Times New Roman" w:cs="Times New Roman"/>
          <w:szCs w:val="24"/>
          <w:lang w:eastAsia="en-IN"/>
        </w:rPr>
      </w:pPr>
    </w:p>
    <w:p w14:paraId="46AD0614" w14:textId="77777777" w:rsidR="00C33CEF" w:rsidRPr="00C33CEF" w:rsidRDefault="00C33CEF" w:rsidP="00C33CEF">
      <w:pPr>
        <w:pStyle w:val="Heading1"/>
        <w:rPr>
          <w:rFonts w:eastAsia="Times New Roman"/>
          <w:lang w:eastAsia="en-IN"/>
        </w:rPr>
      </w:pPr>
      <w:bookmarkStart w:id="3" w:name="_Toc104147061"/>
      <w:r w:rsidRPr="00C33CEF">
        <w:rPr>
          <w:rFonts w:eastAsia="Times New Roman"/>
          <w:lang w:eastAsia="en-IN"/>
        </w:rPr>
        <w:t>Outline the importance of using ratio analysis for decision making</w:t>
      </w:r>
      <w:bookmarkEnd w:id="3"/>
    </w:p>
    <w:p w14:paraId="76CF1770" w14:textId="4A0A7728"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 xml:space="preserve">The aspect of ratio analysis is generally known to be a quantitative method that is related to the gaining an inside associated with the liquidity of an organisation along with its profitability and operational efficiency with the help of starting the financial statements of the organisation that mainly includes an income statement and the balance sheet. </w:t>
      </w:r>
      <w:proofErr w:type="gramStart"/>
      <w:r w:rsidRPr="00C33CEF">
        <w:rPr>
          <w:rFonts w:eastAsia="Times New Roman" w:cs="Times New Roman"/>
          <w:color w:val="0E101A"/>
          <w:szCs w:val="24"/>
          <w:lang w:eastAsia="en-IN"/>
        </w:rPr>
        <w:t>ratio</w:t>
      </w:r>
      <w:proofErr w:type="gramEnd"/>
      <w:r w:rsidRPr="00C33CEF">
        <w:rPr>
          <w:rFonts w:eastAsia="Times New Roman" w:cs="Times New Roman"/>
          <w:color w:val="0E101A"/>
          <w:szCs w:val="24"/>
          <w:lang w:eastAsia="en-IN"/>
        </w:rPr>
        <w:t xml:space="preserve"> analysis tends to be the cornerstone related to the fundamental equity analysis of an organisation. The analysts and investors mainly employ ratio analysis for the purpose of evaluating the financial help of an organisation in terms of scrutinising the past as well as current financial statements of the business</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1636212897"/>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Sri18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(Srinivasan, 2018)</w:t>
          </w:r>
          <w:r w:rsidR="0040296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 Comparative data could be easily demonstrated with the help of this analysis that mainly tells how an organisation is performing over a certain time period and code mostly be used for estimating the future performance of the business. The data generated with the help of ratio analysis could also be helpful in comparing the financial standing of an organisation with the averages of the industry while also measuring how the organisations' tax UP against other businesses within the same industrial sector.</w:t>
      </w:r>
    </w:p>
    <w:p w14:paraId="01C30C4B" w14:textId="6217EB17"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The aspect of ratio analysis tends to be important for an organisation as it helps and analyse the financial position solvency liquidity operations effectiveness profitability appropriate utilisation of the funds and also the risks of the company indicating a certain comparison or trend related to the financial results which could be significantly helpful towards decision making process related to investments by the shareholders of the organisation. The main importance of using ratio analysis in terms of the decision-making process has been discussed below according to different factors.</w:t>
      </w:r>
    </w:p>
    <w:p w14:paraId="32BB3C3D" w14:textId="1F0C000A" w:rsidR="00C33CEF" w:rsidRPr="00C33CEF" w:rsidRDefault="00C33CEF" w:rsidP="00C33CEF">
      <w:pPr>
        <w:rPr>
          <w:rFonts w:eastAsia="Times New Roman" w:cs="Times New Roman"/>
          <w:color w:val="0E101A"/>
          <w:szCs w:val="24"/>
          <w:lang w:eastAsia="en-IN"/>
        </w:rPr>
      </w:pPr>
      <w:r w:rsidRPr="00C33CEF">
        <w:rPr>
          <w:rFonts w:eastAsia="Times New Roman" w:cs="Times New Roman"/>
          <w:b/>
          <w:bCs/>
          <w:color w:val="0E101A"/>
          <w:szCs w:val="24"/>
          <w:lang w:eastAsia="en-IN"/>
        </w:rPr>
        <w:t>Analysis of Operational Efficiency -</w:t>
      </w:r>
      <w:r w:rsidRPr="00C33CEF">
        <w:rPr>
          <w:rFonts w:eastAsia="Times New Roman" w:cs="Times New Roman"/>
          <w:color w:val="0E101A"/>
          <w:szCs w:val="24"/>
          <w:lang w:eastAsia="en-IN"/>
        </w:rPr>
        <w:t xml:space="preserve"> With respect to the analysis of the operational efficiency of the organisation application of ratio analysis tends to be significant so that an appropriate decision making process could be applied since the ratios such as inventory turnover ratio of fixed assets turnover ratio could be compared with other organisations within the same sector of work that shall help in analysing how the business must be managed in a better manner and what kind of decisions can be helpful for the business to achieve its necessary objectives and profitability</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2110423972"/>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Din19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(Ding, et al., 2019)</w:t>
          </w:r>
          <w:r w:rsidR="0040296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 xml:space="preserve">. The aspect of improvement is associated with the growth within the profitability of the business due to </w:t>
      </w:r>
      <w:r w:rsidRPr="00C33CEF">
        <w:rPr>
          <w:rFonts w:eastAsia="Times New Roman" w:cs="Times New Roman"/>
          <w:color w:val="0E101A"/>
          <w:szCs w:val="24"/>
          <w:lang w:eastAsia="en-IN"/>
        </w:rPr>
        <w:lastRenderedPageBreak/>
        <w:t>which analysing the ratios helps the business and making decisions as to how growth can be achieved and what strategies can be applied in the business to improve the operations for both short term and long term period.</w:t>
      </w:r>
    </w:p>
    <w:p w14:paraId="5402C355" w14:textId="68A1A544" w:rsidR="00C33CEF" w:rsidRPr="00C33CEF" w:rsidRDefault="00C33CEF" w:rsidP="00C33CEF">
      <w:pPr>
        <w:rPr>
          <w:rFonts w:eastAsia="Times New Roman" w:cs="Times New Roman"/>
          <w:color w:val="0E101A"/>
          <w:szCs w:val="24"/>
          <w:lang w:eastAsia="en-IN"/>
        </w:rPr>
      </w:pPr>
      <w:r w:rsidRPr="00C33CEF">
        <w:rPr>
          <w:rFonts w:eastAsia="Times New Roman" w:cs="Times New Roman"/>
          <w:b/>
          <w:bCs/>
          <w:color w:val="0E101A"/>
          <w:szCs w:val="24"/>
          <w:lang w:eastAsia="en-IN"/>
        </w:rPr>
        <w:t>Helps in Identifying the Business Risks of the Firm -</w:t>
      </w:r>
      <w:r w:rsidRPr="00C33CEF">
        <w:rPr>
          <w:rFonts w:eastAsia="Times New Roman" w:cs="Times New Roman"/>
          <w:color w:val="0E101A"/>
          <w:szCs w:val="24"/>
          <w:lang w:eastAsia="en-IN"/>
        </w:rPr>
        <w:t xml:space="preserve"> It is important to understand that the application of ratio analysis has one of the main reasons within the business and that is analysing the business risks of the organisation. Proper decisions related to the growth and success of the business can only be taken if the risks of the business could be analysed in an appropriate manner along with allowing the business to understand how the profitability could be sensitive regarding the fixed cost deployment as well as outstanding debts of the business. Without appropriately understanding the risks of the business decisions, decisions related to the achievement of objectives or goals of the company cannot be taken appropriately and might lead to a significant loss within the business which might not be recovered even if other strategies get applied</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122349292"/>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Had20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(Haddad, et al., 2020)</w:t>
          </w:r>
          <w:r w:rsidR="0040296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 </w:t>
      </w:r>
    </w:p>
    <w:p w14:paraId="090C7630" w14:textId="29DEEBBA" w:rsidR="00C33CEF" w:rsidRPr="00C33CEF" w:rsidRDefault="00C33CEF" w:rsidP="00C33CEF">
      <w:pPr>
        <w:rPr>
          <w:rFonts w:eastAsia="Times New Roman" w:cs="Times New Roman"/>
          <w:color w:val="0E101A"/>
          <w:szCs w:val="24"/>
          <w:lang w:eastAsia="en-IN"/>
        </w:rPr>
      </w:pPr>
      <w:r w:rsidRPr="00C33CEF">
        <w:rPr>
          <w:rFonts w:eastAsia="Times New Roman" w:cs="Times New Roman"/>
          <w:b/>
          <w:bCs/>
          <w:color w:val="0E101A"/>
          <w:szCs w:val="24"/>
          <w:lang w:eastAsia="en-IN"/>
        </w:rPr>
        <w:t xml:space="preserve">Helps in Identifying Financial Risks of the Business - </w:t>
      </w:r>
      <w:r w:rsidRPr="00C33CEF">
        <w:rPr>
          <w:rFonts w:eastAsia="Times New Roman" w:cs="Times New Roman"/>
          <w:color w:val="0E101A"/>
          <w:szCs w:val="24"/>
          <w:lang w:eastAsia="en-IN"/>
        </w:rPr>
        <w:t xml:space="preserve">One of the key </w:t>
      </w:r>
      <w:proofErr w:type="gramStart"/>
      <w:r w:rsidRPr="00C33CEF">
        <w:rPr>
          <w:rFonts w:eastAsia="Times New Roman" w:cs="Times New Roman"/>
          <w:color w:val="0E101A"/>
          <w:szCs w:val="24"/>
          <w:lang w:eastAsia="en-IN"/>
        </w:rPr>
        <w:t>importance</w:t>
      </w:r>
      <w:proofErr w:type="gramEnd"/>
      <w:r w:rsidRPr="00C33CEF">
        <w:rPr>
          <w:rFonts w:eastAsia="Times New Roman" w:cs="Times New Roman"/>
          <w:color w:val="0E101A"/>
          <w:szCs w:val="24"/>
          <w:lang w:eastAsia="en-IN"/>
        </w:rPr>
        <w:t xml:space="preserve"> of using the ratio analysis within the organisation is that it helps in identifying the various financial risks related to the business. Calculation of different ratios such as interest coverage ratio or leverage ratio generally helps the business and understanding how the company is dependent on its external capital and whether the organisation is capable of repaying different dates using the existing wealth of the business. this aspect is important towards decision making process in the business since analysing the financial risk helps the business to understand where the available funds and resources could be implemented so that strategic success of the business could be achieved and hence if the financial risks of the business do not get identified as per the requirement then decisions of the company related to financial investments and expenses cannot be judged and might lead to a severe loss being generated by the business in both short term and long term scenario</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1504161041"/>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Mor18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(Morales-Díaz &amp; Zamora-Ramírez, 2018)</w:t>
          </w:r>
          <w:r w:rsidR="0040296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w:t>
      </w:r>
    </w:p>
    <w:p w14:paraId="3E1ECEE7" w14:textId="4B1524CD" w:rsidR="00C33CEF" w:rsidRPr="00C33CEF" w:rsidRDefault="00C33CEF" w:rsidP="00C33CEF">
      <w:pPr>
        <w:rPr>
          <w:rFonts w:eastAsia="Times New Roman" w:cs="Times New Roman"/>
          <w:color w:val="0E101A"/>
          <w:szCs w:val="24"/>
          <w:lang w:eastAsia="en-IN"/>
        </w:rPr>
      </w:pPr>
      <w:r w:rsidRPr="00C33CEF">
        <w:rPr>
          <w:rFonts w:eastAsia="Times New Roman" w:cs="Times New Roman"/>
          <w:b/>
          <w:bCs/>
          <w:color w:val="0E101A"/>
          <w:szCs w:val="24"/>
          <w:lang w:eastAsia="en-IN"/>
        </w:rPr>
        <w:t>Liquidity of the Firm -</w:t>
      </w:r>
      <w:r w:rsidRPr="00C33CEF">
        <w:rPr>
          <w:rFonts w:eastAsia="Times New Roman" w:cs="Times New Roman"/>
          <w:color w:val="0E101A"/>
          <w:szCs w:val="24"/>
          <w:lang w:eastAsia="en-IN"/>
        </w:rPr>
        <w:t xml:space="preserve"> The liquidity aspect generally helps in determining whether an Organisation could be able to pay its short-term obligations which suggest the short term debts which an organisation has to pay within a time period of 12 months or the operating cycle of the company. </w:t>
      </w:r>
      <w:proofErr w:type="gramStart"/>
      <w:r w:rsidRPr="00C33CEF">
        <w:rPr>
          <w:rFonts w:eastAsia="Times New Roman" w:cs="Times New Roman"/>
          <w:color w:val="0E101A"/>
          <w:szCs w:val="24"/>
          <w:lang w:eastAsia="en-IN"/>
        </w:rPr>
        <w:t>ratios</w:t>
      </w:r>
      <w:proofErr w:type="gramEnd"/>
      <w:r w:rsidRPr="00C33CEF">
        <w:rPr>
          <w:rFonts w:eastAsia="Times New Roman" w:cs="Times New Roman"/>
          <w:color w:val="0E101A"/>
          <w:szCs w:val="24"/>
          <w:lang w:eastAsia="en-IN"/>
        </w:rPr>
        <w:t xml:space="preserve"> such as current and quick are generally used for measuring the liquidity of the organisation. Hence the analysis of the organisational liquidity becomes important in terms of making decisions within the organisation since it helps the management </w:t>
      </w:r>
      <w:r w:rsidRPr="00C33CEF">
        <w:rPr>
          <w:rFonts w:eastAsia="Times New Roman" w:cs="Times New Roman"/>
          <w:color w:val="0E101A"/>
          <w:szCs w:val="24"/>
          <w:lang w:eastAsia="en-IN"/>
        </w:rPr>
        <w:lastRenderedPageBreak/>
        <w:t xml:space="preserve">and the other important business personnel to understand where their death or liabilities stand in the present scenario and whether they can be able to pay off the money within the required amount of time. </w:t>
      </w:r>
      <w:proofErr w:type="gramStart"/>
      <w:r w:rsidRPr="00C33CEF">
        <w:rPr>
          <w:rFonts w:eastAsia="Times New Roman" w:cs="Times New Roman"/>
          <w:color w:val="0E101A"/>
          <w:szCs w:val="24"/>
          <w:lang w:eastAsia="en-IN"/>
        </w:rPr>
        <w:t>decisions</w:t>
      </w:r>
      <w:proofErr w:type="gramEnd"/>
      <w:r w:rsidRPr="00C33CEF">
        <w:rPr>
          <w:rFonts w:eastAsia="Times New Roman" w:cs="Times New Roman"/>
          <w:color w:val="0E101A"/>
          <w:szCs w:val="24"/>
          <w:lang w:eastAsia="en-IN"/>
        </w:rPr>
        <w:t xml:space="preserve"> related to the payment of debts or any other short-term obligations can only be done if the liquidity ratios are analysed and calculated in the appropriate manner</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1131671852"/>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Lin18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(Linares-Mustarós, et al., 2018)</w:t>
          </w:r>
          <w:r w:rsidR="0040296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 </w:t>
      </w:r>
    </w:p>
    <w:p w14:paraId="3EF447FD" w14:textId="5D8B8EF7" w:rsidR="00C33CEF" w:rsidRPr="00C33CEF" w:rsidRDefault="00C33CEF" w:rsidP="00C33CEF">
      <w:pPr>
        <w:pStyle w:val="Heading1"/>
        <w:rPr>
          <w:rFonts w:eastAsia="Times New Roman"/>
          <w:lang w:eastAsia="en-IN"/>
        </w:rPr>
      </w:pPr>
      <w:bookmarkStart w:id="4" w:name="_Toc104147062"/>
      <w:r w:rsidRPr="00C33CEF">
        <w:rPr>
          <w:rFonts w:eastAsia="Times New Roman"/>
          <w:lang w:eastAsia="en-IN"/>
        </w:rPr>
        <w:t>Investigate the limitation of ratio analysis, including why an understanding of ratios and their fluctuations is essential for hotel management in analysing the information seen in their financial statements.</w:t>
      </w:r>
      <w:bookmarkEnd w:id="4"/>
    </w:p>
    <w:p w14:paraId="3C7A871B" w14:textId="77777777"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Even though the aspect of ratio analysis generally comprises different benefits and advantages for the company it is being applied to, there are still certain limitations which are necessary to be considered by the business to operate and take decisions of the company by considering both short-term and long-term scenarios. Some of the main limitations related to ratio analysis have been discussed below.</w:t>
      </w:r>
    </w:p>
    <w:p w14:paraId="439DFA9D" w14:textId="1592433E" w:rsidR="00C33CEF" w:rsidRPr="00C33CEF" w:rsidRDefault="00C33CEF" w:rsidP="00C33CEF">
      <w:pPr>
        <w:pStyle w:val="ListParagraph"/>
        <w:numPr>
          <w:ilvl w:val="0"/>
          <w:numId w:val="3"/>
        </w:numPr>
        <w:rPr>
          <w:rFonts w:eastAsia="Times New Roman" w:cs="Times New Roman"/>
          <w:color w:val="0E101A"/>
          <w:szCs w:val="24"/>
          <w:lang w:eastAsia="en-IN"/>
        </w:rPr>
      </w:pPr>
      <w:r w:rsidRPr="00C33CEF">
        <w:rPr>
          <w:rFonts w:eastAsia="Times New Roman" w:cs="Times New Roman"/>
          <w:color w:val="0E101A"/>
          <w:szCs w:val="24"/>
          <w:lang w:eastAsia="en-IN"/>
        </w:rPr>
        <w:t>One of the biggest limitations of ratio analysis is that the information received from the analysis is generally historic and not current which becomes an issue at times for analysing the present financial and business position of the organisation within a specific market</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1605769649"/>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Zor18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(Zorn, et al., 2018)</w:t>
          </w:r>
          <w:r w:rsidR="00402968">
            <w:rPr>
              <w:rFonts w:eastAsia="Times New Roman" w:cs="Times New Roman"/>
              <w:color w:val="0E101A"/>
              <w:szCs w:val="24"/>
              <w:lang w:eastAsia="en-IN"/>
            </w:rPr>
            <w:fldChar w:fldCharType="end"/>
          </w:r>
        </w:sdtContent>
      </w:sdt>
      <w:r w:rsidR="00402968">
        <w:rPr>
          <w:rFonts w:eastAsia="Times New Roman" w:cs="Times New Roman"/>
          <w:color w:val="0E101A"/>
          <w:szCs w:val="24"/>
          <w:lang w:eastAsia="en-IN"/>
        </w:rPr>
        <w:t>.</w:t>
      </w:r>
    </w:p>
    <w:p w14:paraId="1EA430C7" w14:textId="7C0CF995" w:rsidR="00C33CEF" w:rsidRPr="00C33CEF" w:rsidRDefault="00C33CEF" w:rsidP="00C33CEF">
      <w:pPr>
        <w:pStyle w:val="ListParagraph"/>
        <w:numPr>
          <w:ilvl w:val="0"/>
          <w:numId w:val="3"/>
        </w:numPr>
        <w:rPr>
          <w:rFonts w:eastAsia="Times New Roman" w:cs="Times New Roman"/>
          <w:color w:val="0E101A"/>
          <w:szCs w:val="24"/>
          <w:lang w:eastAsia="en-IN"/>
        </w:rPr>
      </w:pPr>
      <w:r w:rsidRPr="00C33CEF">
        <w:rPr>
          <w:rFonts w:eastAsia="Times New Roman" w:cs="Times New Roman"/>
          <w:color w:val="0E101A"/>
          <w:szCs w:val="24"/>
          <w:lang w:eastAsia="en-IN"/>
        </w:rPr>
        <w:t>ratio analysis generally does not help in measuring the human element of an organisation and does not help the business in taking decisions related to the human factor of the business</w:t>
      </w:r>
    </w:p>
    <w:p w14:paraId="1BF010AC" w14:textId="73FEAF8F" w:rsidR="00C33CEF" w:rsidRPr="00C33CEF" w:rsidRDefault="00C33CEF" w:rsidP="00C33CEF">
      <w:pPr>
        <w:pStyle w:val="ListParagraph"/>
        <w:numPr>
          <w:ilvl w:val="0"/>
          <w:numId w:val="3"/>
        </w:numPr>
        <w:rPr>
          <w:rFonts w:eastAsia="Times New Roman" w:cs="Times New Roman"/>
          <w:color w:val="0E101A"/>
          <w:szCs w:val="24"/>
          <w:lang w:eastAsia="en-IN"/>
        </w:rPr>
      </w:pPr>
      <w:r w:rsidRPr="00C33CEF">
        <w:rPr>
          <w:rFonts w:eastAsia="Times New Roman" w:cs="Times New Roman"/>
          <w:color w:val="0E101A"/>
          <w:szCs w:val="24"/>
          <w:lang w:eastAsia="en-IN"/>
        </w:rPr>
        <w:t>the aspect of ratio analysis generally does not observe to be taking into account all the external factors related to the business such as worldwide recession or political disturbances within the country or the business where it is operating</w:t>
      </w:r>
    </w:p>
    <w:p w14:paraId="63BC49CF" w14:textId="77777777" w:rsidR="00C33CEF" w:rsidRPr="00C33CEF" w:rsidRDefault="00C33CEF" w:rsidP="00C33CEF">
      <w:pPr>
        <w:pStyle w:val="ListParagraph"/>
        <w:numPr>
          <w:ilvl w:val="0"/>
          <w:numId w:val="3"/>
        </w:numPr>
        <w:rPr>
          <w:rFonts w:eastAsia="Times New Roman" w:cs="Times New Roman"/>
          <w:color w:val="0E101A"/>
          <w:szCs w:val="24"/>
          <w:lang w:eastAsia="en-IN"/>
        </w:rPr>
      </w:pPr>
      <w:r w:rsidRPr="00C33CEF">
        <w:rPr>
          <w:rFonts w:eastAsia="Times New Roman" w:cs="Times New Roman"/>
          <w:color w:val="0E101A"/>
          <w:szCs w:val="24"/>
          <w:lang w:eastAsia="en-IN"/>
        </w:rPr>
        <w:t>another key limitation of ratio analysis is that it can only be used for the purpose of comparing other organisations in terms of similar types and sizes which can at times be not useful for businesses which are operating within a Monopoly market</w:t>
      </w:r>
    </w:p>
    <w:p w14:paraId="4968744C" w14:textId="6AE4B394" w:rsidR="00C33CEF" w:rsidRPr="00C33CEF" w:rsidRDefault="00C33CEF" w:rsidP="00C33CEF">
      <w:pPr>
        <w:pStyle w:val="ListParagraph"/>
        <w:numPr>
          <w:ilvl w:val="0"/>
          <w:numId w:val="3"/>
        </w:numPr>
        <w:rPr>
          <w:rFonts w:eastAsia="Times New Roman" w:cs="Times New Roman"/>
          <w:color w:val="0E101A"/>
          <w:szCs w:val="24"/>
          <w:lang w:eastAsia="en-IN"/>
        </w:rPr>
      </w:pPr>
      <w:proofErr w:type="gramStart"/>
      <w:r w:rsidRPr="00C33CEF">
        <w:rPr>
          <w:rFonts w:eastAsia="Times New Roman" w:cs="Times New Roman"/>
          <w:color w:val="0E101A"/>
          <w:szCs w:val="24"/>
          <w:lang w:eastAsia="en-IN"/>
        </w:rPr>
        <w:t>in</w:t>
      </w:r>
      <w:proofErr w:type="gramEnd"/>
      <w:r w:rsidRPr="00C33CEF">
        <w:rPr>
          <w:rFonts w:eastAsia="Times New Roman" w:cs="Times New Roman"/>
          <w:color w:val="0E101A"/>
          <w:szCs w:val="24"/>
          <w:lang w:eastAsia="en-IN"/>
        </w:rPr>
        <w:t xml:space="preserve"> terms of ratio analysis, it might be difficult at comparing the company with other businesses since they might not be willing to share the necessary information that is required for making be required analysis</w:t>
      </w:r>
      <w:r w:rsidR="00402968">
        <w:rPr>
          <w:rFonts w:eastAsia="Times New Roman" w:cs="Times New Roman"/>
          <w:color w:val="0E101A"/>
          <w:szCs w:val="24"/>
          <w:lang w:eastAsia="en-IN"/>
        </w:rPr>
        <w:t xml:space="preserve"> </w:t>
      </w:r>
      <w:sdt>
        <w:sdtPr>
          <w:rPr>
            <w:rFonts w:eastAsia="Times New Roman" w:cs="Times New Roman"/>
            <w:color w:val="0E101A"/>
            <w:szCs w:val="24"/>
            <w:lang w:eastAsia="en-IN"/>
          </w:rPr>
          <w:id w:val="1047256669"/>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mya20 \l 1033 </w:instrText>
          </w:r>
          <w:r w:rsidR="00402968">
            <w:rPr>
              <w:rFonts w:eastAsia="Times New Roman" w:cs="Times New Roman"/>
              <w:color w:val="0E101A"/>
              <w:szCs w:val="24"/>
              <w:lang w:eastAsia="en-IN"/>
            </w:rPr>
            <w:fldChar w:fldCharType="separate"/>
          </w:r>
          <w:r w:rsidR="00402968" w:rsidRPr="00402968">
            <w:rPr>
              <w:rFonts w:eastAsia="Times New Roman" w:cs="Times New Roman"/>
              <w:noProof/>
              <w:color w:val="0E101A"/>
              <w:szCs w:val="24"/>
              <w:lang w:val="en-US" w:eastAsia="en-IN"/>
            </w:rPr>
            <w:t>(myaccountingcourse, 2020)</w:t>
          </w:r>
          <w:r w:rsidR="00402968">
            <w:rPr>
              <w:rFonts w:eastAsia="Times New Roman" w:cs="Times New Roman"/>
              <w:color w:val="0E101A"/>
              <w:szCs w:val="24"/>
              <w:lang w:eastAsia="en-IN"/>
            </w:rPr>
            <w:fldChar w:fldCharType="end"/>
          </w:r>
        </w:sdtContent>
      </w:sdt>
      <w:r w:rsidR="00402968">
        <w:rPr>
          <w:rFonts w:eastAsia="Times New Roman" w:cs="Times New Roman"/>
          <w:color w:val="0E101A"/>
          <w:szCs w:val="24"/>
          <w:lang w:eastAsia="en-IN"/>
        </w:rPr>
        <w:t>.</w:t>
      </w:r>
    </w:p>
    <w:p w14:paraId="4742693E" w14:textId="782C0D39" w:rsidR="00C33CEF" w:rsidRPr="00C33CEF" w:rsidRDefault="00C33CEF" w:rsidP="00C33CEF">
      <w:pPr>
        <w:rPr>
          <w:rFonts w:eastAsia="Times New Roman" w:cs="Times New Roman"/>
          <w:szCs w:val="24"/>
          <w:lang w:eastAsia="en-IN"/>
        </w:rPr>
      </w:pPr>
      <w:r w:rsidRPr="00C33CEF">
        <w:rPr>
          <w:rFonts w:eastAsia="Times New Roman" w:cs="Times New Roman"/>
          <w:color w:val="0E101A"/>
          <w:szCs w:val="24"/>
          <w:lang w:eastAsia="en-IN"/>
        </w:rPr>
        <w:t xml:space="preserve">It is important to understand that having a proper understanding of the ratios as well as their fluctuations within the business becomes important for the hotel management for the purpose </w:t>
      </w:r>
      <w:r w:rsidRPr="00C33CEF">
        <w:rPr>
          <w:rFonts w:eastAsia="Times New Roman" w:cs="Times New Roman"/>
          <w:color w:val="0E101A"/>
          <w:szCs w:val="24"/>
          <w:lang w:eastAsia="en-IN"/>
        </w:rPr>
        <w:lastRenderedPageBreak/>
        <w:t>of analysing different information according to their financial statements since the hospitality sector of the UK comprises various hotels that are working in both large scale and small-scale operations. Being the hospitality industry is considered a general sector it becomes important for defining a certain set of financial ratios that could help in analysing organisations all across the entire industry regardless of the operations they are performing so that and proper understanding of how the business is Managing within the sector and how it can enhance its operations in a positive manner could be analysed. Moreover, it is generally observed that the hospitality sector is mostly heavy intangible and fixed assets and does mostly require a specific set of financial ratios for accurately analysing the overall industry as well as the performance of different individual organisations</w:t>
      </w:r>
      <w:sdt>
        <w:sdtPr>
          <w:rPr>
            <w:rFonts w:eastAsia="Times New Roman" w:cs="Times New Roman"/>
            <w:color w:val="0E101A"/>
            <w:szCs w:val="24"/>
            <w:lang w:eastAsia="en-IN"/>
          </w:rPr>
          <w:id w:val="-1534955660"/>
          <w:citation/>
        </w:sdtPr>
        <w:sdtEndPr/>
        <w:sdtContent>
          <w:r w:rsidR="00402968">
            <w:rPr>
              <w:rFonts w:eastAsia="Times New Roman" w:cs="Times New Roman"/>
              <w:color w:val="0E101A"/>
              <w:szCs w:val="24"/>
              <w:lang w:eastAsia="en-IN"/>
            </w:rPr>
            <w:fldChar w:fldCharType="begin"/>
          </w:r>
          <w:r w:rsidR="00402968">
            <w:rPr>
              <w:rFonts w:eastAsia="Times New Roman" w:cs="Times New Roman"/>
              <w:color w:val="0E101A"/>
              <w:szCs w:val="24"/>
              <w:lang w:val="en-US" w:eastAsia="en-IN"/>
            </w:rPr>
            <w:instrText xml:space="preserve"> CITATION Mol18 \l 1033 </w:instrText>
          </w:r>
          <w:r w:rsidR="00402968">
            <w:rPr>
              <w:rFonts w:eastAsia="Times New Roman" w:cs="Times New Roman"/>
              <w:color w:val="0E101A"/>
              <w:szCs w:val="24"/>
              <w:lang w:eastAsia="en-IN"/>
            </w:rPr>
            <w:fldChar w:fldCharType="separate"/>
          </w:r>
          <w:r w:rsidR="00402968">
            <w:rPr>
              <w:rFonts w:eastAsia="Times New Roman" w:cs="Times New Roman"/>
              <w:noProof/>
              <w:color w:val="0E101A"/>
              <w:szCs w:val="24"/>
              <w:lang w:val="en-US" w:eastAsia="en-IN"/>
            </w:rPr>
            <w:t xml:space="preserve"> </w:t>
          </w:r>
          <w:r w:rsidR="00402968" w:rsidRPr="00402968">
            <w:rPr>
              <w:rFonts w:eastAsia="Times New Roman" w:cs="Times New Roman"/>
              <w:noProof/>
              <w:color w:val="0E101A"/>
              <w:szCs w:val="24"/>
              <w:lang w:val="en-US" w:eastAsia="en-IN"/>
            </w:rPr>
            <w:t>(Molnar, et al., 2018)</w:t>
          </w:r>
          <w:r w:rsidR="00402968">
            <w:rPr>
              <w:rFonts w:eastAsia="Times New Roman" w:cs="Times New Roman"/>
              <w:color w:val="0E101A"/>
              <w:szCs w:val="24"/>
              <w:lang w:eastAsia="en-IN"/>
            </w:rPr>
            <w:fldChar w:fldCharType="end"/>
          </w:r>
        </w:sdtContent>
      </w:sdt>
      <w:r w:rsidRPr="00C33CEF">
        <w:rPr>
          <w:rFonts w:eastAsia="Times New Roman" w:cs="Times New Roman"/>
          <w:color w:val="0E101A"/>
          <w:szCs w:val="24"/>
          <w:lang w:eastAsia="en-IN"/>
        </w:rPr>
        <w:t>. </w:t>
      </w:r>
    </w:p>
    <w:p w14:paraId="59CC3CFF" w14:textId="77777777" w:rsidR="00C33CEF" w:rsidRPr="00C33CEF" w:rsidRDefault="00C33CEF" w:rsidP="00C33CEF">
      <w:pPr>
        <w:pStyle w:val="Heading1"/>
        <w:rPr>
          <w:rFonts w:eastAsia="Times New Roman"/>
          <w:lang w:eastAsia="en-IN"/>
        </w:rPr>
      </w:pPr>
      <w:bookmarkStart w:id="5" w:name="_Toc104147063"/>
      <w:r w:rsidRPr="00C33CEF">
        <w:rPr>
          <w:rFonts w:eastAsia="Times New Roman"/>
          <w:lang w:eastAsia="en-IN"/>
        </w:rPr>
        <w:t>Conclusion</w:t>
      </w:r>
      <w:bookmarkEnd w:id="5"/>
    </w:p>
    <w:p w14:paraId="0B4CFBCD" w14:textId="424481BC" w:rsidR="00C33CEF" w:rsidRDefault="00C33CEF" w:rsidP="00C33CEF">
      <w:pPr>
        <w:rPr>
          <w:rFonts w:eastAsia="Times New Roman" w:cs="Times New Roman"/>
          <w:color w:val="0E101A"/>
          <w:szCs w:val="24"/>
          <w:lang w:eastAsia="en-IN"/>
        </w:rPr>
      </w:pPr>
      <w:r w:rsidRPr="00C33CEF">
        <w:rPr>
          <w:rFonts w:eastAsia="Times New Roman" w:cs="Times New Roman"/>
          <w:color w:val="0E101A"/>
          <w:szCs w:val="24"/>
          <w:lang w:eastAsia="en-IN"/>
        </w:rPr>
        <w:t>Therefore, from the above discussion, it can be concluded by saying that the aspects of financial ratio calculation are important for a business so that necessary decisions related to the goals and success of the business can be taken along with helping the organisation to compete within its industry in a significant and positive manner. In terms of Hilton Worldwide Holdings Inc., it is being observed that the company has been performing better during the year 2019 than in the year 2020 the company has fallen down significantly in terms of income level as well as profitability achievement. The provision of different ratios has significantly shown that the business is facing serious financial risks and challenges within the business during the year 2020 rather than what It had been facing during 2019.</w:t>
      </w:r>
    </w:p>
    <w:p w14:paraId="5931DFFD" w14:textId="696ACCD1" w:rsidR="00EE1773" w:rsidRDefault="00EE1773" w:rsidP="00C33CEF">
      <w:pPr>
        <w:rPr>
          <w:rFonts w:eastAsia="Times New Roman" w:cs="Times New Roman"/>
          <w:color w:val="0E101A"/>
          <w:szCs w:val="24"/>
          <w:lang w:eastAsia="en-IN"/>
        </w:rPr>
      </w:pPr>
    </w:p>
    <w:p w14:paraId="41405AF2" w14:textId="5CEDDAC4" w:rsidR="00EE1773" w:rsidRDefault="00EE1773">
      <w:pPr>
        <w:spacing w:line="259" w:lineRule="auto"/>
        <w:jc w:val="left"/>
        <w:rPr>
          <w:rFonts w:eastAsia="Times New Roman" w:cs="Times New Roman"/>
          <w:color w:val="0E101A"/>
          <w:szCs w:val="24"/>
          <w:lang w:eastAsia="en-IN"/>
        </w:rPr>
      </w:pPr>
      <w:r>
        <w:rPr>
          <w:rFonts w:eastAsia="Times New Roman" w:cs="Times New Roman"/>
          <w:color w:val="0E101A"/>
          <w:szCs w:val="24"/>
          <w:lang w:eastAsia="en-IN"/>
        </w:rPr>
        <w:br w:type="page"/>
      </w:r>
    </w:p>
    <w:bookmarkStart w:id="6" w:name="_Toc104147064" w:displacedByCustomXml="next"/>
    <w:sdt>
      <w:sdtPr>
        <w:rPr>
          <w:rFonts w:eastAsiaTheme="minorHAnsi" w:cstheme="minorBidi"/>
          <w:b w:val="0"/>
          <w:color w:val="auto"/>
          <w:sz w:val="24"/>
          <w:szCs w:val="22"/>
        </w:rPr>
        <w:id w:val="1817752621"/>
        <w:docPartObj>
          <w:docPartGallery w:val="Bibliographies"/>
          <w:docPartUnique/>
        </w:docPartObj>
      </w:sdtPr>
      <w:sdtEndPr/>
      <w:sdtContent>
        <w:p w14:paraId="59F1B3EC" w14:textId="1A7C85F8" w:rsidR="00065778" w:rsidRDefault="00065778">
          <w:pPr>
            <w:pStyle w:val="Heading1"/>
          </w:pPr>
          <w:r>
            <w:t>References</w:t>
          </w:r>
          <w:bookmarkEnd w:id="6"/>
        </w:p>
        <w:sdt>
          <w:sdtPr>
            <w:id w:val="-573587230"/>
            <w:bibliography/>
          </w:sdtPr>
          <w:sdtEndPr/>
          <w:sdtContent>
            <w:p w14:paraId="4E7BBA78" w14:textId="77777777" w:rsidR="00065778" w:rsidRDefault="00065778" w:rsidP="00065778">
              <w:pPr>
                <w:pStyle w:val="Bibliography"/>
                <w:rPr>
                  <w:noProof/>
                  <w:szCs w:val="24"/>
                </w:rPr>
              </w:pPr>
              <w:r>
                <w:fldChar w:fldCharType="begin"/>
              </w:r>
              <w:r>
                <w:instrText xml:space="preserve"> BIBLIOGRAPHY </w:instrText>
              </w:r>
              <w:r>
                <w:fldChar w:fldCharType="separate"/>
              </w:r>
              <w:r>
                <w:rPr>
                  <w:noProof/>
                </w:rPr>
                <w:t xml:space="preserve">Ding, K., Peng, X. &amp; Wang, Y., 2019. A machine learning-based peer selection method with financial ratios. </w:t>
              </w:r>
              <w:r>
                <w:rPr>
                  <w:i/>
                  <w:iCs/>
                  <w:noProof/>
                </w:rPr>
                <w:t xml:space="preserve">Accounting Horizons, </w:t>
              </w:r>
              <w:r>
                <w:rPr>
                  <w:noProof/>
                </w:rPr>
                <w:t>33(3), pp. 75-87.</w:t>
              </w:r>
            </w:p>
            <w:p w14:paraId="7BAD713F" w14:textId="77777777" w:rsidR="00065778" w:rsidRDefault="00065778" w:rsidP="00065778">
              <w:pPr>
                <w:pStyle w:val="Bibliography"/>
                <w:rPr>
                  <w:noProof/>
                </w:rPr>
              </w:pPr>
              <w:r>
                <w:rPr>
                  <w:noProof/>
                </w:rPr>
                <w:t xml:space="preserve">Haddad, A., Shibly, F. &amp; Haddad, R., 2020. Voluntary disclosure of accounting ratios and firm-specific characteristics: the case of GCC. </w:t>
              </w:r>
              <w:r>
                <w:rPr>
                  <w:i/>
                  <w:iCs/>
                  <w:noProof/>
                </w:rPr>
                <w:t>Journal of Financial Reporting and Accounting.</w:t>
              </w:r>
            </w:p>
            <w:p w14:paraId="47DE6E0E" w14:textId="77777777" w:rsidR="00065778" w:rsidRDefault="00065778" w:rsidP="00065778">
              <w:pPr>
                <w:pStyle w:val="Bibliography"/>
                <w:rPr>
                  <w:noProof/>
                </w:rPr>
              </w:pPr>
              <w:r>
                <w:rPr>
                  <w:noProof/>
                </w:rPr>
                <w:t xml:space="preserve">Linares-Mustarós, S., Coenders, G. &amp; Vives-Mestres, M., 2018. Financial performance and distress profiles. From classification according to financial ratios to compositional classification. </w:t>
              </w:r>
              <w:r>
                <w:rPr>
                  <w:i/>
                  <w:iCs/>
                  <w:noProof/>
                </w:rPr>
                <w:t xml:space="preserve">Advances in Accounting, </w:t>
              </w:r>
              <w:r>
                <w:rPr>
                  <w:noProof/>
                </w:rPr>
                <w:t>Volume 40, pp. 1-10.</w:t>
              </w:r>
            </w:p>
            <w:p w14:paraId="3B30E5C7" w14:textId="77777777" w:rsidR="00065778" w:rsidRDefault="00065778" w:rsidP="00065778">
              <w:pPr>
                <w:pStyle w:val="Bibliography"/>
                <w:rPr>
                  <w:noProof/>
                </w:rPr>
              </w:pPr>
              <w:r>
                <w:rPr>
                  <w:noProof/>
                </w:rPr>
                <w:t xml:space="preserve">Molnar, S. et al., 2018. Application of microtremor horizontal-to-vertical spectral ratio (MHVSR) analysis for site characterization: State of the art. </w:t>
              </w:r>
              <w:r>
                <w:rPr>
                  <w:i/>
                  <w:iCs/>
                  <w:noProof/>
                </w:rPr>
                <w:t xml:space="preserve">Surveys in Geophysics, </w:t>
              </w:r>
              <w:r>
                <w:rPr>
                  <w:noProof/>
                </w:rPr>
                <w:t>39(4), pp. 613-631.</w:t>
              </w:r>
            </w:p>
            <w:p w14:paraId="5DEBE333" w14:textId="77777777" w:rsidR="00065778" w:rsidRDefault="00065778" w:rsidP="00065778">
              <w:pPr>
                <w:pStyle w:val="Bibliography"/>
                <w:rPr>
                  <w:noProof/>
                </w:rPr>
              </w:pPr>
              <w:r>
                <w:rPr>
                  <w:noProof/>
                </w:rPr>
                <w:t xml:space="preserve">Morales-Díaz, J. &amp; Zamora-Ramírez, C., 2018. The impact of IFRS 16 on key financial ratios: A new methodological approach. </w:t>
              </w:r>
              <w:r>
                <w:rPr>
                  <w:i/>
                  <w:iCs/>
                  <w:noProof/>
                </w:rPr>
                <w:t xml:space="preserve">Accounting in Europe, </w:t>
              </w:r>
              <w:r>
                <w:rPr>
                  <w:noProof/>
                </w:rPr>
                <w:t>15(1), pp. 105-133.</w:t>
              </w:r>
            </w:p>
            <w:p w14:paraId="3D78088C" w14:textId="77777777" w:rsidR="00065778" w:rsidRDefault="00065778" w:rsidP="00065778">
              <w:pPr>
                <w:pStyle w:val="Bibliography"/>
                <w:rPr>
                  <w:noProof/>
                </w:rPr>
              </w:pPr>
              <w:r>
                <w:rPr>
                  <w:noProof/>
                </w:rPr>
                <w:t xml:space="preserve">myaccountingcourse, 2020. </w:t>
              </w:r>
              <w:r>
                <w:rPr>
                  <w:i/>
                  <w:iCs/>
                  <w:noProof/>
                </w:rPr>
                <w:t xml:space="preserve">Return on Capital Employed. </w:t>
              </w:r>
              <w:r>
                <w:rPr>
                  <w:noProof/>
                </w:rPr>
                <w:t xml:space="preserve">[Online] </w:t>
              </w:r>
              <w:r>
                <w:rPr>
                  <w:noProof/>
                </w:rPr>
                <w:br/>
                <w:t xml:space="preserve">Available at: </w:t>
              </w:r>
              <w:r>
                <w:rPr>
                  <w:noProof/>
                  <w:u w:val="single"/>
                </w:rPr>
                <w:t>https://www.myaccountingcourse.com/financial-ratios/return-on-capital-employed</w:t>
              </w:r>
              <w:r>
                <w:rPr>
                  <w:noProof/>
                </w:rPr>
                <w:br/>
                <w:t>[Accessed 2021].</w:t>
              </w:r>
            </w:p>
            <w:p w14:paraId="40ECC7B7" w14:textId="77777777" w:rsidR="00065778" w:rsidRDefault="00065778" w:rsidP="00065778">
              <w:pPr>
                <w:pStyle w:val="Bibliography"/>
                <w:rPr>
                  <w:noProof/>
                </w:rPr>
              </w:pPr>
              <w:r>
                <w:rPr>
                  <w:noProof/>
                </w:rPr>
                <w:t xml:space="preserve">Srinivasan, P., 2018. A Study on Financial Ratio Analysis. </w:t>
              </w:r>
              <w:r>
                <w:rPr>
                  <w:i/>
                  <w:iCs/>
                  <w:noProof/>
                </w:rPr>
                <w:t xml:space="preserve">International Journal of Scientific Research in Multidisciplinary Studies, </w:t>
              </w:r>
              <w:r>
                <w:rPr>
                  <w:noProof/>
                </w:rPr>
                <w:t>4(6), pp. 1-18.</w:t>
              </w:r>
            </w:p>
            <w:p w14:paraId="56B67DB0" w14:textId="77777777" w:rsidR="00065778" w:rsidRDefault="00065778" w:rsidP="00065778">
              <w:pPr>
                <w:pStyle w:val="Bibliography"/>
                <w:rPr>
                  <w:noProof/>
                </w:rPr>
              </w:pPr>
              <w:r>
                <w:rPr>
                  <w:noProof/>
                </w:rPr>
                <w:t xml:space="preserve">Zorn, A., Esteves, M., Baur, I. &amp; Lips, M., 2018. Financial ratios as indicators of economic sustainability: A quantitative analysis for Swiss dairy farms. </w:t>
              </w:r>
              <w:r>
                <w:rPr>
                  <w:i/>
                  <w:iCs/>
                  <w:noProof/>
                </w:rPr>
                <w:t xml:space="preserve">Sustainability, </w:t>
              </w:r>
              <w:r>
                <w:rPr>
                  <w:noProof/>
                </w:rPr>
                <w:t>10(8), p. 2942.</w:t>
              </w:r>
            </w:p>
            <w:p w14:paraId="2890586D" w14:textId="67C20D13" w:rsidR="00065778" w:rsidRDefault="00065778" w:rsidP="00065778">
              <w:r>
                <w:rPr>
                  <w:b/>
                  <w:bCs/>
                  <w:noProof/>
                </w:rPr>
                <w:fldChar w:fldCharType="end"/>
              </w:r>
            </w:p>
          </w:sdtContent>
        </w:sdt>
      </w:sdtContent>
    </w:sdt>
    <w:p w14:paraId="2BEE7DC7" w14:textId="77777777" w:rsidR="00EE1773" w:rsidRPr="00C33CEF" w:rsidRDefault="00EE1773" w:rsidP="00C33CEF">
      <w:pPr>
        <w:rPr>
          <w:rFonts w:eastAsia="Times New Roman" w:cs="Times New Roman"/>
          <w:szCs w:val="24"/>
          <w:lang w:eastAsia="en-IN"/>
        </w:rPr>
      </w:pPr>
    </w:p>
    <w:p w14:paraId="6BB5892D" w14:textId="77777777" w:rsidR="00C33CEF" w:rsidRPr="00C33CEF" w:rsidRDefault="00C33CEF" w:rsidP="00C33CEF"/>
    <w:sectPr w:rsidR="00C33CEF" w:rsidRPr="00C33C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Tahoma">
    <w:panose1 w:val="020B0604030504040204"/>
    <w:charset w:val="EE"/>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681E6D"/>
    <w:multiLevelType w:val="multilevel"/>
    <w:tmpl w:val="E0243F6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nsid w:val="39A05EC1"/>
    <w:multiLevelType w:val="multilevel"/>
    <w:tmpl w:val="D004C30E"/>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nsid w:val="719E0B96"/>
    <w:multiLevelType w:val="hybridMultilevel"/>
    <w:tmpl w:val="743A730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677C9"/>
    <w:rsid w:val="00065778"/>
    <w:rsid w:val="000677C9"/>
    <w:rsid w:val="00276A2E"/>
    <w:rsid w:val="00402968"/>
    <w:rsid w:val="005B6F88"/>
    <w:rsid w:val="009014BD"/>
    <w:rsid w:val="00C33CEF"/>
    <w:rsid w:val="00EE1773"/>
    <w:rsid w:val="00FB1B5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BE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3C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33CEF"/>
    <w:pPr>
      <w:keepNext/>
      <w:keepLines/>
      <w:spacing w:before="240" w:after="0"/>
      <w:outlineLvl w:val="0"/>
    </w:pPr>
    <w:rPr>
      <w:rFonts w:eastAsiaTheme="majorEastAsia" w:cstheme="majorBidi"/>
      <w:b/>
      <w:color w:val="323E4F" w:themeColor="text2" w:themeShade="BF"/>
      <w:sz w:val="28"/>
      <w:szCs w:val="32"/>
    </w:rPr>
  </w:style>
  <w:style w:type="paragraph" w:styleId="Heading2">
    <w:name w:val="heading 2"/>
    <w:basedOn w:val="Normal"/>
    <w:next w:val="Normal"/>
    <w:link w:val="Heading2Char"/>
    <w:uiPriority w:val="9"/>
    <w:semiHidden/>
    <w:unhideWhenUsed/>
    <w:qFormat/>
    <w:rsid w:val="00C33CEF"/>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CEF"/>
    <w:rPr>
      <w:rFonts w:ascii="Times New Roman" w:eastAsiaTheme="majorEastAsia" w:hAnsi="Times New Roman" w:cstheme="majorBidi"/>
      <w:b/>
      <w:color w:val="323E4F" w:themeColor="text2" w:themeShade="BF"/>
      <w:sz w:val="28"/>
      <w:szCs w:val="32"/>
    </w:rPr>
  </w:style>
  <w:style w:type="character" w:customStyle="1" w:styleId="Heading2Char">
    <w:name w:val="Heading 2 Char"/>
    <w:basedOn w:val="DefaultParagraphFont"/>
    <w:link w:val="Heading2"/>
    <w:uiPriority w:val="9"/>
    <w:semiHidden/>
    <w:rsid w:val="00C33CEF"/>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C33CEF"/>
    <w:pPr>
      <w:spacing w:line="259" w:lineRule="auto"/>
      <w:jc w:val="left"/>
      <w:outlineLvl w:val="9"/>
    </w:pPr>
    <w:rPr>
      <w:rFonts w:asciiTheme="majorHAnsi" w:hAnsiTheme="majorHAnsi"/>
      <w:b w:val="0"/>
      <w:color w:val="2F5496" w:themeColor="accent1" w:themeShade="BF"/>
      <w:sz w:val="32"/>
      <w:lang w:val="en-US"/>
    </w:rPr>
  </w:style>
  <w:style w:type="paragraph" w:styleId="NormalWeb">
    <w:name w:val="Normal (Web)"/>
    <w:basedOn w:val="Normal"/>
    <w:uiPriority w:val="99"/>
    <w:semiHidden/>
    <w:unhideWhenUsed/>
    <w:rsid w:val="00C33CEF"/>
    <w:pPr>
      <w:spacing w:before="100" w:beforeAutospacing="1" w:after="100" w:afterAutospacing="1" w:line="240" w:lineRule="auto"/>
      <w:jc w:val="left"/>
    </w:pPr>
    <w:rPr>
      <w:rFonts w:eastAsia="Times New Roman" w:cs="Times New Roman"/>
      <w:szCs w:val="24"/>
      <w:lang w:eastAsia="en-IN"/>
    </w:rPr>
  </w:style>
  <w:style w:type="paragraph" w:styleId="ListParagraph">
    <w:name w:val="List Paragraph"/>
    <w:basedOn w:val="Normal"/>
    <w:uiPriority w:val="34"/>
    <w:qFormat/>
    <w:rsid w:val="00C33CEF"/>
    <w:pPr>
      <w:ind w:left="720"/>
      <w:contextualSpacing/>
    </w:pPr>
  </w:style>
  <w:style w:type="paragraph" w:styleId="Bibliography">
    <w:name w:val="Bibliography"/>
    <w:basedOn w:val="Normal"/>
    <w:next w:val="Normal"/>
    <w:uiPriority w:val="37"/>
    <w:unhideWhenUsed/>
    <w:rsid w:val="00065778"/>
  </w:style>
  <w:style w:type="paragraph" w:styleId="TOC1">
    <w:name w:val="toc 1"/>
    <w:basedOn w:val="Normal"/>
    <w:next w:val="Normal"/>
    <w:autoRedefine/>
    <w:uiPriority w:val="39"/>
    <w:unhideWhenUsed/>
    <w:rsid w:val="00FB1B5D"/>
    <w:pPr>
      <w:spacing w:after="100"/>
    </w:pPr>
  </w:style>
  <w:style w:type="character" w:styleId="Hyperlink">
    <w:name w:val="Hyperlink"/>
    <w:basedOn w:val="DefaultParagraphFont"/>
    <w:uiPriority w:val="99"/>
    <w:unhideWhenUsed/>
    <w:rsid w:val="00FB1B5D"/>
    <w:rPr>
      <w:color w:val="0563C1" w:themeColor="hyperlink"/>
      <w:u w:val="single"/>
    </w:rPr>
  </w:style>
  <w:style w:type="paragraph" w:styleId="BalloonText">
    <w:name w:val="Balloon Text"/>
    <w:basedOn w:val="Normal"/>
    <w:link w:val="BalloonTextChar"/>
    <w:uiPriority w:val="99"/>
    <w:semiHidden/>
    <w:unhideWhenUsed/>
    <w:rsid w:val="00901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4B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3CEF"/>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33CEF"/>
    <w:pPr>
      <w:keepNext/>
      <w:keepLines/>
      <w:spacing w:before="240" w:after="0"/>
      <w:outlineLvl w:val="0"/>
    </w:pPr>
    <w:rPr>
      <w:rFonts w:eastAsiaTheme="majorEastAsia" w:cstheme="majorBidi"/>
      <w:b/>
      <w:color w:val="323E4F" w:themeColor="text2" w:themeShade="BF"/>
      <w:sz w:val="28"/>
      <w:szCs w:val="32"/>
    </w:rPr>
  </w:style>
  <w:style w:type="paragraph" w:styleId="Heading2">
    <w:name w:val="heading 2"/>
    <w:basedOn w:val="Normal"/>
    <w:next w:val="Normal"/>
    <w:link w:val="Heading2Char"/>
    <w:uiPriority w:val="9"/>
    <w:semiHidden/>
    <w:unhideWhenUsed/>
    <w:qFormat/>
    <w:rsid w:val="00C33CEF"/>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3CEF"/>
    <w:rPr>
      <w:rFonts w:ascii="Times New Roman" w:eastAsiaTheme="majorEastAsia" w:hAnsi="Times New Roman" w:cstheme="majorBidi"/>
      <w:b/>
      <w:color w:val="323E4F" w:themeColor="text2" w:themeShade="BF"/>
      <w:sz w:val="28"/>
      <w:szCs w:val="32"/>
    </w:rPr>
  </w:style>
  <w:style w:type="character" w:customStyle="1" w:styleId="Heading2Char">
    <w:name w:val="Heading 2 Char"/>
    <w:basedOn w:val="DefaultParagraphFont"/>
    <w:link w:val="Heading2"/>
    <w:uiPriority w:val="9"/>
    <w:semiHidden/>
    <w:rsid w:val="00C33CEF"/>
    <w:rPr>
      <w:rFonts w:ascii="Times New Roman" w:eastAsiaTheme="majorEastAsia" w:hAnsi="Times New Roman" w:cstheme="majorBidi"/>
      <w:b/>
      <w:color w:val="2F5496" w:themeColor="accent1" w:themeShade="BF"/>
      <w:sz w:val="26"/>
      <w:szCs w:val="26"/>
    </w:rPr>
  </w:style>
  <w:style w:type="paragraph" w:styleId="TOCHeading">
    <w:name w:val="TOC Heading"/>
    <w:basedOn w:val="Heading1"/>
    <w:next w:val="Normal"/>
    <w:uiPriority w:val="39"/>
    <w:unhideWhenUsed/>
    <w:qFormat/>
    <w:rsid w:val="00C33CEF"/>
    <w:pPr>
      <w:spacing w:line="259" w:lineRule="auto"/>
      <w:jc w:val="left"/>
      <w:outlineLvl w:val="9"/>
    </w:pPr>
    <w:rPr>
      <w:rFonts w:asciiTheme="majorHAnsi" w:hAnsiTheme="majorHAnsi"/>
      <w:b w:val="0"/>
      <w:color w:val="2F5496" w:themeColor="accent1" w:themeShade="BF"/>
      <w:sz w:val="32"/>
      <w:lang w:val="en-US"/>
    </w:rPr>
  </w:style>
  <w:style w:type="paragraph" w:styleId="NormalWeb">
    <w:name w:val="Normal (Web)"/>
    <w:basedOn w:val="Normal"/>
    <w:uiPriority w:val="99"/>
    <w:semiHidden/>
    <w:unhideWhenUsed/>
    <w:rsid w:val="00C33CEF"/>
    <w:pPr>
      <w:spacing w:before="100" w:beforeAutospacing="1" w:after="100" w:afterAutospacing="1" w:line="240" w:lineRule="auto"/>
      <w:jc w:val="left"/>
    </w:pPr>
    <w:rPr>
      <w:rFonts w:eastAsia="Times New Roman" w:cs="Times New Roman"/>
      <w:szCs w:val="24"/>
      <w:lang w:eastAsia="en-IN"/>
    </w:rPr>
  </w:style>
  <w:style w:type="paragraph" w:styleId="ListParagraph">
    <w:name w:val="List Paragraph"/>
    <w:basedOn w:val="Normal"/>
    <w:uiPriority w:val="34"/>
    <w:qFormat/>
    <w:rsid w:val="00C33CEF"/>
    <w:pPr>
      <w:ind w:left="720"/>
      <w:contextualSpacing/>
    </w:pPr>
  </w:style>
  <w:style w:type="paragraph" w:styleId="Bibliography">
    <w:name w:val="Bibliography"/>
    <w:basedOn w:val="Normal"/>
    <w:next w:val="Normal"/>
    <w:uiPriority w:val="37"/>
    <w:unhideWhenUsed/>
    <w:rsid w:val="00065778"/>
  </w:style>
  <w:style w:type="paragraph" w:styleId="TOC1">
    <w:name w:val="toc 1"/>
    <w:basedOn w:val="Normal"/>
    <w:next w:val="Normal"/>
    <w:autoRedefine/>
    <w:uiPriority w:val="39"/>
    <w:unhideWhenUsed/>
    <w:rsid w:val="00FB1B5D"/>
    <w:pPr>
      <w:spacing w:after="100"/>
    </w:pPr>
  </w:style>
  <w:style w:type="character" w:styleId="Hyperlink">
    <w:name w:val="Hyperlink"/>
    <w:basedOn w:val="DefaultParagraphFont"/>
    <w:uiPriority w:val="99"/>
    <w:unhideWhenUsed/>
    <w:rsid w:val="00FB1B5D"/>
    <w:rPr>
      <w:color w:val="0563C1" w:themeColor="hyperlink"/>
      <w:u w:val="single"/>
    </w:rPr>
  </w:style>
  <w:style w:type="paragraph" w:styleId="BalloonText">
    <w:name w:val="Balloon Text"/>
    <w:basedOn w:val="Normal"/>
    <w:link w:val="BalloonTextChar"/>
    <w:uiPriority w:val="99"/>
    <w:semiHidden/>
    <w:unhideWhenUsed/>
    <w:rsid w:val="009014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014B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1582127">
      <w:bodyDiv w:val="1"/>
      <w:marLeft w:val="0"/>
      <w:marRight w:val="0"/>
      <w:marTop w:val="0"/>
      <w:marBottom w:val="0"/>
      <w:divBdr>
        <w:top w:val="none" w:sz="0" w:space="0" w:color="auto"/>
        <w:left w:val="none" w:sz="0" w:space="0" w:color="auto"/>
        <w:bottom w:val="none" w:sz="0" w:space="0" w:color="auto"/>
        <w:right w:val="none" w:sz="0" w:space="0" w:color="auto"/>
      </w:divBdr>
    </w:div>
    <w:div w:id="160855035">
      <w:bodyDiv w:val="1"/>
      <w:marLeft w:val="0"/>
      <w:marRight w:val="0"/>
      <w:marTop w:val="0"/>
      <w:marBottom w:val="0"/>
      <w:divBdr>
        <w:top w:val="none" w:sz="0" w:space="0" w:color="auto"/>
        <w:left w:val="none" w:sz="0" w:space="0" w:color="auto"/>
        <w:bottom w:val="none" w:sz="0" w:space="0" w:color="auto"/>
        <w:right w:val="none" w:sz="0" w:space="0" w:color="auto"/>
      </w:divBdr>
    </w:div>
    <w:div w:id="213545228">
      <w:bodyDiv w:val="1"/>
      <w:marLeft w:val="0"/>
      <w:marRight w:val="0"/>
      <w:marTop w:val="0"/>
      <w:marBottom w:val="0"/>
      <w:divBdr>
        <w:top w:val="none" w:sz="0" w:space="0" w:color="auto"/>
        <w:left w:val="none" w:sz="0" w:space="0" w:color="auto"/>
        <w:bottom w:val="none" w:sz="0" w:space="0" w:color="auto"/>
        <w:right w:val="none" w:sz="0" w:space="0" w:color="auto"/>
      </w:divBdr>
    </w:div>
    <w:div w:id="374350209">
      <w:bodyDiv w:val="1"/>
      <w:marLeft w:val="0"/>
      <w:marRight w:val="0"/>
      <w:marTop w:val="0"/>
      <w:marBottom w:val="0"/>
      <w:divBdr>
        <w:top w:val="none" w:sz="0" w:space="0" w:color="auto"/>
        <w:left w:val="none" w:sz="0" w:space="0" w:color="auto"/>
        <w:bottom w:val="none" w:sz="0" w:space="0" w:color="auto"/>
        <w:right w:val="none" w:sz="0" w:space="0" w:color="auto"/>
      </w:divBdr>
    </w:div>
    <w:div w:id="764035688">
      <w:bodyDiv w:val="1"/>
      <w:marLeft w:val="0"/>
      <w:marRight w:val="0"/>
      <w:marTop w:val="0"/>
      <w:marBottom w:val="0"/>
      <w:divBdr>
        <w:top w:val="none" w:sz="0" w:space="0" w:color="auto"/>
        <w:left w:val="none" w:sz="0" w:space="0" w:color="auto"/>
        <w:bottom w:val="none" w:sz="0" w:space="0" w:color="auto"/>
        <w:right w:val="none" w:sz="0" w:space="0" w:color="auto"/>
      </w:divBdr>
    </w:div>
    <w:div w:id="766773467">
      <w:bodyDiv w:val="1"/>
      <w:marLeft w:val="0"/>
      <w:marRight w:val="0"/>
      <w:marTop w:val="0"/>
      <w:marBottom w:val="0"/>
      <w:divBdr>
        <w:top w:val="none" w:sz="0" w:space="0" w:color="auto"/>
        <w:left w:val="none" w:sz="0" w:space="0" w:color="auto"/>
        <w:bottom w:val="none" w:sz="0" w:space="0" w:color="auto"/>
        <w:right w:val="none" w:sz="0" w:space="0" w:color="auto"/>
      </w:divBdr>
    </w:div>
    <w:div w:id="820466016">
      <w:bodyDiv w:val="1"/>
      <w:marLeft w:val="0"/>
      <w:marRight w:val="0"/>
      <w:marTop w:val="0"/>
      <w:marBottom w:val="0"/>
      <w:divBdr>
        <w:top w:val="none" w:sz="0" w:space="0" w:color="auto"/>
        <w:left w:val="none" w:sz="0" w:space="0" w:color="auto"/>
        <w:bottom w:val="none" w:sz="0" w:space="0" w:color="auto"/>
        <w:right w:val="none" w:sz="0" w:space="0" w:color="auto"/>
      </w:divBdr>
    </w:div>
    <w:div w:id="1009058954">
      <w:bodyDiv w:val="1"/>
      <w:marLeft w:val="0"/>
      <w:marRight w:val="0"/>
      <w:marTop w:val="0"/>
      <w:marBottom w:val="0"/>
      <w:divBdr>
        <w:top w:val="none" w:sz="0" w:space="0" w:color="auto"/>
        <w:left w:val="none" w:sz="0" w:space="0" w:color="auto"/>
        <w:bottom w:val="none" w:sz="0" w:space="0" w:color="auto"/>
        <w:right w:val="none" w:sz="0" w:space="0" w:color="auto"/>
      </w:divBdr>
    </w:div>
    <w:div w:id="1275138400">
      <w:bodyDiv w:val="1"/>
      <w:marLeft w:val="0"/>
      <w:marRight w:val="0"/>
      <w:marTop w:val="0"/>
      <w:marBottom w:val="0"/>
      <w:divBdr>
        <w:top w:val="none" w:sz="0" w:space="0" w:color="auto"/>
        <w:left w:val="none" w:sz="0" w:space="0" w:color="auto"/>
        <w:bottom w:val="none" w:sz="0" w:space="0" w:color="auto"/>
        <w:right w:val="none" w:sz="0" w:space="0" w:color="auto"/>
      </w:divBdr>
    </w:div>
    <w:div w:id="1295411256">
      <w:bodyDiv w:val="1"/>
      <w:marLeft w:val="0"/>
      <w:marRight w:val="0"/>
      <w:marTop w:val="0"/>
      <w:marBottom w:val="0"/>
      <w:divBdr>
        <w:top w:val="none" w:sz="0" w:space="0" w:color="auto"/>
        <w:left w:val="none" w:sz="0" w:space="0" w:color="auto"/>
        <w:bottom w:val="none" w:sz="0" w:space="0" w:color="auto"/>
        <w:right w:val="none" w:sz="0" w:space="0" w:color="auto"/>
      </w:divBdr>
    </w:div>
    <w:div w:id="1836843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Sri18</b:Tag>
    <b:SourceType>JournalArticle</b:SourceType>
    <b:Guid>{EA722939-D1E0-40D3-8EC8-0F07960888F9}</b:Guid>
    <b:Author>
      <b:Author>
        <b:NameList>
          <b:Person>
            <b:Last>Srinivasan</b:Last>
            <b:First>P.</b:First>
          </b:Person>
        </b:NameList>
      </b:Author>
    </b:Author>
    <b:Title>A Study on Financial Ratio Analysis</b:Title>
    <b:JournalName> International Journal of Scientific Research in Multidisciplinary Studies</b:JournalName>
    <b:Year>2018</b:Year>
    <b:Pages>1-18</b:Pages>
    <b:Volume>4</b:Volume>
    <b:Issue>6</b:Issue>
    <b:RefOrder>2</b:RefOrder>
  </b:Source>
  <b:Source>
    <b:Tag>mya20</b:Tag>
    <b:SourceType>InternetSite</b:SourceType>
    <b:Guid>{125B0F62-7DAE-4724-8C57-B470298B7983}</b:Guid>
    <b:Title>Return on Capital Employed</b:Title>
    <b:Year>2020</b:Year>
    <b:Author>
      <b:Author>
        <b:Corporate>myaccountingcourse</b:Corporate>
      </b:Author>
    </b:Author>
    <b:YearAccessed>2021</b:YearAccessed>
    <b:URL>https://www.myaccountingcourse.com/financial-ratios/return-on-capital-employed</b:URL>
    <b:RefOrder>8</b:RefOrder>
  </b:Source>
  <b:Source>
    <b:Tag>Din19</b:Tag>
    <b:SourceType>JournalArticle</b:SourceType>
    <b:Guid>{65C70823-12C5-4725-94FE-2FF7DF3A0B1B}</b:Guid>
    <b:Author>
      <b:Author>
        <b:NameList>
          <b:Person>
            <b:Last>Ding</b:Last>
            <b:First>K.</b:First>
          </b:Person>
          <b:Person>
            <b:Last>Peng</b:Last>
            <b:First>X.</b:First>
          </b:Person>
          <b:Person>
            <b:Last>Wang</b:Last>
            <b:First>Y.</b:First>
          </b:Person>
        </b:NameList>
      </b:Author>
    </b:Author>
    <b:Title>A machine learning-based peer selection method with financial ratios</b:Title>
    <b:JournalName>Accounting Horizons</b:JournalName>
    <b:Year>2019</b:Year>
    <b:Pages>75-87</b:Pages>
    <b:Volume>33</b:Volume>
    <b:Issue>3</b:Issue>
    <b:RefOrder>3</b:RefOrder>
  </b:Source>
  <b:Source>
    <b:Tag>Had20</b:Tag>
    <b:SourceType>JournalArticle</b:SourceType>
    <b:Guid>{E2AE283C-94C9-4D99-A281-393F009FD5A8}</b:Guid>
    <b:Author>
      <b:Author>
        <b:NameList>
          <b:Person>
            <b:Last>Haddad</b:Last>
            <b:First>A.E.</b:First>
          </b:Person>
          <b:Person>
            <b:Last>Shibly</b:Last>
            <b:First>F.B.</b:First>
          </b:Person>
          <b:Person>
            <b:Last>Haddad</b:Last>
            <b:First>R.</b:First>
          </b:Person>
        </b:NameList>
      </b:Author>
    </b:Author>
    <b:Title>Voluntary disclosure of accounting ratios and firm-specific characteristics: the case of GCC</b:Title>
    <b:JournalName>Journal of Financial Reporting and Accounting</b:JournalName>
    <b:Year>2020</b:Year>
    <b:RefOrder>4</b:RefOrder>
  </b:Source>
  <b:Source>
    <b:Tag>Lin18</b:Tag>
    <b:SourceType>JournalArticle</b:SourceType>
    <b:Guid>{B4AFF7AC-1335-44F4-9545-6235B49BC964}</b:Guid>
    <b:Author>
      <b:Author>
        <b:NameList>
          <b:Person>
            <b:Last>Linares-Mustarós</b:Last>
            <b:First>S.</b:First>
          </b:Person>
          <b:Person>
            <b:Last>Coenders</b:Last>
            <b:First>G.</b:First>
          </b:Person>
          <b:Person>
            <b:Last>Vives-Mestres</b:Last>
            <b:First>M.</b:First>
          </b:Person>
        </b:NameList>
      </b:Author>
    </b:Author>
    <b:Title> Financial performance and distress profiles. From classification according to financial ratios to compositional classification</b:Title>
    <b:JournalName> Advances in Accounting</b:JournalName>
    <b:Year>2018</b:Year>
    <b:Pages>1-10</b:Pages>
    <b:Volume>40</b:Volume>
    <b:RefOrder>6</b:RefOrder>
  </b:Source>
  <b:Source>
    <b:Tag>Mor18</b:Tag>
    <b:SourceType>JournalArticle</b:SourceType>
    <b:Guid>{3569133D-CAED-4870-9DB7-BF3E4B366963}</b:Guid>
    <b:Author>
      <b:Author>
        <b:NameList>
          <b:Person>
            <b:Last>Morales-Díaz</b:Last>
            <b:First>J.</b:First>
          </b:Person>
          <b:Person>
            <b:Last>Zamora-Ramírez</b:Last>
            <b:First>C.</b:First>
          </b:Person>
        </b:NameList>
      </b:Author>
    </b:Author>
    <b:Title> The impact of IFRS 16 on key financial ratios: A new methodological approach</b:Title>
    <b:JournalName>Accounting in Europe</b:JournalName>
    <b:Year>2018</b:Year>
    <b:Pages>105-133</b:Pages>
    <b:Volume>15</b:Volume>
    <b:Issue>1</b:Issue>
    <b:RefOrder>5</b:RefOrder>
  </b:Source>
  <b:Source>
    <b:Tag>Zor18</b:Tag>
    <b:SourceType>JournalArticle</b:SourceType>
    <b:Guid>{41581AD2-A94D-45E0-BBEC-837402A29FEB}</b:Guid>
    <b:Author>
      <b:Author>
        <b:NameList>
          <b:Person>
            <b:Last>Zorn</b:Last>
            <b:First>A.</b:First>
          </b:Person>
          <b:Person>
            <b:Last>Esteves</b:Last>
            <b:First>M.</b:First>
          </b:Person>
          <b:Person>
            <b:Last>Baur</b:Last>
            <b:First>I.</b:First>
          </b:Person>
          <b:Person>
            <b:Last>Lips</b:Last>
            <b:First>M.</b:First>
          </b:Person>
        </b:NameList>
      </b:Author>
    </b:Author>
    <b:Title>Financial ratios as indicators of economic sustainability: A quantitative analysis for Swiss dairy farms</b:Title>
    <b:JournalName>Sustainability</b:JournalName>
    <b:Year>2018</b:Year>
    <b:Pages>2942</b:Pages>
    <b:Volume>10</b:Volume>
    <b:Issue>8</b:Issue>
    <b:RefOrder>7</b:RefOrder>
  </b:Source>
  <b:Source>
    <b:Tag>Mol18</b:Tag>
    <b:SourceType>JournalArticle</b:SourceType>
    <b:Guid>{7A556162-E09D-4FE8-9348-C508E80E709B}</b:Guid>
    <b:Author>
      <b:Author>
        <b:NameList>
          <b:Person>
            <b:Last>Molnar</b:Last>
            <b:First>S.</b:First>
          </b:Person>
          <b:Person>
            <b:Last>Cassidy</b:Last>
            <b:First>J.F.</b:First>
          </b:Person>
          <b:Person>
            <b:Last>Castellaro</b:Last>
            <b:First>S.</b:First>
          </b:Person>
          <b:Person>
            <b:Last>Cornou</b:Last>
            <b:First>C.</b:First>
          </b:Person>
          <b:Person>
            <b:Last>Crow</b:Last>
            <b:First>H.</b:First>
          </b:Person>
          <b:Person>
            <b:Last>Hunter</b:Last>
            <b:First>J.A.</b:First>
          </b:Person>
          <b:Person>
            <b:Last>Matsushima</b:Last>
            <b:First>S.</b:First>
          </b:Person>
          <b:Person>
            <b:Last>Sánchez-Sesma</b:Last>
            <b:First>F.J.</b:First>
          </b:Person>
          <b:Person>
            <b:Last>Yong</b:Last>
            <b:First>A.</b:First>
          </b:Person>
        </b:NameList>
      </b:Author>
    </b:Author>
    <b:Title>Application of microtremor horizontal-to-vertical spectral ratio (MHVSR) analysis for site characterization: State of the art</b:Title>
    <b:JournalName> Surveys in Geophysics</b:JournalName>
    <b:Year>2018</b:Year>
    <b:Pages>613-631</b:Pages>
    <b:Volume>39</b:Volume>
    <b:Issue>4</b:Issue>
    <b:RefOrder>1</b:RefOrder>
  </b:Source>
</b:Sources>
</file>

<file path=customXml/itemProps1.xml><?xml version="1.0" encoding="utf-8"?>
<ds:datastoreItem xmlns:ds="http://schemas.openxmlformats.org/officeDocument/2006/customXml" ds:itemID="{3AEC7615-4CF1-49CC-87C5-5FED2715CA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10</Pages>
  <Words>2263</Words>
  <Characters>13127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owner</cp:lastModifiedBy>
  <cp:revision>3</cp:revision>
  <dcterms:created xsi:type="dcterms:W3CDTF">2022-05-22T15:47:00Z</dcterms:created>
  <dcterms:modified xsi:type="dcterms:W3CDTF">2022-05-28T21:38:00Z</dcterms:modified>
</cp:coreProperties>
</file>