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A067B" w14:textId="77777777" w:rsidR="00BB7E69" w:rsidRPr="00A174C8" w:rsidRDefault="00BB7E69" w:rsidP="00A174C8">
      <w:pPr>
        <w:jc w:val="center"/>
        <w:rPr>
          <w:rFonts w:ascii="Arial" w:hAnsi="Arial" w:cs="Arial"/>
          <w:b/>
          <w:bCs/>
          <w:sz w:val="22"/>
          <w:szCs w:val="22"/>
        </w:rPr>
      </w:pPr>
    </w:p>
    <w:p w14:paraId="30778EAE" w14:textId="486D5BDE" w:rsidR="009D06C1" w:rsidRPr="00A174C8" w:rsidRDefault="003C5F7A" w:rsidP="00A174C8">
      <w:pPr>
        <w:rPr>
          <w:rFonts w:ascii="Arial" w:hAnsi="Arial" w:cs="Arial"/>
          <w:sz w:val="22"/>
          <w:szCs w:val="22"/>
          <w:lang w:val="nl-NL"/>
        </w:rPr>
      </w:pPr>
      <w:r w:rsidRPr="00A174C8">
        <w:rPr>
          <w:rFonts w:ascii="Arial" w:hAnsi="Arial" w:cs="Arial"/>
          <w:sz w:val="22"/>
          <w:szCs w:val="22"/>
          <w:lang w:val="nl-NL"/>
        </w:rPr>
        <w:t xml:space="preserve">      </w:t>
      </w:r>
      <w:r w:rsidR="002B53CB" w:rsidRPr="00A174C8">
        <w:rPr>
          <w:rFonts w:ascii="Arial" w:hAnsi="Arial" w:cs="Arial"/>
          <w:sz w:val="22"/>
          <w:szCs w:val="22"/>
          <w:lang w:val="nl-NL"/>
        </w:rPr>
        <w:t xml:space="preserve">                  </w:t>
      </w:r>
      <w:r w:rsidR="009D06C1" w:rsidRPr="00A174C8">
        <w:rPr>
          <w:rFonts w:ascii="Arial" w:hAnsi="Arial" w:cs="Arial"/>
          <w:sz w:val="22"/>
          <w:szCs w:val="22"/>
          <w:lang w:val="nl-NL"/>
        </w:rPr>
        <w:t xml:space="preserve">                  Student Name             Carmen Goulei</w:t>
      </w:r>
    </w:p>
    <w:p w14:paraId="75A9787B" w14:textId="4D9A212B" w:rsidR="009D06C1" w:rsidRPr="00A174C8" w:rsidRDefault="009D06C1" w:rsidP="00A174C8">
      <w:pPr>
        <w:rPr>
          <w:rFonts w:ascii="Arial" w:hAnsi="Arial" w:cs="Arial"/>
          <w:i/>
          <w:iCs/>
          <w:sz w:val="22"/>
          <w:szCs w:val="22"/>
          <w:lang w:val="nl-NL"/>
        </w:rPr>
      </w:pPr>
      <w:r w:rsidRPr="00A174C8">
        <w:rPr>
          <w:rFonts w:ascii="Arial" w:hAnsi="Arial" w:cs="Arial"/>
          <w:i/>
          <w:iCs/>
          <w:sz w:val="22"/>
          <w:szCs w:val="22"/>
          <w:lang w:val="nl-NL"/>
        </w:rPr>
        <w:t xml:space="preserve">                                     Student ’s  </w:t>
      </w:r>
      <w:r w:rsidR="005E0DB5" w:rsidRPr="00A174C8">
        <w:rPr>
          <w:rFonts w:ascii="Arial" w:hAnsi="Arial" w:cs="Arial"/>
          <w:i/>
          <w:iCs/>
          <w:sz w:val="22"/>
          <w:szCs w:val="22"/>
          <w:lang w:val="nl-NL"/>
        </w:rPr>
        <w:t>n</w:t>
      </w:r>
      <w:r w:rsidRPr="00A174C8">
        <w:rPr>
          <w:rFonts w:ascii="Arial" w:hAnsi="Arial" w:cs="Arial"/>
          <w:i/>
          <w:iCs/>
          <w:sz w:val="22"/>
          <w:szCs w:val="22"/>
          <w:lang w:val="nl-NL"/>
        </w:rPr>
        <w:t>umber                  2310474</w:t>
      </w:r>
    </w:p>
    <w:p w14:paraId="01800DA2" w14:textId="77777777" w:rsidR="009D06C1" w:rsidRPr="00A174C8" w:rsidRDefault="009D06C1" w:rsidP="00A174C8">
      <w:pPr>
        <w:jc w:val="center"/>
        <w:rPr>
          <w:rFonts w:ascii="Arial" w:hAnsi="Arial" w:cs="Arial"/>
          <w:i/>
          <w:iCs/>
          <w:sz w:val="22"/>
          <w:szCs w:val="22"/>
        </w:rPr>
      </w:pPr>
      <w:r w:rsidRPr="00A174C8">
        <w:rPr>
          <w:rFonts w:ascii="Arial" w:hAnsi="Arial" w:cs="Arial"/>
          <w:i/>
          <w:iCs/>
          <w:sz w:val="22"/>
          <w:szCs w:val="22"/>
        </w:rPr>
        <w:t>Lecturer name                    Ibrahim Rufai</w:t>
      </w:r>
    </w:p>
    <w:p w14:paraId="2897B893" w14:textId="78B336AC" w:rsidR="009D06C1" w:rsidRPr="00A174C8" w:rsidRDefault="00537943" w:rsidP="00A174C8">
      <w:pPr>
        <w:pStyle w:val="TableParagraph"/>
        <w:spacing w:before="122" w:line="360" w:lineRule="auto"/>
        <w:ind w:left="105"/>
        <w:jc w:val="center"/>
        <w:rPr>
          <w:lang w:val="en-GB"/>
        </w:rPr>
      </w:pPr>
      <w:r w:rsidRPr="00A174C8">
        <w:rPr>
          <w:i/>
          <w:iCs/>
          <w:lang w:val="en-GB"/>
        </w:rPr>
        <w:t xml:space="preserve">                       </w:t>
      </w:r>
      <w:r w:rsidR="009D06C1" w:rsidRPr="00A174C8">
        <w:rPr>
          <w:i/>
          <w:iCs/>
          <w:lang w:val="en-GB"/>
        </w:rPr>
        <w:t xml:space="preserve">Module name                        </w:t>
      </w:r>
      <w:r w:rsidR="009D06C1" w:rsidRPr="00A174C8">
        <w:rPr>
          <w:lang w:val="en-GB"/>
        </w:rPr>
        <w:t>Strategic management for business</w:t>
      </w:r>
    </w:p>
    <w:p w14:paraId="2ED6AF44" w14:textId="0A6EB73B" w:rsidR="003C5F7A" w:rsidRPr="00A174C8" w:rsidRDefault="009D06C1" w:rsidP="00A174C8">
      <w:pPr>
        <w:rPr>
          <w:rFonts w:ascii="Arial" w:hAnsi="Arial" w:cs="Arial"/>
          <w:sz w:val="22"/>
          <w:szCs w:val="22"/>
        </w:rPr>
      </w:pPr>
      <w:r w:rsidRPr="00A174C8">
        <w:rPr>
          <w:rFonts w:ascii="Arial" w:hAnsi="Arial" w:cs="Arial"/>
          <w:sz w:val="22"/>
          <w:szCs w:val="22"/>
        </w:rPr>
        <w:t xml:space="preserve">  </w:t>
      </w:r>
      <w:r w:rsidR="002B53CB" w:rsidRPr="00A174C8">
        <w:rPr>
          <w:rFonts w:ascii="Arial" w:hAnsi="Arial" w:cs="Arial"/>
          <w:sz w:val="22"/>
          <w:szCs w:val="22"/>
        </w:rPr>
        <w:t xml:space="preserve">         </w:t>
      </w:r>
      <w:r w:rsidR="00C4168F" w:rsidRPr="00A174C8">
        <w:rPr>
          <w:rFonts w:ascii="Arial" w:hAnsi="Arial" w:cs="Arial"/>
          <w:sz w:val="22"/>
          <w:szCs w:val="22"/>
        </w:rPr>
        <w:t xml:space="preserve">                       Module number</w:t>
      </w:r>
      <w:r w:rsidR="00C05520" w:rsidRPr="00A174C8">
        <w:rPr>
          <w:rFonts w:ascii="Arial" w:hAnsi="Arial" w:cs="Arial"/>
          <w:sz w:val="22"/>
          <w:szCs w:val="22"/>
        </w:rPr>
        <w:t xml:space="preserve">                      LCLM 6001</w:t>
      </w:r>
    </w:p>
    <w:p w14:paraId="3F91EA94" w14:textId="77777777" w:rsidR="00BB7E69" w:rsidRPr="00A174C8" w:rsidRDefault="00BB7E69" w:rsidP="00A174C8">
      <w:pPr>
        <w:rPr>
          <w:rFonts w:ascii="Arial" w:hAnsi="Arial" w:cs="Arial"/>
          <w:b/>
          <w:bCs/>
          <w:sz w:val="22"/>
          <w:szCs w:val="22"/>
        </w:rPr>
      </w:pPr>
    </w:p>
    <w:p w14:paraId="62C19669" w14:textId="77777777" w:rsidR="00BB7E69" w:rsidRPr="00A174C8" w:rsidRDefault="00BB7E69" w:rsidP="00A174C8">
      <w:pPr>
        <w:jc w:val="center"/>
        <w:rPr>
          <w:rFonts w:ascii="Arial" w:hAnsi="Arial" w:cs="Arial"/>
          <w:b/>
          <w:bCs/>
          <w:sz w:val="22"/>
          <w:szCs w:val="22"/>
        </w:rPr>
      </w:pPr>
    </w:p>
    <w:p w14:paraId="154F5B1D" w14:textId="77777777" w:rsidR="00BB7E69" w:rsidRPr="00A174C8" w:rsidRDefault="00BB7E69" w:rsidP="00A174C8">
      <w:pPr>
        <w:jc w:val="center"/>
        <w:rPr>
          <w:rFonts w:ascii="Arial" w:hAnsi="Arial" w:cs="Arial"/>
          <w:b/>
          <w:bCs/>
          <w:sz w:val="22"/>
          <w:szCs w:val="22"/>
        </w:rPr>
      </w:pPr>
    </w:p>
    <w:p w14:paraId="0BBE8C41" w14:textId="77777777" w:rsidR="00BB7E69" w:rsidRPr="00A174C8" w:rsidRDefault="00BB7E69" w:rsidP="00A174C8">
      <w:pPr>
        <w:jc w:val="center"/>
        <w:rPr>
          <w:rFonts w:ascii="Arial" w:hAnsi="Arial" w:cs="Arial"/>
          <w:b/>
          <w:bCs/>
          <w:sz w:val="22"/>
          <w:szCs w:val="22"/>
        </w:rPr>
      </w:pPr>
    </w:p>
    <w:p w14:paraId="21375A0E" w14:textId="77777777" w:rsidR="00BB7E69" w:rsidRPr="00A174C8" w:rsidRDefault="00BB7E69" w:rsidP="00A174C8">
      <w:pPr>
        <w:jc w:val="center"/>
        <w:rPr>
          <w:rFonts w:ascii="Arial" w:hAnsi="Arial" w:cs="Arial"/>
          <w:b/>
          <w:bCs/>
          <w:sz w:val="22"/>
          <w:szCs w:val="22"/>
        </w:rPr>
      </w:pPr>
    </w:p>
    <w:p w14:paraId="1043DFB7" w14:textId="77777777" w:rsidR="00BB7E69" w:rsidRPr="00A174C8" w:rsidRDefault="00BB7E69" w:rsidP="00A174C8">
      <w:pPr>
        <w:jc w:val="center"/>
        <w:rPr>
          <w:rFonts w:ascii="Arial" w:hAnsi="Arial" w:cs="Arial"/>
          <w:b/>
          <w:bCs/>
          <w:sz w:val="22"/>
          <w:szCs w:val="22"/>
        </w:rPr>
      </w:pPr>
    </w:p>
    <w:p w14:paraId="2FF29B2D" w14:textId="77777777" w:rsidR="00BB7E69" w:rsidRPr="00A174C8" w:rsidRDefault="00BB7E69" w:rsidP="00A174C8">
      <w:pPr>
        <w:jc w:val="center"/>
        <w:rPr>
          <w:rFonts w:ascii="Arial" w:hAnsi="Arial" w:cs="Arial"/>
          <w:b/>
          <w:bCs/>
          <w:sz w:val="22"/>
          <w:szCs w:val="22"/>
        </w:rPr>
      </w:pPr>
    </w:p>
    <w:p w14:paraId="1D0B9BDC" w14:textId="77777777" w:rsidR="00C05520" w:rsidRPr="00A174C8" w:rsidRDefault="00C05520" w:rsidP="00A174C8">
      <w:pPr>
        <w:jc w:val="center"/>
        <w:rPr>
          <w:rFonts w:ascii="Arial" w:hAnsi="Arial" w:cs="Arial"/>
          <w:sz w:val="22"/>
          <w:szCs w:val="22"/>
        </w:rPr>
      </w:pPr>
    </w:p>
    <w:p w14:paraId="496CAC86" w14:textId="77777777" w:rsidR="00C05520" w:rsidRPr="00A174C8" w:rsidRDefault="00C05520" w:rsidP="00A174C8">
      <w:pPr>
        <w:jc w:val="center"/>
        <w:rPr>
          <w:rFonts w:ascii="Arial" w:hAnsi="Arial" w:cs="Arial"/>
          <w:sz w:val="22"/>
          <w:szCs w:val="22"/>
        </w:rPr>
      </w:pPr>
    </w:p>
    <w:p w14:paraId="101BD216" w14:textId="77777777" w:rsidR="00C05520" w:rsidRPr="00A174C8" w:rsidRDefault="00C05520" w:rsidP="00A174C8">
      <w:pPr>
        <w:jc w:val="center"/>
        <w:rPr>
          <w:rFonts w:ascii="Arial" w:hAnsi="Arial" w:cs="Arial"/>
          <w:sz w:val="22"/>
          <w:szCs w:val="22"/>
        </w:rPr>
      </w:pPr>
    </w:p>
    <w:p w14:paraId="2C5FC124" w14:textId="77777777" w:rsidR="00C05520" w:rsidRPr="00A174C8" w:rsidRDefault="00C05520" w:rsidP="00A174C8">
      <w:pPr>
        <w:jc w:val="center"/>
        <w:rPr>
          <w:rFonts w:ascii="Arial" w:hAnsi="Arial" w:cs="Arial"/>
          <w:sz w:val="22"/>
          <w:szCs w:val="22"/>
        </w:rPr>
      </w:pPr>
    </w:p>
    <w:p w14:paraId="29E763A1" w14:textId="77777777" w:rsidR="00C05520" w:rsidRPr="00A174C8" w:rsidRDefault="00C05520" w:rsidP="00A174C8">
      <w:pPr>
        <w:jc w:val="center"/>
        <w:rPr>
          <w:rFonts w:ascii="Arial" w:hAnsi="Arial" w:cs="Arial"/>
          <w:sz w:val="22"/>
          <w:szCs w:val="22"/>
        </w:rPr>
      </w:pPr>
    </w:p>
    <w:p w14:paraId="07C1EABB" w14:textId="77777777" w:rsidR="00C05520" w:rsidRPr="00A174C8" w:rsidRDefault="00C05520" w:rsidP="00A174C8">
      <w:pPr>
        <w:jc w:val="center"/>
        <w:rPr>
          <w:rFonts w:ascii="Arial" w:hAnsi="Arial" w:cs="Arial"/>
          <w:sz w:val="22"/>
          <w:szCs w:val="22"/>
        </w:rPr>
      </w:pPr>
    </w:p>
    <w:p w14:paraId="5E06DE4B" w14:textId="77777777" w:rsidR="00C05520" w:rsidRPr="00A174C8" w:rsidRDefault="00C05520" w:rsidP="00A174C8">
      <w:pPr>
        <w:jc w:val="center"/>
        <w:rPr>
          <w:rFonts w:ascii="Arial" w:hAnsi="Arial" w:cs="Arial"/>
          <w:sz w:val="22"/>
          <w:szCs w:val="22"/>
        </w:rPr>
      </w:pPr>
    </w:p>
    <w:p w14:paraId="112DDC82" w14:textId="77777777" w:rsidR="00C05520" w:rsidRPr="00A174C8" w:rsidRDefault="00C05520" w:rsidP="00A174C8">
      <w:pPr>
        <w:jc w:val="center"/>
        <w:rPr>
          <w:rFonts w:ascii="Arial" w:hAnsi="Arial" w:cs="Arial"/>
          <w:sz w:val="22"/>
          <w:szCs w:val="22"/>
        </w:rPr>
      </w:pPr>
    </w:p>
    <w:p w14:paraId="38EC3F22" w14:textId="77777777" w:rsidR="00C05520" w:rsidRPr="00A174C8" w:rsidRDefault="00C05520" w:rsidP="00A174C8">
      <w:pPr>
        <w:jc w:val="center"/>
        <w:rPr>
          <w:rFonts w:ascii="Arial" w:hAnsi="Arial" w:cs="Arial"/>
          <w:sz w:val="22"/>
          <w:szCs w:val="22"/>
        </w:rPr>
      </w:pPr>
    </w:p>
    <w:p w14:paraId="35D65DDF" w14:textId="77777777" w:rsidR="00C05520" w:rsidRPr="00A174C8" w:rsidRDefault="00C05520" w:rsidP="00A174C8">
      <w:pPr>
        <w:jc w:val="center"/>
        <w:rPr>
          <w:rFonts w:ascii="Arial" w:hAnsi="Arial" w:cs="Arial"/>
          <w:sz w:val="22"/>
          <w:szCs w:val="22"/>
        </w:rPr>
      </w:pPr>
    </w:p>
    <w:p w14:paraId="44A1AF24" w14:textId="77777777" w:rsidR="00C05520" w:rsidRPr="00A174C8" w:rsidRDefault="00C05520" w:rsidP="00A174C8">
      <w:pPr>
        <w:jc w:val="center"/>
        <w:rPr>
          <w:rFonts w:ascii="Arial" w:hAnsi="Arial" w:cs="Arial"/>
          <w:sz w:val="22"/>
          <w:szCs w:val="22"/>
        </w:rPr>
      </w:pPr>
    </w:p>
    <w:p w14:paraId="7A7FDB24" w14:textId="77777777" w:rsidR="00C05520" w:rsidRPr="00A174C8" w:rsidRDefault="00C05520" w:rsidP="00A174C8">
      <w:pPr>
        <w:jc w:val="center"/>
        <w:rPr>
          <w:rFonts w:ascii="Arial" w:hAnsi="Arial" w:cs="Arial"/>
          <w:sz w:val="22"/>
          <w:szCs w:val="22"/>
        </w:rPr>
      </w:pPr>
    </w:p>
    <w:p w14:paraId="21CB1771" w14:textId="77777777" w:rsidR="00C05520" w:rsidRPr="00A174C8" w:rsidRDefault="00C05520" w:rsidP="00A174C8">
      <w:pPr>
        <w:jc w:val="center"/>
        <w:rPr>
          <w:rFonts w:ascii="Arial" w:hAnsi="Arial" w:cs="Arial"/>
          <w:sz w:val="22"/>
          <w:szCs w:val="22"/>
        </w:rPr>
      </w:pPr>
    </w:p>
    <w:p w14:paraId="0085A5FF" w14:textId="77777777" w:rsidR="00C05520" w:rsidRPr="00A174C8" w:rsidRDefault="00C05520" w:rsidP="00A174C8">
      <w:pPr>
        <w:jc w:val="center"/>
        <w:rPr>
          <w:rFonts w:ascii="Arial" w:hAnsi="Arial" w:cs="Arial"/>
          <w:sz w:val="22"/>
          <w:szCs w:val="22"/>
        </w:rPr>
      </w:pPr>
    </w:p>
    <w:p w14:paraId="3C0E420F" w14:textId="77777777" w:rsidR="00C05520" w:rsidRPr="00A174C8" w:rsidRDefault="00C05520" w:rsidP="00A174C8">
      <w:pPr>
        <w:jc w:val="center"/>
        <w:rPr>
          <w:rFonts w:ascii="Arial" w:hAnsi="Arial" w:cs="Arial"/>
          <w:sz w:val="22"/>
          <w:szCs w:val="22"/>
        </w:rPr>
      </w:pPr>
    </w:p>
    <w:p w14:paraId="547D96AA" w14:textId="223DE887" w:rsidR="00AD4B19" w:rsidRPr="00A174C8" w:rsidRDefault="00B352D5" w:rsidP="00A174C8">
      <w:pPr>
        <w:jc w:val="center"/>
        <w:rPr>
          <w:rFonts w:ascii="Arial" w:hAnsi="Arial" w:cs="Arial"/>
          <w:sz w:val="22"/>
          <w:szCs w:val="22"/>
        </w:rPr>
      </w:pPr>
      <w:r w:rsidRPr="00A174C8">
        <w:rPr>
          <w:rFonts w:ascii="Arial" w:hAnsi="Arial" w:cs="Arial"/>
          <w:sz w:val="22"/>
          <w:szCs w:val="22"/>
        </w:rPr>
        <w:t>“Strategic Management Analysis of a Ford-Authorised SME Dealership in the UK</w:t>
      </w:r>
    </w:p>
    <w:p w14:paraId="4D8C2286" w14:textId="77777777" w:rsidR="00BB7E69" w:rsidRPr="00A174C8" w:rsidRDefault="00BB7E69" w:rsidP="00A174C8">
      <w:pPr>
        <w:rPr>
          <w:rFonts w:ascii="Arial" w:hAnsi="Arial" w:cs="Arial"/>
          <w:sz w:val="22"/>
          <w:szCs w:val="22"/>
        </w:rPr>
      </w:pPr>
    </w:p>
    <w:p w14:paraId="72427C7A" w14:textId="748C830B" w:rsidR="00B352D5" w:rsidRPr="00A174C8" w:rsidRDefault="00B352D5" w:rsidP="00A174C8">
      <w:pPr>
        <w:jc w:val="center"/>
        <w:rPr>
          <w:rFonts w:ascii="Arial" w:hAnsi="Arial" w:cs="Arial"/>
          <w:b/>
          <w:bCs/>
          <w:sz w:val="22"/>
          <w:szCs w:val="22"/>
        </w:rPr>
      </w:pPr>
      <w:r w:rsidRPr="00A174C8">
        <w:rPr>
          <w:rFonts w:ascii="Arial" w:hAnsi="Arial" w:cs="Arial"/>
          <w:sz w:val="22"/>
          <w:szCs w:val="22"/>
        </w:rPr>
        <w:t>Environmental Scanning, Growth Choices and Sustainable Strategic Recommendations”</w:t>
      </w:r>
      <w:r w:rsidRPr="00A174C8">
        <w:rPr>
          <w:rFonts w:ascii="Arial" w:hAnsi="Arial" w:cs="Arial"/>
          <w:b/>
          <w:bCs/>
          <w:sz w:val="22"/>
          <w:szCs w:val="22"/>
        </w:rPr>
        <w:br w:type="page"/>
      </w:r>
    </w:p>
    <w:p w14:paraId="5A5AEAC2" w14:textId="557E885F" w:rsidR="00847237" w:rsidRPr="00A174C8" w:rsidRDefault="00D91C31" w:rsidP="00A174C8">
      <w:pPr>
        <w:rPr>
          <w:rFonts w:ascii="Arial" w:hAnsi="Arial" w:cs="Arial"/>
          <w:b/>
          <w:bCs/>
          <w:sz w:val="22"/>
          <w:szCs w:val="22"/>
        </w:rPr>
      </w:pPr>
      <w:r w:rsidRPr="00A174C8">
        <w:rPr>
          <w:rFonts w:ascii="Arial" w:hAnsi="Arial" w:cs="Arial"/>
          <w:b/>
          <w:bCs/>
          <w:sz w:val="22"/>
          <w:szCs w:val="22"/>
        </w:rPr>
        <w:lastRenderedPageBreak/>
        <w:t>Executive Summary</w:t>
      </w:r>
    </w:p>
    <w:p w14:paraId="7C29C069" w14:textId="1A626A25" w:rsidR="00D91C31" w:rsidRPr="00A174C8" w:rsidRDefault="00D91C31" w:rsidP="00A174C8">
      <w:pPr>
        <w:rPr>
          <w:rFonts w:ascii="Arial" w:hAnsi="Arial" w:cs="Arial"/>
          <w:sz w:val="22"/>
          <w:szCs w:val="22"/>
          <w:lang w:val="en-US"/>
        </w:rPr>
      </w:pPr>
      <w:r w:rsidRPr="00A174C8">
        <w:rPr>
          <w:rFonts w:ascii="Arial" w:hAnsi="Arial" w:cs="Arial"/>
          <w:sz w:val="22"/>
          <w:szCs w:val="22"/>
          <w:lang w:val="en-US"/>
        </w:rPr>
        <w:t>This report evaluates a single-site independent Ford-</w:t>
      </w:r>
      <w:r w:rsidR="00AD4B19" w:rsidRPr="00A174C8">
        <w:rPr>
          <w:rFonts w:ascii="Arial" w:hAnsi="Arial" w:cs="Arial"/>
          <w:sz w:val="22"/>
          <w:szCs w:val="22"/>
          <w:lang w:val="en-US"/>
        </w:rPr>
        <w:t>authorized</w:t>
      </w:r>
      <w:r w:rsidRPr="00A174C8">
        <w:rPr>
          <w:rFonts w:ascii="Arial" w:hAnsi="Arial" w:cs="Arial"/>
          <w:sz w:val="22"/>
          <w:szCs w:val="22"/>
          <w:lang w:val="en-US"/>
        </w:rPr>
        <w:t xml:space="preserve"> SME dealership in the UK, assessing its current strategic direction, competitive environment, stakeholder landscape and growth choices, and concludes with actionable recommendations suitable for SME constraints. The dealership operates a multi-revenue model across new vehicle sales, used vehicles, finance &amp; insurance, and </w:t>
      </w:r>
      <w:r w:rsidR="00AD4B19" w:rsidRPr="00A174C8">
        <w:rPr>
          <w:rFonts w:ascii="Arial" w:hAnsi="Arial" w:cs="Arial"/>
          <w:sz w:val="22"/>
          <w:szCs w:val="22"/>
          <w:lang w:val="en-US"/>
        </w:rPr>
        <w:t>after sales</w:t>
      </w:r>
      <w:r w:rsidRPr="00A174C8">
        <w:rPr>
          <w:rFonts w:ascii="Arial" w:hAnsi="Arial" w:cs="Arial"/>
          <w:sz w:val="22"/>
          <w:szCs w:val="22"/>
          <w:lang w:val="en-US"/>
        </w:rPr>
        <w:t xml:space="preserve">/service, in a market facing rapid electrification, evolving distribution models, and tightening regulation. Strategic analysis finds a capable local brand position and service reputation, yet exposure to margin pressure, inventory risk, digital disintermediation, and capability gaps for EV retail and service. UK market fundamentals remain resilient but structurally shifting, with demand volatility by powertrain and ongoing supply </w:t>
      </w:r>
      <w:r w:rsidR="00AD4B19" w:rsidRPr="00A174C8">
        <w:rPr>
          <w:rFonts w:ascii="Arial" w:hAnsi="Arial" w:cs="Arial"/>
          <w:sz w:val="22"/>
          <w:szCs w:val="22"/>
          <w:lang w:val="en-US"/>
        </w:rPr>
        <w:t>normalization</w:t>
      </w:r>
      <w:r w:rsidRPr="00A174C8">
        <w:rPr>
          <w:rFonts w:ascii="Arial" w:hAnsi="Arial" w:cs="Arial"/>
          <w:sz w:val="22"/>
          <w:szCs w:val="22"/>
          <w:lang w:val="en-US"/>
        </w:rPr>
        <w:t xml:space="preserve"> since 2022 (SMMT, 2024). The operating model must adapt to omnichannel customer journeys and higher expectations for convenience, transparency and lifetime value management (McKinsey </w:t>
      </w:r>
      <w:r w:rsidR="007825E9" w:rsidRPr="00A174C8">
        <w:rPr>
          <w:rFonts w:ascii="Arial" w:hAnsi="Arial" w:cs="Arial"/>
          <w:sz w:val="22"/>
          <w:szCs w:val="22"/>
          <w:lang w:val="en-US"/>
        </w:rPr>
        <w:t xml:space="preserve">and </w:t>
      </w:r>
      <w:r w:rsidRPr="00A174C8">
        <w:rPr>
          <w:rFonts w:ascii="Arial" w:hAnsi="Arial" w:cs="Arial"/>
          <w:sz w:val="22"/>
          <w:szCs w:val="22"/>
          <w:lang w:val="en-US"/>
        </w:rPr>
        <w:t>Company, 2023).</w:t>
      </w:r>
    </w:p>
    <w:p w14:paraId="63C11612" w14:textId="06071283" w:rsidR="00D91C31" w:rsidRPr="00A174C8" w:rsidRDefault="00D91C31" w:rsidP="00A174C8">
      <w:pPr>
        <w:rPr>
          <w:rFonts w:ascii="Arial" w:hAnsi="Arial" w:cs="Arial"/>
          <w:sz w:val="22"/>
          <w:szCs w:val="22"/>
          <w:lang w:val="en-US"/>
        </w:rPr>
      </w:pPr>
      <w:r w:rsidRPr="00A174C8">
        <w:rPr>
          <w:rFonts w:ascii="Arial" w:hAnsi="Arial" w:cs="Arial"/>
          <w:sz w:val="22"/>
          <w:szCs w:val="22"/>
          <w:lang w:val="en-US"/>
        </w:rPr>
        <w:t xml:space="preserve">The recommended strategic intent is to reposition as a “Ford EV-ready, omnichannel service-led retailer” that </w:t>
      </w:r>
      <w:r w:rsidR="00C055EA" w:rsidRPr="00A174C8">
        <w:rPr>
          <w:rFonts w:ascii="Arial" w:hAnsi="Arial" w:cs="Arial"/>
          <w:sz w:val="22"/>
          <w:szCs w:val="22"/>
          <w:lang w:val="en-US"/>
        </w:rPr>
        <w:t>prioritizes</w:t>
      </w:r>
      <w:r w:rsidRPr="00A174C8">
        <w:rPr>
          <w:rFonts w:ascii="Arial" w:hAnsi="Arial" w:cs="Arial"/>
          <w:sz w:val="22"/>
          <w:szCs w:val="22"/>
          <w:lang w:val="en-US"/>
        </w:rPr>
        <w:t xml:space="preserve"> profitable aftersales, high-turn used vehicles, and selective new-car mix management, underpinned by data-driven customer relationship management and compliance-by-design processes. The proposed strategy blends focused differentiation on customer experience with market penetration and product development in EV-aligned services, staged through a realistic SME execution plan and clear RACI governance. A risk-balanced roadmap is provided to sequence capability build (EV tools/training, digital retailing, charging partnerships), </w:t>
      </w:r>
      <w:r w:rsidR="004043A2" w:rsidRPr="00A174C8">
        <w:rPr>
          <w:rFonts w:ascii="Arial" w:hAnsi="Arial" w:cs="Arial"/>
          <w:sz w:val="22"/>
          <w:szCs w:val="22"/>
          <w:lang w:val="en-US"/>
        </w:rPr>
        <w:t>optimize</w:t>
      </w:r>
      <w:r w:rsidRPr="00A174C8">
        <w:rPr>
          <w:rFonts w:ascii="Arial" w:hAnsi="Arial" w:cs="Arial"/>
          <w:sz w:val="22"/>
          <w:szCs w:val="22"/>
          <w:lang w:val="en-US"/>
        </w:rPr>
        <w:t xml:space="preserve"> inventory and working capital, and elevate stakeholder confidence (manufacturer, regulators, lenders, local community). Overall, the dealership can achieve sustainable growth by aligning resources and processes to the most defensible value-pools—aftersales, used vehicles, and subscription-like service bundles</w:t>
      </w:r>
      <w:r w:rsidR="007825E9" w:rsidRPr="00A174C8">
        <w:rPr>
          <w:rFonts w:ascii="Arial" w:hAnsi="Arial" w:cs="Arial"/>
          <w:sz w:val="22"/>
          <w:szCs w:val="22"/>
          <w:lang w:val="en-US"/>
        </w:rPr>
        <w:t xml:space="preserve"> </w:t>
      </w:r>
      <w:r w:rsidRPr="00A174C8">
        <w:rPr>
          <w:rFonts w:ascii="Arial" w:hAnsi="Arial" w:cs="Arial"/>
          <w:sz w:val="22"/>
          <w:szCs w:val="22"/>
          <w:lang w:val="en-US"/>
        </w:rPr>
        <w:t>while strengthening brand equity through consistent, evidence-based strategy execution (Johnson et al., 2020).</w:t>
      </w:r>
    </w:p>
    <w:p w14:paraId="433FB24E"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br w:type="page"/>
      </w:r>
    </w:p>
    <w:sdt>
      <w:sdtPr>
        <w:rPr>
          <w:rFonts w:ascii="Arial" w:eastAsiaTheme="minorHAnsi" w:hAnsi="Arial" w:cs="Arial"/>
          <w:color w:val="auto"/>
          <w:kern w:val="2"/>
          <w:sz w:val="22"/>
          <w:szCs w:val="22"/>
          <w:lang w:val="en-GB"/>
          <w14:ligatures w14:val="standardContextual"/>
        </w:rPr>
        <w:id w:val="-345479902"/>
        <w:docPartObj>
          <w:docPartGallery w:val="Table of Contents"/>
          <w:docPartUnique/>
        </w:docPartObj>
      </w:sdtPr>
      <w:sdtEndPr>
        <w:rPr>
          <w:b/>
          <w:bCs/>
          <w:noProof/>
        </w:rPr>
      </w:sdtEndPr>
      <w:sdtContent>
        <w:p w14:paraId="4928D717" w14:textId="5EAEDF2E" w:rsidR="00B352D5" w:rsidRPr="00A174C8" w:rsidRDefault="00B352D5" w:rsidP="00A174C8">
          <w:pPr>
            <w:pStyle w:val="TOCHeading"/>
            <w:spacing w:line="360" w:lineRule="auto"/>
            <w:jc w:val="center"/>
            <w:rPr>
              <w:rFonts w:ascii="Arial" w:hAnsi="Arial" w:cs="Arial"/>
              <w:color w:val="auto"/>
              <w:sz w:val="22"/>
              <w:szCs w:val="22"/>
            </w:rPr>
          </w:pPr>
          <w:r w:rsidRPr="00A174C8">
            <w:rPr>
              <w:rFonts w:ascii="Arial" w:hAnsi="Arial" w:cs="Arial"/>
              <w:color w:val="auto"/>
              <w:sz w:val="22"/>
              <w:szCs w:val="22"/>
            </w:rPr>
            <w:t>Table of Contents</w:t>
          </w:r>
        </w:p>
        <w:p w14:paraId="25A32810" w14:textId="04A0AE79" w:rsidR="0053237B" w:rsidRPr="00A174C8" w:rsidRDefault="00B352D5" w:rsidP="00A174C8">
          <w:pPr>
            <w:pStyle w:val="TOC1"/>
            <w:tabs>
              <w:tab w:val="right" w:leader="dot" w:pos="9350"/>
            </w:tabs>
            <w:rPr>
              <w:rFonts w:ascii="Arial" w:eastAsiaTheme="minorEastAsia" w:hAnsi="Arial" w:cs="Arial"/>
              <w:noProof/>
              <w:sz w:val="22"/>
              <w:szCs w:val="22"/>
              <w:lang w:val="en-US"/>
            </w:rPr>
          </w:pPr>
          <w:r w:rsidRPr="00A174C8">
            <w:rPr>
              <w:rFonts w:ascii="Arial" w:hAnsi="Arial" w:cs="Arial"/>
              <w:sz w:val="22"/>
              <w:szCs w:val="22"/>
            </w:rPr>
            <w:fldChar w:fldCharType="begin"/>
          </w:r>
          <w:r w:rsidRPr="00A174C8">
            <w:rPr>
              <w:rFonts w:ascii="Arial" w:hAnsi="Arial" w:cs="Arial"/>
              <w:sz w:val="22"/>
              <w:szCs w:val="22"/>
            </w:rPr>
            <w:instrText xml:space="preserve"> TOC \o "1-3" \h \z \u </w:instrText>
          </w:r>
          <w:r w:rsidRPr="00A174C8">
            <w:rPr>
              <w:rFonts w:ascii="Arial" w:hAnsi="Arial" w:cs="Arial"/>
              <w:sz w:val="22"/>
              <w:szCs w:val="22"/>
            </w:rPr>
            <w:fldChar w:fldCharType="separate"/>
          </w:r>
          <w:hyperlink w:anchor="_Toc213413470" w:history="1">
            <w:r w:rsidR="0053237B" w:rsidRPr="00A174C8">
              <w:rPr>
                <w:rStyle w:val="Hyperlink"/>
                <w:rFonts w:ascii="Arial" w:hAnsi="Arial" w:cs="Arial"/>
                <w:noProof/>
                <w:sz w:val="22"/>
                <w:szCs w:val="22"/>
              </w:rPr>
              <w:t>Introduction</w:t>
            </w:r>
            <w:r w:rsidR="0053237B" w:rsidRPr="00A174C8">
              <w:rPr>
                <w:rFonts w:ascii="Arial" w:hAnsi="Arial" w:cs="Arial"/>
                <w:noProof/>
                <w:webHidden/>
                <w:sz w:val="22"/>
                <w:szCs w:val="22"/>
              </w:rPr>
              <w:tab/>
            </w:r>
            <w:r w:rsidR="0053237B" w:rsidRPr="00A174C8">
              <w:rPr>
                <w:rFonts w:ascii="Arial" w:hAnsi="Arial" w:cs="Arial"/>
                <w:noProof/>
                <w:webHidden/>
                <w:sz w:val="22"/>
                <w:szCs w:val="22"/>
              </w:rPr>
              <w:fldChar w:fldCharType="begin"/>
            </w:r>
            <w:r w:rsidR="0053237B" w:rsidRPr="00A174C8">
              <w:rPr>
                <w:rFonts w:ascii="Arial" w:hAnsi="Arial" w:cs="Arial"/>
                <w:noProof/>
                <w:webHidden/>
                <w:sz w:val="22"/>
                <w:szCs w:val="22"/>
              </w:rPr>
              <w:instrText xml:space="preserve"> PAGEREF _Toc213413470 \h </w:instrText>
            </w:r>
            <w:r w:rsidR="0053237B" w:rsidRPr="00A174C8">
              <w:rPr>
                <w:rFonts w:ascii="Arial" w:hAnsi="Arial" w:cs="Arial"/>
                <w:noProof/>
                <w:webHidden/>
                <w:sz w:val="22"/>
                <w:szCs w:val="22"/>
              </w:rPr>
            </w:r>
            <w:r w:rsidR="0053237B" w:rsidRPr="00A174C8">
              <w:rPr>
                <w:rFonts w:ascii="Arial" w:hAnsi="Arial" w:cs="Arial"/>
                <w:noProof/>
                <w:webHidden/>
                <w:sz w:val="22"/>
                <w:szCs w:val="22"/>
              </w:rPr>
              <w:fldChar w:fldCharType="separate"/>
            </w:r>
            <w:r w:rsidR="0053237B" w:rsidRPr="00A174C8">
              <w:rPr>
                <w:rFonts w:ascii="Arial" w:hAnsi="Arial" w:cs="Arial"/>
                <w:noProof/>
                <w:webHidden/>
                <w:sz w:val="22"/>
                <w:szCs w:val="22"/>
              </w:rPr>
              <w:t>5</w:t>
            </w:r>
            <w:r w:rsidR="0053237B" w:rsidRPr="00A174C8">
              <w:rPr>
                <w:rFonts w:ascii="Arial" w:hAnsi="Arial" w:cs="Arial"/>
                <w:noProof/>
                <w:webHidden/>
                <w:sz w:val="22"/>
                <w:szCs w:val="22"/>
              </w:rPr>
              <w:fldChar w:fldCharType="end"/>
            </w:r>
          </w:hyperlink>
        </w:p>
        <w:p w14:paraId="7F44B092" w14:textId="1C290309" w:rsidR="0053237B" w:rsidRPr="00A174C8" w:rsidRDefault="0053237B" w:rsidP="00A174C8">
          <w:pPr>
            <w:pStyle w:val="TOC1"/>
            <w:tabs>
              <w:tab w:val="right" w:leader="dot" w:pos="9350"/>
            </w:tabs>
            <w:rPr>
              <w:rFonts w:ascii="Arial" w:eastAsiaTheme="minorEastAsia" w:hAnsi="Arial" w:cs="Arial"/>
              <w:noProof/>
              <w:sz w:val="22"/>
              <w:szCs w:val="22"/>
              <w:lang w:val="en-US"/>
            </w:rPr>
          </w:pPr>
          <w:hyperlink w:anchor="_Toc213413471" w:history="1">
            <w:r w:rsidRPr="00A174C8">
              <w:rPr>
                <w:rStyle w:val="Hyperlink"/>
                <w:rFonts w:ascii="Arial" w:hAnsi="Arial" w:cs="Arial"/>
                <w:noProof/>
                <w:sz w:val="22"/>
                <w:szCs w:val="22"/>
              </w:rPr>
              <w:t>Strategic Direction</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_Toc213413471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5</w:t>
            </w:r>
            <w:r w:rsidRPr="00A174C8">
              <w:rPr>
                <w:rFonts w:ascii="Arial" w:hAnsi="Arial" w:cs="Arial"/>
                <w:noProof/>
                <w:webHidden/>
                <w:sz w:val="22"/>
                <w:szCs w:val="22"/>
              </w:rPr>
              <w:fldChar w:fldCharType="end"/>
            </w:r>
          </w:hyperlink>
        </w:p>
        <w:p w14:paraId="0936CB2D" w14:textId="273C53A0" w:rsidR="0053237B" w:rsidRPr="00A174C8" w:rsidRDefault="0053237B" w:rsidP="00A174C8">
          <w:pPr>
            <w:pStyle w:val="TOC1"/>
            <w:tabs>
              <w:tab w:val="right" w:leader="dot" w:pos="9350"/>
            </w:tabs>
            <w:rPr>
              <w:rFonts w:ascii="Arial" w:eastAsiaTheme="minorEastAsia" w:hAnsi="Arial" w:cs="Arial"/>
              <w:noProof/>
              <w:sz w:val="22"/>
              <w:szCs w:val="22"/>
              <w:lang w:val="en-US"/>
            </w:rPr>
          </w:pPr>
          <w:hyperlink w:anchor="_Toc213413472" w:history="1">
            <w:r w:rsidRPr="00A174C8">
              <w:rPr>
                <w:rStyle w:val="Hyperlink"/>
                <w:rFonts w:ascii="Arial" w:hAnsi="Arial" w:cs="Arial"/>
                <w:noProof/>
                <w:sz w:val="22"/>
                <w:szCs w:val="22"/>
              </w:rPr>
              <w:t>Environmental Scan</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_Toc213413472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6</w:t>
            </w:r>
            <w:r w:rsidRPr="00A174C8">
              <w:rPr>
                <w:rFonts w:ascii="Arial" w:hAnsi="Arial" w:cs="Arial"/>
                <w:noProof/>
                <w:webHidden/>
                <w:sz w:val="22"/>
                <w:szCs w:val="22"/>
              </w:rPr>
              <w:fldChar w:fldCharType="end"/>
            </w:r>
          </w:hyperlink>
        </w:p>
        <w:p w14:paraId="161D33D3" w14:textId="339FA65E" w:rsidR="0053237B" w:rsidRPr="00A174C8" w:rsidRDefault="0053237B" w:rsidP="00A174C8">
          <w:pPr>
            <w:pStyle w:val="TOC1"/>
            <w:tabs>
              <w:tab w:val="right" w:leader="dot" w:pos="9350"/>
            </w:tabs>
            <w:rPr>
              <w:rFonts w:ascii="Arial" w:eastAsiaTheme="minorEastAsia" w:hAnsi="Arial" w:cs="Arial"/>
              <w:noProof/>
              <w:sz w:val="22"/>
              <w:szCs w:val="22"/>
              <w:lang w:val="en-US"/>
            </w:rPr>
          </w:pPr>
          <w:hyperlink w:anchor="_Toc213413473" w:history="1">
            <w:r w:rsidRPr="00A174C8">
              <w:rPr>
                <w:rStyle w:val="Hyperlink"/>
                <w:rFonts w:ascii="Arial" w:hAnsi="Arial" w:cs="Arial"/>
                <w:noProof/>
                <w:sz w:val="22"/>
                <w:szCs w:val="22"/>
              </w:rPr>
              <w:t>Internal Analysis</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_Toc213413473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6</w:t>
            </w:r>
            <w:r w:rsidRPr="00A174C8">
              <w:rPr>
                <w:rFonts w:ascii="Arial" w:hAnsi="Arial" w:cs="Arial"/>
                <w:noProof/>
                <w:webHidden/>
                <w:sz w:val="22"/>
                <w:szCs w:val="22"/>
              </w:rPr>
              <w:fldChar w:fldCharType="end"/>
            </w:r>
          </w:hyperlink>
        </w:p>
        <w:p w14:paraId="7959DB26" w14:textId="341A9C0C" w:rsidR="0053237B" w:rsidRPr="00A174C8" w:rsidRDefault="0053237B" w:rsidP="00A174C8">
          <w:pPr>
            <w:pStyle w:val="TOC2"/>
            <w:tabs>
              <w:tab w:val="right" w:leader="dot" w:pos="9350"/>
            </w:tabs>
            <w:rPr>
              <w:rFonts w:ascii="Arial" w:eastAsiaTheme="minorEastAsia" w:hAnsi="Arial" w:cs="Arial"/>
              <w:noProof/>
              <w:sz w:val="22"/>
              <w:szCs w:val="22"/>
              <w:lang w:val="en-US"/>
            </w:rPr>
          </w:pPr>
          <w:hyperlink w:anchor="_Toc213413474" w:history="1">
            <w:r w:rsidRPr="00A174C8">
              <w:rPr>
                <w:rStyle w:val="Hyperlink"/>
                <w:rFonts w:ascii="Arial" w:hAnsi="Arial" w:cs="Arial"/>
                <w:noProof/>
                <w:sz w:val="22"/>
                <w:szCs w:val="22"/>
              </w:rPr>
              <w:t>SWOT Analysis</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_Toc213413474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6</w:t>
            </w:r>
            <w:r w:rsidRPr="00A174C8">
              <w:rPr>
                <w:rFonts w:ascii="Arial" w:hAnsi="Arial" w:cs="Arial"/>
                <w:noProof/>
                <w:webHidden/>
                <w:sz w:val="22"/>
                <w:szCs w:val="22"/>
              </w:rPr>
              <w:fldChar w:fldCharType="end"/>
            </w:r>
          </w:hyperlink>
        </w:p>
        <w:p w14:paraId="0739352C" w14:textId="0D85C6ED" w:rsidR="0053237B" w:rsidRPr="00A174C8" w:rsidRDefault="0053237B" w:rsidP="00A174C8">
          <w:pPr>
            <w:pStyle w:val="TOC2"/>
            <w:tabs>
              <w:tab w:val="right" w:leader="dot" w:pos="9350"/>
            </w:tabs>
            <w:rPr>
              <w:rFonts w:ascii="Arial" w:eastAsiaTheme="minorEastAsia" w:hAnsi="Arial" w:cs="Arial"/>
              <w:noProof/>
              <w:sz w:val="22"/>
              <w:szCs w:val="22"/>
              <w:lang w:val="en-US"/>
            </w:rPr>
          </w:pPr>
          <w:hyperlink w:anchor="_Toc213413475" w:history="1">
            <w:r w:rsidRPr="00A174C8">
              <w:rPr>
                <w:rStyle w:val="Hyperlink"/>
                <w:rFonts w:ascii="Arial" w:hAnsi="Arial" w:cs="Arial"/>
                <w:noProof/>
                <w:sz w:val="22"/>
                <w:szCs w:val="22"/>
                <w:lang w:val="en-US"/>
              </w:rPr>
              <w:t>Value Chain Analysis</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_Toc213413475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7</w:t>
            </w:r>
            <w:r w:rsidRPr="00A174C8">
              <w:rPr>
                <w:rFonts w:ascii="Arial" w:hAnsi="Arial" w:cs="Arial"/>
                <w:noProof/>
                <w:webHidden/>
                <w:sz w:val="22"/>
                <w:szCs w:val="22"/>
              </w:rPr>
              <w:fldChar w:fldCharType="end"/>
            </w:r>
          </w:hyperlink>
        </w:p>
        <w:p w14:paraId="38B98FE8" w14:textId="425A23CB" w:rsidR="0053237B" w:rsidRPr="00A174C8" w:rsidRDefault="0053237B" w:rsidP="00A174C8">
          <w:pPr>
            <w:pStyle w:val="TOC1"/>
            <w:tabs>
              <w:tab w:val="right" w:leader="dot" w:pos="9350"/>
            </w:tabs>
            <w:rPr>
              <w:rFonts w:ascii="Arial" w:eastAsiaTheme="minorEastAsia" w:hAnsi="Arial" w:cs="Arial"/>
              <w:noProof/>
              <w:sz w:val="22"/>
              <w:szCs w:val="22"/>
              <w:lang w:val="en-US"/>
            </w:rPr>
          </w:pPr>
          <w:hyperlink w:anchor="_Toc213413476" w:history="1">
            <w:r w:rsidRPr="00A174C8">
              <w:rPr>
                <w:rStyle w:val="Hyperlink"/>
                <w:rFonts w:ascii="Arial" w:hAnsi="Arial" w:cs="Arial"/>
                <w:noProof/>
                <w:sz w:val="22"/>
                <w:szCs w:val="22"/>
              </w:rPr>
              <w:t>External Analysis</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_Toc213413476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8</w:t>
            </w:r>
            <w:r w:rsidRPr="00A174C8">
              <w:rPr>
                <w:rFonts w:ascii="Arial" w:hAnsi="Arial" w:cs="Arial"/>
                <w:noProof/>
                <w:webHidden/>
                <w:sz w:val="22"/>
                <w:szCs w:val="22"/>
              </w:rPr>
              <w:fldChar w:fldCharType="end"/>
            </w:r>
          </w:hyperlink>
        </w:p>
        <w:p w14:paraId="41D29697" w14:textId="28CF8B7E" w:rsidR="0053237B" w:rsidRPr="00A174C8" w:rsidRDefault="0053237B" w:rsidP="00A174C8">
          <w:pPr>
            <w:pStyle w:val="TOC2"/>
            <w:tabs>
              <w:tab w:val="right" w:leader="dot" w:pos="9350"/>
            </w:tabs>
            <w:rPr>
              <w:rFonts w:ascii="Arial" w:eastAsiaTheme="minorEastAsia" w:hAnsi="Arial" w:cs="Arial"/>
              <w:noProof/>
              <w:sz w:val="22"/>
              <w:szCs w:val="22"/>
              <w:lang w:val="en-US"/>
            </w:rPr>
          </w:pPr>
          <w:hyperlink w:anchor="_Toc213413477" w:history="1">
            <w:r w:rsidRPr="00A174C8">
              <w:rPr>
                <w:rStyle w:val="Hyperlink"/>
                <w:rFonts w:ascii="Arial" w:hAnsi="Arial" w:cs="Arial"/>
                <w:noProof/>
                <w:sz w:val="22"/>
                <w:szCs w:val="22"/>
                <w:lang w:val="en-US"/>
              </w:rPr>
              <w:t>PESTEL Analysis</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_Toc213413477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8</w:t>
            </w:r>
            <w:r w:rsidRPr="00A174C8">
              <w:rPr>
                <w:rFonts w:ascii="Arial" w:hAnsi="Arial" w:cs="Arial"/>
                <w:noProof/>
                <w:webHidden/>
                <w:sz w:val="22"/>
                <w:szCs w:val="22"/>
              </w:rPr>
              <w:fldChar w:fldCharType="end"/>
            </w:r>
          </w:hyperlink>
        </w:p>
        <w:p w14:paraId="46E7FA7E" w14:textId="21E70E67" w:rsidR="0053237B" w:rsidRPr="00A174C8" w:rsidRDefault="0053237B" w:rsidP="00A174C8">
          <w:pPr>
            <w:pStyle w:val="TOC2"/>
            <w:tabs>
              <w:tab w:val="right" w:leader="dot" w:pos="9350"/>
            </w:tabs>
            <w:rPr>
              <w:rFonts w:ascii="Arial" w:eastAsiaTheme="minorEastAsia" w:hAnsi="Arial" w:cs="Arial"/>
              <w:noProof/>
              <w:sz w:val="22"/>
              <w:szCs w:val="22"/>
              <w:lang w:val="en-US"/>
            </w:rPr>
          </w:pPr>
          <w:hyperlink w:anchor="_Toc213413478" w:history="1">
            <w:r w:rsidRPr="00A174C8">
              <w:rPr>
                <w:rStyle w:val="Hyperlink"/>
                <w:rFonts w:ascii="Arial" w:hAnsi="Arial" w:cs="Arial"/>
                <w:noProof/>
                <w:sz w:val="22"/>
                <w:szCs w:val="22"/>
                <w:lang w:val="en-US"/>
              </w:rPr>
              <w:t>Porter’s Five Forces</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_Toc213413478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9</w:t>
            </w:r>
            <w:r w:rsidRPr="00A174C8">
              <w:rPr>
                <w:rFonts w:ascii="Arial" w:hAnsi="Arial" w:cs="Arial"/>
                <w:noProof/>
                <w:webHidden/>
                <w:sz w:val="22"/>
                <w:szCs w:val="22"/>
              </w:rPr>
              <w:fldChar w:fldCharType="end"/>
            </w:r>
          </w:hyperlink>
        </w:p>
        <w:p w14:paraId="4C81933B" w14:textId="4ADC90B4" w:rsidR="0053237B" w:rsidRPr="00A174C8" w:rsidRDefault="0053237B" w:rsidP="00A174C8">
          <w:pPr>
            <w:pStyle w:val="TOC2"/>
            <w:tabs>
              <w:tab w:val="right" w:leader="dot" w:pos="9350"/>
            </w:tabs>
            <w:rPr>
              <w:rFonts w:ascii="Arial" w:eastAsiaTheme="minorEastAsia" w:hAnsi="Arial" w:cs="Arial"/>
              <w:noProof/>
              <w:sz w:val="22"/>
              <w:szCs w:val="22"/>
              <w:lang w:val="en-US"/>
            </w:rPr>
          </w:pPr>
          <w:hyperlink w:anchor="_Toc213413479" w:history="1">
            <w:r w:rsidRPr="00A174C8">
              <w:rPr>
                <w:rStyle w:val="Hyperlink"/>
                <w:rFonts w:ascii="Arial" w:hAnsi="Arial" w:cs="Arial"/>
                <w:noProof/>
                <w:sz w:val="22"/>
                <w:szCs w:val="22"/>
                <w:lang w:val="en-US"/>
              </w:rPr>
              <w:t>Summary of Environmental Scan</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_Toc213413479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9</w:t>
            </w:r>
            <w:r w:rsidRPr="00A174C8">
              <w:rPr>
                <w:rFonts w:ascii="Arial" w:hAnsi="Arial" w:cs="Arial"/>
                <w:noProof/>
                <w:webHidden/>
                <w:sz w:val="22"/>
                <w:szCs w:val="22"/>
              </w:rPr>
              <w:fldChar w:fldCharType="end"/>
            </w:r>
          </w:hyperlink>
        </w:p>
        <w:p w14:paraId="21FA2802" w14:textId="6F2E622C" w:rsidR="0053237B" w:rsidRPr="00A174C8" w:rsidRDefault="0053237B" w:rsidP="00A174C8">
          <w:pPr>
            <w:pStyle w:val="TOC1"/>
            <w:tabs>
              <w:tab w:val="right" w:leader="dot" w:pos="9350"/>
            </w:tabs>
            <w:rPr>
              <w:rFonts w:ascii="Arial" w:eastAsiaTheme="minorEastAsia" w:hAnsi="Arial" w:cs="Arial"/>
              <w:noProof/>
              <w:sz w:val="22"/>
              <w:szCs w:val="22"/>
              <w:lang w:val="en-US"/>
            </w:rPr>
          </w:pPr>
          <w:hyperlink w:anchor="_Toc213413480" w:history="1">
            <w:r w:rsidRPr="00A174C8">
              <w:rPr>
                <w:rStyle w:val="Hyperlink"/>
                <w:rFonts w:ascii="Arial" w:hAnsi="Arial" w:cs="Arial"/>
                <w:noProof/>
                <w:sz w:val="22"/>
                <w:szCs w:val="22"/>
              </w:rPr>
              <w:t>Strategic Growth Choices</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_Toc213413480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9</w:t>
            </w:r>
            <w:r w:rsidRPr="00A174C8">
              <w:rPr>
                <w:rFonts w:ascii="Arial" w:hAnsi="Arial" w:cs="Arial"/>
                <w:noProof/>
                <w:webHidden/>
                <w:sz w:val="22"/>
                <w:szCs w:val="22"/>
              </w:rPr>
              <w:fldChar w:fldCharType="end"/>
            </w:r>
          </w:hyperlink>
        </w:p>
        <w:p w14:paraId="14DDABF2" w14:textId="7FD80094" w:rsidR="0053237B" w:rsidRPr="00A174C8" w:rsidRDefault="0053237B" w:rsidP="00A174C8">
          <w:pPr>
            <w:pStyle w:val="TOC2"/>
            <w:tabs>
              <w:tab w:val="right" w:leader="dot" w:pos="9350"/>
            </w:tabs>
            <w:rPr>
              <w:rFonts w:ascii="Arial" w:eastAsiaTheme="minorEastAsia" w:hAnsi="Arial" w:cs="Arial"/>
              <w:noProof/>
              <w:sz w:val="22"/>
              <w:szCs w:val="22"/>
              <w:lang w:val="en-US"/>
            </w:rPr>
          </w:pPr>
          <w:hyperlink w:anchor="_Toc213413481" w:history="1">
            <w:r w:rsidRPr="00A174C8">
              <w:rPr>
                <w:rStyle w:val="Hyperlink"/>
                <w:rFonts w:ascii="Arial" w:hAnsi="Arial" w:cs="Arial"/>
                <w:noProof/>
                <w:sz w:val="22"/>
                <w:szCs w:val="22"/>
              </w:rPr>
              <w:t>Porter’s Generic Strategies</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_Toc213413481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10</w:t>
            </w:r>
            <w:r w:rsidRPr="00A174C8">
              <w:rPr>
                <w:rFonts w:ascii="Arial" w:hAnsi="Arial" w:cs="Arial"/>
                <w:noProof/>
                <w:webHidden/>
                <w:sz w:val="22"/>
                <w:szCs w:val="22"/>
              </w:rPr>
              <w:fldChar w:fldCharType="end"/>
            </w:r>
          </w:hyperlink>
        </w:p>
        <w:p w14:paraId="171A26E0" w14:textId="09E02204" w:rsidR="0053237B" w:rsidRPr="00A174C8" w:rsidRDefault="0053237B" w:rsidP="00A174C8">
          <w:pPr>
            <w:pStyle w:val="TOC2"/>
            <w:tabs>
              <w:tab w:val="right" w:leader="dot" w:pos="9350"/>
            </w:tabs>
            <w:rPr>
              <w:rFonts w:ascii="Arial" w:eastAsiaTheme="minorEastAsia" w:hAnsi="Arial" w:cs="Arial"/>
              <w:noProof/>
              <w:sz w:val="22"/>
              <w:szCs w:val="22"/>
              <w:lang w:val="en-US"/>
            </w:rPr>
          </w:pPr>
          <w:hyperlink w:anchor="_Toc213413482" w:history="1">
            <w:r w:rsidRPr="00A174C8">
              <w:rPr>
                <w:rStyle w:val="Hyperlink"/>
                <w:rFonts w:ascii="Arial" w:hAnsi="Arial" w:cs="Arial"/>
                <w:noProof/>
                <w:sz w:val="22"/>
                <w:szCs w:val="22"/>
                <w:lang w:val="en-US"/>
              </w:rPr>
              <w:t>Ansoff Matrix</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_Toc213413482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10</w:t>
            </w:r>
            <w:r w:rsidRPr="00A174C8">
              <w:rPr>
                <w:rFonts w:ascii="Arial" w:hAnsi="Arial" w:cs="Arial"/>
                <w:noProof/>
                <w:webHidden/>
                <w:sz w:val="22"/>
                <w:szCs w:val="22"/>
              </w:rPr>
              <w:fldChar w:fldCharType="end"/>
            </w:r>
          </w:hyperlink>
        </w:p>
        <w:p w14:paraId="61522F8C" w14:textId="02C04ED9" w:rsidR="0053237B" w:rsidRPr="00A174C8" w:rsidRDefault="0053237B" w:rsidP="00A174C8">
          <w:pPr>
            <w:pStyle w:val="TOC2"/>
            <w:tabs>
              <w:tab w:val="right" w:leader="dot" w:pos="9350"/>
            </w:tabs>
            <w:rPr>
              <w:rFonts w:ascii="Arial" w:eastAsiaTheme="minorEastAsia" w:hAnsi="Arial" w:cs="Arial"/>
              <w:noProof/>
              <w:sz w:val="22"/>
              <w:szCs w:val="22"/>
              <w:lang w:val="en-US"/>
            </w:rPr>
          </w:pPr>
          <w:hyperlink w:anchor="_Toc213413483" w:history="1">
            <w:r w:rsidRPr="00A174C8">
              <w:rPr>
                <w:rStyle w:val="Hyperlink"/>
                <w:rFonts w:ascii="Arial" w:hAnsi="Arial" w:cs="Arial"/>
                <w:noProof/>
                <w:sz w:val="22"/>
                <w:szCs w:val="22"/>
                <w:lang w:val="en-US"/>
              </w:rPr>
              <w:t>Bowman’s Strategic Clock</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_Toc213413483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10</w:t>
            </w:r>
            <w:r w:rsidRPr="00A174C8">
              <w:rPr>
                <w:rFonts w:ascii="Arial" w:hAnsi="Arial" w:cs="Arial"/>
                <w:noProof/>
                <w:webHidden/>
                <w:sz w:val="22"/>
                <w:szCs w:val="22"/>
              </w:rPr>
              <w:fldChar w:fldCharType="end"/>
            </w:r>
          </w:hyperlink>
        </w:p>
        <w:p w14:paraId="28F6F556" w14:textId="074668E9" w:rsidR="0053237B" w:rsidRPr="00A174C8" w:rsidRDefault="0053237B" w:rsidP="00A174C8">
          <w:pPr>
            <w:pStyle w:val="TOC2"/>
            <w:tabs>
              <w:tab w:val="right" w:leader="dot" w:pos="9350"/>
            </w:tabs>
            <w:rPr>
              <w:rFonts w:ascii="Arial" w:eastAsiaTheme="minorEastAsia" w:hAnsi="Arial" w:cs="Arial"/>
              <w:noProof/>
              <w:sz w:val="22"/>
              <w:szCs w:val="22"/>
              <w:lang w:val="en-US"/>
            </w:rPr>
          </w:pPr>
          <w:hyperlink w:anchor="_Toc213413484" w:history="1">
            <w:r w:rsidRPr="00A174C8">
              <w:rPr>
                <w:rStyle w:val="Hyperlink"/>
                <w:rFonts w:ascii="Arial" w:hAnsi="Arial" w:cs="Arial"/>
                <w:noProof/>
                <w:sz w:val="22"/>
                <w:szCs w:val="22"/>
                <w:lang w:val="en-US"/>
              </w:rPr>
              <w:t>Long-term Sustainable Strategy</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_Toc213413484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11</w:t>
            </w:r>
            <w:r w:rsidRPr="00A174C8">
              <w:rPr>
                <w:rFonts w:ascii="Arial" w:hAnsi="Arial" w:cs="Arial"/>
                <w:noProof/>
                <w:webHidden/>
                <w:sz w:val="22"/>
                <w:szCs w:val="22"/>
              </w:rPr>
              <w:fldChar w:fldCharType="end"/>
            </w:r>
          </w:hyperlink>
        </w:p>
        <w:p w14:paraId="252EB82A" w14:textId="547A3519" w:rsidR="0053237B" w:rsidRPr="00A174C8" w:rsidRDefault="0053237B" w:rsidP="00A174C8">
          <w:pPr>
            <w:pStyle w:val="TOC1"/>
            <w:tabs>
              <w:tab w:val="right" w:leader="dot" w:pos="9350"/>
            </w:tabs>
            <w:rPr>
              <w:rFonts w:ascii="Arial" w:eastAsiaTheme="minorEastAsia" w:hAnsi="Arial" w:cs="Arial"/>
              <w:noProof/>
              <w:sz w:val="22"/>
              <w:szCs w:val="22"/>
              <w:lang w:val="en-US"/>
            </w:rPr>
          </w:pPr>
          <w:hyperlink w:anchor="_Toc213413485" w:history="1">
            <w:r w:rsidRPr="00A174C8">
              <w:rPr>
                <w:rStyle w:val="Hyperlink"/>
                <w:rFonts w:ascii="Arial" w:hAnsi="Arial" w:cs="Arial"/>
                <w:noProof/>
                <w:sz w:val="22"/>
                <w:szCs w:val="22"/>
              </w:rPr>
              <w:t>Stakeholder Analysis</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_Toc213413485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12</w:t>
            </w:r>
            <w:r w:rsidRPr="00A174C8">
              <w:rPr>
                <w:rFonts w:ascii="Arial" w:hAnsi="Arial" w:cs="Arial"/>
                <w:noProof/>
                <w:webHidden/>
                <w:sz w:val="22"/>
                <w:szCs w:val="22"/>
              </w:rPr>
              <w:fldChar w:fldCharType="end"/>
            </w:r>
          </w:hyperlink>
        </w:p>
        <w:p w14:paraId="0C5BE785" w14:textId="014048DD" w:rsidR="0053237B" w:rsidRPr="00A174C8" w:rsidRDefault="0053237B" w:rsidP="00A174C8">
          <w:pPr>
            <w:pStyle w:val="TOC2"/>
            <w:tabs>
              <w:tab w:val="right" w:leader="dot" w:pos="9350"/>
            </w:tabs>
            <w:rPr>
              <w:rFonts w:ascii="Arial" w:eastAsiaTheme="minorEastAsia" w:hAnsi="Arial" w:cs="Arial"/>
              <w:noProof/>
              <w:sz w:val="22"/>
              <w:szCs w:val="22"/>
              <w:lang w:val="en-US"/>
            </w:rPr>
          </w:pPr>
          <w:hyperlink w:anchor="_Toc213413486" w:history="1">
            <w:r w:rsidRPr="00A174C8">
              <w:rPr>
                <w:rStyle w:val="Hyperlink"/>
                <w:rFonts w:ascii="Arial" w:hAnsi="Arial" w:cs="Arial"/>
                <w:noProof/>
                <w:sz w:val="22"/>
                <w:szCs w:val="22"/>
              </w:rPr>
              <w:t>Mendelow’s Matrix</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_Toc213413486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12</w:t>
            </w:r>
            <w:r w:rsidRPr="00A174C8">
              <w:rPr>
                <w:rFonts w:ascii="Arial" w:hAnsi="Arial" w:cs="Arial"/>
                <w:noProof/>
                <w:webHidden/>
                <w:sz w:val="22"/>
                <w:szCs w:val="22"/>
              </w:rPr>
              <w:fldChar w:fldCharType="end"/>
            </w:r>
          </w:hyperlink>
        </w:p>
        <w:p w14:paraId="3CCD9F00" w14:textId="71167845" w:rsidR="0053237B" w:rsidRPr="00A174C8" w:rsidRDefault="0053237B" w:rsidP="00A174C8">
          <w:pPr>
            <w:pStyle w:val="TOC2"/>
            <w:tabs>
              <w:tab w:val="right" w:leader="dot" w:pos="9350"/>
            </w:tabs>
            <w:rPr>
              <w:rFonts w:ascii="Arial" w:eastAsiaTheme="minorEastAsia" w:hAnsi="Arial" w:cs="Arial"/>
              <w:noProof/>
              <w:sz w:val="22"/>
              <w:szCs w:val="22"/>
              <w:lang w:val="en-US"/>
            </w:rPr>
          </w:pPr>
          <w:hyperlink w:anchor="_Toc213413487" w:history="1">
            <w:r w:rsidRPr="00A174C8">
              <w:rPr>
                <w:rStyle w:val="Hyperlink"/>
                <w:rFonts w:ascii="Arial" w:hAnsi="Arial" w:cs="Arial"/>
                <w:noProof/>
                <w:sz w:val="22"/>
                <w:szCs w:val="22"/>
                <w:lang w:val="en-US"/>
              </w:rPr>
              <w:t>RACI Framework for Strategy Implementation</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_Toc213413487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13</w:t>
            </w:r>
            <w:r w:rsidRPr="00A174C8">
              <w:rPr>
                <w:rFonts w:ascii="Arial" w:hAnsi="Arial" w:cs="Arial"/>
                <w:noProof/>
                <w:webHidden/>
                <w:sz w:val="22"/>
                <w:szCs w:val="22"/>
              </w:rPr>
              <w:fldChar w:fldCharType="end"/>
            </w:r>
          </w:hyperlink>
        </w:p>
        <w:p w14:paraId="375999FE" w14:textId="4E893C06" w:rsidR="0053237B" w:rsidRPr="00A174C8" w:rsidRDefault="0053237B" w:rsidP="00A174C8">
          <w:pPr>
            <w:pStyle w:val="TOC2"/>
            <w:tabs>
              <w:tab w:val="right" w:leader="dot" w:pos="9350"/>
            </w:tabs>
            <w:rPr>
              <w:rFonts w:ascii="Arial" w:eastAsiaTheme="minorEastAsia" w:hAnsi="Arial" w:cs="Arial"/>
              <w:noProof/>
              <w:sz w:val="22"/>
              <w:szCs w:val="22"/>
              <w:lang w:val="en-US"/>
            </w:rPr>
          </w:pPr>
          <w:hyperlink w:anchor="_Toc213413488" w:history="1">
            <w:r w:rsidRPr="00A174C8">
              <w:rPr>
                <w:rStyle w:val="Hyperlink"/>
                <w:rFonts w:ascii="Arial" w:hAnsi="Arial" w:cs="Arial"/>
                <w:noProof/>
                <w:sz w:val="22"/>
                <w:szCs w:val="22"/>
                <w:lang w:val="en-US"/>
              </w:rPr>
              <w:t>Critical Evaluation</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_Toc213413488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13</w:t>
            </w:r>
            <w:r w:rsidRPr="00A174C8">
              <w:rPr>
                <w:rFonts w:ascii="Arial" w:hAnsi="Arial" w:cs="Arial"/>
                <w:noProof/>
                <w:webHidden/>
                <w:sz w:val="22"/>
                <w:szCs w:val="22"/>
              </w:rPr>
              <w:fldChar w:fldCharType="end"/>
            </w:r>
          </w:hyperlink>
        </w:p>
        <w:p w14:paraId="03757AB2" w14:textId="3A2DBB41" w:rsidR="0053237B" w:rsidRPr="00A174C8" w:rsidRDefault="0053237B" w:rsidP="00A174C8">
          <w:pPr>
            <w:pStyle w:val="TOC1"/>
            <w:tabs>
              <w:tab w:val="right" w:leader="dot" w:pos="9350"/>
            </w:tabs>
            <w:rPr>
              <w:rFonts w:ascii="Arial" w:eastAsiaTheme="minorEastAsia" w:hAnsi="Arial" w:cs="Arial"/>
              <w:noProof/>
              <w:sz w:val="22"/>
              <w:szCs w:val="22"/>
              <w:lang w:val="en-US"/>
            </w:rPr>
          </w:pPr>
          <w:hyperlink w:anchor="_Toc213413489" w:history="1">
            <w:r w:rsidRPr="00A174C8">
              <w:rPr>
                <w:rStyle w:val="Hyperlink"/>
                <w:rFonts w:ascii="Arial" w:hAnsi="Arial" w:cs="Arial"/>
                <w:noProof/>
                <w:sz w:val="22"/>
                <w:szCs w:val="22"/>
              </w:rPr>
              <w:t>Strategic Recommendations</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_Toc213413489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14</w:t>
            </w:r>
            <w:r w:rsidRPr="00A174C8">
              <w:rPr>
                <w:rFonts w:ascii="Arial" w:hAnsi="Arial" w:cs="Arial"/>
                <w:noProof/>
                <w:webHidden/>
                <w:sz w:val="22"/>
                <w:szCs w:val="22"/>
              </w:rPr>
              <w:fldChar w:fldCharType="end"/>
            </w:r>
          </w:hyperlink>
        </w:p>
        <w:p w14:paraId="4CF0B4D6" w14:textId="41CB234B" w:rsidR="0053237B" w:rsidRPr="00A174C8" w:rsidRDefault="0053237B" w:rsidP="00A174C8">
          <w:pPr>
            <w:pStyle w:val="TOC2"/>
            <w:tabs>
              <w:tab w:val="right" w:leader="dot" w:pos="9350"/>
            </w:tabs>
            <w:rPr>
              <w:rFonts w:ascii="Arial" w:eastAsiaTheme="minorEastAsia" w:hAnsi="Arial" w:cs="Arial"/>
              <w:noProof/>
              <w:sz w:val="22"/>
              <w:szCs w:val="22"/>
              <w:lang w:val="en-US"/>
            </w:rPr>
          </w:pPr>
          <w:hyperlink w:anchor="_Toc213413490" w:history="1">
            <w:r w:rsidRPr="00A174C8">
              <w:rPr>
                <w:rStyle w:val="Hyperlink"/>
                <w:rFonts w:ascii="Arial" w:hAnsi="Arial" w:cs="Arial"/>
                <w:noProof/>
                <w:sz w:val="22"/>
                <w:szCs w:val="22"/>
                <w:lang w:val="en-US"/>
              </w:rPr>
              <w:t>Prepare EV Builds Over Time:</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_Toc213413490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14</w:t>
            </w:r>
            <w:r w:rsidRPr="00A174C8">
              <w:rPr>
                <w:rFonts w:ascii="Arial" w:hAnsi="Arial" w:cs="Arial"/>
                <w:noProof/>
                <w:webHidden/>
                <w:sz w:val="22"/>
                <w:szCs w:val="22"/>
              </w:rPr>
              <w:fldChar w:fldCharType="end"/>
            </w:r>
          </w:hyperlink>
        </w:p>
        <w:p w14:paraId="49565C18" w14:textId="416B17E0" w:rsidR="0053237B" w:rsidRPr="00A174C8" w:rsidRDefault="0053237B" w:rsidP="00A174C8">
          <w:pPr>
            <w:pStyle w:val="TOC2"/>
            <w:tabs>
              <w:tab w:val="right" w:leader="dot" w:pos="9350"/>
            </w:tabs>
            <w:rPr>
              <w:rFonts w:ascii="Arial" w:eastAsiaTheme="minorEastAsia" w:hAnsi="Arial" w:cs="Arial"/>
              <w:noProof/>
              <w:sz w:val="22"/>
              <w:szCs w:val="22"/>
              <w:lang w:val="en-US"/>
            </w:rPr>
          </w:pPr>
          <w:hyperlink w:anchor="_Toc213413491" w:history="1">
            <w:r w:rsidRPr="00A174C8">
              <w:rPr>
                <w:rStyle w:val="Hyperlink"/>
                <w:rFonts w:ascii="Arial" w:hAnsi="Arial" w:cs="Arial"/>
                <w:noProof/>
                <w:sz w:val="22"/>
                <w:szCs w:val="22"/>
                <w:lang w:val="en-US"/>
              </w:rPr>
              <w:t>Enhance Online Literacy:</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_Toc213413491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15</w:t>
            </w:r>
            <w:r w:rsidRPr="00A174C8">
              <w:rPr>
                <w:rFonts w:ascii="Arial" w:hAnsi="Arial" w:cs="Arial"/>
                <w:noProof/>
                <w:webHidden/>
                <w:sz w:val="22"/>
                <w:szCs w:val="22"/>
              </w:rPr>
              <w:fldChar w:fldCharType="end"/>
            </w:r>
          </w:hyperlink>
        </w:p>
        <w:p w14:paraId="1117E335" w14:textId="7545B941" w:rsidR="0053237B" w:rsidRPr="00A174C8" w:rsidRDefault="0053237B" w:rsidP="00A174C8">
          <w:pPr>
            <w:pStyle w:val="TOC2"/>
            <w:tabs>
              <w:tab w:val="right" w:leader="dot" w:pos="9350"/>
            </w:tabs>
            <w:rPr>
              <w:rFonts w:ascii="Arial" w:eastAsiaTheme="minorEastAsia" w:hAnsi="Arial" w:cs="Arial"/>
              <w:noProof/>
              <w:sz w:val="22"/>
              <w:szCs w:val="22"/>
              <w:lang w:val="en-US"/>
            </w:rPr>
          </w:pPr>
          <w:hyperlink w:anchor="_Toc213413492" w:history="1">
            <w:r w:rsidRPr="00A174C8">
              <w:rPr>
                <w:rStyle w:val="Hyperlink"/>
                <w:rFonts w:ascii="Arial" w:hAnsi="Arial" w:cs="Arial"/>
                <w:noProof/>
                <w:sz w:val="22"/>
                <w:szCs w:val="22"/>
                <w:lang w:val="en-US"/>
              </w:rPr>
              <w:t>Increase the Aftersales and Services Packages:</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_Toc213413492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15</w:t>
            </w:r>
            <w:r w:rsidRPr="00A174C8">
              <w:rPr>
                <w:rFonts w:ascii="Arial" w:hAnsi="Arial" w:cs="Arial"/>
                <w:noProof/>
                <w:webHidden/>
                <w:sz w:val="22"/>
                <w:szCs w:val="22"/>
              </w:rPr>
              <w:fldChar w:fldCharType="end"/>
            </w:r>
          </w:hyperlink>
        </w:p>
        <w:p w14:paraId="5C741D9A" w14:textId="62FEB9A4" w:rsidR="0053237B" w:rsidRPr="00A174C8" w:rsidRDefault="0053237B" w:rsidP="00A174C8">
          <w:pPr>
            <w:pStyle w:val="TOC2"/>
            <w:tabs>
              <w:tab w:val="right" w:leader="dot" w:pos="9350"/>
            </w:tabs>
            <w:rPr>
              <w:rFonts w:ascii="Arial" w:eastAsiaTheme="minorEastAsia" w:hAnsi="Arial" w:cs="Arial"/>
              <w:noProof/>
              <w:sz w:val="22"/>
              <w:szCs w:val="22"/>
              <w:lang w:val="en-US"/>
            </w:rPr>
          </w:pPr>
          <w:hyperlink w:anchor="_Toc213413493" w:history="1">
            <w:r w:rsidRPr="00A174C8">
              <w:rPr>
                <w:rStyle w:val="Hyperlink"/>
                <w:rFonts w:ascii="Arial" w:hAnsi="Arial" w:cs="Arial"/>
                <w:noProof/>
                <w:sz w:val="22"/>
                <w:szCs w:val="22"/>
                <w:lang w:val="en-US"/>
              </w:rPr>
              <w:t>Embed Compliance-by-Design:</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_Toc213413493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15</w:t>
            </w:r>
            <w:r w:rsidRPr="00A174C8">
              <w:rPr>
                <w:rFonts w:ascii="Arial" w:hAnsi="Arial" w:cs="Arial"/>
                <w:noProof/>
                <w:webHidden/>
                <w:sz w:val="22"/>
                <w:szCs w:val="22"/>
              </w:rPr>
              <w:fldChar w:fldCharType="end"/>
            </w:r>
          </w:hyperlink>
        </w:p>
        <w:p w14:paraId="6DA0835F" w14:textId="597426A2" w:rsidR="0053237B" w:rsidRPr="00A174C8" w:rsidRDefault="0053237B" w:rsidP="00A174C8">
          <w:pPr>
            <w:pStyle w:val="TOC2"/>
            <w:tabs>
              <w:tab w:val="right" w:leader="dot" w:pos="9350"/>
            </w:tabs>
            <w:rPr>
              <w:rFonts w:ascii="Arial" w:eastAsiaTheme="minorEastAsia" w:hAnsi="Arial" w:cs="Arial"/>
              <w:noProof/>
              <w:sz w:val="22"/>
              <w:szCs w:val="22"/>
              <w:lang w:val="en-US"/>
            </w:rPr>
          </w:pPr>
          <w:hyperlink w:anchor="_Toc213413494" w:history="1">
            <w:r w:rsidRPr="00A174C8">
              <w:rPr>
                <w:rStyle w:val="Hyperlink"/>
                <w:rFonts w:ascii="Arial" w:hAnsi="Arial" w:cs="Arial"/>
                <w:noProof/>
                <w:sz w:val="22"/>
                <w:szCs w:val="22"/>
                <w:lang w:val="en-US"/>
              </w:rPr>
              <w:t>Invest in Human Capital:</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_Toc213413494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15</w:t>
            </w:r>
            <w:r w:rsidRPr="00A174C8">
              <w:rPr>
                <w:rFonts w:ascii="Arial" w:hAnsi="Arial" w:cs="Arial"/>
                <w:noProof/>
                <w:webHidden/>
                <w:sz w:val="22"/>
                <w:szCs w:val="22"/>
              </w:rPr>
              <w:fldChar w:fldCharType="end"/>
            </w:r>
          </w:hyperlink>
        </w:p>
        <w:p w14:paraId="41DCB8F7" w14:textId="4FCC37AC" w:rsidR="0053237B" w:rsidRPr="00A174C8" w:rsidRDefault="0053237B" w:rsidP="00A174C8">
          <w:pPr>
            <w:pStyle w:val="TOC1"/>
            <w:tabs>
              <w:tab w:val="right" w:leader="dot" w:pos="9350"/>
            </w:tabs>
            <w:rPr>
              <w:rFonts w:ascii="Arial" w:eastAsiaTheme="minorEastAsia" w:hAnsi="Arial" w:cs="Arial"/>
              <w:noProof/>
              <w:sz w:val="22"/>
              <w:szCs w:val="22"/>
              <w:lang w:val="en-US"/>
            </w:rPr>
          </w:pPr>
          <w:hyperlink w:anchor="_Toc213413495" w:history="1">
            <w:r w:rsidRPr="00A174C8">
              <w:rPr>
                <w:rStyle w:val="Hyperlink"/>
                <w:rFonts w:ascii="Arial" w:hAnsi="Arial" w:cs="Arial"/>
                <w:noProof/>
                <w:sz w:val="22"/>
                <w:szCs w:val="22"/>
              </w:rPr>
              <w:t>Conclusion</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_Toc213413495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15</w:t>
            </w:r>
            <w:r w:rsidRPr="00A174C8">
              <w:rPr>
                <w:rFonts w:ascii="Arial" w:hAnsi="Arial" w:cs="Arial"/>
                <w:noProof/>
                <w:webHidden/>
                <w:sz w:val="22"/>
                <w:szCs w:val="22"/>
              </w:rPr>
              <w:fldChar w:fldCharType="end"/>
            </w:r>
          </w:hyperlink>
        </w:p>
        <w:p w14:paraId="4BB0B379" w14:textId="2915ADDA" w:rsidR="0053237B" w:rsidRPr="00A174C8" w:rsidRDefault="0053237B" w:rsidP="00A174C8">
          <w:pPr>
            <w:pStyle w:val="TOC1"/>
            <w:tabs>
              <w:tab w:val="right" w:leader="dot" w:pos="9350"/>
            </w:tabs>
            <w:rPr>
              <w:rFonts w:ascii="Arial" w:eastAsiaTheme="minorEastAsia" w:hAnsi="Arial" w:cs="Arial"/>
              <w:noProof/>
              <w:sz w:val="22"/>
              <w:szCs w:val="22"/>
              <w:lang w:val="en-US"/>
            </w:rPr>
          </w:pPr>
          <w:hyperlink w:anchor="_Toc213413496" w:history="1">
            <w:r w:rsidRPr="00A174C8">
              <w:rPr>
                <w:rStyle w:val="Hyperlink"/>
                <w:rFonts w:ascii="Arial" w:hAnsi="Arial" w:cs="Arial"/>
                <w:noProof/>
                <w:sz w:val="22"/>
                <w:szCs w:val="22"/>
                <w:lang w:val="en-US"/>
              </w:rPr>
              <w:t>References</w:t>
            </w:r>
            <w:r w:rsidRPr="00A174C8">
              <w:rPr>
                <w:rFonts w:ascii="Arial" w:hAnsi="Arial" w:cs="Arial"/>
                <w:noProof/>
                <w:webHidden/>
                <w:sz w:val="22"/>
                <w:szCs w:val="22"/>
              </w:rPr>
              <w:tab/>
            </w:r>
            <w:r w:rsidRPr="00A174C8">
              <w:rPr>
                <w:rFonts w:ascii="Arial" w:hAnsi="Arial" w:cs="Arial"/>
                <w:noProof/>
                <w:webHidden/>
                <w:sz w:val="22"/>
                <w:szCs w:val="22"/>
              </w:rPr>
              <w:fldChar w:fldCharType="begin"/>
            </w:r>
            <w:r w:rsidRPr="00A174C8">
              <w:rPr>
                <w:rFonts w:ascii="Arial" w:hAnsi="Arial" w:cs="Arial"/>
                <w:noProof/>
                <w:webHidden/>
                <w:sz w:val="22"/>
                <w:szCs w:val="22"/>
              </w:rPr>
              <w:instrText xml:space="preserve"> PAGEREF _Toc213413496 \h </w:instrText>
            </w:r>
            <w:r w:rsidRPr="00A174C8">
              <w:rPr>
                <w:rFonts w:ascii="Arial" w:hAnsi="Arial" w:cs="Arial"/>
                <w:noProof/>
                <w:webHidden/>
                <w:sz w:val="22"/>
                <w:szCs w:val="22"/>
              </w:rPr>
            </w:r>
            <w:r w:rsidRPr="00A174C8">
              <w:rPr>
                <w:rFonts w:ascii="Arial" w:hAnsi="Arial" w:cs="Arial"/>
                <w:noProof/>
                <w:webHidden/>
                <w:sz w:val="22"/>
                <w:szCs w:val="22"/>
              </w:rPr>
              <w:fldChar w:fldCharType="separate"/>
            </w:r>
            <w:r w:rsidRPr="00A174C8">
              <w:rPr>
                <w:rFonts w:ascii="Arial" w:hAnsi="Arial" w:cs="Arial"/>
                <w:noProof/>
                <w:webHidden/>
                <w:sz w:val="22"/>
                <w:szCs w:val="22"/>
              </w:rPr>
              <w:t>17</w:t>
            </w:r>
            <w:r w:rsidRPr="00A174C8">
              <w:rPr>
                <w:rFonts w:ascii="Arial" w:hAnsi="Arial" w:cs="Arial"/>
                <w:noProof/>
                <w:webHidden/>
                <w:sz w:val="22"/>
                <w:szCs w:val="22"/>
              </w:rPr>
              <w:fldChar w:fldCharType="end"/>
            </w:r>
          </w:hyperlink>
        </w:p>
        <w:p w14:paraId="3ED06B04" w14:textId="54E1F755" w:rsidR="00B352D5" w:rsidRPr="00A174C8" w:rsidRDefault="00B352D5" w:rsidP="00A174C8">
          <w:pPr>
            <w:rPr>
              <w:rFonts w:ascii="Arial" w:hAnsi="Arial" w:cs="Arial"/>
              <w:sz w:val="22"/>
              <w:szCs w:val="22"/>
            </w:rPr>
          </w:pPr>
          <w:r w:rsidRPr="00A174C8">
            <w:rPr>
              <w:rFonts w:ascii="Arial" w:hAnsi="Arial" w:cs="Arial"/>
              <w:b/>
              <w:bCs/>
              <w:noProof/>
              <w:sz w:val="22"/>
              <w:szCs w:val="22"/>
            </w:rPr>
            <w:fldChar w:fldCharType="end"/>
          </w:r>
        </w:p>
      </w:sdtContent>
    </w:sdt>
    <w:p w14:paraId="67DF818A" w14:textId="7DA83D1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br w:type="page"/>
      </w:r>
    </w:p>
    <w:p w14:paraId="3A3C84A1" w14:textId="4ECF3A41" w:rsidR="00D91C31" w:rsidRPr="00A174C8" w:rsidRDefault="00D91C31" w:rsidP="00A174C8">
      <w:pPr>
        <w:pStyle w:val="Heading1"/>
        <w:rPr>
          <w:rFonts w:ascii="Arial" w:hAnsi="Arial" w:cs="Arial"/>
          <w:sz w:val="22"/>
          <w:szCs w:val="22"/>
        </w:rPr>
      </w:pPr>
      <w:bookmarkStart w:id="0" w:name="_Toc213413470"/>
      <w:r w:rsidRPr="00A174C8">
        <w:rPr>
          <w:rFonts w:ascii="Arial" w:hAnsi="Arial" w:cs="Arial"/>
          <w:sz w:val="22"/>
          <w:szCs w:val="22"/>
        </w:rPr>
        <w:lastRenderedPageBreak/>
        <w:t>Introduction</w:t>
      </w:r>
      <w:bookmarkEnd w:id="0"/>
    </w:p>
    <w:p w14:paraId="1D9B4CD6" w14:textId="33E663B7" w:rsidR="00D91C31" w:rsidRPr="00A174C8" w:rsidRDefault="00D91C31" w:rsidP="00A174C8">
      <w:pPr>
        <w:rPr>
          <w:rFonts w:ascii="Arial" w:hAnsi="Arial" w:cs="Arial"/>
          <w:sz w:val="22"/>
          <w:szCs w:val="22"/>
          <w:lang w:val="en-US"/>
        </w:rPr>
      </w:pPr>
      <w:r w:rsidRPr="00A174C8">
        <w:rPr>
          <w:rFonts w:ascii="Arial" w:hAnsi="Arial" w:cs="Arial"/>
          <w:sz w:val="22"/>
          <w:szCs w:val="22"/>
          <w:lang w:val="en-US"/>
        </w:rPr>
        <w:t>The focus of this report is an independent Ford-</w:t>
      </w:r>
      <w:r w:rsidR="007C786E" w:rsidRPr="00A174C8">
        <w:rPr>
          <w:rFonts w:ascii="Arial" w:hAnsi="Arial" w:cs="Arial"/>
          <w:sz w:val="22"/>
          <w:szCs w:val="22"/>
          <w:lang w:val="en-US"/>
        </w:rPr>
        <w:t>authorized</w:t>
      </w:r>
      <w:r w:rsidRPr="00A174C8">
        <w:rPr>
          <w:rFonts w:ascii="Arial" w:hAnsi="Arial" w:cs="Arial"/>
          <w:sz w:val="22"/>
          <w:szCs w:val="22"/>
          <w:lang w:val="en-US"/>
        </w:rPr>
        <w:t xml:space="preserve"> SME dealership operating in the UK automotive retail market. The dealership serves as a key intermediary between the manufacturer and consumers, offering new and used Ford vehicles, financing solutions, and aftersales services such as maintenance, MOTs, and parts. Its business model combines Ford’s global product platform with locally tailored services, relying on a mix of direct sales, commission-based finance agreements, and recurring aftersales revenue.</w:t>
      </w:r>
    </w:p>
    <w:p w14:paraId="69DF60EA" w14:textId="23BE3769" w:rsidR="00D91C31" w:rsidRPr="00A174C8" w:rsidRDefault="00D91C31" w:rsidP="00A174C8">
      <w:pPr>
        <w:rPr>
          <w:rFonts w:ascii="Arial" w:hAnsi="Arial" w:cs="Arial"/>
          <w:sz w:val="22"/>
          <w:szCs w:val="22"/>
          <w:lang w:val="en-US"/>
        </w:rPr>
      </w:pPr>
      <w:r w:rsidRPr="00A174C8">
        <w:rPr>
          <w:rFonts w:ascii="Arial" w:hAnsi="Arial" w:cs="Arial"/>
          <w:sz w:val="22"/>
          <w:szCs w:val="22"/>
          <w:lang w:val="en-US"/>
        </w:rPr>
        <w:t xml:space="preserve">The dealership’s uniqueness lies in its integration within Ford’s evolving distribution framework, which is gradually shifting towards agency sales and digital-first engagement, while still maintaining the flexibility and customer intimacy typical of SMEs. Positioned within a highly competitive retail market </w:t>
      </w:r>
      <w:r w:rsidR="007C786E" w:rsidRPr="00A174C8">
        <w:rPr>
          <w:rFonts w:ascii="Arial" w:hAnsi="Arial" w:cs="Arial"/>
          <w:sz w:val="22"/>
          <w:szCs w:val="22"/>
          <w:lang w:val="en-US"/>
        </w:rPr>
        <w:t>characterized</w:t>
      </w:r>
      <w:r w:rsidRPr="00A174C8">
        <w:rPr>
          <w:rFonts w:ascii="Arial" w:hAnsi="Arial" w:cs="Arial"/>
          <w:sz w:val="22"/>
          <w:szCs w:val="22"/>
          <w:lang w:val="en-US"/>
        </w:rPr>
        <w:t xml:space="preserve"> by low margins, regulatory compliance requirements, and increased consumer demand for transparency, the dealership faces both risks and opportunities. In particular, the accelerated transition towards electric vehicles (EVs) and new mobility solutions represents a disruptive but potentially rewarding challenge, given the dealership’s direct access to Ford’s electrification strategy and the UK’s policy environment that </w:t>
      </w:r>
      <w:r w:rsidR="00714B9F" w:rsidRPr="00A174C8">
        <w:rPr>
          <w:rFonts w:ascii="Arial" w:hAnsi="Arial" w:cs="Arial"/>
          <w:sz w:val="22"/>
          <w:szCs w:val="22"/>
          <w:lang w:val="en-US"/>
        </w:rPr>
        <w:t>favors</w:t>
      </w:r>
      <w:r w:rsidRPr="00A174C8">
        <w:rPr>
          <w:rFonts w:ascii="Arial" w:hAnsi="Arial" w:cs="Arial"/>
          <w:sz w:val="22"/>
          <w:szCs w:val="22"/>
          <w:lang w:val="en-US"/>
        </w:rPr>
        <w:t xml:space="preserve"> zero-emission vehicles.</w:t>
      </w:r>
    </w:p>
    <w:p w14:paraId="3995F389" w14:textId="77777777" w:rsidR="00D91C31" w:rsidRPr="00A174C8" w:rsidRDefault="00D91C31" w:rsidP="00A174C8">
      <w:pPr>
        <w:rPr>
          <w:rFonts w:ascii="Arial" w:hAnsi="Arial" w:cs="Arial"/>
          <w:sz w:val="22"/>
          <w:szCs w:val="22"/>
          <w:lang w:val="en-US"/>
        </w:rPr>
      </w:pPr>
      <w:r w:rsidRPr="00A174C8">
        <w:rPr>
          <w:rFonts w:ascii="Arial" w:hAnsi="Arial" w:cs="Arial"/>
          <w:sz w:val="22"/>
          <w:szCs w:val="22"/>
          <w:lang w:val="en-US"/>
        </w:rPr>
        <w:t>As an SME, the dealership must balance limited resources against ambitious strategic goals, navigating structural changes in the automotive sector while ensuring long-term viability (Grant, 2021).</w:t>
      </w:r>
    </w:p>
    <w:p w14:paraId="4849F715" w14:textId="5D304F6F" w:rsidR="00D91C31" w:rsidRPr="00A174C8" w:rsidRDefault="00D91C31" w:rsidP="00A174C8">
      <w:pPr>
        <w:pStyle w:val="Heading1"/>
        <w:rPr>
          <w:rFonts w:ascii="Arial" w:hAnsi="Arial" w:cs="Arial"/>
          <w:sz w:val="22"/>
          <w:szCs w:val="22"/>
        </w:rPr>
      </w:pPr>
      <w:bookmarkStart w:id="1" w:name="_Toc213413471"/>
      <w:r w:rsidRPr="00A174C8">
        <w:rPr>
          <w:rFonts w:ascii="Arial" w:hAnsi="Arial" w:cs="Arial"/>
          <w:sz w:val="22"/>
          <w:szCs w:val="22"/>
        </w:rPr>
        <w:t>Strategic Direction</w:t>
      </w:r>
      <w:bookmarkEnd w:id="1"/>
    </w:p>
    <w:p w14:paraId="7DAE37D8" w14:textId="2EA659D2" w:rsidR="00D91C31" w:rsidRPr="00A174C8" w:rsidRDefault="00D91C31" w:rsidP="00A174C8">
      <w:pPr>
        <w:rPr>
          <w:rFonts w:ascii="Arial" w:hAnsi="Arial" w:cs="Arial"/>
          <w:sz w:val="22"/>
          <w:szCs w:val="22"/>
          <w:lang w:val="en-US"/>
        </w:rPr>
      </w:pPr>
      <w:r w:rsidRPr="00A174C8">
        <w:rPr>
          <w:rFonts w:ascii="Arial" w:hAnsi="Arial" w:cs="Arial"/>
          <w:sz w:val="22"/>
          <w:szCs w:val="22"/>
          <w:lang w:val="en-US"/>
        </w:rPr>
        <w:t>The Ford-</w:t>
      </w:r>
      <w:r w:rsidR="00C21B82" w:rsidRPr="00A174C8">
        <w:rPr>
          <w:rFonts w:ascii="Arial" w:hAnsi="Arial" w:cs="Arial"/>
          <w:sz w:val="22"/>
          <w:szCs w:val="22"/>
          <w:lang w:val="en-US"/>
        </w:rPr>
        <w:t>authorized</w:t>
      </w:r>
      <w:r w:rsidRPr="00A174C8">
        <w:rPr>
          <w:rFonts w:ascii="Arial" w:hAnsi="Arial" w:cs="Arial"/>
          <w:sz w:val="22"/>
          <w:szCs w:val="22"/>
          <w:lang w:val="en-US"/>
        </w:rPr>
        <w:t xml:space="preserve"> SME dealership’s current strategic direction reflects both the wider Ford Motor Company’s global objectives and the local realities of operating as a small-to-medium enterprise. At a corporate level, Ford’s vision focuses on delivering smart vehicles for a smart world, with a strong commitment to electrification, sustainability, and connected mobility solutions (Ford Motor Company, 2024). Locally, the dealership aligns with these aims by offering a mix of Ford’s latest electric and hybrid vehicles alongside conventional petrol and diesel models, ensuring it meets diverse consumer demands during the transition period.</w:t>
      </w:r>
    </w:p>
    <w:p w14:paraId="08F78FE5" w14:textId="7079A38D" w:rsidR="00D91C31" w:rsidRPr="00A174C8" w:rsidRDefault="00D91C31" w:rsidP="00A174C8">
      <w:pPr>
        <w:rPr>
          <w:rFonts w:ascii="Arial" w:hAnsi="Arial" w:cs="Arial"/>
          <w:sz w:val="22"/>
          <w:szCs w:val="22"/>
          <w:lang w:val="en-US"/>
        </w:rPr>
      </w:pPr>
      <w:r w:rsidRPr="00A174C8">
        <w:rPr>
          <w:rFonts w:ascii="Arial" w:hAnsi="Arial" w:cs="Arial"/>
          <w:sz w:val="22"/>
          <w:szCs w:val="22"/>
          <w:lang w:val="en-US"/>
        </w:rPr>
        <w:t xml:space="preserve">The dealership’s mission is more customer-centric and operationally grounded: to provide accessible, trustworthy, and responsive automotive solutions to its community. Objectives include achieving stable sales growth across new and used vehicles, expanding aftersales revenue streams, and investing in staff training to adapt to the servicing requirements of EVs. However, </w:t>
      </w:r>
      <w:r w:rsidRPr="00A174C8">
        <w:rPr>
          <w:rFonts w:ascii="Arial" w:hAnsi="Arial" w:cs="Arial"/>
          <w:sz w:val="22"/>
          <w:szCs w:val="22"/>
          <w:lang w:val="en-US"/>
        </w:rPr>
        <w:lastRenderedPageBreak/>
        <w:t>gaps exist between aspiration and execution. For example, the mission to deliver sustainable mobility is constrained by the SME’s limited infrastructure investment capacity, particularly in EV charging and advanced diagnostics equipment.</w:t>
      </w:r>
    </w:p>
    <w:p w14:paraId="7588CF81" w14:textId="573F0421" w:rsidR="00D91C31" w:rsidRPr="00A174C8" w:rsidRDefault="00D91C31" w:rsidP="00A174C8">
      <w:pPr>
        <w:rPr>
          <w:rFonts w:ascii="Arial" w:hAnsi="Arial" w:cs="Arial"/>
          <w:sz w:val="22"/>
          <w:szCs w:val="22"/>
          <w:lang w:val="en-US"/>
        </w:rPr>
      </w:pPr>
      <w:r w:rsidRPr="00A174C8">
        <w:rPr>
          <w:rFonts w:ascii="Arial" w:hAnsi="Arial" w:cs="Arial"/>
          <w:sz w:val="22"/>
          <w:szCs w:val="22"/>
          <w:lang w:val="en-US"/>
        </w:rPr>
        <w:t>Furthermore, strategic direction is influenced by Ford’s gradual shift towards an agency model in the UK, where the manufacturer controls pricing while dealers act as delivery and service hubs (Bain and Company, 2023). For SMEs, this shift reduces pricing autonomy and margin flexibility, increasing reliance on customer service differentiation and aftersales performance.</w:t>
      </w:r>
    </w:p>
    <w:p w14:paraId="621F711A" w14:textId="1761779F" w:rsidR="00D91C31" w:rsidRPr="00A174C8" w:rsidRDefault="00D91C31" w:rsidP="00A174C8">
      <w:pPr>
        <w:rPr>
          <w:rFonts w:ascii="Arial" w:hAnsi="Arial" w:cs="Arial"/>
          <w:sz w:val="22"/>
          <w:szCs w:val="22"/>
          <w:lang w:val="en-US"/>
        </w:rPr>
      </w:pPr>
      <w:r w:rsidRPr="00A174C8">
        <w:rPr>
          <w:rFonts w:ascii="Arial" w:hAnsi="Arial" w:cs="Arial"/>
          <w:sz w:val="22"/>
          <w:szCs w:val="22"/>
          <w:lang w:val="en-US"/>
        </w:rPr>
        <w:t>The dealership therefore faces a dual challenge: remaining profitable in the short term within a volume-driven market, while simultaneously preparing for the structural transition to electrified and digitally mediated mobility solutions. Its objectives must balance tactical priorities—such as improving used car turnover and finance penetration rates with strategic investments in capability-building. A forward-looking mission would place greater emphasis on becoming an EV-ready, omnichannel retail and service provider, enabling the dealership to sustain relevance and profitability in a rapidly changing environment.</w:t>
      </w:r>
    </w:p>
    <w:p w14:paraId="7E531DFB" w14:textId="0F527E68" w:rsidR="00D91C31" w:rsidRPr="00A174C8" w:rsidRDefault="00D91C31" w:rsidP="00A174C8">
      <w:pPr>
        <w:pStyle w:val="Heading1"/>
        <w:rPr>
          <w:rFonts w:ascii="Arial" w:hAnsi="Arial" w:cs="Arial"/>
          <w:sz w:val="22"/>
          <w:szCs w:val="22"/>
        </w:rPr>
      </w:pPr>
      <w:bookmarkStart w:id="2" w:name="_Toc213413472"/>
      <w:r w:rsidRPr="00A174C8">
        <w:rPr>
          <w:rFonts w:ascii="Arial" w:hAnsi="Arial" w:cs="Arial"/>
          <w:sz w:val="22"/>
          <w:szCs w:val="22"/>
        </w:rPr>
        <w:t>Environmental Scan</w:t>
      </w:r>
      <w:bookmarkEnd w:id="2"/>
    </w:p>
    <w:p w14:paraId="7142B77B" w14:textId="397C63F0" w:rsidR="00D91C31" w:rsidRPr="00A174C8" w:rsidRDefault="00D91C31" w:rsidP="00A174C8">
      <w:pPr>
        <w:pStyle w:val="Heading1"/>
        <w:rPr>
          <w:rFonts w:ascii="Arial" w:hAnsi="Arial" w:cs="Arial"/>
          <w:sz w:val="22"/>
          <w:szCs w:val="22"/>
        </w:rPr>
      </w:pPr>
      <w:bookmarkStart w:id="3" w:name="_Toc213413473"/>
      <w:r w:rsidRPr="00A174C8">
        <w:rPr>
          <w:rFonts w:ascii="Arial" w:hAnsi="Arial" w:cs="Arial"/>
          <w:sz w:val="22"/>
          <w:szCs w:val="22"/>
        </w:rPr>
        <w:t>Internal Analysis</w:t>
      </w:r>
      <w:bookmarkEnd w:id="3"/>
    </w:p>
    <w:p w14:paraId="17BFA107" w14:textId="53BDF368" w:rsidR="00D91C31" w:rsidRPr="00A174C8" w:rsidRDefault="00D91C31" w:rsidP="00A174C8">
      <w:pPr>
        <w:pStyle w:val="Heading2"/>
        <w:rPr>
          <w:rFonts w:ascii="Arial" w:hAnsi="Arial" w:cs="Arial"/>
          <w:sz w:val="22"/>
          <w:szCs w:val="22"/>
        </w:rPr>
      </w:pPr>
      <w:bookmarkStart w:id="4" w:name="_Toc213413474"/>
      <w:r w:rsidRPr="00A174C8">
        <w:rPr>
          <w:rFonts w:ascii="Arial" w:hAnsi="Arial" w:cs="Arial"/>
          <w:sz w:val="22"/>
          <w:szCs w:val="22"/>
        </w:rPr>
        <w:t>SWOT Analysis</w:t>
      </w:r>
      <w:bookmarkEnd w:id="4"/>
    </w:p>
    <w:tbl>
      <w:tblPr>
        <w:tblStyle w:val="TableGrid"/>
        <w:tblW w:w="0" w:type="auto"/>
        <w:tblLook w:val="04A0" w:firstRow="1" w:lastRow="0" w:firstColumn="1" w:lastColumn="0" w:noHBand="0" w:noVBand="1"/>
      </w:tblPr>
      <w:tblGrid>
        <w:gridCol w:w="2337"/>
        <w:gridCol w:w="2337"/>
        <w:gridCol w:w="2338"/>
        <w:gridCol w:w="2338"/>
      </w:tblGrid>
      <w:tr w:rsidR="00D91C31" w:rsidRPr="00A174C8" w14:paraId="09F0A30C" w14:textId="77777777" w:rsidTr="00480486">
        <w:tc>
          <w:tcPr>
            <w:tcW w:w="2337" w:type="dxa"/>
            <w:shd w:val="clear" w:color="auto" w:fill="8EAADB" w:themeFill="accent1" w:themeFillTint="99"/>
          </w:tcPr>
          <w:p w14:paraId="03443D3F"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Strengths</w:t>
            </w:r>
          </w:p>
        </w:tc>
        <w:tc>
          <w:tcPr>
            <w:tcW w:w="2337" w:type="dxa"/>
            <w:shd w:val="clear" w:color="auto" w:fill="8EAADB" w:themeFill="accent1" w:themeFillTint="99"/>
          </w:tcPr>
          <w:p w14:paraId="6BEE4F02"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Weaknesses</w:t>
            </w:r>
          </w:p>
        </w:tc>
        <w:tc>
          <w:tcPr>
            <w:tcW w:w="2338" w:type="dxa"/>
            <w:shd w:val="clear" w:color="auto" w:fill="8EAADB" w:themeFill="accent1" w:themeFillTint="99"/>
          </w:tcPr>
          <w:p w14:paraId="3059F79E"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Opportunities</w:t>
            </w:r>
          </w:p>
        </w:tc>
        <w:tc>
          <w:tcPr>
            <w:tcW w:w="2338" w:type="dxa"/>
            <w:shd w:val="clear" w:color="auto" w:fill="8EAADB" w:themeFill="accent1" w:themeFillTint="99"/>
          </w:tcPr>
          <w:p w14:paraId="067D2492"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Threats</w:t>
            </w:r>
          </w:p>
        </w:tc>
      </w:tr>
      <w:tr w:rsidR="00D91C31" w:rsidRPr="00A174C8" w14:paraId="3577D30A" w14:textId="77777777" w:rsidTr="00480486">
        <w:tc>
          <w:tcPr>
            <w:tcW w:w="2337" w:type="dxa"/>
            <w:shd w:val="clear" w:color="auto" w:fill="D9E2F3" w:themeFill="accent1" w:themeFillTint="33"/>
          </w:tcPr>
          <w:p w14:paraId="6FABCB10"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Strong local reputation and trusted Ford brand association</w:t>
            </w:r>
          </w:p>
        </w:tc>
        <w:tc>
          <w:tcPr>
            <w:tcW w:w="2337" w:type="dxa"/>
            <w:shd w:val="clear" w:color="auto" w:fill="D9E2F3" w:themeFill="accent1" w:themeFillTint="33"/>
          </w:tcPr>
          <w:p w14:paraId="2C9A1E7F"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Limited SME resources compared to large dealer groups</w:t>
            </w:r>
          </w:p>
        </w:tc>
        <w:tc>
          <w:tcPr>
            <w:tcW w:w="2338" w:type="dxa"/>
            <w:shd w:val="clear" w:color="auto" w:fill="D9E2F3" w:themeFill="accent1" w:themeFillTint="33"/>
          </w:tcPr>
          <w:p w14:paraId="2F90C761"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Rising EV demand supported by UK government incentives</w:t>
            </w:r>
          </w:p>
        </w:tc>
        <w:tc>
          <w:tcPr>
            <w:tcW w:w="2338" w:type="dxa"/>
            <w:shd w:val="clear" w:color="auto" w:fill="D9E2F3" w:themeFill="accent1" w:themeFillTint="33"/>
          </w:tcPr>
          <w:p w14:paraId="603D9486"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Agency sales model reduces pricing autonomy</w:t>
            </w:r>
          </w:p>
        </w:tc>
      </w:tr>
      <w:tr w:rsidR="00D91C31" w:rsidRPr="00A174C8" w14:paraId="1D0F1346" w14:textId="77777777" w:rsidTr="00480486">
        <w:tc>
          <w:tcPr>
            <w:tcW w:w="2337" w:type="dxa"/>
            <w:shd w:val="clear" w:color="auto" w:fill="D9E2F3" w:themeFill="accent1" w:themeFillTint="33"/>
          </w:tcPr>
          <w:p w14:paraId="50E7F1DC"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Diversified revenue (new/used sales, finance, aftersales)</w:t>
            </w:r>
          </w:p>
        </w:tc>
        <w:tc>
          <w:tcPr>
            <w:tcW w:w="2337" w:type="dxa"/>
            <w:shd w:val="clear" w:color="auto" w:fill="D9E2F3" w:themeFill="accent1" w:themeFillTint="33"/>
          </w:tcPr>
          <w:p w14:paraId="6D366CD8"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Lack of in-house EV infrastructure and diagnostic tools</w:t>
            </w:r>
          </w:p>
        </w:tc>
        <w:tc>
          <w:tcPr>
            <w:tcW w:w="2338" w:type="dxa"/>
            <w:shd w:val="clear" w:color="auto" w:fill="D9E2F3" w:themeFill="accent1" w:themeFillTint="33"/>
          </w:tcPr>
          <w:p w14:paraId="5BFA9832"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Growing digital retail adoption</w:t>
            </w:r>
          </w:p>
        </w:tc>
        <w:tc>
          <w:tcPr>
            <w:tcW w:w="2338" w:type="dxa"/>
            <w:shd w:val="clear" w:color="auto" w:fill="D9E2F3" w:themeFill="accent1" w:themeFillTint="33"/>
          </w:tcPr>
          <w:p w14:paraId="37ADAE93"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High competition from multi-brand dealers and online platforms</w:t>
            </w:r>
          </w:p>
        </w:tc>
      </w:tr>
      <w:tr w:rsidR="00D91C31" w:rsidRPr="00A174C8" w14:paraId="665E275C" w14:textId="77777777" w:rsidTr="00480486">
        <w:tc>
          <w:tcPr>
            <w:tcW w:w="2337" w:type="dxa"/>
            <w:shd w:val="clear" w:color="auto" w:fill="D9E2F3" w:themeFill="accent1" w:themeFillTint="33"/>
          </w:tcPr>
          <w:p w14:paraId="66631E0C"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Skilled workforce with customer service focus</w:t>
            </w:r>
          </w:p>
        </w:tc>
        <w:tc>
          <w:tcPr>
            <w:tcW w:w="2337" w:type="dxa"/>
            <w:shd w:val="clear" w:color="auto" w:fill="D9E2F3" w:themeFill="accent1" w:themeFillTint="33"/>
          </w:tcPr>
          <w:p w14:paraId="0384A65A"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Dependence on Ford supply chain and policies</w:t>
            </w:r>
          </w:p>
        </w:tc>
        <w:tc>
          <w:tcPr>
            <w:tcW w:w="2338" w:type="dxa"/>
            <w:shd w:val="clear" w:color="auto" w:fill="D9E2F3" w:themeFill="accent1" w:themeFillTint="33"/>
          </w:tcPr>
          <w:p w14:paraId="12EE8511"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Expansion into service bundles, EV leasing and subscription models</w:t>
            </w:r>
          </w:p>
        </w:tc>
        <w:tc>
          <w:tcPr>
            <w:tcW w:w="2338" w:type="dxa"/>
            <w:shd w:val="clear" w:color="auto" w:fill="D9E2F3" w:themeFill="accent1" w:themeFillTint="33"/>
          </w:tcPr>
          <w:p w14:paraId="6373A3C2"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Regulatory compliance costs (FCA, CMA, emissions)</w:t>
            </w:r>
          </w:p>
        </w:tc>
      </w:tr>
      <w:tr w:rsidR="00D91C31" w:rsidRPr="00A174C8" w14:paraId="1C124005" w14:textId="77777777" w:rsidTr="00480486">
        <w:tc>
          <w:tcPr>
            <w:tcW w:w="2337" w:type="dxa"/>
            <w:shd w:val="clear" w:color="auto" w:fill="D9E2F3" w:themeFill="accent1" w:themeFillTint="33"/>
          </w:tcPr>
          <w:p w14:paraId="4518E51D"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lastRenderedPageBreak/>
              <w:t>Established aftersales network with repeat customers</w:t>
            </w:r>
          </w:p>
        </w:tc>
        <w:tc>
          <w:tcPr>
            <w:tcW w:w="2337" w:type="dxa"/>
            <w:shd w:val="clear" w:color="auto" w:fill="D9E2F3" w:themeFill="accent1" w:themeFillTint="33"/>
          </w:tcPr>
          <w:p w14:paraId="671A6A91"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Narrow product portfolio restricted to Ford</w:t>
            </w:r>
          </w:p>
        </w:tc>
        <w:tc>
          <w:tcPr>
            <w:tcW w:w="2338" w:type="dxa"/>
            <w:shd w:val="clear" w:color="auto" w:fill="D9E2F3" w:themeFill="accent1" w:themeFillTint="33"/>
          </w:tcPr>
          <w:p w14:paraId="7B771F21"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Potential partnerships with local EV charging providers</w:t>
            </w:r>
          </w:p>
        </w:tc>
        <w:tc>
          <w:tcPr>
            <w:tcW w:w="2338" w:type="dxa"/>
            <w:shd w:val="clear" w:color="auto" w:fill="D9E2F3" w:themeFill="accent1" w:themeFillTint="33"/>
          </w:tcPr>
          <w:p w14:paraId="23F228C1"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Margin erosion from rising operating costs and volatile used-car prices</w:t>
            </w:r>
          </w:p>
        </w:tc>
      </w:tr>
    </w:tbl>
    <w:p w14:paraId="1D9B8E58" w14:textId="4ECF56DD" w:rsidR="00D91C31" w:rsidRPr="00A174C8" w:rsidRDefault="00D91C31" w:rsidP="00A174C8">
      <w:pPr>
        <w:rPr>
          <w:rFonts w:ascii="Arial" w:hAnsi="Arial" w:cs="Arial"/>
          <w:sz w:val="22"/>
          <w:szCs w:val="22"/>
          <w:lang w:val="en-US"/>
        </w:rPr>
      </w:pPr>
    </w:p>
    <w:p w14:paraId="1397A445" w14:textId="24751F1E" w:rsidR="00D91C31" w:rsidRPr="00A174C8" w:rsidRDefault="00D91C31" w:rsidP="00A174C8">
      <w:pPr>
        <w:rPr>
          <w:rFonts w:ascii="Arial" w:hAnsi="Arial" w:cs="Arial"/>
          <w:sz w:val="22"/>
          <w:szCs w:val="22"/>
        </w:rPr>
      </w:pPr>
      <w:r w:rsidRPr="00A174C8">
        <w:rPr>
          <w:rFonts w:ascii="Arial" w:hAnsi="Arial" w:cs="Arial"/>
          <w:sz w:val="22"/>
          <w:szCs w:val="22"/>
        </w:rPr>
        <w:t xml:space="preserve">The SWOT highlights that while brand recognition and aftersales provide resilience, weaknesses in capital resources and heavy dependence on Ford’s strategy create risks that require proactive management (Porter, </w:t>
      </w:r>
      <w:r w:rsidR="007825E9" w:rsidRPr="00A174C8">
        <w:rPr>
          <w:rFonts w:ascii="Arial" w:hAnsi="Arial" w:cs="Arial"/>
          <w:sz w:val="22"/>
          <w:szCs w:val="22"/>
        </w:rPr>
        <w:t>2008</w:t>
      </w:r>
      <w:r w:rsidRPr="00A174C8">
        <w:rPr>
          <w:rFonts w:ascii="Arial" w:hAnsi="Arial" w:cs="Arial"/>
          <w:sz w:val="22"/>
          <w:szCs w:val="22"/>
        </w:rPr>
        <w:t>).</w:t>
      </w:r>
    </w:p>
    <w:p w14:paraId="62AD31F0" w14:textId="77777777" w:rsidR="00D91C31" w:rsidRPr="00A174C8" w:rsidRDefault="00D91C31" w:rsidP="00A174C8">
      <w:pPr>
        <w:pStyle w:val="Heading2"/>
        <w:rPr>
          <w:rFonts w:ascii="Arial" w:hAnsi="Arial" w:cs="Arial"/>
          <w:sz w:val="22"/>
          <w:szCs w:val="22"/>
          <w:lang w:val="en-US"/>
        </w:rPr>
      </w:pPr>
      <w:bookmarkStart w:id="5" w:name="_Toc213413475"/>
      <w:r w:rsidRPr="00A174C8">
        <w:rPr>
          <w:rFonts w:ascii="Arial" w:hAnsi="Arial" w:cs="Arial"/>
          <w:sz w:val="22"/>
          <w:szCs w:val="22"/>
          <w:lang w:val="en-US"/>
        </w:rPr>
        <w:t>Value Chain Analysis</w:t>
      </w:r>
      <w:bookmarkEnd w:id="5"/>
    </w:p>
    <w:tbl>
      <w:tblPr>
        <w:tblStyle w:val="TableGrid"/>
        <w:tblW w:w="0" w:type="auto"/>
        <w:tblLook w:val="04A0" w:firstRow="1" w:lastRow="0" w:firstColumn="1" w:lastColumn="0" w:noHBand="0" w:noVBand="1"/>
      </w:tblPr>
      <w:tblGrid>
        <w:gridCol w:w="2695"/>
        <w:gridCol w:w="6655"/>
      </w:tblGrid>
      <w:tr w:rsidR="00D91C31" w:rsidRPr="00A174C8" w14:paraId="4BD3255C" w14:textId="77777777" w:rsidTr="00480486">
        <w:tc>
          <w:tcPr>
            <w:tcW w:w="2695" w:type="dxa"/>
            <w:shd w:val="clear" w:color="auto" w:fill="8EAADB" w:themeFill="accent1" w:themeFillTint="99"/>
          </w:tcPr>
          <w:p w14:paraId="30C72492"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Primary Activities</w:t>
            </w:r>
          </w:p>
        </w:tc>
        <w:tc>
          <w:tcPr>
            <w:tcW w:w="6655" w:type="dxa"/>
            <w:shd w:val="clear" w:color="auto" w:fill="8EAADB" w:themeFill="accent1" w:themeFillTint="99"/>
          </w:tcPr>
          <w:p w14:paraId="62D2CB6E"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Dealership SME Practices</w:t>
            </w:r>
          </w:p>
        </w:tc>
      </w:tr>
      <w:tr w:rsidR="00D91C31" w:rsidRPr="00A174C8" w14:paraId="53650890" w14:textId="77777777" w:rsidTr="00480486">
        <w:tc>
          <w:tcPr>
            <w:tcW w:w="2695" w:type="dxa"/>
            <w:shd w:val="clear" w:color="auto" w:fill="8EAADB" w:themeFill="accent1" w:themeFillTint="99"/>
          </w:tcPr>
          <w:p w14:paraId="7E4D118F"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Inbound Logistics</w:t>
            </w:r>
          </w:p>
        </w:tc>
        <w:tc>
          <w:tcPr>
            <w:tcW w:w="6655" w:type="dxa"/>
            <w:shd w:val="clear" w:color="auto" w:fill="D9E2F3" w:themeFill="accent1" w:themeFillTint="33"/>
          </w:tcPr>
          <w:p w14:paraId="6DA7A4AA" w14:textId="50B1C72E"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 xml:space="preserve">Receives vehicles, parts and accessories directly from Ford’s distribution </w:t>
            </w:r>
            <w:r w:rsidR="000B05F5" w:rsidRPr="00A174C8">
              <w:rPr>
                <w:rFonts w:ascii="Arial" w:hAnsi="Arial" w:cs="Arial"/>
                <w:sz w:val="22"/>
                <w:szCs w:val="22"/>
                <w:lang w:val="en-US"/>
              </w:rPr>
              <w:t>centers</w:t>
            </w:r>
          </w:p>
        </w:tc>
      </w:tr>
      <w:tr w:rsidR="00D91C31" w:rsidRPr="00A174C8" w14:paraId="74A08CB2" w14:textId="77777777" w:rsidTr="00480486">
        <w:tc>
          <w:tcPr>
            <w:tcW w:w="2695" w:type="dxa"/>
            <w:shd w:val="clear" w:color="auto" w:fill="8EAADB" w:themeFill="accent1" w:themeFillTint="99"/>
          </w:tcPr>
          <w:p w14:paraId="6606716C"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Operations</w:t>
            </w:r>
          </w:p>
        </w:tc>
        <w:tc>
          <w:tcPr>
            <w:tcW w:w="6655" w:type="dxa"/>
            <w:shd w:val="clear" w:color="auto" w:fill="D9E2F3" w:themeFill="accent1" w:themeFillTint="33"/>
          </w:tcPr>
          <w:p w14:paraId="203A38C4"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Vehicle preparation, showroom management, service &amp; repair workshops</w:t>
            </w:r>
          </w:p>
        </w:tc>
      </w:tr>
      <w:tr w:rsidR="00D91C31" w:rsidRPr="00A174C8" w14:paraId="5F677D0E" w14:textId="77777777" w:rsidTr="00480486">
        <w:tc>
          <w:tcPr>
            <w:tcW w:w="2695" w:type="dxa"/>
            <w:shd w:val="clear" w:color="auto" w:fill="8EAADB" w:themeFill="accent1" w:themeFillTint="99"/>
          </w:tcPr>
          <w:p w14:paraId="4E426C2B"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Outbound Logistics</w:t>
            </w:r>
          </w:p>
        </w:tc>
        <w:tc>
          <w:tcPr>
            <w:tcW w:w="6655" w:type="dxa"/>
            <w:shd w:val="clear" w:color="auto" w:fill="D9E2F3" w:themeFill="accent1" w:themeFillTint="33"/>
          </w:tcPr>
          <w:p w14:paraId="653C8FDA"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Delivery of new vehicles, trade-in handling, aftersales service scheduling</w:t>
            </w:r>
          </w:p>
        </w:tc>
      </w:tr>
      <w:tr w:rsidR="00D91C31" w:rsidRPr="00A174C8" w14:paraId="415D995D" w14:textId="77777777" w:rsidTr="00480486">
        <w:tc>
          <w:tcPr>
            <w:tcW w:w="2695" w:type="dxa"/>
            <w:shd w:val="clear" w:color="auto" w:fill="8EAADB" w:themeFill="accent1" w:themeFillTint="99"/>
          </w:tcPr>
          <w:p w14:paraId="20355A47"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Marketing &amp; Sales</w:t>
            </w:r>
          </w:p>
        </w:tc>
        <w:tc>
          <w:tcPr>
            <w:tcW w:w="6655" w:type="dxa"/>
            <w:shd w:val="clear" w:color="auto" w:fill="D9E2F3" w:themeFill="accent1" w:themeFillTint="33"/>
          </w:tcPr>
          <w:p w14:paraId="39D5279E"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Local advertising, digital listings (Auto Trader, own website), finance partnerships</w:t>
            </w:r>
          </w:p>
        </w:tc>
      </w:tr>
      <w:tr w:rsidR="00D91C31" w:rsidRPr="00A174C8" w14:paraId="4D905B79" w14:textId="77777777" w:rsidTr="00480486">
        <w:trPr>
          <w:trHeight w:val="836"/>
        </w:trPr>
        <w:tc>
          <w:tcPr>
            <w:tcW w:w="2695" w:type="dxa"/>
            <w:shd w:val="clear" w:color="auto" w:fill="8EAADB" w:themeFill="accent1" w:themeFillTint="99"/>
          </w:tcPr>
          <w:p w14:paraId="3ED14AC5"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Service</w:t>
            </w:r>
          </w:p>
        </w:tc>
        <w:tc>
          <w:tcPr>
            <w:tcW w:w="6655" w:type="dxa"/>
            <w:shd w:val="clear" w:color="auto" w:fill="D9E2F3" w:themeFill="accent1" w:themeFillTint="33"/>
          </w:tcPr>
          <w:p w14:paraId="7E2E3411"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Maintenance, MOT, warranty claims, EV servicing (developing capability)</w:t>
            </w:r>
          </w:p>
        </w:tc>
      </w:tr>
    </w:tbl>
    <w:p w14:paraId="08FF6505" w14:textId="77777777" w:rsidR="00D91C31" w:rsidRPr="00A174C8" w:rsidRDefault="00D91C31" w:rsidP="00A174C8">
      <w:pPr>
        <w:rPr>
          <w:rFonts w:ascii="Arial" w:hAnsi="Arial" w:cs="Arial"/>
          <w:sz w:val="22"/>
          <w:szCs w:val="22"/>
          <w:lang w:val="en-US"/>
        </w:rPr>
      </w:pPr>
    </w:p>
    <w:tbl>
      <w:tblPr>
        <w:tblStyle w:val="TableGrid"/>
        <w:tblW w:w="0" w:type="auto"/>
        <w:tblLook w:val="04A0" w:firstRow="1" w:lastRow="0" w:firstColumn="1" w:lastColumn="0" w:noHBand="0" w:noVBand="1"/>
      </w:tblPr>
      <w:tblGrid>
        <w:gridCol w:w="3325"/>
        <w:gridCol w:w="6025"/>
      </w:tblGrid>
      <w:tr w:rsidR="00D91C31" w:rsidRPr="00A174C8" w14:paraId="64A5F7D5" w14:textId="77777777" w:rsidTr="00480486">
        <w:tc>
          <w:tcPr>
            <w:tcW w:w="3325" w:type="dxa"/>
            <w:shd w:val="clear" w:color="auto" w:fill="8EAADB" w:themeFill="accent1" w:themeFillTint="99"/>
          </w:tcPr>
          <w:p w14:paraId="51F59F4D"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Support Activities</w:t>
            </w:r>
          </w:p>
        </w:tc>
        <w:tc>
          <w:tcPr>
            <w:tcW w:w="6025" w:type="dxa"/>
            <w:shd w:val="clear" w:color="auto" w:fill="8EAADB" w:themeFill="accent1" w:themeFillTint="99"/>
          </w:tcPr>
          <w:p w14:paraId="56ED320D"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Dealership SME Practices</w:t>
            </w:r>
          </w:p>
        </w:tc>
      </w:tr>
      <w:tr w:rsidR="00D91C31" w:rsidRPr="00A174C8" w14:paraId="26CCDFDD" w14:textId="77777777" w:rsidTr="00480486">
        <w:tc>
          <w:tcPr>
            <w:tcW w:w="3325" w:type="dxa"/>
            <w:shd w:val="clear" w:color="auto" w:fill="8EAADB" w:themeFill="accent1" w:themeFillTint="99"/>
          </w:tcPr>
          <w:p w14:paraId="4E21A1C9"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Firm Infrastructure</w:t>
            </w:r>
          </w:p>
        </w:tc>
        <w:tc>
          <w:tcPr>
            <w:tcW w:w="6025" w:type="dxa"/>
            <w:shd w:val="clear" w:color="auto" w:fill="D9E2F3" w:themeFill="accent1" w:themeFillTint="33"/>
          </w:tcPr>
          <w:p w14:paraId="7B487C13"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Family-owned SME, single-site management, Ford franchise obligations</w:t>
            </w:r>
          </w:p>
        </w:tc>
      </w:tr>
      <w:tr w:rsidR="00D91C31" w:rsidRPr="00A174C8" w14:paraId="4BD448D3" w14:textId="77777777" w:rsidTr="00480486">
        <w:tc>
          <w:tcPr>
            <w:tcW w:w="3325" w:type="dxa"/>
            <w:shd w:val="clear" w:color="auto" w:fill="8EAADB" w:themeFill="accent1" w:themeFillTint="99"/>
          </w:tcPr>
          <w:p w14:paraId="1CB4D79C"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Human Resource Management</w:t>
            </w:r>
          </w:p>
        </w:tc>
        <w:tc>
          <w:tcPr>
            <w:tcW w:w="6025" w:type="dxa"/>
            <w:shd w:val="clear" w:color="auto" w:fill="D9E2F3" w:themeFill="accent1" w:themeFillTint="33"/>
          </w:tcPr>
          <w:p w14:paraId="60C04998"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Small team, locally recruited, reliance on Ford training schemes</w:t>
            </w:r>
          </w:p>
        </w:tc>
      </w:tr>
      <w:tr w:rsidR="00D91C31" w:rsidRPr="00A174C8" w14:paraId="1BBC0FFB" w14:textId="77777777" w:rsidTr="00480486">
        <w:tc>
          <w:tcPr>
            <w:tcW w:w="3325" w:type="dxa"/>
            <w:shd w:val="clear" w:color="auto" w:fill="8EAADB" w:themeFill="accent1" w:themeFillTint="99"/>
          </w:tcPr>
          <w:p w14:paraId="29FAA31E"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Technology Development</w:t>
            </w:r>
          </w:p>
        </w:tc>
        <w:tc>
          <w:tcPr>
            <w:tcW w:w="6025" w:type="dxa"/>
            <w:shd w:val="clear" w:color="auto" w:fill="D9E2F3" w:themeFill="accent1" w:themeFillTint="33"/>
          </w:tcPr>
          <w:p w14:paraId="0F506EEC"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Dealer Management System (DMS), limited digital analytics, Ford diagnostic tools</w:t>
            </w:r>
          </w:p>
        </w:tc>
      </w:tr>
      <w:tr w:rsidR="00D91C31" w:rsidRPr="00A174C8" w14:paraId="41DE3761" w14:textId="77777777" w:rsidTr="00480486">
        <w:tc>
          <w:tcPr>
            <w:tcW w:w="3325" w:type="dxa"/>
            <w:shd w:val="clear" w:color="auto" w:fill="8EAADB" w:themeFill="accent1" w:themeFillTint="99"/>
          </w:tcPr>
          <w:p w14:paraId="18BDC529"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Procurement</w:t>
            </w:r>
          </w:p>
        </w:tc>
        <w:tc>
          <w:tcPr>
            <w:tcW w:w="6025" w:type="dxa"/>
            <w:shd w:val="clear" w:color="auto" w:fill="D9E2F3" w:themeFill="accent1" w:themeFillTint="33"/>
          </w:tcPr>
          <w:p w14:paraId="4341797B"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Dependence on Ford OEM supply contracts, limited bargaining power</w:t>
            </w:r>
          </w:p>
        </w:tc>
      </w:tr>
    </w:tbl>
    <w:p w14:paraId="74DB0A13" w14:textId="77777777" w:rsidR="00D91C31" w:rsidRPr="00A174C8" w:rsidRDefault="00D91C31" w:rsidP="00A174C8">
      <w:pPr>
        <w:rPr>
          <w:rFonts w:ascii="Arial" w:hAnsi="Arial" w:cs="Arial"/>
          <w:sz w:val="22"/>
          <w:szCs w:val="22"/>
          <w:lang w:val="en-US"/>
        </w:rPr>
      </w:pPr>
    </w:p>
    <w:p w14:paraId="4088FE5B" w14:textId="6F0A2FDC" w:rsidR="00D91C31" w:rsidRPr="00A174C8" w:rsidRDefault="00D91C31" w:rsidP="00A174C8">
      <w:pPr>
        <w:rPr>
          <w:rFonts w:ascii="Arial" w:hAnsi="Arial" w:cs="Arial"/>
          <w:sz w:val="22"/>
          <w:szCs w:val="22"/>
          <w:lang w:val="en-US"/>
        </w:rPr>
      </w:pPr>
      <w:r w:rsidRPr="00A174C8">
        <w:rPr>
          <w:rFonts w:ascii="Arial" w:hAnsi="Arial" w:cs="Arial"/>
          <w:sz w:val="22"/>
          <w:szCs w:val="22"/>
          <w:lang w:val="en-US"/>
        </w:rPr>
        <w:lastRenderedPageBreak/>
        <w:t>The value chain confirms customer service and aftersales are core strengths, while digital capability and EV readiness remain underdeveloped (Hitt et al., 2020).</w:t>
      </w:r>
    </w:p>
    <w:p w14:paraId="320FFE7A" w14:textId="0D9F2FB4" w:rsidR="00D91C31" w:rsidRPr="00A174C8" w:rsidRDefault="00D91C31" w:rsidP="00A174C8">
      <w:pPr>
        <w:pStyle w:val="Heading1"/>
        <w:rPr>
          <w:rFonts w:ascii="Arial" w:hAnsi="Arial" w:cs="Arial"/>
          <w:sz w:val="22"/>
          <w:szCs w:val="22"/>
        </w:rPr>
      </w:pPr>
      <w:bookmarkStart w:id="6" w:name="_Toc213413476"/>
      <w:r w:rsidRPr="00A174C8">
        <w:rPr>
          <w:rFonts w:ascii="Arial" w:hAnsi="Arial" w:cs="Arial"/>
          <w:sz w:val="22"/>
          <w:szCs w:val="22"/>
        </w:rPr>
        <w:t>External Analysis</w:t>
      </w:r>
      <w:bookmarkEnd w:id="6"/>
    </w:p>
    <w:p w14:paraId="48CDED2D" w14:textId="77777777" w:rsidR="00D91C31" w:rsidRPr="00A174C8" w:rsidRDefault="00D91C31" w:rsidP="00A174C8">
      <w:pPr>
        <w:pStyle w:val="Heading2"/>
        <w:rPr>
          <w:rFonts w:ascii="Arial" w:hAnsi="Arial" w:cs="Arial"/>
          <w:sz w:val="22"/>
          <w:szCs w:val="22"/>
          <w:lang w:val="en-US"/>
        </w:rPr>
      </w:pPr>
      <w:bookmarkStart w:id="7" w:name="_Toc213413477"/>
      <w:r w:rsidRPr="00A174C8">
        <w:rPr>
          <w:rFonts w:ascii="Arial" w:hAnsi="Arial" w:cs="Arial"/>
          <w:sz w:val="22"/>
          <w:szCs w:val="22"/>
          <w:lang w:val="en-US"/>
        </w:rPr>
        <w:t>PESTEL Analysis</w:t>
      </w:r>
      <w:bookmarkEnd w:id="7"/>
    </w:p>
    <w:tbl>
      <w:tblPr>
        <w:tblStyle w:val="TableGrid"/>
        <w:tblW w:w="0" w:type="auto"/>
        <w:tblLook w:val="04A0" w:firstRow="1" w:lastRow="0" w:firstColumn="1" w:lastColumn="0" w:noHBand="0" w:noVBand="1"/>
      </w:tblPr>
      <w:tblGrid>
        <w:gridCol w:w="1885"/>
        <w:gridCol w:w="7465"/>
      </w:tblGrid>
      <w:tr w:rsidR="00D91C31" w:rsidRPr="00A174C8" w14:paraId="63B129FD" w14:textId="77777777" w:rsidTr="00480486">
        <w:tc>
          <w:tcPr>
            <w:tcW w:w="1885" w:type="dxa"/>
            <w:shd w:val="clear" w:color="auto" w:fill="8EAADB" w:themeFill="accent1" w:themeFillTint="99"/>
          </w:tcPr>
          <w:p w14:paraId="3AF8DFFB"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Factor</w:t>
            </w:r>
          </w:p>
        </w:tc>
        <w:tc>
          <w:tcPr>
            <w:tcW w:w="7465" w:type="dxa"/>
            <w:shd w:val="clear" w:color="auto" w:fill="8EAADB" w:themeFill="accent1" w:themeFillTint="99"/>
          </w:tcPr>
          <w:p w14:paraId="78B570B1"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Implications for SME Dealership</w:t>
            </w:r>
          </w:p>
        </w:tc>
      </w:tr>
      <w:tr w:rsidR="00D91C31" w:rsidRPr="00A174C8" w14:paraId="0CC2C243" w14:textId="77777777" w:rsidTr="00480486">
        <w:tc>
          <w:tcPr>
            <w:tcW w:w="1885" w:type="dxa"/>
            <w:shd w:val="clear" w:color="auto" w:fill="8EAADB" w:themeFill="accent1" w:themeFillTint="99"/>
          </w:tcPr>
          <w:p w14:paraId="1EA4BA23"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Political</w:t>
            </w:r>
          </w:p>
        </w:tc>
        <w:tc>
          <w:tcPr>
            <w:tcW w:w="7465" w:type="dxa"/>
            <w:shd w:val="clear" w:color="auto" w:fill="D9E2F3" w:themeFill="accent1" w:themeFillTint="33"/>
          </w:tcPr>
          <w:p w14:paraId="3085816B"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UK zero-emission mandate by 2035 requires readiness for EV sales and servicing (DfT/DESNZ, 2023).</w:t>
            </w:r>
          </w:p>
        </w:tc>
      </w:tr>
      <w:tr w:rsidR="00D91C31" w:rsidRPr="00A174C8" w14:paraId="36E5D10D" w14:textId="77777777" w:rsidTr="00480486">
        <w:tc>
          <w:tcPr>
            <w:tcW w:w="1885" w:type="dxa"/>
            <w:shd w:val="clear" w:color="auto" w:fill="8EAADB" w:themeFill="accent1" w:themeFillTint="99"/>
          </w:tcPr>
          <w:p w14:paraId="26A33665"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Economic</w:t>
            </w:r>
          </w:p>
        </w:tc>
        <w:tc>
          <w:tcPr>
            <w:tcW w:w="7465" w:type="dxa"/>
            <w:shd w:val="clear" w:color="auto" w:fill="D9E2F3" w:themeFill="accent1" w:themeFillTint="33"/>
          </w:tcPr>
          <w:p w14:paraId="5E6A810E"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Inflationary pressures raise operating costs; interest rate fluctuations impact auto finance affordability (OECD, 2023).</w:t>
            </w:r>
          </w:p>
        </w:tc>
      </w:tr>
      <w:tr w:rsidR="00D91C31" w:rsidRPr="00A174C8" w14:paraId="20EB2646" w14:textId="77777777" w:rsidTr="00480486">
        <w:tc>
          <w:tcPr>
            <w:tcW w:w="1885" w:type="dxa"/>
            <w:shd w:val="clear" w:color="auto" w:fill="8EAADB" w:themeFill="accent1" w:themeFillTint="99"/>
          </w:tcPr>
          <w:p w14:paraId="2991A6D5"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Social</w:t>
            </w:r>
          </w:p>
        </w:tc>
        <w:tc>
          <w:tcPr>
            <w:tcW w:w="7465" w:type="dxa"/>
            <w:shd w:val="clear" w:color="auto" w:fill="D9E2F3" w:themeFill="accent1" w:themeFillTint="33"/>
          </w:tcPr>
          <w:p w14:paraId="53B9FB51"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Growing consumer demand for sustainability, transparency, and online buying experiences (Deloitte, 2024).</w:t>
            </w:r>
          </w:p>
        </w:tc>
      </w:tr>
      <w:tr w:rsidR="00D91C31" w:rsidRPr="00A174C8" w14:paraId="598D28C8" w14:textId="77777777" w:rsidTr="00480486">
        <w:tc>
          <w:tcPr>
            <w:tcW w:w="1885" w:type="dxa"/>
            <w:shd w:val="clear" w:color="auto" w:fill="8EAADB" w:themeFill="accent1" w:themeFillTint="99"/>
          </w:tcPr>
          <w:p w14:paraId="782808B8"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Technological</w:t>
            </w:r>
          </w:p>
        </w:tc>
        <w:tc>
          <w:tcPr>
            <w:tcW w:w="7465" w:type="dxa"/>
            <w:shd w:val="clear" w:color="auto" w:fill="D9E2F3" w:themeFill="accent1" w:themeFillTint="33"/>
          </w:tcPr>
          <w:p w14:paraId="32E36B03"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Rapid growth of EVs and digital retail platforms requires adoption of omnichannel tools (Capgemini, 2022).</w:t>
            </w:r>
          </w:p>
        </w:tc>
      </w:tr>
      <w:tr w:rsidR="00D91C31" w:rsidRPr="00A174C8" w14:paraId="32E5DEBC" w14:textId="77777777" w:rsidTr="00480486">
        <w:tc>
          <w:tcPr>
            <w:tcW w:w="1885" w:type="dxa"/>
            <w:shd w:val="clear" w:color="auto" w:fill="8EAADB" w:themeFill="accent1" w:themeFillTint="99"/>
          </w:tcPr>
          <w:p w14:paraId="17626091"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Environmental</w:t>
            </w:r>
          </w:p>
        </w:tc>
        <w:tc>
          <w:tcPr>
            <w:tcW w:w="7465" w:type="dxa"/>
            <w:shd w:val="clear" w:color="auto" w:fill="D9E2F3" w:themeFill="accent1" w:themeFillTint="33"/>
          </w:tcPr>
          <w:p w14:paraId="341F6156"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Pressure to reduce dealership carbon footprint; need for EV charging infrastructure (PwC, 2023).</w:t>
            </w:r>
          </w:p>
        </w:tc>
      </w:tr>
      <w:tr w:rsidR="00D91C31" w:rsidRPr="00A174C8" w14:paraId="678C2C00" w14:textId="77777777" w:rsidTr="00480486">
        <w:tc>
          <w:tcPr>
            <w:tcW w:w="1885" w:type="dxa"/>
            <w:shd w:val="clear" w:color="auto" w:fill="8EAADB" w:themeFill="accent1" w:themeFillTint="99"/>
          </w:tcPr>
          <w:p w14:paraId="379E9881" w14:textId="77777777" w:rsidR="00D91C31" w:rsidRPr="00A174C8" w:rsidRDefault="00D91C31" w:rsidP="00A174C8">
            <w:pPr>
              <w:jc w:val="left"/>
              <w:rPr>
                <w:rFonts w:ascii="Arial" w:hAnsi="Arial" w:cs="Arial"/>
                <w:b/>
                <w:bCs/>
                <w:sz w:val="22"/>
                <w:szCs w:val="22"/>
                <w:lang w:val="en-US"/>
              </w:rPr>
            </w:pPr>
            <w:r w:rsidRPr="00A174C8">
              <w:rPr>
                <w:rFonts w:ascii="Arial" w:hAnsi="Arial" w:cs="Arial"/>
                <w:b/>
                <w:bCs/>
                <w:sz w:val="22"/>
                <w:szCs w:val="22"/>
                <w:lang w:val="en-US"/>
              </w:rPr>
              <w:t>Legal</w:t>
            </w:r>
          </w:p>
        </w:tc>
        <w:tc>
          <w:tcPr>
            <w:tcW w:w="7465" w:type="dxa"/>
            <w:shd w:val="clear" w:color="auto" w:fill="D9E2F3" w:themeFill="accent1" w:themeFillTint="33"/>
          </w:tcPr>
          <w:p w14:paraId="5A4D6E45" w14:textId="77777777" w:rsidR="00D91C31" w:rsidRPr="00A174C8" w:rsidRDefault="00D91C31" w:rsidP="00A174C8">
            <w:pPr>
              <w:jc w:val="left"/>
              <w:rPr>
                <w:rFonts w:ascii="Arial" w:hAnsi="Arial" w:cs="Arial"/>
                <w:sz w:val="22"/>
                <w:szCs w:val="22"/>
                <w:lang w:val="en-US"/>
              </w:rPr>
            </w:pPr>
            <w:r w:rsidRPr="00A174C8">
              <w:rPr>
                <w:rFonts w:ascii="Arial" w:hAnsi="Arial" w:cs="Arial"/>
                <w:sz w:val="22"/>
                <w:szCs w:val="22"/>
                <w:lang w:val="en-US"/>
              </w:rPr>
              <w:t>FCA Consumer Duty, CMA Motor Vehicle Block Exemption, and compliance with emissions regulations shape operations (FCA, 2023; CMA, 2023).</w:t>
            </w:r>
          </w:p>
        </w:tc>
      </w:tr>
    </w:tbl>
    <w:p w14:paraId="51E780E5" w14:textId="77777777" w:rsidR="00D91C31" w:rsidRPr="00A174C8" w:rsidRDefault="00D91C31" w:rsidP="00A174C8">
      <w:pPr>
        <w:rPr>
          <w:rFonts w:ascii="Arial" w:hAnsi="Arial" w:cs="Arial"/>
          <w:sz w:val="22"/>
          <w:szCs w:val="22"/>
          <w:lang w:val="en-US"/>
        </w:rPr>
      </w:pPr>
    </w:p>
    <w:p w14:paraId="24E93452" w14:textId="3948B2E6" w:rsidR="00D91C31" w:rsidRPr="00A174C8" w:rsidRDefault="00D91C31" w:rsidP="00A174C8">
      <w:pPr>
        <w:rPr>
          <w:rFonts w:ascii="Arial" w:hAnsi="Arial" w:cs="Arial"/>
          <w:sz w:val="22"/>
          <w:szCs w:val="22"/>
          <w:lang w:val="en-US"/>
        </w:rPr>
      </w:pPr>
      <w:r w:rsidRPr="00A174C8">
        <w:rPr>
          <w:rFonts w:ascii="Arial" w:hAnsi="Arial" w:cs="Arial"/>
          <w:sz w:val="22"/>
          <w:szCs w:val="22"/>
          <w:lang w:val="en-US"/>
        </w:rPr>
        <w:t>PESTEL suggests external forces strongly push SMEs towards EV alignment, digital adoption, and compliance-readiness (Deloitte, 2024).</w:t>
      </w:r>
    </w:p>
    <w:p w14:paraId="564736E7" w14:textId="77777777" w:rsidR="008C3C8B" w:rsidRPr="00A174C8" w:rsidRDefault="008C3C8B" w:rsidP="00A174C8">
      <w:pPr>
        <w:pStyle w:val="Heading2"/>
        <w:rPr>
          <w:rFonts w:ascii="Arial" w:hAnsi="Arial" w:cs="Arial"/>
          <w:sz w:val="22"/>
          <w:szCs w:val="22"/>
          <w:lang w:val="en-US"/>
        </w:rPr>
      </w:pPr>
      <w:bookmarkStart w:id="8" w:name="_Toc213413478"/>
      <w:r w:rsidRPr="00A174C8">
        <w:rPr>
          <w:rFonts w:ascii="Arial" w:hAnsi="Arial" w:cs="Arial"/>
          <w:sz w:val="22"/>
          <w:szCs w:val="22"/>
          <w:lang w:val="en-US"/>
        </w:rPr>
        <w:t>Porter’s Five Forces</w:t>
      </w:r>
      <w:bookmarkEnd w:id="8"/>
    </w:p>
    <w:tbl>
      <w:tblPr>
        <w:tblStyle w:val="TableGrid"/>
        <w:tblW w:w="0" w:type="auto"/>
        <w:tblLook w:val="04A0" w:firstRow="1" w:lastRow="0" w:firstColumn="1" w:lastColumn="0" w:noHBand="0" w:noVBand="1"/>
      </w:tblPr>
      <w:tblGrid>
        <w:gridCol w:w="3415"/>
        <w:gridCol w:w="5935"/>
      </w:tblGrid>
      <w:tr w:rsidR="008C3C8B" w:rsidRPr="00A174C8" w14:paraId="512D0847" w14:textId="77777777" w:rsidTr="00480486">
        <w:tc>
          <w:tcPr>
            <w:tcW w:w="3415" w:type="dxa"/>
            <w:shd w:val="clear" w:color="auto" w:fill="8EAADB" w:themeFill="accent1" w:themeFillTint="99"/>
          </w:tcPr>
          <w:p w14:paraId="5BEDF351"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t>Force</w:t>
            </w:r>
          </w:p>
        </w:tc>
        <w:tc>
          <w:tcPr>
            <w:tcW w:w="5935" w:type="dxa"/>
            <w:shd w:val="clear" w:color="auto" w:fill="8EAADB" w:themeFill="accent1" w:themeFillTint="99"/>
          </w:tcPr>
          <w:p w14:paraId="529C4C6E"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t>Assessment for SME Ford Dealership</w:t>
            </w:r>
          </w:p>
        </w:tc>
      </w:tr>
      <w:tr w:rsidR="008C3C8B" w:rsidRPr="00A174C8" w14:paraId="4E5B196F" w14:textId="77777777" w:rsidTr="00480486">
        <w:tc>
          <w:tcPr>
            <w:tcW w:w="3415" w:type="dxa"/>
            <w:shd w:val="clear" w:color="auto" w:fill="8EAADB" w:themeFill="accent1" w:themeFillTint="99"/>
          </w:tcPr>
          <w:p w14:paraId="47A37059"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t>Competitive Rivalry</w:t>
            </w:r>
          </w:p>
        </w:tc>
        <w:tc>
          <w:tcPr>
            <w:tcW w:w="5935" w:type="dxa"/>
            <w:shd w:val="clear" w:color="auto" w:fill="D9E2F3" w:themeFill="accent1" w:themeFillTint="33"/>
          </w:tcPr>
          <w:p w14:paraId="6419D707"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High – intense local competition from multi-brand franchises, used car supermarkets, and online retailers (IBISWorld, 2024).</w:t>
            </w:r>
          </w:p>
        </w:tc>
      </w:tr>
      <w:tr w:rsidR="008C3C8B" w:rsidRPr="00A174C8" w14:paraId="557F639A" w14:textId="77777777" w:rsidTr="00480486">
        <w:tc>
          <w:tcPr>
            <w:tcW w:w="3415" w:type="dxa"/>
            <w:shd w:val="clear" w:color="auto" w:fill="8EAADB" w:themeFill="accent1" w:themeFillTint="99"/>
          </w:tcPr>
          <w:p w14:paraId="17EB94C3"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t>Threat of New Entrants</w:t>
            </w:r>
          </w:p>
        </w:tc>
        <w:tc>
          <w:tcPr>
            <w:tcW w:w="5935" w:type="dxa"/>
            <w:shd w:val="clear" w:color="auto" w:fill="D9E2F3" w:themeFill="accent1" w:themeFillTint="33"/>
          </w:tcPr>
          <w:p w14:paraId="43B6C3B9"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Moderate – digital-only entrants can disrupt market with low overhead models (Auto Trader UK, 2024).</w:t>
            </w:r>
          </w:p>
        </w:tc>
      </w:tr>
      <w:tr w:rsidR="008C3C8B" w:rsidRPr="00A174C8" w14:paraId="68C4BC65" w14:textId="77777777" w:rsidTr="00480486">
        <w:tc>
          <w:tcPr>
            <w:tcW w:w="3415" w:type="dxa"/>
            <w:shd w:val="clear" w:color="auto" w:fill="8EAADB" w:themeFill="accent1" w:themeFillTint="99"/>
          </w:tcPr>
          <w:p w14:paraId="131CEB28"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t>Bargaining Power of Suppliers</w:t>
            </w:r>
          </w:p>
        </w:tc>
        <w:tc>
          <w:tcPr>
            <w:tcW w:w="5935" w:type="dxa"/>
            <w:shd w:val="clear" w:color="auto" w:fill="D9E2F3" w:themeFill="accent1" w:themeFillTint="33"/>
          </w:tcPr>
          <w:p w14:paraId="577619B3"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High – Ford as sole supplier sets terms, prices, and vehicle allocations (Ford Motor Company, 2023).</w:t>
            </w:r>
          </w:p>
        </w:tc>
      </w:tr>
      <w:tr w:rsidR="008C3C8B" w:rsidRPr="00A174C8" w14:paraId="5AB19622" w14:textId="77777777" w:rsidTr="00480486">
        <w:tc>
          <w:tcPr>
            <w:tcW w:w="3415" w:type="dxa"/>
            <w:shd w:val="clear" w:color="auto" w:fill="8EAADB" w:themeFill="accent1" w:themeFillTint="99"/>
          </w:tcPr>
          <w:p w14:paraId="5E7C5CC2"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lastRenderedPageBreak/>
              <w:t>Bargaining Power of Buyers</w:t>
            </w:r>
          </w:p>
        </w:tc>
        <w:tc>
          <w:tcPr>
            <w:tcW w:w="5935" w:type="dxa"/>
            <w:shd w:val="clear" w:color="auto" w:fill="D9E2F3" w:themeFill="accent1" w:themeFillTint="33"/>
          </w:tcPr>
          <w:p w14:paraId="63FF7829"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High – customers can easily compare prices online and shift to competitors (KPMG, 2023).</w:t>
            </w:r>
          </w:p>
        </w:tc>
      </w:tr>
      <w:tr w:rsidR="008C3C8B" w:rsidRPr="00A174C8" w14:paraId="4BF98BA6" w14:textId="77777777" w:rsidTr="00480486">
        <w:tc>
          <w:tcPr>
            <w:tcW w:w="3415" w:type="dxa"/>
            <w:shd w:val="clear" w:color="auto" w:fill="8EAADB" w:themeFill="accent1" w:themeFillTint="99"/>
          </w:tcPr>
          <w:p w14:paraId="69D97D00"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t>Threat of Substitutes</w:t>
            </w:r>
          </w:p>
        </w:tc>
        <w:tc>
          <w:tcPr>
            <w:tcW w:w="5935" w:type="dxa"/>
            <w:shd w:val="clear" w:color="auto" w:fill="D9E2F3" w:themeFill="accent1" w:themeFillTint="33"/>
          </w:tcPr>
          <w:p w14:paraId="579D635B"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Increasing – alternatives such as ride-hailing, car-sharing, and subscription models are gaining traction (BCG, 2023).</w:t>
            </w:r>
          </w:p>
        </w:tc>
      </w:tr>
    </w:tbl>
    <w:p w14:paraId="53320110" w14:textId="77777777" w:rsidR="008C3C8B" w:rsidRPr="00A174C8" w:rsidRDefault="008C3C8B" w:rsidP="00A174C8">
      <w:pPr>
        <w:rPr>
          <w:rFonts w:ascii="Arial" w:hAnsi="Arial" w:cs="Arial"/>
          <w:sz w:val="22"/>
          <w:szCs w:val="22"/>
          <w:lang w:val="en-US"/>
        </w:rPr>
      </w:pPr>
    </w:p>
    <w:p w14:paraId="48C070F8" w14:textId="405FAA10" w:rsidR="008C3C8B" w:rsidRPr="00A174C8" w:rsidRDefault="008C3C8B" w:rsidP="00A174C8">
      <w:pPr>
        <w:rPr>
          <w:rFonts w:ascii="Arial" w:hAnsi="Arial" w:cs="Arial"/>
          <w:sz w:val="22"/>
          <w:szCs w:val="22"/>
          <w:lang w:val="en-US"/>
        </w:rPr>
      </w:pPr>
      <w:r w:rsidRPr="00A174C8">
        <w:rPr>
          <w:rFonts w:ascii="Arial" w:hAnsi="Arial" w:cs="Arial"/>
          <w:sz w:val="22"/>
          <w:szCs w:val="22"/>
          <w:lang w:val="en-US"/>
        </w:rPr>
        <w:t>Porter’s framework confirms strong supplier and buyer power, coupled with high rivalry, making differentiation through customer experience and aftersales critical (Porter, 2008).</w:t>
      </w:r>
    </w:p>
    <w:p w14:paraId="49256B3C" w14:textId="77777777" w:rsidR="008C3C8B" w:rsidRPr="00A174C8" w:rsidRDefault="008C3C8B" w:rsidP="00A174C8">
      <w:pPr>
        <w:pStyle w:val="Heading2"/>
        <w:rPr>
          <w:rFonts w:ascii="Arial" w:hAnsi="Arial" w:cs="Arial"/>
          <w:sz w:val="22"/>
          <w:szCs w:val="22"/>
          <w:lang w:val="en-US"/>
        </w:rPr>
      </w:pPr>
      <w:bookmarkStart w:id="9" w:name="_Toc213413479"/>
      <w:r w:rsidRPr="00A174C8">
        <w:rPr>
          <w:rFonts w:ascii="Arial" w:hAnsi="Arial" w:cs="Arial"/>
          <w:sz w:val="22"/>
          <w:szCs w:val="22"/>
          <w:lang w:val="en-US"/>
        </w:rPr>
        <w:t>Summary of Environmental Scan</w:t>
      </w:r>
      <w:bookmarkEnd w:id="9"/>
    </w:p>
    <w:p w14:paraId="3B8FB690" w14:textId="77777777" w:rsidR="008C3C8B" w:rsidRPr="00A174C8" w:rsidRDefault="008C3C8B" w:rsidP="00A174C8">
      <w:pPr>
        <w:rPr>
          <w:rFonts w:ascii="Arial" w:hAnsi="Arial" w:cs="Arial"/>
          <w:sz w:val="22"/>
          <w:szCs w:val="22"/>
          <w:lang w:val="en-US"/>
        </w:rPr>
      </w:pPr>
      <w:r w:rsidRPr="00A174C8">
        <w:rPr>
          <w:rFonts w:ascii="Arial" w:hAnsi="Arial" w:cs="Arial"/>
          <w:sz w:val="22"/>
          <w:szCs w:val="22"/>
          <w:lang w:val="en-US"/>
        </w:rPr>
        <w:t>The dealership faces a challenging external environment marked by EV transition, compliance pressures, and digital disruption. Internally, customer trust and aftersales service represent strengths, but limited SME resources and Ford dependency constrain flexibility. Sustainable strategy will therefore depend on focusing on defensible niches—EV readiness, aftersales excellence, and digital service innovation—while mitigating risks through partnerships and efficiency improvements.</w:t>
      </w:r>
    </w:p>
    <w:p w14:paraId="141C5D33" w14:textId="6A53659B" w:rsidR="008C3C8B" w:rsidRPr="00A174C8" w:rsidRDefault="008C3C8B" w:rsidP="00A174C8">
      <w:pPr>
        <w:pStyle w:val="Heading1"/>
        <w:rPr>
          <w:rFonts w:ascii="Arial" w:hAnsi="Arial" w:cs="Arial"/>
          <w:sz w:val="22"/>
          <w:szCs w:val="22"/>
        </w:rPr>
      </w:pPr>
      <w:bookmarkStart w:id="10" w:name="_Toc213413480"/>
      <w:r w:rsidRPr="00A174C8">
        <w:rPr>
          <w:rFonts w:ascii="Arial" w:hAnsi="Arial" w:cs="Arial"/>
          <w:sz w:val="22"/>
          <w:szCs w:val="22"/>
        </w:rPr>
        <w:t>Strategic Growth Choices</w:t>
      </w:r>
      <w:bookmarkEnd w:id="10"/>
    </w:p>
    <w:p w14:paraId="7F3F40AE" w14:textId="4BFD2B2D" w:rsidR="008C3C8B" w:rsidRPr="00A174C8" w:rsidRDefault="008C3C8B" w:rsidP="00A174C8">
      <w:pPr>
        <w:rPr>
          <w:rFonts w:ascii="Arial" w:hAnsi="Arial" w:cs="Arial"/>
          <w:sz w:val="22"/>
          <w:szCs w:val="22"/>
        </w:rPr>
      </w:pPr>
      <w:r w:rsidRPr="00A174C8">
        <w:rPr>
          <w:rFonts w:ascii="Arial" w:hAnsi="Arial" w:cs="Arial"/>
          <w:sz w:val="22"/>
          <w:szCs w:val="22"/>
        </w:rPr>
        <w:t>The Ford-authorised SME dealership has several strategic growth paths available, which can be assessed through Porter’s Generic Strategies, the Ansoff Matrix, and Bowman’s Strategic Clock. These models provide frameworks to evaluate feasible, sustainable options tailored to SME constraints.</w:t>
      </w:r>
    </w:p>
    <w:p w14:paraId="02688270" w14:textId="77140413" w:rsidR="008C3C8B" w:rsidRPr="00A174C8" w:rsidRDefault="008C3C8B" w:rsidP="00A174C8">
      <w:pPr>
        <w:pStyle w:val="Heading2"/>
        <w:rPr>
          <w:rFonts w:ascii="Arial" w:hAnsi="Arial" w:cs="Arial"/>
          <w:sz w:val="22"/>
          <w:szCs w:val="22"/>
        </w:rPr>
      </w:pPr>
      <w:bookmarkStart w:id="11" w:name="_Toc213413481"/>
      <w:r w:rsidRPr="00A174C8">
        <w:rPr>
          <w:rFonts w:ascii="Arial" w:hAnsi="Arial" w:cs="Arial"/>
          <w:sz w:val="22"/>
          <w:szCs w:val="22"/>
        </w:rPr>
        <w:t>Porter’s Generic Strategies</w:t>
      </w:r>
      <w:bookmarkEnd w:id="11"/>
    </w:p>
    <w:p w14:paraId="1B07A079" w14:textId="4EBFFBC9" w:rsidR="008C3C8B" w:rsidRPr="00A174C8" w:rsidRDefault="008C3C8B" w:rsidP="00A174C8">
      <w:pPr>
        <w:rPr>
          <w:rFonts w:ascii="Arial" w:hAnsi="Arial" w:cs="Arial"/>
          <w:sz w:val="22"/>
          <w:szCs w:val="22"/>
          <w:lang w:val="en-US"/>
        </w:rPr>
      </w:pPr>
      <w:r w:rsidRPr="00A174C8">
        <w:rPr>
          <w:rFonts w:ascii="Arial" w:hAnsi="Arial" w:cs="Arial"/>
          <w:sz w:val="22"/>
          <w:szCs w:val="22"/>
          <w:lang w:val="en-US"/>
        </w:rPr>
        <w:t>Porter (</w:t>
      </w:r>
      <w:r w:rsidR="007825E9" w:rsidRPr="00A174C8">
        <w:rPr>
          <w:rFonts w:ascii="Arial" w:hAnsi="Arial" w:cs="Arial"/>
          <w:sz w:val="22"/>
          <w:szCs w:val="22"/>
          <w:lang w:val="en-US"/>
        </w:rPr>
        <w:t>2008</w:t>
      </w:r>
      <w:r w:rsidRPr="00A174C8">
        <w:rPr>
          <w:rFonts w:ascii="Arial" w:hAnsi="Arial" w:cs="Arial"/>
          <w:sz w:val="22"/>
          <w:szCs w:val="22"/>
          <w:lang w:val="en-US"/>
        </w:rPr>
        <w:t>) identifies cost leadership, differentiation, and focus as core strategies. For this SME dealership, cost leadership is not realistic, given limited scale and Ford’s agency pricing model, which restricts pricing flexibility (Bain &amp; Company, 2023). Differentiation through customer service, transparency, and EV readiness offers stronger potential. Specifically, the dealership can position itself as a trusted EV transition partner, combining sales with education, servicing expertise, and bundled offers. A focus strategy is also applicable: targeting local communities with tailored financing, aftersales plans, and loyalty program creates defensible market niches.</w:t>
      </w:r>
    </w:p>
    <w:p w14:paraId="0EA3F00B" w14:textId="77777777" w:rsidR="008C3C8B" w:rsidRPr="00A174C8" w:rsidRDefault="008C3C8B" w:rsidP="00A174C8">
      <w:pPr>
        <w:pStyle w:val="Heading2"/>
        <w:rPr>
          <w:rFonts w:ascii="Arial" w:hAnsi="Arial" w:cs="Arial"/>
          <w:sz w:val="22"/>
          <w:szCs w:val="22"/>
          <w:lang w:val="en-US"/>
        </w:rPr>
      </w:pPr>
      <w:bookmarkStart w:id="12" w:name="_Toc213413482"/>
      <w:r w:rsidRPr="00A174C8">
        <w:rPr>
          <w:rFonts w:ascii="Arial" w:hAnsi="Arial" w:cs="Arial"/>
          <w:sz w:val="22"/>
          <w:szCs w:val="22"/>
          <w:lang w:val="en-US"/>
        </w:rPr>
        <w:t>Ansoff Matrix</w:t>
      </w:r>
      <w:bookmarkEnd w:id="12"/>
    </w:p>
    <w:tbl>
      <w:tblPr>
        <w:tblStyle w:val="TableGrid"/>
        <w:tblW w:w="0" w:type="auto"/>
        <w:tblLook w:val="04A0" w:firstRow="1" w:lastRow="0" w:firstColumn="1" w:lastColumn="0" w:noHBand="0" w:noVBand="1"/>
      </w:tblPr>
      <w:tblGrid>
        <w:gridCol w:w="2785"/>
        <w:gridCol w:w="6565"/>
      </w:tblGrid>
      <w:tr w:rsidR="008C3C8B" w:rsidRPr="00A174C8" w14:paraId="30DBB802" w14:textId="77777777" w:rsidTr="00480486">
        <w:tc>
          <w:tcPr>
            <w:tcW w:w="2785" w:type="dxa"/>
            <w:shd w:val="clear" w:color="auto" w:fill="8EAADB" w:themeFill="accent1" w:themeFillTint="99"/>
          </w:tcPr>
          <w:p w14:paraId="38F0BDC4"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t>Strategy</w:t>
            </w:r>
          </w:p>
        </w:tc>
        <w:tc>
          <w:tcPr>
            <w:tcW w:w="6565" w:type="dxa"/>
            <w:shd w:val="clear" w:color="auto" w:fill="8EAADB" w:themeFill="accent1" w:themeFillTint="99"/>
          </w:tcPr>
          <w:p w14:paraId="06ACDE60"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t>Application to SME Dealership</w:t>
            </w:r>
          </w:p>
        </w:tc>
      </w:tr>
      <w:tr w:rsidR="008C3C8B" w:rsidRPr="00A174C8" w14:paraId="2C820DAD" w14:textId="77777777" w:rsidTr="00480486">
        <w:tc>
          <w:tcPr>
            <w:tcW w:w="2785" w:type="dxa"/>
            <w:shd w:val="clear" w:color="auto" w:fill="8EAADB" w:themeFill="accent1" w:themeFillTint="99"/>
          </w:tcPr>
          <w:p w14:paraId="782EE1DD"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lastRenderedPageBreak/>
              <w:t>Market Penetration</w:t>
            </w:r>
          </w:p>
        </w:tc>
        <w:tc>
          <w:tcPr>
            <w:tcW w:w="6565" w:type="dxa"/>
            <w:shd w:val="clear" w:color="auto" w:fill="D9E2F3" w:themeFill="accent1" w:themeFillTint="33"/>
          </w:tcPr>
          <w:p w14:paraId="399BE3E1"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Increase share in existing market by strengthening aftersales retention, digital marketing, and used car trade-ins.</w:t>
            </w:r>
          </w:p>
        </w:tc>
      </w:tr>
      <w:tr w:rsidR="008C3C8B" w:rsidRPr="00A174C8" w14:paraId="2DAC5448" w14:textId="77777777" w:rsidTr="00480486">
        <w:tc>
          <w:tcPr>
            <w:tcW w:w="2785" w:type="dxa"/>
            <w:shd w:val="clear" w:color="auto" w:fill="8EAADB" w:themeFill="accent1" w:themeFillTint="99"/>
          </w:tcPr>
          <w:p w14:paraId="14535EA5"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t>Product Development</w:t>
            </w:r>
          </w:p>
        </w:tc>
        <w:tc>
          <w:tcPr>
            <w:tcW w:w="6565" w:type="dxa"/>
            <w:shd w:val="clear" w:color="auto" w:fill="D9E2F3" w:themeFill="accent1" w:themeFillTint="33"/>
          </w:tcPr>
          <w:p w14:paraId="5D62ADA4"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Expand EV-related service packages (home charger partnerships, battery maintenance plans).</w:t>
            </w:r>
          </w:p>
        </w:tc>
      </w:tr>
      <w:tr w:rsidR="008C3C8B" w:rsidRPr="00A174C8" w14:paraId="41E52934" w14:textId="77777777" w:rsidTr="00480486">
        <w:tc>
          <w:tcPr>
            <w:tcW w:w="2785" w:type="dxa"/>
            <w:shd w:val="clear" w:color="auto" w:fill="8EAADB" w:themeFill="accent1" w:themeFillTint="99"/>
          </w:tcPr>
          <w:p w14:paraId="472A109E"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t>Market Development</w:t>
            </w:r>
          </w:p>
        </w:tc>
        <w:tc>
          <w:tcPr>
            <w:tcW w:w="6565" w:type="dxa"/>
            <w:shd w:val="clear" w:color="auto" w:fill="D9E2F3" w:themeFill="accent1" w:themeFillTint="33"/>
          </w:tcPr>
          <w:p w14:paraId="33CC5BA9" w14:textId="6340DF04"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 xml:space="preserve">Broaden reach into </w:t>
            </w:r>
            <w:r w:rsidR="005E1B93" w:rsidRPr="00A174C8">
              <w:rPr>
                <w:rFonts w:ascii="Arial" w:hAnsi="Arial" w:cs="Arial"/>
                <w:sz w:val="22"/>
                <w:szCs w:val="22"/>
                <w:lang w:val="en-US"/>
              </w:rPr>
              <w:t>neighboring</w:t>
            </w:r>
            <w:r w:rsidRPr="00A174C8">
              <w:rPr>
                <w:rFonts w:ascii="Arial" w:hAnsi="Arial" w:cs="Arial"/>
                <w:sz w:val="22"/>
                <w:szCs w:val="22"/>
                <w:lang w:val="en-US"/>
              </w:rPr>
              <w:t xml:space="preserve"> towns via digital-first offerings, delivery services, and online consultations.</w:t>
            </w:r>
          </w:p>
        </w:tc>
      </w:tr>
      <w:tr w:rsidR="008C3C8B" w:rsidRPr="00A174C8" w14:paraId="6672B544" w14:textId="77777777" w:rsidTr="00480486">
        <w:trPr>
          <w:trHeight w:val="1187"/>
        </w:trPr>
        <w:tc>
          <w:tcPr>
            <w:tcW w:w="2785" w:type="dxa"/>
            <w:shd w:val="clear" w:color="auto" w:fill="8EAADB" w:themeFill="accent1" w:themeFillTint="99"/>
          </w:tcPr>
          <w:p w14:paraId="0F6A7C52"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t>Diversification</w:t>
            </w:r>
          </w:p>
        </w:tc>
        <w:tc>
          <w:tcPr>
            <w:tcW w:w="6565" w:type="dxa"/>
            <w:shd w:val="clear" w:color="auto" w:fill="D9E2F3" w:themeFill="accent1" w:themeFillTint="33"/>
          </w:tcPr>
          <w:p w14:paraId="033013C2"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Limited scope given SME resources, but could explore subscription models or mobility-as-a-service in partnership with Ford Mobility.</w:t>
            </w:r>
          </w:p>
        </w:tc>
      </w:tr>
    </w:tbl>
    <w:p w14:paraId="79537354" w14:textId="77777777" w:rsidR="008C3C8B" w:rsidRPr="00A174C8" w:rsidRDefault="008C3C8B" w:rsidP="00A174C8">
      <w:pPr>
        <w:rPr>
          <w:rFonts w:ascii="Arial" w:hAnsi="Arial" w:cs="Arial"/>
          <w:sz w:val="22"/>
          <w:szCs w:val="22"/>
          <w:lang w:val="en-US"/>
        </w:rPr>
      </w:pPr>
    </w:p>
    <w:p w14:paraId="1CC76B34" w14:textId="12F430F2" w:rsidR="008C3C8B" w:rsidRPr="00A174C8" w:rsidRDefault="008C3C8B" w:rsidP="00A174C8">
      <w:pPr>
        <w:rPr>
          <w:rFonts w:ascii="Arial" w:hAnsi="Arial" w:cs="Arial"/>
          <w:sz w:val="22"/>
          <w:szCs w:val="22"/>
          <w:lang w:val="en-US"/>
        </w:rPr>
      </w:pPr>
      <w:r w:rsidRPr="00A174C8">
        <w:rPr>
          <w:rFonts w:ascii="Arial" w:hAnsi="Arial" w:cs="Arial"/>
          <w:sz w:val="22"/>
          <w:szCs w:val="22"/>
          <w:lang w:val="en-US"/>
        </w:rPr>
        <w:t>Market penetration and product development are the most viable options, requiring moderate investment while aligning with current strengths (</w:t>
      </w:r>
      <w:r w:rsidR="00701E8C" w:rsidRPr="00A174C8">
        <w:rPr>
          <w:rFonts w:ascii="Arial" w:hAnsi="Arial" w:cs="Arial"/>
          <w:sz w:val="22"/>
          <w:szCs w:val="22"/>
          <w:lang w:val="en-US"/>
        </w:rPr>
        <w:t>Zugay and Zakaria, 2023</w:t>
      </w:r>
      <w:r w:rsidRPr="00A174C8">
        <w:rPr>
          <w:rFonts w:ascii="Arial" w:hAnsi="Arial" w:cs="Arial"/>
          <w:sz w:val="22"/>
          <w:szCs w:val="22"/>
          <w:lang w:val="en-US"/>
        </w:rPr>
        <w:t>).</w:t>
      </w:r>
    </w:p>
    <w:p w14:paraId="02AB02C0" w14:textId="77777777" w:rsidR="008C3C8B" w:rsidRPr="00A174C8" w:rsidRDefault="008C3C8B" w:rsidP="00A174C8">
      <w:pPr>
        <w:pStyle w:val="Heading2"/>
        <w:rPr>
          <w:rFonts w:ascii="Arial" w:hAnsi="Arial" w:cs="Arial"/>
          <w:sz w:val="22"/>
          <w:szCs w:val="22"/>
          <w:lang w:val="en-US"/>
        </w:rPr>
      </w:pPr>
      <w:bookmarkStart w:id="13" w:name="_Toc213413483"/>
      <w:r w:rsidRPr="00A174C8">
        <w:rPr>
          <w:rFonts w:ascii="Arial" w:hAnsi="Arial" w:cs="Arial"/>
          <w:sz w:val="22"/>
          <w:szCs w:val="22"/>
          <w:lang w:val="en-US"/>
        </w:rPr>
        <w:t>Bowman’s Strategic Clock</w:t>
      </w:r>
      <w:bookmarkEnd w:id="13"/>
    </w:p>
    <w:p w14:paraId="652482FD" w14:textId="670794B7" w:rsidR="0087786E" w:rsidRPr="00A174C8" w:rsidRDefault="0087786E" w:rsidP="00A174C8">
      <w:pPr>
        <w:rPr>
          <w:rFonts w:ascii="Arial" w:hAnsi="Arial" w:cs="Arial"/>
          <w:sz w:val="22"/>
          <w:szCs w:val="22"/>
          <w:lang w:val="en-US"/>
        </w:rPr>
      </w:pPr>
      <w:r w:rsidRPr="00A174C8">
        <w:rPr>
          <w:rFonts w:ascii="Arial" w:hAnsi="Arial" w:cs="Arial"/>
          <w:sz w:val="22"/>
          <w:szCs w:val="22"/>
          <w:lang w:val="en-US"/>
        </w:rPr>
        <w:t xml:space="preserve">Bowman model serves as an effective add-on to the image of competition positioning that Porter has proposed, however, Porter considers only cost and differentiation as the two poles of the competitive </w:t>
      </w:r>
      <w:r w:rsidR="00C857B1" w:rsidRPr="00A174C8">
        <w:rPr>
          <w:rFonts w:ascii="Arial" w:hAnsi="Arial" w:cs="Arial"/>
          <w:sz w:val="22"/>
          <w:szCs w:val="22"/>
          <w:lang w:val="en-US"/>
        </w:rPr>
        <w:t>behavior</w:t>
      </w:r>
      <w:r w:rsidRPr="00A174C8">
        <w:rPr>
          <w:rFonts w:ascii="Arial" w:hAnsi="Arial" w:cs="Arial"/>
          <w:sz w:val="22"/>
          <w:szCs w:val="22"/>
          <w:lang w:val="en-US"/>
        </w:rPr>
        <w:t xml:space="preserve"> axis, which can be greatly supplemented by additional detail (Bowman and Faulkner, 1996). Currently, the dealership is in the middle between position 3 (Hybrid) and position 4 (Differentiation). In the Hybrid position, it creates competitive value by using the proven line of products of the Ford brand and at the same time making them affordable within the confines of the Ford agency-pricing model. Simultaneously, it achieves Differentiation through providing </w:t>
      </w:r>
      <w:r w:rsidR="00C857B1" w:rsidRPr="00A174C8">
        <w:rPr>
          <w:rFonts w:ascii="Arial" w:hAnsi="Arial" w:cs="Arial"/>
          <w:sz w:val="22"/>
          <w:szCs w:val="22"/>
          <w:lang w:val="en-US"/>
        </w:rPr>
        <w:t>localized</w:t>
      </w:r>
      <w:r w:rsidRPr="00A174C8">
        <w:rPr>
          <w:rFonts w:ascii="Arial" w:hAnsi="Arial" w:cs="Arial"/>
          <w:sz w:val="22"/>
          <w:szCs w:val="22"/>
          <w:lang w:val="en-US"/>
        </w:rPr>
        <w:t xml:space="preserve"> quality services, relationship-established trust, and </w:t>
      </w:r>
      <w:r w:rsidR="00C857B1" w:rsidRPr="00A174C8">
        <w:rPr>
          <w:rFonts w:ascii="Arial" w:hAnsi="Arial" w:cs="Arial"/>
          <w:sz w:val="22"/>
          <w:szCs w:val="22"/>
          <w:lang w:val="en-US"/>
        </w:rPr>
        <w:t>customized</w:t>
      </w:r>
      <w:r w:rsidRPr="00A174C8">
        <w:rPr>
          <w:rFonts w:ascii="Arial" w:hAnsi="Arial" w:cs="Arial"/>
          <w:sz w:val="22"/>
          <w:szCs w:val="22"/>
          <w:lang w:val="en-US"/>
        </w:rPr>
        <w:t xml:space="preserve"> </w:t>
      </w:r>
      <w:r w:rsidR="00C857B1" w:rsidRPr="00A174C8">
        <w:rPr>
          <w:rFonts w:ascii="Arial" w:hAnsi="Arial" w:cs="Arial"/>
          <w:sz w:val="22"/>
          <w:szCs w:val="22"/>
          <w:lang w:val="en-US"/>
        </w:rPr>
        <w:t>aftersales</w:t>
      </w:r>
      <w:r w:rsidRPr="00A174C8">
        <w:rPr>
          <w:rFonts w:ascii="Arial" w:hAnsi="Arial" w:cs="Arial"/>
          <w:sz w:val="22"/>
          <w:szCs w:val="22"/>
          <w:lang w:val="en-US"/>
        </w:rPr>
        <w:t xml:space="preserve"> packages which resonate with the community demands on a high degree (Villagrasa et al., 2021).</w:t>
      </w:r>
    </w:p>
    <w:p w14:paraId="631C0A4E" w14:textId="0C5B9B68" w:rsidR="0087786E" w:rsidRPr="00A174C8" w:rsidRDefault="0087786E" w:rsidP="00A174C8">
      <w:pPr>
        <w:rPr>
          <w:rFonts w:ascii="Arial" w:hAnsi="Arial" w:cs="Arial"/>
          <w:sz w:val="22"/>
          <w:szCs w:val="22"/>
          <w:lang w:val="en-US"/>
        </w:rPr>
      </w:pPr>
      <w:r w:rsidRPr="00A174C8">
        <w:rPr>
          <w:rFonts w:ascii="Arial" w:hAnsi="Arial" w:cs="Arial"/>
          <w:sz w:val="22"/>
          <w:szCs w:val="22"/>
          <w:lang w:val="en-US"/>
        </w:rPr>
        <w:t xml:space="preserve">In the long-term sustainability, the dealership is however recommended to move towards position 5 (Focused Differentiation). This would entail taking a more proactive stance in enhancing the value of what it is offering by investing in EV preparedness dash (investment in charging, diagnostic, and training/education of its staff) and reinforcing the efforts on omnichannel convenience and visible community engagement. This would consolidate the dealership by attracting the consumers towards fully-alcohol non-alcoholic products as their various types of drink, and hence aligning them with associated consumption </w:t>
      </w:r>
      <w:r w:rsidR="00C857B1" w:rsidRPr="00A174C8">
        <w:rPr>
          <w:rFonts w:ascii="Arial" w:hAnsi="Arial" w:cs="Arial"/>
          <w:sz w:val="22"/>
          <w:szCs w:val="22"/>
          <w:lang w:val="en-US"/>
        </w:rPr>
        <w:t>behaviors</w:t>
      </w:r>
      <w:r w:rsidRPr="00A174C8">
        <w:rPr>
          <w:rFonts w:ascii="Arial" w:hAnsi="Arial" w:cs="Arial"/>
          <w:sz w:val="22"/>
          <w:szCs w:val="22"/>
          <w:lang w:val="en-US"/>
        </w:rPr>
        <w:t xml:space="preserve"> of the population aligned with the trends within the country in terms of consumer sustainability consumption preferences (Deloitte, 2024) and government mandate of Zero-Emission Vehicle under the so-called Agreement as illustrated 03 bearing its name (DfT/DESNZ, 2023).</w:t>
      </w:r>
    </w:p>
    <w:p w14:paraId="553C948C" w14:textId="4D52BFDA" w:rsidR="0087786E" w:rsidRPr="00A174C8" w:rsidRDefault="0087786E" w:rsidP="00A174C8">
      <w:pPr>
        <w:rPr>
          <w:rFonts w:ascii="Arial" w:hAnsi="Arial" w:cs="Arial"/>
          <w:b/>
          <w:i/>
          <w:sz w:val="22"/>
          <w:szCs w:val="22"/>
          <w:lang w:val="en-US"/>
        </w:rPr>
      </w:pPr>
      <w:r w:rsidRPr="00A174C8">
        <w:rPr>
          <w:rFonts w:ascii="Arial" w:hAnsi="Arial" w:cs="Arial"/>
          <w:sz w:val="22"/>
          <w:szCs w:val="22"/>
          <w:lang w:val="en-US"/>
        </w:rPr>
        <w:lastRenderedPageBreak/>
        <w:t xml:space="preserve">More importantly, the given strategy does not expose SMEs to the dangers of cost leadership or low-value, as both are unsustainable in the context of resource limitation and working within the framework of a highly </w:t>
      </w:r>
      <w:r w:rsidR="00C857B1" w:rsidRPr="00A174C8">
        <w:rPr>
          <w:rFonts w:ascii="Arial" w:hAnsi="Arial" w:cs="Arial"/>
          <w:sz w:val="22"/>
          <w:szCs w:val="22"/>
          <w:lang w:val="en-US"/>
        </w:rPr>
        <w:t>standardized</w:t>
      </w:r>
      <w:r w:rsidRPr="00A174C8">
        <w:rPr>
          <w:rFonts w:ascii="Arial" w:hAnsi="Arial" w:cs="Arial"/>
          <w:sz w:val="22"/>
          <w:szCs w:val="22"/>
          <w:lang w:val="en-US"/>
        </w:rPr>
        <w:t xml:space="preserve"> Ford structure (OECD, 2023). Rather, it aims at the defensible customer value propositions like EV dealership bundle, online-based engagement, and full compliance transparency that can distinguish the dealership in containers competitors are unable to compete (Tarigan et al., 2021). Focused Differentiation will enable the SME to balance the margins leak, create customer loyalty and ensure that its growth trajectory will not be derailed due to disruptive change in the industry.</w:t>
      </w:r>
    </w:p>
    <w:p w14:paraId="4B2DBC3B" w14:textId="156EC307" w:rsidR="008C3C8B" w:rsidRPr="00A174C8" w:rsidRDefault="008C3C8B" w:rsidP="00A174C8">
      <w:pPr>
        <w:pStyle w:val="Heading2"/>
        <w:rPr>
          <w:rFonts w:ascii="Arial" w:hAnsi="Arial" w:cs="Arial"/>
          <w:sz w:val="22"/>
          <w:szCs w:val="22"/>
          <w:lang w:val="en-US"/>
        </w:rPr>
      </w:pPr>
      <w:bookmarkStart w:id="14" w:name="_Toc213413484"/>
      <w:r w:rsidRPr="00A174C8">
        <w:rPr>
          <w:rFonts w:ascii="Arial" w:hAnsi="Arial" w:cs="Arial"/>
          <w:sz w:val="22"/>
          <w:szCs w:val="22"/>
          <w:lang w:val="en-US"/>
        </w:rPr>
        <w:t>Long-term Sustainable Strategy</w:t>
      </w:r>
      <w:bookmarkEnd w:id="14"/>
    </w:p>
    <w:p w14:paraId="00A1FD1D" w14:textId="646F5028" w:rsidR="006166BA" w:rsidRPr="00A174C8" w:rsidRDefault="006166BA" w:rsidP="00A174C8">
      <w:pPr>
        <w:rPr>
          <w:rFonts w:ascii="Arial" w:hAnsi="Arial" w:cs="Arial"/>
          <w:sz w:val="22"/>
          <w:szCs w:val="22"/>
          <w:lang w:val="en-US"/>
        </w:rPr>
      </w:pPr>
      <w:r w:rsidRPr="00A174C8">
        <w:rPr>
          <w:rFonts w:ascii="Arial" w:hAnsi="Arial" w:cs="Arial"/>
          <w:sz w:val="22"/>
          <w:szCs w:val="22"/>
          <w:lang w:val="en-US"/>
        </w:rPr>
        <w:t xml:space="preserve">These models were </w:t>
      </w:r>
      <w:r w:rsidR="007E0B12" w:rsidRPr="00A174C8">
        <w:rPr>
          <w:rFonts w:ascii="Arial" w:hAnsi="Arial" w:cs="Arial"/>
          <w:sz w:val="22"/>
          <w:szCs w:val="22"/>
          <w:lang w:val="en-US"/>
        </w:rPr>
        <w:t>synthesized</w:t>
      </w:r>
      <w:r w:rsidRPr="00A174C8">
        <w:rPr>
          <w:rFonts w:ascii="Arial" w:hAnsi="Arial" w:cs="Arial"/>
          <w:sz w:val="22"/>
          <w:szCs w:val="22"/>
          <w:lang w:val="en-US"/>
        </w:rPr>
        <w:t xml:space="preserve"> to provide a suggested strategic direction that is sustainable and based on:</w:t>
      </w:r>
    </w:p>
    <w:p w14:paraId="617802A5" w14:textId="7B5C0713" w:rsidR="006166BA" w:rsidRPr="00A174C8" w:rsidRDefault="006166BA" w:rsidP="00A174C8">
      <w:pPr>
        <w:pStyle w:val="ListParagraph"/>
        <w:numPr>
          <w:ilvl w:val="0"/>
          <w:numId w:val="5"/>
        </w:numPr>
        <w:rPr>
          <w:rFonts w:ascii="Arial" w:hAnsi="Arial" w:cs="Arial"/>
          <w:sz w:val="22"/>
          <w:szCs w:val="22"/>
          <w:lang w:val="en-US"/>
        </w:rPr>
      </w:pPr>
      <w:r w:rsidRPr="00A174C8">
        <w:rPr>
          <w:rFonts w:ascii="Arial" w:hAnsi="Arial" w:cs="Arial"/>
          <w:sz w:val="22"/>
          <w:szCs w:val="22"/>
          <w:lang w:val="en-US"/>
        </w:rPr>
        <w:t>Focused Differentiation: Installation of a reputation both as the local EV-ready dealership of choice, with expertise, transparent finance and aftersales packages.</w:t>
      </w:r>
    </w:p>
    <w:p w14:paraId="540A6E3A" w14:textId="72D55510" w:rsidR="006166BA" w:rsidRPr="00A174C8" w:rsidRDefault="006166BA" w:rsidP="00A174C8">
      <w:pPr>
        <w:pStyle w:val="ListParagraph"/>
        <w:numPr>
          <w:ilvl w:val="0"/>
          <w:numId w:val="5"/>
        </w:numPr>
        <w:rPr>
          <w:rFonts w:ascii="Arial" w:hAnsi="Arial" w:cs="Arial"/>
          <w:sz w:val="22"/>
          <w:szCs w:val="22"/>
          <w:lang w:val="en-US"/>
        </w:rPr>
      </w:pPr>
      <w:r w:rsidRPr="00A174C8">
        <w:rPr>
          <w:rFonts w:ascii="Arial" w:hAnsi="Arial" w:cs="Arial"/>
          <w:sz w:val="22"/>
          <w:szCs w:val="22"/>
          <w:lang w:val="en-US"/>
        </w:rPr>
        <w:t>Market penetration: Improving used car turnover and after sales retention, using Auto Trader and other platforms that will raise their visibility.</w:t>
      </w:r>
    </w:p>
    <w:p w14:paraId="2F3376CC" w14:textId="625C2549" w:rsidR="006166BA" w:rsidRPr="00A174C8" w:rsidRDefault="006166BA" w:rsidP="00A174C8">
      <w:pPr>
        <w:pStyle w:val="ListParagraph"/>
        <w:numPr>
          <w:ilvl w:val="0"/>
          <w:numId w:val="5"/>
        </w:numPr>
        <w:rPr>
          <w:rFonts w:ascii="Arial" w:hAnsi="Arial" w:cs="Arial"/>
          <w:sz w:val="22"/>
          <w:szCs w:val="22"/>
          <w:lang w:val="en-US"/>
        </w:rPr>
      </w:pPr>
      <w:r w:rsidRPr="00A174C8">
        <w:rPr>
          <w:rFonts w:ascii="Arial" w:hAnsi="Arial" w:cs="Arial"/>
          <w:sz w:val="22"/>
          <w:szCs w:val="22"/>
          <w:lang w:val="en-US"/>
        </w:rPr>
        <w:t>Product Development: EV-related service offering and digital retail innovations will be revealed to generate more revenue per customer.</w:t>
      </w:r>
    </w:p>
    <w:p w14:paraId="64612DC6" w14:textId="0D34CBA8" w:rsidR="006166BA" w:rsidRPr="00A174C8" w:rsidRDefault="006166BA" w:rsidP="00A174C8">
      <w:pPr>
        <w:rPr>
          <w:rFonts w:ascii="Arial" w:hAnsi="Arial" w:cs="Arial"/>
          <w:sz w:val="22"/>
          <w:szCs w:val="22"/>
          <w:lang w:val="en-US"/>
        </w:rPr>
      </w:pPr>
      <w:r w:rsidRPr="00A174C8">
        <w:rPr>
          <w:rFonts w:ascii="Arial" w:hAnsi="Arial" w:cs="Arial"/>
          <w:sz w:val="22"/>
          <w:szCs w:val="22"/>
          <w:lang w:val="en-US"/>
        </w:rPr>
        <w:t xml:space="preserve">This hybrid solution balances the resources available to the SME and the opportunities that have been formed by the powers of electrification, </w:t>
      </w:r>
      <w:r w:rsidR="007E0B12" w:rsidRPr="00A174C8">
        <w:rPr>
          <w:rFonts w:ascii="Arial" w:hAnsi="Arial" w:cs="Arial"/>
          <w:sz w:val="22"/>
          <w:szCs w:val="22"/>
          <w:lang w:val="en-US"/>
        </w:rPr>
        <w:t>digitalization</w:t>
      </w:r>
      <w:r w:rsidRPr="00A174C8">
        <w:rPr>
          <w:rFonts w:ascii="Arial" w:hAnsi="Arial" w:cs="Arial"/>
          <w:sz w:val="22"/>
          <w:szCs w:val="22"/>
          <w:lang w:val="en-US"/>
        </w:rPr>
        <w:t>, and customer trust. It goes on to place the dealership in complementary position to the global agency sales strategy of Ford and not contradict it.</w:t>
      </w:r>
    </w:p>
    <w:p w14:paraId="4D0CB92E" w14:textId="77777777" w:rsidR="006166BA" w:rsidRPr="00A174C8" w:rsidRDefault="006166BA" w:rsidP="00A174C8">
      <w:pPr>
        <w:rPr>
          <w:rFonts w:ascii="Arial" w:hAnsi="Arial" w:cs="Arial"/>
          <w:b/>
          <w:sz w:val="22"/>
          <w:szCs w:val="22"/>
          <w:lang w:val="en-US"/>
        </w:rPr>
      </w:pPr>
      <w:r w:rsidRPr="00A174C8">
        <w:rPr>
          <w:rFonts w:ascii="Arial" w:hAnsi="Arial" w:cs="Arial"/>
          <w:sz w:val="22"/>
          <w:szCs w:val="22"/>
          <w:lang w:val="en-US"/>
        </w:rPr>
        <w:t>Finally, the growth strategy in use by the dealership ought to be more focused on profitable niches than volume such that the dealership remains inseparable to structural changes within the UK automotive industry.</w:t>
      </w:r>
    </w:p>
    <w:p w14:paraId="0EE24234" w14:textId="6DB17CC6" w:rsidR="008C3C8B" w:rsidRPr="00A174C8" w:rsidRDefault="008C3C8B" w:rsidP="00A174C8">
      <w:pPr>
        <w:pStyle w:val="Heading1"/>
        <w:rPr>
          <w:rFonts w:ascii="Arial" w:hAnsi="Arial" w:cs="Arial"/>
          <w:sz w:val="22"/>
          <w:szCs w:val="22"/>
        </w:rPr>
      </w:pPr>
      <w:bookmarkStart w:id="15" w:name="_Toc213413485"/>
      <w:r w:rsidRPr="00A174C8">
        <w:rPr>
          <w:rFonts w:ascii="Arial" w:hAnsi="Arial" w:cs="Arial"/>
          <w:sz w:val="22"/>
          <w:szCs w:val="22"/>
        </w:rPr>
        <w:t>Stakeholder Analysis</w:t>
      </w:r>
      <w:bookmarkEnd w:id="15"/>
    </w:p>
    <w:p w14:paraId="7A7F6034" w14:textId="2BCE8DB9" w:rsidR="008C3C8B" w:rsidRPr="00A174C8" w:rsidRDefault="008C3C8B" w:rsidP="00A174C8">
      <w:pPr>
        <w:rPr>
          <w:rFonts w:ascii="Arial" w:hAnsi="Arial" w:cs="Arial"/>
          <w:sz w:val="22"/>
          <w:szCs w:val="22"/>
        </w:rPr>
      </w:pPr>
      <w:r w:rsidRPr="00A174C8">
        <w:rPr>
          <w:rFonts w:ascii="Arial" w:hAnsi="Arial" w:cs="Arial"/>
          <w:sz w:val="22"/>
          <w:szCs w:val="22"/>
        </w:rPr>
        <w:t>SME dealerships such as this Ford-authorised retailer operate within a complex stakeholder environment where expectations, influence, and resource dependencies must be managed carefully. Applying Mendelow’s Matrix helps prioritise stakeholders based on power and interest.</w:t>
      </w:r>
    </w:p>
    <w:p w14:paraId="309AD84E" w14:textId="5A80C551" w:rsidR="008C3C8B" w:rsidRPr="00A174C8" w:rsidRDefault="008C3C8B" w:rsidP="00A174C8">
      <w:pPr>
        <w:pStyle w:val="Heading2"/>
        <w:rPr>
          <w:rFonts w:ascii="Arial" w:hAnsi="Arial" w:cs="Arial"/>
          <w:sz w:val="22"/>
          <w:szCs w:val="22"/>
        </w:rPr>
      </w:pPr>
      <w:bookmarkStart w:id="16" w:name="_Toc213413486"/>
      <w:r w:rsidRPr="00A174C8">
        <w:rPr>
          <w:rFonts w:ascii="Arial" w:hAnsi="Arial" w:cs="Arial"/>
          <w:sz w:val="22"/>
          <w:szCs w:val="22"/>
        </w:rPr>
        <w:t>Mendelow’s Matrix</w:t>
      </w:r>
      <w:bookmarkEnd w:id="16"/>
    </w:p>
    <w:tbl>
      <w:tblPr>
        <w:tblStyle w:val="TableGrid"/>
        <w:tblW w:w="0" w:type="auto"/>
        <w:tblLook w:val="04A0" w:firstRow="1" w:lastRow="0" w:firstColumn="1" w:lastColumn="0" w:noHBand="0" w:noVBand="1"/>
      </w:tblPr>
      <w:tblGrid>
        <w:gridCol w:w="4135"/>
        <w:gridCol w:w="5215"/>
      </w:tblGrid>
      <w:tr w:rsidR="008C3C8B" w:rsidRPr="00A174C8" w14:paraId="79D3D152" w14:textId="77777777" w:rsidTr="00480486">
        <w:tc>
          <w:tcPr>
            <w:tcW w:w="4135" w:type="dxa"/>
            <w:shd w:val="clear" w:color="auto" w:fill="8EAADB" w:themeFill="accent1" w:themeFillTint="99"/>
          </w:tcPr>
          <w:p w14:paraId="6E54B3AE"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t>High Power / High Interest</w:t>
            </w:r>
          </w:p>
        </w:tc>
        <w:tc>
          <w:tcPr>
            <w:tcW w:w="5215" w:type="dxa"/>
            <w:shd w:val="clear" w:color="auto" w:fill="8EAADB" w:themeFill="accent1" w:themeFillTint="99"/>
          </w:tcPr>
          <w:p w14:paraId="427E140B"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t>High Power / Low Interest</w:t>
            </w:r>
          </w:p>
        </w:tc>
      </w:tr>
      <w:tr w:rsidR="008C3C8B" w:rsidRPr="00A174C8" w14:paraId="6B5F6304" w14:textId="77777777" w:rsidTr="00480486">
        <w:tc>
          <w:tcPr>
            <w:tcW w:w="4135" w:type="dxa"/>
            <w:shd w:val="clear" w:color="auto" w:fill="D9E2F3" w:themeFill="accent1" w:themeFillTint="33"/>
          </w:tcPr>
          <w:p w14:paraId="4E122323"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lastRenderedPageBreak/>
              <w:t>Ford UK (franchisor) – controls supply, standards, and agency model pricing</w:t>
            </w:r>
          </w:p>
        </w:tc>
        <w:tc>
          <w:tcPr>
            <w:tcW w:w="5215" w:type="dxa"/>
            <w:shd w:val="clear" w:color="auto" w:fill="D9E2F3" w:themeFill="accent1" w:themeFillTint="33"/>
          </w:tcPr>
          <w:p w14:paraId="28DAC25E"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Financial lenders and banks – influence capital access but low day-to-day involvement</w:t>
            </w:r>
          </w:p>
        </w:tc>
      </w:tr>
      <w:tr w:rsidR="008C3C8B" w:rsidRPr="00A174C8" w14:paraId="7EA8B28D" w14:textId="77777777" w:rsidTr="00480486">
        <w:tc>
          <w:tcPr>
            <w:tcW w:w="4135" w:type="dxa"/>
            <w:shd w:val="clear" w:color="auto" w:fill="D9E2F3" w:themeFill="accent1" w:themeFillTint="33"/>
          </w:tcPr>
          <w:p w14:paraId="45668C9C"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Customers – demand transparency, EV options, and quality service</w:t>
            </w:r>
          </w:p>
        </w:tc>
        <w:tc>
          <w:tcPr>
            <w:tcW w:w="5215" w:type="dxa"/>
            <w:shd w:val="clear" w:color="auto" w:fill="D9E2F3" w:themeFill="accent1" w:themeFillTint="33"/>
          </w:tcPr>
          <w:p w14:paraId="0A2D15C4"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Regulators (FCA, CMA, DfT) – set rules on compliance, pricing, emissions, and consumer duty</w:t>
            </w:r>
          </w:p>
        </w:tc>
      </w:tr>
      <w:tr w:rsidR="008C3C8B" w:rsidRPr="00A174C8" w14:paraId="2ACCDAD4" w14:textId="77777777" w:rsidTr="00480486">
        <w:tc>
          <w:tcPr>
            <w:tcW w:w="4135" w:type="dxa"/>
            <w:shd w:val="clear" w:color="auto" w:fill="D9E2F3" w:themeFill="accent1" w:themeFillTint="33"/>
          </w:tcPr>
          <w:p w14:paraId="28D6CDD3"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Low Power / High Interest</w:t>
            </w:r>
          </w:p>
        </w:tc>
        <w:tc>
          <w:tcPr>
            <w:tcW w:w="5215" w:type="dxa"/>
            <w:shd w:val="clear" w:color="auto" w:fill="D9E2F3" w:themeFill="accent1" w:themeFillTint="33"/>
          </w:tcPr>
          <w:p w14:paraId="53A2E235"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Low Power / Low Interest</w:t>
            </w:r>
          </w:p>
        </w:tc>
      </w:tr>
      <w:tr w:rsidR="008C3C8B" w:rsidRPr="00A174C8" w14:paraId="6E19894A" w14:textId="77777777" w:rsidTr="00480486">
        <w:tc>
          <w:tcPr>
            <w:tcW w:w="4135" w:type="dxa"/>
            <w:shd w:val="clear" w:color="auto" w:fill="D9E2F3" w:themeFill="accent1" w:themeFillTint="33"/>
          </w:tcPr>
          <w:p w14:paraId="0FF3CD1D"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Employees – seek fair pay, training, job security in EV transition</w:t>
            </w:r>
          </w:p>
        </w:tc>
        <w:tc>
          <w:tcPr>
            <w:tcW w:w="5215" w:type="dxa"/>
            <w:shd w:val="clear" w:color="auto" w:fill="D9E2F3" w:themeFill="accent1" w:themeFillTint="33"/>
          </w:tcPr>
          <w:p w14:paraId="171079B3"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Local community – affected by employment, environmental footprint</w:t>
            </w:r>
          </w:p>
        </w:tc>
      </w:tr>
      <w:tr w:rsidR="008C3C8B" w:rsidRPr="00A174C8" w14:paraId="1B5BD22C" w14:textId="77777777" w:rsidTr="00480486">
        <w:tc>
          <w:tcPr>
            <w:tcW w:w="4135" w:type="dxa"/>
            <w:shd w:val="clear" w:color="auto" w:fill="D9E2F3" w:themeFill="accent1" w:themeFillTint="33"/>
          </w:tcPr>
          <w:p w14:paraId="64B4BDBD"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Local SMEs/partners (charging firms, suppliers) – keen on collaboration</w:t>
            </w:r>
          </w:p>
        </w:tc>
        <w:tc>
          <w:tcPr>
            <w:tcW w:w="5215" w:type="dxa"/>
            <w:shd w:val="clear" w:color="auto" w:fill="D9E2F3" w:themeFill="accent1" w:themeFillTint="33"/>
          </w:tcPr>
          <w:p w14:paraId="04DFDE32"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Media/press – low direct impact but shape perception</w:t>
            </w:r>
          </w:p>
        </w:tc>
      </w:tr>
    </w:tbl>
    <w:p w14:paraId="5540348B" w14:textId="77777777" w:rsidR="008C3C8B" w:rsidRPr="00A174C8" w:rsidRDefault="008C3C8B" w:rsidP="00A174C8">
      <w:pPr>
        <w:rPr>
          <w:rFonts w:ascii="Arial" w:hAnsi="Arial" w:cs="Arial"/>
          <w:sz w:val="22"/>
          <w:szCs w:val="22"/>
          <w:lang w:val="en-US"/>
        </w:rPr>
      </w:pPr>
    </w:p>
    <w:p w14:paraId="33275999" w14:textId="1B2C8B4B" w:rsidR="008C3C8B" w:rsidRPr="00A174C8" w:rsidRDefault="008C3C8B" w:rsidP="00A174C8">
      <w:pPr>
        <w:rPr>
          <w:rFonts w:ascii="Arial" w:hAnsi="Arial" w:cs="Arial"/>
          <w:sz w:val="22"/>
          <w:szCs w:val="22"/>
          <w:lang w:val="en-US"/>
        </w:rPr>
      </w:pPr>
      <w:r w:rsidRPr="00A174C8">
        <w:rPr>
          <w:rFonts w:ascii="Arial" w:hAnsi="Arial" w:cs="Arial"/>
          <w:sz w:val="22"/>
          <w:szCs w:val="22"/>
          <w:lang w:val="en-US"/>
        </w:rPr>
        <w:t>This analysis highlights that Ford UK and customers are the most critical stakeholders requiring proactive engagement. Regulators and lenders also demand attention to ensure compliance and financial sustainability.</w:t>
      </w:r>
    </w:p>
    <w:p w14:paraId="429D366A" w14:textId="77777777" w:rsidR="008C3C8B" w:rsidRPr="00A174C8" w:rsidRDefault="008C3C8B" w:rsidP="00A174C8">
      <w:pPr>
        <w:pStyle w:val="Heading2"/>
        <w:rPr>
          <w:rFonts w:ascii="Arial" w:hAnsi="Arial" w:cs="Arial"/>
          <w:sz w:val="22"/>
          <w:szCs w:val="22"/>
          <w:lang w:val="en-US"/>
        </w:rPr>
      </w:pPr>
      <w:bookmarkStart w:id="17" w:name="_Toc213413487"/>
      <w:r w:rsidRPr="00A174C8">
        <w:rPr>
          <w:rFonts w:ascii="Arial" w:hAnsi="Arial" w:cs="Arial"/>
          <w:sz w:val="22"/>
          <w:szCs w:val="22"/>
          <w:lang w:val="en-US"/>
        </w:rPr>
        <w:t>RACI Framework for Strategy Implementation</w:t>
      </w:r>
      <w:bookmarkEnd w:id="17"/>
    </w:p>
    <w:tbl>
      <w:tblPr>
        <w:tblStyle w:val="TableGrid"/>
        <w:tblW w:w="0" w:type="auto"/>
        <w:tblLook w:val="04A0" w:firstRow="1" w:lastRow="0" w:firstColumn="1" w:lastColumn="0" w:noHBand="0" w:noVBand="1"/>
      </w:tblPr>
      <w:tblGrid>
        <w:gridCol w:w="1870"/>
        <w:gridCol w:w="1870"/>
        <w:gridCol w:w="1870"/>
        <w:gridCol w:w="1870"/>
        <w:gridCol w:w="1870"/>
      </w:tblGrid>
      <w:tr w:rsidR="008C3C8B" w:rsidRPr="00A174C8" w14:paraId="559C1866" w14:textId="77777777" w:rsidTr="00480486">
        <w:tc>
          <w:tcPr>
            <w:tcW w:w="1870" w:type="dxa"/>
            <w:shd w:val="clear" w:color="auto" w:fill="8EAADB" w:themeFill="accent1" w:themeFillTint="99"/>
          </w:tcPr>
          <w:p w14:paraId="2D7A61A4"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t>Activity</w:t>
            </w:r>
          </w:p>
        </w:tc>
        <w:tc>
          <w:tcPr>
            <w:tcW w:w="1870" w:type="dxa"/>
            <w:shd w:val="clear" w:color="auto" w:fill="8EAADB" w:themeFill="accent1" w:themeFillTint="99"/>
          </w:tcPr>
          <w:p w14:paraId="4B00ADCA"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t>Responsible (R)</w:t>
            </w:r>
          </w:p>
        </w:tc>
        <w:tc>
          <w:tcPr>
            <w:tcW w:w="1870" w:type="dxa"/>
            <w:shd w:val="clear" w:color="auto" w:fill="8EAADB" w:themeFill="accent1" w:themeFillTint="99"/>
          </w:tcPr>
          <w:p w14:paraId="7417F6B8"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t>Accountable (A)</w:t>
            </w:r>
          </w:p>
        </w:tc>
        <w:tc>
          <w:tcPr>
            <w:tcW w:w="1870" w:type="dxa"/>
            <w:shd w:val="clear" w:color="auto" w:fill="8EAADB" w:themeFill="accent1" w:themeFillTint="99"/>
          </w:tcPr>
          <w:p w14:paraId="5660F6F7"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t>Consulted (C)</w:t>
            </w:r>
          </w:p>
        </w:tc>
        <w:tc>
          <w:tcPr>
            <w:tcW w:w="1870" w:type="dxa"/>
            <w:shd w:val="clear" w:color="auto" w:fill="8EAADB" w:themeFill="accent1" w:themeFillTint="99"/>
          </w:tcPr>
          <w:p w14:paraId="60EF40F6" w14:textId="77777777" w:rsidR="008C3C8B" w:rsidRPr="00A174C8" w:rsidRDefault="008C3C8B" w:rsidP="00A174C8">
            <w:pPr>
              <w:jc w:val="left"/>
              <w:rPr>
                <w:rFonts w:ascii="Arial" w:hAnsi="Arial" w:cs="Arial"/>
                <w:b/>
                <w:bCs/>
                <w:sz w:val="22"/>
                <w:szCs w:val="22"/>
                <w:lang w:val="en-US"/>
              </w:rPr>
            </w:pPr>
            <w:r w:rsidRPr="00A174C8">
              <w:rPr>
                <w:rFonts w:ascii="Arial" w:hAnsi="Arial" w:cs="Arial"/>
                <w:b/>
                <w:bCs/>
                <w:sz w:val="22"/>
                <w:szCs w:val="22"/>
                <w:lang w:val="en-US"/>
              </w:rPr>
              <w:t>Informed (I)</w:t>
            </w:r>
          </w:p>
        </w:tc>
      </w:tr>
      <w:tr w:rsidR="008C3C8B" w:rsidRPr="00A174C8" w14:paraId="6A82A803" w14:textId="77777777" w:rsidTr="00480486">
        <w:tc>
          <w:tcPr>
            <w:tcW w:w="1870" w:type="dxa"/>
            <w:shd w:val="clear" w:color="auto" w:fill="D9E2F3" w:themeFill="accent1" w:themeFillTint="33"/>
          </w:tcPr>
          <w:p w14:paraId="6060E4A2"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EV infrastructure investment</w:t>
            </w:r>
          </w:p>
        </w:tc>
        <w:tc>
          <w:tcPr>
            <w:tcW w:w="1870" w:type="dxa"/>
            <w:shd w:val="clear" w:color="auto" w:fill="D9E2F3" w:themeFill="accent1" w:themeFillTint="33"/>
          </w:tcPr>
          <w:p w14:paraId="0030040E"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General Manager</w:t>
            </w:r>
          </w:p>
        </w:tc>
        <w:tc>
          <w:tcPr>
            <w:tcW w:w="1870" w:type="dxa"/>
            <w:shd w:val="clear" w:color="auto" w:fill="D9E2F3" w:themeFill="accent1" w:themeFillTint="33"/>
          </w:tcPr>
          <w:p w14:paraId="4D184176"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SME Owner/Director</w:t>
            </w:r>
          </w:p>
        </w:tc>
        <w:tc>
          <w:tcPr>
            <w:tcW w:w="1870" w:type="dxa"/>
            <w:shd w:val="clear" w:color="auto" w:fill="D9E2F3" w:themeFill="accent1" w:themeFillTint="33"/>
          </w:tcPr>
          <w:p w14:paraId="3694246F"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Ford UK, lenders</w:t>
            </w:r>
          </w:p>
        </w:tc>
        <w:tc>
          <w:tcPr>
            <w:tcW w:w="1870" w:type="dxa"/>
            <w:shd w:val="clear" w:color="auto" w:fill="D9E2F3" w:themeFill="accent1" w:themeFillTint="33"/>
          </w:tcPr>
          <w:p w14:paraId="6C469302"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Employees, community</w:t>
            </w:r>
          </w:p>
        </w:tc>
      </w:tr>
      <w:tr w:rsidR="008C3C8B" w:rsidRPr="00A174C8" w14:paraId="758AA1ED" w14:textId="77777777" w:rsidTr="00480486">
        <w:tc>
          <w:tcPr>
            <w:tcW w:w="1870" w:type="dxa"/>
            <w:shd w:val="clear" w:color="auto" w:fill="D9E2F3" w:themeFill="accent1" w:themeFillTint="33"/>
          </w:tcPr>
          <w:p w14:paraId="317477B2"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Digital retail adoption</w:t>
            </w:r>
          </w:p>
        </w:tc>
        <w:tc>
          <w:tcPr>
            <w:tcW w:w="1870" w:type="dxa"/>
            <w:shd w:val="clear" w:color="auto" w:fill="D9E2F3" w:themeFill="accent1" w:themeFillTint="33"/>
          </w:tcPr>
          <w:p w14:paraId="5C20C420"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Marketing Lead</w:t>
            </w:r>
          </w:p>
        </w:tc>
        <w:tc>
          <w:tcPr>
            <w:tcW w:w="1870" w:type="dxa"/>
            <w:shd w:val="clear" w:color="auto" w:fill="D9E2F3" w:themeFill="accent1" w:themeFillTint="33"/>
          </w:tcPr>
          <w:p w14:paraId="7010DF02"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General Manager</w:t>
            </w:r>
          </w:p>
        </w:tc>
        <w:tc>
          <w:tcPr>
            <w:tcW w:w="1870" w:type="dxa"/>
            <w:shd w:val="clear" w:color="auto" w:fill="D9E2F3" w:themeFill="accent1" w:themeFillTint="33"/>
          </w:tcPr>
          <w:p w14:paraId="52483255"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Ford UK IT support</w:t>
            </w:r>
          </w:p>
        </w:tc>
        <w:tc>
          <w:tcPr>
            <w:tcW w:w="1870" w:type="dxa"/>
            <w:shd w:val="clear" w:color="auto" w:fill="D9E2F3" w:themeFill="accent1" w:themeFillTint="33"/>
          </w:tcPr>
          <w:p w14:paraId="36BFC238"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Customers</w:t>
            </w:r>
          </w:p>
        </w:tc>
      </w:tr>
      <w:tr w:rsidR="008C3C8B" w:rsidRPr="00A174C8" w14:paraId="3BFE1E55" w14:textId="77777777" w:rsidTr="00480486">
        <w:tc>
          <w:tcPr>
            <w:tcW w:w="1870" w:type="dxa"/>
            <w:shd w:val="clear" w:color="auto" w:fill="D9E2F3" w:themeFill="accent1" w:themeFillTint="33"/>
          </w:tcPr>
          <w:p w14:paraId="6272FB27"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Staff EV training</w:t>
            </w:r>
          </w:p>
        </w:tc>
        <w:tc>
          <w:tcPr>
            <w:tcW w:w="1870" w:type="dxa"/>
            <w:shd w:val="clear" w:color="auto" w:fill="D9E2F3" w:themeFill="accent1" w:themeFillTint="33"/>
          </w:tcPr>
          <w:p w14:paraId="701A0352"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HR/Workshop Manager</w:t>
            </w:r>
          </w:p>
        </w:tc>
        <w:tc>
          <w:tcPr>
            <w:tcW w:w="1870" w:type="dxa"/>
            <w:shd w:val="clear" w:color="auto" w:fill="D9E2F3" w:themeFill="accent1" w:themeFillTint="33"/>
          </w:tcPr>
          <w:p w14:paraId="30FE602B"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General Manager</w:t>
            </w:r>
          </w:p>
        </w:tc>
        <w:tc>
          <w:tcPr>
            <w:tcW w:w="1870" w:type="dxa"/>
            <w:shd w:val="clear" w:color="auto" w:fill="D9E2F3" w:themeFill="accent1" w:themeFillTint="33"/>
          </w:tcPr>
          <w:p w14:paraId="29BC235F"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Ford Training Academy</w:t>
            </w:r>
          </w:p>
        </w:tc>
        <w:tc>
          <w:tcPr>
            <w:tcW w:w="1870" w:type="dxa"/>
            <w:shd w:val="clear" w:color="auto" w:fill="D9E2F3" w:themeFill="accent1" w:themeFillTint="33"/>
          </w:tcPr>
          <w:p w14:paraId="31A5AD82"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Employees</w:t>
            </w:r>
          </w:p>
        </w:tc>
      </w:tr>
      <w:tr w:rsidR="008C3C8B" w:rsidRPr="00A174C8" w14:paraId="10E2B779" w14:textId="77777777" w:rsidTr="00480486">
        <w:tc>
          <w:tcPr>
            <w:tcW w:w="1870" w:type="dxa"/>
            <w:shd w:val="clear" w:color="auto" w:fill="D9E2F3" w:themeFill="accent1" w:themeFillTint="33"/>
          </w:tcPr>
          <w:p w14:paraId="1EDE6F02"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Aftersales service bundles</w:t>
            </w:r>
          </w:p>
        </w:tc>
        <w:tc>
          <w:tcPr>
            <w:tcW w:w="1870" w:type="dxa"/>
            <w:shd w:val="clear" w:color="auto" w:fill="D9E2F3" w:themeFill="accent1" w:themeFillTint="33"/>
          </w:tcPr>
          <w:p w14:paraId="5655682E"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Service Manager</w:t>
            </w:r>
          </w:p>
        </w:tc>
        <w:tc>
          <w:tcPr>
            <w:tcW w:w="1870" w:type="dxa"/>
            <w:shd w:val="clear" w:color="auto" w:fill="D9E2F3" w:themeFill="accent1" w:themeFillTint="33"/>
          </w:tcPr>
          <w:p w14:paraId="258A9F5A"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General Manager</w:t>
            </w:r>
          </w:p>
        </w:tc>
        <w:tc>
          <w:tcPr>
            <w:tcW w:w="1870" w:type="dxa"/>
            <w:shd w:val="clear" w:color="auto" w:fill="D9E2F3" w:themeFill="accent1" w:themeFillTint="33"/>
          </w:tcPr>
          <w:p w14:paraId="52101616"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Customers</w:t>
            </w:r>
          </w:p>
        </w:tc>
        <w:tc>
          <w:tcPr>
            <w:tcW w:w="1870" w:type="dxa"/>
            <w:shd w:val="clear" w:color="auto" w:fill="D9E2F3" w:themeFill="accent1" w:themeFillTint="33"/>
          </w:tcPr>
          <w:p w14:paraId="4E2C3464"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Regulators (FCA)</w:t>
            </w:r>
          </w:p>
        </w:tc>
      </w:tr>
      <w:tr w:rsidR="008C3C8B" w:rsidRPr="00A174C8" w14:paraId="36A620E3" w14:textId="77777777" w:rsidTr="00480486">
        <w:tc>
          <w:tcPr>
            <w:tcW w:w="1870" w:type="dxa"/>
            <w:shd w:val="clear" w:color="auto" w:fill="D9E2F3" w:themeFill="accent1" w:themeFillTint="33"/>
          </w:tcPr>
          <w:p w14:paraId="64A559F2"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Compliance reporting</w:t>
            </w:r>
          </w:p>
        </w:tc>
        <w:tc>
          <w:tcPr>
            <w:tcW w:w="1870" w:type="dxa"/>
            <w:shd w:val="clear" w:color="auto" w:fill="D9E2F3" w:themeFill="accent1" w:themeFillTint="33"/>
          </w:tcPr>
          <w:p w14:paraId="36789393"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Compliance Officer</w:t>
            </w:r>
          </w:p>
        </w:tc>
        <w:tc>
          <w:tcPr>
            <w:tcW w:w="1870" w:type="dxa"/>
            <w:shd w:val="clear" w:color="auto" w:fill="D9E2F3" w:themeFill="accent1" w:themeFillTint="33"/>
          </w:tcPr>
          <w:p w14:paraId="4AC22F24"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SME Owner/Director</w:t>
            </w:r>
          </w:p>
        </w:tc>
        <w:tc>
          <w:tcPr>
            <w:tcW w:w="1870" w:type="dxa"/>
            <w:shd w:val="clear" w:color="auto" w:fill="D9E2F3" w:themeFill="accent1" w:themeFillTint="33"/>
          </w:tcPr>
          <w:p w14:paraId="16974F86"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FCA, CMA</w:t>
            </w:r>
          </w:p>
        </w:tc>
        <w:tc>
          <w:tcPr>
            <w:tcW w:w="1870" w:type="dxa"/>
            <w:shd w:val="clear" w:color="auto" w:fill="D9E2F3" w:themeFill="accent1" w:themeFillTint="33"/>
          </w:tcPr>
          <w:p w14:paraId="45D27A2E" w14:textId="77777777" w:rsidR="008C3C8B" w:rsidRPr="00A174C8" w:rsidRDefault="008C3C8B" w:rsidP="00A174C8">
            <w:pPr>
              <w:jc w:val="left"/>
              <w:rPr>
                <w:rFonts w:ascii="Arial" w:hAnsi="Arial" w:cs="Arial"/>
                <w:sz w:val="22"/>
                <w:szCs w:val="22"/>
                <w:lang w:val="en-US"/>
              </w:rPr>
            </w:pPr>
            <w:r w:rsidRPr="00A174C8">
              <w:rPr>
                <w:rFonts w:ascii="Arial" w:hAnsi="Arial" w:cs="Arial"/>
                <w:sz w:val="22"/>
                <w:szCs w:val="22"/>
                <w:lang w:val="en-US"/>
              </w:rPr>
              <w:t>Staff</w:t>
            </w:r>
          </w:p>
        </w:tc>
      </w:tr>
    </w:tbl>
    <w:p w14:paraId="1BE60D49" w14:textId="77777777" w:rsidR="008C3C8B" w:rsidRPr="00A174C8" w:rsidRDefault="008C3C8B" w:rsidP="00A174C8">
      <w:pPr>
        <w:rPr>
          <w:rFonts w:ascii="Arial" w:hAnsi="Arial" w:cs="Arial"/>
          <w:sz w:val="22"/>
          <w:szCs w:val="22"/>
          <w:lang w:val="en-US"/>
        </w:rPr>
      </w:pPr>
    </w:p>
    <w:p w14:paraId="38B83A52" w14:textId="63985C78" w:rsidR="008C3C8B" w:rsidRPr="00A174C8" w:rsidRDefault="008C3C8B" w:rsidP="00A174C8">
      <w:pPr>
        <w:rPr>
          <w:rFonts w:ascii="Arial" w:hAnsi="Arial" w:cs="Arial"/>
          <w:sz w:val="22"/>
          <w:szCs w:val="22"/>
          <w:lang w:val="en-US"/>
        </w:rPr>
      </w:pPr>
      <w:r w:rsidRPr="00A174C8">
        <w:rPr>
          <w:rFonts w:ascii="Arial" w:hAnsi="Arial" w:cs="Arial"/>
          <w:sz w:val="22"/>
          <w:szCs w:val="22"/>
          <w:lang w:val="en-US"/>
        </w:rPr>
        <w:t>The RACI matrix ensures clear accountability and avoids role confusion when executing strategic initiatives (PMI, 2021).</w:t>
      </w:r>
    </w:p>
    <w:p w14:paraId="23ACEE9A" w14:textId="78E6BE95" w:rsidR="008C3C8B" w:rsidRPr="00A174C8" w:rsidRDefault="008C3C8B" w:rsidP="00A174C8">
      <w:pPr>
        <w:pStyle w:val="Heading2"/>
        <w:rPr>
          <w:rFonts w:ascii="Arial" w:hAnsi="Arial" w:cs="Arial"/>
          <w:sz w:val="22"/>
          <w:szCs w:val="22"/>
          <w:lang w:val="en-US"/>
        </w:rPr>
      </w:pPr>
      <w:bookmarkStart w:id="18" w:name="_Toc213413488"/>
      <w:r w:rsidRPr="00A174C8">
        <w:rPr>
          <w:rFonts w:ascii="Arial" w:hAnsi="Arial" w:cs="Arial"/>
          <w:sz w:val="22"/>
          <w:szCs w:val="22"/>
          <w:lang w:val="en-US"/>
        </w:rPr>
        <w:t>Critical Evaluation</w:t>
      </w:r>
      <w:bookmarkEnd w:id="18"/>
    </w:p>
    <w:p w14:paraId="48869788" w14:textId="65FCFC6C" w:rsidR="00A96E97" w:rsidRPr="00A174C8" w:rsidRDefault="00A96E97" w:rsidP="00A174C8">
      <w:pPr>
        <w:rPr>
          <w:rFonts w:ascii="Arial" w:hAnsi="Arial" w:cs="Arial"/>
          <w:sz w:val="22"/>
          <w:szCs w:val="22"/>
          <w:lang w:val="en-US"/>
        </w:rPr>
      </w:pPr>
      <w:r w:rsidRPr="00A174C8">
        <w:rPr>
          <w:rFonts w:ascii="Arial" w:hAnsi="Arial" w:cs="Arial"/>
          <w:sz w:val="22"/>
          <w:szCs w:val="22"/>
          <w:lang w:val="en-US"/>
        </w:rPr>
        <w:t xml:space="preserve">Resource constraints, in the case of SMEs, dictate that stakeholder management is selective and </w:t>
      </w:r>
      <w:r w:rsidR="00967B78" w:rsidRPr="00A174C8">
        <w:rPr>
          <w:rFonts w:ascii="Arial" w:hAnsi="Arial" w:cs="Arial"/>
          <w:sz w:val="22"/>
          <w:szCs w:val="22"/>
          <w:lang w:val="en-US"/>
        </w:rPr>
        <w:t>prioritized</w:t>
      </w:r>
      <w:r w:rsidRPr="00A174C8">
        <w:rPr>
          <w:rFonts w:ascii="Arial" w:hAnsi="Arial" w:cs="Arial"/>
          <w:sz w:val="22"/>
          <w:szCs w:val="22"/>
          <w:lang w:val="en-US"/>
        </w:rPr>
        <w:t xml:space="preserve">; any attempt to engage all the actors at the same level would in fact strain resources </w:t>
      </w:r>
      <w:r w:rsidRPr="00A174C8">
        <w:rPr>
          <w:rFonts w:ascii="Arial" w:hAnsi="Arial" w:cs="Arial"/>
          <w:sz w:val="22"/>
          <w:szCs w:val="22"/>
          <w:lang w:val="en-US"/>
        </w:rPr>
        <w:lastRenderedPageBreak/>
        <w:t xml:space="preserve">and dilute effect. Stakeholders like Ford UK and regulatory authorities like FCA and CMA present high-power barrier that constraint its operation </w:t>
      </w:r>
      <w:r w:rsidR="002A7473" w:rsidRPr="00A174C8">
        <w:rPr>
          <w:rFonts w:ascii="Arial" w:hAnsi="Arial" w:cs="Arial"/>
          <w:sz w:val="22"/>
          <w:szCs w:val="22"/>
          <w:lang w:val="en-US"/>
        </w:rPr>
        <w:t>characterized</w:t>
      </w:r>
      <w:r w:rsidRPr="00A174C8">
        <w:rPr>
          <w:rFonts w:ascii="Arial" w:hAnsi="Arial" w:cs="Arial"/>
          <w:sz w:val="22"/>
          <w:szCs w:val="22"/>
          <w:lang w:val="en-US"/>
        </w:rPr>
        <w:t xml:space="preserve"> by strict compliance obligations down to the agency type of operation that restructures and remodels pricing and margin formation (CMA, 2023). Active obedience and close contact with these players is not an option then but is mandatory to continuity and credibility.</w:t>
      </w:r>
    </w:p>
    <w:p w14:paraId="5D5CFD32" w14:textId="0A054F0D" w:rsidR="00A96E97" w:rsidRPr="00A174C8" w:rsidRDefault="00A96E97" w:rsidP="00A174C8">
      <w:pPr>
        <w:rPr>
          <w:rFonts w:ascii="Arial" w:hAnsi="Arial" w:cs="Arial"/>
          <w:sz w:val="22"/>
          <w:szCs w:val="22"/>
          <w:lang w:val="en-US"/>
        </w:rPr>
      </w:pPr>
      <w:r w:rsidRPr="00A174C8">
        <w:rPr>
          <w:rFonts w:ascii="Arial" w:hAnsi="Arial" w:cs="Arial"/>
          <w:sz w:val="22"/>
          <w:szCs w:val="22"/>
          <w:lang w:val="en-US"/>
        </w:rPr>
        <w:t>Concurrently, the dealership will have to maintain a level of customer trust and loyalty because it is their direct cause of revenue in the form of sales and after sales of the vehicles. The new consumer will anticipate open pricing policies, online comfort, and deploy commercially friendly supply chains because the new social trends have promoted accountability and consciousness of the environment (Deloitte, 2024). The inability to deliver to the expectations threats the loss of customers to competitors that are more digitally responsive or sustainability oriented.</w:t>
      </w:r>
    </w:p>
    <w:p w14:paraId="2F6C081B" w14:textId="6D204509" w:rsidR="00A96E97" w:rsidRPr="00A174C8" w:rsidRDefault="00A96E97" w:rsidP="00A174C8">
      <w:pPr>
        <w:rPr>
          <w:rFonts w:ascii="Arial" w:hAnsi="Arial" w:cs="Arial"/>
          <w:sz w:val="22"/>
          <w:szCs w:val="22"/>
          <w:lang w:val="en-US"/>
        </w:rPr>
      </w:pPr>
      <w:r w:rsidRPr="00A174C8">
        <w:rPr>
          <w:rFonts w:ascii="Arial" w:hAnsi="Arial" w:cs="Arial"/>
          <w:sz w:val="22"/>
          <w:szCs w:val="22"/>
          <w:lang w:val="en-US"/>
        </w:rPr>
        <w:t>Though comparatively poorly placed in formal power, the employees are invaluable in strategy execution. The skills in sales, quality of service, and service of EVs are the basis of the potential of the dealership to be different. The empowerment of the workforce and solid financial investments in training is considered to be especially important with a rapid change in technologies that is redefining the automotive industry (OECD, 2023).</w:t>
      </w:r>
    </w:p>
    <w:p w14:paraId="63AB9CE5" w14:textId="5EFDBCEF" w:rsidR="00A96E97" w:rsidRPr="00A174C8" w:rsidRDefault="00A96E97" w:rsidP="00A174C8">
      <w:pPr>
        <w:rPr>
          <w:rFonts w:ascii="Arial" w:hAnsi="Arial" w:cs="Arial"/>
          <w:sz w:val="22"/>
          <w:szCs w:val="22"/>
          <w:lang w:val="en-US"/>
        </w:rPr>
      </w:pPr>
      <w:r w:rsidRPr="00A174C8">
        <w:rPr>
          <w:rFonts w:ascii="Arial" w:hAnsi="Arial" w:cs="Arial"/>
          <w:sz w:val="22"/>
          <w:szCs w:val="22"/>
          <w:lang w:val="en-US"/>
        </w:rPr>
        <w:t xml:space="preserve">Checklists like the Matrix designed by Mendelow can be used to </w:t>
      </w:r>
      <w:r w:rsidR="002A7473" w:rsidRPr="00A174C8">
        <w:rPr>
          <w:rFonts w:ascii="Arial" w:hAnsi="Arial" w:cs="Arial"/>
          <w:sz w:val="22"/>
          <w:szCs w:val="22"/>
          <w:lang w:val="en-US"/>
        </w:rPr>
        <w:t>categorize</w:t>
      </w:r>
      <w:r w:rsidRPr="00A174C8">
        <w:rPr>
          <w:rFonts w:ascii="Arial" w:hAnsi="Arial" w:cs="Arial"/>
          <w:sz w:val="22"/>
          <w:szCs w:val="22"/>
          <w:lang w:val="en-US"/>
        </w:rPr>
        <w:t xml:space="preserve"> stakeholders by power and interest where limited attention of the managers can be aimed to bring about the greatest success. In the meantime, other models, including the RACI one, can reinforce accountability by defining roles of decision-making and avoiding the replication of resources (PMI, 2021).</w:t>
      </w:r>
    </w:p>
    <w:p w14:paraId="4BA440CA" w14:textId="2A82F0F2" w:rsidR="00A96E97" w:rsidRPr="00A174C8" w:rsidRDefault="00A96E97" w:rsidP="00A174C8">
      <w:pPr>
        <w:rPr>
          <w:rFonts w:ascii="Arial" w:hAnsi="Arial" w:cs="Arial"/>
          <w:sz w:val="22"/>
          <w:szCs w:val="22"/>
          <w:lang w:val="en-US"/>
        </w:rPr>
      </w:pPr>
      <w:r w:rsidRPr="00A174C8">
        <w:rPr>
          <w:rFonts w:ascii="Arial" w:hAnsi="Arial" w:cs="Arial"/>
          <w:sz w:val="22"/>
          <w:szCs w:val="22"/>
          <w:lang w:val="en-US"/>
        </w:rPr>
        <w:t xml:space="preserve">In general, good stakeholder involvement in such a way that accountability and influence </w:t>
      </w:r>
      <w:r w:rsidR="002A7473" w:rsidRPr="00A174C8">
        <w:rPr>
          <w:rFonts w:ascii="Arial" w:hAnsi="Arial" w:cs="Arial"/>
          <w:sz w:val="22"/>
          <w:szCs w:val="22"/>
          <w:lang w:val="en-US"/>
        </w:rPr>
        <w:t>prioritization</w:t>
      </w:r>
      <w:r w:rsidRPr="00A174C8">
        <w:rPr>
          <w:rFonts w:ascii="Arial" w:hAnsi="Arial" w:cs="Arial"/>
          <w:sz w:val="22"/>
          <w:szCs w:val="22"/>
          <w:lang w:val="en-US"/>
        </w:rPr>
        <w:t xml:space="preserve"> is </w:t>
      </w:r>
      <w:r w:rsidR="002A7473" w:rsidRPr="00A174C8">
        <w:rPr>
          <w:rFonts w:ascii="Arial" w:hAnsi="Arial" w:cs="Arial"/>
          <w:sz w:val="22"/>
          <w:szCs w:val="22"/>
          <w:lang w:val="en-US"/>
        </w:rPr>
        <w:t>practiced</w:t>
      </w:r>
      <w:r w:rsidRPr="00A174C8">
        <w:rPr>
          <w:rFonts w:ascii="Arial" w:hAnsi="Arial" w:cs="Arial"/>
          <w:sz w:val="22"/>
          <w:szCs w:val="22"/>
          <w:lang w:val="en-US"/>
        </w:rPr>
        <w:t xml:space="preserve"> is the core of making sure that strategic initiatives become viable, acceptable and sustainable in the long run. This balance between the demands of the tentpole stakeholders and the support of ones essential to operational effectiveness of the day-to-day operation can be achieved by adopting the positions of the regulators, investment in the employees, construction of consumer trust.</w:t>
      </w:r>
    </w:p>
    <w:p w14:paraId="1E9C5B9E" w14:textId="56170193" w:rsidR="008C3C8B" w:rsidRPr="00A174C8" w:rsidRDefault="008C3C8B" w:rsidP="00A174C8">
      <w:pPr>
        <w:pStyle w:val="Heading1"/>
        <w:rPr>
          <w:rFonts w:ascii="Arial" w:hAnsi="Arial" w:cs="Arial"/>
          <w:sz w:val="22"/>
          <w:szCs w:val="22"/>
        </w:rPr>
      </w:pPr>
      <w:bookmarkStart w:id="19" w:name="_Toc213413489"/>
      <w:r w:rsidRPr="00A174C8">
        <w:rPr>
          <w:rFonts w:ascii="Arial" w:hAnsi="Arial" w:cs="Arial"/>
          <w:sz w:val="22"/>
          <w:szCs w:val="22"/>
        </w:rPr>
        <w:t>Strategic Recommendations</w:t>
      </w:r>
      <w:bookmarkEnd w:id="19"/>
    </w:p>
    <w:p w14:paraId="42355497" w14:textId="01B6E681" w:rsidR="000E608D" w:rsidRPr="00A174C8" w:rsidRDefault="000E608D" w:rsidP="00A174C8">
      <w:pPr>
        <w:rPr>
          <w:rFonts w:ascii="Arial" w:hAnsi="Arial" w:cs="Arial"/>
          <w:b/>
          <w:sz w:val="22"/>
          <w:szCs w:val="22"/>
          <w:lang w:val="en-US"/>
        </w:rPr>
      </w:pPr>
      <w:r w:rsidRPr="00A174C8">
        <w:rPr>
          <w:rFonts w:ascii="Arial" w:hAnsi="Arial" w:cs="Arial"/>
          <w:sz w:val="22"/>
          <w:szCs w:val="22"/>
          <w:lang w:val="en-US"/>
        </w:rPr>
        <w:t xml:space="preserve">Strategic Recommendations (Revised)The SME dealership must use a phased implementation plan to </w:t>
      </w:r>
      <w:r w:rsidR="00BC1FBF" w:rsidRPr="00A174C8">
        <w:rPr>
          <w:rFonts w:ascii="Arial" w:hAnsi="Arial" w:cs="Arial"/>
          <w:sz w:val="22"/>
          <w:szCs w:val="22"/>
          <w:lang w:val="en-US"/>
        </w:rPr>
        <w:t>realize</w:t>
      </w:r>
      <w:r w:rsidRPr="00A174C8">
        <w:rPr>
          <w:rFonts w:ascii="Arial" w:hAnsi="Arial" w:cs="Arial"/>
          <w:sz w:val="22"/>
          <w:szCs w:val="22"/>
          <w:lang w:val="en-US"/>
        </w:rPr>
        <w:t xml:space="preserve"> sustainable growth and compatibility with the emerging strategy of Ford, this being due to operational and financial constraints that are presented by small business. </w:t>
      </w:r>
    </w:p>
    <w:p w14:paraId="43046BF6" w14:textId="6285CDCE" w:rsidR="000E608D" w:rsidRPr="00A174C8" w:rsidRDefault="000E608D" w:rsidP="00A174C8">
      <w:pPr>
        <w:pStyle w:val="Heading2"/>
        <w:rPr>
          <w:rFonts w:ascii="Arial" w:eastAsiaTheme="minorHAnsi" w:hAnsi="Arial" w:cs="Arial"/>
          <w:sz w:val="22"/>
          <w:szCs w:val="22"/>
          <w:lang w:val="en-US"/>
        </w:rPr>
      </w:pPr>
      <w:bookmarkStart w:id="20" w:name="_Toc213413490"/>
      <w:r w:rsidRPr="00A174C8">
        <w:rPr>
          <w:rFonts w:ascii="Arial" w:eastAsiaTheme="minorHAnsi" w:hAnsi="Arial" w:cs="Arial"/>
          <w:sz w:val="22"/>
          <w:szCs w:val="22"/>
          <w:lang w:val="en-US"/>
        </w:rPr>
        <w:lastRenderedPageBreak/>
        <w:t>Prepare EV Builds Over Time:</w:t>
      </w:r>
      <w:bookmarkEnd w:id="20"/>
    </w:p>
    <w:p w14:paraId="73A40241" w14:textId="77777777" w:rsidR="000E608D" w:rsidRPr="00A174C8" w:rsidRDefault="000E608D" w:rsidP="00A174C8">
      <w:pPr>
        <w:rPr>
          <w:rFonts w:ascii="Arial" w:hAnsi="Arial" w:cs="Arial"/>
          <w:b/>
          <w:sz w:val="22"/>
          <w:szCs w:val="22"/>
          <w:lang w:val="en-US"/>
        </w:rPr>
      </w:pPr>
      <w:r w:rsidRPr="00A174C8">
        <w:rPr>
          <w:rFonts w:ascii="Arial" w:hAnsi="Arial" w:cs="Arial"/>
          <w:sz w:val="22"/>
          <w:szCs w:val="22"/>
          <w:lang w:val="en-US"/>
        </w:rPr>
        <w:t>Phase and collaborative spending on infrastructure of essential EVs. As an example, collaborations with local authorities or charge operators can reduce costs of capital spending and achieve the UK Zero Emission Vehicle Mandate (DfT/DESNZ, 2023).</w:t>
      </w:r>
    </w:p>
    <w:p w14:paraId="1BAE9F5A" w14:textId="45955BA8" w:rsidR="000E608D" w:rsidRPr="00A174C8" w:rsidRDefault="000E608D" w:rsidP="00A174C8">
      <w:pPr>
        <w:pStyle w:val="Heading2"/>
        <w:rPr>
          <w:rFonts w:ascii="Arial" w:eastAsiaTheme="minorHAnsi" w:hAnsi="Arial" w:cs="Arial"/>
          <w:sz w:val="22"/>
          <w:szCs w:val="22"/>
          <w:lang w:val="en-US"/>
        </w:rPr>
      </w:pPr>
      <w:bookmarkStart w:id="21" w:name="_Toc213413491"/>
      <w:r w:rsidRPr="00A174C8">
        <w:rPr>
          <w:rFonts w:ascii="Arial" w:eastAsiaTheme="minorHAnsi" w:hAnsi="Arial" w:cs="Arial"/>
          <w:sz w:val="22"/>
          <w:szCs w:val="22"/>
          <w:lang w:val="en-US"/>
        </w:rPr>
        <w:t>Enhance Online Literacy:</w:t>
      </w:r>
      <w:bookmarkEnd w:id="21"/>
    </w:p>
    <w:p w14:paraId="568EB506" w14:textId="5B43D3BC" w:rsidR="000E608D" w:rsidRPr="00A174C8" w:rsidRDefault="008B11B6" w:rsidP="00A174C8">
      <w:pPr>
        <w:rPr>
          <w:rFonts w:ascii="Arial" w:hAnsi="Arial" w:cs="Arial"/>
          <w:b/>
          <w:sz w:val="22"/>
          <w:szCs w:val="22"/>
          <w:lang w:val="en-US"/>
        </w:rPr>
      </w:pPr>
      <w:r w:rsidRPr="00A174C8">
        <w:rPr>
          <w:rFonts w:ascii="Arial" w:hAnsi="Arial" w:cs="Arial"/>
          <w:sz w:val="22"/>
          <w:szCs w:val="22"/>
          <w:lang w:val="en-US"/>
        </w:rPr>
        <w:t>Utilize</w:t>
      </w:r>
      <w:r w:rsidR="000E608D" w:rsidRPr="00A174C8">
        <w:rPr>
          <w:rFonts w:ascii="Arial" w:hAnsi="Arial" w:cs="Arial"/>
          <w:sz w:val="22"/>
          <w:szCs w:val="22"/>
          <w:lang w:val="en-US"/>
        </w:rPr>
        <w:t xml:space="preserve"> cost-efficient omnichannel solutions (e.g., the dealer management system by Ford and Auto Trader analytics) instead of tailored software. This promotes the expansion of online sales and manages the costs of spending and employee workload.</w:t>
      </w:r>
    </w:p>
    <w:p w14:paraId="1523F127" w14:textId="67A97DA0" w:rsidR="000E608D" w:rsidRPr="00A174C8" w:rsidRDefault="000E608D" w:rsidP="00A174C8">
      <w:pPr>
        <w:pStyle w:val="Heading2"/>
        <w:rPr>
          <w:rFonts w:ascii="Arial" w:eastAsiaTheme="minorHAnsi" w:hAnsi="Arial" w:cs="Arial"/>
          <w:sz w:val="22"/>
          <w:szCs w:val="22"/>
          <w:lang w:val="en-US"/>
        </w:rPr>
      </w:pPr>
      <w:bookmarkStart w:id="22" w:name="_Toc213413492"/>
      <w:r w:rsidRPr="00A174C8">
        <w:rPr>
          <w:rFonts w:ascii="Arial" w:eastAsiaTheme="minorHAnsi" w:hAnsi="Arial" w:cs="Arial"/>
          <w:sz w:val="22"/>
          <w:szCs w:val="22"/>
          <w:lang w:val="en-US"/>
        </w:rPr>
        <w:t>Increase the Aftersales and Services Packages:</w:t>
      </w:r>
      <w:bookmarkEnd w:id="22"/>
    </w:p>
    <w:p w14:paraId="6425F0FC" w14:textId="1AB18EC3" w:rsidR="000E608D" w:rsidRPr="00A174C8" w:rsidRDefault="00114BE7" w:rsidP="00A174C8">
      <w:pPr>
        <w:rPr>
          <w:rFonts w:ascii="Arial" w:hAnsi="Arial" w:cs="Arial"/>
          <w:b/>
          <w:sz w:val="22"/>
          <w:szCs w:val="22"/>
          <w:lang w:val="en-US"/>
        </w:rPr>
      </w:pPr>
      <w:r w:rsidRPr="00A174C8">
        <w:rPr>
          <w:rFonts w:ascii="Arial" w:hAnsi="Arial" w:cs="Arial"/>
          <w:sz w:val="22"/>
          <w:szCs w:val="22"/>
          <w:lang w:val="en-US"/>
        </w:rPr>
        <w:t>Emphasize</w:t>
      </w:r>
      <w:r w:rsidR="000E608D" w:rsidRPr="00A174C8">
        <w:rPr>
          <w:rFonts w:ascii="Arial" w:hAnsi="Arial" w:cs="Arial"/>
          <w:sz w:val="22"/>
          <w:szCs w:val="22"/>
          <w:lang w:val="en-US"/>
        </w:rPr>
        <w:t xml:space="preserve"> the stability of recurring revenues in the form of service plans and subscriptions. This reduces volatility of new-car sales and increases customer retention a known SME </w:t>
      </w:r>
      <w:r w:rsidRPr="00A174C8">
        <w:rPr>
          <w:rFonts w:ascii="Arial" w:hAnsi="Arial" w:cs="Arial"/>
          <w:sz w:val="22"/>
          <w:szCs w:val="22"/>
          <w:lang w:val="en-US"/>
        </w:rPr>
        <w:t>stabilizer</w:t>
      </w:r>
      <w:r w:rsidR="000E608D" w:rsidRPr="00A174C8">
        <w:rPr>
          <w:rFonts w:ascii="Arial" w:hAnsi="Arial" w:cs="Arial"/>
          <w:sz w:val="22"/>
          <w:szCs w:val="22"/>
          <w:lang w:val="en-US"/>
        </w:rPr>
        <w:t xml:space="preserve"> (Tarigan et al., 2021).</w:t>
      </w:r>
    </w:p>
    <w:p w14:paraId="1EE71426" w14:textId="6DCCEFCF" w:rsidR="000E608D" w:rsidRPr="00A174C8" w:rsidRDefault="000E608D" w:rsidP="00A174C8">
      <w:pPr>
        <w:pStyle w:val="Heading2"/>
        <w:rPr>
          <w:rFonts w:ascii="Arial" w:eastAsiaTheme="minorHAnsi" w:hAnsi="Arial" w:cs="Arial"/>
          <w:sz w:val="22"/>
          <w:szCs w:val="22"/>
          <w:lang w:val="en-US"/>
        </w:rPr>
      </w:pPr>
      <w:bookmarkStart w:id="23" w:name="_Toc213413493"/>
      <w:r w:rsidRPr="00A174C8">
        <w:rPr>
          <w:rFonts w:ascii="Arial" w:eastAsiaTheme="minorHAnsi" w:hAnsi="Arial" w:cs="Arial"/>
          <w:sz w:val="22"/>
          <w:szCs w:val="22"/>
          <w:lang w:val="en-US"/>
        </w:rPr>
        <w:t>Embed Compliance-by-Design:</w:t>
      </w:r>
      <w:bookmarkEnd w:id="23"/>
    </w:p>
    <w:p w14:paraId="508F3FFC" w14:textId="716B9D79" w:rsidR="000E608D" w:rsidRPr="00A174C8" w:rsidRDefault="000E608D" w:rsidP="00A174C8">
      <w:pPr>
        <w:rPr>
          <w:rFonts w:ascii="Arial" w:hAnsi="Arial" w:cs="Arial"/>
          <w:b/>
          <w:sz w:val="22"/>
          <w:szCs w:val="22"/>
          <w:lang w:val="en-US"/>
        </w:rPr>
      </w:pPr>
      <w:r w:rsidRPr="00A174C8">
        <w:rPr>
          <w:rFonts w:ascii="Arial" w:hAnsi="Arial" w:cs="Arial"/>
          <w:sz w:val="22"/>
          <w:szCs w:val="22"/>
          <w:lang w:val="en-US"/>
        </w:rPr>
        <w:t xml:space="preserve">Combine FCA and CMA demands with daily operations instead of conducting periodic audits. Assigning one compliance champion a department </w:t>
      </w:r>
      <w:r w:rsidR="00114BE7" w:rsidRPr="00A174C8">
        <w:rPr>
          <w:rFonts w:ascii="Arial" w:hAnsi="Arial" w:cs="Arial"/>
          <w:sz w:val="22"/>
          <w:szCs w:val="22"/>
          <w:lang w:val="en-US"/>
        </w:rPr>
        <w:t>minimizes</w:t>
      </w:r>
      <w:r w:rsidRPr="00A174C8">
        <w:rPr>
          <w:rFonts w:ascii="Arial" w:hAnsi="Arial" w:cs="Arial"/>
          <w:sz w:val="22"/>
          <w:szCs w:val="22"/>
          <w:lang w:val="en-US"/>
        </w:rPr>
        <w:t xml:space="preserve"> the spending on consultancy services and guarantees regulatory continuity.</w:t>
      </w:r>
    </w:p>
    <w:p w14:paraId="21FCCB60" w14:textId="25B5A442" w:rsidR="000E608D" w:rsidRPr="00A174C8" w:rsidRDefault="000E608D" w:rsidP="00A174C8">
      <w:pPr>
        <w:pStyle w:val="Heading2"/>
        <w:rPr>
          <w:rFonts w:ascii="Arial" w:eastAsiaTheme="minorHAnsi" w:hAnsi="Arial" w:cs="Arial"/>
          <w:sz w:val="22"/>
          <w:szCs w:val="22"/>
          <w:lang w:val="en-US"/>
        </w:rPr>
      </w:pPr>
      <w:bookmarkStart w:id="24" w:name="_Toc213413494"/>
      <w:r w:rsidRPr="00A174C8">
        <w:rPr>
          <w:rFonts w:ascii="Arial" w:eastAsiaTheme="minorHAnsi" w:hAnsi="Arial" w:cs="Arial"/>
          <w:sz w:val="22"/>
          <w:szCs w:val="22"/>
          <w:lang w:val="en-US"/>
        </w:rPr>
        <w:t>Invest in Human Capital:</w:t>
      </w:r>
      <w:bookmarkEnd w:id="24"/>
    </w:p>
    <w:p w14:paraId="778C8B27" w14:textId="401FB4F7" w:rsidR="000E608D" w:rsidRPr="00A174C8" w:rsidRDefault="000E608D" w:rsidP="00A174C8">
      <w:pPr>
        <w:rPr>
          <w:rFonts w:ascii="Arial" w:hAnsi="Arial" w:cs="Arial"/>
          <w:b/>
          <w:sz w:val="22"/>
          <w:szCs w:val="22"/>
          <w:lang w:val="en-US"/>
        </w:rPr>
      </w:pPr>
      <w:r w:rsidRPr="00A174C8">
        <w:rPr>
          <w:rFonts w:ascii="Arial" w:hAnsi="Arial" w:cs="Arial"/>
          <w:sz w:val="22"/>
          <w:szCs w:val="22"/>
          <w:lang w:val="en-US"/>
        </w:rPr>
        <w:t>Focus on cheap training through online training modules and the academy of Ford. Upskilled personnel increases the service in line with customer satisfaction that negates the issue of recruitment within SMEs.</w:t>
      </w:r>
      <w:r w:rsidR="00114BE7" w:rsidRPr="00A174C8">
        <w:rPr>
          <w:rFonts w:ascii="Arial" w:hAnsi="Arial" w:cs="Arial"/>
          <w:sz w:val="22"/>
          <w:szCs w:val="22"/>
          <w:lang w:val="en-US"/>
        </w:rPr>
        <w:t xml:space="preserve"> </w:t>
      </w:r>
      <w:r w:rsidRPr="00A174C8">
        <w:rPr>
          <w:rFonts w:ascii="Arial" w:hAnsi="Arial" w:cs="Arial"/>
          <w:sz w:val="22"/>
          <w:szCs w:val="22"/>
          <w:lang w:val="en-US"/>
        </w:rPr>
        <w:t xml:space="preserve">The intended </w:t>
      </w:r>
      <w:r w:rsidR="00114BE7" w:rsidRPr="00A174C8">
        <w:rPr>
          <w:rFonts w:ascii="Arial" w:hAnsi="Arial" w:cs="Arial"/>
          <w:sz w:val="22"/>
          <w:szCs w:val="22"/>
          <w:lang w:val="en-US"/>
        </w:rPr>
        <w:t>practice</w:t>
      </w:r>
      <w:r w:rsidRPr="00A174C8">
        <w:rPr>
          <w:rFonts w:ascii="Arial" w:hAnsi="Arial" w:cs="Arial"/>
          <w:sz w:val="22"/>
          <w:szCs w:val="22"/>
          <w:lang w:val="en-US"/>
        </w:rPr>
        <w:t xml:space="preserve"> enables the dealership to pursue strategic direction even with resource constraints. Using the strategies of partnerships, digital efficiency, and staff empowerment, the SME will have a profitable and EV-aligned growth and long-term resilience in a changing automotive environment.</w:t>
      </w:r>
    </w:p>
    <w:p w14:paraId="1963D2B7" w14:textId="23FB377D" w:rsidR="008C3C8B" w:rsidRPr="00A174C8" w:rsidRDefault="008C3C8B" w:rsidP="00A174C8">
      <w:pPr>
        <w:pStyle w:val="Heading1"/>
        <w:rPr>
          <w:rFonts w:ascii="Arial" w:hAnsi="Arial" w:cs="Arial"/>
          <w:sz w:val="22"/>
          <w:szCs w:val="22"/>
        </w:rPr>
      </w:pPr>
      <w:bookmarkStart w:id="25" w:name="_Toc213413495"/>
      <w:r w:rsidRPr="00A174C8">
        <w:rPr>
          <w:rFonts w:ascii="Arial" w:hAnsi="Arial" w:cs="Arial"/>
          <w:sz w:val="22"/>
          <w:szCs w:val="22"/>
        </w:rPr>
        <w:t>Conclusion</w:t>
      </w:r>
      <w:bookmarkEnd w:id="25"/>
    </w:p>
    <w:p w14:paraId="517E0A4B" w14:textId="5D3653C2" w:rsidR="008C3C8B" w:rsidRPr="00A174C8" w:rsidRDefault="008C3C8B" w:rsidP="00A174C8">
      <w:pPr>
        <w:rPr>
          <w:rFonts w:ascii="Arial" w:hAnsi="Arial" w:cs="Arial"/>
          <w:sz w:val="22"/>
          <w:szCs w:val="22"/>
          <w:lang w:val="en-US"/>
        </w:rPr>
      </w:pPr>
      <w:r w:rsidRPr="00A174C8">
        <w:rPr>
          <w:rFonts w:ascii="Arial" w:hAnsi="Arial" w:cs="Arial"/>
          <w:sz w:val="22"/>
          <w:szCs w:val="22"/>
          <w:lang w:val="en-US"/>
        </w:rPr>
        <w:t>This report has critically assessed the strategic direction and environment of a Ford-</w:t>
      </w:r>
      <w:r w:rsidR="006641E5" w:rsidRPr="00A174C8">
        <w:rPr>
          <w:rFonts w:ascii="Arial" w:hAnsi="Arial" w:cs="Arial"/>
          <w:sz w:val="22"/>
          <w:szCs w:val="22"/>
          <w:lang w:val="en-US"/>
        </w:rPr>
        <w:t>authorized</w:t>
      </w:r>
      <w:r w:rsidRPr="00A174C8">
        <w:rPr>
          <w:rFonts w:ascii="Arial" w:hAnsi="Arial" w:cs="Arial"/>
          <w:sz w:val="22"/>
          <w:szCs w:val="22"/>
          <w:lang w:val="en-US"/>
        </w:rPr>
        <w:t xml:space="preserve"> SME dealership in the UK, identifying both challenges and opportunities in a rapidly transforming automotive market. The internal analysis highlighted strong brand association, customer trust, and aftersales resilience, but also resource constraints and dependency on Ford’s corporate strategy. External analysis confirmed that electrification, </w:t>
      </w:r>
      <w:r w:rsidR="00C00250" w:rsidRPr="00A174C8">
        <w:rPr>
          <w:rFonts w:ascii="Arial" w:hAnsi="Arial" w:cs="Arial"/>
          <w:sz w:val="22"/>
          <w:szCs w:val="22"/>
          <w:lang w:val="en-US"/>
        </w:rPr>
        <w:t>digitalization</w:t>
      </w:r>
      <w:r w:rsidRPr="00A174C8">
        <w:rPr>
          <w:rFonts w:ascii="Arial" w:hAnsi="Arial" w:cs="Arial"/>
          <w:sz w:val="22"/>
          <w:szCs w:val="22"/>
          <w:lang w:val="en-US"/>
        </w:rPr>
        <w:t xml:space="preserve">, and regulatory change are the dominant forces reshaping competitiveness. Strategic growth options were evaluated through </w:t>
      </w:r>
      <w:r w:rsidRPr="00A174C8">
        <w:rPr>
          <w:rFonts w:ascii="Arial" w:hAnsi="Arial" w:cs="Arial"/>
          <w:sz w:val="22"/>
          <w:szCs w:val="22"/>
          <w:lang w:val="en-US"/>
        </w:rPr>
        <w:lastRenderedPageBreak/>
        <w:t>Porter, Ansoff, and Bowman, with the most viable path centred on focused differentiation via EV readiness, digital capability, and aftersales innovation. Stakeholder analysis underscored the critical importance of Ford UK, regulators, customers, and employees, while the RACI framework clarified accountability for implementation.</w:t>
      </w:r>
    </w:p>
    <w:p w14:paraId="6B5DB2A4" w14:textId="653459B7" w:rsidR="00480486" w:rsidRPr="00A174C8" w:rsidRDefault="008C3C8B" w:rsidP="00A174C8">
      <w:pPr>
        <w:rPr>
          <w:rFonts w:ascii="Arial" w:hAnsi="Arial" w:cs="Arial"/>
          <w:sz w:val="22"/>
          <w:szCs w:val="22"/>
          <w:lang w:val="en-US"/>
        </w:rPr>
      </w:pPr>
      <w:r w:rsidRPr="00A174C8">
        <w:rPr>
          <w:rFonts w:ascii="Arial" w:hAnsi="Arial" w:cs="Arial"/>
          <w:sz w:val="22"/>
          <w:szCs w:val="22"/>
          <w:lang w:val="en-US"/>
        </w:rPr>
        <w:t>By pursuing targeted investments in EV infrastructure, digital channels, and service bundles, while maintaining compliance and community engagement, the dealership can secure a sustainable long-term position as a trusted, customer-focused SME in the evolving UK automotive retail landscape.</w:t>
      </w:r>
    </w:p>
    <w:p w14:paraId="51167286" w14:textId="75D8987C" w:rsidR="007825E9" w:rsidRPr="00A174C8" w:rsidRDefault="00480486" w:rsidP="00A174C8">
      <w:pPr>
        <w:pStyle w:val="Heading1"/>
        <w:rPr>
          <w:rFonts w:ascii="Arial" w:hAnsi="Arial" w:cs="Arial"/>
          <w:sz w:val="22"/>
          <w:szCs w:val="22"/>
          <w:lang w:val="en-US"/>
        </w:rPr>
      </w:pPr>
      <w:r w:rsidRPr="00A174C8">
        <w:rPr>
          <w:rFonts w:ascii="Arial" w:hAnsi="Arial" w:cs="Arial"/>
          <w:sz w:val="22"/>
          <w:szCs w:val="22"/>
          <w:lang w:val="en-US"/>
        </w:rPr>
        <w:br w:type="page"/>
      </w:r>
      <w:bookmarkStart w:id="26" w:name="_Toc213413496"/>
      <w:r w:rsidRPr="00A174C8">
        <w:rPr>
          <w:rFonts w:ascii="Arial" w:hAnsi="Arial" w:cs="Arial"/>
          <w:sz w:val="22"/>
          <w:szCs w:val="22"/>
          <w:lang w:val="en-US"/>
        </w:rPr>
        <w:lastRenderedPageBreak/>
        <w:t>References</w:t>
      </w:r>
      <w:bookmarkEnd w:id="26"/>
      <w:r w:rsidRPr="00A174C8">
        <w:rPr>
          <w:rFonts w:ascii="Arial" w:hAnsi="Arial" w:cs="Arial"/>
          <w:sz w:val="22"/>
          <w:szCs w:val="22"/>
          <w:lang w:val="en-US"/>
        </w:rPr>
        <w:t xml:space="preserve"> </w:t>
      </w:r>
    </w:p>
    <w:p w14:paraId="7D6FC6CA"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ACEA – European Automobile Manufacturers’ Association. 2024 Automobile Industry Pocket Guide 2024/2025. Brussels: ACEA.</w:t>
      </w:r>
    </w:p>
    <w:p w14:paraId="442A2E7D"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Auto Trader UK. 2024 Retailer Sentiment and Market Insight 2024. Manchester: Auto Trader.</w:t>
      </w:r>
    </w:p>
    <w:p w14:paraId="21465C09"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Bain &amp; Company. 2023 Agency Sales Models in Automotive: What’s working and what’s not. Boston, MA: Bain.</w:t>
      </w:r>
    </w:p>
    <w:p w14:paraId="23458AF4"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Boston Consulting Group BCG. 2023 The Future of Automotive Sales and Aftersales: Profiting from the new normal. Boston, MA: BCG.</w:t>
      </w:r>
    </w:p>
    <w:p w14:paraId="3DF089A2"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Capgemini Research Institute. 2022 Electric vehicles: The tipping point for mass adoption. Paris: Capgemini.</w:t>
      </w:r>
    </w:p>
    <w:p w14:paraId="4FDCE145"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Competition and Markets Authority CMA. 2023 Motor Vehicle Block Exemption Order 2023 MV-BEO. London: CMA.</w:t>
      </w:r>
    </w:p>
    <w:p w14:paraId="67BAF09A"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Deloitte. 2024 2024 Global Automotive Consumer Study. London: Deloitte.</w:t>
      </w:r>
    </w:p>
    <w:p w14:paraId="09AD2A4D"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Department for Business and Trade DBT. 2024 Business Population Estimates for the UK and Regions: 2024. London: DBT.</w:t>
      </w:r>
    </w:p>
    <w:p w14:paraId="533C8418"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Department for Transport DfT and Department for Energy Security and Net Zero DESNZ. 2023 Zero Emission Vehicle ZEV Mandate: Government response and regulations. London: UK Government.</w:t>
      </w:r>
    </w:p>
    <w:p w14:paraId="53A4686E"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Financial Conduct Authority FCA. 2023 Consumer Duty: Finalised Guidance and Implementation. London: FCA.</w:t>
      </w:r>
    </w:p>
    <w:p w14:paraId="65472A63"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Ford Motor Company. 2023 Annual Report 2023 Form 10-K. Dearborn, MI: Ford.</w:t>
      </w:r>
    </w:p>
    <w:p w14:paraId="7631FD6A"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Ford Motor Company. 2024 Integrated Sustainability and Financial Report 2024. Dearborn, MI: Ford.</w:t>
      </w:r>
    </w:p>
    <w:p w14:paraId="76D3C976"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Gartner. 2022 Top Trends in Automotive for 2022–2023. Stamford, CT: Gartner.</w:t>
      </w:r>
    </w:p>
    <w:p w14:paraId="35E49ABF"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Grant, R.M. 2021 Contemporary Strategy Analysis. 11th edn. Hoboken, NJ: Wiley.</w:t>
      </w:r>
    </w:p>
    <w:p w14:paraId="1E115400"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Hitt, M.A., Ireland, R.D. and Hoskisson, R.E. 2020 Strategic Management: Competitiveness and Globalization. 13th edn. Boston, MA: Cengage.</w:t>
      </w:r>
    </w:p>
    <w:p w14:paraId="19D049D6"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lastRenderedPageBreak/>
        <w:t>IBISWorld. 2024 Car Dealers in the UK: Market Research Report. London: IBISWorld.</w:t>
      </w:r>
    </w:p>
    <w:p w14:paraId="66AD554E"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IEA – International Energy Agency. 2024 Global EV Outlook 2024. Paris: IEA.</w:t>
      </w:r>
    </w:p>
    <w:p w14:paraId="22AE84E1"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Johnson, G., Whittington, R., Scholes, K., Angwin, D. and Regnér, P. 2020 Exploring Strategy: Text and Cases. 12th edn. Harlow: Pearson.</w:t>
      </w:r>
    </w:p>
    <w:p w14:paraId="1C2C62AA"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KPMG. 2023 Global Automotive Executive Survey 2023. London: KPMG.</w:t>
      </w:r>
    </w:p>
    <w:p w14:paraId="6DD1CCB3"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McKinsey &amp; Company. 2023 The future of automotive retail: Agency, digital and omnichannel at scale. New York: McKinsey.</w:t>
      </w:r>
    </w:p>
    <w:p w14:paraId="24A6F108"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OECD. 2023 SME and Entrepreneurship Outlook 2023. Paris: OECD Publishing.</w:t>
      </w:r>
    </w:p>
    <w:p w14:paraId="33797914"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Porter, M.E. 1985 Competitive Advantage: Creating and Sustaining Superior Performance. New York: Free Press.</w:t>
      </w:r>
    </w:p>
    <w:p w14:paraId="5626BE72"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Porter, M.E. 2008 ‘The five competitive forces that shape strategy’, Harvard Business Review, 861, pp. 78–93.</w:t>
      </w:r>
    </w:p>
    <w:p w14:paraId="2764EE83"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Project Management Institute PMI. 2021 A Guide to the Project Management Body of Knowledge PMBOK® Guide. 7th edn. Newtown Square, PA: PMI. for RACI/Responsibility matrices</w:t>
      </w:r>
    </w:p>
    <w:p w14:paraId="661EDBEC"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PwC UK. 2023 Powering ahead: The future of EV charging infrastructure in the UK. London: PwC.</w:t>
      </w:r>
    </w:p>
    <w:p w14:paraId="48E7DFC0"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SMMT – Society of Motor Manufacturers and Traders. 2024 Motor Industry Facts 2024. London: SMMT.</w:t>
      </w:r>
    </w:p>
    <w:p w14:paraId="027F9BA0" w14:textId="77777777" w:rsidR="00B352D5" w:rsidRPr="00A174C8" w:rsidRDefault="00B352D5" w:rsidP="00A174C8">
      <w:pPr>
        <w:ind w:left="720" w:hanging="720"/>
        <w:rPr>
          <w:rFonts w:ascii="Arial" w:hAnsi="Arial" w:cs="Arial"/>
          <w:sz w:val="22"/>
          <w:szCs w:val="22"/>
          <w:lang w:val="en-US"/>
        </w:rPr>
      </w:pPr>
      <w:r w:rsidRPr="00A174C8">
        <w:rPr>
          <w:rFonts w:ascii="Arial" w:hAnsi="Arial" w:cs="Arial"/>
          <w:sz w:val="22"/>
          <w:szCs w:val="22"/>
          <w:lang w:val="en-US"/>
        </w:rPr>
        <w:t>Tarigan, Z.J.H., Siagian, H. and Jie, F. 2021 ‘The strategy execution obstacles in SMEs: An empirical study’, International Journal of Productivity and Performance Management, 707, pp. 1681–1706.</w:t>
      </w:r>
    </w:p>
    <w:p w14:paraId="7481F88D" w14:textId="77777777" w:rsidR="00B352D5" w:rsidRPr="00A174C8" w:rsidRDefault="00B352D5" w:rsidP="00A174C8">
      <w:pPr>
        <w:ind w:left="720" w:hanging="720"/>
        <w:rPr>
          <w:rFonts w:ascii="Arial" w:hAnsi="Arial" w:cs="Arial"/>
          <w:sz w:val="22"/>
          <w:szCs w:val="22"/>
        </w:rPr>
      </w:pPr>
      <w:r w:rsidRPr="00A174C8">
        <w:rPr>
          <w:rFonts w:ascii="Arial" w:hAnsi="Arial" w:cs="Arial"/>
          <w:sz w:val="22"/>
          <w:szCs w:val="22"/>
          <w:lang w:val="fr-FR"/>
        </w:rPr>
        <w:t xml:space="preserve">Villagrasa, J., Sánchez, F. and Donaldson, C., 2021. </w:t>
      </w:r>
      <w:r w:rsidRPr="00A174C8">
        <w:rPr>
          <w:rFonts w:ascii="Arial" w:hAnsi="Arial" w:cs="Arial"/>
          <w:sz w:val="22"/>
          <w:szCs w:val="22"/>
        </w:rPr>
        <w:t>Deciphering the strategic clock hands: From theory to reality. In </w:t>
      </w:r>
      <w:r w:rsidRPr="00A174C8">
        <w:rPr>
          <w:rFonts w:ascii="Arial" w:hAnsi="Arial" w:cs="Arial"/>
          <w:i/>
          <w:iCs/>
          <w:sz w:val="22"/>
          <w:szCs w:val="22"/>
        </w:rPr>
        <w:t>Inted2021 Proceedings</w:t>
      </w:r>
      <w:r w:rsidRPr="00A174C8">
        <w:rPr>
          <w:rFonts w:ascii="Arial" w:hAnsi="Arial" w:cs="Arial"/>
          <w:sz w:val="22"/>
          <w:szCs w:val="22"/>
        </w:rPr>
        <w:t> pp. 9571-9584. IATED.</w:t>
      </w:r>
    </w:p>
    <w:p w14:paraId="385621FA" w14:textId="09FF40F7" w:rsidR="008C3C8B" w:rsidRPr="00A174C8" w:rsidRDefault="00B352D5" w:rsidP="00A174C8">
      <w:pPr>
        <w:ind w:left="720" w:hanging="720"/>
        <w:rPr>
          <w:rFonts w:ascii="Arial" w:hAnsi="Arial" w:cs="Arial"/>
          <w:sz w:val="22"/>
          <w:szCs w:val="22"/>
          <w:lang w:val="fr-FR"/>
        </w:rPr>
      </w:pPr>
      <w:r w:rsidRPr="00A174C8">
        <w:rPr>
          <w:rFonts w:ascii="Arial" w:hAnsi="Arial" w:cs="Arial"/>
          <w:sz w:val="22"/>
          <w:szCs w:val="22"/>
          <w:lang w:val="en-US"/>
        </w:rPr>
        <w:t xml:space="preserve">Zugay, B. and Zakaria, R., 2023. </w:t>
      </w:r>
      <w:r w:rsidRPr="00A174C8">
        <w:rPr>
          <w:rFonts w:ascii="Arial" w:hAnsi="Arial" w:cs="Arial"/>
          <w:sz w:val="22"/>
          <w:szCs w:val="22"/>
          <w:lang w:val="fr-FR"/>
        </w:rPr>
        <w:t>Ansoff matrix. SAGE Publications, Inc.</w:t>
      </w:r>
    </w:p>
    <w:sectPr w:rsidR="008C3C8B" w:rsidRPr="00A174C8">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94603" w14:textId="77777777" w:rsidR="00F35DA8" w:rsidRDefault="00F35DA8" w:rsidP="00B352D5">
      <w:pPr>
        <w:spacing w:after="0" w:line="240" w:lineRule="auto"/>
      </w:pPr>
      <w:r>
        <w:separator/>
      </w:r>
    </w:p>
  </w:endnote>
  <w:endnote w:type="continuationSeparator" w:id="0">
    <w:p w14:paraId="65B5866E" w14:textId="77777777" w:rsidR="00F35DA8" w:rsidRDefault="00F35DA8" w:rsidP="00B35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9908735"/>
      <w:docPartObj>
        <w:docPartGallery w:val="Page Numbers (Bottom of Page)"/>
        <w:docPartUnique/>
      </w:docPartObj>
    </w:sdtPr>
    <w:sdtEndPr>
      <w:rPr>
        <w:color w:val="7F7F7F" w:themeColor="background1" w:themeShade="7F"/>
        <w:spacing w:val="60"/>
      </w:rPr>
    </w:sdtEndPr>
    <w:sdtContent>
      <w:p w14:paraId="7708DCC2" w14:textId="26EA8E8F" w:rsidR="00B352D5" w:rsidRDefault="00B352D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011FCA4" w14:textId="77777777" w:rsidR="00B352D5" w:rsidRDefault="00B352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CD655" w14:textId="77777777" w:rsidR="00F35DA8" w:rsidRDefault="00F35DA8" w:rsidP="00B352D5">
      <w:pPr>
        <w:spacing w:after="0" w:line="240" w:lineRule="auto"/>
      </w:pPr>
      <w:r>
        <w:separator/>
      </w:r>
    </w:p>
  </w:footnote>
  <w:footnote w:type="continuationSeparator" w:id="0">
    <w:p w14:paraId="73CF10EB" w14:textId="77777777" w:rsidR="00F35DA8" w:rsidRDefault="00F35DA8" w:rsidP="00B35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E1D6C"/>
    <w:multiLevelType w:val="hybridMultilevel"/>
    <w:tmpl w:val="0100C0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380360"/>
    <w:multiLevelType w:val="hybridMultilevel"/>
    <w:tmpl w:val="EDA0B3DA"/>
    <w:lvl w:ilvl="0" w:tplc="81201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2631E8"/>
    <w:multiLevelType w:val="multilevel"/>
    <w:tmpl w:val="9174B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8F80B1B"/>
    <w:multiLevelType w:val="multilevel"/>
    <w:tmpl w:val="7B3AF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4B2447"/>
    <w:multiLevelType w:val="hybridMultilevel"/>
    <w:tmpl w:val="EAA6A7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91126174">
    <w:abstractNumId w:val="2"/>
  </w:num>
  <w:num w:numId="2" w16cid:durableId="1543051474">
    <w:abstractNumId w:val="3"/>
  </w:num>
  <w:num w:numId="3" w16cid:durableId="2113893500">
    <w:abstractNumId w:val="0"/>
  </w:num>
  <w:num w:numId="4" w16cid:durableId="1675644927">
    <w:abstractNumId w:val="1"/>
  </w:num>
  <w:num w:numId="5" w16cid:durableId="8260164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C31"/>
    <w:rsid w:val="000B05F5"/>
    <w:rsid w:val="000B61FE"/>
    <w:rsid w:val="000E1339"/>
    <w:rsid w:val="000E608D"/>
    <w:rsid w:val="00104A09"/>
    <w:rsid w:val="00114BE7"/>
    <w:rsid w:val="0020351A"/>
    <w:rsid w:val="00223C1F"/>
    <w:rsid w:val="002863F8"/>
    <w:rsid w:val="002A7473"/>
    <w:rsid w:val="002B53CB"/>
    <w:rsid w:val="0031167C"/>
    <w:rsid w:val="00364B17"/>
    <w:rsid w:val="003A3589"/>
    <w:rsid w:val="003C5F7A"/>
    <w:rsid w:val="004043A2"/>
    <w:rsid w:val="00480486"/>
    <w:rsid w:val="004B6EEC"/>
    <w:rsid w:val="0053237B"/>
    <w:rsid w:val="00537943"/>
    <w:rsid w:val="005E0DB5"/>
    <w:rsid w:val="005E1B93"/>
    <w:rsid w:val="006166BA"/>
    <w:rsid w:val="00617883"/>
    <w:rsid w:val="006278A8"/>
    <w:rsid w:val="006641E5"/>
    <w:rsid w:val="006900B1"/>
    <w:rsid w:val="00701E8C"/>
    <w:rsid w:val="00711255"/>
    <w:rsid w:val="00714B9F"/>
    <w:rsid w:val="00725A20"/>
    <w:rsid w:val="007825E9"/>
    <w:rsid w:val="007C786E"/>
    <w:rsid w:val="007E0B12"/>
    <w:rsid w:val="008218A1"/>
    <w:rsid w:val="0082383C"/>
    <w:rsid w:val="00847237"/>
    <w:rsid w:val="0087786E"/>
    <w:rsid w:val="00882D1E"/>
    <w:rsid w:val="008B11B6"/>
    <w:rsid w:val="008C3C8B"/>
    <w:rsid w:val="008E33A6"/>
    <w:rsid w:val="00967B78"/>
    <w:rsid w:val="009D06C1"/>
    <w:rsid w:val="009D2BC1"/>
    <w:rsid w:val="00A174C8"/>
    <w:rsid w:val="00A7557D"/>
    <w:rsid w:val="00A96E97"/>
    <w:rsid w:val="00AC0EC8"/>
    <w:rsid w:val="00AD4B19"/>
    <w:rsid w:val="00AE5E4A"/>
    <w:rsid w:val="00B135AF"/>
    <w:rsid w:val="00B352D5"/>
    <w:rsid w:val="00BA28A6"/>
    <w:rsid w:val="00BB7E69"/>
    <w:rsid w:val="00BC1FBF"/>
    <w:rsid w:val="00C00250"/>
    <w:rsid w:val="00C05520"/>
    <w:rsid w:val="00C055EA"/>
    <w:rsid w:val="00C21B82"/>
    <w:rsid w:val="00C4168F"/>
    <w:rsid w:val="00C857B1"/>
    <w:rsid w:val="00C95D75"/>
    <w:rsid w:val="00D91C31"/>
    <w:rsid w:val="00E046EA"/>
    <w:rsid w:val="00E41610"/>
    <w:rsid w:val="00EA3D17"/>
    <w:rsid w:val="00F35DA8"/>
    <w:rsid w:val="00FB5D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145F92"/>
  <w15:chartTrackingRefBased/>
  <w15:docId w15:val="{928DDDF3-FA2A-45E3-B781-9D7B24EB4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883"/>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617883"/>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617883"/>
    <w:pPr>
      <w:keepNext/>
      <w:keepLines/>
      <w:spacing w:before="160" w:after="80"/>
      <w:outlineLvl w:val="1"/>
    </w:pPr>
    <w:rPr>
      <w:rFonts w:eastAsiaTheme="majorEastAsia" w:cstheme="majorBidi"/>
      <w:b/>
      <w:i/>
      <w:color w:val="000000" w:themeColor="text1"/>
      <w:szCs w:val="32"/>
    </w:rPr>
  </w:style>
  <w:style w:type="paragraph" w:styleId="Heading3">
    <w:name w:val="heading 3"/>
    <w:basedOn w:val="Normal"/>
    <w:next w:val="Normal"/>
    <w:link w:val="Heading3Char"/>
    <w:uiPriority w:val="9"/>
    <w:semiHidden/>
    <w:unhideWhenUsed/>
    <w:qFormat/>
    <w:rsid w:val="00D91C3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1C3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91C3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91C3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91C3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91C3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91C3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883"/>
    <w:rPr>
      <w:rFonts w:ascii="Times New Roman" w:eastAsiaTheme="majorEastAsia" w:hAnsi="Times New Roman" w:cstheme="majorBidi"/>
      <w:b/>
      <w:color w:val="000000" w:themeColor="text1"/>
      <w:szCs w:val="40"/>
      <w:lang w:val="en-GB"/>
    </w:rPr>
  </w:style>
  <w:style w:type="character" w:customStyle="1" w:styleId="Heading2Char">
    <w:name w:val="Heading 2 Char"/>
    <w:basedOn w:val="DefaultParagraphFont"/>
    <w:link w:val="Heading2"/>
    <w:uiPriority w:val="9"/>
    <w:rsid w:val="00617883"/>
    <w:rPr>
      <w:rFonts w:ascii="Times New Roman" w:eastAsiaTheme="majorEastAsia" w:hAnsi="Times New Roman" w:cstheme="majorBidi"/>
      <w:b/>
      <w:i/>
      <w:color w:val="000000" w:themeColor="text1"/>
      <w:szCs w:val="32"/>
      <w:lang w:val="en-GB"/>
    </w:rPr>
  </w:style>
  <w:style w:type="character" w:customStyle="1" w:styleId="Heading3Char">
    <w:name w:val="Heading 3 Char"/>
    <w:basedOn w:val="DefaultParagraphFont"/>
    <w:link w:val="Heading3"/>
    <w:uiPriority w:val="9"/>
    <w:semiHidden/>
    <w:rsid w:val="00D91C31"/>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D91C31"/>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D91C31"/>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D91C3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91C3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91C3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91C3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91C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1C3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91C3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1C3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91C31"/>
    <w:pPr>
      <w:spacing w:before="160"/>
      <w:jc w:val="center"/>
    </w:pPr>
    <w:rPr>
      <w:i/>
      <w:iCs/>
      <w:color w:val="404040" w:themeColor="text1" w:themeTint="BF"/>
    </w:rPr>
  </w:style>
  <w:style w:type="character" w:customStyle="1" w:styleId="QuoteChar">
    <w:name w:val="Quote Char"/>
    <w:basedOn w:val="DefaultParagraphFont"/>
    <w:link w:val="Quote"/>
    <w:uiPriority w:val="29"/>
    <w:rsid w:val="00D91C31"/>
    <w:rPr>
      <w:rFonts w:ascii="Times New Roman" w:hAnsi="Times New Roman"/>
      <w:i/>
      <w:iCs/>
      <w:color w:val="404040" w:themeColor="text1" w:themeTint="BF"/>
      <w:lang w:val="en-GB"/>
    </w:rPr>
  </w:style>
  <w:style w:type="paragraph" w:styleId="ListParagraph">
    <w:name w:val="List Paragraph"/>
    <w:basedOn w:val="Normal"/>
    <w:uiPriority w:val="34"/>
    <w:qFormat/>
    <w:rsid w:val="00D91C31"/>
    <w:pPr>
      <w:ind w:left="720"/>
      <w:contextualSpacing/>
    </w:pPr>
  </w:style>
  <w:style w:type="character" w:styleId="IntenseEmphasis">
    <w:name w:val="Intense Emphasis"/>
    <w:basedOn w:val="DefaultParagraphFont"/>
    <w:uiPriority w:val="21"/>
    <w:qFormat/>
    <w:rsid w:val="00D91C31"/>
    <w:rPr>
      <w:i/>
      <w:iCs/>
      <w:color w:val="2F5496" w:themeColor="accent1" w:themeShade="BF"/>
    </w:rPr>
  </w:style>
  <w:style w:type="paragraph" w:styleId="IntenseQuote">
    <w:name w:val="Intense Quote"/>
    <w:basedOn w:val="Normal"/>
    <w:next w:val="Normal"/>
    <w:link w:val="IntenseQuoteChar"/>
    <w:uiPriority w:val="30"/>
    <w:qFormat/>
    <w:rsid w:val="00D91C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1C31"/>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D91C31"/>
    <w:rPr>
      <w:b/>
      <w:bCs/>
      <w:smallCaps/>
      <w:color w:val="2F5496" w:themeColor="accent1" w:themeShade="BF"/>
      <w:spacing w:val="5"/>
    </w:rPr>
  </w:style>
  <w:style w:type="table" w:styleId="TableGrid">
    <w:name w:val="Table Grid"/>
    <w:basedOn w:val="TableNormal"/>
    <w:uiPriority w:val="39"/>
    <w:rsid w:val="00D91C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52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52D5"/>
    <w:rPr>
      <w:rFonts w:ascii="Times New Roman" w:hAnsi="Times New Roman"/>
      <w:lang w:val="en-GB"/>
    </w:rPr>
  </w:style>
  <w:style w:type="paragraph" w:styleId="Footer">
    <w:name w:val="footer"/>
    <w:basedOn w:val="Normal"/>
    <w:link w:val="FooterChar"/>
    <w:uiPriority w:val="99"/>
    <w:unhideWhenUsed/>
    <w:rsid w:val="00B352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52D5"/>
    <w:rPr>
      <w:rFonts w:ascii="Times New Roman" w:hAnsi="Times New Roman"/>
      <w:lang w:val="en-GB"/>
    </w:rPr>
  </w:style>
  <w:style w:type="paragraph" w:styleId="TOCHeading">
    <w:name w:val="TOC Heading"/>
    <w:basedOn w:val="Heading1"/>
    <w:next w:val="Normal"/>
    <w:uiPriority w:val="39"/>
    <w:unhideWhenUsed/>
    <w:qFormat/>
    <w:rsid w:val="00B352D5"/>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B352D5"/>
    <w:pPr>
      <w:spacing w:after="100"/>
    </w:pPr>
  </w:style>
  <w:style w:type="paragraph" w:styleId="TOC2">
    <w:name w:val="toc 2"/>
    <w:basedOn w:val="Normal"/>
    <w:next w:val="Normal"/>
    <w:autoRedefine/>
    <w:uiPriority w:val="39"/>
    <w:unhideWhenUsed/>
    <w:rsid w:val="00B352D5"/>
    <w:pPr>
      <w:spacing w:after="100"/>
      <w:ind w:left="240"/>
    </w:pPr>
  </w:style>
  <w:style w:type="character" w:styleId="Hyperlink">
    <w:name w:val="Hyperlink"/>
    <w:basedOn w:val="DefaultParagraphFont"/>
    <w:uiPriority w:val="99"/>
    <w:unhideWhenUsed/>
    <w:rsid w:val="00B352D5"/>
    <w:rPr>
      <w:color w:val="0563C1" w:themeColor="hyperlink"/>
      <w:u w:val="single"/>
    </w:rPr>
  </w:style>
  <w:style w:type="paragraph" w:customStyle="1" w:styleId="TableParagraph">
    <w:name w:val="Table Paragraph"/>
    <w:basedOn w:val="Normal"/>
    <w:uiPriority w:val="1"/>
    <w:qFormat/>
    <w:rsid w:val="003C5F7A"/>
    <w:pPr>
      <w:widowControl w:val="0"/>
      <w:autoSpaceDE w:val="0"/>
      <w:autoSpaceDN w:val="0"/>
      <w:spacing w:after="0" w:line="240" w:lineRule="auto"/>
      <w:jc w:val="left"/>
    </w:pPr>
    <w:rPr>
      <w:rFonts w:ascii="Arial" w:eastAsia="Arial" w:hAnsi="Arial" w:cs="Arial"/>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9" ma:contentTypeDescription="Create a new document." ma:contentTypeScope="" ma:versionID="a13ded2c11dfe0211df15d5f3018c989">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1f801feab305e1001842c57d5dd4c0e2"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SearchProperties" minOccurs="0"/>
                <xsd:element ref="ns3:MediaServiceObjectDetectorVersions" minOccurs="0"/>
                <xsd:element ref="ns3:MediaServiceFastMetadata" minOccurs="0"/>
                <xsd:element ref="ns4:SharedWithUsers" minOccurs="0"/>
                <xsd:element ref="ns4:SharedWithDetails" minOccurs="0"/>
                <xsd:element ref="ns4:SharingHintHash"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SearchProperties" ma:index="9" nillable="true" ma:displayName="MediaServiceSearchProperties" ma:hidden="true" ma:internalName="MediaServiceSearchProperties"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FastMetadata" ma:index="11" nillable="true" ma:displayName="MediaServiceFastMetadata" ma:hidden="true" ma:internalName="MediaServiceFastMetadata"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A6B3DD-A699-4D0F-91B5-D1187EB359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3FD93E-7BDC-4C16-BE4A-58DDDA6B63EF}">
  <ds:schemaRefs>
    <ds:schemaRef ds:uri="http://schemas.microsoft.com/sharepoint/v3/contenttype/forms"/>
  </ds:schemaRefs>
</ds:datastoreItem>
</file>

<file path=customXml/itemProps3.xml><?xml version="1.0" encoding="utf-8"?>
<ds:datastoreItem xmlns:ds="http://schemas.openxmlformats.org/officeDocument/2006/customXml" ds:itemID="{C8921DB6-1F90-4293-BA36-AB37B1475157}">
  <ds:schemaRefs>
    <ds:schemaRef ds:uri="http://purl.org/dc/terms/"/>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http://purl.org/dc/elements/1.1/"/>
    <ds:schemaRef ds:uri="60ab93c2-c2e2-4a82-ab36-09e8ba3f753e"/>
    <ds:schemaRef ds:uri="http://www.w3.org/XML/1998/namespace"/>
    <ds:schemaRef ds:uri="47a3e2db-67be-4841-b3a5-2f2fb1d7c7b3"/>
    <ds:schemaRef ds:uri="http://schemas.microsoft.com/office/2006/metadata/properties"/>
  </ds:schemaRefs>
</ds:datastoreItem>
</file>

<file path=customXml/itemProps4.xml><?xml version="1.0" encoding="utf-8"?>
<ds:datastoreItem xmlns:ds="http://schemas.openxmlformats.org/officeDocument/2006/customXml" ds:itemID="{22211F72-B7BD-4515-9355-D6317190E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4421</Words>
  <Characters>25205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haroon traders</dc:creator>
  <cp:keywords/>
  <dc:description/>
  <cp:lastModifiedBy>Carmen Constance Goulei (2310474)</cp:lastModifiedBy>
  <cp:revision>2</cp:revision>
  <dcterms:created xsi:type="dcterms:W3CDTF">2025-11-08T21:08:00Z</dcterms:created>
  <dcterms:modified xsi:type="dcterms:W3CDTF">2025-11-08T21:08:00Z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a0433175-111d-46ff-be79-d51e8b8dc4e0</vt:lpwstr>
  </property>
  <property fmtid="{D5CDD505-2E9C-101B-9397-08002B2CF9AE}" pid="3" name="ContentTypeId">
    <vt:lpwstr>0x010100297C9F88D65DB74786271CFA0B86C30A</vt:lpwstr>
  </property>
</Properties>
</file>