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1F1" w:rsidRDefault="00450968" w:rsidP="00A741F1">
      <w:pPr>
        <w:jc w:val="center"/>
        <w:rPr>
          <w:b/>
          <w:shd w:val="clear" w:color="auto" w:fill="FFFFFF"/>
        </w:rPr>
      </w:pPr>
      <w:r w:rsidRPr="00CA72B8">
        <w:rPr>
          <w:noProof/>
        </w:rPr>
        <w:drawing>
          <wp:inline distT="0" distB="0" distL="0" distR="0" wp14:anchorId="66FC6F30" wp14:editId="7D426218">
            <wp:extent cx="2590800" cy="113538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29" name="Picture 229"/>
                    <pic:cNvPicPr/>
                  </pic:nvPicPr>
                  <pic:blipFill>
                    <a:blip r:embed="rId8"/>
                    <a:stretch>
                      <a:fillRect/>
                    </a:stretch>
                  </pic:blipFill>
                  <pic:spPr>
                    <a:xfrm>
                      <a:off x="0" y="0"/>
                      <a:ext cx="2590800" cy="1135380"/>
                    </a:xfrm>
                    <a:prstGeom prst="rect">
                      <a:avLst/>
                    </a:prstGeom>
                  </pic:spPr>
                </pic:pic>
              </a:graphicData>
            </a:graphic>
          </wp:inline>
        </w:drawing>
      </w:r>
    </w:p>
    <w:p w:rsidR="00002B57" w:rsidRDefault="00002B57" w:rsidP="00A741F1">
      <w:pPr>
        <w:jc w:val="center"/>
        <w:rPr>
          <w:b/>
          <w:shd w:val="clear" w:color="auto" w:fill="FFFFFF"/>
        </w:rPr>
      </w:pPr>
    </w:p>
    <w:p w:rsidR="00002B57" w:rsidRDefault="00002B57" w:rsidP="00A741F1">
      <w:pPr>
        <w:jc w:val="center"/>
        <w:rPr>
          <w:b/>
          <w:shd w:val="clear" w:color="auto" w:fill="FFFFFF"/>
        </w:rPr>
      </w:pPr>
    </w:p>
    <w:p w:rsidR="00002B57" w:rsidRDefault="00002B57" w:rsidP="00A741F1">
      <w:pPr>
        <w:jc w:val="center"/>
        <w:rPr>
          <w:b/>
          <w:shd w:val="clear" w:color="auto" w:fill="FFFFFF"/>
        </w:rPr>
      </w:pPr>
    </w:p>
    <w:p w:rsidR="00002B57" w:rsidRDefault="00002B57" w:rsidP="00A741F1">
      <w:pPr>
        <w:jc w:val="center"/>
        <w:rPr>
          <w:b/>
          <w:shd w:val="clear" w:color="auto" w:fill="FFFFFF"/>
        </w:rPr>
      </w:pPr>
    </w:p>
    <w:p w:rsidR="00002B57" w:rsidRDefault="00002B57" w:rsidP="00450968">
      <w:pPr>
        <w:rPr>
          <w:b/>
          <w:shd w:val="clear" w:color="auto" w:fill="FFFFFF"/>
        </w:rPr>
      </w:pPr>
      <w:bookmarkStart w:id="0" w:name="_GoBack"/>
      <w:bookmarkEnd w:id="0"/>
    </w:p>
    <w:p w:rsidR="00A741F1" w:rsidRPr="00450968" w:rsidRDefault="00A741F1" w:rsidP="00A741F1">
      <w:pPr>
        <w:jc w:val="center"/>
        <w:rPr>
          <w:b/>
          <w:sz w:val="36"/>
          <w:szCs w:val="36"/>
          <w:shd w:val="clear" w:color="auto" w:fill="FFFFFF"/>
        </w:rPr>
      </w:pPr>
    </w:p>
    <w:p w:rsidR="00450968" w:rsidRDefault="00002B57" w:rsidP="00450968">
      <w:pPr>
        <w:jc w:val="center"/>
        <w:rPr>
          <w:b/>
          <w:sz w:val="40"/>
          <w:szCs w:val="40"/>
          <w:shd w:val="clear" w:color="auto" w:fill="FFFFFF"/>
        </w:rPr>
      </w:pPr>
      <w:r w:rsidRPr="00450968">
        <w:rPr>
          <w:b/>
          <w:sz w:val="40"/>
          <w:szCs w:val="40"/>
          <w:shd w:val="clear" w:color="auto" w:fill="FFFFFF"/>
        </w:rPr>
        <w:t>LCBB6004 Strategic Management and Sustainability Assignment</w:t>
      </w:r>
      <w:r w:rsidR="00450968">
        <w:rPr>
          <w:b/>
          <w:sz w:val="40"/>
          <w:szCs w:val="40"/>
          <w:shd w:val="clear" w:color="auto" w:fill="FFFFFF"/>
        </w:rPr>
        <w:t xml:space="preserve"> Component 1 Coursework</w:t>
      </w:r>
    </w:p>
    <w:p w:rsidR="00A741F1" w:rsidRPr="00450968" w:rsidRDefault="00002B57" w:rsidP="00450968">
      <w:pPr>
        <w:jc w:val="center"/>
        <w:rPr>
          <w:b/>
          <w:sz w:val="40"/>
          <w:szCs w:val="40"/>
          <w:shd w:val="clear" w:color="auto" w:fill="FFFFFF"/>
        </w:rPr>
      </w:pPr>
      <w:r w:rsidRPr="00450968">
        <w:rPr>
          <w:b/>
          <w:sz w:val="40"/>
          <w:szCs w:val="40"/>
          <w:shd w:val="clear" w:color="auto" w:fill="FFFFFF"/>
        </w:rPr>
        <w:t>Written Report (50%)</w:t>
      </w:r>
    </w:p>
    <w:p w:rsidR="00450968" w:rsidRDefault="00223C67" w:rsidP="00A741F1">
      <w:pPr>
        <w:jc w:val="center"/>
        <w:rPr>
          <w:b/>
          <w:sz w:val="40"/>
          <w:szCs w:val="40"/>
          <w:shd w:val="clear" w:color="auto" w:fill="FFFFFF"/>
        </w:rPr>
      </w:pPr>
      <w:r w:rsidRPr="00450968">
        <w:rPr>
          <w:b/>
          <w:sz w:val="40"/>
          <w:szCs w:val="40"/>
          <w:shd w:val="clear" w:color="auto" w:fill="FFFFFF"/>
        </w:rPr>
        <w:t>Student N</w:t>
      </w:r>
      <w:r w:rsidR="005662B4" w:rsidRPr="00450968">
        <w:rPr>
          <w:b/>
          <w:sz w:val="40"/>
          <w:szCs w:val="40"/>
          <w:shd w:val="clear" w:color="auto" w:fill="FFFFFF"/>
        </w:rPr>
        <w:t>ame:</w:t>
      </w:r>
    </w:p>
    <w:p w:rsidR="00450968" w:rsidRDefault="00223C67" w:rsidP="00A741F1">
      <w:pPr>
        <w:jc w:val="center"/>
        <w:rPr>
          <w:b/>
          <w:sz w:val="40"/>
          <w:szCs w:val="40"/>
          <w:shd w:val="clear" w:color="auto" w:fill="FFFFFF"/>
        </w:rPr>
      </w:pPr>
      <w:r w:rsidRPr="00450968">
        <w:rPr>
          <w:b/>
          <w:sz w:val="40"/>
          <w:szCs w:val="40"/>
          <w:shd w:val="clear" w:color="auto" w:fill="FFFFFF"/>
        </w:rPr>
        <w:t>Prabhjot Kaur</w:t>
      </w:r>
      <w:r w:rsidR="005662B4" w:rsidRPr="00450968">
        <w:rPr>
          <w:b/>
          <w:sz w:val="40"/>
          <w:szCs w:val="40"/>
          <w:shd w:val="clear" w:color="auto" w:fill="FFFFFF"/>
        </w:rPr>
        <w:br/>
        <w:t>Student Id:</w:t>
      </w:r>
    </w:p>
    <w:p w:rsidR="00450968" w:rsidRDefault="00223C67" w:rsidP="00A741F1">
      <w:pPr>
        <w:jc w:val="center"/>
        <w:rPr>
          <w:b/>
          <w:sz w:val="40"/>
          <w:szCs w:val="40"/>
          <w:shd w:val="clear" w:color="auto" w:fill="FFFFFF"/>
        </w:rPr>
      </w:pPr>
      <w:r w:rsidRPr="00450968">
        <w:rPr>
          <w:b/>
          <w:sz w:val="40"/>
          <w:szCs w:val="40"/>
          <w:shd w:val="clear" w:color="auto" w:fill="FFFFFF"/>
        </w:rPr>
        <w:t>2216654</w:t>
      </w:r>
      <w:r w:rsidR="005662B4" w:rsidRPr="00450968">
        <w:rPr>
          <w:b/>
          <w:sz w:val="40"/>
          <w:szCs w:val="40"/>
          <w:shd w:val="clear" w:color="auto" w:fill="FFFFFF"/>
        </w:rPr>
        <w:br/>
        <w:t>Submission Date:</w:t>
      </w:r>
    </w:p>
    <w:p w:rsidR="005662B4" w:rsidRPr="00450968" w:rsidRDefault="00223C67" w:rsidP="00A741F1">
      <w:pPr>
        <w:jc w:val="center"/>
        <w:rPr>
          <w:b/>
          <w:sz w:val="40"/>
          <w:szCs w:val="40"/>
          <w:shd w:val="clear" w:color="auto" w:fill="FFFFFF"/>
        </w:rPr>
      </w:pPr>
      <w:r w:rsidRPr="00450968">
        <w:rPr>
          <w:b/>
          <w:sz w:val="40"/>
          <w:szCs w:val="40"/>
          <w:shd w:val="clear" w:color="auto" w:fill="FFFFFF"/>
        </w:rPr>
        <w:t>15</w:t>
      </w:r>
      <w:r w:rsidRPr="00450968">
        <w:rPr>
          <w:b/>
          <w:sz w:val="40"/>
          <w:szCs w:val="40"/>
          <w:shd w:val="clear" w:color="auto" w:fill="FFFFFF"/>
          <w:vertAlign w:val="superscript"/>
        </w:rPr>
        <w:t>th</w:t>
      </w:r>
      <w:r w:rsidRPr="00450968">
        <w:rPr>
          <w:b/>
          <w:sz w:val="40"/>
          <w:szCs w:val="40"/>
          <w:shd w:val="clear" w:color="auto" w:fill="FFFFFF"/>
        </w:rPr>
        <w:t xml:space="preserve"> December 2025</w:t>
      </w:r>
    </w:p>
    <w:p w:rsidR="00A741F1" w:rsidRPr="00223C67" w:rsidRDefault="00A741F1" w:rsidP="00D22E65"/>
    <w:p w:rsidR="00A741F1" w:rsidRPr="00223C67" w:rsidRDefault="00A741F1" w:rsidP="00D22E65"/>
    <w:p w:rsidR="00A741F1" w:rsidRPr="00223C67" w:rsidRDefault="00A741F1">
      <w:pPr>
        <w:spacing w:line="259" w:lineRule="auto"/>
        <w:jc w:val="left"/>
      </w:pPr>
      <w:r w:rsidRPr="00223C67">
        <w:br w:type="page"/>
      </w:r>
    </w:p>
    <w:p w:rsidR="00DA6602" w:rsidRPr="00223C67" w:rsidRDefault="00DA6602" w:rsidP="00DA6602">
      <w:pPr>
        <w:pStyle w:val="Heading1"/>
        <w:rPr>
          <w:szCs w:val="24"/>
        </w:rPr>
      </w:pPr>
      <w:bookmarkStart w:id="1" w:name="_Toc214577163"/>
      <w:r w:rsidRPr="00223C67">
        <w:rPr>
          <w:szCs w:val="24"/>
        </w:rPr>
        <w:lastRenderedPageBreak/>
        <w:t>Executive Summary</w:t>
      </w:r>
      <w:bookmarkEnd w:id="1"/>
      <w:r w:rsidRPr="00223C67">
        <w:rPr>
          <w:szCs w:val="24"/>
        </w:rPr>
        <w:t xml:space="preserve"> </w:t>
      </w:r>
    </w:p>
    <w:p w:rsidR="00DA6602" w:rsidRPr="00223C67" w:rsidRDefault="00DA6602" w:rsidP="00DA6602">
      <w:pPr>
        <w:rPr>
          <w:szCs w:val="24"/>
        </w:rPr>
      </w:pPr>
      <w:r w:rsidRPr="00223C67">
        <w:rPr>
          <w:szCs w:val="24"/>
        </w:rPr>
        <w:t xml:space="preserve">This report analyses how Jaguar Land Rover (JLR) has strategically positioned itself in the fast changing UK motor industry. It uses existing strategic management theories to evaluate the external forces transforming the industry such as electrification, sustainability policies, and shifting consumer expectations. Value Chain Analysis, the Resource-Based View and VRIO are used to assess internal capabilities. An overall SWOT analysis </w:t>
      </w:r>
      <w:r w:rsidR="00594812" w:rsidRPr="00223C67">
        <w:rPr>
          <w:szCs w:val="24"/>
        </w:rPr>
        <w:t>summarizes</w:t>
      </w:r>
      <w:r w:rsidRPr="00223C67">
        <w:rPr>
          <w:szCs w:val="24"/>
        </w:rPr>
        <w:t xml:space="preserve"> the results. Based on this evaluation, this report presents strategic options of improving the competitiveness of JLR in an electric, technologically advanced and environmentally controlled market. There are clear recommendations on how JLR can achieve sustainable growth in the long run.</w:t>
      </w:r>
    </w:p>
    <w:p w:rsidR="00DA6602" w:rsidRPr="00223C67" w:rsidRDefault="00DA6602" w:rsidP="00DA6602">
      <w:pPr>
        <w:rPr>
          <w:szCs w:val="24"/>
        </w:rPr>
      </w:pPr>
      <w:r w:rsidRPr="00223C67">
        <w:rPr>
          <w:szCs w:val="24"/>
        </w:rPr>
        <w:br w:type="page"/>
      </w:r>
    </w:p>
    <w:sdt>
      <w:sdtPr>
        <w:rPr>
          <w:rFonts w:ascii="Times New Roman" w:eastAsiaTheme="minorHAnsi" w:hAnsi="Times New Roman" w:cs="Times New Roman"/>
          <w:b/>
          <w:color w:val="auto"/>
          <w:sz w:val="24"/>
          <w:szCs w:val="24"/>
          <w:lang w:val="en-GB"/>
        </w:rPr>
        <w:id w:val="-570342357"/>
        <w:docPartObj>
          <w:docPartGallery w:val="Table of Contents"/>
          <w:docPartUnique/>
        </w:docPartObj>
      </w:sdtPr>
      <w:sdtEndPr>
        <w:rPr>
          <w:bCs/>
          <w:noProof/>
          <w:lang w:val="en-US"/>
        </w:rPr>
      </w:sdtEndPr>
      <w:sdtContent>
        <w:p w:rsidR="00DA6602" w:rsidRPr="00223C67" w:rsidRDefault="00DA6602" w:rsidP="00DA6602">
          <w:pPr>
            <w:pStyle w:val="TOCHeading"/>
            <w:spacing w:line="360" w:lineRule="auto"/>
            <w:jc w:val="both"/>
            <w:rPr>
              <w:rFonts w:ascii="Times New Roman" w:hAnsi="Times New Roman" w:cs="Times New Roman"/>
              <w:b/>
              <w:color w:val="auto"/>
              <w:sz w:val="24"/>
              <w:szCs w:val="24"/>
            </w:rPr>
          </w:pPr>
          <w:r w:rsidRPr="00223C67">
            <w:rPr>
              <w:rFonts w:ascii="Times New Roman" w:hAnsi="Times New Roman" w:cs="Times New Roman"/>
              <w:b/>
              <w:color w:val="auto"/>
              <w:sz w:val="24"/>
              <w:szCs w:val="24"/>
            </w:rPr>
            <w:t>Table of Contents</w:t>
          </w:r>
        </w:p>
        <w:p w:rsidR="00DA6602" w:rsidRPr="00223C67" w:rsidRDefault="00DA6602" w:rsidP="00DA6602">
          <w:pPr>
            <w:pStyle w:val="TOC1"/>
            <w:tabs>
              <w:tab w:val="right" w:leader="dot" w:pos="9350"/>
            </w:tabs>
            <w:rPr>
              <w:rFonts w:eastAsiaTheme="minorEastAsia"/>
              <w:noProof/>
              <w:szCs w:val="24"/>
            </w:rPr>
          </w:pPr>
          <w:r w:rsidRPr="00223C67">
            <w:rPr>
              <w:b/>
              <w:bCs/>
              <w:noProof/>
              <w:szCs w:val="24"/>
            </w:rPr>
            <w:fldChar w:fldCharType="begin"/>
          </w:r>
          <w:r w:rsidRPr="00223C67">
            <w:rPr>
              <w:b/>
              <w:bCs/>
              <w:noProof/>
              <w:szCs w:val="24"/>
            </w:rPr>
            <w:instrText xml:space="preserve"> TOC \o "1-3" \h \z \u </w:instrText>
          </w:r>
          <w:r w:rsidRPr="00223C67">
            <w:rPr>
              <w:b/>
              <w:bCs/>
              <w:noProof/>
              <w:szCs w:val="24"/>
            </w:rPr>
            <w:fldChar w:fldCharType="separate"/>
          </w:r>
          <w:hyperlink w:anchor="_Toc214577163" w:history="1">
            <w:r w:rsidRPr="00223C67">
              <w:rPr>
                <w:rStyle w:val="Hyperlink"/>
                <w:noProof/>
                <w:szCs w:val="24"/>
              </w:rPr>
              <w:t>Executive Summary</w:t>
            </w:r>
            <w:r w:rsidRPr="00223C67">
              <w:rPr>
                <w:noProof/>
                <w:webHidden/>
                <w:szCs w:val="24"/>
              </w:rPr>
              <w:tab/>
            </w:r>
            <w:r w:rsidRPr="00223C67">
              <w:rPr>
                <w:noProof/>
                <w:webHidden/>
                <w:szCs w:val="24"/>
              </w:rPr>
              <w:fldChar w:fldCharType="begin"/>
            </w:r>
            <w:r w:rsidRPr="00223C67">
              <w:rPr>
                <w:noProof/>
                <w:webHidden/>
                <w:szCs w:val="24"/>
              </w:rPr>
              <w:instrText xml:space="preserve"> PAGEREF _Toc214577163 \h </w:instrText>
            </w:r>
            <w:r w:rsidRPr="00223C67">
              <w:rPr>
                <w:noProof/>
                <w:webHidden/>
                <w:szCs w:val="24"/>
              </w:rPr>
            </w:r>
            <w:r w:rsidRPr="00223C67">
              <w:rPr>
                <w:noProof/>
                <w:webHidden/>
                <w:szCs w:val="24"/>
              </w:rPr>
              <w:fldChar w:fldCharType="separate"/>
            </w:r>
            <w:r w:rsidRPr="00223C67">
              <w:rPr>
                <w:noProof/>
                <w:webHidden/>
                <w:szCs w:val="24"/>
              </w:rPr>
              <w:t>2</w:t>
            </w:r>
            <w:r w:rsidRPr="00223C67">
              <w:rPr>
                <w:noProof/>
                <w:webHidden/>
                <w:szCs w:val="24"/>
              </w:rPr>
              <w:fldChar w:fldCharType="end"/>
            </w:r>
          </w:hyperlink>
        </w:p>
        <w:p w:rsidR="00DA6602" w:rsidRPr="00223C67" w:rsidRDefault="00250A3D" w:rsidP="00DA6602">
          <w:pPr>
            <w:pStyle w:val="TOC1"/>
            <w:tabs>
              <w:tab w:val="right" w:leader="dot" w:pos="9350"/>
            </w:tabs>
            <w:rPr>
              <w:rFonts w:eastAsiaTheme="minorEastAsia"/>
              <w:noProof/>
              <w:szCs w:val="24"/>
            </w:rPr>
          </w:pPr>
          <w:hyperlink w:anchor="_Toc214577164" w:history="1">
            <w:r w:rsidR="00DA6602" w:rsidRPr="00223C67">
              <w:rPr>
                <w:rStyle w:val="Hyperlink"/>
                <w:noProof/>
                <w:szCs w:val="24"/>
              </w:rPr>
              <w:t>1. Introduction</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_Toc214577164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4</w:t>
            </w:r>
            <w:r w:rsidR="00DA6602" w:rsidRPr="00223C67">
              <w:rPr>
                <w:noProof/>
                <w:webHidden/>
                <w:szCs w:val="24"/>
              </w:rPr>
              <w:fldChar w:fldCharType="end"/>
            </w:r>
          </w:hyperlink>
        </w:p>
        <w:p w:rsidR="00DA6602" w:rsidRPr="00223C67" w:rsidRDefault="00250A3D" w:rsidP="00DA6602">
          <w:pPr>
            <w:pStyle w:val="TOC1"/>
            <w:tabs>
              <w:tab w:val="right" w:leader="dot" w:pos="9350"/>
            </w:tabs>
            <w:rPr>
              <w:rFonts w:eastAsiaTheme="minorEastAsia"/>
              <w:noProof/>
              <w:szCs w:val="24"/>
            </w:rPr>
          </w:pPr>
          <w:hyperlink w:anchor="_Toc214577165" w:history="1">
            <w:r w:rsidR="00DA6602" w:rsidRPr="00223C67">
              <w:rPr>
                <w:rStyle w:val="Hyperlink"/>
                <w:noProof/>
                <w:szCs w:val="24"/>
              </w:rPr>
              <w:t>2. Strategy Analysis</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_Toc214577165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4</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66" w:history="1">
            <w:r w:rsidR="00DA6602" w:rsidRPr="00223C67">
              <w:rPr>
                <w:rStyle w:val="Hyperlink"/>
                <w:noProof/>
                <w:szCs w:val="24"/>
              </w:rPr>
              <w:t>2.1 External Environment Audit</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_Toc214577166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4</w:t>
            </w:r>
            <w:r w:rsidR="00DA6602" w:rsidRPr="00223C67">
              <w:rPr>
                <w:noProof/>
                <w:webHidden/>
                <w:szCs w:val="24"/>
              </w:rPr>
              <w:fldChar w:fldCharType="end"/>
            </w:r>
          </w:hyperlink>
        </w:p>
        <w:p w:rsidR="00DA6602" w:rsidRPr="00223C67" w:rsidRDefault="00250A3D" w:rsidP="00DA6602">
          <w:pPr>
            <w:pStyle w:val="TOC3"/>
            <w:tabs>
              <w:tab w:val="right" w:leader="dot" w:pos="9350"/>
            </w:tabs>
            <w:spacing w:line="360" w:lineRule="auto"/>
            <w:rPr>
              <w:rFonts w:ascii="Times New Roman" w:eastAsiaTheme="minorEastAsia" w:hAnsi="Times New Roman" w:cs="Times New Roman"/>
              <w:noProof/>
              <w:sz w:val="24"/>
              <w:szCs w:val="24"/>
              <w:lang w:val="en-US"/>
            </w:rPr>
          </w:pPr>
          <w:hyperlink w:anchor="_Toc214577167" w:history="1">
            <w:r w:rsidR="00DA6602" w:rsidRPr="00223C67">
              <w:rPr>
                <w:rStyle w:val="Hyperlink"/>
                <w:rFonts w:ascii="Times New Roman" w:hAnsi="Times New Roman" w:cs="Times New Roman"/>
                <w:noProof/>
                <w:sz w:val="24"/>
                <w:szCs w:val="24"/>
              </w:rPr>
              <w:t>2.1.1 PESTLE Analysis</w:t>
            </w:r>
            <w:r w:rsidR="00DA6602" w:rsidRPr="00223C67">
              <w:rPr>
                <w:rFonts w:ascii="Times New Roman" w:hAnsi="Times New Roman" w:cs="Times New Roman"/>
                <w:noProof/>
                <w:webHidden/>
                <w:sz w:val="24"/>
                <w:szCs w:val="24"/>
              </w:rPr>
              <w:tab/>
            </w:r>
            <w:r w:rsidR="00DA6602" w:rsidRPr="00223C67">
              <w:rPr>
                <w:rFonts w:ascii="Times New Roman" w:hAnsi="Times New Roman" w:cs="Times New Roman"/>
                <w:noProof/>
                <w:webHidden/>
                <w:sz w:val="24"/>
                <w:szCs w:val="24"/>
              </w:rPr>
              <w:fldChar w:fldCharType="begin"/>
            </w:r>
            <w:r w:rsidR="00DA6602" w:rsidRPr="00223C67">
              <w:rPr>
                <w:rFonts w:ascii="Times New Roman" w:hAnsi="Times New Roman" w:cs="Times New Roman"/>
                <w:noProof/>
                <w:webHidden/>
                <w:sz w:val="24"/>
                <w:szCs w:val="24"/>
              </w:rPr>
              <w:instrText xml:space="preserve"> PAGEREF _Toc214577167 \h </w:instrText>
            </w:r>
            <w:r w:rsidR="00DA6602" w:rsidRPr="00223C67">
              <w:rPr>
                <w:rFonts w:ascii="Times New Roman" w:hAnsi="Times New Roman" w:cs="Times New Roman"/>
                <w:noProof/>
                <w:webHidden/>
                <w:sz w:val="24"/>
                <w:szCs w:val="24"/>
              </w:rPr>
            </w:r>
            <w:r w:rsidR="00DA6602" w:rsidRPr="00223C67">
              <w:rPr>
                <w:rFonts w:ascii="Times New Roman" w:hAnsi="Times New Roman" w:cs="Times New Roman"/>
                <w:noProof/>
                <w:webHidden/>
                <w:sz w:val="24"/>
                <w:szCs w:val="24"/>
              </w:rPr>
              <w:fldChar w:fldCharType="separate"/>
            </w:r>
            <w:r w:rsidR="00DA6602" w:rsidRPr="00223C67">
              <w:rPr>
                <w:rFonts w:ascii="Times New Roman" w:hAnsi="Times New Roman" w:cs="Times New Roman"/>
                <w:noProof/>
                <w:webHidden/>
                <w:sz w:val="24"/>
                <w:szCs w:val="24"/>
              </w:rPr>
              <w:t>4</w:t>
            </w:r>
            <w:r w:rsidR="00DA6602" w:rsidRPr="00223C67">
              <w:rPr>
                <w:rFonts w:ascii="Times New Roman" w:hAnsi="Times New Roman" w:cs="Times New Roman"/>
                <w:noProof/>
                <w:webHidden/>
                <w:sz w:val="24"/>
                <w:szCs w:val="24"/>
              </w:rPr>
              <w:fldChar w:fldCharType="end"/>
            </w:r>
          </w:hyperlink>
        </w:p>
        <w:p w:rsidR="00DA6602" w:rsidRPr="00223C67" w:rsidRDefault="00250A3D" w:rsidP="00DA6602">
          <w:pPr>
            <w:pStyle w:val="TOC3"/>
            <w:tabs>
              <w:tab w:val="right" w:leader="dot" w:pos="9350"/>
            </w:tabs>
            <w:spacing w:line="360" w:lineRule="auto"/>
            <w:rPr>
              <w:rFonts w:ascii="Times New Roman" w:eastAsiaTheme="minorEastAsia" w:hAnsi="Times New Roman" w:cs="Times New Roman"/>
              <w:noProof/>
              <w:sz w:val="24"/>
              <w:szCs w:val="24"/>
              <w:lang w:val="en-US"/>
            </w:rPr>
          </w:pPr>
          <w:hyperlink w:anchor="_Toc214577168" w:history="1">
            <w:r w:rsidR="00DA6602" w:rsidRPr="00223C67">
              <w:rPr>
                <w:rStyle w:val="Hyperlink"/>
                <w:rFonts w:ascii="Times New Roman" w:hAnsi="Times New Roman" w:cs="Times New Roman"/>
                <w:noProof/>
                <w:sz w:val="24"/>
                <w:szCs w:val="24"/>
              </w:rPr>
              <w:t>2.1.2 Porter’s Five Forces</w:t>
            </w:r>
            <w:r w:rsidR="00DA6602" w:rsidRPr="00223C67">
              <w:rPr>
                <w:rFonts w:ascii="Times New Roman" w:hAnsi="Times New Roman" w:cs="Times New Roman"/>
                <w:noProof/>
                <w:webHidden/>
                <w:sz w:val="24"/>
                <w:szCs w:val="24"/>
              </w:rPr>
              <w:tab/>
            </w:r>
            <w:r w:rsidR="00DA6602" w:rsidRPr="00223C67">
              <w:rPr>
                <w:rFonts w:ascii="Times New Roman" w:hAnsi="Times New Roman" w:cs="Times New Roman"/>
                <w:noProof/>
                <w:webHidden/>
                <w:sz w:val="24"/>
                <w:szCs w:val="24"/>
              </w:rPr>
              <w:fldChar w:fldCharType="begin"/>
            </w:r>
            <w:r w:rsidR="00DA6602" w:rsidRPr="00223C67">
              <w:rPr>
                <w:rFonts w:ascii="Times New Roman" w:hAnsi="Times New Roman" w:cs="Times New Roman"/>
                <w:noProof/>
                <w:webHidden/>
                <w:sz w:val="24"/>
                <w:szCs w:val="24"/>
              </w:rPr>
              <w:instrText xml:space="preserve"> PAGEREF _Toc214577168 \h </w:instrText>
            </w:r>
            <w:r w:rsidR="00DA6602" w:rsidRPr="00223C67">
              <w:rPr>
                <w:rFonts w:ascii="Times New Roman" w:hAnsi="Times New Roman" w:cs="Times New Roman"/>
                <w:noProof/>
                <w:webHidden/>
                <w:sz w:val="24"/>
                <w:szCs w:val="24"/>
              </w:rPr>
            </w:r>
            <w:r w:rsidR="00DA6602" w:rsidRPr="00223C67">
              <w:rPr>
                <w:rFonts w:ascii="Times New Roman" w:hAnsi="Times New Roman" w:cs="Times New Roman"/>
                <w:noProof/>
                <w:webHidden/>
                <w:sz w:val="24"/>
                <w:szCs w:val="24"/>
              </w:rPr>
              <w:fldChar w:fldCharType="separate"/>
            </w:r>
            <w:r w:rsidR="00DA6602" w:rsidRPr="00223C67">
              <w:rPr>
                <w:rFonts w:ascii="Times New Roman" w:hAnsi="Times New Roman" w:cs="Times New Roman"/>
                <w:noProof/>
                <w:webHidden/>
                <w:sz w:val="24"/>
                <w:szCs w:val="24"/>
              </w:rPr>
              <w:t>5</w:t>
            </w:r>
            <w:r w:rsidR="00DA6602" w:rsidRPr="00223C67">
              <w:rPr>
                <w:rFonts w:ascii="Times New Roman" w:hAnsi="Times New Roman" w:cs="Times New Roman"/>
                <w:noProof/>
                <w:webHidden/>
                <w:sz w:val="24"/>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69" w:history="1">
            <w:r w:rsidR="00DA6602" w:rsidRPr="00223C67">
              <w:rPr>
                <w:rStyle w:val="Hyperlink"/>
                <w:noProof/>
                <w:szCs w:val="24"/>
              </w:rPr>
              <w:t>2.2 Internal Environment Audit</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_Toc214577169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6</w:t>
            </w:r>
            <w:r w:rsidR="00DA6602" w:rsidRPr="00223C67">
              <w:rPr>
                <w:noProof/>
                <w:webHidden/>
                <w:szCs w:val="24"/>
              </w:rPr>
              <w:fldChar w:fldCharType="end"/>
            </w:r>
          </w:hyperlink>
        </w:p>
        <w:p w:rsidR="00DA6602" w:rsidRPr="00223C67" w:rsidRDefault="00250A3D" w:rsidP="00DA6602">
          <w:pPr>
            <w:pStyle w:val="TOC3"/>
            <w:tabs>
              <w:tab w:val="right" w:leader="dot" w:pos="9350"/>
            </w:tabs>
            <w:spacing w:line="360" w:lineRule="auto"/>
            <w:rPr>
              <w:rFonts w:ascii="Times New Roman" w:eastAsiaTheme="minorEastAsia" w:hAnsi="Times New Roman" w:cs="Times New Roman"/>
              <w:noProof/>
              <w:sz w:val="24"/>
              <w:szCs w:val="24"/>
              <w:lang w:val="en-US"/>
            </w:rPr>
          </w:pPr>
          <w:hyperlink w:anchor="_Toc214577170" w:history="1">
            <w:r w:rsidR="00DA6602" w:rsidRPr="00223C67">
              <w:rPr>
                <w:rStyle w:val="Hyperlink"/>
                <w:rFonts w:ascii="Times New Roman" w:hAnsi="Times New Roman" w:cs="Times New Roman"/>
                <w:noProof/>
                <w:sz w:val="24"/>
                <w:szCs w:val="24"/>
              </w:rPr>
              <w:t>2.2.1 Value Chain Analysis</w:t>
            </w:r>
            <w:r w:rsidR="00DA6602" w:rsidRPr="00223C67">
              <w:rPr>
                <w:rFonts w:ascii="Times New Roman" w:hAnsi="Times New Roman" w:cs="Times New Roman"/>
                <w:noProof/>
                <w:webHidden/>
                <w:sz w:val="24"/>
                <w:szCs w:val="24"/>
              </w:rPr>
              <w:tab/>
            </w:r>
            <w:r w:rsidR="00DA6602" w:rsidRPr="00223C67">
              <w:rPr>
                <w:rFonts w:ascii="Times New Roman" w:hAnsi="Times New Roman" w:cs="Times New Roman"/>
                <w:noProof/>
                <w:webHidden/>
                <w:sz w:val="24"/>
                <w:szCs w:val="24"/>
              </w:rPr>
              <w:fldChar w:fldCharType="begin"/>
            </w:r>
            <w:r w:rsidR="00DA6602" w:rsidRPr="00223C67">
              <w:rPr>
                <w:rFonts w:ascii="Times New Roman" w:hAnsi="Times New Roman" w:cs="Times New Roman"/>
                <w:noProof/>
                <w:webHidden/>
                <w:sz w:val="24"/>
                <w:szCs w:val="24"/>
              </w:rPr>
              <w:instrText xml:space="preserve"> PAGEREF _Toc214577170 \h </w:instrText>
            </w:r>
            <w:r w:rsidR="00DA6602" w:rsidRPr="00223C67">
              <w:rPr>
                <w:rFonts w:ascii="Times New Roman" w:hAnsi="Times New Roman" w:cs="Times New Roman"/>
                <w:noProof/>
                <w:webHidden/>
                <w:sz w:val="24"/>
                <w:szCs w:val="24"/>
              </w:rPr>
            </w:r>
            <w:r w:rsidR="00DA6602" w:rsidRPr="00223C67">
              <w:rPr>
                <w:rFonts w:ascii="Times New Roman" w:hAnsi="Times New Roman" w:cs="Times New Roman"/>
                <w:noProof/>
                <w:webHidden/>
                <w:sz w:val="24"/>
                <w:szCs w:val="24"/>
              </w:rPr>
              <w:fldChar w:fldCharType="separate"/>
            </w:r>
            <w:r w:rsidR="00DA6602" w:rsidRPr="00223C67">
              <w:rPr>
                <w:rFonts w:ascii="Times New Roman" w:hAnsi="Times New Roman" w:cs="Times New Roman"/>
                <w:noProof/>
                <w:webHidden/>
                <w:sz w:val="24"/>
                <w:szCs w:val="24"/>
              </w:rPr>
              <w:t>6</w:t>
            </w:r>
            <w:r w:rsidR="00DA6602" w:rsidRPr="00223C67">
              <w:rPr>
                <w:rFonts w:ascii="Times New Roman" w:hAnsi="Times New Roman" w:cs="Times New Roman"/>
                <w:noProof/>
                <w:webHidden/>
                <w:sz w:val="24"/>
                <w:szCs w:val="24"/>
              </w:rPr>
              <w:fldChar w:fldCharType="end"/>
            </w:r>
          </w:hyperlink>
        </w:p>
        <w:p w:rsidR="00DA6602" w:rsidRPr="00223C67" w:rsidRDefault="00250A3D" w:rsidP="00DA6602">
          <w:pPr>
            <w:pStyle w:val="TOC3"/>
            <w:tabs>
              <w:tab w:val="right" w:leader="dot" w:pos="9350"/>
            </w:tabs>
            <w:spacing w:line="360" w:lineRule="auto"/>
            <w:rPr>
              <w:rFonts w:ascii="Times New Roman" w:eastAsiaTheme="minorEastAsia" w:hAnsi="Times New Roman" w:cs="Times New Roman"/>
              <w:noProof/>
              <w:sz w:val="24"/>
              <w:szCs w:val="24"/>
              <w:lang w:val="en-US"/>
            </w:rPr>
          </w:pPr>
          <w:hyperlink w:anchor="_Toc214577171" w:history="1">
            <w:r w:rsidR="00DA6602" w:rsidRPr="00223C67">
              <w:rPr>
                <w:rStyle w:val="Hyperlink"/>
                <w:rFonts w:ascii="Times New Roman" w:hAnsi="Times New Roman" w:cs="Times New Roman"/>
                <w:noProof/>
                <w:sz w:val="24"/>
                <w:szCs w:val="24"/>
              </w:rPr>
              <w:t>2.2.2 Resource-Based View (RBV) and VRIO</w:t>
            </w:r>
            <w:r w:rsidR="00DA6602" w:rsidRPr="00223C67">
              <w:rPr>
                <w:rFonts w:ascii="Times New Roman" w:hAnsi="Times New Roman" w:cs="Times New Roman"/>
                <w:noProof/>
                <w:webHidden/>
                <w:sz w:val="24"/>
                <w:szCs w:val="24"/>
              </w:rPr>
              <w:tab/>
            </w:r>
            <w:r w:rsidR="00DA6602" w:rsidRPr="00223C67">
              <w:rPr>
                <w:rFonts w:ascii="Times New Roman" w:hAnsi="Times New Roman" w:cs="Times New Roman"/>
                <w:noProof/>
                <w:webHidden/>
                <w:sz w:val="24"/>
                <w:szCs w:val="24"/>
              </w:rPr>
              <w:fldChar w:fldCharType="begin"/>
            </w:r>
            <w:r w:rsidR="00DA6602" w:rsidRPr="00223C67">
              <w:rPr>
                <w:rFonts w:ascii="Times New Roman" w:hAnsi="Times New Roman" w:cs="Times New Roman"/>
                <w:noProof/>
                <w:webHidden/>
                <w:sz w:val="24"/>
                <w:szCs w:val="24"/>
              </w:rPr>
              <w:instrText xml:space="preserve"> PAGEREF _Toc214577171 \h </w:instrText>
            </w:r>
            <w:r w:rsidR="00DA6602" w:rsidRPr="00223C67">
              <w:rPr>
                <w:rFonts w:ascii="Times New Roman" w:hAnsi="Times New Roman" w:cs="Times New Roman"/>
                <w:noProof/>
                <w:webHidden/>
                <w:sz w:val="24"/>
                <w:szCs w:val="24"/>
              </w:rPr>
            </w:r>
            <w:r w:rsidR="00DA6602" w:rsidRPr="00223C67">
              <w:rPr>
                <w:rFonts w:ascii="Times New Roman" w:hAnsi="Times New Roman" w:cs="Times New Roman"/>
                <w:noProof/>
                <w:webHidden/>
                <w:sz w:val="24"/>
                <w:szCs w:val="24"/>
              </w:rPr>
              <w:fldChar w:fldCharType="separate"/>
            </w:r>
            <w:r w:rsidR="00DA6602" w:rsidRPr="00223C67">
              <w:rPr>
                <w:rFonts w:ascii="Times New Roman" w:hAnsi="Times New Roman" w:cs="Times New Roman"/>
                <w:noProof/>
                <w:webHidden/>
                <w:sz w:val="24"/>
                <w:szCs w:val="24"/>
              </w:rPr>
              <w:t>7</w:t>
            </w:r>
            <w:r w:rsidR="00DA6602" w:rsidRPr="00223C67">
              <w:rPr>
                <w:rFonts w:ascii="Times New Roman" w:hAnsi="Times New Roman" w:cs="Times New Roman"/>
                <w:noProof/>
                <w:webHidden/>
                <w:sz w:val="24"/>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2" w:history="1">
            <w:r w:rsidR="00DA6602" w:rsidRPr="00223C67">
              <w:rPr>
                <w:rStyle w:val="Hyperlink"/>
                <w:noProof/>
                <w:szCs w:val="24"/>
              </w:rPr>
              <w:t>2.3 SWOT Analysis</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_Toc214577172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8</w:t>
            </w:r>
            <w:r w:rsidR="00DA6602" w:rsidRPr="00223C67">
              <w:rPr>
                <w:noProof/>
                <w:webHidden/>
                <w:szCs w:val="24"/>
              </w:rPr>
              <w:fldChar w:fldCharType="end"/>
            </w:r>
          </w:hyperlink>
        </w:p>
        <w:p w:rsidR="00DA6602" w:rsidRPr="00223C67" w:rsidRDefault="00250A3D" w:rsidP="00DA6602">
          <w:pPr>
            <w:pStyle w:val="TOC1"/>
            <w:tabs>
              <w:tab w:val="right" w:leader="dot" w:pos="9350"/>
            </w:tabs>
            <w:rPr>
              <w:rFonts w:eastAsiaTheme="minorEastAsia"/>
              <w:noProof/>
              <w:szCs w:val="24"/>
            </w:rPr>
          </w:pPr>
          <w:hyperlink w:anchor="_Toc214577173" w:history="1">
            <w:r w:rsidR="00DA6602" w:rsidRPr="00223C67">
              <w:rPr>
                <w:rStyle w:val="Hyperlink"/>
                <w:noProof/>
                <w:szCs w:val="24"/>
              </w:rPr>
              <w:t>3. Strategy Formulation</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_Toc214577173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8</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4" w:history="1">
            <w:r w:rsidR="00DA6602" w:rsidRPr="00223C67">
              <w:rPr>
                <w:rStyle w:val="Hyperlink"/>
                <w:noProof/>
                <w:szCs w:val="24"/>
              </w:rPr>
              <w:t>3.1 Strategic Option 1: Accelerated Electrification and Battery Innovation</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_Toc214577174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8</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5" w:history="1">
            <w:r w:rsidR="00DA6602" w:rsidRPr="00223C67">
              <w:rPr>
                <w:rStyle w:val="Hyperlink"/>
                <w:noProof/>
                <w:szCs w:val="24"/>
              </w:rPr>
              <w:t>3.2 Strategic Option 2: Supply Chain Resilience and Localisation</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_Toc214577175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9</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6" w:history="1">
            <w:r w:rsidR="00DA6602" w:rsidRPr="00223C67">
              <w:rPr>
                <w:rStyle w:val="Hyperlink"/>
                <w:noProof/>
                <w:szCs w:val="24"/>
              </w:rPr>
              <w:t>3.3 Strategic Option 3: Sustainability-Led Value Proposition (“Modern Luxury”)</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_Toc214577176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9</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7" w:history="1">
            <w:r w:rsidR="00DA6602" w:rsidRPr="00223C67">
              <w:rPr>
                <w:rStyle w:val="Hyperlink"/>
                <w:noProof/>
                <w:szCs w:val="24"/>
              </w:rPr>
              <w:t>3.4 Strategic Option 4: Digital Transformation and Customer Experience Enhancement</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_Toc214577177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10</w:t>
            </w:r>
            <w:r w:rsidR="00DA6602" w:rsidRPr="00223C67">
              <w:rPr>
                <w:noProof/>
                <w:webHidden/>
                <w:szCs w:val="24"/>
              </w:rPr>
              <w:fldChar w:fldCharType="end"/>
            </w:r>
          </w:hyperlink>
        </w:p>
        <w:p w:rsidR="00DA6602" w:rsidRPr="00223C67" w:rsidRDefault="00250A3D" w:rsidP="00DA6602">
          <w:pPr>
            <w:pStyle w:val="TOC2"/>
            <w:tabs>
              <w:tab w:val="right" w:leader="dot" w:pos="9350"/>
            </w:tabs>
            <w:rPr>
              <w:rFonts w:eastAsiaTheme="minorEastAsia"/>
              <w:noProof/>
              <w:szCs w:val="24"/>
            </w:rPr>
          </w:pPr>
          <w:hyperlink w:anchor="_Toc214577178" w:history="1">
            <w:r w:rsidR="00DA6602" w:rsidRPr="00223C67">
              <w:rPr>
                <w:rStyle w:val="Hyperlink"/>
                <w:noProof/>
                <w:szCs w:val="24"/>
              </w:rPr>
              <w:t>3.5 Strategic Option 5: Strategic Market Expansion and Brand Repositioning</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_Toc214577178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10</w:t>
            </w:r>
            <w:r w:rsidR="00DA6602" w:rsidRPr="00223C67">
              <w:rPr>
                <w:noProof/>
                <w:webHidden/>
                <w:szCs w:val="24"/>
              </w:rPr>
              <w:fldChar w:fldCharType="end"/>
            </w:r>
          </w:hyperlink>
        </w:p>
        <w:p w:rsidR="00DA6602" w:rsidRPr="00223C67" w:rsidRDefault="00250A3D" w:rsidP="00DA6602">
          <w:pPr>
            <w:pStyle w:val="TOC1"/>
            <w:tabs>
              <w:tab w:val="right" w:leader="dot" w:pos="9350"/>
            </w:tabs>
            <w:rPr>
              <w:rFonts w:eastAsiaTheme="minorEastAsia"/>
              <w:noProof/>
              <w:szCs w:val="24"/>
            </w:rPr>
          </w:pPr>
          <w:hyperlink w:anchor="_Toc214577179" w:history="1">
            <w:r w:rsidR="00DA6602" w:rsidRPr="00223C67">
              <w:rPr>
                <w:rStyle w:val="Hyperlink"/>
                <w:noProof/>
                <w:szCs w:val="24"/>
              </w:rPr>
              <w:t>4. Conclusion and Recommendations</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_Toc214577179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11</w:t>
            </w:r>
            <w:r w:rsidR="00DA6602" w:rsidRPr="00223C67">
              <w:rPr>
                <w:noProof/>
                <w:webHidden/>
                <w:szCs w:val="24"/>
              </w:rPr>
              <w:fldChar w:fldCharType="end"/>
            </w:r>
          </w:hyperlink>
        </w:p>
        <w:p w:rsidR="00DA6602" w:rsidRPr="00223C67" w:rsidRDefault="00250A3D" w:rsidP="00DA6602">
          <w:pPr>
            <w:pStyle w:val="TOC1"/>
            <w:tabs>
              <w:tab w:val="right" w:leader="dot" w:pos="9350"/>
            </w:tabs>
            <w:rPr>
              <w:rFonts w:eastAsiaTheme="minorEastAsia"/>
              <w:noProof/>
              <w:szCs w:val="24"/>
            </w:rPr>
          </w:pPr>
          <w:hyperlink w:anchor="_Toc214577180" w:history="1">
            <w:r w:rsidR="00DA6602" w:rsidRPr="00223C67">
              <w:rPr>
                <w:rStyle w:val="Hyperlink"/>
                <w:noProof/>
                <w:szCs w:val="24"/>
              </w:rPr>
              <w:t>5. References</w:t>
            </w:r>
            <w:r w:rsidR="00DA6602" w:rsidRPr="00223C67">
              <w:rPr>
                <w:noProof/>
                <w:webHidden/>
                <w:szCs w:val="24"/>
              </w:rPr>
              <w:tab/>
            </w:r>
            <w:r w:rsidR="00DA6602" w:rsidRPr="00223C67">
              <w:rPr>
                <w:noProof/>
                <w:webHidden/>
                <w:szCs w:val="24"/>
              </w:rPr>
              <w:fldChar w:fldCharType="begin"/>
            </w:r>
            <w:r w:rsidR="00DA6602" w:rsidRPr="00223C67">
              <w:rPr>
                <w:noProof/>
                <w:webHidden/>
                <w:szCs w:val="24"/>
              </w:rPr>
              <w:instrText xml:space="preserve"> PAGEREF _Toc214577180 \h </w:instrText>
            </w:r>
            <w:r w:rsidR="00DA6602" w:rsidRPr="00223C67">
              <w:rPr>
                <w:noProof/>
                <w:webHidden/>
                <w:szCs w:val="24"/>
              </w:rPr>
            </w:r>
            <w:r w:rsidR="00DA6602" w:rsidRPr="00223C67">
              <w:rPr>
                <w:noProof/>
                <w:webHidden/>
                <w:szCs w:val="24"/>
              </w:rPr>
              <w:fldChar w:fldCharType="separate"/>
            </w:r>
            <w:r w:rsidR="00DA6602" w:rsidRPr="00223C67">
              <w:rPr>
                <w:noProof/>
                <w:webHidden/>
                <w:szCs w:val="24"/>
              </w:rPr>
              <w:t>12</w:t>
            </w:r>
            <w:r w:rsidR="00DA6602" w:rsidRPr="00223C67">
              <w:rPr>
                <w:noProof/>
                <w:webHidden/>
                <w:szCs w:val="24"/>
              </w:rPr>
              <w:fldChar w:fldCharType="end"/>
            </w:r>
          </w:hyperlink>
        </w:p>
        <w:p w:rsidR="00DA6602" w:rsidRPr="00223C67" w:rsidRDefault="00DA6602" w:rsidP="00DA6602">
          <w:pPr>
            <w:rPr>
              <w:szCs w:val="24"/>
            </w:rPr>
          </w:pPr>
          <w:r w:rsidRPr="00223C67">
            <w:rPr>
              <w:b/>
              <w:bCs/>
              <w:noProof/>
              <w:szCs w:val="24"/>
            </w:rPr>
            <w:fldChar w:fldCharType="end"/>
          </w:r>
        </w:p>
      </w:sdtContent>
    </w:sdt>
    <w:p w:rsidR="00DA6602" w:rsidRPr="00223C67" w:rsidRDefault="00DA6602" w:rsidP="00DA6602">
      <w:pPr>
        <w:rPr>
          <w:szCs w:val="24"/>
        </w:rPr>
      </w:pPr>
    </w:p>
    <w:p w:rsidR="00DA6602" w:rsidRPr="00223C67" w:rsidRDefault="00DA6602" w:rsidP="00DA6602">
      <w:pPr>
        <w:rPr>
          <w:b/>
          <w:bCs/>
          <w:szCs w:val="24"/>
        </w:rPr>
      </w:pPr>
      <w:r w:rsidRPr="00223C67">
        <w:rPr>
          <w:b/>
          <w:bCs/>
          <w:szCs w:val="24"/>
        </w:rPr>
        <w:br w:type="page"/>
      </w:r>
    </w:p>
    <w:p w:rsidR="00DA6602" w:rsidRPr="00223C67" w:rsidRDefault="00DA6602" w:rsidP="00DA6602">
      <w:pPr>
        <w:pStyle w:val="Heading1"/>
        <w:rPr>
          <w:szCs w:val="24"/>
        </w:rPr>
      </w:pPr>
      <w:bookmarkStart w:id="2" w:name="_Toc214577164"/>
      <w:r w:rsidRPr="00223C67">
        <w:rPr>
          <w:szCs w:val="24"/>
        </w:rPr>
        <w:lastRenderedPageBreak/>
        <w:t>1. Introduction</w:t>
      </w:r>
      <w:bookmarkEnd w:id="2"/>
      <w:r w:rsidRPr="00223C67">
        <w:rPr>
          <w:szCs w:val="24"/>
        </w:rPr>
        <w:t xml:space="preserve"> </w:t>
      </w:r>
    </w:p>
    <w:p w:rsidR="00DA6602" w:rsidRPr="00223C67" w:rsidRDefault="00DA6602" w:rsidP="00DA6602">
      <w:pPr>
        <w:rPr>
          <w:szCs w:val="24"/>
        </w:rPr>
      </w:pPr>
      <w:r w:rsidRPr="00223C67">
        <w:rPr>
          <w:szCs w:val="24"/>
        </w:rPr>
        <w:t xml:space="preserve">The strategic management is a key area in determining the direction of </w:t>
      </w:r>
      <w:r w:rsidR="00594812" w:rsidRPr="00223C67">
        <w:rPr>
          <w:szCs w:val="24"/>
        </w:rPr>
        <w:t>organizations</w:t>
      </w:r>
      <w:r w:rsidRPr="00223C67">
        <w:rPr>
          <w:szCs w:val="24"/>
        </w:rPr>
        <w:t xml:space="preserve">, long term competitiveness and decision making during complex environmental forces. With the current markets experiencing rapid changes in their technological, regulatory and societal environments, companies are turning to strategic management to make sense of the external environment, </w:t>
      </w:r>
      <w:r w:rsidR="00594812" w:rsidRPr="00223C67">
        <w:rPr>
          <w:szCs w:val="24"/>
        </w:rPr>
        <w:t>harmoniz</w:t>
      </w:r>
      <w:r w:rsidRPr="00223C67">
        <w:rPr>
          <w:szCs w:val="24"/>
        </w:rPr>
        <w:t xml:space="preserve">e their internal assets and create proactive reaction. </w:t>
      </w:r>
      <w:r w:rsidRPr="00223C67">
        <w:rPr>
          <w:szCs w:val="24"/>
          <w:shd w:val="clear" w:color="auto" w:fill="FFFFFF"/>
        </w:rPr>
        <w:t xml:space="preserve">Bryson et al. (2018) </w:t>
      </w:r>
      <w:r w:rsidRPr="00223C67">
        <w:rPr>
          <w:szCs w:val="24"/>
        </w:rPr>
        <w:t xml:space="preserve">highlighted that strategic management allows </w:t>
      </w:r>
      <w:r w:rsidR="00594812" w:rsidRPr="00223C67">
        <w:rPr>
          <w:szCs w:val="24"/>
        </w:rPr>
        <w:t>organizations</w:t>
      </w:r>
      <w:r w:rsidRPr="00223C67">
        <w:rPr>
          <w:szCs w:val="24"/>
        </w:rPr>
        <w:t xml:space="preserve"> to see change coming, develop value and maintain competitive advantage in volatile environments.</w:t>
      </w:r>
    </w:p>
    <w:p w:rsidR="00DA6602" w:rsidRPr="00223C67" w:rsidRDefault="00DA6602" w:rsidP="00DA6602">
      <w:pPr>
        <w:rPr>
          <w:szCs w:val="24"/>
        </w:rPr>
      </w:pPr>
      <w:r w:rsidRPr="00223C67">
        <w:rPr>
          <w:szCs w:val="24"/>
        </w:rPr>
        <w:t>Jaguar Land Rover (JLR) is the largest automotive company in the UK since it was owned by the Tata Motors in 2008 and a worldwide renowned manufacturer of luxury cars. Its main brands that are luxury and performance based, including Jaguar and Land Rover, are in the luxury and performance segments. In the past ten years, JLR experienced a fall in the demand of diesel, an increase of the electrification pressure, instability of the supply chains, and uncertainty in the economy. The company reacted by introducing its Reimagine strategy in 2021 to shift to the electric vehicles (EVs) market, enhance the efficiency of its operations, and amplify its sustainability results.</w:t>
      </w:r>
    </w:p>
    <w:p w:rsidR="00DA6602" w:rsidRPr="00223C67" w:rsidRDefault="00DA6602" w:rsidP="00DA6602">
      <w:pPr>
        <w:rPr>
          <w:szCs w:val="24"/>
        </w:rPr>
      </w:pPr>
      <w:r w:rsidRPr="00223C67">
        <w:rPr>
          <w:szCs w:val="24"/>
        </w:rPr>
        <w:t xml:space="preserve">JLR is a company that aims at producing modern and sustainable luxury cars, which fuse engineering with cutting-edge technology. Its vision is to be a fully electric luxury brand in 2030 and </w:t>
      </w:r>
      <w:r w:rsidR="00594812" w:rsidRPr="00223C67">
        <w:rPr>
          <w:szCs w:val="24"/>
        </w:rPr>
        <w:t>realize</w:t>
      </w:r>
      <w:r w:rsidRPr="00223C67">
        <w:rPr>
          <w:szCs w:val="24"/>
        </w:rPr>
        <w:t xml:space="preserve"> net-zero carbon emission throughout its supply chain by 2039. The aims of the </w:t>
      </w:r>
      <w:r w:rsidR="00594812" w:rsidRPr="00223C67">
        <w:rPr>
          <w:szCs w:val="24"/>
        </w:rPr>
        <w:t>organization</w:t>
      </w:r>
      <w:r w:rsidRPr="00223C67">
        <w:rPr>
          <w:szCs w:val="24"/>
        </w:rPr>
        <w:t xml:space="preserve"> are geared towards electrification, digital innovation, global competitiveness, and financial resilience.</w:t>
      </w:r>
    </w:p>
    <w:p w:rsidR="00594812" w:rsidRPr="00223C67" w:rsidRDefault="00594812" w:rsidP="00DA6602">
      <w:pPr>
        <w:rPr>
          <w:szCs w:val="24"/>
        </w:rPr>
      </w:pPr>
    </w:p>
    <w:p w:rsidR="00DA6602" w:rsidRPr="00223C67" w:rsidRDefault="00DA6602" w:rsidP="00DA6602">
      <w:pPr>
        <w:pStyle w:val="Heading1"/>
        <w:rPr>
          <w:szCs w:val="24"/>
        </w:rPr>
      </w:pPr>
      <w:bookmarkStart w:id="3" w:name="_Toc214577165"/>
      <w:r w:rsidRPr="00223C67">
        <w:rPr>
          <w:szCs w:val="24"/>
        </w:rPr>
        <w:t>2. Strategy Analysis</w:t>
      </w:r>
      <w:bookmarkEnd w:id="3"/>
      <w:r w:rsidRPr="00223C67">
        <w:rPr>
          <w:szCs w:val="24"/>
        </w:rPr>
        <w:t xml:space="preserve"> </w:t>
      </w:r>
    </w:p>
    <w:p w:rsidR="00DA6602" w:rsidRPr="00223C67" w:rsidRDefault="00DA6602" w:rsidP="00594812">
      <w:pPr>
        <w:pStyle w:val="Heading2"/>
      </w:pPr>
      <w:bookmarkStart w:id="4" w:name="_Toc214577166"/>
      <w:r w:rsidRPr="00223C67">
        <w:t>2.1 External Environment Audit</w:t>
      </w:r>
      <w:bookmarkEnd w:id="4"/>
    </w:p>
    <w:p w:rsidR="00DA6602" w:rsidRPr="00223C67" w:rsidRDefault="00DA6602" w:rsidP="00DA6602">
      <w:pPr>
        <w:pStyle w:val="Heading3"/>
        <w:rPr>
          <w:rFonts w:cs="Times New Roman"/>
        </w:rPr>
      </w:pPr>
      <w:bookmarkStart w:id="5" w:name="_Toc214577167"/>
      <w:r w:rsidRPr="00223C67">
        <w:rPr>
          <w:rFonts w:cs="Times New Roman"/>
        </w:rPr>
        <w:t>2.1.1 PESTLE Analysis</w:t>
      </w:r>
      <w:bookmarkEnd w:id="5"/>
    </w:p>
    <w:p w:rsidR="00DA6602" w:rsidRPr="00223C67" w:rsidRDefault="00DA6602" w:rsidP="00DA6602">
      <w:pPr>
        <w:rPr>
          <w:bCs/>
          <w:szCs w:val="24"/>
        </w:rPr>
      </w:pPr>
      <w:r w:rsidRPr="00223C67">
        <w:rPr>
          <w:b/>
          <w:bCs/>
          <w:szCs w:val="24"/>
        </w:rPr>
        <w:t>Political Factors</w:t>
      </w:r>
      <w:r w:rsidRPr="00223C67">
        <w:rPr>
          <w:bCs/>
          <w:szCs w:val="24"/>
        </w:rPr>
        <w:t xml:space="preserve">: The automotive industry of the UK is highly influenced by the government policies, especially the </w:t>
      </w:r>
      <w:r w:rsidR="00594812" w:rsidRPr="00223C67">
        <w:rPr>
          <w:bCs/>
          <w:szCs w:val="24"/>
        </w:rPr>
        <w:t>decarburization</w:t>
      </w:r>
      <w:r w:rsidRPr="00223C67">
        <w:rPr>
          <w:bCs/>
          <w:szCs w:val="24"/>
        </w:rPr>
        <w:t xml:space="preserve"> policies. The Zero Emission Vehicle (ZEV) policy by the UK government mandates gradual advancement of the number of EVs sold, which has a major impact on the strategic priorities (</w:t>
      </w:r>
      <w:r w:rsidRPr="00223C67">
        <w:rPr>
          <w:szCs w:val="24"/>
          <w:shd w:val="clear" w:color="auto" w:fill="FFFFFF"/>
        </w:rPr>
        <w:t>Nicholas and Lutsey, 2020</w:t>
      </w:r>
      <w:r w:rsidRPr="00223C67">
        <w:rPr>
          <w:bCs/>
          <w:szCs w:val="24"/>
        </w:rPr>
        <w:t xml:space="preserve">). The Brexit trade agreements have </w:t>
      </w:r>
      <w:r w:rsidRPr="00223C67">
        <w:rPr>
          <w:bCs/>
          <w:szCs w:val="24"/>
        </w:rPr>
        <w:lastRenderedPageBreak/>
        <w:t>also come with new cost and regulatory burdens on the exporters that affect the supply chain and market access of JLR.</w:t>
      </w:r>
    </w:p>
    <w:p w:rsidR="00DA6602" w:rsidRPr="00223C67" w:rsidRDefault="00DA6602" w:rsidP="00DA6602">
      <w:pPr>
        <w:rPr>
          <w:bCs/>
          <w:szCs w:val="24"/>
        </w:rPr>
      </w:pPr>
      <w:r w:rsidRPr="00223C67">
        <w:rPr>
          <w:b/>
          <w:bCs/>
          <w:szCs w:val="24"/>
        </w:rPr>
        <w:t>Economic Factors</w:t>
      </w:r>
      <w:r w:rsidRPr="00223C67">
        <w:rPr>
          <w:bCs/>
          <w:szCs w:val="24"/>
        </w:rPr>
        <w:t>: Economic changes such as inflation, currency changes, and high cost of production, influence the consumer demand of high end vehicles. Studies show that the luxury automotive brands are more susceptible to the global economic uncertainty because they are price sensitive and rely on the international markets. Additional cost pressure has been caused by supply chain disruptions and shortages of semiconductors.</w:t>
      </w:r>
    </w:p>
    <w:p w:rsidR="00DA6602" w:rsidRPr="00223C67" w:rsidRDefault="00DA6602" w:rsidP="00DA6602">
      <w:pPr>
        <w:rPr>
          <w:bCs/>
          <w:szCs w:val="24"/>
        </w:rPr>
      </w:pPr>
      <w:r w:rsidRPr="00223C67">
        <w:rPr>
          <w:b/>
          <w:bCs/>
          <w:szCs w:val="24"/>
        </w:rPr>
        <w:t>Social Factors</w:t>
      </w:r>
      <w:r w:rsidRPr="00223C67">
        <w:rPr>
          <w:bCs/>
          <w:szCs w:val="24"/>
        </w:rPr>
        <w:t xml:space="preserve">: Consumer preferences are changing to sustainable mobility, digitally enhanced driving experiences, and </w:t>
      </w:r>
      <w:r w:rsidR="00594812" w:rsidRPr="00223C67">
        <w:rPr>
          <w:bCs/>
          <w:szCs w:val="24"/>
        </w:rPr>
        <w:t>personalized</w:t>
      </w:r>
      <w:r w:rsidRPr="00223C67">
        <w:rPr>
          <w:bCs/>
          <w:szCs w:val="24"/>
        </w:rPr>
        <w:t xml:space="preserve"> services. Research indicates that there is a growing social demand of environmental responsibility, which has a considerable influence on brand perception and consumer trust (</w:t>
      </w:r>
      <w:r w:rsidRPr="00223C67">
        <w:rPr>
          <w:szCs w:val="24"/>
          <w:shd w:val="clear" w:color="auto" w:fill="FFFFFF"/>
        </w:rPr>
        <w:t>Keil and Steinberger, 2024</w:t>
      </w:r>
      <w:r w:rsidRPr="00223C67">
        <w:rPr>
          <w:bCs/>
          <w:szCs w:val="24"/>
        </w:rPr>
        <w:t>). The younger generations also favour being connected with the use of technology, which is why the demand of smart vehicles has emerged.</w:t>
      </w:r>
    </w:p>
    <w:p w:rsidR="00DA6602" w:rsidRPr="00223C67" w:rsidRDefault="00DA6602" w:rsidP="00DA6602">
      <w:pPr>
        <w:rPr>
          <w:bCs/>
          <w:szCs w:val="24"/>
        </w:rPr>
      </w:pPr>
      <w:r w:rsidRPr="00223C67">
        <w:rPr>
          <w:b/>
          <w:bCs/>
          <w:szCs w:val="24"/>
        </w:rPr>
        <w:t>Technological Factors</w:t>
      </w:r>
      <w:r w:rsidRPr="00223C67">
        <w:rPr>
          <w:bCs/>
          <w:szCs w:val="24"/>
        </w:rPr>
        <w:t xml:space="preserve">: Automotive competition is changing due to quick change in technology. The future of the EV technology, autonomy systems, battery technology, and digital connectivity are now required areas to invest in. </w:t>
      </w:r>
      <w:r w:rsidRPr="00223C67">
        <w:rPr>
          <w:szCs w:val="24"/>
          <w:shd w:val="clear" w:color="auto" w:fill="FFFFFF"/>
        </w:rPr>
        <w:t xml:space="preserve">Ajanovic (2022) </w:t>
      </w:r>
      <w:r w:rsidRPr="00223C67">
        <w:rPr>
          <w:bCs/>
          <w:szCs w:val="24"/>
        </w:rPr>
        <w:t>stated that companies that fail to change with technological shifts will lose relevance on the market. In the case of JLR, the technology capability is essential in competing with other companies such as Tesla and BMW.</w:t>
      </w:r>
    </w:p>
    <w:p w:rsidR="00DA6602" w:rsidRPr="00223C67" w:rsidRDefault="00DA6602" w:rsidP="00DA6602">
      <w:pPr>
        <w:rPr>
          <w:bCs/>
          <w:szCs w:val="24"/>
        </w:rPr>
      </w:pPr>
      <w:r w:rsidRPr="00223C67">
        <w:rPr>
          <w:b/>
          <w:bCs/>
          <w:szCs w:val="24"/>
        </w:rPr>
        <w:t>Legal Factors</w:t>
      </w:r>
      <w:r w:rsidRPr="00223C67">
        <w:rPr>
          <w:bCs/>
          <w:szCs w:val="24"/>
        </w:rPr>
        <w:t>: There are stringent emission and safety regulations and information protection laws that directly affect the automotive activities. The law requires adherence to the principles of sustainability and carbon-cutting paths, and legal compliance is a costly and yet mandatory requirement (</w:t>
      </w:r>
      <w:r w:rsidRPr="00223C67">
        <w:rPr>
          <w:szCs w:val="24"/>
          <w:shd w:val="clear" w:color="auto" w:fill="FFFFFF"/>
        </w:rPr>
        <w:t>Kunskaja and Budzyński, 2024</w:t>
      </w:r>
      <w:r w:rsidRPr="00223C67">
        <w:rPr>
          <w:bCs/>
          <w:szCs w:val="24"/>
        </w:rPr>
        <w:t>).</w:t>
      </w:r>
    </w:p>
    <w:p w:rsidR="00DA6602" w:rsidRPr="00223C67" w:rsidRDefault="00DA6602" w:rsidP="00DA6602">
      <w:pPr>
        <w:rPr>
          <w:bCs/>
          <w:szCs w:val="24"/>
        </w:rPr>
      </w:pPr>
      <w:r w:rsidRPr="00223C67">
        <w:rPr>
          <w:b/>
          <w:bCs/>
          <w:szCs w:val="24"/>
        </w:rPr>
        <w:t>Environmental Factors</w:t>
      </w:r>
      <w:r w:rsidRPr="00223C67">
        <w:rPr>
          <w:bCs/>
          <w:szCs w:val="24"/>
        </w:rPr>
        <w:t>: Environmental pressures are considered to be the highly transformative. The strategy in the industry has been redefined by policies on climate change, a promise of carbon neutrality and sustainable materials. To become competitive, automakers need to consider sustainability throughout the whole value chain (</w:t>
      </w:r>
      <w:r w:rsidRPr="00223C67">
        <w:rPr>
          <w:szCs w:val="24"/>
          <w:shd w:val="clear" w:color="auto" w:fill="FFFFFF"/>
        </w:rPr>
        <w:t>He et al., 2022</w:t>
      </w:r>
      <w:r w:rsidRPr="00223C67">
        <w:rPr>
          <w:bCs/>
          <w:szCs w:val="24"/>
        </w:rPr>
        <w:t>). The environmental performance of JLR is hence being examined closely.</w:t>
      </w:r>
    </w:p>
    <w:p w:rsidR="00DA6602" w:rsidRPr="00223C67" w:rsidRDefault="00DA6602" w:rsidP="00DA6602">
      <w:pPr>
        <w:pStyle w:val="Heading3"/>
        <w:rPr>
          <w:rFonts w:cs="Times New Roman"/>
        </w:rPr>
      </w:pPr>
      <w:bookmarkStart w:id="6" w:name="_Toc214577168"/>
      <w:r w:rsidRPr="00223C67">
        <w:rPr>
          <w:rFonts w:cs="Times New Roman"/>
        </w:rPr>
        <w:t>2.1.2 Porter’s Five Forces</w:t>
      </w:r>
      <w:bookmarkEnd w:id="6"/>
    </w:p>
    <w:p w:rsidR="00DA6602" w:rsidRPr="00223C67" w:rsidRDefault="00594812" w:rsidP="00DA6602">
      <w:pPr>
        <w:rPr>
          <w:bCs/>
          <w:szCs w:val="24"/>
        </w:rPr>
      </w:pPr>
      <w:r w:rsidRPr="00223C67">
        <w:rPr>
          <w:b/>
          <w:bCs/>
          <w:szCs w:val="24"/>
        </w:rPr>
        <w:t xml:space="preserve">Threat of New Entrants - </w:t>
      </w:r>
      <w:r w:rsidR="00DA6602" w:rsidRPr="00223C67">
        <w:rPr>
          <w:b/>
          <w:bCs/>
          <w:szCs w:val="24"/>
        </w:rPr>
        <w:t>Low</w:t>
      </w:r>
      <w:r w:rsidR="00DA6602" w:rsidRPr="00223C67">
        <w:rPr>
          <w:bCs/>
          <w:szCs w:val="24"/>
        </w:rPr>
        <w:t xml:space="preserve">: The automobile industry is </w:t>
      </w:r>
      <w:r w:rsidRPr="00223C67">
        <w:rPr>
          <w:bCs/>
          <w:szCs w:val="24"/>
        </w:rPr>
        <w:t>characterized</w:t>
      </w:r>
      <w:r w:rsidR="00DA6602" w:rsidRPr="00223C67">
        <w:rPr>
          <w:bCs/>
          <w:szCs w:val="24"/>
        </w:rPr>
        <w:t xml:space="preserve"> by capital investment, technological research and development and strict compliance to regulations. There is also customer loyalty to the established brands. </w:t>
      </w:r>
      <w:r w:rsidR="00DA6602" w:rsidRPr="00223C67">
        <w:rPr>
          <w:szCs w:val="24"/>
          <w:shd w:val="clear" w:color="auto" w:fill="FFFFFF"/>
        </w:rPr>
        <w:t xml:space="preserve">Sangannagari (2022) </w:t>
      </w:r>
      <w:r w:rsidR="00DA6602" w:rsidRPr="00223C67">
        <w:rPr>
          <w:bCs/>
          <w:szCs w:val="24"/>
        </w:rPr>
        <w:t xml:space="preserve">identified these barriers to entry </w:t>
      </w:r>
      <w:r w:rsidR="00DA6602" w:rsidRPr="00223C67">
        <w:rPr>
          <w:bCs/>
          <w:szCs w:val="24"/>
        </w:rPr>
        <w:lastRenderedPageBreak/>
        <w:t>as an obstacle to new entrants trying to compete with the incumbents, although technology companies such as Tesla have altered this situation.</w:t>
      </w:r>
    </w:p>
    <w:p w:rsidR="00DA6602" w:rsidRPr="00223C67" w:rsidRDefault="00594812" w:rsidP="00DA6602">
      <w:pPr>
        <w:rPr>
          <w:bCs/>
          <w:szCs w:val="24"/>
        </w:rPr>
      </w:pPr>
      <w:r w:rsidRPr="00223C67">
        <w:rPr>
          <w:b/>
          <w:bCs/>
          <w:szCs w:val="24"/>
        </w:rPr>
        <w:t>Bargaining Power of Suppliers -</w:t>
      </w:r>
      <w:r w:rsidR="00DA6602" w:rsidRPr="00223C67">
        <w:rPr>
          <w:b/>
          <w:bCs/>
          <w:szCs w:val="24"/>
        </w:rPr>
        <w:t xml:space="preserve"> Moderate to High</w:t>
      </w:r>
      <w:r w:rsidR="00DA6602" w:rsidRPr="00223C67">
        <w:rPr>
          <w:bCs/>
          <w:szCs w:val="24"/>
        </w:rPr>
        <w:t xml:space="preserve">: </w:t>
      </w:r>
      <w:r w:rsidRPr="00223C67">
        <w:rPr>
          <w:bCs/>
          <w:szCs w:val="24"/>
        </w:rPr>
        <w:t>Specialized</w:t>
      </w:r>
      <w:r w:rsidR="00DA6602" w:rsidRPr="00223C67">
        <w:rPr>
          <w:bCs/>
          <w:szCs w:val="24"/>
        </w:rPr>
        <w:t xml:space="preserve"> inputs, particularly batteries and semiconductors provide suppliers with significant power. The case of global semiconductor shortage demonstrates that automakers rely on a limited number of suppliers (</w:t>
      </w:r>
      <w:r w:rsidR="00DA6602" w:rsidRPr="00223C67">
        <w:rPr>
          <w:szCs w:val="24"/>
          <w:shd w:val="clear" w:color="auto" w:fill="FFFFFF"/>
        </w:rPr>
        <w:t>Burkacky et al., 2022</w:t>
      </w:r>
      <w:r w:rsidR="00DA6602" w:rsidRPr="00223C67">
        <w:rPr>
          <w:bCs/>
          <w:szCs w:val="24"/>
        </w:rPr>
        <w:t>). The dependency of JLR on external battery vendors makes the company strategically vulnerable.</w:t>
      </w:r>
    </w:p>
    <w:p w:rsidR="00DA6602" w:rsidRPr="00223C67" w:rsidRDefault="00594812" w:rsidP="00DA6602">
      <w:pPr>
        <w:rPr>
          <w:bCs/>
          <w:szCs w:val="24"/>
        </w:rPr>
      </w:pPr>
      <w:r w:rsidRPr="00223C67">
        <w:rPr>
          <w:b/>
          <w:bCs/>
          <w:szCs w:val="24"/>
        </w:rPr>
        <w:t xml:space="preserve">Bargaining Power of Buyers - </w:t>
      </w:r>
      <w:r w:rsidR="00DA6602" w:rsidRPr="00223C67">
        <w:rPr>
          <w:b/>
          <w:bCs/>
          <w:szCs w:val="24"/>
        </w:rPr>
        <w:t>Moderate</w:t>
      </w:r>
      <w:r w:rsidR="00DA6602" w:rsidRPr="00223C67">
        <w:rPr>
          <w:bCs/>
          <w:szCs w:val="24"/>
        </w:rPr>
        <w:t>: Luxury consumers are demanding high quality and technological advancement. With the growth in the number of substitutes, consumers have been price sensitive particularly in times of economic uncertainty. Vehicles in different brands can be readily compared by buyers, which increases their bargaining power.</w:t>
      </w:r>
    </w:p>
    <w:p w:rsidR="00DA6602" w:rsidRPr="00223C67" w:rsidRDefault="00594812" w:rsidP="00DA6602">
      <w:pPr>
        <w:rPr>
          <w:bCs/>
          <w:szCs w:val="24"/>
        </w:rPr>
      </w:pPr>
      <w:r w:rsidRPr="00223C67">
        <w:rPr>
          <w:b/>
          <w:bCs/>
          <w:szCs w:val="24"/>
        </w:rPr>
        <w:t xml:space="preserve">Threat of Substitutes - </w:t>
      </w:r>
      <w:r w:rsidR="00DA6602" w:rsidRPr="00223C67">
        <w:rPr>
          <w:b/>
          <w:bCs/>
          <w:szCs w:val="24"/>
        </w:rPr>
        <w:t>Incremental</w:t>
      </w:r>
      <w:r w:rsidR="00DA6602" w:rsidRPr="00223C67">
        <w:rPr>
          <w:bCs/>
          <w:szCs w:val="24"/>
        </w:rPr>
        <w:t>: Public transport, vehicle sharing services and other viable mobility options are on the rise especially among urban consumers. It is argued that in the long term, the changes in society in favour of mobility-as-a-service could lead to a decrease in the number of traditional vehicles (</w:t>
      </w:r>
      <w:r w:rsidR="00DA6602" w:rsidRPr="00223C67">
        <w:rPr>
          <w:szCs w:val="24"/>
          <w:shd w:val="clear" w:color="auto" w:fill="FFFFFF"/>
        </w:rPr>
        <w:t>Eckhardt et al., 2018</w:t>
      </w:r>
      <w:r w:rsidR="00DA6602" w:rsidRPr="00223C67">
        <w:rPr>
          <w:bCs/>
          <w:szCs w:val="24"/>
        </w:rPr>
        <w:t>).</w:t>
      </w:r>
    </w:p>
    <w:p w:rsidR="00DA6602" w:rsidRPr="00223C67" w:rsidRDefault="00DA6602" w:rsidP="00DA6602">
      <w:pPr>
        <w:rPr>
          <w:bCs/>
          <w:szCs w:val="24"/>
        </w:rPr>
      </w:pPr>
      <w:r w:rsidRPr="00223C67">
        <w:rPr>
          <w:b/>
          <w:bCs/>
          <w:szCs w:val="24"/>
        </w:rPr>
        <w:t>Competitiv</w:t>
      </w:r>
      <w:r w:rsidR="00594812" w:rsidRPr="00223C67">
        <w:rPr>
          <w:b/>
          <w:bCs/>
          <w:szCs w:val="24"/>
        </w:rPr>
        <w:t>e Rivalry -</w:t>
      </w:r>
      <w:r w:rsidRPr="00223C67">
        <w:rPr>
          <w:b/>
          <w:bCs/>
          <w:szCs w:val="24"/>
        </w:rPr>
        <w:t xml:space="preserve"> High</w:t>
      </w:r>
      <w:r w:rsidRPr="00223C67">
        <w:rPr>
          <w:bCs/>
          <w:szCs w:val="24"/>
        </w:rPr>
        <w:t>: The competition is very strong, and all large luxury brands, including BMW, Mercedes-Benz, Audi, and Lexus, invest heavily in electrification. The necessity of innovation, marketing, and brand differentiation increases the competitive rivalry. The transition to EVs has also enhanced competition with companies striving to be technologically effective and successful.</w:t>
      </w:r>
    </w:p>
    <w:p w:rsidR="005E24CC" w:rsidRPr="00223C67" w:rsidRDefault="005E24CC" w:rsidP="00DA6602">
      <w:pPr>
        <w:rPr>
          <w:bCs/>
          <w:szCs w:val="24"/>
        </w:rPr>
      </w:pPr>
    </w:p>
    <w:p w:rsidR="00DA6602" w:rsidRPr="00223C67" w:rsidRDefault="00DA6602" w:rsidP="00DA6602">
      <w:pPr>
        <w:pStyle w:val="Heading2"/>
        <w:rPr>
          <w:sz w:val="24"/>
          <w:szCs w:val="24"/>
        </w:rPr>
      </w:pPr>
      <w:bookmarkStart w:id="7" w:name="_Toc214577169"/>
      <w:r w:rsidRPr="00223C67">
        <w:rPr>
          <w:sz w:val="24"/>
          <w:szCs w:val="24"/>
        </w:rPr>
        <w:t>2.2 Internal Environment Audit</w:t>
      </w:r>
      <w:bookmarkEnd w:id="7"/>
    </w:p>
    <w:p w:rsidR="00DA6602" w:rsidRPr="00223C67" w:rsidRDefault="00DA6602" w:rsidP="00DA6602">
      <w:pPr>
        <w:pStyle w:val="Heading3"/>
        <w:rPr>
          <w:rFonts w:cs="Times New Roman"/>
        </w:rPr>
      </w:pPr>
      <w:bookmarkStart w:id="8" w:name="_Toc214577170"/>
      <w:r w:rsidRPr="00223C67">
        <w:rPr>
          <w:rFonts w:cs="Times New Roman"/>
        </w:rPr>
        <w:t>2.2.1 Value Chain Analysis</w:t>
      </w:r>
      <w:bookmarkEnd w:id="8"/>
    </w:p>
    <w:p w:rsidR="00DA6602" w:rsidRPr="00223C67" w:rsidRDefault="00DA6602" w:rsidP="00DA6602">
      <w:pPr>
        <w:rPr>
          <w:szCs w:val="24"/>
        </w:rPr>
      </w:pPr>
      <w:r w:rsidRPr="00223C67">
        <w:rPr>
          <w:szCs w:val="24"/>
        </w:rPr>
        <w:t>The inbound logistics of JLR include international supply chain, which assists in the production of the company in the UK and abroad plants. Although the company has had long-term relationships with its suppliers, its dependence on global suppliers puts JLR at risk of being derailed. The company has good manufacturing capacities on its operational front, although it is facing challenges of ageing facilities and high cost of production. Electric platforms are also costly to launch.</w:t>
      </w:r>
    </w:p>
    <w:p w:rsidR="00DA6602" w:rsidRPr="00223C67" w:rsidRDefault="00DA6602" w:rsidP="00DA6602">
      <w:pPr>
        <w:rPr>
          <w:szCs w:val="24"/>
        </w:rPr>
      </w:pPr>
      <w:r w:rsidRPr="00223C67">
        <w:rPr>
          <w:szCs w:val="24"/>
        </w:rPr>
        <w:t xml:space="preserve">JLR enjoys a large network of distribution globally in terms of outbound logistics. The marketing and sale processes are based on the power of the Jaguar and Land Rover brands with the help of </w:t>
      </w:r>
      <w:r w:rsidRPr="00223C67">
        <w:rPr>
          <w:szCs w:val="24"/>
        </w:rPr>
        <w:lastRenderedPageBreak/>
        <w:t>dealership networks and online interaction platforms. After-sales services help to build brand loyalty but need to be digitally enhanced.</w:t>
      </w:r>
    </w:p>
    <w:p w:rsidR="00DA6602" w:rsidRPr="00223C67" w:rsidRDefault="00DA6602" w:rsidP="00DA6602">
      <w:pPr>
        <w:rPr>
          <w:szCs w:val="24"/>
        </w:rPr>
      </w:pPr>
      <w:r w:rsidRPr="00223C67">
        <w:rPr>
          <w:szCs w:val="24"/>
        </w:rPr>
        <w:t>Other support activities include human resource, R&amp;D and technology development which are very important strengths. JLR puts significant investment on design, engineering and electrification technologies. However, the company has been experiencing financial instability, which has impacted on long-term investments in R&amp;D. The digital transformation is one of the areas that need additional investments to keep up with the competition that has embraced a sophisticated software-based architecture.</w:t>
      </w:r>
    </w:p>
    <w:p w:rsidR="00DA6602" w:rsidRPr="00223C67" w:rsidRDefault="00DA6602" w:rsidP="00DA6602">
      <w:pPr>
        <w:pStyle w:val="Heading3"/>
        <w:rPr>
          <w:rFonts w:cs="Times New Roman"/>
        </w:rPr>
      </w:pPr>
      <w:bookmarkStart w:id="9" w:name="_Toc214577171"/>
      <w:r w:rsidRPr="00223C67">
        <w:rPr>
          <w:rFonts w:cs="Times New Roman"/>
        </w:rPr>
        <w:t>2.2.2 Resource-Based View (RBV) and VRIO</w:t>
      </w:r>
      <w:bookmarkEnd w:id="9"/>
    </w:p>
    <w:p w:rsidR="00DA6602" w:rsidRPr="00223C67" w:rsidRDefault="00DA6602" w:rsidP="00DA6602">
      <w:pPr>
        <w:rPr>
          <w:bCs/>
          <w:szCs w:val="24"/>
        </w:rPr>
      </w:pPr>
      <w:r w:rsidRPr="00223C67">
        <w:rPr>
          <w:bCs/>
          <w:szCs w:val="24"/>
        </w:rPr>
        <w:t xml:space="preserve">According to RBV, sustainable advantage is attained by firms as a result of valuable, rare, inimitable and </w:t>
      </w:r>
      <w:r w:rsidR="00594812" w:rsidRPr="00223C67">
        <w:rPr>
          <w:bCs/>
          <w:szCs w:val="24"/>
        </w:rPr>
        <w:t>organizational</w:t>
      </w:r>
      <w:r w:rsidRPr="00223C67">
        <w:rPr>
          <w:bCs/>
          <w:szCs w:val="24"/>
        </w:rPr>
        <w:t xml:space="preserve"> embedded resources (</w:t>
      </w:r>
      <w:r w:rsidRPr="00223C67">
        <w:rPr>
          <w:szCs w:val="24"/>
          <w:shd w:val="clear" w:color="auto" w:fill="FFFFFF"/>
        </w:rPr>
        <w:t>Barney, 1991</w:t>
      </w:r>
      <w:r w:rsidRPr="00223C67">
        <w:rPr>
          <w:bCs/>
          <w:szCs w:val="24"/>
        </w:rPr>
        <w:t>). VRIO can be applied in terms of:</w:t>
      </w:r>
    </w:p>
    <w:p w:rsidR="00DA6602" w:rsidRPr="00223C67" w:rsidRDefault="00DA6602" w:rsidP="00DA6602">
      <w:pPr>
        <w:rPr>
          <w:bCs/>
          <w:szCs w:val="24"/>
        </w:rPr>
      </w:pPr>
      <w:r w:rsidRPr="00223C67">
        <w:rPr>
          <w:b/>
          <w:bCs/>
          <w:szCs w:val="24"/>
        </w:rPr>
        <w:t>Brand Equity (Land Rover &amp; Jaguar)</w:t>
      </w:r>
      <w:r w:rsidRPr="00223C67">
        <w:rPr>
          <w:bCs/>
          <w:szCs w:val="24"/>
        </w:rPr>
        <w:t>: The brands are widely known globally and are related to luxury and performance. They are precious and are uncommon in the high-end SUV and performance market. However, their uniqueness needs to be preserved through further innovation. Brand positioning can be copied by the competitor but not heritage, which is why this resource may become a sustainable advantage.</w:t>
      </w:r>
    </w:p>
    <w:p w:rsidR="00DA6602" w:rsidRPr="00223C67" w:rsidRDefault="00DA6602" w:rsidP="00DA6602">
      <w:pPr>
        <w:rPr>
          <w:bCs/>
          <w:szCs w:val="24"/>
        </w:rPr>
      </w:pPr>
      <w:r w:rsidRPr="00223C67">
        <w:rPr>
          <w:b/>
          <w:bCs/>
          <w:szCs w:val="24"/>
        </w:rPr>
        <w:t>Design and Engineering Skills</w:t>
      </w:r>
      <w:r w:rsidRPr="00223C67">
        <w:rPr>
          <w:bCs/>
          <w:szCs w:val="24"/>
        </w:rPr>
        <w:t xml:space="preserve">: JLR boasts of a good off-road engineering, luxury craftsmanship and vehicle design. These are capabilities that are valuable and hard to replicate, but the fragmentation of </w:t>
      </w:r>
      <w:r w:rsidR="00594812" w:rsidRPr="00223C67">
        <w:rPr>
          <w:bCs/>
          <w:szCs w:val="24"/>
        </w:rPr>
        <w:t>organizations</w:t>
      </w:r>
      <w:r w:rsidRPr="00223C67">
        <w:rPr>
          <w:bCs/>
          <w:szCs w:val="24"/>
        </w:rPr>
        <w:t xml:space="preserve"> has occasionally restricted their entire </w:t>
      </w:r>
      <w:r w:rsidR="00594812" w:rsidRPr="00223C67">
        <w:rPr>
          <w:bCs/>
          <w:szCs w:val="24"/>
        </w:rPr>
        <w:t>operationalization</w:t>
      </w:r>
      <w:r w:rsidRPr="00223C67">
        <w:rPr>
          <w:bCs/>
          <w:szCs w:val="24"/>
        </w:rPr>
        <w:t>.</w:t>
      </w:r>
    </w:p>
    <w:p w:rsidR="00DA6602" w:rsidRPr="00223C67" w:rsidRDefault="00DA6602" w:rsidP="00DA6602">
      <w:pPr>
        <w:rPr>
          <w:bCs/>
          <w:szCs w:val="24"/>
        </w:rPr>
      </w:pPr>
      <w:r w:rsidRPr="00223C67">
        <w:rPr>
          <w:b/>
          <w:bCs/>
          <w:szCs w:val="24"/>
        </w:rPr>
        <w:t>R&amp;D and Electrification Potential</w:t>
      </w:r>
      <w:r w:rsidRPr="00223C67">
        <w:rPr>
          <w:bCs/>
          <w:szCs w:val="24"/>
        </w:rPr>
        <w:t>: JLR has been improving its EV innovation, but Tesla and BMW have been more advanced in battery technology. The ability of JLR is not a long term source of competitive advantage as it is highly imitable and the investment is irregular.</w:t>
      </w:r>
    </w:p>
    <w:p w:rsidR="00DA6602" w:rsidRPr="00223C67" w:rsidRDefault="00DA6602" w:rsidP="00DA6602">
      <w:pPr>
        <w:rPr>
          <w:bCs/>
          <w:szCs w:val="24"/>
        </w:rPr>
      </w:pPr>
      <w:r w:rsidRPr="00223C67">
        <w:rPr>
          <w:b/>
          <w:bCs/>
          <w:szCs w:val="24"/>
        </w:rPr>
        <w:t>Global Distribution Network</w:t>
      </w:r>
      <w:r w:rsidRPr="00223C67">
        <w:rPr>
          <w:bCs/>
          <w:szCs w:val="24"/>
        </w:rPr>
        <w:t>: This network gives good access to the market, yet it is not unique. It provides competition equality as opposed to sustainable benefit.</w:t>
      </w:r>
    </w:p>
    <w:p w:rsidR="00DA6602" w:rsidRPr="00223C67" w:rsidRDefault="00DA6602" w:rsidP="00DA6602">
      <w:pPr>
        <w:rPr>
          <w:bCs/>
          <w:szCs w:val="24"/>
        </w:rPr>
      </w:pPr>
      <w:r w:rsidRPr="00223C67">
        <w:rPr>
          <w:b/>
          <w:bCs/>
          <w:szCs w:val="24"/>
        </w:rPr>
        <w:t>Corporate Culture and Leadership of Tata Motors</w:t>
      </w:r>
      <w:r w:rsidRPr="00223C67">
        <w:rPr>
          <w:bCs/>
          <w:szCs w:val="24"/>
        </w:rPr>
        <w:t>: The ability to build an innovation-friendly relationship with parent companies can be reinforced by supportive parent-company relationships (</w:t>
      </w:r>
      <w:r w:rsidRPr="00223C67">
        <w:rPr>
          <w:szCs w:val="24"/>
          <w:shd w:val="clear" w:color="auto" w:fill="FFFFFF"/>
        </w:rPr>
        <w:t>Yan et al., 2025</w:t>
      </w:r>
      <w:r w:rsidRPr="00223C67">
        <w:rPr>
          <w:bCs/>
          <w:szCs w:val="24"/>
        </w:rPr>
        <w:t xml:space="preserve">). Tata has provided long-term investment orientation, but </w:t>
      </w:r>
      <w:r w:rsidR="00594812" w:rsidRPr="00223C67">
        <w:rPr>
          <w:bCs/>
          <w:szCs w:val="24"/>
        </w:rPr>
        <w:t>organizational</w:t>
      </w:r>
      <w:r w:rsidRPr="00223C67">
        <w:rPr>
          <w:bCs/>
          <w:szCs w:val="24"/>
        </w:rPr>
        <w:t xml:space="preserve"> restructuring is yet to be taken advantage of.</w:t>
      </w:r>
    </w:p>
    <w:p w:rsidR="005E24CC" w:rsidRPr="00223C67" w:rsidRDefault="005E24CC" w:rsidP="00DA6602">
      <w:pPr>
        <w:rPr>
          <w:bCs/>
          <w:szCs w:val="24"/>
        </w:rPr>
      </w:pPr>
    </w:p>
    <w:p w:rsidR="005E24CC" w:rsidRPr="00223C67" w:rsidRDefault="005E24CC" w:rsidP="00DA6602">
      <w:pPr>
        <w:rPr>
          <w:bCs/>
          <w:szCs w:val="24"/>
        </w:rPr>
      </w:pPr>
    </w:p>
    <w:p w:rsidR="00DA6602" w:rsidRPr="00223C67" w:rsidRDefault="00DA6602" w:rsidP="00DA6602">
      <w:pPr>
        <w:pStyle w:val="Heading2"/>
        <w:rPr>
          <w:sz w:val="24"/>
          <w:szCs w:val="24"/>
        </w:rPr>
      </w:pPr>
      <w:bookmarkStart w:id="10" w:name="_Toc214577172"/>
      <w:r w:rsidRPr="00223C67">
        <w:rPr>
          <w:sz w:val="24"/>
          <w:szCs w:val="24"/>
        </w:rPr>
        <w:lastRenderedPageBreak/>
        <w:t>2.3 SWOT Analysis</w:t>
      </w:r>
      <w:bookmarkEnd w:id="10"/>
    </w:p>
    <w:p w:rsidR="00DA6602" w:rsidRPr="00223C67" w:rsidRDefault="00DA6602" w:rsidP="00DA6602">
      <w:pPr>
        <w:rPr>
          <w:szCs w:val="24"/>
        </w:rPr>
      </w:pPr>
      <w:r w:rsidRPr="00223C67">
        <w:rPr>
          <w:b/>
          <w:szCs w:val="24"/>
        </w:rPr>
        <w:t>Strengths</w:t>
      </w:r>
      <w:r w:rsidRPr="00223C67">
        <w:rPr>
          <w:szCs w:val="24"/>
        </w:rPr>
        <w:t>: JLR has a strong brand heritage, engineering and global customer base. This is a major strength that is related to its stance in the luxury SUV segment. The strategic direction is clear with investment in electrification and Reimagine strategy.</w:t>
      </w:r>
    </w:p>
    <w:p w:rsidR="00DA6602" w:rsidRPr="00223C67" w:rsidRDefault="00DA6602" w:rsidP="00DA6602">
      <w:pPr>
        <w:rPr>
          <w:szCs w:val="24"/>
        </w:rPr>
      </w:pPr>
      <w:r w:rsidRPr="00223C67">
        <w:rPr>
          <w:b/>
          <w:szCs w:val="24"/>
        </w:rPr>
        <w:t>Weaknesses</w:t>
      </w:r>
      <w:r w:rsidRPr="00223C67">
        <w:rPr>
          <w:szCs w:val="24"/>
        </w:rPr>
        <w:t>: The existence of operational inefficiencies, high costs of production, reliance on a supply chain, and slower technological development than the market leaders of the EV industry are key weaknesses. Investment capacity has been limited by financial volatility in the recent years.</w:t>
      </w:r>
    </w:p>
    <w:p w:rsidR="00DA6602" w:rsidRPr="00223C67" w:rsidRDefault="00DA6602" w:rsidP="00DA6602">
      <w:pPr>
        <w:rPr>
          <w:szCs w:val="24"/>
        </w:rPr>
      </w:pPr>
      <w:r w:rsidRPr="00223C67">
        <w:rPr>
          <w:b/>
          <w:szCs w:val="24"/>
        </w:rPr>
        <w:t>Opportunities</w:t>
      </w:r>
      <w:r w:rsidRPr="00223C67">
        <w:rPr>
          <w:szCs w:val="24"/>
        </w:rPr>
        <w:t>: The increasing global demand in luxury electric vehicles has significant potential. Eco-friendly materials, circular economy and carbon-neutral manufacturing are some of the opportunities that have been created by sustainability trends. Digital transformation has the ability to optimise customer experience and efficiency.</w:t>
      </w:r>
    </w:p>
    <w:p w:rsidR="00DA6602" w:rsidRPr="00223C67" w:rsidRDefault="00DA6602" w:rsidP="00DA6602">
      <w:pPr>
        <w:rPr>
          <w:szCs w:val="24"/>
        </w:rPr>
      </w:pPr>
      <w:r w:rsidRPr="00223C67">
        <w:rPr>
          <w:b/>
          <w:szCs w:val="24"/>
        </w:rPr>
        <w:t>Threats</w:t>
      </w:r>
      <w:r w:rsidRPr="00223C67">
        <w:rPr>
          <w:szCs w:val="24"/>
        </w:rPr>
        <w:t xml:space="preserve">: High competition, regulatory factors, technological disruptiveness and supply chain vulnerability pose threats to the long-term position of JLR. The inability to </w:t>
      </w:r>
      <w:r w:rsidR="00594812" w:rsidRPr="00223C67">
        <w:rPr>
          <w:szCs w:val="24"/>
        </w:rPr>
        <w:t>stabilize</w:t>
      </w:r>
      <w:r w:rsidRPr="00223C67">
        <w:rPr>
          <w:szCs w:val="24"/>
        </w:rPr>
        <w:t xml:space="preserve"> the electrification may lose market share to more technologically developed rivals.</w:t>
      </w:r>
    </w:p>
    <w:p w:rsidR="005E24CC" w:rsidRPr="00223C67" w:rsidRDefault="005E24CC" w:rsidP="00DA6602">
      <w:pPr>
        <w:rPr>
          <w:szCs w:val="24"/>
        </w:rPr>
      </w:pPr>
    </w:p>
    <w:p w:rsidR="00DA6602" w:rsidRPr="00223C67" w:rsidRDefault="00DA6602" w:rsidP="00DA6602">
      <w:pPr>
        <w:pStyle w:val="Heading1"/>
        <w:rPr>
          <w:szCs w:val="24"/>
        </w:rPr>
      </w:pPr>
      <w:bookmarkStart w:id="11" w:name="_Toc214577173"/>
      <w:r w:rsidRPr="00223C67">
        <w:rPr>
          <w:szCs w:val="24"/>
        </w:rPr>
        <w:t>3. Strategy Formulation</w:t>
      </w:r>
      <w:bookmarkEnd w:id="11"/>
      <w:r w:rsidRPr="00223C67">
        <w:rPr>
          <w:szCs w:val="24"/>
        </w:rPr>
        <w:t xml:space="preserve"> </w:t>
      </w:r>
    </w:p>
    <w:p w:rsidR="00DA6602" w:rsidRPr="00223C67" w:rsidRDefault="00DA6602" w:rsidP="00DA6602">
      <w:pPr>
        <w:rPr>
          <w:szCs w:val="24"/>
        </w:rPr>
      </w:pPr>
      <w:r w:rsidRPr="00223C67">
        <w:rPr>
          <w:szCs w:val="24"/>
        </w:rPr>
        <w:t>Based on the analysis, this section presents strategic options to enhance the position of JLR in the market to facilitate sustainable long-term growth.</w:t>
      </w:r>
    </w:p>
    <w:p w:rsidR="005E24CC" w:rsidRPr="00223C67" w:rsidRDefault="005E24CC" w:rsidP="00DA6602">
      <w:pPr>
        <w:rPr>
          <w:szCs w:val="24"/>
        </w:rPr>
      </w:pPr>
    </w:p>
    <w:p w:rsidR="00DA6602" w:rsidRPr="00223C67" w:rsidRDefault="00DA6602" w:rsidP="00DA6602">
      <w:pPr>
        <w:pStyle w:val="Heading2"/>
        <w:rPr>
          <w:sz w:val="24"/>
          <w:szCs w:val="24"/>
        </w:rPr>
      </w:pPr>
      <w:bookmarkStart w:id="12" w:name="_Toc214577174"/>
      <w:r w:rsidRPr="00223C67">
        <w:rPr>
          <w:sz w:val="24"/>
          <w:szCs w:val="24"/>
        </w:rPr>
        <w:t>3.1 Strategic Option 1: Accelerated Electrification and Battery Innovation</w:t>
      </w:r>
      <w:bookmarkEnd w:id="12"/>
    </w:p>
    <w:p w:rsidR="00DA6602" w:rsidRPr="00223C67" w:rsidRDefault="00DA6602" w:rsidP="00DA6602">
      <w:pPr>
        <w:rPr>
          <w:szCs w:val="24"/>
        </w:rPr>
      </w:pPr>
      <w:r w:rsidRPr="00223C67">
        <w:rPr>
          <w:szCs w:val="24"/>
        </w:rPr>
        <w:t>Since the world is shifting towards electric mobility, JLR should keep advancing its EV strategy. Some studies have indicated that to remain competitive, it is necessary to evolve technologically very quickly (</w:t>
      </w:r>
      <w:r w:rsidRPr="00223C67">
        <w:rPr>
          <w:szCs w:val="24"/>
          <w:shd w:val="clear" w:color="auto" w:fill="FFFFFF"/>
        </w:rPr>
        <w:t>Khaleel et al., 2023</w:t>
      </w:r>
      <w:r w:rsidRPr="00223C67">
        <w:rPr>
          <w:szCs w:val="24"/>
        </w:rPr>
        <w:t>). Although JLR is currently setting the goal of complete electrification by 2030, to gain a competitive advantage, the company needs to pick up the pace of battery development, lowering the prices of EVs and developing own technologies.</w:t>
      </w:r>
    </w:p>
    <w:p w:rsidR="00DA6602" w:rsidRPr="00223C67" w:rsidRDefault="00DA6602" w:rsidP="00DA6602">
      <w:pPr>
        <w:rPr>
          <w:szCs w:val="24"/>
        </w:rPr>
      </w:pPr>
      <w:r w:rsidRPr="00223C67">
        <w:rPr>
          <w:szCs w:val="24"/>
        </w:rPr>
        <w:t>JLR has an opportunity to further engage battery research centres and seek joint ventures with battery industry leaders. This is consistent with the scholarly knowledge on collaborative innovation as a strategy of transcending complexity and resource constraints. Innovation such as the development of solid-state batteries would help distinguish JLR among others, expand vehicle range and improve sustainability performance.</w:t>
      </w:r>
    </w:p>
    <w:p w:rsidR="00DA6602" w:rsidRPr="00223C67" w:rsidRDefault="00DA6602" w:rsidP="00DA6602">
      <w:pPr>
        <w:rPr>
          <w:szCs w:val="24"/>
        </w:rPr>
      </w:pPr>
      <w:r w:rsidRPr="00223C67">
        <w:rPr>
          <w:szCs w:val="24"/>
        </w:rPr>
        <w:lastRenderedPageBreak/>
        <w:t>Furthermore, JLR needs to invest in the modular EV platforms that will lower the prices of manufacturing and enhance production flexibility. This would deal with cost inefficiencies that were observed in the value chain. The technological competitiveness could also be enhanced by the adoption of a software-defined vehicle architecture, particularly when the digital functionality becomes an important aspect of luxury mobility.</w:t>
      </w:r>
    </w:p>
    <w:p w:rsidR="005E24CC" w:rsidRPr="00223C67" w:rsidRDefault="005E24CC" w:rsidP="00DA6602">
      <w:pPr>
        <w:rPr>
          <w:szCs w:val="24"/>
        </w:rPr>
      </w:pPr>
    </w:p>
    <w:p w:rsidR="00DA6602" w:rsidRPr="00223C67" w:rsidRDefault="00DA6602" w:rsidP="00DA6602">
      <w:pPr>
        <w:pStyle w:val="Heading2"/>
        <w:rPr>
          <w:sz w:val="24"/>
          <w:szCs w:val="24"/>
        </w:rPr>
      </w:pPr>
      <w:bookmarkStart w:id="13" w:name="_Toc214577175"/>
      <w:r w:rsidRPr="00223C67">
        <w:rPr>
          <w:sz w:val="24"/>
          <w:szCs w:val="24"/>
        </w:rPr>
        <w:t xml:space="preserve">3.2 Strategic Option 2: Supply Chain Resilience and </w:t>
      </w:r>
      <w:bookmarkEnd w:id="13"/>
      <w:r w:rsidR="00594812" w:rsidRPr="00223C67">
        <w:rPr>
          <w:sz w:val="24"/>
          <w:szCs w:val="24"/>
        </w:rPr>
        <w:t>Localization</w:t>
      </w:r>
    </w:p>
    <w:p w:rsidR="00DA6602" w:rsidRPr="00223C67" w:rsidRDefault="00DA6602" w:rsidP="00DA6602">
      <w:pPr>
        <w:rPr>
          <w:szCs w:val="24"/>
        </w:rPr>
      </w:pPr>
      <w:r w:rsidRPr="00223C67">
        <w:rPr>
          <w:szCs w:val="24"/>
        </w:rPr>
        <w:t xml:space="preserve">The global shocks and the semiconductor crisis have highlighted the strategic value of resilient supply chains. The </w:t>
      </w:r>
      <w:r w:rsidR="00594812" w:rsidRPr="00223C67">
        <w:rPr>
          <w:szCs w:val="24"/>
        </w:rPr>
        <w:t>localization</w:t>
      </w:r>
      <w:r w:rsidRPr="00223C67">
        <w:rPr>
          <w:szCs w:val="24"/>
        </w:rPr>
        <w:t xml:space="preserve"> of essential elements will improve stability, reduce risk, and become more responsive (</w:t>
      </w:r>
      <w:r w:rsidRPr="00223C67">
        <w:rPr>
          <w:szCs w:val="24"/>
          <w:shd w:val="clear" w:color="auto" w:fill="FFFFFF"/>
        </w:rPr>
        <w:t>Craighead et al., 2020</w:t>
      </w:r>
      <w:r w:rsidRPr="00223C67">
        <w:rPr>
          <w:szCs w:val="24"/>
        </w:rPr>
        <w:t xml:space="preserve">). In the case of JLR, sourcing of key EV parts, particularly batteries and chips, domestically and in Europe, would be strong, and this would </w:t>
      </w:r>
      <w:r w:rsidR="00594812" w:rsidRPr="00223C67">
        <w:rPr>
          <w:szCs w:val="24"/>
        </w:rPr>
        <w:t>minimize</w:t>
      </w:r>
      <w:r w:rsidRPr="00223C67">
        <w:rPr>
          <w:szCs w:val="24"/>
        </w:rPr>
        <w:t xml:space="preserve"> vulnerability.</w:t>
      </w:r>
    </w:p>
    <w:p w:rsidR="00DA6602" w:rsidRPr="00223C67" w:rsidRDefault="00DA6602" w:rsidP="00DA6602">
      <w:pPr>
        <w:rPr>
          <w:szCs w:val="24"/>
        </w:rPr>
      </w:pPr>
      <w:r w:rsidRPr="00223C67">
        <w:rPr>
          <w:szCs w:val="24"/>
        </w:rPr>
        <w:t>This may involve co-investment in UK Gigafactories, long term agreements with European suppliers and the development of dual sourcing strategies of key materials. JLR should also adopt digital supply chain monitoring systems to enhance the accuracy of the forecast and real time decision making.</w:t>
      </w:r>
    </w:p>
    <w:p w:rsidR="00DA6602" w:rsidRPr="00223C67" w:rsidRDefault="00DA6602" w:rsidP="00DA6602">
      <w:pPr>
        <w:rPr>
          <w:szCs w:val="24"/>
        </w:rPr>
      </w:pPr>
      <w:r w:rsidRPr="00223C67">
        <w:rPr>
          <w:szCs w:val="24"/>
        </w:rPr>
        <w:t>These actions are aligned with the focus of the RBV to create capabilities that are difficult to imitate. The strength and cohesiveness of the supply chain would be a strategic asset that would offer stability and competitive advantage.</w:t>
      </w:r>
    </w:p>
    <w:p w:rsidR="005E24CC" w:rsidRPr="00223C67" w:rsidRDefault="005E24CC" w:rsidP="00DA6602">
      <w:pPr>
        <w:rPr>
          <w:szCs w:val="24"/>
        </w:rPr>
      </w:pPr>
    </w:p>
    <w:p w:rsidR="00DA6602" w:rsidRPr="00223C67" w:rsidRDefault="00DA6602" w:rsidP="00DA6602">
      <w:pPr>
        <w:pStyle w:val="Heading2"/>
        <w:rPr>
          <w:sz w:val="24"/>
          <w:szCs w:val="24"/>
        </w:rPr>
      </w:pPr>
      <w:bookmarkStart w:id="14" w:name="_Toc214577176"/>
      <w:r w:rsidRPr="00223C67">
        <w:rPr>
          <w:sz w:val="24"/>
          <w:szCs w:val="24"/>
        </w:rPr>
        <w:t>3.3 Strategic Option 3: Sustainability-Led Value Proposition (“Modern Luxury”)</w:t>
      </w:r>
      <w:bookmarkEnd w:id="14"/>
    </w:p>
    <w:p w:rsidR="00DA6602" w:rsidRPr="00223C67" w:rsidRDefault="00DA6602" w:rsidP="00DA6602">
      <w:pPr>
        <w:rPr>
          <w:szCs w:val="24"/>
        </w:rPr>
      </w:pPr>
      <w:r w:rsidRPr="00223C67">
        <w:rPr>
          <w:szCs w:val="24"/>
        </w:rPr>
        <w:t>The luxury nature of the cars produced by JLR gives it a chance to offer a differentiation of sustainable luxury, a concept that is gradually gaining popularity among environmentally aware customers. Sustainable processes have a significant impact on the choice of purchases in high-end markets today (</w:t>
      </w:r>
      <w:r w:rsidRPr="00223C67">
        <w:rPr>
          <w:szCs w:val="24"/>
          <w:shd w:val="clear" w:color="auto" w:fill="FFFFFF"/>
        </w:rPr>
        <w:t>Kunz et al., 2020</w:t>
      </w:r>
      <w:r w:rsidRPr="00223C67">
        <w:rPr>
          <w:szCs w:val="24"/>
        </w:rPr>
        <w:t>). This is an opportunity that JLR can take the sustainability as part of its brand identity. The key strategies may include:</w:t>
      </w:r>
    </w:p>
    <w:p w:rsidR="00DA6602" w:rsidRPr="00223C67" w:rsidRDefault="00DA6602" w:rsidP="00DA6602">
      <w:pPr>
        <w:pStyle w:val="ListParagraph"/>
        <w:numPr>
          <w:ilvl w:val="0"/>
          <w:numId w:val="33"/>
        </w:numPr>
        <w:spacing w:after="160"/>
        <w:rPr>
          <w:szCs w:val="24"/>
        </w:rPr>
      </w:pPr>
      <w:r w:rsidRPr="00223C67">
        <w:rPr>
          <w:szCs w:val="24"/>
        </w:rPr>
        <w:t>Using recycled and bio-based and low-impact materials in interiors</w:t>
      </w:r>
    </w:p>
    <w:p w:rsidR="00DA6602" w:rsidRPr="00223C67" w:rsidRDefault="00DA6602" w:rsidP="00DA6602">
      <w:pPr>
        <w:pStyle w:val="ListParagraph"/>
        <w:numPr>
          <w:ilvl w:val="0"/>
          <w:numId w:val="33"/>
        </w:numPr>
        <w:spacing w:after="160"/>
        <w:rPr>
          <w:szCs w:val="24"/>
        </w:rPr>
      </w:pPr>
      <w:r w:rsidRPr="00223C67">
        <w:rPr>
          <w:szCs w:val="24"/>
        </w:rPr>
        <w:t>Adopting the principles of a circular economy like recycling vehicles and remanufacturing</w:t>
      </w:r>
    </w:p>
    <w:p w:rsidR="00DA6602" w:rsidRPr="00223C67" w:rsidRDefault="00DA6602" w:rsidP="00DA6602">
      <w:pPr>
        <w:pStyle w:val="ListParagraph"/>
        <w:numPr>
          <w:ilvl w:val="0"/>
          <w:numId w:val="33"/>
        </w:numPr>
        <w:spacing w:after="160"/>
        <w:rPr>
          <w:szCs w:val="24"/>
        </w:rPr>
      </w:pPr>
      <w:r w:rsidRPr="00223C67">
        <w:rPr>
          <w:szCs w:val="24"/>
        </w:rPr>
        <w:t>Clear sustainability reporting in order to create consumer confidence</w:t>
      </w:r>
    </w:p>
    <w:p w:rsidR="00DA6602" w:rsidRPr="00223C67" w:rsidRDefault="00DA6602" w:rsidP="00DA6602">
      <w:pPr>
        <w:pStyle w:val="ListParagraph"/>
        <w:numPr>
          <w:ilvl w:val="0"/>
          <w:numId w:val="33"/>
        </w:numPr>
        <w:spacing w:after="160"/>
        <w:rPr>
          <w:szCs w:val="24"/>
        </w:rPr>
      </w:pPr>
      <w:r w:rsidRPr="00223C67">
        <w:rPr>
          <w:szCs w:val="24"/>
        </w:rPr>
        <w:t>Renewable energy-based carbon-neutral manufacturing plants</w:t>
      </w:r>
    </w:p>
    <w:p w:rsidR="00DA6602" w:rsidRPr="00223C67" w:rsidRDefault="00DA6602" w:rsidP="00DA6602">
      <w:pPr>
        <w:rPr>
          <w:szCs w:val="24"/>
        </w:rPr>
      </w:pPr>
      <w:r w:rsidRPr="00223C67">
        <w:rPr>
          <w:szCs w:val="24"/>
        </w:rPr>
        <w:lastRenderedPageBreak/>
        <w:t>These measures support the mission of JLR to provide modern and sustainable luxury and increase brand differentiation.</w:t>
      </w:r>
    </w:p>
    <w:p w:rsidR="005E24CC" w:rsidRPr="00223C67" w:rsidRDefault="005E24CC" w:rsidP="00DA6602">
      <w:pPr>
        <w:rPr>
          <w:szCs w:val="24"/>
        </w:rPr>
      </w:pPr>
    </w:p>
    <w:p w:rsidR="00DA6602" w:rsidRPr="00223C67" w:rsidRDefault="00DA6602" w:rsidP="00DA6602">
      <w:pPr>
        <w:pStyle w:val="Heading2"/>
        <w:rPr>
          <w:sz w:val="24"/>
          <w:szCs w:val="24"/>
        </w:rPr>
      </w:pPr>
      <w:bookmarkStart w:id="15" w:name="_Toc214577177"/>
      <w:r w:rsidRPr="00223C67">
        <w:rPr>
          <w:sz w:val="24"/>
          <w:szCs w:val="24"/>
        </w:rPr>
        <w:t>3.4 Strategic Option 4: Digital Transformation and Customer Experience Enhancement</w:t>
      </w:r>
      <w:bookmarkEnd w:id="15"/>
    </w:p>
    <w:p w:rsidR="00DA6602" w:rsidRPr="00223C67" w:rsidRDefault="00DA6602" w:rsidP="00DA6602">
      <w:pPr>
        <w:rPr>
          <w:szCs w:val="24"/>
        </w:rPr>
      </w:pPr>
      <w:r w:rsidRPr="00223C67">
        <w:rPr>
          <w:szCs w:val="24"/>
        </w:rPr>
        <w:t xml:space="preserve">Digital innovation is transforming the customer expectations in the mobility industry. JLR needs to increase its online presence, such as online buying, virtual showrooms, predictive maintenance, and over-the-air updates. Research has </w:t>
      </w:r>
      <w:r w:rsidR="00594812" w:rsidRPr="00223C67">
        <w:rPr>
          <w:szCs w:val="24"/>
        </w:rPr>
        <w:t>emphasized</w:t>
      </w:r>
      <w:r w:rsidRPr="00223C67">
        <w:rPr>
          <w:szCs w:val="24"/>
        </w:rPr>
        <w:t xml:space="preserve"> that </w:t>
      </w:r>
      <w:r w:rsidR="00594812" w:rsidRPr="00223C67">
        <w:rPr>
          <w:szCs w:val="24"/>
        </w:rPr>
        <w:t>computerized</w:t>
      </w:r>
      <w:r w:rsidRPr="00223C67">
        <w:rPr>
          <w:szCs w:val="24"/>
        </w:rPr>
        <w:t xml:space="preserve"> customer experience turns into a key motivator of customer loyalty, particularly in the luxurious category (</w:t>
      </w:r>
      <w:r w:rsidRPr="00223C67">
        <w:rPr>
          <w:szCs w:val="24"/>
          <w:shd w:val="clear" w:color="auto" w:fill="FFFFFF"/>
        </w:rPr>
        <w:t>Becker and Jaakkola, 2020</w:t>
      </w:r>
      <w:r w:rsidRPr="00223C67">
        <w:rPr>
          <w:szCs w:val="24"/>
        </w:rPr>
        <w:t>).</w:t>
      </w:r>
    </w:p>
    <w:p w:rsidR="00DA6602" w:rsidRPr="00223C67" w:rsidRDefault="00DA6602" w:rsidP="00DA6602">
      <w:pPr>
        <w:rPr>
          <w:szCs w:val="24"/>
        </w:rPr>
      </w:pPr>
      <w:r w:rsidRPr="00223C67">
        <w:rPr>
          <w:szCs w:val="24"/>
        </w:rPr>
        <w:t xml:space="preserve">Investment in a complete digital platform would bring a continuity in sales, service and use of vehicles. For example, smoother connections between vehicles and smartphones, </w:t>
      </w:r>
      <w:r w:rsidR="00594812" w:rsidRPr="00223C67">
        <w:rPr>
          <w:szCs w:val="24"/>
        </w:rPr>
        <w:t>customized</w:t>
      </w:r>
      <w:r w:rsidRPr="00223C67">
        <w:rPr>
          <w:szCs w:val="24"/>
        </w:rPr>
        <w:t xml:space="preserve"> driver accounts and upgrades on subscription can be used to build stronger customer relationships.</w:t>
      </w:r>
    </w:p>
    <w:p w:rsidR="00DA6602" w:rsidRPr="00223C67" w:rsidRDefault="00DA6602" w:rsidP="00DA6602">
      <w:pPr>
        <w:rPr>
          <w:szCs w:val="24"/>
        </w:rPr>
      </w:pPr>
      <w:r w:rsidRPr="00223C67">
        <w:rPr>
          <w:szCs w:val="24"/>
        </w:rPr>
        <w:t xml:space="preserve">The data-driven </w:t>
      </w:r>
      <w:r w:rsidR="00594812" w:rsidRPr="00223C67">
        <w:rPr>
          <w:szCs w:val="24"/>
        </w:rPr>
        <w:t>internalization</w:t>
      </w:r>
      <w:r w:rsidRPr="00223C67">
        <w:rPr>
          <w:szCs w:val="24"/>
        </w:rPr>
        <w:t>, automation and advanced analytics in the production should be extended into digital transformation. This would make operations more efficient and assist in more adaptive strategic planning.</w:t>
      </w:r>
    </w:p>
    <w:p w:rsidR="005E24CC" w:rsidRPr="00223C67" w:rsidRDefault="005E24CC" w:rsidP="00DA6602">
      <w:pPr>
        <w:rPr>
          <w:szCs w:val="24"/>
        </w:rPr>
      </w:pPr>
    </w:p>
    <w:p w:rsidR="00DA6602" w:rsidRPr="00223C67" w:rsidRDefault="00DA6602" w:rsidP="00DA6602">
      <w:pPr>
        <w:pStyle w:val="Heading2"/>
        <w:rPr>
          <w:sz w:val="24"/>
          <w:szCs w:val="24"/>
        </w:rPr>
      </w:pPr>
      <w:bookmarkStart w:id="16" w:name="_Toc214577178"/>
      <w:r w:rsidRPr="00223C67">
        <w:rPr>
          <w:sz w:val="24"/>
          <w:szCs w:val="24"/>
        </w:rPr>
        <w:t>3.5 Strategic Option 5: Strategic Market Expansion and Brand Repositioning</w:t>
      </w:r>
      <w:bookmarkEnd w:id="16"/>
    </w:p>
    <w:p w:rsidR="00DA6602" w:rsidRPr="00223C67" w:rsidRDefault="00DA6602" w:rsidP="00DA6602">
      <w:pPr>
        <w:rPr>
          <w:szCs w:val="24"/>
        </w:rPr>
      </w:pPr>
      <w:r w:rsidRPr="00223C67">
        <w:rPr>
          <w:szCs w:val="24"/>
        </w:rPr>
        <w:t>Although JLR has a global presence, it has the opportunity to penetrate better in the fast developing markets such as China, India and the Middle East. The demand of luxury EV is rising at high rates in these areas because of economic growth and growth in consumer wealth. The partnerships made stronger, the creation of local production capacity and product lines adjusted to the local tastes would reinforce the position of JLR.</w:t>
      </w:r>
    </w:p>
    <w:p w:rsidR="00DA6602" w:rsidRPr="00223C67" w:rsidRDefault="00DA6602" w:rsidP="00DA6602">
      <w:pPr>
        <w:rPr>
          <w:szCs w:val="24"/>
        </w:rPr>
      </w:pPr>
      <w:r w:rsidRPr="00223C67">
        <w:rPr>
          <w:szCs w:val="24"/>
        </w:rPr>
        <w:t>Complete electrification of Jaguar will also be a chance to rebrand the company as a high-performance EV brand competing with Tesla and Porsche. Efficient brand distinction between Jaguar (electric performance) and Land Rover (luxury electric SUVs) may lead to a better strategic understanding and lower company brand overlap.</w:t>
      </w:r>
    </w:p>
    <w:p w:rsidR="005E24CC" w:rsidRPr="00223C67" w:rsidRDefault="005E24CC" w:rsidP="00DA6602">
      <w:pPr>
        <w:rPr>
          <w:szCs w:val="24"/>
        </w:rPr>
      </w:pPr>
    </w:p>
    <w:p w:rsidR="00DA6602" w:rsidRPr="00223C67" w:rsidRDefault="00DA6602" w:rsidP="00DA6602">
      <w:pPr>
        <w:pStyle w:val="Heading1"/>
        <w:rPr>
          <w:szCs w:val="24"/>
        </w:rPr>
      </w:pPr>
      <w:bookmarkStart w:id="17" w:name="_Toc214577179"/>
      <w:r w:rsidRPr="00223C67">
        <w:rPr>
          <w:szCs w:val="24"/>
        </w:rPr>
        <w:t>4. Conclusion and Recommendations</w:t>
      </w:r>
      <w:bookmarkEnd w:id="17"/>
      <w:r w:rsidRPr="00223C67">
        <w:rPr>
          <w:szCs w:val="24"/>
        </w:rPr>
        <w:t xml:space="preserve"> </w:t>
      </w:r>
    </w:p>
    <w:p w:rsidR="00DA6602" w:rsidRPr="00223C67" w:rsidRDefault="00594812" w:rsidP="00DA6602">
      <w:pPr>
        <w:rPr>
          <w:szCs w:val="24"/>
        </w:rPr>
      </w:pPr>
      <w:r w:rsidRPr="00223C67">
        <w:rPr>
          <w:szCs w:val="24"/>
        </w:rPr>
        <w:t>Summarizing</w:t>
      </w:r>
      <w:r w:rsidR="00DA6602" w:rsidRPr="00223C67">
        <w:rPr>
          <w:szCs w:val="24"/>
        </w:rPr>
        <w:t xml:space="preserve"> the discussion provided above, this report has evaluated the strategic environment of JLR based on the accepted frameworks of PESTLE, Porter’s Five Forces analysis, value chain analysis, RBV and VRIO. The results indicate that JLR has been in a dynamic environment that </w:t>
      </w:r>
      <w:r w:rsidR="00DA6602" w:rsidRPr="00223C67">
        <w:rPr>
          <w:szCs w:val="24"/>
        </w:rPr>
        <w:lastRenderedPageBreak/>
        <w:t>has been triggered by electrification, sustainability policy, technological change and changing consumer expectations. Despite the good brand equity, engineering skills and presence in the global market, the company has weaknesses in the area of operational efficiency, technological competitiveness, and supply chain resilience.</w:t>
      </w:r>
    </w:p>
    <w:p w:rsidR="00DA6602" w:rsidRPr="00223C67" w:rsidRDefault="00DA6602" w:rsidP="00DA6602">
      <w:pPr>
        <w:rPr>
          <w:szCs w:val="24"/>
        </w:rPr>
      </w:pPr>
      <w:r w:rsidRPr="00223C67">
        <w:rPr>
          <w:szCs w:val="24"/>
        </w:rPr>
        <w:t xml:space="preserve">JLR needs to </w:t>
      </w:r>
      <w:r w:rsidR="005E24CC" w:rsidRPr="00223C67">
        <w:rPr>
          <w:szCs w:val="24"/>
        </w:rPr>
        <w:t>stabilize</w:t>
      </w:r>
      <w:r w:rsidRPr="00223C67">
        <w:rPr>
          <w:szCs w:val="24"/>
        </w:rPr>
        <w:t xml:space="preserve"> the electrification process, invest in modern battery technology, and reinforce the supply chain to achieve long-term sustainable growth. Digital transformation must be </w:t>
      </w:r>
      <w:r w:rsidR="005E24CC" w:rsidRPr="00223C67">
        <w:rPr>
          <w:szCs w:val="24"/>
        </w:rPr>
        <w:t>prioritized</w:t>
      </w:r>
      <w:r w:rsidRPr="00223C67">
        <w:rPr>
          <w:szCs w:val="24"/>
        </w:rPr>
        <w:t xml:space="preserve"> to improve the customer experience and the performance of the operations. Sustainability-based value proposition can make the brand stand out in a competitive luxury market. Lastly, market expansion and brand repositioning of Jaguar and Land Rover, which are specific and targeted, will assist in global competitiveness.</w:t>
      </w:r>
    </w:p>
    <w:p w:rsidR="00DA6602" w:rsidRPr="00223C67" w:rsidRDefault="00DA6602" w:rsidP="00DA6602">
      <w:pPr>
        <w:rPr>
          <w:szCs w:val="24"/>
        </w:rPr>
      </w:pPr>
      <w:r w:rsidRPr="00223C67">
        <w:rPr>
          <w:szCs w:val="24"/>
        </w:rPr>
        <w:t>In this way, JLR will be able to improve its market presence, provide modern sustainable luxury, and ensure long-term sustainability in an ever-competitive and highly controlled environmentally-friendly industry.</w:t>
      </w:r>
    </w:p>
    <w:p w:rsidR="00DA6602" w:rsidRPr="00223C67" w:rsidRDefault="00DA6602" w:rsidP="00DA6602">
      <w:pPr>
        <w:rPr>
          <w:szCs w:val="24"/>
        </w:rPr>
      </w:pPr>
      <w:r w:rsidRPr="00223C67">
        <w:rPr>
          <w:szCs w:val="24"/>
        </w:rPr>
        <w:br w:type="page"/>
      </w:r>
    </w:p>
    <w:p w:rsidR="00DA6602" w:rsidRPr="00223C67" w:rsidRDefault="00DA6602" w:rsidP="00DA6602">
      <w:pPr>
        <w:pStyle w:val="Heading1"/>
        <w:rPr>
          <w:szCs w:val="24"/>
        </w:rPr>
      </w:pPr>
      <w:bookmarkStart w:id="18" w:name="_Toc214577180"/>
      <w:r w:rsidRPr="00223C67">
        <w:rPr>
          <w:szCs w:val="24"/>
        </w:rPr>
        <w:lastRenderedPageBreak/>
        <w:t>5. References</w:t>
      </w:r>
      <w:bookmarkEnd w:id="18"/>
    </w:p>
    <w:p w:rsidR="00DA6602" w:rsidRPr="00223C67" w:rsidRDefault="00DA6602" w:rsidP="00DA6602">
      <w:pPr>
        <w:ind w:left="720" w:hanging="720"/>
        <w:rPr>
          <w:szCs w:val="24"/>
        </w:rPr>
      </w:pPr>
      <w:r w:rsidRPr="00223C67">
        <w:rPr>
          <w:szCs w:val="24"/>
        </w:rPr>
        <w:t xml:space="preserve">Ajanovic, A. (2022) ‘The impact of COVID‐19 on the market prospects of electric passenger cars’, </w:t>
      </w:r>
      <w:r w:rsidRPr="00223C67">
        <w:rPr>
          <w:i/>
          <w:iCs/>
          <w:szCs w:val="24"/>
        </w:rPr>
        <w:t>Wiley Interdisciplinary Reviews: Energy and Environment</w:t>
      </w:r>
      <w:r w:rsidRPr="00223C67">
        <w:rPr>
          <w:szCs w:val="24"/>
        </w:rPr>
        <w:t>, 11(5), p. e451.</w:t>
      </w:r>
    </w:p>
    <w:p w:rsidR="00DA6602" w:rsidRPr="00223C67" w:rsidRDefault="00DA6602" w:rsidP="00DA6602">
      <w:pPr>
        <w:ind w:left="720" w:hanging="720"/>
        <w:rPr>
          <w:szCs w:val="24"/>
        </w:rPr>
      </w:pPr>
      <w:r w:rsidRPr="00223C67">
        <w:rPr>
          <w:szCs w:val="24"/>
        </w:rPr>
        <w:t xml:space="preserve">Barney, J. (1991) ‘Firm resources and sustained competitive advantage’, </w:t>
      </w:r>
      <w:r w:rsidRPr="00223C67">
        <w:rPr>
          <w:i/>
          <w:iCs/>
          <w:szCs w:val="24"/>
        </w:rPr>
        <w:t>Journal of Management</w:t>
      </w:r>
      <w:r w:rsidRPr="00223C67">
        <w:rPr>
          <w:szCs w:val="24"/>
        </w:rPr>
        <w:t>, 17(1), pp. 99–120.</w:t>
      </w:r>
    </w:p>
    <w:p w:rsidR="00DA6602" w:rsidRPr="00223C67" w:rsidRDefault="00DA6602" w:rsidP="00DA6602">
      <w:pPr>
        <w:ind w:left="720" w:hanging="720"/>
        <w:rPr>
          <w:szCs w:val="24"/>
        </w:rPr>
      </w:pPr>
      <w:r w:rsidRPr="00223C67">
        <w:rPr>
          <w:szCs w:val="24"/>
        </w:rPr>
        <w:t xml:space="preserve">Becker, L. and Jaakkola, E. (2020) ‘Customer experience: Fundamental premises and implications for research’, </w:t>
      </w:r>
      <w:r w:rsidRPr="00223C67">
        <w:rPr>
          <w:i/>
          <w:iCs/>
          <w:szCs w:val="24"/>
        </w:rPr>
        <w:t>Journal of the Academy of Marketing Science</w:t>
      </w:r>
      <w:r w:rsidRPr="00223C67">
        <w:rPr>
          <w:szCs w:val="24"/>
        </w:rPr>
        <w:t>, 48(4), pp. 630–648.</w:t>
      </w:r>
    </w:p>
    <w:p w:rsidR="00DA6602" w:rsidRPr="00223C67" w:rsidRDefault="00DA6602" w:rsidP="00DA6602">
      <w:pPr>
        <w:ind w:left="720" w:hanging="720"/>
        <w:rPr>
          <w:szCs w:val="24"/>
        </w:rPr>
      </w:pPr>
      <w:r w:rsidRPr="00223C67">
        <w:rPr>
          <w:szCs w:val="24"/>
        </w:rPr>
        <w:t xml:space="preserve">Bryson, J.M., Edwards, L.H. and Van Slyke, D.M. (2018) ‘Getting strategic about strategic planning research’, </w:t>
      </w:r>
      <w:r w:rsidRPr="00223C67">
        <w:rPr>
          <w:i/>
          <w:iCs/>
          <w:szCs w:val="24"/>
        </w:rPr>
        <w:t>Public Management Review</w:t>
      </w:r>
      <w:r w:rsidRPr="00223C67">
        <w:rPr>
          <w:szCs w:val="24"/>
        </w:rPr>
        <w:t>, 20(3), pp. 317–339.</w:t>
      </w:r>
    </w:p>
    <w:p w:rsidR="00DA6602" w:rsidRPr="00223C67" w:rsidRDefault="00DA6602" w:rsidP="00DA6602">
      <w:pPr>
        <w:ind w:left="720" w:hanging="720"/>
        <w:rPr>
          <w:szCs w:val="24"/>
        </w:rPr>
      </w:pPr>
      <w:r w:rsidRPr="00223C67">
        <w:rPr>
          <w:szCs w:val="24"/>
        </w:rPr>
        <w:t xml:space="preserve">Burkacky, O., Deichmann, J., Pfingstag, P. and Werra, J. (2022) </w:t>
      </w:r>
      <w:r w:rsidRPr="00223C67">
        <w:rPr>
          <w:i/>
          <w:iCs/>
          <w:szCs w:val="24"/>
        </w:rPr>
        <w:t>Semiconductor shortage: How the automotive industry can succeed</w:t>
      </w:r>
      <w:r w:rsidRPr="00223C67">
        <w:rPr>
          <w:szCs w:val="24"/>
        </w:rPr>
        <w:t>. McKinsey &amp; Company.</w:t>
      </w:r>
    </w:p>
    <w:p w:rsidR="00DA6602" w:rsidRPr="00223C67" w:rsidRDefault="00DA6602" w:rsidP="00DA6602">
      <w:pPr>
        <w:ind w:left="720" w:hanging="720"/>
        <w:rPr>
          <w:szCs w:val="24"/>
        </w:rPr>
      </w:pPr>
      <w:r w:rsidRPr="00223C67">
        <w:rPr>
          <w:szCs w:val="24"/>
        </w:rPr>
        <w:t xml:space="preserve">Craighead, C.W., Ketchen, D.J. Jr. and Darby, J.L. (2020) ‘Pandemics and supply chain management research: Toward a theoretical toolbox’, </w:t>
      </w:r>
      <w:r w:rsidRPr="00223C67">
        <w:rPr>
          <w:i/>
          <w:iCs/>
          <w:szCs w:val="24"/>
        </w:rPr>
        <w:t>Decision Sciences</w:t>
      </w:r>
      <w:r w:rsidRPr="00223C67">
        <w:rPr>
          <w:szCs w:val="24"/>
        </w:rPr>
        <w:t>, 51(4), pp. 838–866.</w:t>
      </w:r>
    </w:p>
    <w:p w:rsidR="00DA6602" w:rsidRPr="00223C67" w:rsidRDefault="00DA6602" w:rsidP="00DA6602">
      <w:pPr>
        <w:ind w:left="720" w:hanging="720"/>
        <w:rPr>
          <w:szCs w:val="24"/>
        </w:rPr>
      </w:pPr>
      <w:r w:rsidRPr="00223C67">
        <w:rPr>
          <w:szCs w:val="24"/>
        </w:rPr>
        <w:t xml:space="preserve">Eckhardt, J., Aapaoja, A., Nykänen, L., Sochor, J., Karlsson, M. and König, D. (2018) </w:t>
      </w:r>
      <w:r w:rsidRPr="00223C67">
        <w:rPr>
          <w:i/>
          <w:iCs/>
          <w:szCs w:val="24"/>
        </w:rPr>
        <w:t>The European roadmap 2025 for mobility as a service</w:t>
      </w:r>
      <w:r w:rsidRPr="00223C67">
        <w:rPr>
          <w:szCs w:val="24"/>
        </w:rPr>
        <w:t>. Proceedings of the 7th Transport Research Arena (TRA).</w:t>
      </w:r>
    </w:p>
    <w:p w:rsidR="00DA6602" w:rsidRPr="00223C67" w:rsidRDefault="00DA6602" w:rsidP="00DA6602">
      <w:pPr>
        <w:ind w:left="720" w:hanging="720"/>
        <w:rPr>
          <w:szCs w:val="24"/>
        </w:rPr>
      </w:pPr>
      <w:r w:rsidRPr="00223C67">
        <w:rPr>
          <w:szCs w:val="24"/>
        </w:rPr>
        <w:t xml:space="preserve">He, S.Y., Sun, K.K. and Luo, S. (2022) ‘Factors affecting electric vehicle adoption intention’, </w:t>
      </w:r>
      <w:r w:rsidRPr="00223C67">
        <w:rPr>
          <w:i/>
          <w:iCs/>
          <w:szCs w:val="24"/>
        </w:rPr>
        <w:t>Journal of Transport and Land Use</w:t>
      </w:r>
      <w:r w:rsidRPr="00223C67">
        <w:rPr>
          <w:szCs w:val="24"/>
        </w:rPr>
        <w:t>, 15(1), pp. 779–801.</w:t>
      </w:r>
    </w:p>
    <w:p w:rsidR="00DA6602" w:rsidRPr="00223C67" w:rsidRDefault="00DA6602" w:rsidP="00DA6602">
      <w:pPr>
        <w:ind w:left="720" w:hanging="720"/>
        <w:rPr>
          <w:szCs w:val="24"/>
        </w:rPr>
      </w:pPr>
      <w:r w:rsidRPr="00223C67">
        <w:rPr>
          <w:szCs w:val="24"/>
        </w:rPr>
        <w:t xml:space="preserve">Keil, A.K. and Steinberger, J.K. (2024) ‘Cars, capitalism and ecological crises: Understanding systemic barriers to a sustainability transition in the German car industry’, </w:t>
      </w:r>
      <w:r w:rsidRPr="00223C67">
        <w:rPr>
          <w:i/>
          <w:iCs/>
          <w:szCs w:val="24"/>
        </w:rPr>
        <w:t>New Political Economy</w:t>
      </w:r>
      <w:r w:rsidRPr="00223C67">
        <w:rPr>
          <w:szCs w:val="24"/>
        </w:rPr>
        <w:t>, 29(1), pp. 90–110.</w:t>
      </w:r>
    </w:p>
    <w:p w:rsidR="00DA6602" w:rsidRPr="00223C67" w:rsidRDefault="00DA6602" w:rsidP="00DA6602">
      <w:pPr>
        <w:ind w:left="720" w:hanging="720"/>
        <w:rPr>
          <w:szCs w:val="24"/>
        </w:rPr>
      </w:pPr>
      <w:r w:rsidRPr="00223C67">
        <w:rPr>
          <w:szCs w:val="24"/>
        </w:rPr>
        <w:t xml:space="preserve">Khaleel, M., Ahmed, A.A., Alsharif, A. and Beiek, M.M. (2023) ‘Technology challenges and trends of electric motor and drive in electric vehicle’, </w:t>
      </w:r>
      <w:r w:rsidRPr="00223C67">
        <w:rPr>
          <w:i/>
          <w:iCs/>
          <w:szCs w:val="24"/>
        </w:rPr>
        <w:t>International Journal of Electrical Engineering and Sustainability</w:t>
      </w:r>
      <w:r w:rsidRPr="00223C67">
        <w:rPr>
          <w:szCs w:val="24"/>
        </w:rPr>
        <w:t>, pp. 41–48.</w:t>
      </w:r>
    </w:p>
    <w:p w:rsidR="00DA6602" w:rsidRPr="00223C67" w:rsidRDefault="00DA6602" w:rsidP="00DA6602">
      <w:pPr>
        <w:ind w:left="720" w:hanging="720"/>
        <w:rPr>
          <w:szCs w:val="24"/>
        </w:rPr>
      </w:pPr>
      <w:r w:rsidRPr="00223C67">
        <w:rPr>
          <w:szCs w:val="24"/>
        </w:rPr>
        <w:t xml:space="preserve">Kunskaja, S. and Budzyński, A. (2024) ‘Sustainable societal transformation: Shaping renewable energy technologies in transport’, in </w:t>
      </w:r>
      <w:r w:rsidRPr="00223C67">
        <w:rPr>
          <w:i/>
          <w:iCs/>
          <w:szCs w:val="24"/>
        </w:rPr>
        <w:t>MATEC Web of Conferences</w:t>
      </w:r>
      <w:r w:rsidRPr="00223C67">
        <w:rPr>
          <w:szCs w:val="24"/>
        </w:rPr>
        <w:t>, 390, 01006. EDP Sciences.</w:t>
      </w:r>
    </w:p>
    <w:p w:rsidR="00DA6602" w:rsidRPr="00223C67" w:rsidRDefault="00DA6602" w:rsidP="00DA6602">
      <w:pPr>
        <w:ind w:left="720" w:hanging="720"/>
        <w:rPr>
          <w:szCs w:val="24"/>
        </w:rPr>
      </w:pPr>
      <w:r w:rsidRPr="00223C67">
        <w:rPr>
          <w:szCs w:val="24"/>
        </w:rPr>
        <w:t xml:space="preserve">Kunz, J., May, S. and Schmidt, H.J. (2020) ‘Sustainable luxury: Current status and perspectives for future research’, </w:t>
      </w:r>
      <w:r w:rsidRPr="00223C67">
        <w:rPr>
          <w:i/>
          <w:iCs/>
          <w:szCs w:val="24"/>
        </w:rPr>
        <w:t>Business Research</w:t>
      </w:r>
      <w:r w:rsidRPr="00223C67">
        <w:rPr>
          <w:szCs w:val="24"/>
        </w:rPr>
        <w:t>, 13(2), pp. 541–601.</w:t>
      </w:r>
    </w:p>
    <w:p w:rsidR="00DA6602" w:rsidRPr="00223C67" w:rsidRDefault="00DA6602" w:rsidP="00DA6602">
      <w:pPr>
        <w:ind w:left="720" w:hanging="720"/>
        <w:rPr>
          <w:szCs w:val="24"/>
        </w:rPr>
      </w:pPr>
      <w:r w:rsidRPr="00223C67">
        <w:rPr>
          <w:szCs w:val="24"/>
        </w:rPr>
        <w:lastRenderedPageBreak/>
        <w:t xml:space="preserve">Nicholas, M. and Lutsey, N. (2020) </w:t>
      </w:r>
      <w:r w:rsidRPr="00223C67">
        <w:rPr>
          <w:i/>
          <w:iCs/>
          <w:szCs w:val="24"/>
        </w:rPr>
        <w:t>Quantifying the electric vehicle charging infrastructure gap in the United Kingdom</w:t>
      </w:r>
      <w:r w:rsidRPr="00223C67">
        <w:rPr>
          <w:szCs w:val="24"/>
        </w:rPr>
        <w:t>. London: ICCT.</w:t>
      </w:r>
    </w:p>
    <w:p w:rsidR="00DA6602" w:rsidRPr="00223C67" w:rsidRDefault="00DA6602" w:rsidP="00DA6602">
      <w:pPr>
        <w:ind w:left="720" w:hanging="720"/>
        <w:rPr>
          <w:szCs w:val="24"/>
        </w:rPr>
      </w:pPr>
      <w:r w:rsidRPr="00223C67">
        <w:rPr>
          <w:szCs w:val="24"/>
        </w:rPr>
        <w:t xml:space="preserve">Sangannagari, S.R. (2022) ‘The future of automotive innovation: Exploring the in-vehicle software ecosystem and digital vehicle platforms’, </w:t>
      </w:r>
      <w:r w:rsidRPr="00223C67">
        <w:rPr>
          <w:i/>
          <w:iCs/>
          <w:szCs w:val="24"/>
        </w:rPr>
        <w:t>International Journal of Research and Applied Innovations</w:t>
      </w:r>
      <w:r w:rsidRPr="00223C67">
        <w:rPr>
          <w:szCs w:val="24"/>
        </w:rPr>
        <w:t>, 5(4), pp. 7355–7367.</w:t>
      </w:r>
    </w:p>
    <w:p w:rsidR="00DA6602" w:rsidRPr="00214C1C" w:rsidRDefault="00DA6602" w:rsidP="00DA6602">
      <w:pPr>
        <w:ind w:left="720" w:hanging="720"/>
        <w:rPr>
          <w:szCs w:val="24"/>
        </w:rPr>
      </w:pPr>
      <w:r w:rsidRPr="00223C67">
        <w:rPr>
          <w:szCs w:val="24"/>
        </w:rPr>
        <w:t xml:space="preserve">Yan, L., Li, W., Meng, W. and Wang, Z. (2025) ‘Understanding how knowledge differences between parent and subsidiary companies drive business model innovation’, </w:t>
      </w:r>
      <w:r w:rsidRPr="00223C67">
        <w:rPr>
          <w:i/>
          <w:iCs/>
          <w:szCs w:val="24"/>
        </w:rPr>
        <w:t>SAGE Open</w:t>
      </w:r>
      <w:r w:rsidRPr="00223C67">
        <w:rPr>
          <w:szCs w:val="24"/>
        </w:rPr>
        <w:t>, 15(3), p. 21582440251378819.</w:t>
      </w:r>
    </w:p>
    <w:p w:rsidR="004B7014" w:rsidRDefault="00250A3D" w:rsidP="00D22E65"/>
    <w:sectPr w:rsidR="004B70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A3D" w:rsidRDefault="00250A3D" w:rsidP="00594812">
      <w:pPr>
        <w:spacing w:line="240" w:lineRule="auto"/>
      </w:pPr>
      <w:r>
        <w:separator/>
      </w:r>
    </w:p>
  </w:endnote>
  <w:endnote w:type="continuationSeparator" w:id="0">
    <w:p w:rsidR="00250A3D" w:rsidRDefault="00250A3D" w:rsidP="005948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A3D" w:rsidRDefault="00250A3D" w:rsidP="00594812">
      <w:pPr>
        <w:spacing w:line="240" w:lineRule="auto"/>
      </w:pPr>
      <w:r>
        <w:separator/>
      </w:r>
    </w:p>
  </w:footnote>
  <w:footnote w:type="continuationSeparator" w:id="0">
    <w:p w:rsidR="00250A3D" w:rsidRDefault="00250A3D" w:rsidP="005948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9247A"/>
    <w:multiLevelType w:val="multilevel"/>
    <w:tmpl w:val="3B80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D071E"/>
    <w:multiLevelType w:val="multilevel"/>
    <w:tmpl w:val="8D7C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B3C48"/>
    <w:multiLevelType w:val="multilevel"/>
    <w:tmpl w:val="C0EA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564A0"/>
    <w:multiLevelType w:val="hybridMultilevel"/>
    <w:tmpl w:val="523C5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802A1"/>
    <w:multiLevelType w:val="multilevel"/>
    <w:tmpl w:val="33E8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A25B9"/>
    <w:multiLevelType w:val="multilevel"/>
    <w:tmpl w:val="EA2C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E5CDA"/>
    <w:multiLevelType w:val="hybridMultilevel"/>
    <w:tmpl w:val="BE5A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55C02"/>
    <w:multiLevelType w:val="multilevel"/>
    <w:tmpl w:val="01EE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204E5F"/>
    <w:multiLevelType w:val="multilevel"/>
    <w:tmpl w:val="C73E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D69A0"/>
    <w:multiLevelType w:val="hybridMultilevel"/>
    <w:tmpl w:val="DA1A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FD0FCE"/>
    <w:multiLevelType w:val="multilevel"/>
    <w:tmpl w:val="166C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792E83"/>
    <w:multiLevelType w:val="multilevel"/>
    <w:tmpl w:val="2822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301C0B"/>
    <w:multiLevelType w:val="multilevel"/>
    <w:tmpl w:val="F904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56F15"/>
    <w:multiLevelType w:val="multilevel"/>
    <w:tmpl w:val="B670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31474"/>
    <w:multiLevelType w:val="multilevel"/>
    <w:tmpl w:val="B4E2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176FA"/>
    <w:multiLevelType w:val="multilevel"/>
    <w:tmpl w:val="5E66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1C2DD1"/>
    <w:multiLevelType w:val="multilevel"/>
    <w:tmpl w:val="AFC0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975562"/>
    <w:multiLevelType w:val="hybridMultilevel"/>
    <w:tmpl w:val="C8422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87970"/>
    <w:multiLevelType w:val="multilevel"/>
    <w:tmpl w:val="04AE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1904E1"/>
    <w:multiLevelType w:val="hybridMultilevel"/>
    <w:tmpl w:val="D78A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4468B2"/>
    <w:multiLevelType w:val="multilevel"/>
    <w:tmpl w:val="9586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12130F"/>
    <w:multiLevelType w:val="multilevel"/>
    <w:tmpl w:val="AE4C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E931D6"/>
    <w:multiLevelType w:val="multilevel"/>
    <w:tmpl w:val="5310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182041"/>
    <w:multiLevelType w:val="multilevel"/>
    <w:tmpl w:val="2526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D65ADD"/>
    <w:multiLevelType w:val="hybridMultilevel"/>
    <w:tmpl w:val="2B94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AB3C76"/>
    <w:multiLevelType w:val="multilevel"/>
    <w:tmpl w:val="8A74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916D2"/>
    <w:multiLevelType w:val="multilevel"/>
    <w:tmpl w:val="5458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D5499C"/>
    <w:multiLevelType w:val="multilevel"/>
    <w:tmpl w:val="68CE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62770F"/>
    <w:multiLevelType w:val="multilevel"/>
    <w:tmpl w:val="AED4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B438D"/>
    <w:multiLevelType w:val="multilevel"/>
    <w:tmpl w:val="8994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931E93"/>
    <w:multiLevelType w:val="multilevel"/>
    <w:tmpl w:val="66B6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A42B38"/>
    <w:multiLevelType w:val="multilevel"/>
    <w:tmpl w:val="9242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AA7DF4"/>
    <w:multiLevelType w:val="multilevel"/>
    <w:tmpl w:val="BD10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0"/>
  </w:num>
  <w:num w:numId="3">
    <w:abstractNumId w:val="32"/>
  </w:num>
  <w:num w:numId="4">
    <w:abstractNumId w:val="20"/>
  </w:num>
  <w:num w:numId="5">
    <w:abstractNumId w:val="8"/>
  </w:num>
  <w:num w:numId="6">
    <w:abstractNumId w:val="13"/>
  </w:num>
  <w:num w:numId="7">
    <w:abstractNumId w:val="5"/>
  </w:num>
  <w:num w:numId="8">
    <w:abstractNumId w:val="4"/>
  </w:num>
  <w:num w:numId="9">
    <w:abstractNumId w:val="10"/>
  </w:num>
  <w:num w:numId="10">
    <w:abstractNumId w:val="18"/>
  </w:num>
  <w:num w:numId="11">
    <w:abstractNumId w:val="23"/>
  </w:num>
  <w:num w:numId="12">
    <w:abstractNumId w:val="21"/>
  </w:num>
  <w:num w:numId="13">
    <w:abstractNumId w:val="1"/>
  </w:num>
  <w:num w:numId="14">
    <w:abstractNumId w:val="15"/>
  </w:num>
  <w:num w:numId="15">
    <w:abstractNumId w:val="7"/>
  </w:num>
  <w:num w:numId="16">
    <w:abstractNumId w:val="25"/>
  </w:num>
  <w:num w:numId="17">
    <w:abstractNumId w:val="26"/>
  </w:num>
  <w:num w:numId="18">
    <w:abstractNumId w:val="31"/>
  </w:num>
  <w:num w:numId="19">
    <w:abstractNumId w:val="22"/>
  </w:num>
  <w:num w:numId="20">
    <w:abstractNumId w:val="27"/>
  </w:num>
  <w:num w:numId="21">
    <w:abstractNumId w:val="2"/>
  </w:num>
  <w:num w:numId="22">
    <w:abstractNumId w:val="28"/>
  </w:num>
  <w:num w:numId="23">
    <w:abstractNumId w:val="12"/>
  </w:num>
  <w:num w:numId="24">
    <w:abstractNumId w:val="14"/>
  </w:num>
  <w:num w:numId="25">
    <w:abstractNumId w:val="11"/>
  </w:num>
  <w:num w:numId="26">
    <w:abstractNumId w:val="16"/>
  </w:num>
  <w:num w:numId="27">
    <w:abstractNumId w:val="29"/>
  </w:num>
  <w:num w:numId="28">
    <w:abstractNumId w:val="3"/>
  </w:num>
  <w:num w:numId="29">
    <w:abstractNumId w:val="9"/>
  </w:num>
  <w:num w:numId="30">
    <w:abstractNumId w:val="19"/>
  </w:num>
  <w:num w:numId="31">
    <w:abstractNumId w:val="6"/>
  </w:num>
  <w:num w:numId="32">
    <w:abstractNumId w:val="17"/>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D0"/>
    <w:rsid w:val="00002B57"/>
    <w:rsid w:val="00015F0E"/>
    <w:rsid w:val="001233DD"/>
    <w:rsid w:val="001A21D7"/>
    <w:rsid w:val="0021518F"/>
    <w:rsid w:val="00223C67"/>
    <w:rsid w:val="00250A3D"/>
    <w:rsid w:val="0038121C"/>
    <w:rsid w:val="00402B27"/>
    <w:rsid w:val="0041602D"/>
    <w:rsid w:val="00450968"/>
    <w:rsid w:val="0055789C"/>
    <w:rsid w:val="005662B4"/>
    <w:rsid w:val="00594812"/>
    <w:rsid w:val="005A5F62"/>
    <w:rsid w:val="005E24CC"/>
    <w:rsid w:val="00713107"/>
    <w:rsid w:val="007F3926"/>
    <w:rsid w:val="00A72651"/>
    <w:rsid w:val="00A741F1"/>
    <w:rsid w:val="00A92E53"/>
    <w:rsid w:val="00C65741"/>
    <w:rsid w:val="00CB34F0"/>
    <w:rsid w:val="00CD0AD0"/>
    <w:rsid w:val="00D22E65"/>
    <w:rsid w:val="00D4025A"/>
    <w:rsid w:val="00DA6602"/>
    <w:rsid w:val="00E45895"/>
    <w:rsid w:val="00E94EC8"/>
    <w:rsid w:val="00FE5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34DE"/>
  <w15:chartTrackingRefBased/>
  <w15:docId w15:val="{2122FB99-D2FC-4D4E-8FFF-E03953B6D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25A"/>
    <w:pPr>
      <w:spacing w:after="0"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D4025A"/>
    <w:pPr>
      <w:outlineLvl w:val="0"/>
    </w:pPr>
    <w:rPr>
      <w:b/>
      <w:sz w:val="32"/>
    </w:rPr>
  </w:style>
  <w:style w:type="paragraph" w:styleId="Heading2">
    <w:name w:val="heading 2"/>
    <w:basedOn w:val="Normal"/>
    <w:next w:val="Normal"/>
    <w:link w:val="Heading2Char"/>
    <w:uiPriority w:val="9"/>
    <w:unhideWhenUsed/>
    <w:qFormat/>
    <w:rsid w:val="00594812"/>
    <w:pPr>
      <w:outlineLvl w:val="1"/>
    </w:pPr>
    <w:rPr>
      <w:b/>
      <w:i/>
      <w:sz w:val="28"/>
    </w:rPr>
  </w:style>
  <w:style w:type="paragraph" w:styleId="Heading3">
    <w:name w:val="heading 3"/>
    <w:basedOn w:val="Normal"/>
    <w:next w:val="Normal"/>
    <w:link w:val="Heading3Char"/>
    <w:uiPriority w:val="9"/>
    <w:semiHidden/>
    <w:unhideWhenUsed/>
    <w:qFormat/>
    <w:rsid w:val="00594812"/>
    <w:pPr>
      <w:keepNext/>
      <w:keepLines/>
      <w:spacing w:before="4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71310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3926"/>
    <w:pPr>
      <w:spacing w:before="100" w:beforeAutospacing="1" w:after="100" w:afterAutospacing="1" w:line="240" w:lineRule="auto"/>
    </w:pPr>
    <w:rPr>
      <w:rFonts w:eastAsia="Times New Roman"/>
      <w:szCs w:val="24"/>
    </w:rPr>
  </w:style>
  <w:style w:type="character" w:customStyle="1" w:styleId="ms-1">
    <w:name w:val="ms-1"/>
    <w:basedOn w:val="DefaultParagraphFont"/>
    <w:rsid w:val="007F3926"/>
  </w:style>
  <w:style w:type="character" w:customStyle="1" w:styleId="max-w-15ch">
    <w:name w:val="max-w-[15ch]"/>
    <w:basedOn w:val="DefaultParagraphFont"/>
    <w:rsid w:val="007F3926"/>
  </w:style>
  <w:style w:type="character" w:customStyle="1" w:styleId="-me-1">
    <w:name w:val="-me-1"/>
    <w:basedOn w:val="DefaultParagraphFont"/>
    <w:rsid w:val="007F3926"/>
  </w:style>
  <w:style w:type="character" w:styleId="Strong">
    <w:name w:val="Strong"/>
    <w:basedOn w:val="DefaultParagraphFont"/>
    <w:uiPriority w:val="22"/>
    <w:qFormat/>
    <w:rsid w:val="00E94EC8"/>
    <w:rPr>
      <w:b/>
      <w:bCs/>
    </w:rPr>
  </w:style>
  <w:style w:type="table" w:styleId="TableGrid">
    <w:name w:val="Table Grid"/>
    <w:basedOn w:val="TableNormal"/>
    <w:uiPriority w:val="39"/>
    <w:rsid w:val="00A92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2E65"/>
    <w:pPr>
      <w:ind w:left="720"/>
      <w:contextualSpacing/>
    </w:pPr>
  </w:style>
  <w:style w:type="character" w:customStyle="1" w:styleId="Heading1Char">
    <w:name w:val="Heading 1 Char"/>
    <w:basedOn w:val="DefaultParagraphFont"/>
    <w:link w:val="Heading1"/>
    <w:uiPriority w:val="9"/>
    <w:rsid w:val="00D4025A"/>
    <w:rPr>
      <w:rFonts w:ascii="Times New Roman" w:hAnsi="Times New Roman" w:cs="Times New Roman"/>
      <w:b/>
      <w:sz w:val="32"/>
    </w:rPr>
  </w:style>
  <w:style w:type="table" w:styleId="PlainTable2">
    <w:name w:val="Plain Table 2"/>
    <w:basedOn w:val="TableNormal"/>
    <w:uiPriority w:val="42"/>
    <w:rsid w:val="00C6574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2Char">
    <w:name w:val="Heading 2 Char"/>
    <w:basedOn w:val="DefaultParagraphFont"/>
    <w:link w:val="Heading2"/>
    <w:uiPriority w:val="9"/>
    <w:rsid w:val="00594812"/>
    <w:rPr>
      <w:rFonts w:ascii="Times New Roman" w:hAnsi="Times New Roman" w:cs="Times New Roman"/>
      <w:b/>
      <w:i/>
      <w:sz w:val="28"/>
    </w:rPr>
  </w:style>
  <w:style w:type="character" w:styleId="Hyperlink">
    <w:name w:val="Hyperlink"/>
    <w:basedOn w:val="DefaultParagraphFont"/>
    <w:uiPriority w:val="99"/>
    <w:unhideWhenUsed/>
    <w:rsid w:val="00C65741"/>
    <w:rPr>
      <w:color w:val="0563C1" w:themeColor="hyperlink"/>
      <w:u w:val="single"/>
    </w:rPr>
  </w:style>
  <w:style w:type="character" w:customStyle="1" w:styleId="Heading4Char">
    <w:name w:val="Heading 4 Char"/>
    <w:basedOn w:val="DefaultParagraphFont"/>
    <w:link w:val="Heading4"/>
    <w:uiPriority w:val="9"/>
    <w:semiHidden/>
    <w:rsid w:val="00713107"/>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A741F1"/>
    <w:pPr>
      <w:keepNext/>
      <w:keepLines/>
      <w:spacing w:before="24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A741F1"/>
    <w:pPr>
      <w:spacing w:after="100"/>
    </w:pPr>
  </w:style>
  <w:style w:type="paragraph" w:styleId="TOC2">
    <w:name w:val="toc 2"/>
    <w:basedOn w:val="Normal"/>
    <w:next w:val="Normal"/>
    <w:autoRedefine/>
    <w:uiPriority w:val="39"/>
    <w:unhideWhenUsed/>
    <w:rsid w:val="00A741F1"/>
    <w:pPr>
      <w:spacing w:after="100"/>
      <w:ind w:left="240"/>
    </w:pPr>
  </w:style>
  <w:style w:type="character" w:customStyle="1" w:styleId="Heading3Char">
    <w:name w:val="Heading 3 Char"/>
    <w:basedOn w:val="DefaultParagraphFont"/>
    <w:link w:val="Heading3"/>
    <w:uiPriority w:val="9"/>
    <w:semiHidden/>
    <w:rsid w:val="00594812"/>
    <w:rPr>
      <w:rFonts w:ascii="Times New Roman" w:eastAsiaTheme="majorEastAsia" w:hAnsi="Times New Roman" w:cstheme="majorBidi"/>
      <w:b/>
      <w:i/>
      <w:sz w:val="24"/>
      <w:szCs w:val="24"/>
      <w:u w:val="single"/>
    </w:rPr>
  </w:style>
  <w:style w:type="paragraph" w:styleId="TOC3">
    <w:name w:val="toc 3"/>
    <w:basedOn w:val="Normal"/>
    <w:next w:val="Normal"/>
    <w:autoRedefine/>
    <w:uiPriority w:val="39"/>
    <w:unhideWhenUsed/>
    <w:rsid w:val="00DA6602"/>
    <w:pPr>
      <w:spacing w:after="100" w:line="259" w:lineRule="auto"/>
      <w:ind w:left="440"/>
      <w:jc w:val="left"/>
    </w:pPr>
    <w:rPr>
      <w:rFonts w:asciiTheme="minorHAnsi" w:hAnsiTheme="minorHAnsi" w:cstheme="minorBidi"/>
      <w:sz w:val="22"/>
      <w:lang w:val="en-GB"/>
    </w:rPr>
  </w:style>
  <w:style w:type="paragraph" w:styleId="Header">
    <w:name w:val="header"/>
    <w:basedOn w:val="Normal"/>
    <w:link w:val="HeaderChar"/>
    <w:uiPriority w:val="99"/>
    <w:unhideWhenUsed/>
    <w:rsid w:val="00594812"/>
    <w:pPr>
      <w:tabs>
        <w:tab w:val="center" w:pos="4680"/>
        <w:tab w:val="right" w:pos="9360"/>
      </w:tabs>
      <w:spacing w:line="240" w:lineRule="auto"/>
    </w:pPr>
  </w:style>
  <w:style w:type="character" w:customStyle="1" w:styleId="HeaderChar">
    <w:name w:val="Header Char"/>
    <w:basedOn w:val="DefaultParagraphFont"/>
    <w:link w:val="Header"/>
    <w:uiPriority w:val="99"/>
    <w:rsid w:val="00594812"/>
    <w:rPr>
      <w:rFonts w:ascii="Times New Roman" w:hAnsi="Times New Roman" w:cs="Times New Roman"/>
      <w:sz w:val="24"/>
    </w:rPr>
  </w:style>
  <w:style w:type="paragraph" w:styleId="Footer">
    <w:name w:val="footer"/>
    <w:basedOn w:val="Normal"/>
    <w:link w:val="FooterChar"/>
    <w:uiPriority w:val="99"/>
    <w:unhideWhenUsed/>
    <w:rsid w:val="00594812"/>
    <w:pPr>
      <w:tabs>
        <w:tab w:val="center" w:pos="4680"/>
        <w:tab w:val="right" w:pos="9360"/>
      </w:tabs>
      <w:spacing w:line="240" w:lineRule="auto"/>
    </w:pPr>
  </w:style>
  <w:style w:type="character" w:customStyle="1" w:styleId="FooterChar">
    <w:name w:val="Footer Char"/>
    <w:basedOn w:val="DefaultParagraphFont"/>
    <w:link w:val="Footer"/>
    <w:uiPriority w:val="99"/>
    <w:rsid w:val="00594812"/>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139322">
      <w:bodyDiv w:val="1"/>
      <w:marLeft w:val="0"/>
      <w:marRight w:val="0"/>
      <w:marTop w:val="0"/>
      <w:marBottom w:val="0"/>
      <w:divBdr>
        <w:top w:val="none" w:sz="0" w:space="0" w:color="auto"/>
        <w:left w:val="none" w:sz="0" w:space="0" w:color="auto"/>
        <w:bottom w:val="none" w:sz="0" w:space="0" w:color="auto"/>
        <w:right w:val="none" w:sz="0" w:space="0" w:color="auto"/>
      </w:divBdr>
      <w:divsChild>
        <w:div w:id="494758429">
          <w:marLeft w:val="0"/>
          <w:marRight w:val="0"/>
          <w:marTop w:val="0"/>
          <w:marBottom w:val="0"/>
          <w:divBdr>
            <w:top w:val="none" w:sz="0" w:space="0" w:color="auto"/>
            <w:left w:val="none" w:sz="0" w:space="0" w:color="auto"/>
            <w:bottom w:val="none" w:sz="0" w:space="0" w:color="auto"/>
            <w:right w:val="none" w:sz="0" w:space="0" w:color="auto"/>
          </w:divBdr>
          <w:divsChild>
            <w:div w:id="789007529">
              <w:marLeft w:val="0"/>
              <w:marRight w:val="0"/>
              <w:marTop w:val="0"/>
              <w:marBottom w:val="0"/>
              <w:divBdr>
                <w:top w:val="none" w:sz="0" w:space="0" w:color="auto"/>
                <w:left w:val="none" w:sz="0" w:space="0" w:color="auto"/>
                <w:bottom w:val="none" w:sz="0" w:space="0" w:color="auto"/>
                <w:right w:val="none" w:sz="0" w:space="0" w:color="auto"/>
              </w:divBdr>
              <w:divsChild>
                <w:div w:id="1646469313">
                  <w:marLeft w:val="0"/>
                  <w:marRight w:val="0"/>
                  <w:marTop w:val="0"/>
                  <w:marBottom w:val="0"/>
                  <w:divBdr>
                    <w:top w:val="none" w:sz="0" w:space="0" w:color="auto"/>
                    <w:left w:val="none" w:sz="0" w:space="0" w:color="auto"/>
                    <w:bottom w:val="none" w:sz="0" w:space="0" w:color="auto"/>
                    <w:right w:val="none" w:sz="0" w:space="0" w:color="auto"/>
                  </w:divBdr>
                  <w:divsChild>
                    <w:div w:id="1445924377">
                      <w:marLeft w:val="0"/>
                      <w:marRight w:val="0"/>
                      <w:marTop w:val="0"/>
                      <w:marBottom w:val="0"/>
                      <w:divBdr>
                        <w:top w:val="none" w:sz="0" w:space="0" w:color="auto"/>
                        <w:left w:val="none" w:sz="0" w:space="0" w:color="auto"/>
                        <w:bottom w:val="none" w:sz="0" w:space="0" w:color="auto"/>
                        <w:right w:val="none" w:sz="0" w:space="0" w:color="auto"/>
                      </w:divBdr>
                      <w:divsChild>
                        <w:div w:id="365066778">
                          <w:marLeft w:val="0"/>
                          <w:marRight w:val="0"/>
                          <w:marTop w:val="0"/>
                          <w:marBottom w:val="0"/>
                          <w:divBdr>
                            <w:top w:val="none" w:sz="0" w:space="0" w:color="auto"/>
                            <w:left w:val="none" w:sz="0" w:space="0" w:color="auto"/>
                            <w:bottom w:val="none" w:sz="0" w:space="0" w:color="auto"/>
                            <w:right w:val="none" w:sz="0" w:space="0" w:color="auto"/>
                          </w:divBdr>
                          <w:divsChild>
                            <w:div w:id="10862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1227274">
      <w:bodyDiv w:val="1"/>
      <w:marLeft w:val="0"/>
      <w:marRight w:val="0"/>
      <w:marTop w:val="0"/>
      <w:marBottom w:val="0"/>
      <w:divBdr>
        <w:top w:val="none" w:sz="0" w:space="0" w:color="auto"/>
        <w:left w:val="none" w:sz="0" w:space="0" w:color="auto"/>
        <w:bottom w:val="none" w:sz="0" w:space="0" w:color="auto"/>
        <w:right w:val="none" w:sz="0" w:space="0" w:color="auto"/>
      </w:divBdr>
    </w:div>
    <w:div w:id="744380216">
      <w:bodyDiv w:val="1"/>
      <w:marLeft w:val="0"/>
      <w:marRight w:val="0"/>
      <w:marTop w:val="0"/>
      <w:marBottom w:val="0"/>
      <w:divBdr>
        <w:top w:val="none" w:sz="0" w:space="0" w:color="auto"/>
        <w:left w:val="none" w:sz="0" w:space="0" w:color="auto"/>
        <w:bottom w:val="none" w:sz="0" w:space="0" w:color="auto"/>
        <w:right w:val="none" w:sz="0" w:space="0" w:color="auto"/>
      </w:divBdr>
    </w:div>
    <w:div w:id="810053546">
      <w:bodyDiv w:val="1"/>
      <w:marLeft w:val="0"/>
      <w:marRight w:val="0"/>
      <w:marTop w:val="0"/>
      <w:marBottom w:val="0"/>
      <w:divBdr>
        <w:top w:val="none" w:sz="0" w:space="0" w:color="auto"/>
        <w:left w:val="none" w:sz="0" w:space="0" w:color="auto"/>
        <w:bottom w:val="none" w:sz="0" w:space="0" w:color="auto"/>
        <w:right w:val="none" w:sz="0" w:space="0" w:color="auto"/>
      </w:divBdr>
    </w:div>
    <w:div w:id="881214307">
      <w:bodyDiv w:val="1"/>
      <w:marLeft w:val="0"/>
      <w:marRight w:val="0"/>
      <w:marTop w:val="0"/>
      <w:marBottom w:val="0"/>
      <w:divBdr>
        <w:top w:val="none" w:sz="0" w:space="0" w:color="auto"/>
        <w:left w:val="none" w:sz="0" w:space="0" w:color="auto"/>
        <w:bottom w:val="none" w:sz="0" w:space="0" w:color="auto"/>
        <w:right w:val="none" w:sz="0" w:space="0" w:color="auto"/>
      </w:divBdr>
    </w:div>
    <w:div w:id="1314530802">
      <w:bodyDiv w:val="1"/>
      <w:marLeft w:val="0"/>
      <w:marRight w:val="0"/>
      <w:marTop w:val="0"/>
      <w:marBottom w:val="0"/>
      <w:divBdr>
        <w:top w:val="none" w:sz="0" w:space="0" w:color="auto"/>
        <w:left w:val="none" w:sz="0" w:space="0" w:color="auto"/>
        <w:bottom w:val="none" w:sz="0" w:space="0" w:color="auto"/>
        <w:right w:val="none" w:sz="0" w:space="0" w:color="auto"/>
      </w:divBdr>
    </w:div>
    <w:div w:id="1461076369">
      <w:bodyDiv w:val="1"/>
      <w:marLeft w:val="0"/>
      <w:marRight w:val="0"/>
      <w:marTop w:val="0"/>
      <w:marBottom w:val="0"/>
      <w:divBdr>
        <w:top w:val="none" w:sz="0" w:space="0" w:color="auto"/>
        <w:left w:val="none" w:sz="0" w:space="0" w:color="auto"/>
        <w:bottom w:val="none" w:sz="0" w:space="0" w:color="auto"/>
        <w:right w:val="none" w:sz="0" w:space="0" w:color="auto"/>
      </w:divBdr>
    </w:div>
    <w:div w:id="1696341896">
      <w:bodyDiv w:val="1"/>
      <w:marLeft w:val="0"/>
      <w:marRight w:val="0"/>
      <w:marTop w:val="0"/>
      <w:marBottom w:val="0"/>
      <w:divBdr>
        <w:top w:val="none" w:sz="0" w:space="0" w:color="auto"/>
        <w:left w:val="none" w:sz="0" w:space="0" w:color="auto"/>
        <w:bottom w:val="none" w:sz="0" w:space="0" w:color="auto"/>
        <w:right w:val="none" w:sz="0" w:space="0" w:color="auto"/>
      </w:divBdr>
    </w:div>
    <w:div w:id="1971083864">
      <w:bodyDiv w:val="1"/>
      <w:marLeft w:val="0"/>
      <w:marRight w:val="0"/>
      <w:marTop w:val="0"/>
      <w:marBottom w:val="0"/>
      <w:divBdr>
        <w:top w:val="none" w:sz="0" w:space="0" w:color="auto"/>
        <w:left w:val="none" w:sz="0" w:space="0" w:color="auto"/>
        <w:bottom w:val="none" w:sz="0" w:space="0" w:color="auto"/>
        <w:right w:val="none" w:sz="0" w:space="0" w:color="auto"/>
      </w:divBdr>
    </w:div>
    <w:div w:id="2116709993">
      <w:bodyDiv w:val="1"/>
      <w:marLeft w:val="0"/>
      <w:marRight w:val="0"/>
      <w:marTop w:val="0"/>
      <w:marBottom w:val="0"/>
      <w:divBdr>
        <w:top w:val="none" w:sz="0" w:space="0" w:color="auto"/>
        <w:left w:val="none" w:sz="0" w:space="0" w:color="auto"/>
        <w:bottom w:val="none" w:sz="0" w:space="0" w:color="auto"/>
        <w:right w:val="none" w:sz="0" w:space="0" w:color="auto"/>
      </w:divBdr>
    </w:div>
    <w:div w:id="213327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49935-CF76-488C-B809-C4F7283D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3399</Words>
  <Characters>19377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revision>5</cp:revision>
  <dcterms:created xsi:type="dcterms:W3CDTF">2025-11-14T13:46:00Z</dcterms:created>
  <dcterms:modified xsi:type="dcterms:W3CDTF">2025-12-15T10:51:00Z</dcterms:modified>
</cp:coreProperties>
</file>