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4"/>
        <w:ind w:left="6300" w:right="-334" w:firstLine="0"/>
        <w:spacing w:before="0" w:after="0" w:beforeAutospacing="0" w:afterAutospacing="0"/>
      </w:pPr>
      <w:r>
        <w:rPr>
          <w:noProof/>
        </w:rPr>
        <w:drawing>
          <wp:inline distT="0" distB="0" distL="0" distR="0">
            <wp:extent cx="1816735" cy="728980"/>
            <wp:effectExtent l="0" t="0" r="0" b="0"/>
            <wp:docPr id="1" name="Picture1"/>
            <wp:cNvGraphicFramePr/>
            <a:graphic xmlns:a="http://schemas.openxmlformats.org/drawingml/2006/main">
              <a:graphicData uri="http://schemas.openxmlformats.org/drawingml/2006/picture">
                <pic:pic xmlns:pic="http://schemas.openxmlformats.org/drawingml/2006/picture">
                  <pic:nvPicPr>
                    <pic:cNvPr id="1" name="Picture1"/>
                    <pic:cNvPicPr>
                      <a:extLst>
                        <a:ext uri="smNativeData">
                          <sm:smNativeData xmlns:sm="smNativeData" val="SMDATA_17_yPAgZx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yAAAAAAAAAAAAAAAAAAAAAAAAAAAAAAAAAAAAAAAAAAAAAALQsAAHwEAAAAAAAAAAAAAAAAAAAoAAAACAAAAAEAAAABAAAAMAAAABQAAAAAAAAAAAD//wAAAQAAAP//AAABAA=="/>
                        </a:ext>
                      </a:extLst>
                    </pic:cNvPicPr>
                  </pic:nvPicPr>
                  <pic:blipFill>
                    <a:blip r:embed="rId7"/>
                    <a:stretch>
                      <a:fillRect/>
                    </a:stretch>
                  </pic:blipFill>
                  <pic:spPr>
                    <a:xfrm>
                      <a:off x="0" y="0"/>
                      <a:ext cx="1816735" cy="728980"/>
                    </a:xfrm>
                    <a:prstGeom prst="rect">
                      <a:avLst/>
                    </a:prstGeom>
                    <a:noFill/>
                    <a:ln w="12700">
                      <a:noFill/>
                    </a:ln>
                  </pic:spPr>
                </pic:pic>
              </a:graphicData>
            </a:graphic>
          </wp:inline>
        </w:drawing>
      </w:r>
      <w:r/>
    </w:p>
    <w:p>
      <w:pPr>
        <w:pStyle w:val="para4"/>
        <w:ind w:left="-180" w:right="-334"/>
        <w:spacing w:before="0" w:after="0" w:beforeAutospacing="0" w:afterAutospacing="0"/>
      </w:pPr>
      <w:r/>
    </w:p>
    <w:p>
      <w:pPr>
        <w:pStyle w:val="para4"/>
        <w:ind w:left="-180" w:right="-334"/>
        <w:spacing w:before="0" w:after="0" w:beforeAutospacing="0" w:afterAutospacing="0"/>
      </w:pPr>
      <w:r/>
    </w:p>
    <w:p>
      <w:pPr>
        <w:pStyle w:val="para4"/>
        <w:ind w:left="-180" w:right="-334"/>
        <w:spacing w:before="0" w:after="0" w:beforeAutospacing="0" w:afterAutospacing="0"/>
        <w:jc w:val="center"/>
        <w:rPr>
          <w:rFonts w:ascii="Arial" w:hAnsi="Arial" w:cs="Arial"/>
          <w:b/>
          <w:sz w:val="28"/>
          <w:szCs w:val="28"/>
        </w:rPr>
      </w:pPr>
      <w:r>
        <w:rPr>
          <w:rFonts w:ascii="Arial" w:hAnsi="Arial" w:cs="Arial"/>
          <w:b/>
          <w:sz w:val="28"/>
          <w:szCs w:val="28"/>
          <w:lang w:val="cy-gb"/>
        </w:rPr>
        <w:t>Postgraduate/Distance Learning Assignment</w:t>
        <w:br w:type="textWrapping"/>
        <w:t>coversheet &amp; feedback form</w:t>
      </w:r>
      <w:r>
        <w:rPr>
          <w:rFonts w:ascii="Arial" w:hAnsi="Arial" w:cs="Arial"/>
          <w:b/>
          <w:sz w:val="28"/>
          <w:szCs w:val="28"/>
        </w:rPr>
      </w:r>
    </w:p>
    <w:p>
      <w:pPr>
        <w:spacing/>
        <w:jc w:val="center"/>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8"/>
          <w:szCs w:val="28"/>
          <w:lang w:val="cy-gb"/>
        </w:rPr>
      </w:pPr>
      <w:r>
        <w:rPr>
          <w:rFonts w:ascii="Arial" w:hAnsi="Arial" w:eastAsia="SimSun" w:cs="Arial"/>
          <w:sz w:val="28"/>
          <w:szCs w:val="28"/>
          <w:lang w:val="cy-gb"/>
        </w:rPr>
      </w:r>
    </w:p>
    <w:p>
      <w:pPr>
        <w:pStyle w:val="para3"/>
        <w:spacing w:before="0" w:after="0" w:beforeAutospacing="0"/>
        <w:jc w:val="center"/>
        <w:keepLines w:val="0"/>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ahoma" w:hAnsi="Tahoma" w:eastAsia="SimSun" w:cs="Tahoma"/>
          <w:sz w:val="20"/>
          <w:szCs w:val="20"/>
          <w:lang w:val="cy-gb"/>
        </w:rPr>
      </w:pPr>
      <w:r>
        <w:rPr>
          <w:rFonts w:ascii="Tahoma" w:hAnsi="Tahoma" w:eastAsia="SimSun" w:cs="Tahoma"/>
          <w:sz w:val="20"/>
          <w:szCs w:val="20"/>
          <w:lang w:val="cy-gb"/>
        </w:rPr>
        <w:t>THIS SHEET MUST BE THE FIRST PAGE OF THE ASSIGNMENT YOU ARE SUBMITTING</w:t>
        <w:br w:type="textWrapping"/>
        <w:t>(DO NOT SEND AS A SEPARATE FILE)</w:t>
      </w:r>
    </w:p>
    <w:p>
      <w:pPr>
        <w:pStyle w:val="para3"/>
        <w:ind w:left="720"/>
        <w:spacing w:before="0" w:after="0" w:beforeAutospacing="0"/>
        <w:jc w:val="center"/>
        <w:keepLines w:val="0"/>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rebuchet MS" w:hAnsi="Trebuchet MS" w:eastAsia="SimSun" w:cs="Trebuchet MS"/>
          <w:sz w:val="20"/>
          <w:szCs w:val="20"/>
        </w:rPr>
      </w:pPr>
      <w:r>
        <w:rPr>
          <w:rFonts w:ascii="Trebuchet MS" w:hAnsi="Trebuchet MS" w:eastAsia="SimSun" w:cs="Trebuchet MS"/>
          <w:sz w:val="20"/>
          <w:szCs w:val="20"/>
        </w:rPr>
      </w:r>
    </w:p>
    <w:tbl>
      <w:tblPr>
        <w:tblStyle w:val="TableNormal"/>
        <w:name w:val="Table1"/>
        <w:tabOrder w:val="0"/>
        <w:jc w:val="left"/>
        <w:tblInd w:w="0" w:type="dxa"/>
        <w:tblW w:w="9639" w:type="dxa"/>
        <w:pPr>
          <w:spacing/>
          <w:jc w:val="left"/>
          <w:tabs defTabSz="720"/>
        </w:pPr>
        <w:tblLook w:val="0600" w:firstRow="0" w:lastRow="0" w:firstColumn="0" w:lastColumn="0" w:noHBand="1" w:noVBand="1"/>
      </w:tblPr>
      <w:tblGrid>
        <w:gridCol w:w="4778"/>
        <w:gridCol w:w="422"/>
        <w:gridCol w:w="1553"/>
        <w:gridCol w:w="286"/>
        <w:gridCol w:w="2600"/>
      </w:tblGrid>
      <w:tr>
        <w:trPr>
          <w:tblHeader w:val="0"/>
          <w:cantSplit w:val="0"/>
          <w:trHeight w:val="614" w:hRule="atLeast"/>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pStyle w:val="para4"/>
              <w:ind w:right="34" w:firstLine="0"/>
              <w:spacing w:before="0" w:after="0" w:beforeAutospacing="0" w:afterAutospacing="0"/>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trPr>
          <w:tblHeader w:val="0"/>
          <w:cantSplit w:val="0"/>
          <w:trHeight w:val="718" w:hRule="atLeast"/>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pStyle w:val="para4"/>
              <w:ind w:right="34" w:firstLine="0"/>
              <w:spacing w:before="0" w:after="0" w:beforeAutospacing="0" w:afterAutospacing="0"/>
              <w:rPr>
                <w:rFonts w:ascii="Arial" w:hAnsi="Arial" w:cs="Arial"/>
                <w:sz w:val="22"/>
                <w:szCs w:val="22"/>
              </w:rPr>
            </w:pPr>
            <w:r>
              <w:rPr>
                <w:rFonts w:ascii="Arial" w:hAnsi="Arial" w:cs="Arial"/>
                <w:sz w:val="22"/>
                <w:szCs w:val="22"/>
              </w:rPr>
              <w:t>Student Name: Linda Parkinson-Hardman</w:t>
            </w:r>
          </w:p>
          <w:p>
            <w:pPr>
              <w:pStyle w:val="para4"/>
              <w:ind w:right="34"/>
              <w:spacing w:before="0" w:after="0" w:beforeAutospacing="0" w:afterAutospacing="0"/>
              <w:rPr>
                <w:rFonts w:ascii="Arial" w:hAnsi="Arial" w:cs="Arial"/>
                <w:sz w:val="22"/>
                <w:szCs w:val="22"/>
              </w:rPr>
            </w:pPr>
            <w:r>
              <w:rPr>
                <w:rFonts w:ascii="Arial" w:hAnsi="Arial" w:cs="Arial"/>
                <w:sz w:val="22"/>
                <w:szCs w:val="22"/>
              </w:rPr>
            </w:r>
          </w:p>
          <w:p>
            <w:pPr>
              <w:pStyle w:val="para4"/>
              <w:ind w:right="34" w:firstLine="0"/>
              <w:spacing w:before="0" w:after="0" w:beforeAutospacing="0" w:afterAutospacing="0"/>
              <w:rPr>
                <w:rFonts w:ascii="Arial" w:hAnsi="Arial" w:cs="Arial"/>
                <w:sz w:val="22"/>
                <w:szCs w:val="22"/>
              </w:rPr>
            </w:pPr>
            <w:r>
              <w:rPr>
                <w:rFonts w:ascii="Arial" w:hAnsi="Arial" w:cs="Arial"/>
                <w:sz w:val="22"/>
                <w:szCs w:val="22"/>
              </w:rPr>
              <w:t xml:space="preserve">Student </w:t>
            </w:r>
            <w:r>
              <w:rPr>
                <w:rFonts w:ascii="Arial" w:hAnsi="Arial" w:cs="Arial"/>
                <w:b/>
                <w:bCs/>
                <w:sz w:val="22"/>
                <w:szCs w:val="22"/>
                <w:u w:color="auto" w:val="single"/>
              </w:rPr>
              <w:t>University</w:t>
            </w:r>
            <w:r>
              <w:rPr>
                <w:rFonts w:ascii="Arial" w:hAnsi="Arial" w:cs="Arial"/>
                <w:sz w:val="22"/>
                <w:szCs w:val="22"/>
                <w:u w:color="auto" w:val="single"/>
              </w:rPr>
              <w:t xml:space="preserve"> </w:t>
            </w:r>
            <w:r>
              <w:rPr>
                <w:rFonts w:ascii="Arial" w:hAnsi="Arial" w:cs="Arial"/>
                <w:sz w:val="22"/>
                <w:szCs w:val="22"/>
              </w:rPr>
              <w:t>Email: 2409122@student.uwtsd.ac.uk</w:t>
            </w:r>
          </w:p>
        </w:tc>
      </w:tr>
      <w:tr>
        <w:trPr>
          <w:tblHeader w:val="0"/>
          <w:cantSplit w:val="0"/>
          <w:trHeight w:val="849" w:hRule="atLeast"/>
        </w:trPr>
        <w:tc>
          <w:tcPr>
            <w:tcW w:w="4778"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pStyle w:val="para4"/>
              <w:ind w:right="34" w:firstLine="0"/>
              <w:spacing w:before="0" w:after="0" w:beforeAutospacing="0" w:afterAutospacing="0"/>
              <w:rPr>
                <w:rFonts w:ascii="Arial" w:hAnsi="Arial" w:cs="Arial"/>
                <w:sz w:val="22"/>
                <w:szCs w:val="22"/>
              </w:rPr>
            </w:pPr>
            <w:r>
              <w:rPr>
                <w:rFonts w:ascii="Arial" w:hAnsi="Arial" w:cs="Arial"/>
                <w:sz w:val="22"/>
                <w:szCs w:val="22"/>
              </w:rPr>
              <w:t>Module code: HPCA7015</w:t>
            </w:r>
          </w:p>
          <w:p>
            <w:pPr>
              <w:pStyle w:val="para4"/>
              <w:ind w:right="34"/>
              <w:spacing w:before="0" w:after="0" w:beforeAutospacing="0" w:afterAutospacing="0"/>
              <w:rPr>
                <w:rFonts w:ascii="Arial" w:hAnsi="Arial" w:cs="Arial"/>
                <w:sz w:val="22"/>
                <w:szCs w:val="22"/>
              </w:rPr>
            </w:pPr>
            <w:r>
              <w:rPr>
                <w:rFonts w:ascii="Arial" w:hAnsi="Arial" w:cs="Arial"/>
                <w:sz w:val="22"/>
                <w:szCs w:val="22"/>
              </w:rPr>
            </w:r>
          </w:p>
          <w:p>
            <w:pPr>
              <w:pStyle w:val="para4"/>
              <w:ind w:right="34" w:firstLine="0"/>
              <w:spacing w:before="0" w:after="0" w:beforeAutospacing="0" w:afterAutospacing="0"/>
              <w:rPr>
                <w:rFonts w:ascii="Arial" w:hAnsi="Arial" w:cs="Arial"/>
                <w:sz w:val="22"/>
                <w:szCs w:val="22"/>
              </w:rPr>
            </w:pPr>
            <w:r>
              <w:rPr>
                <w:rFonts w:ascii="Arial" w:hAnsi="Arial" w:cs="Arial"/>
                <w:sz w:val="22"/>
                <w:szCs w:val="22"/>
              </w:rPr>
              <w:t>Module title: Foundations in Cultural Astronomy</w:t>
            </w:r>
          </w:p>
          <w:p>
            <w:pPr>
              <w:pStyle w:val="para4"/>
              <w:ind w:right="34"/>
              <w:spacing w:before="0" w:after="0" w:beforeAutospacing="0" w:afterAutospacing="0"/>
              <w:rPr>
                <w:rFonts w:ascii="Arial" w:hAnsi="Arial" w:cs="Arial"/>
                <w:sz w:val="22"/>
                <w:szCs w:val="22"/>
              </w:rPr>
            </w:pPr>
            <w:r>
              <w:rPr>
                <w:rFonts w:ascii="Arial" w:hAnsi="Arial" w:cs="Arial"/>
                <w:sz w:val="22"/>
                <w:szCs w:val="22"/>
              </w:rPr>
            </w:r>
          </w:p>
        </w:tc>
        <w:tc>
          <w:tcPr>
            <w:tcW w:w="2261" w:type="dxa"/>
            <w:gridSpan w:val="3"/>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pStyle w:val="para4"/>
              <w:ind w:right="34" w:firstLine="0"/>
              <w:spacing w:before="0" w:after="0" w:beforeAutospacing="0" w:afterAutospacing="0"/>
              <w:rPr>
                <w:rFonts w:ascii="Arial" w:hAnsi="Arial" w:cs="Arial"/>
                <w:sz w:val="22"/>
                <w:szCs w:val="22"/>
              </w:rPr>
            </w:pPr>
            <w:r>
              <w:rPr>
                <w:rFonts w:ascii="Arial" w:hAnsi="Arial" w:cs="Arial"/>
                <w:sz w:val="22"/>
                <w:szCs w:val="22"/>
              </w:rPr>
              <w:t>Student ID number:</w:t>
            </w:r>
          </w:p>
          <w:p>
            <w:pPr>
              <w:pStyle w:val="para4"/>
              <w:ind w:right="34"/>
              <w:spacing w:before="0" w:after="0" w:beforeAutospacing="0" w:afterAutospacing="0"/>
              <w:rPr>
                <w:rFonts w:ascii="Arial" w:hAnsi="Arial" w:cs="Arial"/>
                <w:sz w:val="22"/>
                <w:szCs w:val="22"/>
              </w:rPr>
            </w:pPr>
            <w:r>
              <w:rPr>
                <w:rFonts w:ascii="Arial" w:hAnsi="Arial" w:cs="Arial"/>
                <w:sz w:val="22"/>
                <w:szCs w:val="22"/>
              </w:rPr>
            </w:r>
          </w:p>
          <w:p>
            <w:pPr>
              <w:pStyle w:val="para4"/>
              <w:ind w:right="34"/>
              <w:spacing w:before="0" w:after="0" w:beforeAutospacing="0" w:afterAutospacing="0"/>
              <w:rPr>
                <w:rFonts w:ascii="Arial" w:hAnsi="Arial" w:cs="Arial"/>
                <w:sz w:val="22"/>
                <w:szCs w:val="22"/>
              </w:rPr>
            </w:pPr>
            <w:r>
              <w:rPr>
                <w:rFonts w:ascii="Arial" w:hAnsi="Arial" w:cs="Arial"/>
                <w:sz w:val="22"/>
                <w:szCs w:val="22"/>
              </w:rPr>
              <w:t>2409122</w:t>
            </w:r>
          </w:p>
        </w:tc>
        <w:tc>
          <w:tcPr>
            <w:tcW w:w="2600"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pStyle w:val="para4"/>
              <w:ind w:right="34" w:firstLine="0"/>
              <w:spacing w:before="0" w:after="0" w:beforeAutospacing="0" w:afterAutospacing="0"/>
              <w:rPr>
                <w:rFonts w:ascii="Arial" w:hAnsi="Arial" w:cs="Arial"/>
                <w:sz w:val="22"/>
                <w:szCs w:val="22"/>
              </w:rPr>
            </w:pPr>
            <w:r>
              <w:rPr>
                <w:rFonts w:ascii="Arial" w:hAnsi="Arial" w:cs="Arial"/>
                <w:sz w:val="22"/>
                <w:szCs w:val="22"/>
              </w:rPr>
              <w:t>Educational support needs:</w:t>
            </w:r>
          </w:p>
          <w:p>
            <w:pPr>
              <w:pStyle w:val="para4"/>
              <w:ind w:right="34"/>
              <w:spacing w:before="0" w:after="0" w:beforeAutospacing="0" w:afterAutospacing="0"/>
              <w:rPr>
                <w:rFonts w:ascii="Arial" w:hAnsi="Arial" w:cs="Arial"/>
                <w:sz w:val="22"/>
                <w:szCs w:val="22"/>
              </w:rPr>
            </w:pPr>
            <w:r>
              <w:rPr>
                <w:rFonts w:ascii="Arial" w:hAnsi="Arial" w:cs="Arial"/>
                <w:sz w:val="22"/>
                <w:szCs w:val="22"/>
              </w:rPr>
              <w:t>No</w:t>
            </w:r>
          </w:p>
        </w:tc>
      </w:tr>
      <w:tr>
        <w:trPr>
          <w:tblHeader w:val="0"/>
          <w:cantSplit w:val="0"/>
          <w:trHeight w:val="1139" w:hRule="atLeast"/>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pStyle w:val="para4"/>
              <w:ind w:right="34" w:firstLine="0"/>
              <w:spacing w:before="0" w:after="0" w:beforeAutospacing="0" w:afterAutospacing="0"/>
              <w:rPr>
                <w:rFonts w:ascii="Arial" w:hAnsi="Arial" w:cs="Arial"/>
                <w:sz w:val="22"/>
                <w:szCs w:val="22"/>
              </w:rPr>
            </w:pPr>
            <w:r>
              <w:rPr>
                <w:rFonts w:ascii="Arial" w:hAnsi="Arial" w:cs="Arial"/>
                <w:sz w:val="22"/>
                <w:szCs w:val="22"/>
              </w:rPr>
              <w:t>Assignment title: A Critical Comparison of Two Secondary Sources</w:t>
              <w:br w:type="textWrapping"/>
              <w:t>Word Count: 2073</w:t>
            </w:r>
          </w:p>
          <w:p>
            <w:pPr>
              <w:pStyle w:val="para4"/>
              <w:ind w:right="34"/>
              <w:spacing w:before="0" w:after="0" w:beforeAutospacing="0" w:afterAutospacing="0"/>
              <w:rPr>
                <w:rFonts w:ascii="Arial" w:hAnsi="Arial" w:cs="Arial"/>
                <w:sz w:val="22"/>
                <w:szCs w:val="22"/>
              </w:rPr>
            </w:pPr>
            <w:r>
              <w:rPr>
                <w:rFonts w:ascii="Arial" w:hAnsi="Arial" w:cs="Arial"/>
                <w:sz w:val="22"/>
                <w:szCs w:val="22"/>
              </w:rPr>
            </w:r>
          </w:p>
          <w:p>
            <w:pPr>
              <w:pStyle w:val="para4"/>
              <w:ind w:right="34" w:firstLine="0"/>
              <w:spacing w:before="0" w:after="0" w:beforeAutospacing="0" w:afterAutospacing="0"/>
              <w:rPr>
                <w:rFonts w:ascii="Arial" w:hAnsi="Arial" w:cs="Arial"/>
                <w:sz w:val="22"/>
                <w:szCs w:val="22"/>
              </w:rPr>
            </w:pPr>
            <w:r>
              <w:rPr>
                <w:rFonts w:ascii="Arial" w:hAnsi="Arial" w:cs="Arial"/>
                <w:sz w:val="22"/>
                <w:szCs w:val="22"/>
              </w:rPr>
              <w:t>Assignment due date: 4</w:t>
            </w:r>
            <w:r>
              <w:rPr>
                <w:rFonts w:ascii="Arial" w:hAnsi="Arial" w:cs="Arial"/>
                <w:sz w:val="22"/>
                <w:szCs w:val="22"/>
                <w:vertAlign w:val="superscript"/>
              </w:rPr>
              <w:t>th</w:t>
            </w:r>
            <w:r>
              <w:rPr>
                <w:rFonts w:ascii="Arial" w:hAnsi="Arial" w:cs="Arial"/>
                <w:sz w:val="22"/>
                <w:szCs w:val="22"/>
              </w:rPr>
              <w:t xml:space="preserve"> November 2024</w:t>
            </w:r>
          </w:p>
        </w:tc>
      </w:tr>
      <w:tr>
        <w:trPr>
          <w:tblHeader w:val="0"/>
          <w:cantSplit w:val="0"/>
          <w:trHeight w:val="978" w:hRule="atLeast"/>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ind w:firstLine="0"/>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rPr>
            </w:pPr>
            <w:r>
              <w:rPr>
                <w:rFonts w:ascii="Arial" w:hAnsi="Arial" w:eastAsia="SimSun" w:cs="Arial"/>
              </w:rPr>
              <w:t>This assignment is for the       1</w:t>
            </w:r>
            <w:r>
              <w:rPr>
                <w:rFonts w:ascii="Arial" w:hAnsi="Arial" w:eastAsia="SimSun" w:cs="Arial"/>
                <w:vertAlign w:val="superscript"/>
              </w:rPr>
              <w:t xml:space="preserve">st </w:t>
            </w:r>
            <w:r/>
            <w:bookmarkStart w:id="0" w:name="Check13"/>
            <w:r/>
            <w:r>
              <w:rPr>
                <w:rFonts w:ascii="Arial" w:hAnsi="Arial" w:eastAsia="SimSun" w:cs="Arial"/>
              </w:rPr>
            </w:r>
            <w:r>
              <w:rPr>
                <w:rFonts w:ascii="Arial" w:hAnsi="Arial" w:eastAsia="SimSun" w:cs="Arial"/>
              </w:rPr>
              <w:fldChar w:fldCharType="begin">
                <w:ffData>
                  <w:name w:val="Check13"/>
                  <w:enabled/>
                  <w:calcOnExit w:val="0"/>
                  <w:checkBox>
                    <w:sizeAuto/>
                    <w:checked w:val="1"/>
                  </w:checkBox>
                  <w:dim/>
                </w:ffData>
              </w:fldChar>
            </w:r>
            <w:r>
              <w:rPr>
                <w:rFonts w:ascii="Arial" w:hAnsi="Arial" w:eastAsia="SimSun" w:cs="Arial"/>
              </w:rPr>
              <w:instrText xml:space="preserve"> FORMCHECKBOX </w:instrText>
            </w:r>
            <w:r>
              <w:rPr>
                <w:rFonts w:ascii="Arial" w:hAnsi="Arial" w:eastAsia="SimSun" w:cs="Arial"/>
              </w:rPr>
            </w:r>
            <w:r>
              <w:rPr>
                <w:rFonts w:ascii="Arial" w:hAnsi="Arial" w:eastAsia="SimSun" w:cs="Arial"/>
              </w:rPr>
              <w:fldChar w:fldCharType="end"/>
            </w:r>
            <w:r>
              <w:rPr>
                <w:rFonts w:ascii="Arial" w:hAnsi="Arial" w:eastAsia="SimSun" w:cs="Arial"/>
              </w:rPr>
            </w:r>
            <w:r/>
            <w:bookmarkEnd w:id="0"/>
            <w:r/>
            <w:r>
              <w:rPr>
                <w:rFonts w:ascii="Arial" w:hAnsi="Arial" w:eastAsia="SimSun" w:cs="Arial"/>
              </w:rPr>
              <w:t xml:space="preserve">    2</w:t>
            </w:r>
            <w:r>
              <w:rPr>
                <w:rFonts w:ascii="Arial" w:hAnsi="Arial" w:eastAsia="SimSun" w:cs="Arial"/>
                <w:vertAlign w:val="superscript"/>
              </w:rPr>
              <w:t>nd</w:t>
            </w:r>
            <w:r>
              <w:rPr>
                <w:rFonts w:ascii="Arial" w:hAnsi="Arial" w:eastAsia="SimSun" w:cs="Arial"/>
              </w:rPr>
              <w:t xml:space="preserve">  </w:t>
            </w:r>
            <w:r/>
            <w:bookmarkStart w:id="1" w:name="Check14"/>
            <w:r/>
            <w:r>
              <w:rPr>
                <w:rFonts w:ascii="Arial" w:hAnsi="Arial" w:eastAsia="SimSun" w:cs="Arial"/>
              </w:rPr>
            </w:r>
            <w:r>
              <w:rPr>
                <w:rFonts w:ascii="Arial" w:hAnsi="Arial" w:eastAsia="SimSun" w:cs="Arial"/>
              </w:rPr>
              <w:fldChar w:fldCharType="begin">
                <w:ffData>
                  <w:name w:val="Check14"/>
                  <w:enabled/>
                  <w:calcOnExit w:val="0"/>
                  <w:checkBox>
                    <w:sizeAuto/>
                    <w:checked w:val="0"/>
                  </w:checkBox>
                  <w:dim/>
                </w:ffData>
              </w:fldChar>
            </w:r>
            <w:r>
              <w:rPr>
                <w:rFonts w:ascii="Arial" w:hAnsi="Arial" w:eastAsia="SimSun" w:cs="Arial"/>
              </w:rPr>
              <w:instrText xml:space="preserve"> FORMCHECKBOX </w:instrText>
            </w:r>
            <w:r>
              <w:rPr>
                <w:rFonts w:ascii="Arial" w:hAnsi="Arial" w:eastAsia="SimSun" w:cs="Arial"/>
              </w:rPr>
            </w:r>
            <w:r>
              <w:rPr>
                <w:rFonts w:ascii="Arial" w:hAnsi="Arial" w:eastAsia="SimSun" w:cs="Arial"/>
              </w:rPr>
              <w:fldChar w:fldCharType="end"/>
            </w:r>
            <w:r>
              <w:rPr>
                <w:rFonts w:ascii="Arial" w:hAnsi="Arial" w:eastAsia="SimSun" w:cs="Arial"/>
              </w:rPr>
            </w:r>
            <w:r/>
            <w:bookmarkEnd w:id="1"/>
            <w:r/>
            <w:r>
              <w:rPr>
                <w:rFonts w:ascii="Arial" w:hAnsi="Arial" w:eastAsia="SimSun" w:cs="Arial"/>
              </w:rPr>
              <w:t xml:space="preserve">     3</w:t>
            </w:r>
            <w:r>
              <w:rPr>
                <w:rFonts w:ascii="Arial" w:hAnsi="Arial" w:eastAsia="SimSun" w:cs="Arial"/>
                <w:vertAlign w:val="superscript"/>
              </w:rPr>
              <w:t>rd</w:t>
            </w:r>
            <w:r>
              <w:rPr>
                <w:rFonts w:ascii="Arial" w:hAnsi="Arial" w:eastAsia="SimSun" w:cs="Arial"/>
              </w:rPr>
              <w:t xml:space="preserve">  </w:t>
            </w:r>
            <w:r/>
            <w:bookmarkStart w:id="2" w:name="Check15"/>
            <w:r/>
            <w:r>
              <w:rPr>
                <w:rFonts w:ascii="Arial" w:hAnsi="Arial" w:eastAsia="SimSun" w:cs="Arial"/>
              </w:rPr>
            </w:r>
            <w:r>
              <w:rPr>
                <w:rFonts w:ascii="Arial" w:hAnsi="Arial" w:eastAsia="SimSun" w:cs="Arial"/>
              </w:rPr>
              <w:fldChar w:fldCharType="begin">
                <w:ffData>
                  <w:name w:val="Check15"/>
                  <w:enabled/>
                  <w:calcOnExit w:val="0"/>
                  <w:checkBox>
                    <w:sizeAuto/>
                    <w:checked w:val="0"/>
                  </w:checkBox>
                  <w:dim/>
                </w:ffData>
              </w:fldChar>
            </w:r>
            <w:r>
              <w:rPr>
                <w:rFonts w:ascii="Arial" w:hAnsi="Arial" w:eastAsia="SimSun" w:cs="Arial"/>
              </w:rPr>
              <w:instrText xml:space="preserve"> FORMCHECKBOX </w:instrText>
            </w:r>
            <w:r>
              <w:rPr>
                <w:rFonts w:ascii="Arial" w:hAnsi="Arial" w:eastAsia="SimSun" w:cs="Arial"/>
              </w:rPr>
            </w:r>
            <w:r>
              <w:rPr>
                <w:rFonts w:ascii="Arial" w:hAnsi="Arial" w:eastAsia="SimSun" w:cs="Arial"/>
              </w:rPr>
              <w:fldChar w:fldCharType="end"/>
            </w:r>
            <w:r>
              <w:rPr>
                <w:rFonts w:ascii="Arial" w:hAnsi="Arial" w:eastAsia="SimSun" w:cs="Arial"/>
              </w:rPr>
            </w:r>
            <w:r/>
            <w:bookmarkEnd w:id="2"/>
            <w:r/>
            <w:r>
              <w:rPr>
                <w:rFonts w:ascii="Arial" w:hAnsi="Arial" w:eastAsia="SimSun" w:cs="Arial"/>
              </w:rPr>
              <w:t xml:space="preserve">      4</w:t>
            </w:r>
            <w:r>
              <w:rPr>
                <w:rFonts w:ascii="Arial" w:hAnsi="Arial" w:eastAsia="SimSun" w:cs="Arial"/>
                <w:vertAlign w:val="superscript"/>
              </w:rPr>
              <w:t>th</w:t>
            </w:r>
            <w:r>
              <w:rPr>
                <w:rFonts w:ascii="Arial" w:hAnsi="Arial" w:eastAsia="SimSun" w:cs="Arial"/>
              </w:rPr>
              <w:t xml:space="preserve"> </w:t>
            </w:r>
            <w:r/>
            <w:bookmarkStart w:id="3" w:name="Check16"/>
            <w:r/>
            <w:r>
              <w:rPr>
                <w:rFonts w:ascii="Arial" w:hAnsi="Arial" w:eastAsia="SimSun" w:cs="Arial"/>
              </w:rPr>
            </w:r>
            <w:r>
              <w:rPr>
                <w:rFonts w:ascii="Arial" w:hAnsi="Arial" w:eastAsia="SimSun" w:cs="Arial"/>
              </w:rPr>
              <w:fldChar w:fldCharType="begin">
                <w:ffData>
                  <w:name w:val="Check16"/>
                  <w:enabled/>
                  <w:calcOnExit w:val="0"/>
                  <w:checkBox>
                    <w:sizeAuto/>
                    <w:checked w:val="0"/>
                  </w:checkBox>
                  <w:dim/>
                </w:ffData>
              </w:fldChar>
            </w:r>
            <w:r>
              <w:rPr>
                <w:rFonts w:ascii="Arial" w:hAnsi="Arial" w:eastAsia="SimSun" w:cs="Arial"/>
              </w:rPr>
              <w:instrText xml:space="preserve"> FORMCHECKBOX </w:instrText>
            </w:r>
            <w:r>
              <w:rPr>
                <w:rFonts w:ascii="Arial" w:hAnsi="Arial" w:eastAsia="SimSun" w:cs="Arial"/>
              </w:rPr>
            </w:r>
            <w:r>
              <w:rPr>
                <w:rFonts w:ascii="Arial" w:hAnsi="Arial" w:eastAsia="SimSun" w:cs="Arial"/>
              </w:rPr>
              <w:fldChar w:fldCharType="end"/>
            </w:r>
            <w:r>
              <w:rPr>
                <w:rFonts w:ascii="Arial" w:hAnsi="Arial" w:eastAsia="SimSun" w:cs="Arial"/>
              </w:rPr>
            </w:r>
            <w:r/>
            <w:bookmarkEnd w:id="3"/>
            <w:r/>
            <w:r>
              <w:rPr>
                <w:rFonts w:ascii="Arial" w:hAnsi="Arial" w:eastAsia="SimSun" w:cs="Arial"/>
              </w:rPr>
              <w:t xml:space="preserve">      5</w:t>
            </w:r>
            <w:r>
              <w:rPr>
                <w:rFonts w:ascii="Arial" w:hAnsi="Arial" w:eastAsia="SimSun" w:cs="Arial"/>
                <w:vertAlign w:val="superscript"/>
              </w:rPr>
              <w:t>th</w:t>
            </w:r>
            <w:r>
              <w:rPr>
                <w:rFonts w:ascii="Arial" w:hAnsi="Arial" w:eastAsia="SimSun" w:cs="Arial"/>
              </w:rPr>
              <w:t xml:space="preserve"> </w:t>
            </w:r>
            <w:r/>
            <w:bookmarkStart w:id="4" w:name="Check17"/>
            <w:r/>
            <w:r>
              <w:rPr>
                <w:rFonts w:ascii="Arial" w:hAnsi="Arial" w:eastAsia="SimSun" w:cs="Arial"/>
              </w:rPr>
            </w:r>
            <w:r>
              <w:rPr>
                <w:rFonts w:ascii="Arial" w:hAnsi="Arial" w:eastAsia="SimSun" w:cs="Arial"/>
              </w:rPr>
              <w:fldChar w:fldCharType="begin">
                <w:ffData>
                  <w:name w:val="Check17"/>
                  <w:enabled/>
                  <w:calcOnExit w:val="0"/>
                  <w:checkBox>
                    <w:sizeAuto/>
                    <w:checked w:val="0"/>
                  </w:checkBox>
                  <w:dim/>
                </w:ffData>
              </w:fldChar>
            </w:r>
            <w:r>
              <w:rPr>
                <w:rFonts w:ascii="Arial" w:hAnsi="Arial" w:eastAsia="SimSun" w:cs="Arial"/>
              </w:rPr>
              <w:instrText xml:space="preserve"> FORMCHECKBOX </w:instrText>
            </w:r>
            <w:r>
              <w:rPr>
                <w:rFonts w:ascii="Arial" w:hAnsi="Arial" w:eastAsia="SimSun" w:cs="Arial"/>
              </w:rPr>
            </w:r>
            <w:r>
              <w:rPr>
                <w:rFonts w:ascii="Arial" w:hAnsi="Arial" w:eastAsia="SimSun" w:cs="Arial"/>
              </w:rPr>
              <w:fldChar w:fldCharType="end"/>
            </w:r>
            <w:r>
              <w:rPr>
                <w:rFonts w:ascii="Arial" w:hAnsi="Arial" w:eastAsia="SimSun" w:cs="Arial"/>
              </w:rPr>
            </w:r>
            <w:r/>
            <w:bookmarkEnd w:id="4"/>
            <w:r/>
            <w:r>
              <w:rPr>
                <w:rFonts w:ascii="Arial" w:hAnsi="Arial" w:eastAsia="SimSun" w:cs="Arial"/>
              </w:rPr>
              <w:t xml:space="preserve">      6</w:t>
            </w:r>
            <w:r>
              <w:rPr>
                <w:rFonts w:ascii="Arial" w:hAnsi="Arial" w:eastAsia="SimSun" w:cs="Arial"/>
                <w:vertAlign w:val="superscript"/>
              </w:rPr>
              <w:t>th</w:t>
            </w:r>
            <w:r>
              <w:rPr>
                <w:rFonts w:ascii="Arial" w:hAnsi="Arial" w:eastAsia="SimSun" w:cs="Arial"/>
              </w:rPr>
              <w:t xml:space="preserve"> </w:t>
            </w:r>
            <w:r/>
            <w:bookmarkStart w:id="5" w:name="Check18"/>
            <w:r/>
            <w:r>
              <w:rPr>
                <w:rFonts w:ascii="Arial" w:hAnsi="Arial" w:eastAsia="SimSun" w:cs="Arial"/>
              </w:rPr>
            </w:r>
            <w:r>
              <w:rPr>
                <w:rFonts w:ascii="Arial" w:hAnsi="Arial" w:eastAsia="SimSun" w:cs="Arial"/>
              </w:rPr>
              <w:fldChar w:fldCharType="begin">
                <w:ffData>
                  <w:name w:val="Check18"/>
                  <w:enabled/>
                  <w:calcOnExit w:val="0"/>
                  <w:checkBox>
                    <w:sizeAuto/>
                    <w:checked w:val="0"/>
                  </w:checkBox>
                  <w:dim/>
                </w:ffData>
              </w:fldChar>
            </w:r>
            <w:r>
              <w:rPr>
                <w:rFonts w:ascii="Arial" w:hAnsi="Arial" w:eastAsia="SimSun" w:cs="Arial"/>
              </w:rPr>
              <w:instrText xml:space="preserve"> FORMCHECKBOX </w:instrText>
            </w:r>
            <w:r>
              <w:rPr>
                <w:rFonts w:ascii="Arial" w:hAnsi="Arial" w:eastAsia="SimSun" w:cs="Arial"/>
              </w:rPr>
            </w:r>
            <w:r>
              <w:rPr>
                <w:rFonts w:ascii="Arial" w:hAnsi="Arial" w:eastAsia="SimSun" w:cs="Arial"/>
              </w:rPr>
              <w:fldChar w:fldCharType="end"/>
            </w:r>
            <w:r>
              <w:rPr>
                <w:rFonts w:ascii="Arial" w:hAnsi="Arial" w:eastAsia="SimSun" w:cs="Arial"/>
              </w:rPr>
            </w:r>
            <w:r/>
            <w:bookmarkEnd w:id="5"/>
            <w:r/>
            <w:r>
              <w:rPr>
                <w:rFonts w:ascii="Arial" w:hAnsi="Arial" w:eastAsia="SimSun" w:cs="Arial"/>
                <w:b/>
              </w:rPr>
              <w:t xml:space="preserve">   </w:t>
            </w:r>
            <w:r>
              <w:rPr>
                <w:rFonts w:ascii="Arial" w:hAnsi="Arial" w:eastAsia="SimSun" w:cs="Arial"/>
              </w:rPr>
              <w:t>module of the degree</w:t>
            </w:r>
            <w:r>
              <w:rPr>
                <w:rFonts w:ascii="Arial" w:hAnsi="Arial" w:eastAsia="SimSun" w:cs="Arial"/>
              </w:rPr>
            </w:r>
          </w:p>
        </w:tc>
      </w:tr>
      <w:tr>
        <w:trPr>
          <w:tblHeader w:val="0"/>
          <w:cantSplit w:val="0"/>
          <w:trHeight w:val="978" w:hRule="atLeast"/>
        </w:trPr>
        <w:tc>
          <w:tcPr>
            <w:tcW w:w="9639" w:type="dxa"/>
            <w:gridSpan w:val="5"/>
            <w:shd w:val="solid" w:color="D9D9D9" tmshd="1677721856, 0, 14277081"/>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pStyle w:val="para4"/>
              <w:ind w:right="34" w:firstLine="0"/>
              <w:spacing w:before="0" w:after="0" w:beforeAutospacing="0" w:afterAutospacing="0"/>
              <w:rPr>
                <w:rFonts w:ascii="Arial" w:hAnsi="Arial" w:cs="Arial"/>
                <w:sz w:val="22"/>
                <w:szCs w:val="22"/>
              </w:rPr>
            </w:pPr>
            <w:r>
              <w:rPr>
                <w:rFonts w:ascii="Arial" w:hAnsi="Arial" w:cs="Arial"/>
                <w:sz w:val="22"/>
                <w:szCs w:val="22"/>
              </w:rPr>
              <w:t>I confirm that this is my original work and that I have adhered to the University policy on plagiarism.</w:t>
            </w:r>
          </w:p>
          <w:p>
            <w:pPr>
              <w:pStyle w:val="para4"/>
              <w:ind w:right="34" w:firstLine="0"/>
              <w:spacing w:before="0" w:after="0" w:beforeAutospacing="0" w:afterAutospacing="0"/>
              <w:rPr>
                <w:rFonts w:ascii="Arial" w:hAnsi="Arial" w:cs="Arial"/>
                <w:sz w:val="22"/>
                <w:szCs w:val="22"/>
              </w:rPr>
            </w:pPr>
            <w:r>
              <w:rPr>
                <w:rFonts w:ascii="Arial" w:hAnsi="Arial" w:cs="Arial"/>
                <w:sz w:val="22"/>
                <w:szCs w:val="22"/>
              </w:rPr>
            </w:r>
          </w:p>
          <w:p>
            <w:pPr>
              <w:pStyle w:val="para4"/>
              <w:ind w:right="34" w:firstLine="0"/>
              <w:spacing w:before="0" w:after="0" w:beforeAutospacing="0" w:afterAutospacing="0"/>
              <w:rPr>
                <w:rFonts w:ascii="Arial" w:hAnsi="Arial" w:cs="Arial"/>
                <w:sz w:val="22"/>
                <w:szCs w:val="22"/>
              </w:rPr>
            </w:pPr>
            <w:r>
              <w:rPr>
                <w:rFonts w:ascii="Arial" w:hAnsi="Arial" w:cs="Arial"/>
                <w:sz w:val="22"/>
                <w:szCs w:val="22"/>
              </w:rPr>
              <w:t>Signed  L Parkinson-Hardman</w:t>
            </w:r>
          </w:p>
          <w:p>
            <w:pPr>
              <w:pStyle w:val="para4"/>
              <w:ind w:right="34" w:firstLine="0"/>
              <w:spacing w:before="0" w:after="0" w:beforeAutospacing="0" w:afterAutospacing="0"/>
              <w:rPr>
                <w:rFonts w:ascii="Wingdings 2" w:hAnsi="Wingdings 2" w:eastAsia="Wingdings 2" w:cs="Wingdings 2"/>
                <w:b/>
                <w:sz w:val="44"/>
                <w:szCs w:val="44"/>
              </w:rPr>
            </w:pPr>
            <w:r>
              <w:rPr>
                <w:rFonts w:ascii="Calibri" w:hAnsi="Calibri" w:cs="Tahoma"/>
                <w:b/>
                <w:sz w:val="24"/>
                <w:szCs w:val="24"/>
              </w:rPr>
              <w:t xml:space="preserve">Email submission:if you are submitting this form via email, please tick this box </w:t>
            </w:r>
            <w:r>
              <w:rPr>
                <w:rFonts w:ascii="Wingdings 2" w:hAnsi="Wingdings 2" w:eastAsia="Wingdings 2" w:cs="Wingdings 2"/>
                <w:b/>
                <w:sz w:val="44"/>
                <w:szCs w:val="44"/>
              </w:rPr>
              <w:t></w:t>
            </w:r>
            <w:r>
              <w:rPr>
                <w:rFonts w:ascii="Wingdings 2" w:hAnsi="Wingdings 2" w:eastAsia="Wingdings 2" w:cs="Wingdings 2"/>
                <w:b/>
                <w:sz w:val="44"/>
                <w:szCs w:val="44"/>
              </w:rPr>
            </w:r>
          </w:p>
          <w:p>
            <w:pPr>
              <w:pStyle w:val="para4"/>
              <w:ind w:right="34" w:firstLine="0"/>
              <w:spacing w:before="0" w:after="0" w:beforeAutospacing="0" w:afterAutospacing="0"/>
              <w:rPr>
                <w:rFonts w:ascii="Arial" w:hAnsi="Arial" w:cs="Arial"/>
                <w:sz w:val="22"/>
                <w:szCs w:val="22"/>
              </w:rPr>
            </w:pPr>
            <w:r>
              <w:rPr>
                <w:rFonts w:ascii="Calibri" w:hAnsi="Calibri" w:cs="Tahoma"/>
                <w:b/>
                <w:sz w:val="24"/>
                <w:szCs w:val="24"/>
              </w:rPr>
              <w:t>(as a substitute for your signature) to confirm that you agree to the above declaration.</w:t>
            </w:r>
            <w:r>
              <w:rPr>
                <w:rFonts w:ascii="Arial" w:hAnsi="Arial" w:cs="Arial"/>
                <w:sz w:val="22"/>
                <w:szCs w:val="22"/>
              </w:rPr>
            </w:r>
          </w:p>
        </w:tc>
      </w:tr>
      <w:tr>
        <w:trPr>
          <w:tblHeader w:val="0"/>
          <w:cantSplit w:val="0"/>
          <w:trHeight w:val="3972" w:hRule="atLeast"/>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b/>
              </w:rPr>
            </w:pPr>
            <w:r>
              <w:rPr>
                <w:rFonts w:ascii="Arial" w:hAnsi="Arial" w:eastAsia="SimSun" w:cs="Arial"/>
                <w:b/>
              </w:rPr>
            </w:r>
          </w:p>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rPr>
            </w:pPr>
            <w:r>
              <w:rPr>
                <w:rFonts w:ascii="Arial" w:hAnsi="Arial" w:eastAsia="SimSun" w:cs="Arial"/>
                <w:b/>
              </w:rPr>
              <w:t>Assignment Mark</w:t>
            </w:r>
            <w:r>
              <w:rPr>
                <w:rFonts w:ascii="Arial" w:hAnsi="Arial" w:eastAsia="SimSun" w:cs="Arial"/>
              </w:rPr>
            </w:r>
          </w:p>
          <w:tbl>
            <w:tblPr>
              <w:tblStyle w:val="TableNormal"/>
              <w:name w:val="Table2"/>
              <w:tabOrder w:val="0"/>
              <w:jc w:val="left"/>
              <w:tblInd w:w="0" w:type="dxa"/>
              <w:tblW w:w="9413" w:type="dxa"/>
              <w:pPr>
                <w:spacing/>
                <w:jc w:val="left"/>
                <w:tabs defTabSz="720"/>
              </w:pPr>
              <w:tblLook w:val="0600" w:firstRow="0" w:lastRow="0" w:firstColumn="0" w:lastColumn="0" w:noHBand="1" w:noVBand="1"/>
            </w:tblPr>
            <w:tblGrid>
              <w:gridCol w:w="6902"/>
              <w:gridCol w:w="2511"/>
            </w:tblGrid>
            <w:tr>
              <w:trPr>
                <w:tblHeader w:val="0"/>
                <w:cantSplit w:val="0"/>
                <w:trHeight w:val="0" w:hRule="auto"/>
              </w:trPr>
              <w:tc>
                <w:tcPr>
                  <w:tcW w:w="6902"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p>
                  <w:pPr>
                    <w:ind w:firstLine="0"/>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t>1</w:t>
                  </w:r>
                  <w:r>
                    <w:rPr>
                      <w:rFonts w:ascii="Arial" w:hAnsi="Arial" w:eastAsia="SimSun" w:cs="Arial"/>
                      <w:sz w:val="20"/>
                      <w:szCs w:val="20"/>
                      <w:vertAlign w:val="superscript"/>
                    </w:rPr>
                    <w:t>st</w:t>
                  </w:r>
                  <w:r>
                    <w:rPr>
                      <w:rFonts w:ascii="Arial" w:hAnsi="Arial" w:eastAsia="SimSun" w:cs="Arial"/>
                      <w:sz w:val="20"/>
                      <w:szCs w:val="20"/>
                    </w:rPr>
                    <w:t xml:space="preserve"> Marker’s Provisional mark</w:t>
                  </w:r>
                </w:p>
              </w:tc>
              <w:tc>
                <w:tcPr>
                  <w:tcW w:w="251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tc>
            </w:tr>
            <w:tr>
              <w:trPr>
                <w:tblHeader w:val="0"/>
                <w:cantSplit w:val="0"/>
                <w:trHeight w:val="0" w:hRule="auto"/>
              </w:trPr>
              <w:tc>
                <w:tcPr>
                  <w:tcW w:w="6902"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p>
                  <w:pPr>
                    <w:ind w:firstLine="0"/>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t>2</w:t>
                  </w:r>
                  <w:r>
                    <w:rPr>
                      <w:rFonts w:ascii="Arial" w:hAnsi="Arial" w:eastAsia="SimSun" w:cs="Arial"/>
                      <w:sz w:val="20"/>
                      <w:szCs w:val="20"/>
                      <w:vertAlign w:val="superscript"/>
                    </w:rPr>
                    <w:t>nd</w:t>
                  </w:r>
                  <w:r>
                    <w:rPr>
                      <w:rFonts w:ascii="Arial" w:hAnsi="Arial" w:eastAsia="SimSun" w:cs="Arial"/>
                      <w:sz w:val="20"/>
                      <w:szCs w:val="20"/>
                    </w:rPr>
                    <w:t xml:space="preserve"> Marker’s/Moderator’s provisional mark</w:t>
                  </w:r>
                </w:p>
              </w:tc>
              <w:tc>
                <w:tcPr>
                  <w:tcW w:w="251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tc>
            </w:tr>
            <w:tr>
              <w:trPr>
                <w:tblHeader w:val="0"/>
                <w:cantSplit w:val="0"/>
                <w:trHeight w:val="0" w:hRule="auto"/>
              </w:trPr>
              <w:tc>
                <w:tcPr>
                  <w:tcW w:w="6902"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p>
                  <w:pPr>
                    <w:ind w:firstLine="0"/>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t>External Examiner’s mark (if relevant)</w:t>
                  </w:r>
                </w:p>
              </w:tc>
              <w:tc>
                <w:tcPr>
                  <w:tcW w:w="251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tc>
            </w:tr>
            <w:tr>
              <w:trPr>
                <w:tblHeader w:val="0"/>
                <w:cantSplit w:val="0"/>
                <w:trHeight w:val="0" w:hRule="auto"/>
              </w:trPr>
              <w:tc>
                <w:tcPr>
                  <w:tcW w:w="6902"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p>
                  <w:pPr>
                    <w:ind w:firstLine="0"/>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b/>
                      <w:sz w:val="20"/>
                      <w:szCs w:val="20"/>
                    </w:rPr>
                  </w:pPr>
                  <w:r>
                    <w:rPr>
                      <w:rFonts w:ascii="Arial" w:hAnsi="Arial" w:eastAsia="SimSun" w:cs="Arial"/>
                      <w:b/>
                      <w:sz w:val="20"/>
                      <w:szCs w:val="20"/>
                    </w:rPr>
                    <w:t>Final Mark</w:t>
                  </w:r>
                </w:p>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tc>
              <w:tc>
                <w:tcPr>
                  <w:tcW w:w="251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tc>
            </w:tr>
          </w:tbl>
          <w:p>
            <w:pPr>
              <w:pStyle w:val="para4"/>
              <w:ind w:left="142" w:right="34"/>
              <w:spacing w:before="0" w:after="0" w:beforeAutospacing="0" w:afterAutospacing="0"/>
              <w:rPr>
                <w:rFonts w:ascii="Arial" w:hAnsi="Arial" w:cs="Arial"/>
                <w:b/>
                <w:sz w:val="22"/>
                <w:szCs w:val="22"/>
              </w:rPr>
            </w:pPr>
            <w:r>
              <w:rPr>
                <w:rFonts w:ascii="Arial" w:hAnsi="Arial" w:cs="Arial"/>
                <w:b/>
                <w:sz w:val="22"/>
                <w:szCs w:val="22"/>
              </w:rPr>
            </w:r>
          </w:p>
          <w:p>
            <w:pPr>
              <w:pStyle w:val="para4"/>
              <w:ind w:left="0" w:right="34" w:firstLine="0"/>
              <w:spacing w:before="0" w:after="0" w:beforeAutospacing="0" w:afterAutospacing="0"/>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pPr>
              <w:pStyle w:val="para4"/>
              <w:spacing w:before="0" w:after="0" w:beforeAutospacing="0" w:afterAutospacing="0"/>
              <w:rPr>
                <w:rFonts w:ascii="Arial" w:hAnsi="Arial" w:cs="Arial"/>
                <w:b/>
                <w:sz w:val="22"/>
                <w:szCs w:val="22"/>
              </w:rPr>
            </w:pPr>
            <w:r>
              <w:rPr>
                <w:rFonts w:ascii="Arial" w:hAnsi="Arial" w:cs="Arial"/>
                <w:b/>
                <w:sz w:val="22"/>
                <w:szCs w:val="22"/>
              </w:rPr>
            </w:r>
          </w:p>
          <w:p>
            <w:pPr>
              <w:pStyle w:val="para4"/>
              <w:ind w:firstLine="0"/>
              <w:spacing w:before="0" w:after="0" w:beforeAutospacing="0" w:afterAutospacing="0"/>
              <w:rPr>
                <w:rFonts w:ascii="Arial" w:hAnsi="Arial" w:cs="Arial"/>
                <w:b/>
                <w:sz w:val="22"/>
                <w:szCs w:val="22"/>
              </w:rPr>
            </w:pPr>
            <w:r>
              <w:rPr>
                <w:rFonts w:ascii="Arial" w:hAnsi="Arial" w:cs="Arial"/>
                <w:b/>
                <w:sz w:val="22"/>
                <w:szCs w:val="22"/>
              </w:rPr>
              <w:br w:type="textWrapping"/>
            </w:r>
          </w:p>
          <w:p>
            <w:pPr>
              <w:pStyle w:val="para4"/>
              <w:ind w:firstLine="0"/>
              <w:spacing w:before="0" w:after="0" w:beforeAutospacing="0" w:afterAutospacing="0"/>
              <w:rPr>
                <w:rFonts w:ascii="Arial" w:hAnsi="Arial" w:cs="Arial"/>
                <w:b/>
                <w:sz w:val="22"/>
                <w:szCs w:val="22"/>
              </w:rPr>
            </w:pPr>
            <w:r>
              <w:rPr>
                <w:rFonts w:ascii="Arial" w:hAnsi="Arial" w:cs="Arial"/>
                <w:b/>
                <w:sz w:val="22"/>
                <w:szCs w:val="22"/>
              </w:rPr>
            </w:r>
          </w:p>
          <w:p>
            <w:pPr>
              <w:pStyle w:val="para4"/>
              <w:ind w:firstLine="0"/>
              <w:spacing w:before="0" w:after="0" w:beforeAutospacing="0" w:afterAutospacing="0"/>
              <w:rPr>
                <w:rFonts w:ascii="Arial" w:hAnsi="Arial" w:cs="Arial"/>
                <w:b/>
                <w:sz w:val="22"/>
                <w:szCs w:val="22"/>
              </w:rPr>
            </w:pPr>
            <w:r>
              <w:rPr>
                <w:rFonts w:ascii="Arial" w:hAnsi="Arial" w:cs="Arial"/>
                <w:b/>
                <w:sz w:val="22"/>
                <w:szCs w:val="22"/>
              </w:rPr>
            </w:r>
          </w:p>
          <w:p>
            <w:pPr>
              <w:pStyle w:val="para4"/>
              <w:ind w:firstLine="0"/>
              <w:spacing w:before="0" w:after="0" w:beforeAutospacing="0" w:afterAutospacing="0"/>
              <w:rPr>
                <w:rFonts w:ascii="Arial" w:hAnsi="Arial" w:cs="Arial"/>
                <w:b/>
                <w:sz w:val="22"/>
                <w:szCs w:val="22"/>
              </w:rPr>
            </w:pPr>
            <w:r>
              <w:rPr>
                <w:rFonts w:ascii="Arial" w:hAnsi="Arial" w:cs="Arial"/>
                <w:b/>
                <w:sz w:val="22"/>
                <w:szCs w:val="22"/>
              </w:rPr>
            </w:r>
          </w:p>
          <w:p>
            <w:pPr>
              <w:pStyle w:val="para4"/>
              <w:ind w:firstLine="0"/>
              <w:spacing w:before="0" w:after="0" w:beforeAutospacing="0" w:afterAutospacing="0"/>
              <w:rPr>
                <w:rFonts w:ascii="Arial" w:hAnsi="Arial" w:cs="Arial"/>
                <w:b/>
                <w:sz w:val="22"/>
                <w:szCs w:val="22"/>
              </w:rPr>
            </w:pPr>
            <w:r>
              <w:rPr>
                <w:rFonts w:ascii="Arial" w:hAnsi="Arial" w:cs="Arial"/>
                <w:b/>
                <w:sz w:val="22"/>
                <w:szCs w:val="22"/>
              </w:rPr>
            </w:r>
          </w:p>
          <w:p>
            <w:pPr>
              <w:pStyle w:val="para4"/>
              <w:ind w:firstLine="0"/>
              <w:spacing w:before="0" w:after="0" w:beforeAutospacing="0" w:afterAutospacing="0"/>
              <w:rPr>
                <w:rFonts w:ascii="Arial" w:hAnsi="Arial" w:cs="Arial"/>
                <w:b/>
                <w:sz w:val="22"/>
                <w:szCs w:val="22"/>
              </w:rPr>
            </w:pPr>
            <w:r>
              <w:rPr>
                <w:rFonts w:ascii="Arial" w:hAnsi="Arial" w:cs="Arial"/>
                <w:b/>
                <w:sz w:val="22"/>
                <w:szCs w:val="22"/>
              </w:rPr>
              <w:t>For completion by Marker 1 :</w:t>
            </w:r>
          </w:p>
          <w:p>
            <w:pPr>
              <w:pStyle w:val="para4"/>
              <w:ind w:firstLine="0"/>
              <w:rPr>
                <w:rFonts w:ascii="Arial" w:hAnsi="Arial" w:cs="Arial"/>
                <w:sz w:val="22"/>
                <w:szCs w:val="22"/>
              </w:rPr>
            </w:pPr>
            <w:r>
              <w:rPr>
                <w:rFonts w:ascii="Arial" w:hAnsi="Arial" w:cs="Arial"/>
                <w:sz w:val="22"/>
                <w:szCs w:val="22"/>
              </w:rPr>
              <w:t>Comments:</w:t>
            </w:r>
          </w:p>
          <w:p>
            <w:pPr>
              <w:pStyle w:val="para4"/>
              <w:ind w:firstLine="0"/>
              <w:rPr>
                <w:rFonts w:ascii="Arial" w:hAnsi="Arial" w:cs="Arial"/>
                <w:sz w:val="22"/>
                <w:szCs w:val="22"/>
              </w:rPr>
            </w:pPr>
            <w:r>
              <w:rPr>
                <w:rFonts w:ascii="Arial" w:hAnsi="Arial" w:cs="Arial"/>
                <w:sz w:val="22"/>
                <w:szCs w:val="22"/>
              </w:rPr>
            </w:r>
          </w:p>
          <w:p>
            <w:pPr>
              <w:pStyle w:val="para4"/>
              <w:ind w:firstLine="0"/>
              <w:rPr>
                <w:rFonts w:ascii="Arial" w:hAnsi="Arial" w:cs="Arial"/>
                <w:sz w:val="22"/>
                <w:szCs w:val="22"/>
              </w:rPr>
            </w:pPr>
            <w:r>
              <w:rPr>
                <w:rFonts w:ascii="Arial" w:hAnsi="Arial" w:cs="Arial"/>
                <w:sz w:val="22"/>
                <w:szCs w:val="22"/>
              </w:rPr>
            </w:r>
          </w:p>
          <w:p>
            <w:pPr>
              <w:pStyle w:val="para4"/>
              <w:ind w:firstLine="0"/>
              <w:rPr>
                <w:rFonts w:ascii="Arial" w:hAnsi="Arial" w:cs="Arial"/>
                <w:sz w:val="22"/>
                <w:szCs w:val="22"/>
              </w:rPr>
            </w:pPr>
            <w:r>
              <w:rPr>
                <w:rFonts w:ascii="Arial" w:hAnsi="Arial" w:cs="Arial"/>
                <w:sz w:val="22"/>
                <w:szCs w:val="22"/>
              </w:rPr>
            </w:r>
          </w:p>
        </w:tc>
      </w:tr>
      <w:tr>
        <w:trPr>
          <w:tblHeader w:val="0"/>
          <w:cantSplit w:val="0"/>
          <w:trHeight w:val="492" w:hRule="atLeast"/>
        </w:trPr>
        <w:tc>
          <w:tcPr>
            <w:tcW w:w="6753" w:type="dxa"/>
            <w:gridSpan w:val="3"/>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pStyle w:val="para4"/>
              <w:ind w:left="142" w:right="34" w:firstLine="0"/>
              <w:rPr>
                <w:rFonts w:ascii="Arial" w:hAnsi="Arial" w:cs="Arial"/>
                <w:sz w:val="22"/>
                <w:szCs w:val="22"/>
              </w:rPr>
            </w:pPr>
            <w:r>
              <w:rPr>
                <w:rFonts w:ascii="Arial" w:hAnsi="Arial" w:cs="Arial"/>
                <w:sz w:val="22"/>
                <w:szCs w:val="22"/>
              </w:rPr>
              <w:t>Marker’s signature:</w:t>
            </w:r>
          </w:p>
        </w:tc>
        <w:tc>
          <w:tcPr>
            <w:tcW w:w="2886" w:type="dxa"/>
            <w:gridSpan w:val="2"/>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pStyle w:val="para4"/>
              <w:ind w:left="142" w:right="34"/>
              <w:spacing w:after="0"/>
              <w:rPr>
                <w:rFonts w:ascii="Arial" w:hAnsi="Arial" w:cs="Arial"/>
                <w:sz w:val="22"/>
                <w:szCs w:val="22"/>
              </w:rPr>
            </w:pPr>
            <w:r>
              <w:rPr>
                <w:rFonts w:ascii="Arial" w:hAnsi="Arial" w:cs="Arial"/>
                <w:sz w:val="22"/>
                <w:szCs w:val="22"/>
              </w:rPr>
              <w:t>Date:</w:t>
            </w:r>
          </w:p>
        </w:tc>
      </w:tr>
      <w:tr>
        <w:trPr>
          <w:tblHeader w:val="0"/>
          <w:cantSplit w:val="0"/>
          <w:trHeight w:val="0" w:hRule="auto"/>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pStyle w:val="para4"/>
              <w:ind w:right="-334"/>
              <w:spacing w:before="0" w:after="0" w:beforeAutospacing="0" w:afterAutospacing="0"/>
              <w:rPr>
                <w:rFonts w:ascii="Arial" w:hAnsi="Arial" w:cs="Arial"/>
                <w:bCs/>
                <w:i/>
                <w:sz w:val="22"/>
                <w:szCs w:val="22"/>
              </w:rPr>
            </w:pPr>
            <w:r>
              <w:rPr>
                <w:rFonts w:ascii="Arial" w:hAnsi="Arial" w:cs="Arial"/>
                <w:bCs/>
                <w:i/>
                <w:sz w:val="22"/>
                <w:szCs w:val="22"/>
              </w:rPr>
            </w:r>
          </w:p>
          <w:p>
            <w:pPr>
              <w:pStyle w:val="para4"/>
              <w:ind w:right="-334" w:firstLine="0"/>
              <w:spacing w:before="0" w:after="0" w:beforeAutospacing="0" w:afterAutospacing="0"/>
              <w:rPr>
                <w:rFonts w:ascii="Arial" w:hAnsi="Arial" w:cs="Arial"/>
                <w:b/>
                <w:bCs/>
                <w:sz w:val="22"/>
                <w:szCs w:val="22"/>
              </w:rPr>
            </w:pPr>
            <w:r>
              <w:rPr>
                <w:rFonts w:ascii="Arial" w:hAnsi="Arial" w:cs="Arial"/>
                <w:b/>
                <w:bCs/>
                <w:sz w:val="22"/>
                <w:szCs w:val="22"/>
              </w:rPr>
              <w:t>For completion by Marker 2/Moderator:</w:t>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t>Comments:</w:t>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tc>
      </w:tr>
      <w:tr>
        <w:trPr>
          <w:tblHeader w:val="0"/>
          <w:cantSplit w:val="0"/>
          <w:trHeight w:val="720" w:hRule="atLeast"/>
        </w:trPr>
        <w:tc>
          <w:tcPr>
            <w:tcW w:w="5200" w:type="dxa"/>
            <w:gridSpan w:val="2"/>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pStyle w:val="para4"/>
              <w:ind w:right="-334"/>
              <w:spacing w:before="0" w:after="0" w:beforeAutospacing="0" w:afterAutospacing="0"/>
              <w:rPr>
                <w:rFonts w:ascii="Arial" w:hAnsi="Arial" w:cs="Arial"/>
                <w:bCs/>
                <w:sz w:val="22"/>
                <w:szCs w:val="22"/>
              </w:rPr>
            </w:pPr>
            <w:r>
              <w:rPr>
                <w:rFonts w:ascii="Arial" w:hAnsi="Arial" w:cs="Arial"/>
                <w:bCs/>
                <w:sz w:val="22"/>
                <w:szCs w:val="22"/>
              </w:rPr>
              <w:t>Marker’s Signature:</w:t>
            </w:r>
          </w:p>
        </w:tc>
        <w:tc>
          <w:tcPr>
            <w:tcW w:w="4439" w:type="dxa"/>
            <w:gridSpan w:val="3"/>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pStyle w:val="para4"/>
              <w:ind w:right="-334"/>
              <w:spacing w:before="0" w:after="0" w:beforeAutospacing="0" w:afterAutospacing="0"/>
              <w:rPr>
                <w:rFonts w:ascii="Arial" w:hAnsi="Arial" w:cs="Arial"/>
                <w:bCs/>
                <w:sz w:val="22"/>
                <w:szCs w:val="22"/>
              </w:rPr>
            </w:pPr>
            <w:r>
              <w:rPr>
                <w:rFonts w:ascii="Arial" w:hAnsi="Arial" w:cs="Arial"/>
                <w:bCs/>
                <w:sz w:val="22"/>
                <w:szCs w:val="22"/>
              </w:rPr>
              <w:t>Date:</w:t>
            </w:r>
          </w:p>
        </w:tc>
      </w:tr>
      <w:tr>
        <w:trPr>
          <w:tblHeader w:val="0"/>
          <w:cantSplit w:val="0"/>
          <w:trHeight w:val="720" w:hRule="atLeast"/>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ind w:firstLine="0"/>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b/>
              </w:rPr>
            </w:pPr>
            <w:r>
              <w:rPr>
                <w:rFonts w:ascii="Arial" w:hAnsi="Arial" w:eastAsia="SimSun" w:cs="Arial"/>
                <w:b/>
              </w:rPr>
              <w:t>External Examiner’s comments (if relevant)</w:t>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spacing w:before="0" w:after="0" w:beforeAutospacing="0" w:afterAutospacing="0"/>
              <w:rPr>
                <w:rFonts w:ascii="Arial" w:hAnsi="Arial" w:cs="Arial"/>
                <w:bCs/>
                <w:sz w:val="22"/>
                <w:szCs w:val="22"/>
              </w:rPr>
            </w:pPr>
            <w:r>
              <w:rPr>
                <w:rFonts w:ascii="Arial" w:hAnsi="Arial" w:cs="Arial"/>
                <w:bCs/>
                <w:sz w:val="22"/>
                <w:szCs w:val="22"/>
              </w:rPr>
            </w:r>
          </w:p>
        </w:tc>
      </w:tr>
      <w:tr>
        <w:trPr>
          <w:tblHeader w:val="0"/>
          <w:cantSplit w:val="0"/>
          <w:trHeight w:val="720" w:hRule="atLeast"/>
        </w:trPr>
        <w:tc>
          <w:tcPr>
            <w:tcW w:w="5200" w:type="dxa"/>
            <w:gridSpan w:val="2"/>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ind w:firstLine="0"/>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rPr>
            </w:pPr>
            <w:r>
              <w:rPr>
                <w:rFonts w:ascii="Arial" w:hAnsi="Arial" w:eastAsia="SimSun" w:cs="Arial"/>
              </w:rPr>
              <w:t>External Examiner’s Signature:</w:t>
            </w:r>
          </w:p>
        </w:tc>
        <w:tc>
          <w:tcPr>
            <w:tcW w:w="4439" w:type="dxa"/>
            <w:gridSpan w:val="3"/>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0212040"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rPr>
            </w:pPr>
            <w:r>
              <w:rPr>
                <w:rFonts w:ascii="Arial" w:hAnsi="Arial" w:eastAsia="SimSun" w:cs="Arial"/>
              </w:rPr>
              <w:t>Date:</w:t>
            </w:r>
          </w:p>
        </w:tc>
      </w:tr>
    </w:tbl>
    <w:p>
      <w:pPr>
        <w:pStyle w:val="para4"/>
        <w:ind w:right="-334"/>
        <w:spacing w:before="0" w:after="0" w:beforeAutospacing="0" w:afterAutospacing="0"/>
        <w:rPr>
          <w:rFonts w:ascii="Trebuchet MS" w:hAnsi="Trebuchet MS" w:cs="Tahoma"/>
          <w:bCs/>
          <w:sz w:val="24"/>
          <w:szCs w:val="24"/>
        </w:rPr>
      </w:pPr>
      <w:r>
        <w:rPr>
          <w:rFonts w:ascii="Trebuchet MS" w:hAnsi="Trebuchet MS" w:cs="Tahoma"/>
          <w:bCs/>
          <w:sz w:val="24"/>
          <w:szCs w:val="24"/>
        </w:rPr>
      </w:r>
    </w:p>
    <w:p>
      <w:r/>
    </w:p>
    <w:p>
      <w:pPr>
        <w:pStyle w:val="para1"/>
      </w:pPr>
      <w:r>
        <w:br w:type="page"/>
      </w:r>
      <w:r>
        <w:t>A Critical Comparison of Two Secondary Sources</w:t>
      </w:r>
    </w:p>
    <w:p>
      <w:pPr>
        <w:pStyle w:val="para2"/>
      </w:pPr>
      <w:r>
        <w:t>Introduction</w:t>
      </w:r>
    </w:p>
    <w:p>
      <w:r>
        <w:t>This paper critically compares papers by Michelle Pfeffer, titled ‘Reassessing the Marginalization of Astrology in the Early Modern World’</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7"/>
      </w:r>
      <w:r>
        <w:t>, and Roger French, titled ’Foretelling the Future: Arabic Astrology and English Medicine in the Late Twelfth Century’</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8"/>
      </w:r>
      <w:r>
        <w:t>. Both papers offer insight into what makes history. This paper considers this question by analysing three themes: narrative vs intellectual history, bias and censorship, and the use of footnotes.</w:t>
      </w:r>
    </w:p>
    <w:p>
      <w:r>
        <w:t>Michelle Pfeffer, is Junior Research Fellow at Magdalan College, Oxford. A member of the Oxford Centre for the History of Science. Medicine, and Technology she specialises in the history of the early modern period. She has an interest in the decline of astrology</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9"/>
      </w:r>
      <w:r>
        <w:t>, likening it to a key component of the transitionary period between “the pre-modern and modern world”</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10"/>
      </w:r>
      <w:r>
        <w:t>. Of her thirteen articles, book chapters and reviews, almost fifty percent consider the history of astrology.</w:t>
      </w:r>
    </w:p>
    <w:p>
      <w:r>
        <w:t>Roger French (1938-2002), lectured at Cambridge and was Director of the Wellcome Unit for the History of Medicine between 1975 and 1995. He specialised in the history of medicine in the medieval and renaissance periods. He appears to have no specific interest in astrology</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11"/>
      </w:r>
      <w:r>
        <w:t>. His minor obituary on the University website lists nine publications, not including the subject of this essay</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12"/>
      </w:r>
      <w:r>
        <w:t>, and his publication history is difficult to establish but believed to be extensive.</w:t>
      </w:r>
    </w:p>
    <w:p>
      <w:pPr>
        <w:pStyle w:val="para2"/>
      </w:pPr>
      <w:r>
        <w:t>Narrative vs Intellectual History</w:t>
      </w:r>
    </w:p>
    <w:p>
      <w:r>
        <w:t>French focuses on the effect of introducing Arabic astrology into England and English medicine during the Norman period and divides his paper into three parts: an overview of ‘Abū Ma’Shar’s, Introductorium’</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13"/>
      </w:r>
      <w:r>
        <w:t>; a biography of Roger of Hereford</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14"/>
      </w:r>
      <w:r>
        <w:t>, his astrological practice, writing and influence; and an exploration of the astro-medical world of William of England</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15"/>
      </w:r>
      <w:r>
        <w:t>. It demonstrates how rapidly the practice of astrology changed particularly in relation to medicine</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16"/>
      </w:r>
      <w:r>
        <w:t>.</w:t>
      </w:r>
    </w:p>
    <w:p>
      <w:r>
        <w:t>Despite being well structured, the paper lacks a clear purpose or conclusion beyond the obvious chronology. It is only in the final paragraph that a purpose might be suggested when we learn Roger of Hereford wanted to do astrology correctly, William of England needed to extend astrology into medical practice, and foretelling the future was important to both</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17"/>
      </w:r>
      <w:r>
        <w:t>. As narrative history it demonstrates a Newtonian causal “if this, then that” approach.</w:t>
      </w:r>
    </w:p>
    <w:p>
      <w:r>
        <w:t>By contrast, Pfeffer’s paper is clear about its purpose saying it is a ‘critical historiographical review’</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18"/>
      </w:r>
      <w:r>
        <w:t xml:space="preserve"> of why astrology declined in the early modern period. By anchoring her paper in the history of ideas she challenges the assumption that a single reason accounted for astrology’s decline</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19"/>
      </w:r>
      <w:r>
        <w:t>. As she notes, ideas do not exist in a vacuum</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20"/>
      </w:r>
      <w:r>
        <w:t>, as they flow through human society they achieve a life of their own free from of any single influence.</w:t>
      </w:r>
    </w:p>
    <w:p>
      <w:r>
        <w:t>Michelle Pfeffer’s paper is divided into four parts. The abstract provides an overview, her introduction explains her methodology and her conclusion draws it all together, with the exception of the acknowledging a theme of censorship only mentioned lightly in the rest of the paper</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21"/>
      </w:r>
      <w:r>
        <w:t>. French however, lacks abstract, introduction or conclusion.</w:t>
      </w:r>
    </w:p>
    <w:p>
      <w:r>
        <w:t>Section II of her paper provides the main body of her argument that the decline of astrology had multiple causations with intellectual changes being primary</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22"/>
      </w:r>
      <w:r>
        <w:t>. Section III brings in additional factors such as the rise of mass media, and the resurgence of centuries old arguments against astrology</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23"/>
      </w:r>
      <w:r>
        <w:t>. As she points out, even with mass publication it was still only possible to read what was available</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24"/>
      </w:r>
      <w:r>
        <w:t xml:space="preserve"> and it is therefore, not surprising that the status astrology diminished as it was eased out of intellectual discourse and thought </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25"/>
      </w:r>
      <w:r>
        <w:t>.</w:t>
      </w:r>
    </w:p>
    <w:p>
      <w:r>
        <w:t>Like French, Pfeffer uses an historical figure to demonstrate the arguments she is making. However, unlike French, Carlos de Sigüenza y Góngora (1645-1700) is not treated biographically. Instead, she uses him to illustrate how the confluence of politics, intellectual elitism and religious thought encouraged a form of self-censorship that had devastating consequences for astrology in learned society</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26"/>
      </w:r>
      <w:r>
        <w:t>.</w:t>
      </w:r>
    </w:p>
    <w:p>
      <w:pPr>
        <w:pStyle w:val="para2"/>
      </w:pPr>
      <w:r>
        <w:t>Footnotes</w:t>
      </w:r>
    </w:p>
    <w:p>
      <w:r>
        <w:t>In academic research there is never a single source of evidence or perspective. As Richard J. Evans points out, historical research will always be ‘subject to a wide measure of agreement that transcends the individual’</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27"/>
      </w:r>
      <w:r>
        <w:t>. And, it is in the the use of footnotes that the evidence the author has relied on can be found.</w:t>
      </w:r>
    </w:p>
    <w:p>
      <w:r>
        <w:t>The use of footnotes, in addition to citing the evidence used by academic papers, allow a researcher room to expand the argument without impinging on the overall narrative flow. They can explain points in more detail, refer to additional material not worthy of incorporating into the main body or which is at a tangent from the main discourse, and they can detail original language quotations, or translations of the same. They are not simply rhetorical devices</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28"/>
      </w:r>
      <w:r>
        <w:t>, they are the foundation on which academic work stands or falls.</w:t>
      </w:r>
    </w:p>
    <w:p>
      <w:r>
        <w:t>Pfeffer uses this facility relatively sparingly</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29"/>
      </w:r>
      <w:r>
        <w:t xml:space="preserve"> and almost exclusively for reference purposes. French, on the other hand, uses it extensively on almost every page to dig more deeply into explanations and rationales. In both cases though, it creates a discordance for the reader who needs to be mindful that important information may not be contained within the body of the article. As Robert J. Connors says ‘Footnotes tend to invite writers to bifurcate their intentions into separated streams: the high street of the text, which is not supposed to be soiled with specific reference, and the alleys, closes, and mews of the notes, which carry on the necessary but less genteel business of citation and analysis’</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30"/>
      </w:r>
      <w:r>
        <w:t>.</w:t>
      </w:r>
    </w:p>
    <w:p>
      <w:r>
        <w:t>In keeping with the purpose of her paper, Pfeffer uses primarily secondary astrological historiography sources with only two primary sources cited</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31"/>
      </w:r>
      <w:r>
        <w:t>. Pfeffer is very clear that she needs evidence from the previous fifteen years because this when the historical discourse changed gear. To do so however, it also needs the context provided by older evidence from the previous half century</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32"/>
      </w:r>
      <w:r>
        <w:t>. It is interesting to note that her secondary sources develop chronologically as the paper progresses through the 20</w:t>
      </w:r>
      <w:r>
        <w:rPr>
          <w:vertAlign w:val="superscript"/>
        </w:rPr>
        <w:t>th</w:t>
      </w:r>
      <w:r>
        <w:t xml:space="preserve"> and 21</w:t>
      </w:r>
      <w:r>
        <w:rPr>
          <w:vertAlign w:val="superscript"/>
        </w:rPr>
        <w:t>st</w:t>
      </w:r>
      <w:r>
        <w:t xml:space="preserve"> centuries. The first section cites sources from primarily the early and mid 20</w:t>
      </w:r>
      <w:r>
        <w:rPr>
          <w:vertAlign w:val="superscript"/>
        </w:rPr>
        <w:t>th</w:t>
      </w:r>
      <w:r>
        <w:t xml:space="preserve"> Century, as specified in her introduction. As the paper develops, her sources move into the fifty year span before 2023 when her paper was published, and finally evidence comes primarily from the 21</w:t>
      </w:r>
      <w:r>
        <w:rPr>
          <w:vertAlign w:val="superscript"/>
        </w:rPr>
        <w:t>st</w:t>
      </w:r>
      <w:r>
        <w:t xml:space="preserve"> Century. </w:t>
      </w:r>
    </w:p>
    <w:p>
      <w:r>
        <w:t>French, uses primary and secondary sources as the evidence for his paper. Almost all secondary sources are medical and scientific, and it is in his primary sources that we see the bulk of anything astrological. He offers the original Latin text throughout his footnotes by way of explanation for some statements made in the body of the article</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33"/>
      </w:r>
      <w:r>
        <w:t xml:space="preserve">. However, this proves challenging for the reader as it is not always obvious which part of the original paraphrase each citation belongs to. </w:t>
      </w:r>
    </w:p>
    <w:p>
      <w:r>
        <w:t>Both papers provoke questions about translations as neither cites any translation sources for the foreign language sources used. Therefore, the implication from Pfeffer is that she reads several languages including Spanish, French, Italian and German</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34"/>
      </w:r>
      <w:r>
        <w:t>, whilst Roger French reads and translates Latin. Both authors may also be linguists.</w:t>
      </w:r>
    </w:p>
    <w:p>
      <w:r>
        <w:t>French’s use of citation is also useful to this paper in highlighting the ongoing issue with history in that it changes according to the latest evidence. For example, he discusses a section of Roger of Hereford’s work believed to be the horoscope of Eleanor of Aquitaine. His citation references Whyte’s MPhil on Roger of Hereford dated 1991</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35"/>
      </w:r>
      <w:r>
        <w:t>. However, more recent research by Dr Chris Mitchell, suggests that this is not the case and that the example horoscope was purely a teaching aid</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36"/>
      </w:r>
      <w:r>
        <w:t>. Despite this, Roger French’s assertion is still making its way into current scholarship as shown in Richard de Grijs pre-print</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37"/>
      </w:r>
      <w:r>
        <w:t>.</w:t>
      </w:r>
    </w:p>
    <w:p>
      <w:pPr>
        <w:pStyle w:val="para2"/>
      </w:pPr>
      <w:r>
        <w:t>Bias and Censorship</w:t>
      </w:r>
    </w:p>
    <w:p>
      <w:r>
        <w:t>Bias, for the purposes of this paper, is taken to be the effect of personal opinion upon other people. In this instance it is visible in two ways: the first is within the subject content of the papers themselves; and the second relates to the opinions of the authors.</w:t>
      </w:r>
    </w:p>
    <w:p>
      <w:r>
        <w:t>It is notable to the reader that both papers point to an underlying bias connected with either professional rivalry in the case of French’s paper, and the fear of social disruption in Pfeffer’s</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38"/>
      </w:r>
      <w:r>
        <w:t>. In neither case does this topic expand into an acknowledged major theme. For example, French offers an insight into what could be termed ‘follow the money’ with ‘The church was not .... in favour of allowing a lucrative trade like medicine to be taught in the universities and viewed astrology with great suspicion because it was not only lucrative but impious”</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39"/>
      </w:r>
      <w:r>
        <w:t>. He later remarks that ’.. they (astrologers) undoubtedly suffered in status as the university physicians succeeded in making their kind of medicine attractive ..’</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40"/>
      </w:r>
      <w:r>
        <w:t>.</w:t>
      </w:r>
    </w:p>
    <w:p>
      <w:r>
        <w:t>Pfeffer writes more frequently about bias, indeed it could be said that it is a primary, if unacknowledged, theme due to the concerted attack on astrology she outlines by the intellectual elites. She uses Sigüenza as a foil to demonstrate how political expediency made it almost impossible to retain a relatively high position and be, in the view of Mexican authorities, associated with ‘a sort of political crime’ who were at the same time actively censoring the language used in almanacs</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41"/>
      </w:r>
      <w:r>
        <w:t>. She shows that self-censorship itself was a significant driver for astrology’s demise because, as Roger French demonstrated, it no longer made economic sense</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42"/>
      </w:r>
      <w:r>
        <w:t>.</w:t>
      </w:r>
    </w:p>
    <w:p>
      <w:r>
        <w:t>In addition to the historical narrative, Roger French demonstrates a personal bias which is evident in two phrases. The first is a mere hint through the language used, he states ’.. including a preference for rational understanding of natural principles over craft knowledge’. It is the use of the term ‘craft knowledge’ that reveals his personal opinion as this is not the terminology that William of England himself uses in the quotation French then shares, indeed it directly contradicts it</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43"/>
      </w:r>
      <w:r>
        <w:t>. The second instance is more explicit yet appears largely unnecessary in the context of the whole paragraph, he writes ‘To us, since we believe in neither uroscopy nor astrology, it looks as if William is simply adding one dubious practice to another and so removing himself further from medical reality’</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44"/>
      </w:r>
      <w:r>
        <w:t>. Is it possible that this phrase was added simply to signal to other historians that he was rational and enlightened? It also holds within it the assumption that all other readers of his paper have similar views.</w:t>
      </w:r>
    </w:p>
    <w:p>
      <w:r>
        <w:t>There appears to be no evidence of similar bias in the work of Michelle Pfeffer, that doesn’t mean she necessarily believes in astrology simply that, in this paper at least, she has no need to tell others. It is also worth noting that, what is revealed in such sentiments is the assumption  that our knowledge and understanding is somehow superior to that of the past. As Patrick Curry suggests,  ignoring the fact that the lived experience of historical subjects was as real and true as the historian of today’s life experience is to them</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45"/>
      </w:r>
      <w:r>
        <w:t xml:space="preserve"> is a logical fallacy. Daniel Rutkin puts the same argument slightly differently by reminding us that people can tend to ‘retroject’ their current opinion about astrology, onto the past, thereby assuming they are correct</w:t>
      </w:r>
      <w:r>
        <w:rPr>
          <w:rStyle w:val="char1"/>
          <w:rFonts w:ascii="Times New Roman" w:hAnsi="Times New Roman" w:eastAsia="SimSun" w:cs="Times New Roman"/>
          <w:sz w:val="20"/>
          <w:szCs w:val="20"/>
        </w:rPr>
      </w:r>
      <w:r>
        <w:rPr>
          <w:rStyle w:val="char1"/>
          <w:rFonts w:ascii="Times New Roman" w:hAnsi="Times New Roman" w:eastAsia="SimSun" w:cs="Times New Roman"/>
          <w:sz w:val="20"/>
          <w:szCs w:val="20"/>
        </w:rPr>
        <w:footnoteReference w:id="46"/>
      </w:r>
      <w:r>
        <w:t>.</w:t>
      </w:r>
    </w:p>
    <w:p>
      <w:pPr>
        <w:pStyle w:val="para2"/>
      </w:pPr>
      <w:r>
        <w:t>Conclusion</w:t>
      </w:r>
    </w:p>
    <w:p>
      <w:r>
        <w:t>It is interesting to consider why history is studied and even with just two papers it might be possible to draw the conclusion that, in this instance, Michelle Pfeffer believes the history of astrology is worthy of study in its own right, and that Roger French, on the other hand studies it because it is simply part of the historical record of the period he specialises in.</w:t>
      </w:r>
    </w:p>
    <w:p>
      <w:r>
        <w:t>If this is true it might explain the differences in structure, footnote and bias. Therefore, if we think of Pfeffer’s argument as a game of billiards where the effect of hitting one ball affects others in ways not easy to determine at the outset. We can acknowledge that the question she asks cannot be answered easily requiring the joining of dots not necessarily appreciated before.</w:t>
      </w:r>
    </w:p>
    <w:p>
      <w:r>
        <w:t>Conversely, if we create a diagram for French it would be linear, following a predictable mechanistic approach that is probably not surprising given his specialism in the history of medicine. His scientific credentials clearly demonstrated by the way he structures and writes his work.</w:t>
      </w:r>
    </w:p>
    <w:p>
      <w:r>
        <w:t>We live in an age of reason, science and data so it’s hardly surprising that the world of insight, magic and astrology are marginalised. History, like everything comes in versions, and like everything, is always mediated through someone else’s perspective.</w:t>
      </w:r>
    </w:p>
    <w:p>
      <w:r/>
    </w:p>
    <w:p>
      <w:pPr>
        <w:pStyle w:val="para2"/>
      </w:pPr>
      <w:r>
        <w:br w:type="page"/>
      </w:r>
      <w:r>
        <w:t>Reference List</w:t>
      </w:r>
    </w:p>
    <w:p>
      <w:pPr>
        <w:pStyle w:val="para5"/>
      </w:pPr>
      <w:r>
        <w:t xml:space="preserve">Andrew Cunningham, ‘Roger French (12 April 1938–14 May 2002)’. </w:t>
      </w:r>
      <w:r>
        <w:rPr>
          <w:i/>
          <w:iCs/>
        </w:rPr>
        <w:t>Medical History</w:t>
      </w:r>
      <w:r>
        <w:t>, 46, 4, (2002), pp. 580-82,  &lt;DOI: 10.1017/S0025727300069751&gt;.</w:t>
      </w:r>
    </w:p>
    <w:p>
      <w:pPr>
        <w:pStyle w:val="para5"/>
      </w:pPr>
      <w:r/>
    </w:p>
    <w:p>
      <w:pPr>
        <w:pStyle w:val="para5"/>
      </w:pPr>
      <w:r>
        <w:t xml:space="preserve">Chris Mitchell, </w:t>
      </w:r>
      <w:r>
        <w:rPr>
          <w:i/>
          <w:iCs/>
        </w:rPr>
        <w:t>Roger of Hereford’s Judicial Astrology: England’s First Astrology Book?</w:t>
      </w:r>
      <w:r>
        <w:t xml:space="preserve"> (Unpublished PhD thesis, University of Leicester, 2019).</w:t>
      </w:r>
    </w:p>
    <w:p>
      <w:pPr>
        <w:pStyle w:val="para5"/>
      </w:pPr>
      <w:r/>
    </w:p>
    <w:p>
      <w:pPr>
        <w:pStyle w:val="para5"/>
      </w:pPr>
      <w:r>
        <w:t xml:space="preserve">H. Darrel Rutkin, ‘How to accurately account for astrology’s marginalization in the history of science and culture: the central importance of an interpretive framework’, </w:t>
      </w:r>
      <w:r>
        <w:rPr>
          <w:i/>
          <w:iCs/>
        </w:rPr>
        <w:t>Early Science and Medicine</w:t>
      </w:r>
      <w:r>
        <w:t>, 23 (2018), 229–33.</w:t>
      </w:r>
    </w:p>
    <w:p>
      <w:pPr>
        <w:pStyle w:val="para5"/>
      </w:pPr>
      <w:r>
        <w:t xml:space="preserve">Richard de Grijs, ‘Roger of Hereford: the twelfth-century astronomer who put Hereford on the map, literally’, </w:t>
      </w:r>
      <w:r>
        <w:rPr>
          <w:i/>
          <w:iCs/>
        </w:rPr>
        <w:t>The Local Historian</w:t>
      </w:r>
      <w:r>
        <w:t>, [journal of the British Association for Local History], 53.2, (2023), 98-111 &lt;DOI: 10.48550/arxiv.2301.06610&gt;</w:t>
      </w:r>
    </w:p>
    <w:p>
      <w:pPr>
        <w:pStyle w:val="para5"/>
      </w:pPr>
      <w:r/>
    </w:p>
    <w:p>
      <w:pPr>
        <w:pStyle w:val="para5"/>
      </w:pPr>
      <w:r>
        <w:t xml:space="preserve">Michelle Pfeffer, ‘Reassessing the Marginalization of Astrology in the Early Modern World’, </w:t>
      </w:r>
      <w:r>
        <w:rPr>
          <w:i/>
          <w:iCs/>
        </w:rPr>
        <w:t>The Historical Journal</w:t>
      </w:r>
      <w:r>
        <w:t>, 66, (2023), Cambridge, Cambridge University Press. pp. 1152-76. &lt;DOI: 10.1017/S0018246X23000328&gt;.</w:t>
      </w:r>
    </w:p>
    <w:p>
      <w:pPr>
        <w:pStyle w:val="para5"/>
        <w:spacing/>
        <w:jc w:val="left"/>
        <w:rPr>
          <w:rFonts w:ascii="Times New Roman" w:hAnsi="Times New Roman" w:eastAsia="SimSun" w:cs="Times New Roman"/>
          <w:lang w:eastAsia="zh-cn" w:bidi="ar-sa"/>
        </w:rPr>
      </w:pPr>
      <w:r>
        <w:rPr>
          <w:rFonts w:ascii="Times New Roman" w:hAnsi="Times New Roman" w:eastAsia="SimSun" w:cs="Times New Roman"/>
          <w:lang w:eastAsia="zh-cn" w:bidi="ar-sa"/>
        </w:rPr>
      </w:r>
    </w:p>
    <w:p>
      <w:pPr>
        <w:pStyle w:val="para5"/>
        <w:spacing/>
        <w:jc w:val="left"/>
        <w:rPr>
          <w:rFonts w:ascii="Noto Sans" w:hAnsi="Noto Sans" w:eastAsia="SimSun" w:cs="Times New Roman"/>
          <w:color w:val="000000"/>
          <w:sz w:val="18"/>
          <w:lang w:eastAsia="zh-cn" w:bidi="ar-sa"/>
        </w:rPr>
      </w:pPr>
      <w:r>
        <w:t xml:space="preserve">Patrick Curry, ‘The Historiography of Astrology: A Diagnosis and a Prescription’, in </w:t>
      </w:r>
      <w:r>
        <w:rPr>
          <w:rFonts w:ascii="Noto Sans" w:hAnsi="Noto Sans" w:eastAsia="SimSun" w:cs="Times New Roman"/>
          <w:i/>
          <w:iCs/>
          <w:color w:val="000000"/>
          <w:sz w:val="18"/>
          <w:lang w:eastAsia="zh-cn" w:bidi="ar-sa"/>
        </w:rPr>
        <w:t>Horoscopes and Public Spheres : Essays on the History of Astrology</w:t>
      </w:r>
      <w:r>
        <w:rPr>
          <w:rFonts w:ascii="Noto Sans" w:hAnsi="Noto Sans" w:eastAsia="SimSun" w:cs="Times New Roman"/>
          <w:color w:val="000000"/>
          <w:sz w:val="18"/>
          <w:lang w:eastAsia="zh-cn" w:bidi="ar-sa"/>
        </w:rPr>
        <w:t>. ed. by Günther Oestmann; Darrel, H. R.; Kocku Von Stuckrad, (Berlin: De Gruyter, 2005), 261-74.</w:t>
      </w:r>
    </w:p>
    <w:p>
      <w:pPr>
        <w:pStyle w:val="para5"/>
        <w:spacing/>
        <w:jc w:val="left"/>
        <w:rPr>
          <w:rFonts w:ascii="Noto Sans" w:hAnsi="Noto Sans" w:eastAsia="SimSun" w:cs="Times New Roman"/>
          <w:color w:val="000000"/>
          <w:sz w:val="18"/>
          <w:lang w:eastAsia="zh-cn" w:bidi="ar-sa"/>
        </w:rPr>
      </w:pPr>
      <w:r>
        <w:rPr>
          <w:rFonts w:ascii="Noto Sans" w:hAnsi="Noto Sans" w:eastAsia="SimSun" w:cs="Times New Roman"/>
          <w:color w:val="000000"/>
          <w:sz w:val="18"/>
          <w:lang w:eastAsia="zh-cn" w:bidi="ar-sa"/>
        </w:rPr>
      </w:r>
    </w:p>
    <w:p>
      <w:pPr>
        <w:pStyle w:val="para5"/>
      </w:pPr>
      <w:r>
        <w:t xml:space="preserve">Richard J. Evans, </w:t>
      </w:r>
      <w:r>
        <w:rPr>
          <w:i/>
          <w:iCs/>
        </w:rPr>
        <w:t>In Defence of History</w:t>
      </w:r>
      <w:r>
        <w:t>, (London: Granta Publications, 2018).</w:t>
      </w:r>
    </w:p>
    <w:p>
      <w:pPr>
        <w:pStyle w:val="para5"/>
      </w:pPr>
      <w:r/>
    </w:p>
    <w:p>
      <w:pPr>
        <w:pStyle w:val="para5"/>
      </w:pPr>
      <w:r>
        <w:t xml:space="preserve">Robert J. Connors, “The Rhetoric of Citation Systems, Part II: Competing Epistemic Values in Citation.” </w:t>
      </w:r>
      <w:r>
        <w:rPr>
          <w:i/>
          <w:iCs/>
        </w:rPr>
        <w:t>Rhetoric Review</w:t>
      </w:r>
      <w:r>
        <w:t xml:space="preserve">, vol. 17, no. 2, 1999, 219–45 &lt;JSTOR, </w:t>
      </w:r>
      <w:r>
        <w:t>http://www.jstor.org/stable/466152&gt;.</w:t>
      </w:r>
    </w:p>
    <w:p>
      <w:pPr>
        <w:pStyle w:val="para5"/>
      </w:pPr>
      <w:r/>
    </w:p>
    <w:p>
      <w:pPr>
        <w:pStyle w:val="para5"/>
      </w:pPr>
      <w:r>
        <w:t xml:space="preserve">Roger French. “Foretelling the future. Arabic astrology and English medicine in the late twelfth century.” </w:t>
      </w:r>
      <w:r>
        <w:rPr>
          <w:i/>
          <w:iCs/>
        </w:rPr>
        <w:t>Isis; an international review devoted to the history of science and its cultural influences</w:t>
      </w:r>
      <w:r>
        <w:t xml:space="preserve"> vol. 87, 3 (1996): pp. 453-80. &lt;DOI:10.1086/357570&gt;.</w:t>
      </w:r>
    </w:p>
    <w:p>
      <w:pPr>
        <w:pStyle w:val="para5"/>
      </w:pPr>
      <w:r/>
    </w:p>
    <w:p>
      <w:pPr>
        <w:pStyle w:val="para5"/>
      </w:pPr>
      <w:r>
        <w:t xml:space="preserve">University of Cambridge, </w:t>
      </w:r>
      <w:r>
        <w:rPr>
          <w:i/>
          <w:iCs/>
        </w:rPr>
        <w:t>Roger French 1938-2002</w:t>
      </w:r>
      <w:r>
        <w:t>, (nd) &lt;https://www.hps.cam.ac.uk/news-events/news-archive/roger-french&gt; [accessed 23/10/2024].</w:t>
      </w:r>
    </w:p>
    <w:p>
      <w:pPr>
        <w:pStyle w:val="para5"/>
      </w:pPr>
      <w:r/>
    </w:p>
    <w:p>
      <w:pPr>
        <w:pStyle w:val="para5"/>
        <w:rPr>
          <w:color w:val="000000"/>
        </w:rPr>
      </w:pPr>
      <w:r>
        <w:rPr>
          <w:color w:val="000000"/>
        </w:rPr>
        <w:t xml:space="preserve">University of Oxford, </w:t>
      </w:r>
      <w:r>
        <w:rPr>
          <w:i/>
          <w:iCs/>
          <w:color w:val="000000"/>
        </w:rPr>
        <w:t>Dr Michelle Arony (formerly Pfeffer)</w:t>
      </w:r>
      <w:r>
        <w:rPr>
          <w:color w:val="000000"/>
        </w:rPr>
        <w:t>, (nd) &lt;https://www.hsmt.ox.ac.uk/people/dr-michelle-pfeffer&gt; [accessed on 23</w:t>
      </w:r>
      <w:r>
        <w:rPr>
          <w:color w:val="000000"/>
          <w:vertAlign w:val="superscript"/>
        </w:rPr>
        <w:t>rd</w:t>
      </w:r>
      <w:r>
        <w:rPr>
          <w:color w:val="000000"/>
        </w:rPr>
        <w:t xml:space="preserve"> Oct. 2024].</w:t>
      </w:r>
    </w:p>
    <w:sectPr>
      <w:footnotePr>
        <w:pos w:val="pageBottom"/>
        <w:numFmt w:val="decimal"/>
        <w:numStart w:val="1"/>
        <w:numRestart w:val="continuous"/>
      </w:footnotePr>
      <w:endnotePr>
        <w:pos w:val="docEnd"/>
        <w:numFmt w:val="lowerRoman"/>
        <w:numStart w:val="1"/>
        <w:numRestart w:val="continuous"/>
      </w:endnotePr>
      <w:headerReference w:type="default" r:id="rId9"/>
      <w:type w:val="continuous"/>
      <w:pgSz w:h="16839" w:w="11907"/>
      <w:pgMar w:left="1134" w:top="1134" w:right="1134" w:bottom="1134" w:header="567" w:footer="0"/>
      <w:paperSrc w:first="0" w:other="0" a="0" b="0"/>
      <w:pgNumType w:fmt="decimal"/>
      <w:tmGutter w:val="1"/>
      <w:mirrorMargins w:val="0"/>
      <w:tmSection w:h="-1">
        <w:tmHeader w:id="0" w:h="0" edge="567" text="0">
          <w:shd w:val="none"/>
        </w:tmHead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Cambria">
    <w:panose1 w:val="02040503050406030204"/>
    <w:charset w:val="00"/>
    <w:family w:val="roman"/>
    <w:pitch w:val="default"/>
  </w:font>
  <w:font w:name="Georgia">
    <w:panose1 w:val="02040502050405020303"/>
    <w:charset w:val="00"/>
    <w:family w:val="roman"/>
    <w:pitch w:val="default"/>
  </w:font>
  <w:font w:name="Tahoma">
    <w:panose1 w:val="020B0604030504040204"/>
    <w:charset w:val="00"/>
    <w:family w:val="swiss"/>
    <w:pitch w:val="default"/>
  </w:font>
  <w:font w:name="Trebuchet MS">
    <w:panose1 w:val="020B0603020202020204"/>
    <w:charset w:val="00"/>
    <w:family w:val="swiss"/>
    <w:pitch w:val="default"/>
  </w:font>
  <w:font w:name="Wingdings 2">
    <w:panose1 w:val="05020102010507070707"/>
    <w:charset w:val="02"/>
    <w:family w:val="roman"/>
    <w:pitch w:val="default"/>
  </w:font>
  <w:font w:name="Roboto">
    <w:panose1 w:val="02000000000000000000"/>
    <w:charset w:val="00"/>
    <w:family w:val="auto"/>
    <w:pitch w:val="default"/>
  </w:font>
  <w:font w:name="Noto Sans">
    <w:panose1 w:val="020B0502040504020204"/>
    <w:charset w:val="00"/>
    <w:family w:val="swiss"/>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7">
    <w:p>
      <w:pPr>
        <w:pStyle w:val="para5"/>
      </w:pPr>
      <w:r>
        <w:rPr>
          <w:rStyle w:val="char1"/>
        </w:rPr>
      </w:r>
      <w:r>
        <w:rPr>
          <w:rStyle w:val="char1"/>
        </w:rPr>
        <w:footnoteRef/>
      </w:r>
      <w:r>
        <w:t xml:space="preserve"> Michelle Pfeffer, ‘Reassessing the Marginalization of Astrology in the Early Modern World’, </w:t>
      </w:r>
      <w:r>
        <w:rPr>
          <w:i/>
          <w:iCs/>
        </w:rPr>
        <w:t>The Historical Journal</w:t>
      </w:r>
      <w:r>
        <w:t>, 66, (2023), Cambridge, Cambridge University Press. pp. 1152-76. &lt;DOI: 10.1017/S0018246X23000328&gt;.</w:t>
      </w:r>
    </w:p>
  </w:footnote>
  <w:footnote w:id="8">
    <w:p>
      <w:pPr>
        <w:pStyle w:val="para5"/>
      </w:pPr>
      <w:r>
        <w:rPr>
          <w:rStyle w:val="char1"/>
        </w:rPr>
      </w:r>
      <w:r>
        <w:rPr>
          <w:rStyle w:val="char1"/>
        </w:rPr>
        <w:footnoteRef/>
      </w:r>
      <w:r>
        <w:t xml:space="preserve"> Roger French. “Foretelling the future. Arabic astrology and English medicine in the late twelfth century.” </w:t>
      </w:r>
      <w:r>
        <w:rPr>
          <w:i/>
          <w:iCs/>
        </w:rPr>
        <w:t>Isis; an international review devoted to the history of science and its cultural influences</w:t>
      </w:r>
      <w:r>
        <w:t xml:space="preserve"> vol. 87, 3 (1996): pp. 453-80. &lt;DOI:10.1086/357570&gt;.</w:t>
      </w:r>
    </w:p>
  </w:footnote>
  <w:footnote w:id="9">
    <w:p>
      <w:pPr>
        <w:pStyle w:val="para5"/>
        <w:rPr>
          <w:color w:val="ff0000"/>
        </w:rPr>
      </w:pPr>
      <w:r>
        <w:rPr>
          <w:rStyle w:val="char1"/>
        </w:rPr>
      </w:r>
      <w:r>
        <w:rPr>
          <w:rStyle w:val="char1"/>
        </w:rPr>
        <w:footnoteRef/>
      </w:r>
      <w:r>
        <w:t xml:space="preserve"> </w:t>
      </w:r>
      <w:r>
        <w:rPr>
          <w:color w:val="000000"/>
        </w:rPr>
        <w:t xml:space="preserve">University of Oxford, </w:t>
      </w:r>
      <w:r>
        <w:rPr>
          <w:i/>
          <w:iCs/>
          <w:color w:val="000000"/>
        </w:rPr>
        <w:t>Dr Michelle Arony (formerly Pfeffer)</w:t>
      </w:r>
      <w:r>
        <w:rPr>
          <w:color w:val="000000"/>
        </w:rPr>
        <w:t>, (nd) &lt;https://www.hsmt.ox.ac.uk/people/dr-michelle-pfeffer&gt; [accessed on 23</w:t>
      </w:r>
      <w:r>
        <w:rPr>
          <w:color w:val="000000"/>
          <w:vertAlign w:val="superscript"/>
        </w:rPr>
        <w:t>rd</w:t>
      </w:r>
      <w:r>
        <w:rPr>
          <w:color w:val="000000"/>
        </w:rPr>
        <w:t xml:space="preserve"> Oct. 2024].</w:t>
      </w:r>
      <w:r>
        <w:rPr>
          <w:color w:val="ff0000"/>
        </w:rPr>
      </w:r>
    </w:p>
  </w:footnote>
  <w:footnote w:id="10">
    <w:p>
      <w:pPr>
        <w:pStyle w:val="para5"/>
      </w:pPr>
      <w:r>
        <w:rPr>
          <w:rStyle w:val="char1"/>
        </w:rPr>
      </w:r>
      <w:r>
        <w:rPr>
          <w:rStyle w:val="char1"/>
        </w:rPr>
        <w:footnoteRef/>
      </w:r>
      <w:r>
        <w:t xml:space="preserve"> Pfeffer, Marginalization of Astrology</w:t>
      </w:r>
      <w:r>
        <w:rPr>
          <w:i/>
          <w:iCs/>
        </w:rPr>
        <w:t xml:space="preserve"> , </w:t>
      </w:r>
      <w:r>
        <w:t>p. 1152.</w:t>
      </w:r>
    </w:p>
  </w:footnote>
  <w:footnote w:id="11">
    <w:p>
      <w:pPr>
        <w:pStyle w:val="para5"/>
      </w:pPr>
      <w:r>
        <w:rPr>
          <w:rStyle w:val="char1"/>
        </w:rPr>
      </w:r>
      <w:r>
        <w:rPr>
          <w:rStyle w:val="char1"/>
        </w:rPr>
        <w:footnoteRef/>
      </w:r>
      <w:r>
        <w:t xml:space="preserve"> Andrew Cunningham, ‘Roger French (12 April 1938–14 May 2002)’. </w:t>
      </w:r>
      <w:r>
        <w:rPr>
          <w:i/>
          <w:iCs/>
        </w:rPr>
        <w:t>Medical History</w:t>
      </w:r>
      <w:r>
        <w:t>, 46, 4, (2002), pp. 580-82,  &lt;DOI: 10.1017/S0025727300069751&gt;.</w:t>
      </w:r>
    </w:p>
  </w:footnote>
  <w:footnote w:id="12">
    <w:p>
      <w:pPr>
        <w:pStyle w:val="para5"/>
      </w:pPr>
      <w:r>
        <w:rPr>
          <w:rStyle w:val="char1"/>
        </w:rPr>
      </w:r>
      <w:r>
        <w:rPr>
          <w:rStyle w:val="char1"/>
        </w:rPr>
        <w:footnoteRef/>
      </w:r>
      <w:r>
        <w:t xml:space="preserve"> University of Cambridge, </w:t>
      </w:r>
      <w:r>
        <w:rPr>
          <w:i/>
          <w:iCs/>
        </w:rPr>
        <w:t>Roger French 1938-2002</w:t>
      </w:r>
      <w:r>
        <w:t>, (nd) &lt;https://www.hps.cam.ac.uk/news-events/news-archive/roger-french&gt; [accessed 23/10/2024].</w:t>
      </w:r>
    </w:p>
  </w:footnote>
  <w:footnote w:id="13">
    <w:p>
      <w:pPr>
        <w:pStyle w:val="para5"/>
      </w:pPr>
      <w:r>
        <w:rPr>
          <w:rStyle w:val="char1"/>
        </w:rPr>
      </w:r>
      <w:r>
        <w:rPr>
          <w:rStyle w:val="char1"/>
        </w:rPr>
        <w:footnoteRef/>
      </w:r>
      <w:r>
        <w:t xml:space="preserve"> French, Foretelling the Future p. 456.</w:t>
      </w:r>
    </w:p>
  </w:footnote>
  <w:footnote w:id="14">
    <w:p>
      <w:pPr>
        <w:pStyle w:val="para5"/>
      </w:pPr>
      <w:r>
        <w:rPr>
          <w:rStyle w:val="char1"/>
        </w:rPr>
      </w:r>
      <w:r>
        <w:rPr>
          <w:rStyle w:val="char1"/>
        </w:rPr>
        <w:footnoteRef/>
      </w:r>
      <w:r>
        <w:t xml:space="preserve"> French, Foretelling the Future p. 453-75.</w:t>
      </w:r>
    </w:p>
  </w:footnote>
  <w:footnote w:id="15">
    <w:p>
      <w:pPr>
        <w:pStyle w:val="para5"/>
      </w:pPr>
      <w:r>
        <w:rPr>
          <w:rStyle w:val="char1"/>
        </w:rPr>
      </w:r>
      <w:r>
        <w:rPr>
          <w:rStyle w:val="char1"/>
        </w:rPr>
        <w:footnoteRef/>
      </w:r>
      <w:r>
        <w:t xml:space="preserve"> French, Foretelling the Future p. 475.</w:t>
      </w:r>
    </w:p>
  </w:footnote>
  <w:footnote w:id="16">
    <w:p>
      <w:pPr>
        <w:pStyle w:val="para5"/>
      </w:pPr>
      <w:r>
        <w:rPr>
          <w:rStyle w:val="char1"/>
        </w:rPr>
      </w:r>
      <w:r>
        <w:rPr>
          <w:rStyle w:val="char1"/>
        </w:rPr>
        <w:footnoteRef/>
      </w:r>
      <w:r>
        <w:t xml:space="preserve"> French, Foretelling the Future p. 457.</w:t>
      </w:r>
    </w:p>
  </w:footnote>
  <w:footnote w:id="17">
    <w:p>
      <w:pPr>
        <w:pStyle w:val="para5"/>
      </w:pPr>
      <w:r>
        <w:rPr>
          <w:rStyle w:val="char1"/>
        </w:rPr>
      </w:r>
      <w:r>
        <w:rPr>
          <w:rStyle w:val="char1"/>
        </w:rPr>
        <w:footnoteRef/>
      </w:r>
      <w:r>
        <w:t xml:space="preserve"> French, Foretelling the Future p. 479</w:t>
      </w:r>
    </w:p>
  </w:footnote>
  <w:footnote w:id="18">
    <w:p>
      <w:pPr>
        <w:pStyle w:val="para5"/>
      </w:pPr>
      <w:r>
        <w:rPr>
          <w:rStyle w:val="char1"/>
        </w:rPr>
      </w:r>
      <w:r>
        <w:rPr>
          <w:rStyle w:val="char1"/>
        </w:rPr>
        <w:footnoteRef/>
      </w:r>
      <w:r>
        <w:t xml:space="preserve"> Pfeffer, Marginalization of Astrology</w:t>
      </w:r>
      <w:r>
        <w:rPr>
          <w:i/>
          <w:iCs/>
        </w:rPr>
        <w:t xml:space="preserve">, </w:t>
      </w:r>
      <w:r>
        <w:t>p. 1152.</w:t>
      </w:r>
    </w:p>
  </w:footnote>
  <w:footnote w:id="19">
    <w:p>
      <w:pPr>
        <w:pStyle w:val="para5"/>
      </w:pPr>
      <w:r>
        <w:rPr>
          <w:rStyle w:val="char1"/>
        </w:rPr>
      </w:r>
      <w:r>
        <w:rPr>
          <w:rStyle w:val="char1"/>
        </w:rPr>
        <w:footnoteRef/>
      </w:r>
      <w:r>
        <w:t xml:space="preserve"> Pfeffer, Marginalization of Astrology</w:t>
      </w:r>
      <w:r>
        <w:rPr>
          <w:i/>
          <w:iCs/>
        </w:rPr>
        <w:t xml:space="preserve">, </w:t>
      </w:r>
      <w:r>
        <w:t>p. 1153.</w:t>
      </w:r>
    </w:p>
  </w:footnote>
  <w:footnote w:id="20">
    <w:p>
      <w:pPr>
        <w:pStyle w:val="para5"/>
      </w:pPr>
      <w:r>
        <w:rPr>
          <w:rStyle w:val="char1"/>
        </w:rPr>
      </w:r>
      <w:r>
        <w:rPr>
          <w:rStyle w:val="char1"/>
        </w:rPr>
        <w:footnoteRef/>
      </w:r>
      <w:r>
        <w:t xml:space="preserve"> Pfeffer, Marginalization of Astrology</w:t>
      </w:r>
      <w:r>
        <w:rPr>
          <w:i/>
          <w:iCs/>
        </w:rPr>
        <w:t xml:space="preserve">, </w:t>
      </w:r>
      <w:r>
        <w:t>p. 1171.</w:t>
      </w:r>
    </w:p>
  </w:footnote>
  <w:footnote w:id="21">
    <w:p>
      <w:pPr>
        <w:pStyle w:val="para5"/>
      </w:pPr>
      <w:r>
        <w:rPr>
          <w:rStyle w:val="char1"/>
        </w:rPr>
      </w:r>
      <w:r>
        <w:rPr>
          <w:rStyle w:val="char1"/>
        </w:rPr>
        <w:footnoteRef/>
      </w:r>
      <w:r>
        <w:t xml:space="preserve"> Pfeffer, Marginalization of Astrology</w:t>
      </w:r>
      <w:r>
        <w:rPr>
          <w:i/>
          <w:iCs/>
        </w:rPr>
        <w:t xml:space="preserve">, </w:t>
      </w:r>
      <w:r>
        <w:t>p. 1175.</w:t>
      </w:r>
    </w:p>
  </w:footnote>
  <w:footnote w:id="22">
    <w:p>
      <w:pPr>
        <w:pStyle w:val="para5"/>
      </w:pPr>
      <w:r>
        <w:rPr>
          <w:rStyle w:val="char1"/>
        </w:rPr>
      </w:r>
      <w:r>
        <w:rPr>
          <w:rStyle w:val="char1"/>
        </w:rPr>
        <w:footnoteRef/>
      </w:r>
      <w:r>
        <w:t xml:space="preserve"> Pfeffer, Marginalization of Astrology</w:t>
      </w:r>
      <w:r>
        <w:rPr>
          <w:i/>
          <w:iCs/>
        </w:rPr>
        <w:t xml:space="preserve">, </w:t>
      </w:r>
      <w:r>
        <w:t>p. 1161.</w:t>
      </w:r>
    </w:p>
  </w:footnote>
  <w:footnote w:id="23">
    <w:p>
      <w:pPr>
        <w:pStyle w:val="para5"/>
      </w:pPr>
      <w:r>
        <w:rPr>
          <w:rStyle w:val="char1"/>
        </w:rPr>
      </w:r>
      <w:r>
        <w:rPr>
          <w:rStyle w:val="char1"/>
        </w:rPr>
        <w:footnoteRef/>
      </w:r>
      <w:r>
        <w:t xml:space="preserve"> Pfeffer, Marginalization of Astrology</w:t>
      </w:r>
      <w:r>
        <w:rPr>
          <w:i/>
          <w:iCs/>
        </w:rPr>
        <w:t xml:space="preserve">, </w:t>
      </w:r>
      <w:r>
        <w:t>pp. 1171-72.</w:t>
      </w:r>
    </w:p>
  </w:footnote>
  <w:footnote w:id="24">
    <w:p>
      <w:pPr>
        <w:pStyle w:val="para5"/>
      </w:pPr>
      <w:r>
        <w:rPr>
          <w:rStyle w:val="char1"/>
        </w:rPr>
      </w:r>
      <w:r>
        <w:rPr>
          <w:rStyle w:val="char1"/>
        </w:rPr>
        <w:footnoteRef/>
      </w:r>
      <w:r>
        <w:t xml:space="preserve"> Pfeffer, Marginalization of Astrology</w:t>
      </w:r>
      <w:r>
        <w:rPr>
          <w:i/>
          <w:iCs/>
        </w:rPr>
        <w:t xml:space="preserve">, </w:t>
      </w:r>
      <w:r>
        <w:t>p. 1172.</w:t>
      </w:r>
    </w:p>
  </w:footnote>
  <w:footnote w:id="25">
    <w:p>
      <w:pPr>
        <w:pStyle w:val="para5"/>
      </w:pPr>
      <w:r>
        <w:rPr>
          <w:rStyle w:val="char1"/>
        </w:rPr>
      </w:r>
      <w:r>
        <w:rPr>
          <w:rStyle w:val="char1"/>
        </w:rPr>
        <w:footnoteRef/>
      </w:r>
      <w:r>
        <w:t xml:space="preserve"> Pfeffer, Marginalization of Astrology</w:t>
      </w:r>
      <w:r>
        <w:rPr>
          <w:i/>
          <w:iCs/>
        </w:rPr>
        <w:t xml:space="preserve">, </w:t>
      </w:r>
      <w:r>
        <w:t>p. 1172.</w:t>
      </w:r>
    </w:p>
  </w:footnote>
  <w:footnote w:id="26">
    <w:p>
      <w:pPr>
        <w:pStyle w:val="para5"/>
      </w:pPr>
      <w:r>
        <w:rPr>
          <w:rStyle w:val="char1"/>
        </w:rPr>
      </w:r>
      <w:r>
        <w:rPr>
          <w:rStyle w:val="char1"/>
        </w:rPr>
        <w:footnoteRef/>
      </w:r>
      <w:r>
        <w:t xml:space="preserve"> Pfeffer, Marginalization of Astrology</w:t>
      </w:r>
      <w:r>
        <w:rPr>
          <w:i/>
          <w:iCs/>
        </w:rPr>
        <w:t xml:space="preserve">, </w:t>
      </w:r>
      <w:r>
        <w:t>p. 1154-55, p. 1157, p. 1164, p. 1170, p. 1174.</w:t>
      </w:r>
    </w:p>
  </w:footnote>
  <w:footnote w:id="27">
    <w:p>
      <w:pPr>
        <w:pStyle w:val="para5"/>
      </w:pPr>
      <w:r>
        <w:rPr>
          <w:rStyle w:val="char1"/>
        </w:rPr>
      </w:r>
      <w:r>
        <w:rPr>
          <w:rStyle w:val="char1"/>
        </w:rPr>
        <w:footnoteRef/>
      </w:r>
      <w:r>
        <w:t xml:space="preserve"> Richard J. Evans, </w:t>
      </w:r>
      <w:r>
        <w:rPr>
          <w:i/>
          <w:iCs/>
        </w:rPr>
        <w:t>In Defence of History</w:t>
      </w:r>
      <w:r>
        <w:t>, (London: Granta Publications, 2018), p. 128.</w:t>
      </w:r>
    </w:p>
  </w:footnote>
  <w:footnote w:id="28">
    <w:p>
      <w:pPr>
        <w:pStyle w:val="para5"/>
      </w:pPr>
      <w:r>
        <w:rPr>
          <w:rStyle w:val="char1"/>
        </w:rPr>
      </w:r>
      <w:r>
        <w:rPr>
          <w:rStyle w:val="char1"/>
        </w:rPr>
        <w:footnoteRef/>
      </w:r>
      <w:r>
        <w:t xml:space="preserve"> Evans, In Defence of History, p. 127.</w:t>
      </w:r>
    </w:p>
  </w:footnote>
  <w:footnote w:id="29">
    <w:p>
      <w:pPr>
        <w:pStyle w:val="para5"/>
      </w:pPr>
      <w:r>
        <w:rPr>
          <w:rStyle w:val="char1"/>
        </w:rPr>
      </w:r>
      <w:r>
        <w:rPr>
          <w:rStyle w:val="char1"/>
        </w:rPr>
        <w:footnoteRef/>
      </w:r>
      <w:r>
        <w:t xml:space="preserve"> Pfeffer, Marginalization of Astrology</w:t>
      </w:r>
      <w:r>
        <w:rPr>
          <w:i/>
          <w:iCs/>
        </w:rPr>
        <w:t xml:space="preserve">, </w:t>
      </w:r>
      <w:r>
        <w:t>p. 1153, p. 1156, p. 1163, p. 1165, p. 1167, p. 1171, p. 1172, p. 1174, p. 1175.</w:t>
      </w:r>
    </w:p>
  </w:footnote>
  <w:footnote w:id="30">
    <w:p>
      <w:pPr>
        <w:pStyle w:val="para5"/>
      </w:pPr>
      <w:r>
        <w:rPr>
          <w:rStyle w:val="char1"/>
        </w:rPr>
      </w:r>
      <w:r>
        <w:rPr>
          <w:rStyle w:val="char1"/>
        </w:rPr>
        <w:footnoteRef/>
      </w:r>
      <w:r>
        <w:t xml:space="preserve"> Robert J. Connors, “The Rhetoric of Citation Systems, Part II: Competing Epistemic Values in Citation.” </w:t>
      </w:r>
      <w:r>
        <w:rPr>
          <w:i/>
          <w:iCs/>
        </w:rPr>
        <w:t>Rhetoric Review</w:t>
      </w:r>
      <w:r>
        <w:t>, vol. 17, no. 2, 1999, 219–45, p. 222, &lt;JSTOR, http://www.jstor.org/stable/466152&gt;.</w:t>
      </w:r>
    </w:p>
  </w:footnote>
  <w:footnote w:id="31">
    <w:p>
      <w:pPr>
        <w:pStyle w:val="para5"/>
      </w:pPr>
      <w:r>
        <w:rPr>
          <w:rStyle w:val="char1"/>
        </w:rPr>
      </w:r>
      <w:r>
        <w:rPr>
          <w:rStyle w:val="char1"/>
        </w:rPr>
        <w:footnoteRef/>
      </w:r>
      <w:r>
        <w:t xml:space="preserve"> Pfeffer, Marginalization of Astrology</w:t>
      </w:r>
      <w:r>
        <w:rPr>
          <w:i/>
          <w:iCs/>
        </w:rPr>
        <w:t xml:space="preserve">, </w:t>
      </w:r>
      <w:r>
        <w:t>pp. 1165-66.</w:t>
      </w:r>
    </w:p>
  </w:footnote>
  <w:footnote w:id="32">
    <w:p>
      <w:pPr>
        <w:pStyle w:val="para5"/>
      </w:pPr>
      <w:r>
        <w:rPr>
          <w:rStyle w:val="char1"/>
        </w:rPr>
      </w:r>
      <w:r>
        <w:rPr>
          <w:rStyle w:val="char1"/>
        </w:rPr>
        <w:footnoteRef/>
      </w:r>
      <w:r>
        <w:t xml:space="preserve"> Pfeffer, Marginalization of Astrology</w:t>
      </w:r>
      <w:r>
        <w:rPr>
          <w:i/>
          <w:iCs/>
        </w:rPr>
        <w:t xml:space="preserve">, </w:t>
      </w:r>
      <w:r>
        <w:t>p. 1153.</w:t>
      </w:r>
    </w:p>
  </w:footnote>
  <w:footnote w:id="33">
    <w:p>
      <w:pPr>
        <w:pStyle w:val="para5"/>
      </w:pPr>
      <w:r>
        <w:rPr>
          <w:rStyle w:val="char1"/>
        </w:rPr>
      </w:r>
      <w:r>
        <w:rPr>
          <w:rStyle w:val="char1"/>
        </w:rPr>
        <w:footnoteRef/>
      </w:r>
      <w:r>
        <w:t xml:space="preserve"> French, Foretelling the Future p. 459, p. 460, p. 467-69, p. 471-74, p. 477.</w:t>
      </w:r>
    </w:p>
  </w:footnote>
  <w:footnote w:id="34">
    <w:p>
      <w:pPr>
        <w:pStyle w:val="para5"/>
      </w:pPr>
      <w:r>
        <w:rPr>
          <w:rStyle w:val="char1"/>
        </w:rPr>
      </w:r>
      <w:r>
        <w:rPr>
          <w:rStyle w:val="char1"/>
        </w:rPr>
        <w:footnoteRef/>
      </w:r>
      <w:r>
        <w:t xml:space="preserve"> Pfeffer, Marginalization of Astrology</w:t>
      </w:r>
      <w:r>
        <w:rPr>
          <w:i/>
          <w:iCs/>
        </w:rPr>
        <w:t xml:space="preserve">, </w:t>
      </w:r>
      <w:r>
        <w:t>p. 1154, p. 1155, p. 1156, p. 1158, p. 1159, p. 1160, p. 1162, p. 1170.</w:t>
      </w:r>
    </w:p>
  </w:footnote>
  <w:footnote w:id="35">
    <w:p>
      <w:pPr>
        <w:pStyle w:val="para5"/>
      </w:pPr>
      <w:r>
        <w:rPr>
          <w:rStyle w:val="char1"/>
        </w:rPr>
      </w:r>
      <w:r>
        <w:rPr>
          <w:rStyle w:val="char1"/>
        </w:rPr>
        <w:footnoteRef/>
      </w:r>
      <w:r>
        <w:t xml:space="preserve"> French, Foretelling the Future p. 463.</w:t>
      </w:r>
    </w:p>
  </w:footnote>
  <w:footnote w:id="36">
    <w:p>
      <w:pPr>
        <w:pStyle w:val="para5"/>
      </w:pPr>
      <w:r>
        <w:rPr>
          <w:rStyle w:val="char1"/>
        </w:rPr>
      </w:r>
      <w:r>
        <w:rPr>
          <w:rStyle w:val="char1"/>
        </w:rPr>
        <w:footnoteRef/>
      </w:r>
      <w:r>
        <w:t xml:space="preserve"> Chris Mitchell, </w:t>
      </w:r>
      <w:r>
        <w:rPr>
          <w:i/>
          <w:iCs/>
        </w:rPr>
        <w:t>Roger of Hereford’s Judicial Astrology: England’s First Astrology Book?</w:t>
      </w:r>
      <w:r>
        <w:t xml:space="preserve"> (Unpublished PhD thesis, University of Leicester, 2019),  p. 256.</w:t>
      </w:r>
    </w:p>
  </w:footnote>
  <w:footnote w:id="37">
    <w:p>
      <w:pPr>
        <w:pStyle w:val="para5"/>
      </w:pPr>
      <w:r>
        <w:rPr>
          <w:rStyle w:val="char1"/>
        </w:rPr>
      </w:r>
      <w:r>
        <w:rPr>
          <w:rStyle w:val="char1"/>
        </w:rPr>
        <w:footnoteRef/>
      </w:r>
      <w:r>
        <w:t xml:space="preserve"> Richard de Grijs, ‘Roger of Hereford: the twelfth-century astronomer who put Hereford on the map, literally’, </w:t>
      </w:r>
      <w:r>
        <w:rPr>
          <w:i/>
          <w:iCs/>
        </w:rPr>
        <w:t>The Local Historian</w:t>
      </w:r>
      <w:r>
        <w:t>, [journal of the British Association for Local History], 53.2, (2023), 98-111, p. 110 &lt;DOI: 10.48550/arxiv.2301.06610&gt;</w:t>
      </w:r>
    </w:p>
  </w:footnote>
  <w:footnote w:id="38">
    <w:p>
      <w:pPr>
        <w:pStyle w:val="para5"/>
      </w:pPr>
      <w:r>
        <w:rPr>
          <w:rStyle w:val="char1"/>
        </w:rPr>
      </w:r>
      <w:r>
        <w:rPr>
          <w:rStyle w:val="char1"/>
        </w:rPr>
        <w:footnoteRef/>
      </w:r>
      <w:r>
        <w:t xml:space="preserve"> French, Foretelling the Future p. 457; Pfeffer, Marginalization of Astrology</w:t>
      </w:r>
      <w:r>
        <w:rPr>
          <w:i/>
          <w:iCs/>
        </w:rPr>
        <w:t xml:space="preserve">, </w:t>
      </w:r>
      <w:r>
        <w:t>p. 1157.</w:t>
      </w:r>
    </w:p>
  </w:footnote>
  <w:footnote w:id="39">
    <w:p>
      <w:pPr>
        <w:pStyle w:val="para5"/>
      </w:pPr>
      <w:r>
        <w:rPr>
          <w:rStyle w:val="char1"/>
        </w:rPr>
      </w:r>
      <w:r>
        <w:rPr>
          <w:rStyle w:val="char1"/>
        </w:rPr>
        <w:footnoteRef/>
      </w:r>
      <w:r>
        <w:t xml:space="preserve"> French, Foretelling the Future p. 458.</w:t>
      </w:r>
    </w:p>
  </w:footnote>
  <w:footnote w:id="40">
    <w:p>
      <w:pPr>
        <w:pStyle w:val="para5"/>
      </w:pPr>
      <w:r>
        <w:rPr>
          <w:rStyle w:val="char1"/>
        </w:rPr>
      </w:r>
      <w:r>
        <w:rPr>
          <w:rStyle w:val="char1"/>
        </w:rPr>
        <w:footnoteRef/>
      </w:r>
      <w:r>
        <w:t xml:space="preserve"> French, Foretelling the Future p. 458.</w:t>
      </w:r>
    </w:p>
  </w:footnote>
  <w:footnote w:id="41">
    <w:p>
      <w:pPr>
        <w:pStyle w:val="para5"/>
      </w:pPr>
      <w:r>
        <w:rPr>
          <w:rStyle w:val="char1"/>
        </w:rPr>
      </w:r>
      <w:r>
        <w:rPr>
          <w:rStyle w:val="char1"/>
        </w:rPr>
        <w:footnoteRef/>
      </w:r>
      <w:r>
        <w:t xml:space="preserve"> Pfeffer, Marginalization of Astrology</w:t>
      </w:r>
      <w:r>
        <w:rPr>
          <w:i/>
          <w:iCs/>
        </w:rPr>
        <w:t xml:space="preserve">, </w:t>
      </w:r>
      <w:r>
        <w:t>p. 1157.</w:t>
      </w:r>
    </w:p>
  </w:footnote>
  <w:footnote w:id="42">
    <w:p>
      <w:pPr>
        <w:pStyle w:val="para5"/>
      </w:pPr>
      <w:r>
        <w:rPr>
          <w:rStyle w:val="char1"/>
        </w:rPr>
      </w:r>
      <w:r>
        <w:rPr>
          <w:rStyle w:val="char1"/>
        </w:rPr>
        <w:footnoteRef/>
      </w:r>
      <w:r>
        <w:t xml:space="preserve"> Pfeffer, Marginalization of Astrology</w:t>
      </w:r>
      <w:r>
        <w:rPr>
          <w:i/>
          <w:iCs/>
        </w:rPr>
        <w:t xml:space="preserve">, </w:t>
      </w:r>
      <w:r>
        <w:t>p. 1160, p. 1161, p. 1164, p. 1168, p. 1175.</w:t>
      </w:r>
    </w:p>
  </w:footnote>
  <w:footnote w:id="43">
    <w:p>
      <w:pPr>
        <w:pStyle w:val="para5"/>
      </w:pPr>
      <w:r>
        <w:rPr>
          <w:rStyle w:val="char1"/>
        </w:rPr>
      </w:r>
      <w:r>
        <w:rPr>
          <w:rStyle w:val="char1"/>
        </w:rPr>
        <w:footnoteRef/>
      </w:r>
      <w:r>
        <w:t xml:space="preserve"> French, Foretelling the Future p. 77.</w:t>
      </w:r>
    </w:p>
  </w:footnote>
  <w:footnote w:id="44">
    <w:p>
      <w:pPr>
        <w:pStyle w:val="para5"/>
      </w:pPr>
      <w:r>
        <w:rPr>
          <w:rStyle w:val="char1"/>
        </w:rPr>
      </w:r>
      <w:r>
        <w:rPr>
          <w:rStyle w:val="char1"/>
        </w:rPr>
        <w:footnoteRef/>
      </w:r>
      <w:r>
        <w:t xml:space="preserve"> French, Foretelling the Future p. 476.</w:t>
      </w:r>
    </w:p>
  </w:footnote>
  <w:footnote w:id="45">
    <w:p>
      <w:pPr>
        <w:pStyle w:val="para5"/>
        <w:spacing/>
        <w:jc w:val="left"/>
        <w:rPr>
          <w:rFonts w:ascii="Noto Sans" w:hAnsi="Noto Sans" w:eastAsia="SimSun" w:cs="Times New Roman"/>
          <w:color w:val="000000"/>
          <w:sz w:val="18"/>
          <w:lang w:eastAsia="zh-cn" w:bidi="ar-sa"/>
        </w:rPr>
      </w:pPr>
      <w:r>
        <w:rPr>
          <w:rStyle w:val="char1"/>
        </w:rPr>
      </w:r>
      <w:r>
        <w:rPr>
          <w:rStyle w:val="char1"/>
        </w:rPr>
        <w:footnoteRef/>
      </w:r>
      <w:r>
        <w:t xml:space="preserve"> Patrick Curry, </w:t>
      </w:r>
      <w:r>
        <w:t xml:space="preserve">‘The Historiography of Astrology: A Diagnosis and a Prescription’, in </w:t>
      </w:r>
      <w:r>
        <w:rPr>
          <w:rFonts w:ascii="Noto Sans" w:hAnsi="Noto Sans" w:eastAsia="SimSun" w:cs="Times New Roman"/>
          <w:i/>
          <w:iCs/>
          <w:color w:val="000000"/>
          <w:sz w:val="18"/>
          <w:lang w:eastAsia="zh-cn" w:bidi="ar-sa"/>
        </w:rPr>
        <w:t>Horoscopes and Public Spheres : Essays on the History of Astrology</w:t>
      </w:r>
      <w:r>
        <w:rPr>
          <w:rFonts w:ascii="Noto Sans" w:hAnsi="Noto Sans" w:eastAsia="SimSun" w:cs="Times New Roman"/>
          <w:color w:val="000000"/>
          <w:sz w:val="18"/>
          <w:lang w:eastAsia="zh-cn" w:bidi="ar-sa"/>
        </w:rPr>
        <w:t>. ed. by Günther Oestmann; Darrel, H. R.; Kocku Von Stuckrad, (Berlin: De Gruyter, 2005), 261-74 (p. 265).</w:t>
      </w:r>
    </w:p>
  </w:footnote>
  <w:footnote w:id="46">
    <w:p>
      <w:pPr>
        <w:pStyle w:val="para5"/>
      </w:pPr>
      <w:r>
        <w:rPr>
          <w:rStyle w:val="char1"/>
        </w:rPr>
      </w:r>
      <w:r>
        <w:rPr>
          <w:rStyle w:val="char1"/>
        </w:rPr>
        <w:footnoteRef/>
      </w:r>
      <w:r>
        <w:t xml:space="preserve"> H. Darrel Rutkin, ‘How to accurately account for astrology’s marginalization in the history of science and culture: the central importance of an interpretive framework’, </w:t>
      </w:r>
      <w:r>
        <w:rPr>
          <w:i/>
          <w:iCs/>
        </w:rPr>
        <w:t>Early Science and Medicine</w:t>
      </w:r>
      <w:r>
        <w:t>, 23 (2018), 229–33, (p. 218).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6"/>
      <w:tabs defTabSz="708">
        <w:tab w:val="center" w:pos="4819" w:leader="none"/>
        <w:tab w:val="clear" w:pos="9639" w:leader="none"/>
      </w:tabs>
      <w:rPr>
        <w:rFonts w:ascii="Arial" w:hAnsi="Arial" w:eastAsia="SimSun" w:cs="Arial"/>
        <w:color w:val="000000"/>
      </w:rPr>
    </w:pPr>
    <w:r>
      <w:tab/>
      <w:t xml:space="preserve">Linda Parkinson-Hardman, </w:t>
    </w:r>
    <w:r>
      <w:rPr>
        <w:color w:val="000000"/>
      </w:rPr>
      <w:t xml:space="preserve">2409122, Page </w:t>
    </w:r>
    <w:r>
      <w:rPr>
        <w:color w:val="000000"/>
      </w:rPr>
      <w:fldChar w:fldCharType="begin"/>
      <w:instrText xml:space="preserve"> PAGE </w:instrText>
      <w:fldChar w:fldCharType="separate"/>
      <w:t>1</w:t>
      <w:fldChar w:fldCharType="end"/>
    </w:r>
    <w:r>
      <w:rPr>
        <w:color w:val="000000"/>
      </w:rPr>
      <w:t xml:space="preserve"> of 7</w:t>
    </w:r>
    <w:r>
      <w:rPr>
        <w:rFonts w:ascii="Arial" w:hAnsi="Arial" w:eastAsia="SimSun" w:cs="Arial"/>
        <w:color w:val="000000"/>
      </w:rP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0"/>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2049"/>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2"/>
    <w:tmReviewMarkIns w:val="4"/>
    <w:tmReviewColorIns w:val="-1"/>
    <w:tmReviewMarkDel w:val="6"/>
    <w:tmReviewColorDel w:val="-1"/>
    <w:tmReviewMarkFmt w:val="1"/>
    <w:tmReviewColorFmt w:val="-1"/>
    <w:tmReviewMarkLn w:val="1"/>
    <w:tmReviewColorLn w:val="0"/>
    <w:tmReviewToolTip w:val="1"/>
  </w:tmReviewPr>
  <w:tmLastPos>
    <w:tmLastPosPage w:val="0"/>
    <w:tmLastPosSelect w:val="1"/>
    <w:tmLastPosFrameIdx w:val="6"/>
    <w:tmLastPosCaret>
      <w:tmLastPosPgfIdx w:val="0"/>
      <w:tmLastPosIdx w:val="64"/>
    </w:tmLastPosCaret>
    <w:tmLastPosAnchor>
      <w:tmLastPosPgfIdx w:val="0"/>
      <w:tmLastPosIdx w:val="18"/>
    </w:tmLastPosAnchor>
    <w:tmLastPosTblRect w:left="0" w:top="0" w:right="0" w:bottom="0"/>
  </w:tmLastPos>
  <w:tmAppRevision w:date="1730212040" w:val="1068"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en-gb" w:eastAsia="zh-cn" w:bidi="ar-sa"/>
      </w:rPr>
    </w:rPrDefault>
    <w:pPrDefault>
      <w:pPr>
        <w:ind w:firstLine="283"/>
        <w:spacing/>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libri" w:hAnsi="Calibri" w:eastAsia="Calibri" w:cs="Calibri"/>
      <w:sz w:val="22"/>
      <w:szCs w:val="22"/>
      <w:lang w:eastAsia="en-gb" w:bidi="en-gb"/>
    </w:rPr>
    <w:key w:val="1072"/>
  </w:style>
  <w:style w:type="paragraph" w:styleId="para1">
    <w:name w:val="heading 1"/>
    <w:qFormat/>
    <w:basedOn w:val="para0"/>
    <w:next w:val="para0"/>
    <w:pPr>
      <w:ind w:firstLine="0"/>
      <w:spacing w:before="280" w:after="240" w:beforeAutospacing="1"/>
      <w:keepNext/>
      <w:outlineLvl w:val="0"/>
      <w:keepLines/>
    </w:pPr>
    <w:rPr>
      <w:rFonts w:ascii="Cambria" w:hAnsi="Cambria" w:eastAsia="Cambria" w:cs="Cambria"/>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Normal (Web)"/>
    <w:qFormat/>
    <w:basedOn w:val="para0"/>
    <w:pPr>
      <w:spacing w:before="100" w:after="100" w:beforeAutospacing="1" w:afterAutospacing="1"/>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Georgia" w:hAnsi="Georgia" w:eastAsia="SimSun" w:cs="Georgia"/>
      <w:color w:val="000000"/>
      <w:sz w:val="21"/>
      <w:szCs w:val="21"/>
    </w:rPr>
  </w:style>
  <w:style w:type="paragraph" w:styleId="para5">
    <w:name w:val="Footnote Text"/>
    <w:qFormat/>
    <w:basedOn w:val="para0"/>
    <w:pPr>
      <w:ind w:firstLine="0"/>
    </w:pPr>
    <w:rPr>
      <w:sz w:val="20"/>
      <w:szCs w:val="20"/>
    </w:rPr>
  </w:style>
  <w:style w:type="paragraph" w:styleId="para6">
    <w:name w:val="Header"/>
    <w:qFormat/>
    <w:basedOn w:val="para0"/>
    <w:pPr>
      <w:tabs defTabSz="708">
        <w:tab w:val="center" w:pos="4819" w:leader="none"/>
        <w:tab w:val="right" w:pos="9639" w:leader="none"/>
      </w:tabs>
    </w:pPr>
  </w:style>
  <w:style w:type="character" w:styleId="char0" w:default="1">
    <w:name w:val="Default Paragraph Font"/>
  </w:style>
  <w:style w:type="character" w:styleId="char1">
    <w:name w:val="Footnote Reference"/>
    <w:rPr>
      <w:vertAlign w:val="superscript"/>
    </w:rPr>
  </w:style>
  <w:style w:type="character" w:styleId="char2">
    <w:name w:val="Hyperlink"/>
    <w:rPr>
      <w:color w:val="0000ff"/>
      <w:u w:color="auto" w:val="singl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en-gb" w:eastAsia="zh-cn" w:bidi="ar-sa"/>
      </w:rPr>
    </w:rPrDefault>
    <w:pPrDefault>
      <w:pPr>
        <w:ind w:firstLine="283"/>
        <w:spacing/>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libri" w:hAnsi="Calibri" w:eastAsia="Calibri" w:cs="Calibri"/>
      <w:sz w:val="22"/>
      <w:szCs w:val="22"/>
      <w:lang w:eastAsia="en-gb" w:bidi="en-gb"/>
    </w:rPr>
    <w:key w:val="1072"/>
  </w:style>
  <w:style w:type="paragraph" w:styleId="para1">
    <w:name w:val="heading 1"/>
    <w:qFormat/>
    <w:basedOn w:val="para0"/>
    <w:next w:val="para0"/>
    <w:pPr>
      <w:ind w:firstLine="0"/>
      <w:spacing w:before="280" w:after="240" w:beforeAutospacing="1"/>
      <w:keepNext/>
      <w:outlineLvl w:val="0"/>
      <w:keepLines/>
    </w:pPr>
    <w:rPr>
      <w:rFonts w:ascii="Cambria" w:hAnsi="Cambria" w:eastAsia="Cambria" w:cs="Cambria"/>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Normal (Web)"/>
    <w:qFormat/>
    <w:basedOn w:val="para0"/>
    <w:pPr>
      <w:spacing w:before="100" w:after="100" w:beforeAutospacing="1" w:afterAutospacing="1"/>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Georgia" w:hAnsi="Georgia" w:eastAsia="SimSun" w:cs="Georgia"/>
      <w:color w:val="000000"/>
      <w:sz w:val="21"/>
      <w:szCs w:val="21"/>
    </w:rPr>
  </w:style>
  <w:style w:type="paragraph" w:styleId="para5">
    <w:name w:val="Footnote Text"/>
    <w:qFormat/>
    <w:basedOn w:val="para0"/>
    <w:pPr>
      <w:ind w:firstLine="0"/>
    </w:pPr>
    <w:rPr>
      <w:sz w:val="20"/>
      <w:szCs w:val="20"/>
    </w:rPr>
  </w:style>
  <w:style w:type="paragraph" w:styleId="para6">
    <w:name w:val="Header"/>
    <w:qFormat/>
    <w:basedOn w:val="para0"/>
    <w:pPr>
      <w:tabs defTabSz="708">
        <w:tab w:val="center" w:pos="4819" w:leader="none"/>
        <w:tab w:val="right" w:pos="9639" w:leader="none"/>
      </w:tabs>
    </w:pPr>
  </w:style>
  <w:style w:type="character" w:styleId="char0" w:default="1">
    <w:name w:val="Default Paragraph Font"/>
  </w:style>
  <w:style w:type="character" w:styleId="char1">
    <w:name w:val="Footnote Reference"/>
    <w:rPr>
      <w:vertAlign w:val="superscript"/>
    </w:rPr>
  </w:style>
  <w:style w:type="character" w:styleId="char2">
    <w:name w:val="Hyperlink"/>
    <w:rPr>
      <w:color w:val="0000ff"/>
      <w:u w:color="auto" w:val="singl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jpeg"/><Relationship Id="rId8"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ambria"/>
        <a:cs typeface="Cambria"/>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rev.1068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12</cp:revision>
  <cp:lastPrinted>2024-10-14T10:27:22Z</cp:lastPrinted>
  <dcterms:created xsi:type="dcterms:W3CDTF">2024-10-02T14:09:39Z</dcterms:created>
  <dcterms:modified xsi:type="dcterms:W3CDTF">2024-10-29T14:27:20Z</dcterms:modified>
</cp:coreProperties>
</file>