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F65BA3" w14:textId="039E3908" w:rsidR="00567FFA" w:rsidRPr="002F0BED" w:rsidRDefault="00567FFA">
      <w:pPr>
        <w:rPr>
          <w:rFonts w:ascii="Aparajita" w:hAnsi="Aparajita" w:cs="Aparajita"/>
        </w:rPr>
      </w:pPr>
    </w:p>
    <w:p w14:paraId="148E5072" w14:textId="77777777" w:rsidR="00F7650C" w:rsidRPr="00F7650C" w:rsidRDefault="00F7650C" w:rsidP="00F7650C">
      <w:pPr>
        <w:suppressAutoHyphens/>
        <w:autoSpaceDN w:val="0"/>
        <w:spacing w:after="0" w:line="240" w:lineRule="auto"/>
        <w:ind w:left="-180" w:right="-334"/>
        <w:textAlignment w:val="baseline"/>
        <w:rPr>
          <w:rFonts w:ascii="Calibri" w:eastAsia="Calibri" w:hAnsi="Calibri" w:cs="Arial"/>
        </w:rPr>
      </w:pPr>
      <w:r w:rsidRPr="00F7650C">
        <w:rPr>
          <w:rFonts w:ascii="Georgia" w:eastAsia="SimSun" w:hAnsi="Georgia" w:cs="Times New Roman"/>
          <w:noProof/>
          <w:color w:val="000000"/>
          <w:sz w:val="21"/>
          <w:szCs w:val="21"/>
          <w:lang w:eastAsia="zh-CN"/>
        </w:rPr>
        <w:drawing>
          <wp:inline distT="0" distB="0" distL="0" distR="0" wp14:anchorId="4832890C" wp14:editId="55C06700">
            <wp:extent cx="2876546" cy="1047746"/>
            <wp:effectExtent l="19050" t="19050" r="19054" b="19054"/>
            <wp:docPr id="1" name="Picture 2" descr="TSD_logo20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876546" cy="1047746"/>
                    </a:xfrm>
                    <a:prstGeom prst="rect">
                      <a:avLst/>
                    </a:prstGeom>
                    <a:noFill/>
                    <a:ln w="19046">
                      <a:solidFill>
                        <a:srgbClr val="000000"/>
                      </a:solidFill>
                      <a:prstDash val="solid"/>
                    </a:ln>
                  </pic:spPr>
                </pic:pic>
              </a:graphicData>
            </a:graphic>
          </wp:inline>
        </w:drawing>
      </w:r>
    </w:p>
    <w:p w14:paraId="32B0E46E" w14:textId="77777777" w:rsidR="00F7650C" w:rsidRPr="00F7650C" w:rsidRDefault="00F7650C" w:rsidP="00F7650C">
      <w:pPr>
        <w:keepNext/>
        <w:suppressAutoHyphens/>
        <w:autoSpaceDN w:val="0"/>
        <w:spacing w:before="240" w:after="60" w:line="240" w:lineRule="auto"/>
        <w:jc w:val="center"/>
        <w:textAlignment w:val="baseline"/>
        <w:outlineLvl w:val="0"/>
        <w:rPr>
          <w:rFonts w:ascii="Arial" w:eastAsia="SimSun" w:hAnsi="Arial" w:cs="Arial"/>
          <w:b/>
          <w:bCs/>
          <w:kern w:val="3"/>
          <w:sz w:val="32"/>
          <w:szCs w:val="32"/>
          <w:lang w:val="cy-GB" w:eastAsia="zh-CN"/>
        </w:rPr>
      </w:pPr>
      <w:r w:rsidRPr="00F7650C">
        <w:rPr>
          <w:rFonts w:ascii="Arial" w:eastAsia="SimSun" w:hAnsi="Arial" w:cs="Arial"/>
          <w:b/>
          <w:bCs/>
          <w:kern w:val="3"/>
          <w:sz w:val="32"/>
          <w:szCs w:val="32"/>
          <w:lang w:val="cy-GB" w:eastAsia="zh-CN"/>
        </w:rPr>
        <w:t>Undergraduate assignment feedback form</w:t>
      </w:r>
    </w:p>
    <w:p w14:paraId="47382095" w14:textId="77777777" w:rsidR="00F7650C" w:rsidRPr="00F7650C" w:rsidRDefault="00F7650C" w:rsidP="00F7650C">
      <w:pPr>
        <w:suppressAutoHyphens/>
        <w:autoSpaceDN w:val="0"/>
        <w:spacing w:after="0" w:line="240" w:lineRule="auto"/>
        <w:jc w:val="center"/>
        <w:textAlignment w:val="baseline"/>
        <w:rPr>
          <w:rFonts w:ascii="Arial" w:eastAsia="SimSun" w:hAnsi="Arial" w:cs="Arial"/>
          <w:b/>
          <w:sz w:val="24"/>
          <w:szCs w:val="24"/>
          <w:lang w:val="cy-GB" w:eastAsia="zh-CN"/>
        </w:rPr>
      </w:pPr>
      <w:r w:rsidRPr="00F7650C">
        <w:rPr>
          <w:rFonts w:ascii="Arial" w:eastAsia="SimSun" w:hAnsi="Arial" w:cs="Arial"/>
          <w:b/>
          <w:sz w:val="24"/>
          <w:szCs w:val="24"/>
          <w:lang w:val="cy-GB" w:eastAsia="zh-CN"/>
        </w:rPr>
        <w:t>(to be completed by marker)</w:t>
      </w:r>
    </w:p>
    <w:p w14:paraId="4F46DF0D" w14:textId="77777777" w:rsidR="00F7650C" w:rsidRPr="00F7650C" w:rsidRDefault="00F7650C" w:rsidP="00F7650C">
      <w:pPr>
        <w:suppressAutoHyphens/>
        <w:autoSpaceDN w:val="0"/>
        <w:spacing w:after="0" w:line="240" w:lineRule="auto"/>
        <w:jc w:val="center"/>
        <w:textAlignment w:val="baseline"/>
        <w:rPr>
          <w:rFonts w:ascii="Arial" w:eastAsia="SimSun" w:hAnsi="Arial" w:cs="Arial"/>
          <w:b/>
          <w:sz w:val="24"/>
          <w:szCs w:val="24"/>
          <w:lang w:val="cy-GB" w:eastAsia="zh-CN"/>
        </w:rPr>
      </w:pPr>
    </w:p>
    <w:p w14:paraId="6CE7D747" w14:textId="77777777" w:rsidR="00F7650C" w:rsidRPr="00F7650C" w:rsidRDefault="00F7650C" w:rsidP="00F7650C">
      <w:pPr>
        <w:keepNext/>
        <w:suppressAutoHyphens/>
        <w:autoSpaceDN w:val="0"/>
        <w:spacing w:after="0" w:line="240" w:lineRule="auto"/>
        <w:ind w:left="720"/>
        <w:jc w:val="both"/>
        <w:textAlignment w:val="baseline"/>
        <w:outlineLvl w:val="2"/>
        <w:rPr>
          <w:rFonts w:ascii="Trebuchet MS" w:eastAsia="SimSun" w:hAnsi="Trebuchet MS" w:cs="Tahoma"/>
          <w:b/>
          <w:bCs/>
          <w:sz w:val="20"/>
          <w:szCs w:val="20"/>
          <w:lang w:eastAsia="zh-CN"/>
        </w:rPr>
      </w:pPr>
    </w:p>
    <w:tbl>
      <w:tblPr>
        <w:tblW w:w="8755" w:type="dxa"/>
        <w:tblCellMar>
          <w:left w:w="10" w:type="dxa"/>
          <w:right w:w="10" w:type="dxa"/>
        </w:tblCellMar>
        <w:tblLook w:val="0000" w:firstRow="0" w:lastRow="0" w:firstColumn="0" w:lastColumn="0" w:noHBand="0" w:noVBand="0"/>
      </w:tblPr>
      <w:tblGrid>
        <w:gridCol w:w="4788"/>
        <w:gridCol w:w="1980"/>
        <w:gridCol w:w="1987"/>
      </w:tblGrid>
      <w:tr w:rsidR="00F7650C" w:rsidRPr="00F7650C" w14:paraId="3843EE2B" w14:textId="77777777" w:rsidTr="007A32F8">
        <w:trPr>
          <w:trHeight w:val="718"/>
        </w:trPr>
        <w:tc>
          <w:tcPr>
            <w:tcW w:w="8755"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53AABAB" w14:textId="77777777" w:rsidR="00F7650C" w:rsidRPr="00F7650C" w:rsidRDefault="00F7650C" w:rsidP="00F7650C">
            <w:pPr>
              <w:suppressAutoHyphens/>
              <w:autoSpaceDN w:val="0"/>
              <w:spacing w:after="0" w:line="240" w:lineRule="auto"/>
              <w:ind w:right="34"/>
              <w:textAlignment w:val="baseline"/>
              <w:rPr>
                <w:rFonts w:ascii="Calibri" w:eastAsia="SimSun" w:hAnsi="Calibri" w:cs="Tahoma"/>
                <w:i/>
                <w:color w:val="000000"/>
                <w:sz w:val="24"/>
                <w:szCs w:val="24"/>
                <w:lang w:eastAsia="zh-CN"/>
              </w:rPr>
            </w:pPr>
            <w:r w:rsidRPr="00F7650C">
              <w:rPr>
                <w:rFonts w:ascii="Calibri" w:eastAsia="SimSun" w:hAnsi="Calibri" w:cs="Tahoma"/>
                <w:i/>
                <w:color w:val="000000"/>
                <w:sz w:val="24"/>
                <w:szCs w:val="24"/>
                <w:lang w:eastAsia="zh-CN"/>
              </w:rPr>
              <w:t>Student Name: Henry Gillson - Gant</w:t>
            </w:r>
          </w:p>
          <w:p w14:paraId="06D86FC1" w14:textId="77777777" w:rsidR="00F7650C" w:rsidRPr="00F7650C" w:rsidRDefault="00F7650C" w:rsidP="00F7650C">
            <w:pPr>
              <w:suppressAutoHyphens/>
              <w:autoSpaceDN w:val="0"/>
              <w:spacing w:after="0" w:line="240" w:lineRule="auto"/>
              <w:ind w:right="34"/>
              <w:textAlignment w:val="baseline"/>
              <w:rPr>
                <w:rFonts w:ascii="Calibri" w:eastAsia="SimSun" w:hAnsi="Calibri" w:cs="Tahoma"/>
                <w:i/>
                <w:color w:val="000000"/>
                <w:sz w:val="24"/>
                <w:szCs w:val="24"/>
                <w:lang w:eastAsia="zh-CN"/>
              </w:rPr>
            </w:pPr>
          </w:p>
        </w:tc>
      </w:tr>
      <w:tr w:rsidR="00F7650C" w:rsidRPr="00F7650C" w14:paraId="5E3B1FE1" w14:textId="77777777" w:rsidTr="007A32F8">
        <w:trPr>
          <w:trHeight w:val="849"/>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114C429" w14:textId="77777777" w:rsidR="00F7650C" w:rsidRPr="00F7650C" w:rsidRDefault="00F7650C" w:rsidP="00F7650C">
            <w:pPr>
              <w:suppressAutoHyphens/>
              <w:autoSpaceDN w:val="0"/>
              <w:spacing w:after="0" w:line="240" w:lineRule="auto"/>
              <w:ind w:right="34"/>
              <w:textAlignment w:val="baseline"/>
              <w:rPr>
                <w:rFonts w:ascii="Calibri" w:eastAsia="SimSun" w:hAnsi="Calibri" w:cs="Tahoma"/>
                <w:i/>
                <w:color w:val="000000"/>
                <w:sz w:val="24"/>
                <w:szCs w:val="24"/>
                <w:lang w:eastAsia="zh-CN"/>
              </w:rPr>
            </w:pPr>
            <w:r w:rsidRPr="00F7650C">
              <w:rPr>
                <w:rFonts w:ascii="Calibri" w:eastAsia="SimSun" w:hAnsi="Calibri" w:cs="Tahoma"/>
                <w:i/>
                <w:color w:val="000000"/>
                <w:sz w:val="24"/>
                <w:szCs w:val="24"/>
                <w:lang w:eastAsia="zh-CN"/>
              </w:rPr>
              <w:t>Module Code: (HPHI6014)</w:t>
            </w:r>
          </w:p>
          <w:p w14:paraId="34B618E2" w14:textId="77777777" w:rsidR="00F7650C" w:rsidRPr="00F7650C" w:rsidRDefault="00F7650C" w:rsidP="00F7650C">
            <w:pPr>
              <w:suppressAutoHyphens/>
              <w:autoSpaceDN w:val="0"/>
              <w:spacing w:after="0" w:line="240" w:lineRule="auto"/>
              <w:ind w:right="34"/>
              <w:textAlignment w:val="baseline"/>
              <w:rPr>
                <w:rFonts w:ascii="Calibri" w:eastAsia="SimSun" w:hAnsi="Calibri" w:cs="Tahoma"/>
                <w:i/>
                <w:color w:val="000000"/>
                <w:sz w:val="24"/>
                <w:szCs w:val="24"/>
                <w:lang w:eastAsia="zh-CN"/>
              </w:rPr>
            </w:pPr>
          </w:p>
          <w:p w14:paraId="48E57496" w14:textId="77777777" w:rsidR="00F7650C" w:rsidRPr="00F7650C" w:rsidRDefault="00F7650C" w:rsidP="00F7650C">
            <w:pPr>
              <w:suppressAutoHyphens/>
              <w:autoSpaceDN w:val="0"/>
              <w:spacing w:after="0" w:line="240" w:lineRule="auto"/>
              <w:ind w:right="34"/>
              <w:textAlignment w:val="baseline"/>
              <w:rPr>
                <w:rFonts w:ascii="Calibri" w:eastAsia="SimSun" w:hAnsi="Calibri" w:cs="Tahoma"/>
                <w:i/>
                <w:color w:val="000000"/>
                <w:sz w:val="24"/>
                <w:szCs w:val="24"/>
                <w:lang w:eastAsia="zh-CN"/>
              </w:rPr>
            </w:pPr>
            <w:r w:rsidRPr="00F7650C">
              <w:rPr>
                <w:rFonts w:ascii="Calibri" w:eastAsia="SimSun" w:hAnsi="Calibri" w:cs="Tahoma"/>
                <w:i/>
                <w:color w:val="000000"/>
                <w:sz w:val="24"/>
                <w:szCs w:val="24"/>
                <w:lang w:eastAsia="zh-CN"/>
              </w:rPr>
              <w:t>Module title: Standing on the shoulders of Giants' – Understanding the Enlightenment</w:t>
            </w:r>
          </w:p>
          <w:p w14:paraId="25B67A35" w14:textId="77777777" w:rsidR="00F7650C" w:rsidRPr="00F7650C" w:rsidRDefault="00F7650C" w:rsidP="00F7650C">
            <w:pPr>
              <w:suppressAutoHyphens/>
              <w:autoSpaceDN w:val="0"/>
              <w:spacing w:after="0" w:line="240" w:lineRule="auto"/>
              <w:ind w:right="34"/>
              <w:textAlignment w:val="baseline"/>
              <w:rPr>
                <w:rFonts w:ascii="Calibri" w:eastAsia="SimSun" w:hAnsi="Calibri" w:cs="Tahoma"/>
                <w:i/>
                <w:color w:val="000000"/>
                <w:sz w:val="24"/>
                <w:szCs w:val="24"/>
                <w:lang w:eastAsia="zh-CN"/>
              </w:rPr>
            </w:pPr>
          </w:p>
        </w:tc>
        <w:tc>
          <w:tcPr>
            <w:tcW w:w="396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7B0351" w14:textId="77777777" w:rsidR="00F7650C" w:rsidRPr="00F7650C" w:rsidRDefault="00F7650C" w:rsidP="00F7650C">
            <w:pPr>
              <w:suppressAutoHyphens/>
              <w:autoSpaceDN w:val="0"/>
              <w:spacing w:after="0" w:line="240" w:lineRule="auto"/>
              <w:ind w:right="34"/>
              <w:textAlignment w:val="baseline"/>
              <w:rPr>
                <w:rFonts w:ascii="Calibri" w:eastAsia="SimSun" w:hAnsi="Calibri" w:cs="Tahoma"/>
                <w:i/>
                <w:color w:val="000000"/>
                <w:sz w:val="24"/>
                <w:szCs w:val="24"/>
                <w:lang w:eastAsia="zh-CN"/>
              </w:rPr>
            </w:pPr>
            <w:r w:rsidRPr="00F7650C">
              <w:rPr>
                <w:rFonts w:ascii="Calibri" w:eastAsia="SimSun" w:hAnsi="Calibri" w:cs="Tahoma"/>
                <w:i/>
                <w:color w:val="000000"/>
                <w:sz w:val="24"/>
                <w:szCs w:val="24"/>
                <w:lang w:eastAsia="zh-CN"/>
              </w:rPr>
              <w:t>Student number: 1600129</w:t>
            </w:r>
          </w:p>
        </w:tc>
      </w:tr>
      <w:tr w:rsidR="00F7650C" w:rsidRPr="00F7650C" w14:paraId="58B7C955" w14:textId="77777777" w:rsidTr="007A32F8">
        <w:trPr>
          <w:trHeight w:val="3972"/>
        </w:trPr>
        <w:tc>
          <w:tcPr>
            <w:tcW w:w="8755"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42D255" w14:textId="77777777" w:rsidR="00F7650C" w:rsidRPr="00F7650C" w:rsidRDefault="00F7650C" w:rsidP="00F7650C">
            <w:pPr>
              <w:suppressAutoHyphens/>
              <w:autoSpaceDN w:val="0"/>
              <w:spacing w:after="0" w:line="240" w:lineRule="auto"/>
              <w:textAlignment w:val="baseline"/>
              <w:rPr>
                <w:rFonts w:ascii="Calibri" w:eastAsia="SimSun" w:hAnsi="Calibri" w:cs="Tahoma"/>
                <w:i/>
                <w:color w:val="000000"/>
                <w:sz w:val="24"/>
                <w:szCs w:val="24"/>
                <w:lang w:eastAsia="zh-CN"/>
              </w:rPr>
            </w:pPr>
            <w:r w:rsidRPr="00F7650C">
              <w:rPr>
                <w:rFonts w:ascii="Calibri" w:eastAsia="SimSun" w:hAnsi="Calibri" w:cs="Tahoma"/>
                <w:i/>
                <w:color w:val="000000"/>
                <w:sz w:val="24"/>
                <w:szCs w:val="24"/>
                <w:lang w:eastAsia="zh-CN"/>
              </w:rPr>
              <w:t>For completion by marker:</w:t>
            </w:r>
          </w:p>
          <w:p w14:paraId="278BC752" w14:textId="77777777" w:rsidR="00F7650C" w:rsidRPr="00F7650C" w:rsidRDefault="00F7650C" w:rsidP="00F7650C">
            <w:pPr>
              <w:suppressAutoHyphens/>
              <w:autoSpaceDN w:val="0"/>
              <w:spacing w:before="100" w:after="100" w:line="240" w:lineRule="auto"/>
              <w:textAlignment w:val="baseline"/>
              <w:rPr>
                <w:rFonts w:ascii="Calibri" w:eastAsia="SimSun" w:hAnsi="Calibri" w:cs="Tahoma"/>
                <w:i/>
                <w:color w:val="000000"/>
                <w:sz w:val="24"/>
                <w:szCs w:val="24"/>
                <w:lang w:eastAsia="zh-CN"/>
              </w:rPr>
            </w:pPr>
            <w:r w:rsidRPr="00F7650C">
              <w:rPr>
                <w:rFonts w:ascii="Calibri" w:eastAsia="SimSun" w:hAnsi="Calibri" w:cs="Tahoma"/>
                <w:i/>
                <w:color w:val="000000"/>
                <w:sz w:val="24"/>
                <w:szCs w:val="24"/>
                <w:lang w:eastAsia="zh-CN"/>
              </w:rPr>
              <w:t>Comments:</w:t>
            </w:r>
          </w:p>
          <w:p w14:paraId="386A505C" w14:textId="0F7B3D2A" w:rsidR="00F7650C" w:rsidRPr="00F7650C" w:rsidRDefault="00F7650C" w:rsidP="00F7650C">
            <w:pPr>
              <w:suppressAutoHyphens/>
              <w:autoSpaceDN w:val="0"/>
              <w:spacing w:before="100" w:after="100" w:line="240" w:lineRule="auto"/>
              <w:textAlignment w:val="baseline"/>
              <w:rPr>
                <w:rFonts w:ascii="Calibri" w:eastAsia="SimSun" w:hAnsi="Calibri" w:cs="Tahoma"/>
                <w:i/>
                <w:color w:val="000000"/>
                <w:sz w:val="24"/>
                <w:szCs w:val="24"/>
                <w:lang w:eastAsia="zh-CN"/>
              </w:rPr>
            </w:pPr>
            <w:r w:rsidRPr="00F7650C">
              <w:rPr>
                <w:rFonts w:ascii="Calibri" w:eastAsia="SimSun" w:hAnsi="Calibri" w:cs="Tahoma"/>
                <w:i/>
                <w:color w:val="000000"/>
                <w:sz w:val="24"/>
                <w:szCs w:val="24"/>
                <w:lang w:eastAsia="zh-CN"/>
              </w:rPr>
              <w:t>Word count: 26</w:t>
            </w:r>
            <w:r w:rsidR="00EA4B24">
              <w:rPr>
                <w:rFonts w:ascii="Calibri" w:eastAsia="SimSun" w:hAnsi="Calibri" w:cs="Tahoma"/>
                <w:i/>
                <w:color w:val="000000"/>
                <w:sz w:val="24"/>
                <w:szCs w:val="24"/>
                <w:lang w:eastAsia="zh-CN"/>
              </w:rPr>
              <w:t>50</w:t>
            </w:r>
            <w:bookmarkStart w:id="0" w:name="_GoBack"/>
            <w:bookmarkEnd w:id="0"/>
          </w:p>
          <w:p w14:paraId="61999C68" w14:textId="77777777" w:rsidR="00F7650C" w:rsidRPr="00F7650C" w:rsidRDefault="00F7650C" w:rsidP="00F7650C">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5D122A74" w14:textId="77777777" w:rsidR="00F7650C" w:rsidRPr="00F7650C" w:rsidRDefault="00F7650C" w:rsidP="00F7650C">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1CF39AD4" w14:textId="77777777" w:rsidR="00F7650C" w:rsidRPr="00F7650C" w:rsidRDefault="00F7650C" w:rsidP="00F7650C">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48878611" w14:textId="77777777" w:rsidR="00F7650C" w:rsidRPr="00F7650C" w:rsidRDefault="00F7650C" w:rsidP="00F7650C">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122F05DB" w14:textId="77777777" w:rsidR="00F7650C" w:rsidRPr="00F7650C" w:rsidRDefault="00F7650C" w:rsidP="00F7650C">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31006792" w14:textId="77777777" w:rsidR="00F7650C" w:rsidRPr="00F7650C" w:rsidRDefault="00F7650C" w:rsidP="00F7650C">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77920AAD" w14:textId="77777777" w:rsidR="00F7650C" w:rsidRPr="00F7650C" w:rsidRDefault="00F7650C" w:rsidP="00F7650C">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38B0895B" w14:textId="77777777" w:rsidR="00F7650C" w:rsidRPr="00F7650C" w:rsidRDefault="00F7650C" w:rsidP="00F7650C">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6792414C" w14:textId="77777777" w:rsidR="00F7650C" w:rsidRPr="00F7650C" w:rsidRDefault="00F7650C" w:rsidP="00F7650C">
            <w:pPr>
              <w:suppressAutoHyphens/>
              <w:autoSpaceDN w:val="0"/>
              <w:spacing w:before="100" w:after="100" w:line="240" w:lineRule="auto"/>
              <w:textAlignment w:val="baseline"/>
              <w:rPr>
                <w:rFonts w:ascii="Calibri" w:eastAsia="SimSun" w:hAnsi="Calibri" w:cs="Tahoma"/>
                <w:i/>
                <w:color w:val="000000"/>
                <w:sz w:val="24"/>
                <w:szCs w:val="24"/>
                <w:lang w:eastAsia="zh-CN"/>
              </w:rPr>
            </w:pPr>
          </w:p>
          <w:p w14:paraId="70DFE742" w14:textId="77777777" w:rsidR="00F7650C" w:rsidRPr="00F7650C" w:rsidRDefault="00F7650C" w:rsidP="00F7650C">
            <w:pPr>
              <w:suppressAutoHyphens/>
              <w:autoSpaceDN w:val="0"/>
              <w:spacing w:before="100" w:after="100" w:line="240" w:lineRule="auto"/>
              <w:textAlignment w:val="baseline"/>
              <w:rPr>
                <w:rFonts w:ascii="Calibri" w:eastAsia="SimSun" w:hAnsi="Calibri" w:cs="Tahoma"/>
                <w:i/>
                <w:color w:val="000000"/>
                <w:sz w:val="24"/>
                <w:szCs w:val="24"/>
                <w:lang w:eastAsia="zh-CN"/>
              </w:rPr>
            </w:pPr>
          </w:p>
        </w:tc>
      </w:tr>
      <w:tr w:rsidR="00F7650C" w:rsidRPr="00F7650C" w14:paraId="03903194" w14:textId="77777777" w:rsidTr="007A32F8">
        <w:trPr>
          <w:trHeight w:val="492"/>
        </w:trPr>
        <w:tc>
          <w:tcPr>
            <w:tcW w:w="676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DB3B38C" w14:textId="77777777" w:rsidR="00F7650C" w:rsidRPr="00F7650C" w:rsidRDefault="00F7650C" w:rsidP="00F7650C">
            <w:pPr>
              <w:suppressAutoHyphens/>
              <w:autoSpaceDN w:val="0"/>
              <w:spacing w:before="100" w:after="100" w:line="240" w:lineRule="auto"/>
              <w:ind w:left="142" w:right="34"/>
              <w:textAlignment w:val="baseline"/>
              <w:rPr>
                <w:rFonts w:ascii="Calibri" w:eastAsia="SimSun" w:hAnsi="Calibri" w:cs="Tahoma"/>
                <w:i/>
                <w:color w:val="000000"/>
                <w:sz w:val="24"/>
                <w:szCs w:val="24"/>
                <w:lang w:eastAsia="zh-CN"/>
              </w:rPr>
            </w:pPr>
            <w:r w:rsidRPr="00F7650C">
              <w:rPr>
                <w:rFonts w:ascii="Calibri" w:eastAsia="SimSun" w:hAnsi="Calibri" w:cs="Tahoma"/>
                <w:i/>
                <w:color w:val="000000"/>
                <w:sz w:val="24"/>
                <w:szCs w:val="24"/>
                <w:lang w:eastAsia="zh-CN"/>
              </w:rPr>
              <w:t>Marker’s signature:</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FBCA65" w14:textId="77777777" w:rsidR="00F7650C" w:rsidRPr="00F7650C" w:rsidRDefault="00F7650C" w:rsidP="00F7650C">
            <w:pPr>
              <w:suppressAutoHyphens/>
              <w:autoSpaceDN w:val="0"/>
              <w:spacing w:before="100" w:after="0" w:line="240" w:lineRule="auto"/>
              <w:ind w:left="142" w:right="34"/>
              <w:textAlignment w:val="baseline"/>
              <w:rPr>
                <w:rFonts w:ascii="Calibri" w:eastAsia="SimSun" w:hAnsi="Calibri" w:cs="Tahoma"/>
                <w:i/>
                <w:color w:val="000000"/>
                <w:sz w:val="24"/>
                <w:szCs w:val="24"/>
                <w:lang w:eastAsia="zh-CN"/>
              </w:rPr>
            </w:pPr>
            <w:r w:rsidRPr="00F7650C">
              <w:rPr>
                <w:rFonts w:ascii="Calibri" w:eastAsia="SimSun" w:hAnsi="Calibri" w:cs="Tahoma"/>
                <w:i/>
                <w:color w:val="000000"/>
                <w:sz w:val="24"/>
                <w:szCs w:val="24"/>
                <w:lang w:eastAsia="zh-CN"/>
              </w:rPr>
              <w:t>Date:</w:t>
            </w:r>
          </w:p>
        </w:tc>
      </w:tr>
      <w:tr w:rsidR="00F7650C" w:rsidRPr="00F7650C" w14:paraId="41155A99" w14:textId="77777777" w:rsidTr="007A32F8">
        <w:tc>
          <w:tcPr>
            <w:tcW w:w="8755"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DCAA6AC" w14:textId="77777777" w:rsidR="00F7650C" w:rsidRPr="00F7650C" w:rsidRDefault="00F7650C" w:rsidP="00F7650C">
            <w:pPr>
              <w:suppressAutoHyphens/>
              <w:autoSpaceDN w:val="0"/>
              <w:spacing w:after="0" w:line="240" w:lineRule="auto"/>
              <w:ind w:left="142" w:right="34"/>
              <w:textAlignment w:val="baseline"/>
              <w:rPr>
                <w:rFonts w:ascii="Calibri" w:eastAsia="SimSun" w:hAnsi="Calibri" w:cs="Tahoma"/>
                <w:i/>
                <w:color w:val="000000"/>
                <w:sz w:val="24"/>
                <w:szCs w:val="24"/>
                <w:lang w:eastAsia="zh-CN"/>
              </w:rPr>
            </w:pPr>
            <w:r w:rsidRPr="00F7650C">
              <w:rPr>
                <w:rFonts w:ascii="Calibri" w:eastAsia="SimSun" w:hAnsi="Calibri" w:cs="Tahoma"/>
                <w:i/>
                <w:color w:val="000000"/>
                <w:sz w:val="24"/>
                <w:szCs w:val="24"/>
                <w:lang w:eastAsia="zh-CN"/>
              </w:rPr>
              <w:t xml:space="preserve">Provisional mark: </w:t>
            </w:r>
          </w:p>
          <w:p w14:paraId="7268FF41" w14:textId="77777777" w:rsidR="00F7650C" w:rsidRPr="00F7650C" w:rsidRDefault="00F7650C" w:rsidP="00F7650C">
            <w:pPr>
              <w:suppressAutoHyphens/>
              <w:autoSpaceDN w:val="0"/>
              <w:spacing w:after="0" w:line="240" w:lineRule="auto"/>
              <w:ind w:left="142" w:right="34"/>
              <w:textAlignment w:val="baseline"/>
              <w:rPr>
                <w:rFonts w:ascii="Calibri" w:eastAsia="Calibri" w:hAnsi="Calibri" w:cs="Arial"/>
              </w:rPr>
            </w:pPr>
            <w:r w:rsidRPr="00F7650C">
              <w:rPr>
                <w:rFonts w:ascii="Calibri" w:eastAsia="SimSun" w:hAnsi="Calibri" w:cs="Tahoma"/>
                <w:b/>
                <w:i/>
                <w:color w:val="000000"/>
                <w:sz w:val="24"/>
                <w:szCs w:val="24"/>
                <w:lang w:eastAsia="zh-CN"/>
              </w:rPr>
              <w:t>NB.</w:t>
            </w:r>
            <w:r w:rsidRPr="00F7650C">
              <w:rPr>
                <w:rFonts w:ascii="Calibri" w:eastAsia="SimSun" w:hAnsi="Calibri" w:cs="Tahoma"/>
                <w:i/>
                <w:color w:val="000000"/>
                <w:sz w:val="24"/>
                <w:szCs w:val="24"/>
                <w:lang w:eastAsia="zh-CN"/>
              </w:rPr>
              <w:t xml:space="preserve">  All marks are provisional until confirmed by the final examination board. </w:t>
            </w:r>
          </w:p>
        </w:tc>
      </w:tr>
    </w:tbl>
    <w:p w14:paraId="6B416E54" w14:textId="77777777" w:rsidR="00F7650C" w:rsidRPr="00F7650C" w:rsidRDefault="00F7650C" w:rsidP="00F7650C">
      <w:pPr>
        <w:suppressAutoHyphens/>
        <w:autoSpaceDN w:val="0"/>
        <w:spacing w:before="960" w:line="256" w:lineRule="auto"/>
        <w:textAlignment w:val="baseline"/>
        <w:rPr>
          <w:rFonts w:ascii="Aparajita" w:eastAsia="Calibri" w:hAnsi="Aparajita" w:cs="Aparajita"/>
          <w:u w:val="single"/>
        </w:rPr>
      </w:pPr>
    </w:p>
    <w:p w14:paraId="06699597" w14:textId="17760897" w:rsidR="0019399E" w:rsidRDefault="0019399E" w:rsidP="0019399E">
      <w:pPr>
        <w:tabs>
          <w:tab w:val="left" w:pos="720"/>
        </w:tabs>
        <w:rPr>
          <w:rFonts w:ascii="Aparajita" w:hAnsi="Aparajita" w:cs="Aparajita"/>
        </w:rPr>
      </w:pPr>
    </w:p>
    <w:p w14:paraId="049BDC9A" w14:textId="77777777" w:rsidR="0019399E" w:rsidRPr="0019399E" w:rsidRDefault="0019399E" w:rsidP="0019399E">
      <w:pPr>
        <w:tabs>
          <w:tab w:val="left" w:pos="720"/>
        </w:tabs>
        <w:rPr>
          <w:rFonts w:ascii="Aparajita" w:hAnsi="Aparajita" w:cs="Aparajita"/>
          <w:u w:val="single"/>
        </w:rPr>
      </w:pPr>
    </w:p>
    <w:p w14:paraId="6A6ABAC3" w14:textId="77777777" w:rsidR="0019399E" w:rsidRPr="0019399E" w:rsidRDefault="0019399E" w:rsidP="00786725">
      <w:pPr>
        <w:tabs>
          <w:tab w:val="left" w:pos="720"/>
        </w:tabs>
        <w:jc w:val="center"/>
        <w:rPr>
          <w:rFonts w:ascii="Aparajita" w:hAnsi="Aparajita" w:cs="Aparajita"/>
          <w:u w:val="single"/>
        </w:rPr>
      </w:pPr>
    </w:p>
    <w:p w14:paraId="1B8BBB3C" w14:textId="206A6C67" w:rsidR="0019399E" w:rsidRPr="0019399E" w:rsidRDefault="00786725" w:rsidP="00F7650C">
      <w:pPr>
        <w:tabs>
          <w:tab w:val="left" w:pos="720"/>
        </w:tabs>
        <w:jc w:val="center"/>
        <w:rPr>
          <w:rFonts w:ascii="Aparajita" w:hAnsi="Aparajita" w:cs="Aparajita"/>
          <w:u w:val="single"/>
        </w:rPr>
      </w:pPr>
      <w:r>
        <w:rPr>
          <w:rFonts w:ascii="Aparajita" w:hAnsi="Aparajita" w:cs="Aparajita"/>
          <w:u w:val="single"/>
        </w:rPr>
        <w:t xml:space="preserve">Portfolio Part 1: </w:t>
      </w:r>
      <w:r w:rsidR="0019399E" w:rsidRPr="0019399E">
        <w:rPr>
          <w:rFonts w:ascii="Aparajita" w:hAnsi="Aparajita" w:cs="Aparajita"/>
          <w:u w:val="single"/>
        </w:rPr>
        <w:t xml:space="preserve">A </w:t>
      </w:r>
      <w:r>
        <w:rPr>
          <w:rFonts w:ascii="Aparajita" w:hAnsi="Aparajita" w:cs="Aparajita"/>
          <w:u w:val="single"/>
        </w:rPr>
        <w:t xml:space="preserve">Secondary </w:t>
      </w:r>
      <w:r w:rsidR="0019399E" w:rsidRPr="0019399E">
        <w:rPr>
          <w:rFonts w:ascii="Aparajita" w:hAnsi="Aparajita" w:cs="Aparajita"/>
          <w:u w:val="single"/>
        </w:rPr>
        <w:t>Source Analysis of the Book Eighteenth Century Europe by Jeremy Black</w:t>
      </w:r>
    </w:p>
    <w:p w14:paraId="5A9AB1F4" w14:textId="77777777" w:rsidR="0019399E" w:rsidRPr="0019399E" w:rsidRDefault="0019399E" w:rsidP="0019399E">
      <w:pPr>
        <w:tabs>
          <w:tab w:val="left" w:pos="720"/>
        </w:tabs>
        <w:rPr>
          <w:rFonts w:ascii="Aparajita" w:hAnsi="Aparajita" w:cs="Aparajita"/>
        </w:rPr>
      </w:pPr>
    </w:p>
    <w:p w14:paraId="7BA9D094" w14:textId="77777777" w:rsidR="0019399E" w:rsidRPr="0019399E" w:rsidRDefault="0019399E" w:rsidP="0019399E">
      <w:pPr>
        <w:tabs>
          <w:tab w:val="left" w:pos="720"/>
        </w:tabs>
        <w:rPr>
          <w:rFonts w:ascii="Aparajita" w:hAnsi="Aparajita" w:cs="Aparajita"/>
        </w:rPr>
      </w:pPr>
      <w:r w:rsidRPr="0019399E">
        <w:rPr>
          <w:rFonts w:ascii="Aparajita" w:hAnsi="Aparajita" w:cs="Aparajita"/>
        </w:rPr>
        <w:t>This source analysis will be focussed on a work by Jeremy Black. The work itself is titled Eighteenth Century Europe. It is a book that describes a generalised History of Europe in the 18</w:t>
      </w:r>
      <w:r w:rsidRPr="0019399E">
        <w:rPr>
          <w:rFonts w:ascii="Aparajita" w:hAnsi="Aparajita" w:cs="Aparajita"/>
          <w:vertAlign w:val="superscript"/>
        </w:rPr>
        <w:t>th</w:t>
      </w:r>
      <w:r w:rsidRPr="0019399E">
        <w:rPr>
          <w:rFonts w:ascii="Aparajita" w:hAnsi="Aparajita" w:cs="Aparajita"/>
        </w:rPr>
        <w:t xml:space="preserve"> Century. However, covering certain themes, Jeremy black gas made a concerted to deeply explore such themes such as general history to European Diplomacy. It is fair to say that this source is aptly suited to be used by scholars of our times. This source analysis will look at this source, the themes that it also explores but also the critique of reviewers and other historians. </w:t>
      </w:r>
    </w:p>
    <w:p w14:paraId="3CB3B008" w14:textId="77777777" w:rsidR="0019399E" w:rsidRPr="0019399E" w:rsidRDefault="0019399E" w:rsidP="0019399E">
      <w:pPr>
        <w:tabs>
          <w:tab w:val="left" w:pos="720"/>
        </w:tabs>
        <w:rPr>
          <w:rFonts w:ascii="Aparajita" w:hAnsi="Aparajita" w:cs="Aparajita"/>
        </w:rPr>
      </w:pPr>
      <w:r w:rsidRPr="0019399E">
        <w:rPr>
          <w:rFonts w:ascii="Aparajita" w:hAnsi="Aparajita" w:cs="Aparajita"/>
        </w:rPr>
        <w:t>First, we need to understand who the author is. Jeremy Black graduated from Oxford 1984 with a degree in History and then transferred over to Oxford to postgraduate study</w:t>
      </w:r>
      <w:r w:rsidRPr="0019399E">
        <w:rPr>
          <w:rFonts w:ascii="Aparajita" w:hAnsi="Aparajita" w:cs="Aparajita"/>
          <w:vertAlign w:val="superscript"/>
        </w:rPr>
        <w:footnoteReference w:id="1"/>
      </w:r>
      <w:r w:rsidRPr="0019399E">
        <w:rPr>
          <w:rFonts w:ascii="Aparajita" w:hAnsi="Aparajita" w:cs="Aparajita"/>
        </w:rPr>
        <w:t>. In 1986 was a lecturer at Durham University but transferred to Exeter where he remains at present a Lecturer of History</w:t>
      </w:r>
      <w:r w:rsidRPr="0019399E">
        <w:rPr>
          <w:rFonts w:ascii="Aparajita" w:hAnsi="Aparajita" w:cs="Aparajita"/>
          <w:vertAlign w:val="superscript"/>
        </w:rPr>
        <w:footnoteReference w:id="2"/>
      </w:r>
      <w:r w:rsidRPr="0019399E">
        <w:rPr>
          <w:rFonts w:ascii="Aparajita" w:hAnsi="Aparajita" w:cs="Aparajita"/>
        </w:rPr>
        <w:t>. According to his personnel website, Black has published over 100 works and several journal articles mostly but not exclusive to the eighteenth century</w:t>
      </w:r>
      <w:r w:rsidRPr="0019399E">
        <w:rPr>
          <w:rFonts w:ascii="Aparajita" w:hAnsi="Aparajita" w:cs="Aparajita"/>
          <w:vertAlign w:val="superscript"/>
        </w:rPr>
        <w:footnoteReference w:id="3"/>
      </w:r>
      <w:r w:rsidRPr="0019399E">
        <w:rPr>
          <w:rFonts w:ascii="Aparajita" w:hAnsi="Aparajita" w:cs="Aparajita"/>
        </w:rPr>
        <w:t>. Others centre on foreign policy but as well as war in and outside of the century of this books namesake</w:t>
      </w:r>
      <w:r w:rsidRPr="0019399E">
        <w:rPr>
          <w:rFonts w:ascii="Aparajita" w:hAnsi="Aparajita" w:cs="Aparajita"/>
          <w:vertAlign w:val="superscript"/>
        </w:rPr>
        <w:footnoteReference w:id="4"/>
      </w:r>
      <w:r w:rsidRPr="0019399E">
        <w:rPr>
          <w:rFonts w:ascii="Aparajita" w:hAnsi="Aparajita" w:cs="Aparajita"/>
        </w:rPr>
        <w:t>. In a review of one of his books, Stephen Conway described his output of academic material impressive</w:t>
      </w:r>
      <w:r w:rsidRPr="0019399E">
        <w:rPr>
          <w:rFonts w:ascii="Aparajita" w:hAnsi="Aparajita" w:cs="Aparajita"/>
          <w:vertAlign w:val="superscript"/>
        </w:rPr>
        <w:footnoteReference w:id="5"/>
      </w:r>
      <w:r w:rsidRPr="0019399E">
        <w:rPr>
          <w:rFonts w:ascii="Aparajita" w:hAnsi="Aparajita" w:cs="Aparajita"/>
        </w:rPr>
        <w:t>. He goes as far to say that he has published more works than the years that he has been alive, more than what some historians write in their lifetime which is justification enough for his reputation</w:t>
      </w:r>
      <w:r w:rsidRPr="0019399E">
        <w:rPr>
          <w:rFonts w:ascii="Aparajita" w:hAnsi="Aparajita" w:cs="Aparajita"/>
          <w:vertAlign w:val="superscript"/>
        </w:rPr>
        <w:footnoteReference w:id="6"/>
      </w:r>
      <w:r w:rsidRPr="0019399E">
        <w:rPr>
          <w:rFonts w:ascii="Aparajita" w:hAnsi="Aparajita" w:cs="Aparajita"/>
        </w:rPr>
        <w:t>. Black had indeed won several accolades including the Samuel Elliot Prize for Military History form the International Military History society in 2008</w:t>
      </w:r>
      <w:r w:rsidRPr="0019399E">
        <w:rPr>
          <w:rFonts w:ascii="Aparajita" w:hAnsi="Aparajita" w:cs="Aparajita"/>
          <w:vertAlign w:val="superscript"/>
        </w:rPr>
        <w:footnoteReference w:id="7"/>
      </w:r>
      <w:r w:rsidRPr="0019399E">
        <w:rPr>
          <w:rFonts w:ascii="Aparajita" w:hAnsi="Aparajita" w:cs="Aparajita"/>
        </w:rPr>
        <w:t xml:space="preserve">.   </w:t>
      </w:r>
    </w:p>
    <w:p w14:paraId="5474FCE5" w14:textId="77777777" w:rsidR="0019399E" w:rsidRPr="0019399E" w:rsidRDefault="0019399E" w:rsidP="0019399E">
      <w:pPr>
        <w:tabs>
          <w:tab w:val="left" w:pos="720"/>
        </w:tabs>
        <w:rPr>
          <w:rFonts w:ascii="Aparajita" w:hAnsi="Aparajita" w:cs="Aparajita"/>
        </w:rPr>
      </w:pPr>
      <w:r w:rsidRPr="0019399E">
        <w:rPr>
          <w:rFonts w:ascii="Aparajita" w:hAnsi="Aparajita" w:cs="Aparajita"/>
        </w:rPr>
        <w:t>His long list of publications has had an impact on his works including this one in terms of the style of its presentation. His presentation in Eighteenth Century Europe is not chronologically ordered. Rather it is ordered into themes, which within themselves to form a chronology form the start to the finish of the century. His first chapter is named A Hostile Environment</w:t>
      </w:r>
      <w:r w:rsidRPr="0019399E">
        <w:rPr>
          <w:rFonts w:ascii="Aparajita" w:hAnsi="Aparajita" w:cs="Aparajita"/>
          <w:vertAlign w:val="superscript"/>
        </w:rPr>
        <w:footnoteReference w:id="8"/>
      </w:r>
      <w:r w:rsidRPr="0019399E">
        <w:rPr>
          <w:rFonts w:ascii="Aparajita" w:hAnsi="Aparajita" w:cs="Aparajita"/>
        </w:rPr>
        <w:t>. Within it describes the falling population rates, the constant fear of disease out of poverty and starvation</w:t>
      </w:r>
      <w:r w:rsidRPr="0019399E">
        <w:rPr>
          <w:rFonts w:ascii="Aparajita" w:hAnsi="Aparajita" w:cs="Aparajita"/>
          <w:vertAlign w:val="superscript"/>
        </w:rPr>
        <w:footnoteReference w:id="9"/>
      </w:r>
      <w:r w:rsidRPr="0019399E">
        <w:rPr>
          <w:rFonts w:ascii="Aparajita" w:hAnsi="Aparajita" w:cs="Aparajita"/>
        </w:rPr>
        <w:t>. But also includes certain elements that the ordinary person forgets about. The typhoid, the smallpox, the famine and of all things medieval the plague</w:t>
      </w:r>
      <w:r w:rsidRPr="0019399E">
        <w:rPr>
          <w:rFonts w:ascii="Aparajita" w:hAnsi="Aparajita" w:cs="Aparajita"/>
          <w:vertAlign w:val="superscript"/>
        </w:rPr>
        <w:footnoteReference w:id="10"/>
      </w:r>
      <w:r w:rsidRPr="0019399E">
        <w:rPr>
          <w:rFonts w:ascii="Aparajita" w:hAnsi="Aparajita" w:cs="Aparajita"/>
        </w:rPr>
        <w:t xml:space="preserve">.  The point he tries to achieve is that before you talk of history you must understand the world of the time. Without context of what it was like, it is impossible to understand anything within history. He is deliberately setting the stage so that once the reader understands how difficult it was then they understand certain actions and events that pervaded the century. This source analysis is in context to the enlightenment, certain must have the basic understanding if they are to be understood. </w:t>
      </w:r>
    </w:p>
    <w:p w14:paraId="2716BCCD" w14:textId="77777777" w:rsidR="0019399E" w:rsidRPr="0019399E" w:rsidRDefault="0019399E" w:rsidP="0019399E">
      <w:pPr>
        <w:tabs>
          <w:tab w:val="left" w:pos="720"/>
        </w:tabs>
        <w:rPr>
          <w:rFonts w:ascii="Aparajita" w:hAnsi="Aparajita" w:cs="Aparajita"/>
        </w:rPr>
      </w:pPr>
      <w:r w:rsidRPr="0019399E">
        <w:rPr>
          <w:rFonts w:ascii="Aparajita" w:hAnsi="Aparajita" w:cs="Aparajita"/>
        </w:rPr>
        <w:t xml:space="preserve">The next chapters </w:t>
      </w:r>
      <w:r w:rsidRPr="0019399E">
        <w:rPr>
          <w:rFonts w:ascii="Aparajita" w:hAnsi="Aparajita" w:cs="Aparajita"/>
          <w:i/>
        </w:rPr>
        <w:t xml:space="preserve">Economic Framework </w:t>
      </w:r>
      <w:r w:rsidRPr="0019399E">
        <w:rPr>
          <w:rFonts w:ascii="Aparajita" w:hAnsi="Aparajita" w:cs="Aparajita"/>
        </w:rPr>
        <w:t xml:space="preserve">and </w:t>
      </w:r>
      <w:r w:rsidRPr="0019399E">
        <w:rPr>
          <w:rFonts w:ascii="Aparajita" w:hAnsi="Aparajita" w:cs="Aparajita"/>
          <w:i/>
        </w:rPr>
        <w:t xml:space="preserve">The Economic Framework </w:t>
      </w:r>
      <w:r w:rsidRPr="0019399E">
        <w:rPr>
          <w:rFonts w:ascii="Aparajita" w:hAnsi="Aparajita" w:cs="Aparajita"/>
        </w:rPr>
        <w:t xml:space="preserve">and </w:t>
      </w:r>
      <w:r w:rsidRPr="0019399E">
        <w:rPr>
          <w:rFonts w:ascii="Aparajita" w:hAnsi="Aparajita" w:cs="Aparajita"/>
          <w:i/>
        </w:rPr>
        <w:t>Wheels of Commerce</w:t>
      </w:r>
      <w:r w:rsidRPr="0019399E">
        <w:rPr>
          <w:rFonts w:ascii="Aparajita" w:hAnsi="Aparajita" w:cs="Aparajita"/>
        </w:rPr>
        <w:t xml:space="preserve"> do the same thing as </w:t>
      </w:r>
      <w:r w:rsidRPr="0019399E">
        <w:rPr>
          <w:rFonts w:ascii="Aparajita" w:hAnsi="Aparajita" w:cs="Aparajita"/>
          <w:i/>
        </w:rPr>
        <w:t>A Hostile Environment</w:t>
      </w:r>
      <w:r w:rsidRPr="0019399E">
        <w:rPr>
          <w:rFonts w:ascii="Aparajita" w:hAnsi="Aparajita" w:cs="Aparajita"/>
          <w:i/>
          <w:vertAlign w:val="superscript"/>
        </w:rPr>
        <w:footnoteReference w:id="11"/>
      </w:r>
      <w:r w:rsidRPr="0019399E">
        <w:rPr>
          <w:rFonts w:ascii="Aparajita" w:hAnsi="Aparajita" w:cs="Aparajita"/>
          <w:i/>
        </w:rPr>
        <w:t xml:space="preserve">. </w:t>
      </w:r>
      <w:r w:rsidRPr="0019399E">
        <w:rPr>
          <w:rFonts w:ascii="Aparajita" w:hAnsi="Aparajita" w:cs="Aparajita"/>
        </w:rPr>
        <w:t>They act as the building blocks for the economy. First you hear the voices of the people and the environment they faced</w:t>
      </w:r>
      <w:r w:rsidRPr="0019399E">
        <w:rPr>
          <w:rFonts w:ascii="Aparajita" w:hAnsi="Aparajita" w:cs="Aparajita"/>
          <w:vertAlign w:val="superscript"/>
        </w:rPr>
        <w:footnoteReference w:id="12"/>
      </w:r>
      <w:r w:rsidRPr="0019399E">
        <w:rPr>
          <w:rFonts w:ascii="Aparajita" w:hAnsi="Aparajita" w:cs="Aparajita"/>
        </w:rPr>
        <w:t>. And now you hear of the methods of economics that are employed by the various nations of eighteenth-century Europe</w:t>
      </w:r>
      <w:r w:rsidRPr="0019399E">
        <w:rPr>
          <w:rFonts w:ascii="Aparajita" w:hAnsi="Aparajita" w:cs="Aparajita"/>
          <w:vertAlign w:val="superscript"/>
        </w:rPr>
        <w:footnoteReference w:id="13"/>
      </w:r>
      <w:r w:rsidRPr="0019399E">
        <w:rPr>
          <w:rFonts w:ascii="Aparajita" w:hAnsi="Aparajita" w:cs="Aparajita"/>
        </w:rPr>
        <w:t xml:space="preserve">. Black addresses the transference of economic power from the land to urban centres in western </w:t>
      </w:r>
      <w:r w:rsidRPr="0019399E">
        <w:rPr>
          <w:rFonts w:ascii="Aparajita" w:hAnsi="Aparajita" w:cs="Aparajita"/>
        </w:rPr>
        <w:lastRenderedPageBreak/>
        <w:t>Europe, compared to subsistence living in Italy and the European provinces of the Ottoman Empire</w:t>
      </w:r>
      <w:r w:rsidRPr="0019399E">
        <w:rPr>
          <w:rFonts w:ascii="Aparajita" w:hAnsi="Aparajita" w:cs="Aparajita"/>
          <w:vertAlign w:val="superscript"/>
        </w:rPr>
        <w:footnoteReference w:id="14"/>
      </w:r>
      <w:r w:rsidRPr="0019399E">
        <w:rPr>
          <w:rFonts w:ascii="Aparajita" w:hAnsi="Aparajita" w:cs="Aparajita"/>
        </w:rPr>
        <w:t>. The author appears to be building the building blocks of the social fabric of Europe. First talking of the people and now their economic interests. Michael Sonenscher argues that an epoch if the Eighteenth Century was the development or at least the start of a market economy</w:t>
      </w:r>
      <w:r w:rsidRPr="0019399E">
        <w:rPr>
          <w:rFonts w:ascii="Aparajita" w:hAnsi="Aparajita" w:cs="Aparajita"/>
          <w:vertAlign w:val="superscript"/>
        </w:rPr>
        <w:footnoteReference w:id="15"/>
      </w:r>
      <w:r w:rsidRPr="0019399E">
        <w:rPr>
          <w:rFonts w:ascii="Aparajita" w:hAnsi="Aparajita" w:cs="Aparajita"/>
        </w:rPr>
        <w:t>. He highlights that it is economic policies that were the source of many great political upheavals during the century. He directs attention the disastrous state of French finances prior to 1789 which in part caused the French Revolution, in other economics is part of social upheaval</w:t>
      </w:r>
      <w:r w:rsidRPr="0019399E">
        <w:rPr>
          <w:rFonts w:ascii="Aparajita" w:hAnsi="Aparajita" w:cs="Aparajita"/>
          <w:vertAlign w:val="superscript"/>
        </w:rPr>
        <w:footnoteReference w:id="16"/>
      </w:r>
      <w:r w:rsidRPr="0019399E">
        <w:rPr>
          <w:rFonts w:ascii="Aparajita" w:hAnsi="Aparajita" w:cs="Aparajita"/>
        </w:rPr>
        <w:t xml:space="preserve">. It is almost this book is a written as a social history rather than just plain history due to its focus on people, not events. </w:t>
      </w:r>
    </w:p>
    <w:p w14:paraId="2E55D59F" w14:textId="77777777" w:rsidR="0019399E" w:rsidRPr="0019399E" w:rsidRDefault="0019399E" w:rsidP="0019399E">
      <w:pPr>
        <w:tabs>
          <w:tab w:val="left" w:pos="720"/>
        </w:tabs>
        <w:rPr>
          <w:rFonts w:ascii="Aparajita" w:hAnsi="Aparajita" w:cs="Aparajita"/>
        </w:rPr>
      </w:pPr>
      <w:r w:rsidRPr="0019399E">
        <w:rPr>
          <w:rFonts w:ascii="Aparajita" w:hAnsi="Aparajita" w:cs="Aparajita"/>
        </w:rPr>
        <w:t>This is Blacks intent, it is his intention to analyse and critique Europe from different thematic points of view</w:t>
      </w:r>
      <w:r w:rsidRPr="0019399E">
        <w:rPr>
          <w:rFonts w:ascii="Aparajita" w:hAnsi="Aparajita" w:cs="Aparajita"/>
          <w:vertAlign w:val="superscript"/>
        </w:rPr>
        <w:footnoteReference w:id="17"/>
      </w:r>
      <w:r w:rsidRPr="0019399E">
        <w:rPr>
          <w:rFonts w:ascii="Aparajita" w:hAnsi="Aparajita" w:cs="Aparajita"/>
        </w:rPr>
        <w:t>. The strategy is to build a picture based on building blocks but also being analytical on a concept</w:t>
      </w:r>
      <w:r w:rsidRPr="0019399E">
        <w:rPr>
          <w:rFonts w:ascii="Aparajita" w:hAnsi="Aparajita" w:cs="Aparajita"/>
          <w:vertAlign w:val="superscript"/>
        </w:rPr>
        <w:footnoteReference w:id="18"/>
      </w:r>
      <w:r w:rsidRPr="0019399E">
        <w:rPr>
          <w:rFonts w:ascii="Aparajita" w:hAnsi="Aparajita" w:cs="Aparajita"/>
        </w:rPr>
        <w:t>. Black in his discourse on the economy relies on facts from Chapter 1 to contextualise the economic situation in different countries; he uses topics such as famine and disease to explain certain economic hardship, why during the Seven Years War the population of Saxony was reduced to 1.6 million from 2 million due to starvation from the looting tactics of the Prussian Army</w:t>
      </w:r>
      <w:r w:rsidRPr="0019399E">
        <w:rPr>
          <w:rFonts w:ascii="Aparajita" w:hAnsi="Aparajita" w:cs="Aparajita"/>
          <w:vertAlign w:val="superscript"/>
        </w:rPr>
        <w:footnoteReference w:id="19"/>
      </w:r>
      <w:r w:rsidRPr="0019399E">
        <w:rPr>
          <w:rFonts w:ascii="Aparajita" w:hAnsi="Aparajita" w:cs="Aparajita"/>
        </w:rPr>
        <w:t>. This loss of life in such quick succession had an irreversible effect on the Saxon Economy for years to come</w:t>
      </w:r>
      <w:r w:rsidRPr="0019399E">
        <w:rPr>
          <w:rFonts w:ascii="Aparajita" w:hAnsi="Aparajita" w:cs="Aparajita"/>
          <w:vertAlign w:val="superscript"/>
        </w:rPr>
        <w:footnoteReference w:id="20"/>
      </w:r>
      <w:r w:rsidRPr="0019399E">
        <w:rPr>
          <w:rFonts w:ascii="Aparajita" w:hAnsi="Aparajita" w:cs="Aparajita"/>
        </w:rPr>
        <w:t>. It is these facts that humanise history and allows understanding of a situation within other issues and the lot of the common people. Returning to Sonenscher, he uses this strategy whilst investigating the Jean – Coulotte, that to most people it is a piece of clothing</w:t>
      </w:r>
      <w:r w:rsidRPr="0019399E">
        <w:rPr>
          <w:rFonts w:ascii="Aparajita" w:hAnsi="Aparajita" w:cs="Aparajita"/>
          <w:vertAlign w:val="superscript"/>
        </w:rPr>
        <w:footnoteReference w:id="21"/>
      </w:r>
      <w:r w:rsidRPr="0019399E">
        <w:rPr>
          <w:rFonts w:ascii="Aparajita" w:hAnsi="Aparajita" w:cs="Aparajita"/>
        </w:rPr>
        <w:t>. Yet as historians have come to understand, it is now viewed as the symbol of the exploited and downtrodden French people</w:t>
      </w:r>
      <w:r w:rsidRPr="0019399E">
        <w:rPr>
          <w:rFonts w:ascii="Aparajita" w:hAnsi="Aparajita" w:cs="Aparajita"/>
          <w:vertAlign w:val="superscript"/>
        </w:rPr>
        <w:footnoteReference w:id="22"/>
      </w:r>
      <w:r w:rsidRPr="0019399E">
        <w:rPr>
          <w:rFonts w:ascii="Aparajita" w:hAnsi="Aparajita" w:cs="Aparajita"/>
        </w:rPr>
        <w:t xml:space="preserve">. Conway establishes this shift in thought is in part to thematic thinking; that Historians have ascribed other themes to the same subject, so it has </w:t>
      </w:r>
      <w:proofErr w:type="spellStart"/>
      <w:r w:rsidRPr="0019399E">
        <w:rPr>
          <w:rFonts w:ascii="Aparajita" w:hAnsi="Aparajita" w:cs="Aparajita"/>
        </w:rPr>
        <w:t>com</w:t>
      </w:r>
      <w:proofErr w:type="spellEnd"/>
      <w:r w:rsidRPr="0019399E">
        <w:rPr>
          <w:rFonts w:ascii="Aparajita" w:hAnsi="Aparajita" w:cs="Aparajita"/>
        </w:rPr>
        <w:t xml:space="preserve"> to represent something else</w:t>
      </w:r>
      <w:r w:rsidRPr="0019399E">
        <w:rPr>
          <w:rFonts w:ascii="Aparajita" w:hAnsi="Aparajita" w:cs="Aparajita"/>
          <w:vertAlign w:val="superscript"/>
        </w:rPr>
        <w:footnoteReference w:id="23"/>
      </w:r>
      <w:r w:rsidRPr="0019399E">
        <w:rPr>
          <w:rFonts w:ascii="Aparajita" w:hAnsi="Aparajita" w:cs="Aparajita"/>
        </w:rPr>
        <w:t xml:space="preserve">.  </w:t>
      </w:r>
    </w:p>
    <w:p w14:paraId="2DF103BD" w14:textId="77777777" w:rsidR="0019399E" w:rsidRPr="0019399E" w:rsidRDefault="0019399E" w:rsidP="0019399E">
      <w:pPr>
        <w:tabs>
          <w:tab w:val="left" w:pos="720"/>
        </w:tabs>
        <w:rPr>
          <w:rFonts w:ascii="Aparajita" w:hAnsi="Aparajita" w:cs="Aparajita"/>
        </w:rPr>
      </w:pPr>
      <w:r w:rsidRPr="0019399E">
        <w:rPr>
          <w:rFonts w:ascii="Aparajita" w:hAnsi="Aparajita" w:cs="Aparajita"/>
        </w:rPr>
        <w:t>The book very much represents the change in society that the Eighteenth Century brought to Europe, one of the core elements of the Enlightenment. Yet the work rarely focusses on the issue, rather it skirts around it. In the Chapter on Government even though touches on Enlightenment, he does not explore it</w:t>
      </w:r>
      <w:r w:rsidRPr="0019399E">
        <w:rPr>
          <w:rFonts w:ascii="Aparajita" w:hAnsi="Aparajita" w:cs="Aparajita"/>
          <w:vertAlign w:val="superscript"/>
        </w:rPr>
        <w:footnoteReference w:id="24"/>
      </w:r>
      <w:r w:rsidRPr="0019399E">
        <w:rPr>
          <w:rFonts w:ascii="Aparajita" w:hAnsi="Aparajita" w:cs="Aparajita"/>
        </w:rPr>
        <w:t>. Frederick the Great is used as an example of enlightened despotism, an all-powerful ruler who rules like and enlightened monarch</w:t>
      </w:r>
      <w:r w:rsidRPr="0019399E">
        <w:rPr>
          <w:rFonts w:ascii="Aparajita" w:hAnsi="Aparajita" w:cs="Aparajita"/>
          <w:vertAlign w:val="superscript"/>
        </w:rPr>
        <w:footnoteReference w:id="25"/>
      </w:r>
      <w:r w:rsidRPr="0019399E">
        <w:rPr>
          <w:rFonts w:ascii="Aparajita" w:hAnsi="Aparajita" w:cs="Aparajita"/>
        </w:rPr>
        <w:t>. Yet he does not specifically mention his discourses with Voltaire nor the opinions of Diderot, the great French Philosophe</w:t>
      </w:r>
      <w:r w:rsidRPr="0019399E">
        <w:rPr>
          <w:rFonts w:ascii="Aparajita" w:hAnsi="Aparajita" w:cs="Aparajita"/>
          <w:vertAlign w:val="superscript"/>
        </w:rPr>
        <w:footnoteReference w:id="26"/>
      </w:r>
      <w:r w:rsidRPr="0019399E">
        <w:rPr>
          <w:rFonts w:ascii="Aparajita" w:hAnsi="Aparajita" w:cs="Aparajita"/>
        </w:rPr>
        <w:t>. Rather like with his discussion on the state of Europe and the economy he applies a pan European view</w:t>
      </w:r>
      <w:r w:rsidRPr="0019399E">
        <w:rPr>
          <w:rFonts w:ascii="Aparajita" w:hAnsi="Aparajita" w:cs="Aparajita"/>
          <w:vertAlign w:val="superscript"/>
        </w:rPr>
        <w:footnoteReference w:id="27"/>
      </w:r>
      <w:r w:rsidRPr="0019399E">
        <w:rPr>
          <w:rFonts w:ascii="Aparajita" w:hAnsi="Aparajita" w:cs="Aparajita"/>
        </w:rPr>
        <w:t xml:space="preserve">. All conclusions and thoughts are tied Europe, not a country. The discourse starts and ends with Europe. The function of the source is to enrich the readers mind of the social history of Europe not the enlightenment. </w:t>
      </w:r>
    </w:p>
    <w:p w14:paraId="12292E5F" w14:textId="77777777" w:rsidR="0019399E" w:rsidRPr="0019399E" w:rsidRDefault="0019399E" w:rsidP="0019399E">
      <w:pPr>
        <w:tabs>
          <w:tab w:val="left" w:pos="720"/>
        </w:tabs>
        <w:rPr>
          <w:rFonts w:ascii="Aparajita" w:hAnsi="Aparajita" w:cs="Aparajita"/>
        </w:rPr>
      </w:pPr>
      <w:r w:rsidRPr="0019399E">
        <w:rPr>
          <w:rFonts w:ascii="Aparajita" w:hAnsi="Aparajita" w:cs="Aparajita"/>
        </w:rPr>
        <w:t xml:space="preserve">It is fair to say that </w:t>
      </w:r>
      <w:r w:rsidRPr="0019399E">
        <w:rPr>
          <w:rFonts w:ascii="Aparajita" w:hAnsi="Aparajita" w:cs="Aparajita"/>
          <w:i/>
        </w:rPr>
        <w:t>Europe in the Eighteenth Century</w:t>
      </w:r>
      <w:r w:rsidRPr="0019399E">
        <w:rPr>
          <w:rFonts w:ascii="Aparajita" w:hAnsi="Aparajita" w:cs="Aparajita"/>
        </w:rPr>
        <w:t xml:space="preserve"> is piece of literature that not only informs the reader about and times of the people of Europe during this century but also the social change that occurred. It builds the story chapter by chapter, a realistic and impressionable opinion that is the world of the Eighteenth Century. Its pan European viewpoint may not provide in-depth knowledge on specific nations, but it is so bad that we learn of how events shaped the continent than our own island?  It does touch on Enlightenment themes but does not go into great depths. This is a discourse of a social history, not of politics </w:t>
      </w:r>
      <w:r w:rsidRPr="0019399E">
        <w:rPr>
          <w:rFonts w:ascii="Aparajita" w:hAnsi="Aparajita" w:cs="Aparajita"/>
        </w:rPr>
        <w:lastRenderedPageBreak/>
        <w:t xml:space="preserve">or philosophy. Black has set out not to preach ideals but history as fact rather than based on ideology that is promoted by the Enlightenment. It is about people, society and an ever-transforming century in History.  Nothing more, nothing less.   </w:t>
      </w:r>
    </w:p>
    <w:p w14:paraId="50E4BBA4" w14:textId="77777777" w:rsidR="0019399E" w:rsidRPr="0019399E" w:rsidRDefault="0019399E" w:rsidP="0019399E">
      <w:pPr>
        <w:tabs>
          <w:tab w:val="left" w:pos="720"/>
        </w:tabs>
        <w:rPr>
          <w:rFonts w:ascii="Aparajita" w:hAnsi="Aparajita" w:cs="Aparajita"/>
          <w:u w:val="single"/>
        </w:rPr>
      </w:pPr>
      <w:r w:rsidRPr="0019399E">
        <w:rPr>
          <w:rFonts w:ascii="Aparajita" w:hAnsi="Aparajita" w:cs="Aparajita"/>
          <w:u w:val="single"/>
        </w:rPr>
        <w:t xml:space="preserve">Bibliography </w:t>
      </w:r>
    </w:p>
    <w:p w14:paraId="71FF6734" w14:textId="77777777" w:rsidR="0019399E" w:rsidRPr="0019399E" w:rsidRDefault="0019399E" w:rsidP="0019399E">
      <w:pPr>
        <w:tabs>
          <w:tab w:val="left" w:pos="720"/>
        </w:tabs>
        <w:rPr>
          <w:rFonts w:ascii="Aparajita" w:hAnsi="Aparajita" w:cs="Aparajita"/>
        </w:rPr>
      </w:pPr>
      <w:r w:rsidRPr="0019399E">
        <w:rPr>
          <w:rFonts w:ascii="Aparajita" w:hAnsi="Aparajita" w:cs="Aparajita"/>
        </w:rPr>
        <w:t xml:space="preserve">Black, J., ‘About’, Jeremy Black.com, (2018), [online]. Available at </w:t>
      </w:r>
      <w:proofErr w:type="gramStart"/>
      <w:r w:rsidRPr="0019399E">
        <w:rPr>
          <w:rFonts w:ascii="Aparajita" w:hAnsi="Aparajita" w:cs="Aparajita"/>
        </w:rPr>
        <w:t>https://jeremyblackhistorian.wordpress.com/about/  (</w:t>
      </w:r>
      <w:proofErr w:type="gramEnd"/>
      <w:r w:rsidRPr="0019399E">
        <w:rPr>
          <w:rFonts w:ascii="Aparajita" w:hAnsi="Aparajita" w:cs="Aparajita"/>
        </w:rPr>
        <w:t>accessed: 15th October 2018)</w:t>
      </w:r>
    </w:p>
    <w:p w14:paraId="6E2733EB" w14:textId="5881B0F7" w:rsidR="0019399E" w:rsidRPr="0019399E" w:rsidRDefault="0019399E" w:rsidP="0019399E">
      <w:pPr>
        <w:tabs>
          <w:tab w:val="left" w:pos="720"/>
        </w:tabs>
        <w:rPr>
          <w:rFonts w:ascii="Aparajita" w:hAnsi="Aparajita" w:cs="Aparajita"/>
        </w:rPr>
      </w:pPr>
      <w:r w:rsidRPr="0019399E">
        <w:rPr>
          <w:rFonts w:ascii="Aparajita" w:hAnsi="Aparajita" w:cs="Aparajita"/>
        </w:rPr>
        <w:t xml:space="preserve">Black. J, </w:t>
      </w:r>
      <w:r w:rsidRPr="0019399E">
        <w:rPr>
          <w:rFonts w:ascii="Aparajita" w:hAnsi="Aparajita" w:cs="Aparajita"/>
          <w:i/>
        </w:rPr>
        <w:t>Europe in the Eighteenth Century,</w:t>
      </w:r>
      <w:r w:rsidRPr="0019399E">
        <w:rPr>
          <w:rFonts w:ascii="Aparajita" w:hAnsi="Aparajita" w:cs="Aparajita"/>
        </w:rPr>
        <w:t xml:space="preserve"> (Basingstoke: Macmillan History of Europe, 1990)</w:t>
      </w:r>
    </w:p>
    <w:p w14:paraId="70FFAC4A" w14:textId="77777777" w:rsidR="0019399E" w:rsidRPr="0019399E" w:rsidRDefault="0019399E" w:rsidP="0019399E">
      <w:pPr>
        <w:tabs>
          <w:tab w:val="left" w:pos="720"/>
        </w:tabs>
        <w:rPr>
          <w:rFonts w:ascii="Aparajita" w:hAnsi="Aparajita" w:cs="Aparajita"/>
        </w:rPr>
      </w:pPr>
      <w:r w:rsidRPr="0019399E">
        <w:rPr>
          <w:rFonts w:ascii="Aparajita" w:hAnsi="Aparajita" w:cs="Aparajita"/>
        </w:rPr>
        <w:t xml:space="preserve">Conway. S., ‘Reviewed Work(s): Parliament and Foreign Policy in the Eighteenth Century Jeremy Black’, </w:t>
      </w:r>
      <w:r w:rsidRPr="0019399E">
        <w:rPr>
          <w:rFonts w:ascii="Aparajita" w:hAnsi="Aparajita" w:cs="Aparajita"/>
          <w:i/>
        </w:rPr>
        <w:t>The American Historical Review, Vol. 110, No. 1 (2005</w:t>
      </w:r>
      <w:r w:rsidRPr="0019399E">
        <w:rPr>
          <w:rFonts w:ascii="Aparajita" w:hAnsi="Aparajita" w:cs="Aparajita"/>
        </w:rPr>
        <w:t xml:space="preserve">) </w:t>
      </w:r>
    </w:p>
    <w:p w14:paraId="1B817EB5" w14:textId="77777777" w:rsidR="0019399E" w:rsidRPr="0019399E" w:rsidRDefault="0019399E" w:rsidP="0019399E">
      <w:pPr>
        <w:tabs>
          <w:tab w:val="left" w:pos="720"/>
        </w:tabs>
        <w:rPr>
          <w:rFonts w:ascii="Aparajita" w:hAnsi="Aparajita" w:cs="Aparajita"/>
        </w:rPr>
      </w:pPr>
      <w:r w:rsidRPr="0019399E">
        <w:rPr>
          <w:rFonts w:ascii="Aparajita" w:hAnsi="Aparajita" w:cs="Aparajita"/>
        </w:rPr>
        <w:t>J. Keegan</w:t>
      </w:r>
      <w:r w:rsidRPr="0019399E">
        <w:rPr>
          <w:rFonts w:ascii="Aparajita" w:hAnsi="Aparajita" w:cs="Aparajita"/>
          <w:i/>
        </w:rPr>
        <w:t>, Mask of Command</w:t>
      </w:r>
      <w:r w:rsidRPr="0019399E">
        <w:rPr>
          <w:rFonts w:ascii="Aparajita" w:hAnsi="Aparajita" w:cs="Aparajita"/>
        </w:rPr>
        <w:t>, (London: Pimlico, 2004)</w:t>
      </w:r>
    </w:p>
    <w:p w14:paraId="51E6A7EA" w14:textId="77777777" w:rsidR="0019399E" w:rsidRPr="0019399E" w:rsidRDefault="0019399E" w:rsidP="0019399E">
      <w:pPr>
        <w:tabs>
          <w:tab w:val="left" w:pos="720"/>
        </w:tabs>
        <w:rPr>
          <w:rFonts w:ascii="Aparajita" w:hAnsi="Aparajita" w:cs="Aparajita"/>
        </w:rPr>
      </w:pPr>
      <w:r w:rsidRPr="0019399E">
        <w:rPr>
          <w:rFonts w:ascii="Aparajita" w:hAnsi="Aparajita" w:cs="Aparajita"/>
        </w:rPr>
        <w:t>Sonenscher. M., Sans-Culottes: An Eighteenth-Century Emblem in the French Revolution, (Princeton: Princeton University Press, 2001)</w:t>
      </w:r>
    </w:p>
    <w:p w14:paraId="18C4A4C3" w14:textId="77777777" w:rsidR="0019399E" w:rsidRPr="0019399E" w:rsidRDefault="0019399E" w:rsidP="0019399E">
      <w:pPr>
        <w:tabs>
          <w:tab w:val="left" w:pos="720"/>
        </w:tabs>
        <w:rPr>
          <w:rFonts w:ascii="Aparajita" w:hAnsi="Aparajita" w:cs="Aparajita"/>
        </w:rPr>
      </w:pPr>
      <w:proofErr w:type="spellStart"/>
      <w:r w:rsidRPr="0019399E">
        <w:rPr>
          <w:rFonts w:ascii="Aparajita" w:hAnsi="Aparajita" w:cs="Aparajita"/>
        </w:rPr>
        <w:t>Stuchtey</w:t>
      </w:r>
      <w:proofErr w:type="spellEnd"/>
      <w:r w:rsidRPr="0019399E">
        <w:rPr>
          <w:rFonts w:ascii="Aparajita" w:hAnsi="Aparajita" w:cs="Aparajita"/>
        </w:rPr>
        <w:t xml:space="preserve">, B., ‘Reviewed Work(s): America or Europe? British Foreign Policy, 1739-63 by Jeremy Black’, </w:t>
      </w:r>
      <w:proofErr w:type="spellStart"/>
      <w:r w:rsidRPr="0019399E">
        <w:rPr>
          <w:rFonts w:ascii="Aparajita" w:hAnsi="Aparajita" w:cs="Aparajita"/>
          <w:i/>
        </w:rPr>
        <w:t>Historische</w:t>
      </w:r>
      <w:proofErr w:type="spellEnd"/>
      <w:r w:rsidRPr="0019399E">
        <w:rPr>
          <w:rFonts w:ascii="Aparajita" w:hAnsi="Aparajita" w:cs="Aparajita"/>
          <w:i/>
        </w:rPr>
        <w:t xml:space="preserve"> </w:t>
      </w:r>
      <w:proofErr w:type="spellStart"/>
      <w:r w:rsidRPr="0019399E">
        <w:rPr>
          <w:rFonts w:ascii="Aparajita" w:hAnsi="Aparajita" w:cs="Aparajita"/>
          <w:i/>
        </w:rPr>
        <w:t>Zeitschrift</w:t>
      </w:r>
      <w:proofErr w:type="spellEnd"/>
      <w:r w:rsidRPr="0019399E">
        <w:rPr>
          <w:rFonts w:ascii="Aparajita" w:hAnsi="Aparajita" w:cs="Aparajita"/>
          <w:i/>
        </w:rPr>
        <w:t>, Bd. 269, H. 2 (1999</w:t>
      </w:r>
      <w:r w:rsidRPr="0019399E">
        <w:rPr>
          <w:rFonts w:ascii="Aparajita" w:hAnsi="Aparajita" w:cs="Aparajita"/>
        </w:rPr>
        <w:t xml:space="preserve">)  </w:t>
      </w:r>
    </w:p>
    <w:p w14:paraId="263442C7" w14:textId="77777777" w:rsidR="0019399E" w:rsidRDefault="0019399E" w:rsidP="0019399E">
      <w:pPr>
        <w:tabs>
          <w:tab w:val="left" w:pos="720"/>
        </w:tabs>
        <w:rPr>
          <w:rFonts w:ascii="Aparajita" w:hAnsi="Aparajita" w:cs="Aparajita"/>
          <w:u w:val="single"/>
        </w:rPr>
      </w:pPr>
    </w:p>
    <w:p w14:paraId="5D1466A0" w14:textId="77777777" w:rsidR="0019399E" w:rsidRDefault="0019399E" w:rsidP="001E213F">
      <w:pPr>
        <w:jc w:val="center"/>
        <w:rPr>
          <w:rFonts w:ascii="Aparajita" w:hAnsi="Aparajita" w:cs="Aparajita"/>
          <w:u w:val="single"/>
        </w:rPr>
      </w:pPr>
    </w:p>
    <w:p w14:paraId="30868C41" w14:textId="77777777" w:rsidR="0019399E" w:rsidRDefault="0019399E" w:rsidP="001E213F">
      <w:pPr>
        <w:jc w:val="center"/>
        <w:rPr>
          <w:rFonts w:ascii="Aparajita" w:hAnsi="Aparajita" w:cs="Aparajita"/>
          <w:u w:val="single"/>
        </w:rPr>
      </w:pPr>
    </w:p>
    <w:p w14:paraId="2BB7E91D" w14:textId="77777777" w:rsidR="0019399E" w:rsidRDefault="0019399E" w:rsidP="001E213F">
      <w:pPr>
        <w:jc w:val="center"/>
        <w:rPr>
          <w:rFonts w:ascii="Aparajita" w:hAnsi="Aparajita" w:cs="Aparajita"/>
          <w:u w:val="single"/>
        </w:rPr>
      </w:pPr>
    </w:p>
    <w:p w14:paraId="6C00F446" w14:textId="77777777" w:rsidR="0019399E" w:rsidRDefault="0019399E" w:rsidP="001E213F">
      <w:pPr>
        <w:jc w:val="center"/>
        <w:rPr>
          <w:rFonts w:ascii="Aparajita" w:hAnsi="Aparajita" w:cs="Aparajita"/>
          <w:u w:val="single"/>
        </w:rPr>
      </w:pPr>
    </w:p>
    <w:p w14:paraId="793976F6" w14:textId="77777777" w:rsidR="0019399E" w:rsidRDefault="0019399E" w:rsidP="001E213F">
      <w:pPr>
        <w:jc w:val="center"/>
        <w:rPr>
          <w:rFonts w:ascii="Aparajita" w:hAnsi="Aparajita" w:cs="Aparajita"/>
          <w:u w:val="single"/>
        </w:rPr>
      </w:pPr>
    </w:p>
    <w:p w14:paraId="06A2E94A" w14:textId="77777777" w:rsidR="0019399E" w:rsidRDefault="0019399E" w:rsidP="001E213F">
      <w:pPr>
        <w:jc w:val="center"/>
        <w:rPr>
          <w:rFonts w:ascii="Aparajita" w:hAnsi="Aparajita" w:cs="Aparajita"/>
          <w:u w:val="single"/>
        </w:rPr>
      </w:pPr>
    </w:p>
    <w:p w14:paraId="4FF63395" w14:textId="77777777" w:rsidR="0019399E" w:rsidRDefault="0019399E" w:rsidP="001E213F">
      <w:pPr>
        <w:jc w:val="center"/>
        <w:rPr>
          <w:rFonts w:ascii="Aparajita" w:hAnsi="Aparajita" w:cs="Aparajita"/>
          <w:u w:val="single"/>
        </w:rPr>
      </w:pPr>
    </w:p>
    <w:p w14:paraId="486B81F7" w14:textId="77777777" w:rsidR="0019399E" w:rsidRDefault="0019399E" w:rsidP="001E213F">
      <w:pPr>
        <w:jc w:val="center"/>
        <w:rPr>
          <w:rFonts w:ascii="Aparajita" w:hAnsi="Aparajita" w:cs="Aparajita"/>
          <w:u w:val="single"/>
        </w:rPr>
      </w:pPr>
    </w:p>
    <w:p w14:paraId="5BA230FF" w14:textId="77777777" w:rsidR="0019399E" w:rsidRDefault="0019399E" w:rsidP="001E213F">
      <w:pPr>
        <w:jc w:val="center"/>
        <w:rPr>
          <w:rFonts w:ascii="Aparajita" w:hAnsi="Aparajita" w:cs="Aparajita"/>
          <w:u w:val="single"/>
        </w:rPr>
      </w:pPr>
    </w:p>
    <w:p w14:paraId="11F02D31" w14:textId="77777777" w:rsidR="0019399E" w:rsidRDefault="0019399E" w:rsidP="001E213F">
      <w:pPr>
        <w:jc w:val="center"/>
        <w:rPr>
          <w:rFonts w:ascii="Aparajita" w:hAnsi="Aparajita" w:cs="Aparajita"/>
          <w:u w:val="single"/>
        </w:rPr>
      </w:pPr>
    </w:p>
    <w:p w14:paraId="66D8F1ED" w14:textId="77777777" w:rsidR="0019399E" w:rsidRDefault="0019399E" w:rsidP="001E213F">
      <w:pPr>
        <w:jc w:val="center"/>
        <w:rPr>
          <w:rFonts w:ascii="Aparajita" w:hAnsi="Aparajita" w:cs="Aparajita"/>
          <w:u w:val="single"/>
        </w:rPr>
      </w:pPr>
    </w:p>
    <w:p w14:paraId="6556ADE3" w14:textId="77777777" w:rsidR="0019399E" w:rsidRDefault="0019399E" w:rsidP="001E213F">
      <w:pPr>
        <w:jc w:val="center"/>
        <w:rPr>
          <w:rFonts w:ascii="Aparajita" w:hAnsi="Aparajita" w:cs="Aparajita"/>
          <w:u w:val="single"/>
        </w:rPr>
      </w:pPr>
    </w:p>
    <w:p w14:paraId="172C7FB6" w14:textId="77777777" w:rsidR="0019399E" w:rsidRDefault="0019399E" w:rsidP="001E213F">
      <w:pPr>
        <w:jc w:val="center"/>
        <w:rPr>
          <w:rFonts w:ascii="Aparajita" w:hAnsi="Aparajita" w:cs="Aparajita"/>
          <w:u w:val="single"/>
        </w:rPr>
      </w:pPr>
    </w:p>
    <w:p w14:paraId="34B9403C" w14:textId="77777777" w:rsidR="0019399E" w:rsidRDefault="0019399E" w:rsidP="001E213F">
      <w:pPr>
        <w:jc w:val="center"/>
        <w:rPr>
          <w:rFonts w:ascii="Aparajita" w:hAnsi="Aparajita" w:cs="Aparajita"/>
          <w:u w:val="single"/>
        </w:rPr>
      </w:pPr>
    </w:p>
    <w:p w14:paraId="1A63D1DF" w14:textId="77777777" w:rsidR="0019399E" w:rsidRDefault="0019399E" w:rsidP="001E213F">
      <w:pPr>
        <w:jc w:val="center"/>
        <w:rPr>
          <w:rFonts w:ascii="Aparajita" w:hAnsi="Aparajita" w:cs="Aparajita"/>
          <w:u w:val="single"/>
        </w:rPr>
      </w:pPr>
    </w:p>
    <w:p w14:paraId="2DE3765B" w14:textId="77777777" w:rsidR="0019399E" w:rsidRDefault="0019399E" w:rsidP="001E213F">
      <w:pPr>
        <w:jc w:val="center"/>
        <w:rPr>
          <w:rFonts w:ascii="Aparajita" w:hAnsi="Aparajita" w:cs="Aparajita"/>
          <w:u w:val="single"/>
        </w:rPr>
      </w:pPr>
    </w:p>
    <w:p w14:paraId="6195D61C" w14:textId="77777777" w:rsidR="0019399E" w:rsidRDefault="0019399E" w:rsidP="001E213F">
      <w:pPr>
        <w:jc w:val="center"/>
        <w:rPr>
          <w:rFonts w:ascii="Aparajita" w:hAnsi="Aparajita" w:cs="Aparajita"/>
          <w:u w:val="single"/>
        </w:rPr>
      </w:pPr>
    </w:p>
    <w:p w14:paraId="17060DA4" w14:textId="77777777" w:rsidR="00786725" w:rsidRDefault="00786725" w:rsidP="00786725">
      <w:pPr>
        <w:rPr>
          <w:rFonts w:ascii="Aparajita" w:hAnsi="Aparajita" w:cs="Aparajita"/>
          <w:u w:val="single"/>
        </w:rPr>
      </w:pPr>
    </w:p>
    <w:p w14:paraId="4187E7B6" w14:textId="77777777" w:rsidR="00786725" w:rsidRDefault="00786725" w:rsidP="00786725">
      <w:pPr>
        <w:jc w:val="center"/>
        <w:rPr>
          <w:rFonts w:ascii="Aparajita" w:hAnsi="Aparajita" w:cs="Aparajita"/>
          <w:u w:val="single"/>
        </w:rPr>
      </w:pPr>
    </w:p>
    <w:p w14:paraId="623E3BAB" w14:textId="77777777" w:rsidR="00F7650C" w:rsidRDefault="00F7650C" w:rsidP="00786725">
      <w:pPr>
        <w:jc w:val="center"/>
        <w:rPr>
          <w:rFonts w:ascii="Aparajita" w:hAnsi="Aparajita" w:cs="Aparajita"/>
          <w:u w:val="single"/>
        </w:rPr>
      </w:pPr>
    </w:p>
    <w:p w14:paraId="0CBD91E6" w14:textId="5D06A03D" w:rsidR="001E213F" w:rsidRPr="002F0BED" w:rsidRDefault="00786725" w:rsidP="00786725">
      <w:pPr>
        <w:jc w:val="center"/>
        <w:rPr>
          <w:rFonts w:ascii="Aparajita" w:hAnsi="Aparajita" w:cs="Aparajita"/>
          <w:u w:val="single"/>
        </w:rPr>
      </w:pPr>
      <w:r>
        <w:rPr>
          <w:rFonts w:ascii="Aparajita" w:hAnsi="Aparajita" w:cs="Aparajita"/>
          <w:u w:val="single"/>
        </w:rPr>
        <w:t xml:space="preserve">Portfolio Part 2: </w:t>
      </w:r>
      <w:r w:rsidR="001E213F" w:rsidRPr="002F0BED">
        <w:rPr>
          <w:rFonts w:ascii="Aparajita" w:hAnsi="Aparajita" w:cs="Aparajita"/>
          <w:u w:val="single"/>
        </w:rPr>
        <w:t xml:space="preserve">A </w:t>
      </w:r>
      <w:r>
        <w:rPr>
          <w:rFonts w:ascii="Aparajita" w:hAnsi="Aparajita" w:cs="Aparajita"/>
          <w:u w:val="single"/>
        </w:rPr>
        <w:t xml:space="preserve">Primary </w:t>
      </w:r>
      <w:r w:rsidR="001E213F" w:rsidRPr="002F0BED">
        <w:rPr>
          <w:rFonts w:ascii="Aparajita" w:hAnsi="Aparajita" w:cs="Aparajita"/>
          <w:u w:val="single"/>
        </w:rPr>
        <w:t>Source Analysis of ‘Instruction’ by Catherine II of Russia also known as Catherine the Great</w:t>
      </w:r>
    </w:p>
    <w:p w14:paraId="0D75A255" w14:textId="74E13F30" w:rsidR="001E213F" w:rsidRPr="002F0BED" w:rsidRDefault="001E213F" w:rsidP="001E213F">
      <w:pPr>
        <w:jc w:val="center"/>
        <w:rPr>
          <w:rFonts w:ascii="Aparajita" w:hAnsi="Aparajita" w:cs="Aparajita"/>
          <w:u w:val="single"/>
        </w:rPr>
      </w:pPr>
    </w:p>
    <w:p w14:paraId="00420A01" w14:textId="0A9DB69F" w:rsidR="001E213F" w:rsidRPr="002F0BED" w:rsidRDefault="001E213F" w:rsidP="001E213F">
      <w:pPr>
        <w:rPr>
          <w:rFonts w:ascii="Aparajita" w:hAnsi="Aparajita" w:cs="Aparajita"/>
        </w:rPr>
      </w:pPr>
      <w:r w:rsidRPr="002F0BED">
        <w:rPr>
          <w:rFonts w:ascii="Aparajita" w:hAnsi="Aparajita" w:cs="Aparajita"/>
        </w:rPr>
        <w:t xml:space="preserve">This source analysis will explore and develop the context of a piece of political papers known as </w:t>
      </w:r>
      <w:r w:rsidRPr="002F0BED">
        <w:rPr>
          <w:rFonts w:ascii="Aparajita" w:hAnsi="Aparajita" w:cs="Aparajita"/>
          <w:i/>
        </w:rPr>
        <w:t xml:space="preserve">The Instruction. </w:t>
      </w:r>
      <w:r w:rsidRPr="002F0BED">
        <w:rPr>
          <w:rFonts w:ascii="Aparajita" w:hAnsi="Aparajita" w:cs="Aparajita"/>
        </w:rPr>
        <w:t>This piece was written by the Empress Catherine II of Russia also known by her epithet ‘the Great’.  It was published in 1767. The source covers her opinions and notions of how Russia should be governed at a time when Russia was evolving to become an enlightened European nation in the eyes of the world. This analysis will cover her opinions in de</w:t>
      </w:r>
      <w:r w:rsidR="007E39C8" w:rsidRPr="002F0BED">
        <w:rPr>
          <w:rFonts w:ascii="Aparajita" w:hAnsi="Aparajita" w:cs="Aparajita"/>
        </w:rPr>
        <w:t>pth</w:t>
      </w:r>
      <w:r w:rsidR="005A40B1">
        <w:rPr>
          <w:rFonts w:ascii="Aparajita" w:hAnsi="Aparajita" w:cs="Aparajita"/>
        </w:rPr>
        <w:t>,</w:t>
      </w:r>
      <w:r w:rsidRPr="002F0BED">
        <w:rPr>
          <w:rFonts w:ascii="Aparajita" w:hAnsi="Aparajita" w:cs="Aparajita"/>
        </w:rPr>
        <w:t xml:space="preserve"> such as her perspective on rights and</w:t>
      </w:r>
      <w:r w:rsidR="007E39C8" w:rsidRPr="002F0BED">
        <w:rPr>
          <w:rFonts w:ascii="Aparajita" w:hAnsi="Aparajita" w:cs="Aparajita"/>
        </w:rPr>
        <w:t xml:space="preserve"> how</w:t>
      </w:r>
      <w:r w:rsidRPr="002F0BED">
        <w:rPr>
          <w:rFonts w:ascii="Aparajita" w:hAnsi="Aparajita" w:cs="Aparajita"/>
        </w:rPr>
        <w:t xml:space="preserve"> the monarchy should be respected in all things to do with the state.</w:t>
      </w:r>
      <w:r w:rsidR="007E39C8" w:rsidRPr="002F0BED">
        <w:rPr>
          <w:rFonts w:ascii="Aparajita" w:hAnsi="Aparajita" w:cs="Aparajita"/>
        </w:rPr>
        <w:t xml:space="preserve"> The purpose of this source will also be discussed. </w:t>
      </w:r>
    </w:p>
    <w:p w14:paraId="0EB1BAE5" w14:textId="13A3193F" w:rsidR="007E39C8" w:rsidRPr="002F0BED" w:rsidRDefault="007E39C8" w:rsidP="001E213F">
      <w:pPr>
        <w:rPr>
          <w:rFonts w:ascii="Aparajita" w:hAnsi="Aparajita" w:cs="Aparajita"/>
        </w:rPr>
      </w:pPr>
      <w:r w:rsidRPr="002F0BED">
        <w:rPr>
          <w:rFonts w:ascii="Aparajita" w:hAnsi="Aparajita" w:cs="Aparajita"/>
        </w:rPr>
        <w:t>Before the discussion of the content occurs</w:t>
      </w:r>
      <w:r w:rsidR="005A40B1">
        <w:rPr>
          <w:rFonts w:ascii="Aparajita" w:hAnsi="Aparajita" w:cs="Aparajita"/>
        </w:rPr>
        <w:t>,</w:t>
      </w:r>
      <w:r w:rsidRPr="002F0BED">
        <w:rPr>
          <w:rFonts w:ascii="Aparajita" w:hAnsi="Aparajita" w:cs="Aparajita"/>
        </w:rPr>
        <w:t xml:space="preserve"> the intent of the piece in question must be established. </w:t>
      </w:r>
      <w:r w:rsidRPr="002F0BED">
        <w:rPr>
          <w:rFonts w:ascii="Aparajita" w:hAnsi="Aparajita" w:cs="Aparajita"/>
          <w:i/>
        </w:rPr>
        <w:t xml:space="preserve">The Instruction </w:t>
      </w:r>
      <w:r w:rsidRPr="002F0BED">
        <w:rPr>
          <w:rFonts w:ascii="Aparajita" w:hAnsi="Aparajita" w:cs="Aparajita"/>
        </w:rPr>
        <w:t>was written in 1767 by Catherine for the express purpose of presenting it to</w:t>
      </w:r>
      <w:r w:rsidR="005A40B1">
        <w:rPr>
          <w:rFonts w:ascii="Aparajita" w:hAnsi="Aparajita" w:cs="Aparajita"/>
        </w:rPr>
        <w:t xml:space="preserve"> </w:t>
      </w:r>
      <w:r w:rsidRPr="002F0BED">
        <w:rPr>
          <w:rFonts w:ascii="Aparajita" w:hAnsi="Aparajita" w:cs="Aparajita"/>
        </w:rPr>
        <w:t>a newly established Imperial Commission for Penal Reform</w:t>
      </w:r>
      <w:r w:rsidR="0069035F">
        <w:rPr>
          <w:rStyle w:val="FootnoteReference"/>
          <w:rFonts w:ascii="Aparajita" w:hAnsi="Aparajita" w:cs="Aparajita"/>
        </w:rPr>
        <w:footnoteReference w:id="28"/>
      </w:r>
      <w:r w:rsidRPr="002F0BED">
        <w:rPr>
          <w:rFonts w:ascii="Aparajita" w:hAnsi="Aparajita" w:cs="Aparajita"/>
        </w:rPr>
        <w:t xml:space="preserve">. The content of </w:t>
      </w:r>
      <w:r w:rsidRPr="002F0BED">
        <w:rPr>
          <w:rFonts w:ascii="Aparajita" w:hAnsi="Aparajita" w:cs="Aparajita"/>
          <w:i/>
        </w:rPr>
        <w:t xml:space="preserve">The Instruction </w:t>
      </w:r>
      <w:r w:rsidRPr="002F0BED">
        <w:rPr>
          <w:rFonts w:ascii="Aparajita" w:hAnsi="Aparajita" w:cs="Aparajita"/>
        </w:rPr>
        <w:t>set out desires as to what a newly reformed Russian Penal Code would look like from her perspective</w:t>
      </w:r>
      <w:r w:rsidR="003E67C4">
        <w:rPr>
          <w:rStyle w:val="FootnoteReference"/>
          <w:rFonts w:ascii="Aparajita" w:hAnsi="Aparajita" w:cs="Aparajita"/>
        </w:rPr>
        <w:footnoteReference w:id="29"/>
      </w:r>
      <w:r w:rsidRPr="002F0BED">
        <w:rPr>
          <w:rFonts w:ascii="Aparajita" w:hAnsi="Aparajita" w:cs="Aparajita"/>
        </w:rPr>
        <w:t>. It must be understood that an instructional statement such as this was not an aspiration, but a command</w:t>
      </w:r>
      <w:r w:rsidR="003E67C4">
        <w:rPr>
          <w:rStyle w:val="FootnoteReference"/>
          <w:rFonts w:ascii="Aparajita" w:hAnsi="Aparajita" w:cs="Aparajita"/>
        </w:rPr>
        <w:footnoteReference w:id="30"/>
      </w:r>
      <w:r w:rsidRPr="002F0BED">
        <w:rPr>
          <w:rFonts w:ascii="Aparajita" w:hAnsi="Aparajita" w:cs="Aparajita"/>
        </w:rPr>
        <w:t xml:space="preserve">. What must be understood is that Russia was an autocracy </w:t>
      </w:r>
      <w:r w:rsidR="005A40B1">
        <w:rPr>
          <w:rFonts w:ascii="Aparajita" w:hAnsi="Aparajita" w:cs="Aparajita"/>
        </w:rPr>
        <w:t xml:space="preserve">in </w:t>
      </w:r>
      <w:r w:rsidRPr="002F0BED">
        <w:rPr>
          <w:rFonts w:ascii="Aparajita" w:hAnsi="Aparajita" w:cs="Aparajita"/>
        </w:rPr>
        <w:t>which the sovereign, in this case Catherine as Tsarina</w:t>
      </w:r>
      <w:r w:rsidR="005A40B1">
        <w:rPr>
          <w:rFonts w:ascii="Aparajita" w:hAnsi="Aparajita" w:cs="Aparajita"/>
        </w:rPr>
        <w:t>,</w:t>
      </w:r>
      <w:r w:rsidRPr="002F0BED">
        <w:rPr>
          <w:rFonts w:ascii="Aparajita" w:hAnsi="Aparajita" w:cs="Aparajita"/>
        </w:rPr>
        <w:t xml:space="preserve"> held absolute power</w:t>
      </w:r>
      <w:r w:rsidR="00751BE3">
        <w:rPr>
          <w:rStyle w:val="FootnoteReference"/>
          <w:rFonts w:ascii="Aparajita" w:hAnsi="Aparajita" w:cs="Aparajita"/>
        </w:rPr>
        <w:footnoteReference w:id="31"/>
      </w:r>
      <w:r w:rsidRPr="002F0BED">
        <w:rPr>
          <w:rFonts w:ascii="Aparajita" w:hAnsi="Aparajita" w:cs="Aparajita"/>
        </w:rPr>
        <w:t>. The sovereigns of Russia acted as the executive and the legislatur</w:t>
      </w:r>
      <w:r w:rsidR="00751BE3">
        <w:rPr>
          <w:rFonts w:ascii="Aparajita" w:hAnsi="Aparajita" w:cs="Aparajita"/>
        </w:rPr>
        <w:t>e</w:t>
      </w:r>
      <w:r w:rsidR="00751BE3">
        <w:rPr>
          <w:rStyle w:val="FootnoteReference"/>
          <w:rFonts w:ascii="Aparajita" w:hAnsi="Aparajita" w:cs="Aparajita"/>
        </w:rPr>
        <w:footnoteReference w:id="32"/>
      </w:r>
      <w:r w:rsidRPr="002F0BED">
        <w:rPr>
          <w:rFonts w:ascii="Aparajita" w:hAnsi="Aparajita" w:cs="Aparajita"/>
        </w:rPr>
        <w:t>. Instructions</w:t>
      </w:r>
      <w:r w:rsidR="005A40B1">
        <w:rPr>
          <w:rFonts w:ascii="Aparajita" w:hAnsi="Aparajita" w:cs="Aparajita"/>
        </w:rPr>
        <w:t>,</w:t>
      </w:r>
      <w:r w:rsidRPr="002F0BED">
        <w:rPr>
          <w:rFonts w:ascii="Aparajita" w:hAnsi="Aparajita" w:cs="Aparajita"/>
        </w:rPr>
        <w:t xml:space="preserve"> or </w:t>
      </w:r>
      <w:r w:rsidRPr="002F0BED">
        <w:rPr>
          <w:rFonts w:ascii="Aparajita" w:hAnsi="Aparajita" w:cs="Aparajita"/>
          <w:i/>
        </w:rPr>
        <w:t>Nakaz</w:t>
      </w:r>
      <w:r w:rsidR="005A40B1">
        <w:rPr>
          <w:rFonts w:ascii="Aparajita" w:hAnsi="Aparajita" w:cs="Aparajita"/>
          <w:i/>
        </w:rPr>
        <w:t>,</w:t>
      </w:r>
      <w:r w:rsidRPr="002F0BED">
        <w:rPr>
          <w:rFonts w:ascii="Aparajita" w:hAnsi="Aparajita" w:cs="Aparajita"/>
          <w:i/>
        </w:rPr>
        <w:t xml:space="preserve"> </w:t>
      </w:r>
      <w:r w:rsidRPr="002F0BED">
        <w:rPr>
          <w:rFonts w:ascii="Aparajita" w:hAnsi="Aparajita" w:cs="Aparajita"/>
        </w:rPr>
        <w:t>such as this indicated the sovereigns will</w:t>
      </w:r>
      <w:r w:rsidR="005A40B1">
        <w:rPr>
          <w:rFonts w:ascii="Aparajita" w:hAnsi="Aparajita" w:cs="Aparajita"/>
        </w:rPr>
        <w:t>;</w:t>
      </w:r>
      <w:r w:rsidRPr="002F0BED">
        <w:rPr>
          <w:rFonts w:ascii="Aparajita" w:hAnsi="Aparajita" w:cs="Aparajita"/>
        </w:rPr>
        <w:t xml:space="preserve"> it was up to the Imperial Civil Service to</w:t>
      </w:r>
      <w:r w:rsidR="005A40B1">
        <w:rPr>
          <w:rFonts w:ascii="Aparajita" w:hAnsi="Aparajita" w:cs="Aparajita"/>
        </w:rPr>
        <w:t xml:space="preserve"> </w:t>
      </w:r>
      <w:r w:rsidRPr="002F0BED">
        <w:rPr>
          <w:rFonts w:ascii="Aparajita" w:hAnsi="Aparajita" w:cs="Aparajita"/>
        </w:rPr>
        <w:t>work out the finer technicalities of policy for approval from the sovereign</w:t>
      </w:r>
      <w:r w:rsidR="00751BE3">
        <w:rPr>
          <w:rStyle w:val="FootnoteReference"/>
          <w:rFonts w:ascii="Aparajita" w:hAnsi="Aparajita" w:cs="Aparajita"/>
        </w:rPr>
        <w:footnoteReference w:id="33"/>
      </w:r>
      <w:r w:rsidRPr="002F0BED">
        <w:rPr>
          <w:rFonts w:ascii="Aparajita" w:hAnsi="Aparajita" w:cs="Aparajita"/>
        </w:rPr>
        <w:t xml:space="preserve">.  </w:t>
      </w:r>
      <w:r w:rsidR="00E80CA5" w:rsidRPr="002F0BED">
        <w:rPr>
          <w:rFonts w:ascii="Aparajita" w:hAnsi="Aparajita" w:cs="Aparajita"/>
        </w:rPr>
        <w:t>This is the precise function of this instructional document</w:t>
      </w:r>
      <w:r w:rsidR="00751BE3">
        <w:rPr>
          <w:rFonts w:ascii="Aparajita" w:hAnsi="Aparajita" w:cs="Aparajita"/>
        </w:rPr>
        <w:t>;</w:t>
      </w:r>
      <w:r w:rsidR="00E80CA5" w:rsidRPr="002F0BED">
        <w:rPr>
          <w:rFonts w:ascii="Aparajita" w:hAnsi="Aparajita" w:cs="Aparajita"/>
        </w:rPr>
        <w:t xml:space="preserve"> The Empress commands her commissioners to produce a new penal code according to her specifications</w:t>
      </w:r>
      <w:r w:rsidR="00751BE3">
        <w:rPr>
          <w:rStyle w:val="FootnoteReference"/>
          <w:rFonts w:ascii="Aparajita" w:hAnsi="Aparajita" w:cs="Aparajita"/>
        </w:rPr>
        <w:footnoteReference w:id="34"/>
      </w:r>
      <w:r w:rsidR="00E80CA5" w:rsidRPr="002F0BED">
        <w:rPr>
          <w:rFonts w:ascii="Aparajita" w:hAnsi="Aparajita" w:cs="Aparajita"/>
        </w:rPr>
        <w:t xml:space="preserve">. </w:t>
      </w:r>
    </w:p>
    <w:p w14:paraId="33F2C9DD" w14:textId="18DDC2DB" w:rsidR="002F0BED" w:rsidRPr="002F0BED" w:rsidRDefault="00E80CA5" w:rsidP="001E213F">
      <w:pPr>
        <w:rPr>
          <w:rFonts w:ascii="Aparajita" w:hAnsi="Aparajita" w:cs="Aparajita"/>
        </w:rPr>
      </w:pPr>
      <w:r w:rsidRPr="002F0BED">
        <w:rPr>
          <w:rFonts w:ascii="Aparajita" w:hAnsi="Aparajita" w:cs="Aparajita"/>
        </w:rPr>
        <w:t xml:space="preserve">The contents of </w:t>
      </w:r>
      <w:r w:rsidRPr="002F0BED">
        <w:rPr>
          <w:rFonts w:ascii="Aparajita" w:hAnsi="Aparajita" w:cs="Aparajita"/>
          <w:i/>
        </w:rPr>
        <w:t xml:space="preserve">The Instruction </w:t>
      </w:r>
      <w:r w:rsidRPr="002F0BED">
        <w:rPr>
          <w:rFonts w:ascii="Aparajita" w:hAnsi="Aparajita" w:cs="Aparajita"/>
        </w:rPr>
        <w:t xml:space="preserve">are very much influenced by Catherine’s upbringing. Originally born into the </w:t>
      </w:r>
      <w:r w:rsidR="005A40B1">
        <w:rPr>
          <w:rFonts w:ascii="Aparajita" w:hAnsi="Aparajita" w:cs="Aparajita"/>
        </w:rPr>
        <w:t>p</w:t>
      </w:r>
      <w:r w:rsidRPr="002F0BED">
        <w:rPr>
          <w:rFonts w:ascii="Aparajita" w:hAnsi="Aparajita" w:cs="Aparajita"/>
        </w:rPr>
        <w:t xml:space="preserve">rincely </w:t>
      </w:r>
      <w:r w:rsidR="005A40B1">
        <w:rPr>
          <w:rFonts w:ascii="Aparajita" w:hAnsi="Aparajita" w:cs="Aparajita"/>
        </w:rPr>
        <w:t>f</w:t>
      </w:r>
      <w:r w:rsidRPr="002F0BED">
        <w:rPr>
          <w:rFonts w:ascii="Aparajita" w:hAnsi="Aparajita" w:cs="Aparajita"/>
        </w:rPr>
        <w:t>amily of Anhalt – Zerbst, Catherine was brought up as a Lutheran</w:t>
      </w:r>
      <w:r w:rsidR="00074453">
        <w:rPr>
          <w:rStyle w:val="FootnoteReference"/>
          <w:rFonts w:ascii="Aparajita" w:hAnsi="Aparajita" w:cs="Aparajita"/>
        </w:rPr>
        <w:footnoteReference w:id="35"/>
      </w:r>
      <w:r w:rsidRPr="002F0BED">
        <w:rPr>
          <w:rFonts w:ascii="Aparajita" w:hAnsi="Aparajita" w:cs="Aparajita"/>
        </w:rPr>
        <w:t xml:space="preserve">. She was exposed the thematic concepts of the </w:t>
      </w:r>
      <w:r w:rsidR="005A40B1">
        <w:rPr>
          <w:rFonts w:ascii="Aparajita" w:hAnsi="Aparajita" w:cs="Aparajita"/>
        </w:rPr>
        <w:t>E</w:t>
      </w:r>
      <w:r w:rsidR="005A40B1" w:rsidRPr="002F0BED">
        <w:rPr>
          <w:rFonts w:ascii="Aparajita" w:hAnsi="Aparajita" w:cs="Aparajita"/>
        </w:rPr>
        <w:t>nlightenment</w:t>
      </w:r>
      <w:r w:rsidRPr="002F0BED">
        <w:rPr>
          <w:rFonts w:ascii="Aparajita" w:hAnsi="Aparajita" w:cs="Aparajita"/>
        </w:rPr>
        <w:t xml:space="preserve"> such as the questioning of religion and the rule of science</w:t>
      </w:r>
      <w:r w:rsidR="00074453">
        <w:rPr>
          <w:rStyle w:val="FootnoteReference"/>
          <w:rFonts w:ascii="Aparajita" w:hAnsi="Aparajita" w:cs="Aparajita"/>
        </w:rPr>
        <w:footnoteReference w:id="36"/>
      </w:r>
      <w:r w:rsidRPr="002F0BED">
        <w:rPr>
          <w:rFonts w:ascii="Aparajita" w:hAnsi="Aparajita" w:cs="Aparajita"/>
        </w:rPr>
        <w:t xml:space="preserve">. </w:t>
      </w:r>
      <w:r w:rsidR="00074453">
        <w:rPr>
          <w:rFonts w:ascii="Aparajita" w:hAnsi="Aparajita" w:cs="Aparajita"/>
        </w:rPr>
        <w:t>Catherine</w:t>
      </w:r>
      <w:r w:rsidRPr="002F0BED">
        <w:rPr>
          <w:rFonts w:ascii="Aparajita" w:hAnsi="Aparajita" w:cs="Aparajita"/>
        </w:rPr>
        <w:t xml:space="preserve"> came to Russia and married Tsar Peter III </w:t>
      </w:r>
      <w:r w:rsidR="005A40B1">
        <w:rPr>
          <w:rFonts w:ascii="Aparajita" w:hAnsi="Aparajita" w:cs="Aparajita"/>
        </w:rPr>
        <w:t xml:space="preserve">who at that point </w:t>
      </w:r>
      <w:r w:rsidR="00074453">
        <w:rPr>
          <w:rFonts w:ascii="Aparajita" w:hAnsi="Aparajita" w:cs="Aparajita"/>
        </w:rPr>
        <w:t>w</w:t>
      </w:r>
      <w:r w:rsidR="005A40B1">
        <w:rPr>
          <w:rFonts w:ascii="Aparajita" w:hAnsi="Aparajita" w:cs="Aparajita"/>
        </w:rPr>
        <w:t xml:space="preserve">as heir to the throne </w:t>
      </w:r>
      <w:r w:rsidRPr="002F0BED">
        <w:rPr>
          <w:rFonts w:ascii="Aparajita" w:hAnsi="Aparajita" w:cs="Aparajita"/>
        </w:rPr>
        <w:t>in 1743</w:t>
      </w:r>
      <w:r w:rsidR="005A40B1">
        <w:rPr>
          <w:rFonts w:ascii="Aparajita" w:hAnsi="Aparajita" w:cs="Aparajita"/>
        </w:rPr>
        <w:t>,</w:t>
      </w:r>
      <w:r w:rsidRPr="002F0BED">
        <w:rPr>
          <w:rFonts w:ascii="Aparajita" w:hAnsi="Aparajita" w:cs="Aparajita"/>
        </w:rPr>
        <w:t xml:space="preserve"> whose </w:t>
      </w:r>
      <w:r w:rsidR="005A40B1">
        <w:rPr>
          <w:rFonts w:ascii="Aparajita" w:hAnsi="Aparajita" w:cs="Aparajita"/>
        </w:rPr>
        <w:t>a</w:t>
      </w:r>
      <w:r w:rsidRPr="002F0BED">
        <w:rPr>
          <w:rFonts w:ascii="Aparajita" w:hAnsi="Aparajita" w:cs="Aparajita"/>
        </w:rPr>
        <w:t>nt Elisabeth was the reigning Empress</w:t>
      </w:r>
      <w:r w:rsidR="00074453">
        <w:rPr>
          <w:rStyle w:val="FootnoteReference"/>
          <w:rFonts w:ascii="Aparajita" w:hAnsi="Aparajita" w:cs="Aparajita"/>
        </w:rPr>
        <w:footnoteReference w:id="37"/>
      </w:r>
      <w:r w:rsidRPr="002F0BED">
        <w:rPr>
          <w:rFonts w:ascii="Aparajita" w:hAnsi="Aparajita" w:cs="Aparajita"/>
        </w:rPr>
        <w:t>.  During her marriage it is known she veraciously read Voltaire and Bayle</w:t>
      </w:r>
      <w:r w:rsidR="005A40B1">
        <w:rPr>
          <w:rFonts w:ascii="Aparajita" w:hAnsi="Aparajita" w:cs="Aparajita"/>
        </w:rPr>
        <w:t>, from</w:t>
      </w:r>
      <w:r w:rsidRPr="002F0BED">
        <w:rPr>
          <w:rFonts w:ascii="Aparajita" w:hAnsi="Aparajita" w:cs="Aparajita"/>
        </w:rPr>
        <w:t xml:space="preserve"> which greatly influenced her views on how to govern the state</w:t>
      </w:r>
      <w:r w:rsidR="00074453">
        <w:rPr>
          <w:rStyle w:val="FootnoteReference"/>
          <w:rFonts w:ascii="Aparajita" w:hAnsi="Aparajita" w:cs="Aparajita"/>
        </w:rPr>
        <w:footnoteReference w:id="38"/>
      </w:r>
      <w:r w:rsidRPr="002F0BED">
        <w:rPr>
          <w:rFonts w:ascii="Aparajita" w:hAnsi="Aparajita" w:cs="Aparajita"/>
        </w:rPr>
        <w:t>. She seized the throne f</w:t>
      </w:r>
      <w:r w:rsidR="00074453">
        <w:rPr>
          <w:rFonts w:ascii="Aparajita" w:hAnsi="Aparajita" w:cs="Aparajita"/>
        </w:rPr>
        <w:t>ro</w:t>
      </w:r>
      <w:r w:rsidRPr="002F0BED">
        <w:rPr>
          <w:rFonts w:ascii="Aparajita" w:hAnsi="Aparajita" w:cs="Aparajita"/>
        </w:rPr>
        <w:t xml:space="preserve">m her husband </w:t>
      </w:r>
      <w:r w:rsidR="002F0BED" w:rsidRPr="002F0BED">
        <w:rPr>
          <w:rFonts w:ascii="Aparajita" w:hAnsi="Aparajita" w:cs="Aparajita"/>
        </w:rPr>
        <w:t>in 1763 and sought to reform Russia</w:t>
      </w:r>
      <w:r w:rsidR="00074453">
        <w:rPr>
          <w:rStyle w:val="FootnoteReference"/>
          <w:rFonts w:ascii="Aparajita" w:hAnsi="Aparajita" w:cs="Aparajita"/>
        </w:rPr>
        <w:footnoteReference w:id="39"/>
      </w:r>
      <w:r w:rsidR="002F0BED" w:rsidRPr="002F0BED">
        <w:rPr>
          <w:rFonts w:ascii="Aparajita" w:hAnsi="Aparajita" w:cs="Aparajita"/>
        </w:rPr>
        <w:t xml:space="preserve">. It was her firm belief that for Russia to become a great nation, they fully had to embrace the </w:t>
      </w:r>
      <w:r w:rsidR="005A40B1">
        <w:rPr>
          <w:rFonts w:ascii="Aparajita" w:hAnsi="Aparajita" w:cs="Aparajita"/>
        </w:rPr>
        <w:t>E</w:t>
      </w:r>
      <w:r w:rsidR="005A40B1" w:rsidRPr="002F0BED">
        <w:rPr>
          <w:rFonts w:ascii="Aparajita" w:hAnsi="Aparajita" w:cs="Aparajita"/>
        </w:rPr>
        <w:t>nlightenment</w:t>
      </w:r>
      <w:r w:rsidR="00074453">
        <w:rPr>
          <w:rStyle w:val="FootnoteReference"/>
          <w:rFonts w:ascii="Aparajita" w:hAnsi="Aparajita" w:cs="Aparajita"/>
        </w:rPr>
        <w:footnoteReference w:id="40"/>
      </w:r>
      <w:r w:rsidR="002F0BED" w:rsidRPr="002F0BED">
        <w:rPr>
          <w:rFonts w:ascii="Aparajita" w:hAnsi="Aparajita" w:cs="Aparajita"/>
        </w:rPr>
        <w:t xml:space="preserve">. </w:t>
      </w:r>
    </w:p>
    <w:p w14:paraId="572F43BA" w14:textId="6E9A6BF9" w:rsidR="007E33E5" w:rsidRDefault="002F0BED" w:rsidP="001E213F">
      <w:pPr>
        <w:rPr>
          <w:rFonts w:ascii="Aparajita" w:hAnsi="Aparajita" w:cs="Aparajita"/>
        </w:rPr>
      </w:pPr>
      <w:r w:rsidRPr="002F0BED">
        <w:rPr>
          <w:rFonts w:ascii="Aparajita" w:hAnsi="Aparajita" w:cs="Aparajita"/>
        </w:rPr>
        <w:t xml:space="preserve">From </w:t>
      </w:r>
      <w:r w:rsidR="005A40B1">
        <w:rPr>
          <w:rFonts w:ascii="Aparajita" w:hAnsi="Aparajita" w:cs="Aparajita"/>
        </w:rPr>
        <w:t>C</w:t>
      </w:r>
      <w:r>
        <w:rPr>
          <w:rFonts w:ascii="Aparajita" w:hAnsi="Aparajita" w:cs="Aparajita"/>
        </w:rPr>
        <w:t>laus</w:t>
      </w:r>
      <w:r w:rsidRPr="002F0BED">
        <w:rPr>
          <w:rFonts w:ascii="Aparajita" w:hAnsi="Aparajita" w:cs="Aparajita"/>
        </w:rPr>
        <w:t xml:space="preserve"> 1 t</w:t>
      </w:r>
      <w:r w:rsidR="005A40B1">
        <w:rPr>
          <w:rFonts w:ascii="Aparajita" w:hAnsi="Aparajita" w:cs="Aparajita"/>
        </w:rPr>
        <w:t>o</w:t>
      </w:r>
      <w:r w:rsidRPr="002F0BED">
        <w:rPr>
          <w:rFonts w:ascii="Aparajita" w:hAnsi="Aparajita" w:cs="Aparajita"/>
        </w:rPr>
        <w:t xml:space="preserve"> </w:t>
      </w:r>
      <w:r w:rsidR="005A40B1">
        <w:rPr>
          <w:rFonts w:ascii="Aparajita" w:hAnsi="Aparajita" w:cs="Aparajita"/>
        </w:rPr>
        <w:t xml:space="preserve">Claus </w:t>
      </w:r>
      <w:r w:rsidRPr="002F0BED">
        <w:rPr>
          <w:rFonts w:ascii="Aparajita" w:hAnsi="Aparajita" w:cs="Aparajita"/>
        </w:rPr>
        <w:t>4</w:t>
      </w:r>
      <w:r>
        <w:rPr>
          <w:rFonts w:ascii="Aparajita" w:hAnsi="Aparajita" w:cs="Aparajita"/>
        </w:rPr>
        <w:t>, Catherine establishes the image of what a citizen should be in her eyes. To begin with</w:t>
      </w:r>
      <w:r w:rsidR="005A40B1">
        <w:rPr>
          <w:rFonts w:ascii="Aparajita" w:hAnsi="Aparajita" w:cs="Aparajita"/>
        </w:rPr>
        <w:t xml:space="preserve">, </w:t>
      </w:r>
      <w:r>
        <w:rPr>
          <w:rFonts w:ascii="Aparajita" w:hAnsi="Aparajita" w:cs="Aparajita"/>
        </w:rPr>
        <w:t>all members of society should respect one another</w:t>
      </w:r>
      <w:r w:rsidR="00416155">
        <w:rPr>
          <w:rStyle w:val="FootnoteReference"/>
          <w:rFonts w:ascii="Aparajita" w:hAnsi="Aparajita" w:cs="Aparajita"/>
        </w:rPr>
        <w:footnoteReference w:id="41"/>
      </w:r>
      <w:r>
        <w:rPr>
          <w:rFonts w:ascii="Aparajita" w:hAnsi="Aparajita" w:cs="Aparajita"/>
        </w:rPr>
        <w:t>. Clause 2 deliberately emphasises that the individual should be able to seek the highest degree of tranquillity and happiness</w:t>
      </w:r>
      <w:r w:rsidR="008271E8">
        <w:rPr>
          <w:rStyle w:val="FootnoteReference"/>
          <w:rFonts w:ascii="Aparajita" w:hAnsi="Aparajita" w:cs="Aparajita"/>
        </w:rPr>
        <w:footnoteReference w:id="42"/>
      </w:r>
      <w:r>
        <w:rPr>
          <w:rFonts w:ascii="Aparajita" w:hAnsi="Aparajita" w:cs="Aparajita"/>
        </w:rPr>
        <w:t>. It is described as ‘a fundamental rule prescribed by that</w:t>
      </w:r>
      <w:r w:rsidR="008271E8">
        <w:rPr>
          <w:rFonts w:ascii="Aparajita" w:hAnsi="Aparajita" w:cs="Aparajita"/>
        </w:rPr>
        <w:t>,</w:t>
      </w:r>
      <w:r>
        <w:rPr>
          <w:rFonts w:ascii="Aparajita" w:hAnsi="Aparajita" w:cs="Aparajita"/>
        </w:rPr>
        <w:t xml:space="preserve"> religion’</w:t>
      </w:r>
      <w:r w:rsidR="003B2D5C">
        <w:rPr>
          <w:rStyle w:val="FootnoteReference"/>
          <w:rFonts w:ascii="Aparajita" w:hAnsi="Aparajita" w:cs="Aparajita"/>
        </w:rPr>
        <w:footnoteReference w:id="43"/>
      </w:r>
      <w:r>
        <w:rPr>
          <w:rFonts w:ascii="Aparajita" w:hAnsi="Aparajita" w:cs="Aparajita"/>
        </w:rPr>
        <w:t>. The connotation is that she had been influenced by religion, most</w:t>
      </w:r>
      <w:r w:rsidR="005A40B1">
        <w:rPr>
          <w:rFonts w:ascii="Aparajita" w:hAnsi="Aparajita" w:cs="Aparajita"/>
        </w:rPr>
        <w:t xml:space="preserve"> likely</w:t>
      </w:r>
      <w:r>
        <w:rPr>
          <w:rFonts w:ascii="Aparajita" w:hAnsi="Aparajita" w:cs="Aparajita"/>
        </w:rPr>
        <w:t xml:space="preserve"> her Lutheranism</w:t>
      </w:r>
      <w:r w:rsidR="005A40B1">
        <w:rPr>
          <w:rFonts w:ascii="Aparajita" w:hAnsi="Aparajita" w:cs="Aparajita"/>
        </w:rPr>
        <w:t>,</w:t>
      </w:r>
      <w:r>
        <w:rPr>
          <w:rFonts w:ascii="Aparajita" w:hAnsi="Aparajita" w:cs="Aparajita"/>
        </w:rPr>
        <w:t xml:space="preserve"> as protestant faith promotes individual happiness which </w:t>
      </w:r>
      <w:r>
        <w:rPr>
          <w:rFonts w:ascii="Aparajita" w:hAnsi="Aparajita" w:cs="Aparajita"/>
        </w:rPr>
        <w:lastRenderedPageBreak/>
        <w:t xml:space="preserve">is also emphasized by </w:t>
      </w:r>
      <w:r w:rsidR="007E33E5">
        <w:rPr>
          <w:rFonts w:ascii="Aparajita" w:hAnsi="Aparajita" w:cs="Aparajita"/>
        </w:rPr>
        <w:t>Hobbes and Montesquieu</w:t>
      </w:r>
      <w:r w:rsidR="005A40B1">
        <w:rPr>
          <w:rFonts w:ascii="Aparajita" w:hAnsi="Aparajita" w:cs="Aparajita"/>
        </w:rPr>
        <w:t>,</w:t>
      </w:r>
      <w:r w:rsidR="007E33E5">
        <w:rPr>
          <w:rFonts w:ascii="Aparajita" w:hAnsi="Aparajita" w:cs="Aparajita"/>
        </w:rPr>
        <w:t xml:space="preserve"> who believe that society only functions through personnel freedom</w:t>
      </w:r>
      <w:r w:rsidR="003B2D5C">
        <w:rPr>
          <w:rStyle w:val="FootnoteReference"/>
          <w:rFonts w:ascii="Aparajita" w:hAnsi="Aparajita" w:cs="Aparajita"/>
        </w:rPr>
        <w:footnoteReference w:id="44"/>
      </w:r>
      <w:r w:rsidR="007E33E5">
        <w:rPr>
          <w:rFonts w:ascii="Aparajita" w:hAnsi="Aparajita" w:cs="Aparajita"/>
        </w:rPr>
        <w:t xml:space="preserve">. </w:t>
      </w:r>
      <w:r>
        <w:rPr>
          <w:rFonts w:ascii="Aparajita" w:hAnsi="Aparajita" w:cs="Aparajita"/>
        </w:rPr>
        <w:t xml:space="preserve"> </w:t>
      </w:r>
      <w:r w:rsidR="007E33E5">
        <w:rPr>
          <w:rFonts w:ascii="Aparajita" w:hAnsi="Aparajita" w:cs="Aparajita"/>
        </w:rPr>
        <w:t>This environment should be governed by laws so that all may be to achieve this end</w:t>
      </w:r>
      <w:r w:rsidR="00871041">
        <w:rPr>
          <w:rStyle w:val="FootnoteReference"/>
          <w:rFonts w:ascii="Aparajita" w:hAnsi="Aparajita" w:cs="Aparajita"/>
        </w:rPr>
        <w:footnoteReference w:id="45"/>
      </w:r>
      <w:r w:rsidR="007E33E5">
        <w:rPr>
          <w:rFonts w:ascii="Aparajita" w:hAnsi="Aparajita" w:cs="Aparajita"/>
        </w:rPr>
        <w:t>. This has been attributed to Jean Jacque Rousseau and his concept of negative freedom</w:t>
      </w:r>
      <w:r w:rsidR="002C05BB">
        <w:rPr>
          <w:rFonts w:ascii="Aparajita" w:hAnsi="Aparajita" w:cs="Aparajita"/>
        </w:rPr>
        <w:t xml:space="preserve">; </w:t>
      </w:r>
      <w:r w:rsidR="007E33E5">
        <w:rPr>
          <w:rFonts w:ascii="Aparajita" w:hAnsi="Aparajita" w:cs="Aparajita"/>
        </w:rPr>
        <w:t>A citizen may do what he wants but the state has an obligation to create through laws an environment that this can be done safely</w:t>
      </w:r>
      <w:r w:rsidR="002C05BB">
        <w:rPr>
          <w:rStyle w:val="FootnoteReference"/>
          <w:rFonts w:ascii="Aparajita" w:hAnsi="Aparajita" w:cs="Aparajita"/>
        </w:rPr>
        <w:footnoteReference w:id="46"/>
      </w:r>
      <w:r w:rsidR="007E33E5">
        <w:rPr>
          <w:rFonts w:ascii="Aparajita" w:hAnsi="Aparajita" w:cs="Aparajita"/>
        </w:rPr>
        <w:t xml:space="preserve">. </w:t>
      </w:r>
    </w:p>
    <w:p w14:paraId="0848199E" w14:textId="73C45010" w:rsidR="00A534C5" w:rsidRDefault="0062129E" w:rsidP="001E213F">
      <w:pPr>
        <w:rPr>
          <w:rFonts w:ascii="Aparajita" w:hAnsi="Aparajita" w:cs="Aparajita"/>
        </w:rPr>
      </w:pPr>
      <w:r>
        <w:rPr>
          <w:rFonts w:ascii="Aparajita" w:hAnsi="Aparajita" w:cs="Aparajita"/>
        </w:rPr>
        <w:t xml:space="preserve">Clauses </w:t>
      </w:r>
      <w:r w:rsidR="00596B2F">
        <w:rPr>
          <w:rFonts w:ascii="Aparajita" w:hAnsi="Aparajita" w:cs="Aparajita"/>
        </w:rPr>
        <w:t xml:space="preserve">5 – </w:t>
      </w:r>
      <w:r w:rsidR="00D038E5">
        <w:rPr>
          <w:rFonts w:ascii="Aparajita" w:hAnsi="Aparajita" w:cs="Aparajita"/>
        </w:rPr>
        <w:t>11</w:t>
      </w:r>
      <w:r w:rsidR="00596B2F">
        <w:rPr>
          <w:rFonts w:ascii="Aparajita" w:hAnsi="Aparajita" w:cs="Aparajita"/>
        </w:rPr>
        <w:t xml:space="preserve"> establish</w:t>
      </w:r>
      <w:r w:rsidR="005A40B1">
        <w:rPr>
          <w:rFonts w:ascii="Aparajita" w:hAnsi="Aparajita" w:cs="Aparajita"/>
        </w:rPr>
        <w:t xml:space="preserve"> </w:t>
      </w:r>
      <w:r w:rsidR="00596B2F">
        <w:rPr>
          <w:rFonts w:ascii="Aparajita" w:hAnsi="Aparajita" w:cs="Aparajita"/>
        </w:rPr>
        <w:t>several ideas that define Catherin</w:t>
      </w:r>
      <w:r w:rsidR="005A40B1">
        <w:rPr>
          <w:rFonts w:ascii="Aparajita" w:hAnsi="Aparajita" w:cs="Aparajita"/>
        </w:rPr>
        <w:t>e</w:t>
      </w:r>
      <w:r w:rsidR="00596B2F">
        <w:rPr>
          <w:rFonts w:ascii="Aparajita" w:hAnsi="Aparajita" w:cs="Aparajita"/>
        </w:rPr>
        <w:t>’s Russia</w:t>
      </w:r>
      <w:r w:rsidR="00564181">
        <w:rPr>
          <w:rStyle w:val="FootnoteReference"/>
          <w:rFonts w:ascii="Aparajita" w:hAnsi="Aparajita" w:cs="Aparajita"/>
        </w:rPr>
        <w:footnoteReference w:id="47"/>
      </w:r>
      <w:r w:rsidR="00596B2F">
        <w:rPr>
          <w:rFonts w:ascii="Aparajita" w:hAnsi="Aparajita" w:cs="Aparajita"/>
        </w:rPr>
        <w:t xml:space="preserve">. The sovereign is all powerful </w:t>
      </w:r>
      <w:r w:rsidR="006F31D6">
        <w:rPr>
          <w:rFonts w:ascii="Aparajita" w:hAnsi="Aparajita" w:cs="Aparajita"/>
        </w:rPr>
        <w:t xml:space="preserve">and that it is the sovereign’s duty to serve the people alone. She goes as far to say that any other form of government would be </w:t>
      </w:r>
      <w:r w:rsidR="00572C2A">
        <w:rPr>
          <w:rFonts w:ascii="Aparajita" w:hAnsi="Aparajita" w:cs="Aparajita"/>
        </w:rPr>
        <w:t>prejudicial to Russia</w:t>
      </w:r>
      <w:r w:rsidR="000F6B5E">
        <w:rPr>
          <w:rStyle w:val="FootnoteReference"/>
          <w:rFonts w:ascii="Aparajita" w:hAnsi="Aparajita" w:cs="Aparajita"/>
        </w:rPr>
        <w:footnoteReference w:id="48"/>
      </w:r>
      <w:r w:rsidR="00572C2A">
        <w:rPr>
          <w:rFonts w:ascii="Aparajita" w:hAnsi="Aparajita" w:cs="Aparajita"/>
        </w:rPr>
        <w:t xml:space="preserve">.  </w:t>
      </w:r>
      <w:r w:rsidR="00D038E5">
        <w:rPr>
          <w:rFonts w:ascii="Aparajita" w:hAnsi="Aparajita" w:cs="Aparajita"/>
        </w:rPr>
        <w:t xml:space="preserve">Clause 12 stipulates </w:t>
      </w:r>
      <w:r w:rsidR="007D2C76">
        <w:rPr>
          <w:rFonts w:ascii="Aparajita" w:hAnsi="Aparajita" w:cs="Aparajita"/>
        </w:rPr>
        <w:t>that it would be better ‘</w:t>
      </w:r>
      <w:r w:rsidR="00790E74">
        <w:rPr>
          <w:rFonts w:ascii="Aparajita" w:hAnsi="Aparajita" w:cs="Aparajita"/>
        </w:rPr>
        <w:t>to be subject to laws under one master than</w:t>
      </w:r>
      <w:r w:rsidR="00363B36">
        <w:rPr>
          <w:rFonts w:ascii="Aparajita" w:hAnsi="Aparajita" w:cs="Aparajita"/>
        </w:rPr>
        <w:t xml:space="preserve"> be subservient to many</w:t>
      </w:r>
      <w:r w:rsidR="005A40B1">
        <w:rPr>
          <w:rFonts w:ascii="Aparajita" w:hAnsi="Aparajita" w:cs="Aparajita"/>
        </w:rPr>
        <w:t>’</w:t>
      </w:r>
      <w:r w:rsidR="00363B36">
        <w:rPr>
          <w:rFonts w:ascii="Aparajita" w:hAnsi="Aparajita" w:cs="Aparajita"/>
        </w:rPr>
        <w:t xml:space="preserve">. Better to be governed by </w:t>
      </w:r>
      <w:r w:rsidR="005A40B1">
        <w:rPr>
          <w:rFonts w:ascii="Aparajita" w:hAnsi="Aparajita" w:cs="Aparajita"/>
        </w:rPr>
        <w:t>a</w:t>
      </w:r>
      <w:r w:rsidR="00363B36">
        <w:rPr>
          <w:rFonts w:ascii="Aparajita" w:hAnsi="Aparajita" w:cs="Aparajita"/>
        </w:rPr>
        <w:t>n enlightened despot rather than a mass of government officials</w:t>
      </w:r>
      <w:r w:rsidR="000F6B5E">
        <w:rPr>
          <w:rStyle w:val="FootnoteReference"/>
          <w:rFonts w:ascii="Aparajita" w:hAnsi="Aparajita" w:cs="Aparajita"/>
        </w:rPr>
        <w:footnoteReference w:id="49"/>
      </w:r>
      <w:r w:rsidR="00363B36">
        <w:rPr>
          <w:rFonts w:ascii="Aparajita" w:hAnsi="Aparajita" w:cs="Aparajita"/>
        </w:rPr>
        <w:t xml:space="preserve">. This view </w:t>
      </w:r>
      <w:r w:rsidR="00297F1B">
        <w:rPr>
          <w:rFonts w:ascii="Aparajita" w:hAnsi="Aparajita" w:cs="Aparajita"/>
        </w:rPr>
        <w:t>is in contradiction however to some philosopher</w:t>
      </w:r>
      <w:r w:rsidR="005A40B1">
        <w:rPr>
          <w:rFonts w:ascii="Aparajita" w:hAnsi="Aparajita" w:cs="Aparajita"/>
        </w:rPr>
        <w:t xml:space="preserve">s’ </w:t>
      </w:r>
      <w:r w:rsidR="00297F1B">
        <w:rPr>
          <w:rFonts w:ascii="Aparajita" w:hAnsi="Aparajita" w:cs="Aparajita"/>
        </w:rPr>
        <w:t>concept of liberty in the enlightenment</w:t>
      </w:r>
      <w:r w:rsidR="00E82A77">
        <w:rPr>
          <w:rStyle w:val="FootnoteReference"/>
          <w:rFonts w:ascii="Aparajita" w:hAnsi="Aparajita" w:cs="Aparajita"/>
        </w:rPr>
        <w:footnoteReference w:id="50"/>
      </w:r>
      <w:r w:rsidR="00297F1B">
        <w:rPr>
          <w:rFonts w:ascii="Aparajita" w:hAnsi="Aparajita" w:cs="Aparajita"/>
        </w:rPr>
        <w:t xml:space="preserve">. Jean Jacque </w:t>
      </w:r>
      <w:r w:rsidR="00F92EAC">
        <w:rPr>
          <w:rFonts w:ascii="Aparajita" w:hAnsi="Aparajita" w:cs="Aparajita"/>
        </w:rPr>
        <w:t xml:space="preserve">Rousseau’s philosophy firmly believed that to even have basic liberty, a person must take part in the political </w:t>
      </w:r>
      <w:r w:rsidR="00A43110">
        <w:rPr>
          <w:rFonts w:ascii="Aparajita" w:hAnsi="Aparajita" w:cs="Aparajita"/>
        </w:rPr>
        <w:t>pr</w:t>
      </w:r>
      <w:r w:rsidR="00F92EAC">
        <w:rPr>
          <w:rFonts w:ascii="Aparajita" w:hAnsi="Aparajita" w:cs="Aparajita"/>
        </w:rPr>
        <w:t>ocess</w:t>
      </w:r>
      <w:r w:rsidR="00E82A77">
        <w:rPr>
          <w:rStyle w:val="FootnoteReference"/>
          <w:rFonts w:ascii="Aparajita" w:hAnsi="Aparajita" w:cs="Aparajita"/>
        </w:rPr>
        <w:footnoteReference w:id="51"/>
      </w:r>
      <w:r w:rsidR="00F92EAC">
        <w:rPr>
          <w:rFonts w:ascii="Aparajita" w:hAnsi="Aparajita" w:cs="Aparajita"/>
        </w:rPr>
        <w:t xml:space="preserve">.  </w:t>
      </w:r>
      <w:r w:rsidR="00297F1B">
        <w:rPr>
          <w:rFonts w:ascii="Aparajita" w:hAnsi="Aparajita" w:cs="Aparajita"/>
        </w:rPr>
        <w:t xml:space="preserve"> </w:t>
      </w:r>
    </w:p>
    <w:p w14:paraId="5EF90343" w14:textId="6E1D9900" w:rsidR="00AE0C88" w:rsidRDefault="00AE0C88" w:rsidP="001E213F">
      <w:pPr>
        <w:rPr>
          <w:rFonts w:ascii="Aparajita" w:hAnsi="Aparajita" w:cs="Aparajita"/>
        </w:rPr>
      </w:pPr>
      <w:r>
        <w:rPr>
          <w:rFonts w:ascii="Aparajita" w:hAnsi="Aparajita" w:cs="Aparajita"/>
        </w:rPr>
        <w:t>Within an autocracy</w:t>
      </w:r>
      <w:r w:rsidR="00357CEF">
        <w:rPr>
          <w:rFonts w:ascii="Aparajita" w:hAnsi="Aparajita" w:cs="Aparajita"/>
        </w:rPr>
        <w:t>,</w:t>
      </w:r>
      <w:r>
        <w:rPr>
          <w:rFonts w:ascii="Aparajita" w:hAnsi="Aparajita" w:cs="Aparajita"/>
        </w:rPr>
        <w:t xml:space="preserve"> only the sovereign wields political power</w:t>
      </w:r>
      <w:r w:rsidR="00E85B7F">
        <w:rPr>
          <w:rStyle w:val="FootnoteReference"/>
          <w:rFonts w:ascii="Aparajita" w:hAnsi="Aparajita" w:cs="Aparajita"/>
        </w:rPr>
        <w:footnoteReference w:id="52"/>
      </w:r>
      <w:r>
        <w:rPr>
          <w:rFonts w:ascii="Aparajita" w:hAnsi="Aparajita" w:cs="Aparajita"/>
        </w:rPr>
        <w:t>.</w:t>
      </w:r>
      <w:r w:rsidR="00357CEF">
        <w:rPr>
          <w:rFonts w:ascii="Aparajita" w:hAnsi="Aparajita" w:cs="Aparajita"/>
        </w:rPr>
        <w:t xml:space="preserve"> </w:t>
      </w:r>
      <w:r w:rsidR="001A3026">
        <w:rPr>
          <w:rFonts w:ascii="Aparajita" w:hAnsi="Aparajita" w:cs="Aparajita"/>
        </w:rPr>
        <w:t xml:space="preserve">Catherine’s legitimation of such power is that a </w:t>
      </w:r>
      <w:r w:rsidR="0069035F">
        <w:rPr>
          <w:rFonts w:ascii="Aparajita" w:hAnsi="Aparajita" w:cs="Aparajita"/>
        </w:rPr>
        <w:t>sovereign’s controls</w:t>
      </w:r>
      <w:r w:rsidR="001A3026">
        <w:rPr>
          <w:rFonts w:ascii="Aparajita" w:hAnsi="Aparajita" w:cs="Aparajita"/>
        </w:rPr>
        <w:t xml:space="preserve"> the powers of governance to create liberty for the masses through the passing of laws</w:t>
      </w:r>
      <w:r w:rsidR="00AE6619">
        <w:rPr>
          <w:rStyle w:val="FootnoteReference"/>
          <w:rFonts w:ascii="Aparajita" w:hAnsi="Aparajita" w:cs="Aparajita"/>
        </w:rPr>
        <w:footnoteReference w:id="53"/>
      </w:r>
      <w:r w:rsidR="001A3026">
        <w:rPr>
          <w:rFonts w:ascii="Aparajita" w:hAnsi="Aparajita" w:cs="Aparajita"/>
        </w:rPr>
        <w:t xml:space="preserve">. </w:t>
      </w:r>
      <w:r w:rsidR="00357CEF">
        <w:rPr>
          <w:rFonts w:ascii="Aparajita" w:hAnsi="Aparajita" w:cs="Aparajita"/>
        </w:rPr>
        <w:t xml:space="preserve">In </w:t>
      </w:r>
      <w:r w:rsidR="0069035F">
        <w:rPr>
          <w:rFonts w:ascii="Aparajita" w:hAnsi="Aparajita" w:cs="Aparajita"/>
          <w:i/>
        </w:rPr>
        <w:t>the</w:t>
      </w:r>
      <w:r w:rsidR="001A3026">
        <w:rPr>
          <w:rFonts w:ascii="Aparajita" w:hAnsi="Aparajita" w:cs="Aparajita"/>
          <w:i/>
        </w:rPr>
        <w:t xml:space="preserve"> Instruction</w:t>
      </w:r>
      <w:r w:rsidR="00357CEF">
        <w:rPr>
          <w:rFonts w:ascii="Aparajita" w:hAnsi="Aparajita" w:cs="Aparajita"/>
          <w:i/>
        </w:rPr>
        <w:t>,</w:t>
      </w:r>
      <w:r w:rsidR="001A3026">
        <w:rPr>
          <w:rFonts w:ascii="Aparajita" w:hAnsi="Aparajita" w:cs="Aparajita"/>
          <w:i/>
        </w:rPr>
        <w:t xml:space="preserve"> </w:t>
      </w:r>
      <w:r w:rsidR="001A3026">
        <w:rPr>
          <w:rFonts w:ascii="Aparajita" w:hAnsi="Aparajita" w:cs="Aparajita"/>
        </w:rPr>
        <w:t>as indicated by Catherine herself</w:t>
      </w:r>
      <w:r w:rsidR="00357CEF">
        <w:rPr>
          <w:rFonts w:ascii="Aparajita" w:hAnsi="Aparajita" w:cs="Aparajita"/>
        </w:rPr>
        <w:t>,</w:t>
      </w:r>
      <w:r w:rsidR="001A3026">
        <w:rPr>
          <w:rFonts w:ascii="Aparajita" w:hAnsi="Aparajita" w:cs="Aparajita"/>
        </w:rPr>
        <w:t xml:space="preserve"> she gives credit to the influence of Beccaria and his </w:t>
      </w:r>
      <w:r w:rsidR="001A3026">
        <w:rPr>
          <w:rFonts w:ascii="Aparajita" w:hAnsi="Aparajita" w:cs="Aparajita"/>
          <w:i/>
        </w:rPr>
        <w:t>On Crimes and Punishment</w:t>
      </w:r>
      <w:r w:rsidR="00AE6619">
        <w:rPr>
          <w:rStyle w:val="FootnoteReference"/>
          <w:rFonts w:ascii="Aparajita" w:hAnsi="Aparajita" w:cs="Aparajita"/>
          <w:i/>
        </w:rPr>
        <w:footnoteReference w:id="54"/>
      </w:r>
      <w:r w:rsidR="001A3026">
        <w:rPr>
          <w:rFonts w:ascii="Aparajita" w:hAnsi="Aparajita" w:cs="Aparajita"/>
          <w:i/>
        </w:rPr>
        <w:t xml:space="preserve">. </w:t>
      </w:r>
      <w:r w:rsidR="001A3026">
        <w:rPr>
          <w:rFonts w:ascii="Aparajita" w:hAnsi="Aparajita" w:cs="Aparajita"/>
        </w:rPr>
        <w:t xml:space="preserve">Beccaria </w:t>
      </w:r>
      <w:r w:rsidR="00707FC0">
        <w:rPr>
          <w:rFonts w:ascii="Aparajita" w:hAnsi="Aparajita" w:cs="Aparajita"/>
        </w:rPr>
        <w:t>protested</w:t>
      </w:r>
      <w:r w:rsidR="001A3026">
        <w:rPr>
          <w:rFonts w:ascii="Aparajita" w:hAnsi="Aparajita" w:cs="Aparajita"/>
        </w:rPr>
        <w:t xml:space="preserve"> the discretionary power of judges to sentence, </w:t>
      </w:r>
      <w:r w:rsidR="00357CEF">
        <w:rPr>
          <w:rFonts w:ascii="Aparajita" w:hAnsi="Aparajita" w:cs="Aparajita"/>
        </w:rPr>
        <w:t xml:space="preserve">and </w:t>
      </w:r>
      <w:r w:rsidR="001A3026">
        <w:rPr>
          <w:rFonts w:ascii="Aparajita" w:hAnsi="Aparajita" w:cs="Aparajita"/>
        </w:rPr>
        <w:t>the use of torture to discover information before a</w:t>
      </w:r>
      <w:r w:rsidR="00707FC0">
        <w:rPr>
          <w:rFonts w:ascii="Aparajita" w:hAnsi="Aparajita" w:cs="Aparajita"/>
        </w:rPr>
        <w:t>n</w:t>
      </w:r>
      <w:r w:rsidR="001A3026">
        <w:rPr>
          <w:rFonts w:ascii="Aparajita" w:hAnsi="Aparajita" w:cs="Aparajita"/>
        </w:rPr>
        <w:t xml:space="preserve"> accused was found guilty</w:t>
      </w:r>
      <w:r w:rsidR="00F926D0">
        <w:rPr>
          <w:rStyle w:val="FootnoteReference"/>
          <w:rFonts w:ascii="Aparajita" w:hAnsi="Aparajita" w:cs="Aparajita"/>
        </w:rPr>
        <w:footnoteReference w:id="55"/>
      </w:r>
      <w:r w:rsidR="001A3026">
        <w:rPr>
          <w:rFonts w:ascii="Aparajita" w:hAnsi="Aparajita" w:cs="Aparajita"/>
        </w:rPr>
        <w:t xml:space="preserve">. Punishment </w:t>
      </w:r>
      <w:r w:rsidR="00357CEF">
        <w:rPr>
          <w:rFonts w:ascii="Aparajita" w:hAnsi="Aparajita" w:cs="Aparajita"/>
        </w:rPr>
        <w:t xml:space="preserve">was </w:t>
      </w:r>
      <w:r w:rsidR="001A3026">
        <w:rPr>
          <w:rFonts w:ascii="Aparajita" w:hAnsi="Aparajita" w:cs="Aparajita"/>
        </w:rPr>
        <w:t>to be used as a deterrent</w:t>
      </w:r>
      <w:r w:rsidR="001F3ABC">
        <w:rPr>
          <w:rStyle w:val="FootnoteReference"/>
          <w:rFonts w:ascii="Aparajita" w:hAnsi="Aparajita" w:cs="Aparajita"/>
        </w:rPr>
        <w:footnoteReference w:id="56"/>
      </w:r>
      <w:r w:rsidR="001A3026">
        <w:rPr>
          <w:rFonts w:ascii="Aparajita" w:hAnsi="Aparajita" w:cs="Aparajita"/>
        </w:rPr>
        <w:t xml:space="preserve">. </w:t>
      </w:r>
      <w:r w:rsidR="001A3026">
        <w:rPr>
          <w:rFonts w:ascii="Aparajita" w:hAnsi="Aparajita" w:cs="Aparajita"/>
          <w:i/>
        </w:rPr>
        <w:t xml:space="preserve">The Instruction </w:t>
      </w:r>
      <w:r w:rsidR="001A3026">
        <w:rPr>
          <w:rFonts w:ascii="Aparajita" w:hAnsi="Aparajita" w:cs="Aparajita"/>
        </w:rPr>
        <w:t>creates an environment that makes this possible</w:t>
      </w:r>
      <w:r w:rsidR="001F3ABC">
        <w:rPr>
          <w:rStyle w:val="FootnoteReference"/>
          <w:rFonts w:ascii="Aparajita" w:hAnsi="Aparajita" w:cs="Aparajita"/>
        </w:rPr>
        <w:footnoteReference w:id="57"/>
      </w:r>
      <w:r w:rsidR="001A3026">
        <w:rPr>
          <w:rFonts w:ascii="Aparajita" w:hAnsi="Aparajita" w:cs="Aparajita"/>
        </w:rPr>
        <w:t>. All levels of society</w:t>
      </w:r>
      <w:r w:rsidR="00357CEF">
        <w:rPr>
          <w:rFonts w:ascii="Aparajita" w:hAnsi="Aparajita" w:cs="Aparajita"/>
        </w:rPr>
        <w:t xml:space="preserve"> were to be</w:t>
      </w:r>
      <w:r w:rsidR="001A3026">
        <w:rPr>
          <w:rFonts w:ascii="Aparajita" w:hAnsi="Aparajita" w:cs="Aparajita"/>
        </w:rPr>
        <w:t xml:space="preserve"> beholden to the </w:t>
      </w:r>
      <w:r w:rsidR="00EB0CB1">
        <w:rPr>
          <w:rFonts w:ascii="Aparajita" w:hAnsi="Aparajita" w:cs="Aparajita"/>
        </w:rPr>
        <w:t xml:space="preserve">laws including </w:t>
      </w:r>
      <w:r w:rsidR="001A3026">
        <w:rPr>
          <w:rFonts w:ascii="Aparajita" w:hAnsi="Aparajita" w:cs="Aparajita"/>
        </w:rPr>
        <w:t>nobles</w:t>
      </w:r>
      <w:r w:rsidR="00BF3A35">
        <w:rPr>
          <w:rStyle w:val="FootnoteReference"/>
          <w:rFonts w:ascii="Aparajita" w:hAnsi="Aparajita" w:cs="Aparajita"/>
        </w:rPr>
        <w:footnoteReference w:id="58"/>
      </w:r>
      <w:r w:rsidR="00EB0CB1">
        <w:rPr>
          <w:rFonts w:ascii="Aparajita" w:hAnsi="Aparajita" w:cs="Aparajita"/>
        </w:rPr>
        <w:t xml:space="preserve">. Laws </w:t>
      </w:r>
      <w:r w:rsidR="00357CEF">
        <w:rPr>
          <w:rFonts w:ascii="Aparajita" w:hAnsi="Aparajita" w:cs="Aparajita"/>
        </w:rPr>
        <w:t xml:space="preserve">were </w:t>
      </w:r>
      <w:r w:rsidR="00EB0CB1">
        <w:rPr>
          <w:rFonts w:ascii="Aparajita" w:hAnsi="Aparajita" w:cs="Aparajita"/>
        </w:rPr>
        <w:t>to be established with punishments that</w:t>
      </w:r>
      <w:r w:rsidR="00357CEF">
        <w:rPr>
          <w:rFonts w:ascii="Aparajita" w:hAnsi="Aparajita" w:cs="Aparajita"/>
        </w:rPr>
        <w:t xml:space="preserve"> would</w:t>
      </w:r>
      <w:r w:rsidR="00EB0CB1">
        <w:rPr>
          <w:rFonts w:ascii="Aparajita" w:hAnsi="Aparajita" w:cs="Aparajita"/>
        </w:rPr>
        <w:t xml:space="preserve"> deter others f</w:t>
      </w:r>
      <w:r w:rsidR="00707FC0">
        <w:rPr>
          <w:rFonts w:ascii="Aparajita" w:hAnsi="Aparajita" w:cs="Aparajita"/>
        </w:rPr>
        <w:t>ro</w:t>
      </w:r>
      <w:r w:rsidR="00EB0CB1">
        <w:rPr>
          <w:rFonts w:ascii="Aparajita" w:hAnsi="Aparajita" w:cs="Aparajita"/>
        </w:rPr>
        <w:t xml:space="preserve">m impinging on other </w:t>
      </w:r>
      <w:r w:rsidR="00707FC0">
        <w:rPr>
          <w:rFonts w:ascii="Aparajita" w:hAnsi="Aparajita" w:cs="Aparajita"/>
        </w:rPr>
        <w:t>citizens’</w:t>
      </w:r>
      <w:r w:rsidR="00EB0CB1">
        <w:rPr>
          <w:rFonts w:ascii="Aparajita" w:hAnsi="Aparajita" w:cs="Aparajita"/>
        </w:rPr>
        <w:t xml:space="preserve"> rights</w:t>
      </w:r>
      <w:r w:rsidR="00BF3A35">
        <w:rPr>
          <w:rStyle w:val="FootnoteReference"/>
          <w:rFonts w:ascii="Aparajita" w:hAnsi="Aparajita" w:cs="Aparajita"/>
        </w:rPr>
        <w:footnoteReference w:id="59"/>
      </w:r>
      <w:r w:rsidR="00707FC0">
        <w:rPr>
          <w:rFonts w:ascii="Aparajita" w:hAnsi="Aparajita" w:cs="Aparajita"/>
        </w:rPr>
        <w:t>. The hypocrisy of it within Russia was who laws applied to</w:t>
      </w:r>
      <w:r w:rsidR="005438F7">
        <w:rPr>
          <w:rStyle w:val="FootnoteReference"/>
          <w:rFonts w:ascii="Aparajita" w:hAnsi="Aparajita" w:cs="Aparajita"/>
        </w:rPr>
        <w:footnoteReference w:id="60"/>
      </w:r>
      <w:r w:rsidR="00707FC0">
        <w:rPr>
          <w:rFonts w:ascii="Aparajita" w:hAnsi="Aparajita" w:cs="Aparajita"/>
        </w:rPr>
        <w:t xml:space="preserve">. Most of the peasantry in 1767 were serfs, people tied to land and could be bought and sold just like the slaves of the </w:t>
      </w:r>
      <w:r w:rsidR="00357CEF">
        <w:rPr>
          <w:rFonts w:ascii="Aparajita" w:hAnsi="Aparajita" w:cs="Aparajita"/>
        </w:rPr>
        <w:t>W</w:t>
      </w:r>
      <w:r w:rsidR="00707FC0">
        <w:rPr>
          <w:rFonts w:ascii="Aparajita" w:hAnsi="Aparajita" w:cs="Aparajita"/>
        </w:rPr>
        <w:t xml:space="preserve">est </w:t>
      </w:r>
      <w:r w:rsidR="00357CEF">
        <w:rPr>
          <w:rFonts w:ascii="Aparajita" w:hAnsi="Aparajita" w:cs="Aparajita"/>
        </w:rPr>
        <w:t>I</w:t>
      </w:r>
      <w:r w:rsidR="00707FC0">
        <w:rPr>
          <w:rFonts w:ascii="Aparajita" w:hAnsi="Aparajita" w:cs="Aparajita"/>
        </w:rPr>
        <w:t>ndies</w:t>
      </w:r>
      <w:r w:rsidR="005438F7">
        <w:rPr>
          <w:rStyle w:val="FootnoteReference"/>
          <w:rFonts w:ascii="Aparajita" w:hAnsi="Aparajita" w:cs="Aparajita"/>
        </w:rPr>
        <w:footnoteReference w:id="61"/>
      </w:r>
      <w:r w:rsidR="00707FC0">
        <w:rPr>
          <w:rFonts w:ascii="Aparajita" w:hAnsi="Aparajita" w:cs="Aparajita"/>
        </w:rPr>
        <w:t>. They could be punished and put to death like slave</w:t>
      </w:r>
      <w:r w:rsidR="00357CEF">
        <w:rPr>
          <w:rFonts w:ascii="Aparajita" w:hAnsi="Aparajita" w:cs="Aparajita"/>
        </w:rPr>
        <w:t>s</w:t>
      </w:r>
      <w:r w:rsidR="00707FC0">
        <w:rPr>
          <w:rFonts w:ascii="Aparajita" w:hAnsi="Aparajita" w:cs="Aparajita"/>
        </w:rPr>
        <w:t xml:space="preserve"> by their noble masters</w:t>
      </w:r>
      <w:r w:rsidR="005438F7">
        <w:rPr>
          <w:rStyle w:val="FootnoteReference"/>
          <w:rFonts w:ascii="Aparajita" w:hAnsi="Aparajita" w:cs="Aparajita"/>
        </w:rPr>
        <w:footnoteReference w:id="62"/>
      </w:r>
      <w:r w:rsidR="00707FC0">
        <w:rPr>
          <w:rFonts w:ascii="Aparajita" w:hAnsi="Aparajita" w:cs="Aparajita"/>
        </w:rPr>
        <w:t xml:space="preserve">. </w:t>
      </w:r>
      <w:r w:rsidR="00C62CB5">
        <w:rPr>
          <w:rFonts w:ascii="Aparajita" w:hAnsi="Aparajita" w:cs="Aparajita"/>
        </w:rPr>
        <w:t xml:space="preserve">Laws applied excluding certain peoples </w:t>
      </w:r>
      <w:r w:rsidR="00895592">
        <w:rPr>
          <w:rFonts w:ascii="Aparajita" w:hAnsi="Aparajita" w:cs="Aparajita"/>
        </w:rPr>
        <w:t>was not what Beccaria had in mind</w:t>
      </w:r>
      <w:r w:rsidR="00C75DD5">
        <w:rPr>
          <w:rStyle w:val="FootnoteReference"/>
          <w:rFonts w:ascii="Aparajita" w:hAnsi="Aparajita" w:cs="Aparajita"/>
        </w:rPr>
        <w:footnoteReference w:id="63"/>
      </w:r>
      <w:r w:rsidR="00895592">
        <w:rPr>
          <w:rFonts w:ascii="Aparajita" w:hAnsi="Aparajita" w:cs="Aparajita"/>
        </w:rPr>
        <w:t xml:space="preserve">. </w:t>
      </w:r>
      <w:r w:rsidR="001F326D">
        <w:rPr>
          <w:rFonts w:ascii="Aparajita" w:hAnsi="Aparajita" w:cs="Aparajita"/>
        </w:rPr>
        <w:t xml:space="preserve"> </w:t>
      </w:r>
    </w:p>
    <w:p w14:paraId="69B105FD" w14:textId="15A7E5BC" w:rsidR="00E80CA5" w:rsidRDefault="00567FFA" w:rsidP="001E213F">
      <w:pPr>
        <w:rPr>
          <w:rFonts w:ascii="Aparajita" w:hAnsi="Aparajita" w:cs="Aparajita"/>
        </w:rPr>
      </w:pPr>
      <w:r>
        <w:rPr>
          <w:rFonts w:ascii="Aparajita" w:hAnsi="Aparajita" w:cs="Aparajita"/>
        </w:rPr>
        <w:t xml:space="preserve">It is known that when </w:t>
      </w:r>
      <w:r>
        <w:rPr>
          <w:rFonts w:ascii="Aparajita" w:hAnsi="Aparajita" w:cs="Aparajita"/>
          <w:i/>
        </w:rPr>
        <w:t xml:space="preserve">The Instruction </w:t>
      </w:r>
      <w:r>
        <w:rPr>
          <w:rFonts w:ascii="Aparajita" w:hAnsi="Aparajita" w:cs="Aparajita"/>
        </w:rPr>
        <w:t>was first published many</w:t>
      </w:r>
      <w:r w:rsidR="00357CEF">
        <w:rPr>
          <w:rFonts w:ascii="Aparajita" w:hAnsi="Aparajita" w:cs="Aparajita"/>
        </w:rPr>
        <w:t xml:space="preserve"> </w:t>
      </w:r>
      <w:r>
        <w:rPr>
          <w:rFonts w:ascii="Aparajita" w:hAnsi="Aparajita" w:cs="Aparajita"/>
        </w:rPr>
        <w:t>Philosophe</w:t>
      </w:r>
      <w:r w:rsidR="00357CEF">
        <w:rPr>
          <w:rFonts w:ascii="Aparajita" w:hAnsi="Aparajita" w:cs="Aparajita"/>
        </w:rPr>
        <w:t>rs</w:t>
      </w:r>
      <w:r>
        <w:rPr>
          <w:rFonts w:ascii="Aparajita" w:hAnsi="Aparajita" w:cs="Aparajita"/>
        </w:rPr>
        <w:t xml:space="preserve"> believed that it would bring great change to Russia</w:t>
      </w:r>
      <w:r w:rsidR="00F910B8">
        <w:rPr>
          <w:rStyle w:val="FootnoteReference"/>
          <w:rFonts w:ascii="Aparajita" w:hAnsi="Aparajita" w:cs="Aparajita"/>
        </w:rPr>
        <w:footnoteReference w:id="64"/>
      </w:r>
      <w:r>
        <w:rPr>
          <w:rFonts w:ascii="Aparajita" w:hAnsi="Aparajita" w:cs="Aparajita"/>
        </w:rPr>
        <w:t xml:space="preserve">. However, it did not. Diderot visited the Imperial Court expecting to see an enlightened </w:t>
      </w:r>
      <w:r w:rsidR="00357CEF">
        <w:rPr>
          <w:rFonts w:ascii="Aparajita" w:hAnsi="Aparajita" w:cs="Aparajita"/>
        </w:rPr>
        <w:t>e</w:t>
      </w:r>
      <w:r>
        <w:rPr>
          <w:rFonts w:ascii="Aparajita" w:hAnsi="Aparajita" w:cs="Aparajita"/>
        </w:rPr>
        <w:t xml:space="preserve">mpress and </w:t>
      </w:r>
      <w:r w:rsidR="00357CEF">
        <w:rPr>
          <w:rFonts w:ascii="Aparajita" w:hAnsi="Aparajita" w:cs="Aparajita"/>
        </w:rPr>
        <w:t>n</w:t>
      </w:r>
      <w:r>
        <w:rPr>
          <w:rFonts w:ascii="Aparajita" w:hAnsi="Aparajita" w:cs="Aparajita"/>
        </w:rPr>
        <w:t>obility however he was disappointed</w:t>
      </w:r>
      <w:r w:rsidR="00152C5C">
        <w:rPr>
          <w:rStyle w:val="FootnoteReference"/>
          <w:rFonts w:ascii="Aparajita" w:hAnsi="Aparajita" w:cs="Aparajita"/>
        </w:rPr>
        <w:footnoteReference w:id="65"/>
      </w:r>
      <w:r>
        <w:rPr>
          <w:rFonts w:ascii="Aparajita" w:hAnsi="Aparajita" w:cs="Aparajita"/>
        </w:rPr>
        <w:t xml:space="preserve">. It was reported he had a complete reverse reaction to the myth of Catherine and saw it more as an </w:t>
      </w:r>
      <w:r w:rsidR="00357CEF">
        <w:rPr>
          <w:rFonts w:ascii="Aparajita" w:hAnsi="Aparajita" w:cs="Aparajita"/>
        </w:rPr>
        <w:lastRenderedPageBreak/>
        <w:t>e</w:t>
      </w:r>
      <w:r>
        <w:rPr>
          <w:rFonts w:ascii="Aparajita" w:hAnsi="Aparajita" w:cs="Aparajita"/>
        </w:rPr>
        <w:t xml:space="preserve">nlightened </w:t>
      </w:r>
      <w:r w:rsidR="00357CEF">
        <w:rPr>
          <w:rFonts w:ascii="Aparajita" w:hAnsi="Aparajita" w:cs="Aparajita"/>
        </w:rPr>
        <w:t>m</w:t>
      </w:r>
      <w:r>
        <w:rPr>
          <w:rFonts w:ascii="Aparajita" w:hAnsi="Aparajita" w:cs="Aparajita"/>
        </w:rPr>
        <w:t>irage</w:t>
      </w:r>
      <w:r w:rsidR="00152C5C">
        <w:rPr>
          <w:rStyle w:val="FootnoteReference"/>
          <w:rFonts w:ascii="Aparajita" w:hAnsi="Aparajita" w:cs="Aparajita"/>
        </w:rPr>
        <w:footnoteReference w:id="66"/>
      </w:r>
      <w:r>
        <w:rPr>
          <w:rFonts w:ascii="Aparajita" w:hAnsi="Aparajita" w:cs="Aparajita"/>
        </w:rPr>
        <w:t xml:space="preserve">. Catherine was prepared to engage with the </w:t>
      </w:r>
      <w:r w:rsidR="00357CEF">
        <w:rPr>
          <w:rFonts w:ascii="Aparajita" w:hAnsi="Aparajita" w:cs="Aparajita"/>
        </w:rPr>
        <w:t>Enlightenment</w:t>
      </w:r>
      <w:r>
        <w:rPr>
          <w:rFonts w:ascii="Aparajita" w:hAnsi="Aparajita" w:cs="Aparajita"/>
        </w:rPr>
        <w:t xml:space="preserve"> but was not prepared to let go of the Russian </w:t>
      </w:r>
      <w:r w:rsidR="00357CEF">
        <w:rPr>
          <w:rFonts w:ascii="Aparajita" w:hAnsi="Aparajita" w:cs="Aparajita"/>
        </w:rPr>
        <w:t>Identity</w:t>
      </w:r>
      <w:r w:rsidR="00152C5C">
        <w:rPr>
          <w:rStyle w:val="FootnoteReference"/>
          <w:rFonts w:ascii="Aparajita" w:hAnsi="Aparajita" w:cs="Aparajita"/>
        </w:rPr>
        <w:footnoteReference w:id="67"/>
      </w:r>
      <w:r>
        <w:rPr>
          <w:rFonts w:ascii="Aparajita" w:hAnsi="Aparajita" w:cs="Aparajita"/>
        </w:rPr>
        <w:t xml:space="preserve">. Underlining all the reforms in </w:t>
      </w:r>
      <w:r>
        <w:rPr>
          <w:rFonts w:ascii="Aparajita" w:hAnsi="Aparajita" w:cs="Aparajita"/>
          <w:i/>
        </w:rPr>
        <w:t>The Instruction</w:t>
      </w:r>
      <w:r>
        <w:rPr>
          <w:rFonts w:ascii="Aparajita" w:hAnsi="Aparajita" w:cs="Aparajita"/>
        </w:rPr>
        <w:t xml:space="preserve"> is the proponent that the sovereign is all powerful and that it is their duty </w:t>
      </w:r>
      <w:r w:rsidR="00357CEF">
        <w:rPr>
          <w:rFonts w:ascii="Aparajita" w:hAnsi="Aparajita" w:cs="Aparajita"/>
        </w:rPr>
        <w:t>to be</w:t>
      </w:r>
      <w:r>
        <w:rPr>
          <w:rFonts w:ascii="Aparajita" w:hAnsi="Aparajita" w:cs="Aparajita"/>
        </w:rPr>
        <w:t xml:space="preserve"> the only vessel that can keep the people safe</w:t>
      </w:r>
      <w:r w:rsidR="00152C5C">
        <w:rPr>
          <w:rStyle w:val="FootnoteReference"/>
          <w:rFonts w:ascii="Aparajita" w:hAnsi="Aparajita" w:cs="Aparajita"/>
        </w:rPr>
        <w:footnoteReference w:id="68"/>
      </w:r>
      <w:r>
        <w:rPr>
          <w:rFonts w:ascii="Aparajita" w:hAnsi="Aparajita" w:cs="Aparajita"/>
        </w:rPr>
        <w:t xml:space="preserve">. This very limit of </w:t>
      </w:r>
      <w:r w:rsidR="008B3E13">
        <w:rPr>
          <w:rFonts w:ascii="Aparajita" w:hAnsi="Aparajita" w:cs="Aparajita"/>
        </w:rPr>
        <w:t>one-man</w:t>
      </w:r>
      <w:r>
        <w:rPr>
          <w:rFonts w:ascii="Aparajita" w:hAnsi="Aparajita" w:cs="Aparajita"/>
        </w:rPr>
        <w:t xml:space="preserve"> rule is what inhibited Russia from absorbing the </w:t>
      </w:r>
      <w:r w:rsidR="00357CEF">
        <w:rPr>
          <w:rFonts w:ascii="Aparajita" w:hAnsi="Aparajita" w:cs="Aparajita"/>
        </w:rPr>
        <w:t>En</w:t>
      </w:r>
      <w:r>
        <w:rPr>
          <w:rFonts w:ascii="Aparajita" w:hAnsi="Aparajita" w:cs="Aparajita"/>
        </w:rPr>
        <w:t>lightenment</w:t>
      </w:r>
      <w:r w:rsidR="00152C5C">
        <w:rPr>
          <w:rStyle w:val="FootnoteReference"/>
          <w:rFonts w:ascii="Aparajita" w:hAnsi="Aparajita" w:cs="Aparajita"/>
        </w:rPr>
        <w:footnoteReference w:id="69"/>
      </w:r>
      <w:r w:rsidR="008B3E13">
        <w:rPr>
          <w:rFonts w:ascii="Aparajita" w:hAnsi="Aparajita" w:cs="Aparajita"/>
        </w:rPr>
        <w:t xml:space="preserve">. </w:t>
      </w:r>
    </w:p>
    <w:p w14:paraId="25BA53A5" w14:textId="6444EA6F" w:rsidR="008B3E13" w:rsidRDefault="008B3E13" w:rsidP="001E213F">
      <w:pPr>
        <w:rPr>
          <w:rFonts w:ascii="Aparajita" w:hAnsi="Aparajita" w:cs="Aparajita"/>
        </w:rPr>
      </w:pPr>
      <w:r>
        <w:rPr>
          <w:rFonts w:ascii="Aparajita" w:hAnsi="Aparajita" w:cs="Aparajita"/>
        </w:rPr>
        <w:t>Up until the rise of Peter the Great, Russia had been dominated by the Orthodox Church</w:t>
      </w:r>
      <w:r w:rsidR="00C43CB0">
        <w:rPr>
          <w:rStyle w:val="FootnoteReference"/>
          <w:rFonts w:ascii="Aparajita" w:hAnsi="Aparajita" w:cs="Aparajita"/>
        </w:rPr>
        <w:footnoteReference w:id="70"/>
      </w:r>
      <w:r>
        <w:rPr>
          <w:rFonts w:ascii="Aparajita" w:hAnsi="Aparajita" w:cs="Aparajita"/>
        </w:rPr>
        <w:t>. Even the Tsars were compelled to follow their decrees via religion</w:t>
      </w:r>
      <w:r w:rsidR="00526773">
        <w:rPr>
          <w:rStyle w:val="FootnoteReference"/>
          <w:rFonts w:ascii="Aparajita" w:hAnsi="Aparajita" w:cs="Aparajita"/>
        </w:rPr>
        <w:footnoteReference w:id="71"/>
      </w:r>
      <w:r>
        <w:rPr>
          <w:rFonts w:ascii="Aparajita" w:hAnsi="Aparajita" w:cs="Aparajita"/>
        </w:rPr>
        <w:t xml:space="preserve">. In 1722 Peter the Great dissolved the Orthodox Patriarchy, meaning that </w:t>
      </w:r>
      <w:r w:rsidR="004571D4">
        <w:rPr>
          <w:rFonts w:ascii="Aparajita" w:hAnsi="Aparajita" w:cs="Aparajita"/>
        </w:rPr>
        <w:t>there</w:t>
      </w:r>
      <w:r>
        <w:rPr>
          <w:rFonts w:ascii="Aparajita" w:hAnsi="Aparajita" w:cs="Aparajita"/>
        </w:rPr>
        <w:t xml:space="preserve"> would be no more opposition to his policies of westernisation</w:t>
      </w:r>
      <w:r w:rsidR="00526773">
        <w:rPr>
          <w:rStyle w:val="FootnoteReference"/>
          <w:rFonts w:ascii="Aparajita" w:hAnsi="Aparajita" w:cs="Aparajita"/>
        </w:rPr>
        <w:footnoteReference w:id="72"/>
      </w:r>
      <w:r>
        <w:rPr>
          <w:rFonts w:ascii="Aparajita" w:hAnsi="Aparajita" w:cs="Aparajita"/>
        </w:rPr>
        <w:t>. By 1767 Russian resistance was still evident in the nobility</w:t>
      </w:r>
      <w:r w:rsidR="00526773">
        <w:rPr>
          <w:rFonts w:ascii="Aparajita" w:hAnsi="Aparajita" w:cs="Aparajita"/>
        </w:rPr>
        <w:t>; s</w:t>
      </w:r>
      <w:r>
        <w:rPr>
          <w:rFonts w:ascii="Aparajita" w:hAnsi="Aparajita" w:cs="Aparajita"/>
        </w:rPr>
        <w:t xml:space="preserve">ome hoped for a new constitution and thought the </w:t>
      </w:r>
      <w:r>
        <w:rPr>
          <w:rFonts w:ascii="Aparajita" w:hAnsi="Aparajita" w:cs="Aparajita"/>
          <w:i/>
        </w:rPr>
        <w:t xml:space="preserve">Nakaz </w:t>
      </w:r>
      <w:r>
        <w:rPr>
          <w:rFonts w:ascii="Aparajita" w:hAnsi="Aparajita" w:cs="Aparajita"/>
        </w:rPr>
        <w:t xml:space="preserve">would create a constitutional </w:t>
      </w:r>
      <w:r w:rsidR="00265E25">
        <w:rPr>
          <w:rFonts w:ascii="Aparajita" w:hAnsi="Aparajita" w:cs="Aparajita"/>
        </w:rPr>
        <w:t>system but</w:t>
      </w:r>
      <w:r>
        <w:rPr>
          <w:rFonts w:ascii="Aparajita" w:hAnsi="Aparajita" w:cs="Aparajita"/>
        </w:rPr>
        <w:t xml:space="preserve"> would not</w:t>
      </w:r>
      <w:r w:rsidR="00526773">
        <w:rPr>
          <w:rStyle w:val="FootnoteReference"/>
          <w:rFonts w:ascii="Aparajita" w:hAnsi="Aparajita" w:cs="Aparajita"/>
        </w:rPr>
        <w:footnoteReference w:id="73"/>
      </w:r>
      <w:r>
        <w:rPr>
          <w:rFonts w:ascii="Aparajita" w:hAnsi="Aparajita" w:cs="Aparajita"/>
        </w:rPr>
        <w:t xml:space="preserve">. Rather it only set the foundations for a later Russian </w:t>
      </w:r>
      <w:r w:rsidR="00A01AE0">
        <w:rPr>
          <w:rFonts w:ascii="Aparajita" w:hAnsi="Aparajita" w:cs="Aparajita"/>
        </w:rPr>
        <w:t>E</w:t>
      </w:r>
      <w:r>
        <w:rPr>
          <w:rFonts w:ascii="Aparajita" w:hAnsi="Aparajita" w:cs="Aparajita"/>
        </w:rPr>
        <w:t xml:space="preserve">nlightenment. </w:t>
      </w:r>
      <w:r w:rsidR="00A01AE0">
        <w:rPr>
          <w:rFonts w:ascii="Aparajita" w:hAnsi="Aparajita" w:cs="Aparajita"/>
        </w:rPr>
        <w:t xml:space="preserve">Catherine was supported by the </w:t>
      </w:r>
      <w:r w:rsidR="00357CEF">
        <w:rPr>
          <w:rFonts w:ascii="Aparajita" w:hAnsi="Aparajita" w:cs="Aparajita"/>
        </w:rPr>
        <w:t>no</w:t>
      </w:r>
      <w:r w:rsidR="00A01AE0">
        <w:rPr>
          <w:rFonts w:ascii="Aparajita" w:hAnsi="Aparajita" w:cs="Aparajita"/>
        </w:rPr>
        <w:t>bility, so could not afford to undo the system</w:t>
      </w:r>
      <w:r w:rsidR="00E07A98">
        <w:rPr>
          <w:rStyle w:val="FootnoteReference"/>
          <w:rFonts w:ascii="Aparajita" w:hAnsi="Aparajita" w:cs="Aparajita"/>
        </w:rPr>
        <w:footnoteReference w:id="74"/>
      </w:r>
      <w:r w:rsidR="00E07A98">
        <w:rPr>
          <w:rFonts w:ascii="Aparajita" w:hAnsi="Aparajita" w:cs="Aparajita"/>
        </w:rPr>
        <w:t>.</w:t>
      </w:r>
      <w:r w:rsidR="00A01AE0">
        <w:rPr>
          <w:rFonts w:ascii="Aparajita" w:hAnsi="Aparajita" w:cs="Aparajita"/>
        </w:rPr>
        <w:t xml:space="preserve"> </w:t>
      </w:r>
    </w:p>
    <w:p w14:paraId="0A786D79" w14:textId="673A2331" w:rsidR="004571D4" w:rsidRPr="00820981" w:rsidRDefault="004571D4" w:rsidP="001E213F">
      <w:pPr>
        <w:rPr>
          <w:rFonts w:ascii="Aparajita" w:hAnsi="Aparajita" w:cs="Aparajita"/>
        </w:rPr>
      </w:pPr>
      <w:r>
        <w:rPr>
          <w:rFonts w:ascii="Aparajita" w:hAnsi="Aparajita" w:cs="Aparajita"/>
        </w:rPr>
        <w:t xml:space="preserve">The </w:t>
      </w:r>
      <w:r>
        <w:rPr>
          <w:rFonts w:ascii="Aparajita" w:hAnsi="Aparajita" w:cs="Aparajita"/>
          <w:i/>
        </w:rPr>
        <w:t xml:space="preserve">Nakaz </w:t>
      </w:r>
      <w:r>
        <w:rPr>
          <w:rFonts w:ascii="Aparajita" w:hAnsi="Aparajita" w:cs="Aparajita"/>
        </w:rPr>
        <w:t xml:space="preserve">and </w:t>
      </w:r>
      <w:r>
        <w:rPr>
          <w:rFonts w:ascii="Aparajita" w:hAnsi="Aparajita" w:cs="Aparajita"/>
          <w:i/>
        </w:rPr>
        <w:t xml:space="preserve">The Instruction </w:t>
      </w:r>
      <w:r>
        <w:rPr>
          <w:rFonts w:ascii="Aparajita" w:hAnsi="Aparajita" w:cs="Aparajita"/>
        </w:rPr>
        <w:t xml:space="preserve">as a source shows the reader the type of enlightened Russia that Catherine sought to create, influenced by the great authors of the Enlightenment. Despite the need for an </w:t>
      </w:r>
      <w:r w:rsidR="00A01AE0">
        <w:rPr>
          <w:rFonts w:ascii="Aparajita" w:hAnsi="Aparajita" w:cs="Aparajita"/>
        </w:rPr>
        <w:t>all-powerful</w:t>
      </w:r>
      <w:r>
        <w:rPr>
          <w:rFonts w:ascii="Aparajita" w:hAnsi="Aparajita" w:cs="Aparajita"/>
        </w:rPr>
        <w:t xml:space="preserve"> sovereign </w:t>
      </w:r>
      <w:r w:rsidR="00A01AE0">
        <w:rPr>
          <w:rFonts w:ascii="Aparajita" w:hAnsi="Aparajita" w:cs="Aparajita"/>
        </w:rPr>
        <w:t xml:space="preserve">Catherine’s opinions on the future penal code appear to be advanced compared to Russia of the day. Yet where the </w:t>
      </w:r>
      <w:r w:rsidR="00A01AE0">
        <w:rPr>
          <w:rFonts w:ascii="Aparajita" w:hAnsi="Aparajita" w:cs="Aparajita"/>
          <w:i/>
        </w:rPr>
        <w:t xml:space="preserve">Nakaz </w:t>
      </w:r>
      <w:r w:rsidR="00A01AE0">
        <w:rPr>
          <w:rFonts w:ascii="Aparajita" w:hAnsi="Aparajita" w:cs="Aparajita"/>
        </w:rPr>
        <w:t>is limited is that its aims where not realised so it is impossible to</w:t>
      </w:r>
      <w:r w:rsidR="00820981">
        <w:rPr>
          <w:rFonts w:ascii="Aparajita" w:hAnsi="Aparajita" w:cs="Aparajita"/>
        </w:rPr>
        <w:t xml:space="preserve"> see whither </w:t>
      </w:r>
      <w:r w:rsidR="00820981">
        <w:rPr>
          <w:rFonts w:ascii="Aparajita" w:hAnsi="Aparajita" w:cs="Aparajita"/>
          <w:i/>
        </w:rPr>
        <w:t xml:space="preserve">The Nakaz </w:t>
      </w:r>
      <w:r w:rsidR="00820981">
        <w:rPr>
          <w:rFonts w:ascii="Aparajita" w:hAnsi="Aparajita" w:cs="Aparajita"/>
        </w:rPr>
        <w:t xml:space="preserve">was indeed successful in its aims. </w:t>
      </w:r>
    </w:p>
    <w:p w14:paraId="48A375B7" w14:textId="77777777" w:rsidR="00217CE3" w:rsidRDefault="00217CE3" w:rsidP="001E213F">
      <w:pPr>
        <w:rPr>
          <w:rFonts w:ascii="Aparajita" w:hAnsi="Aparajita" w:cs="Aparajita"/>
        </w:rPr>
      </w:pPr>
    </w:p>
    <w:p w14:paraId="7426E2D6" w14:textId="77777777" w:rsidR="00217CE3" w:rsidRDefault="00217CE3" w:rsidP="001E213F">
      <w:pPr>
        <w:rPr>
          <w:rFonts w:ascii="Aparajita" w:hAnsi="Aparajita" w:cs="Aparajita"/>
        </w:rPr>
      </w:pPr>
    </w:p>
    <w:p w14:paraId="305AF5F5" w14:textId="77777777" w:rsidR="00217CE3" w:rsidRDefault="00217CE3" w:rsidP="001E213F">
      <w:pPr>
        <w:rPr>
          <w:rFonts w:ascii="Aparajita" w:hAnsi="Aparajita" w:cs="Aparajita"/>
        </w:rPr>
      </w:pPr>
    </w:p>
    <w:p w14:paraId="3C816F31" w14:textId="77777777" w:rsidR="00217CE3" w:rsidRDefault="00217CE3" w:rsidP="001E213F">
      <w:pPr>
        <w:rPr>
          <w:rFonts w:ascii="Aparajita" w:hAnsi="Aparajita" w:cs="Aparajita"/>
        </w:rPr>
      </w:pPr>
    </w:p>
    <w:p w14:paraId="4FCD9659" w14:textId="77777777" w:rsidR="00217CE3" w:rsidRDefault="00217CE3" w:rsidP="001E213F">
      <w:pPr>
        <w:rPr>
          <w:rFonts w:ascii="Aparajita" w:hAnsi="Aparajita" w:cs="Aparajita"/>
        </w:rPr>
      </w:pPr>
    </w:p>
    <w:p w14:paraId="31C8752F" w14:textId="77777777" w:rsidR="00217CE3" w:rsidRDefault="00217CE3" w:rsidP="001E213F">
      <w:pPr>
        <w:rPr>
          <w:rFonts w:ascii="Aparajita" w:hAnsi="Aparajita" w:cs="Aparajita"/>
        </w:rPr>
      </w:pPr>
    </w:p>
    <w:p w14:paraId="40ED62E2" w14:textId="77777777" w:rsidR="00217CE3" w:rsidRDefault="00217CE3" w:rsidP="001E213F">
      <w:pPr>
        <w:rPr>
          <w:rFonts w:ascii="Aparajita" w:hAnsi="Aparajita" w:cs="Aparajita"/>
        </w:rPr>
      </w:pPr>
    </w:p>
    <w:p w14:paraId="45348F08" w14:textId="77777777" w:rsidR="00217CE3" w:rsidRDefault="00217CE3" w:rsidP="001E213F">
      <w:pPr>
        <w:rPr>
          <w:rFonts w:ascii="Aparajita" w:hAnsi="Aparajita" w:cs="Aparajita"/>
        </w:rPr>
      </w:pPr>
    </w:p>
    <w:p w14:paraId="5A1111FD" w14:textId="77777777" w:rsidR="00217CE3" w:rsidRDefault="00217CE3" w:rsidP="001E213F">
      <w:pPr>
        <w:rPr>
          <w:rFonts w:ascii="Aparajita" w:hAnsi="Aparajita" w:cs="Aparajita"/>
        </w:rPr>
      </w:pPr>
    </w:p>
    <w:p w14:paraId="070C7594" w14:textId="77777777" w:rsidR="00217CE3" w:rsidRDefault="00217CE3" w:rsidP="001E213F">
      <w:pPr>
        <w:rPr>
          <w:rFonts w:ascii="Aparajita" w:hAnsi="Aparajita" w:cs="Aparajita"/>
        </w:rPr>
      </w:pPr>
    </w:p>
    <w:p w14:paraId="2B422B55" w14:textId="77777777" w:rsidR="00217CE3" w:rsidRDefault="00217CE3" w:rsidP="001E213F">
      <w:pPr>
        <w:rPr>
          <w:rFonts w:ascii="Aparajita" w:hAnsi="Aparajita" w:cs="Aparajita"/>
        </w:rPr>
      </w:pPr>
    </w:p>
    <w:p w14:paraId="2536E7D8" w14:textId="77777777" w:rsidR="00217CE3" w:rsidRDefault="00217CE3" w:rsidP="001E213F">
      <w:pPr>
        <w:rPr>
          <w:rFonts w:ascii="Aparajita" w:hAnsi="Aparajita" w:cs="Aparajita"/>
        </w:rPr>
      </w:pPr>
    </w:p>
    <w:p w14:paraId="4A09648B" w14:textId="77777777" w:rsidR="00217CE3" w:rsidRDefault="00217CE3" w:rsidP="001E213F">
      <w:pPr>
        <w:rPr>
          <w:rFonts w:ascii="Aparajita" w:hAnsi="Aparajita" w:cs="Aparajita"/>
        </w:rPr>
      </w:pPr>
    </w:p>
    <w:p w14:paraId="24011C09" w14:textId="77777777" w:rsidR="00217CE3" w:rsidRDefault="00217CE3" w:rsidP="001E213F">
      <w:pPr>
        <w:rPr>
          <w:rFonts w:ascii="Aparajita" w:hAnsi="Aparajita" w:cs="Aparajita"/>
        </w:rPr>
      </w:pPr>
    </w:p>
    <w:p w14:paraId="015734E3" w14:textId="77777777" w:rsidR="00217CE3" w:rsidRDefault="00217CE3" w:rsidP="001E213F">
      <w:pPr>
        <w:rPr>
          <w:rFonts w:ascii="Aparajita" w:hAnsi="Aparajita" w:cs="Aparajita"/>
        </w:rPr>
      </w:pPr>
    </w:p>
    <w:p w14:paraId="26826EF7" w14:textId="77777777" w:rsidR="00217CE3" w:rsidRDefault="00217CE3" w:rsidP="001E213F">
      <w:pPr>
        <w:rPr>
          <w:rFonts w:ascii="Aparajita" w:hAnsi="Aparajita" w:cs="Aparajita"/>
        </w:rPr>
      </w:pPr>
    </w:p>
    <w:p w14:paraId="03BB41A7" w14:textId="14EC2F60" w:rsidR="00217CE3" w:rsidRPr="00217CE3" w:rsidRDefault="00217CE3" w:rsidP="001E213F">
      <w:pPr>
        <w:rPr>
          <w:rFonts w:ascii="Aparajita" w:hAnsi="Aparajita" w:cs="Aparajita"/>
          <w:u w:val="single"/>
        </w:rPr>
      </w:pPr>
      <w:r w:rsidRPr="00217CE3">
        <w:rPr>
          <w:rFonts w:ascii="Aparajita" w:hAnsi="Aparajita" w:cs="Aparajita"/>
          <w:u w:val="single"/>
        </w:rPr>
        <w:t xml:space="preserve">Bibliography: </w:t>
      </w:r>
    </w:p>
    <w:p w14:paraId="21A27757" w14:textId="578E28AC" w:rsidR="00E80CA5" w:rsidRDefault="00352FC4" w:rsidP="001E213F">
      <w:pPr>
        <w:rPr>
          <w:rFonts w:ascii="Aparajita" w:hAnsi="Aparajita" w:cs="Aparajita"/>
        </w:rPr>
      </w:pPr>
      <w:r w:rsidRPr="00291410">
        <w:rPr>
          <w:rFonts w:ascii="Aparajita" w:hAnsi="Aparajita" w:cs="Aparajita"/>
        </w:rPr>
        <w:t xml:space="preserve">Primary Sources: </w:t>
      </w:r>
    </w:p>
    <w:p w14:paraId="2D5F95F2" w14:textId="22B066C2" w:rsidR="00E21108" w:rsidRPr="00291410" w:rsidRDefault="00E21108" w:rsidP="001E213F">
      <w:pPr>
        <w:rPr>
          <w:rFonts w:ascii="Aparajita" w:hAnsi="Aparajita" w:cs="Aparajita"/>
        </w:rPr>
      </w:pPr>
      <w:r w:rsidRPr="00E21108">
        <w:rPr>
          <w:rFonts w:ascii="Aparajita" w:hAnsi="Aparajita" w:cs="Aparajita"/>
        </w:rPr>
        <w:t>Beccaria</w:t>
      </w:r>
      <w:r>
        <w:rPr>
          <w:rFonts w:ascii="Aparajita" w:hAnsi="Aparajita" w:cs="Aparajita"/>
        </w:rPr>
        <w:t>. C.</w:t>
      </w:r>
      <w:r w:rsidR="00E57F55">
        <w:rPr>
          <w:rFonts w:ascii="Aparajita" w:hAnsi="Aparajita" w:cs="Aparajita"/>
        </w:rPr>
        <w:t>,</w:t>
      </w:r>
      <w:r w:rsidRPr="00E21108">
        <w:rPr>
          <w:rFonts w:ascii="Aparajita" w:hAnsi="Aparajita" w:cs="Aparajita"/>
        </w:rPr>
        <w:t xml:space="preserve"> ‘On Crime and Punishment’, in </w:t>
      </w:r>
      <w:r w:rsidRPr="00E21108">
        <w:rPr>
          <w:rFonts w:ascii="Aparajita" w:hAnsi="Aparajita" w:cs="Aparajita"/>
          <w:i/>
        </w:rPr>
        <w:t>The Enlightenment: A Sourcebook and Reader</w:t>
      </w:r>
      <w:r w:rsidRPr="00E21108">
        <w:rPr>
          <w:rFonts w:ascii="Aparajita" w:hAnsi="Aparajita" w:cs="Aparajita"/>
        </w:rPr>
        <w:t>, ed. by Paul Hyland (New York: Routledge, 2003), pp. 216 – 220</w:t>
      </w:r>
    </w:p>
    <w:p w14:paraId="46DF88F7" w14:textId="6462DD8B" w:rsidR="00352FC4" w:rsidRDefault="00352FC4" w:rsidP="00352FC4">
      <w:pPr>
        <w:rPr>
          <w:rFonts w:ascii="Aparajita" w:hAnsi="Aparajita" w:cs="Aparajita"/>
        </w:rPr>
      </w:pPr>
      <w:r w:rsidRPr="00352FC4">
        <w:rPr>
          <w:rFonts w:ascii="Aparajita" w:hAnsi="Aparajita" w:cs="Aparajita"/>
        </w:rPr>
        <w:t>Catherine The Great</w:t>
      </w:r>
      <w:r w:rsidR="00E57F55">
        <w:rPr>
          <w:rFonts w:ascii="Aparajita" w:hAnsi="Aparajita" w:cs="Aparajita"/>
        </w:rPr>
        <w:t>.</w:t>
      </w:r>
      <w:r w:rsidRPr="00352FC4">
        <w:rPr>
          <w:rFonts w:ascii="Aparajita" w:hAnsi="Aparajita" w:cs="Aparajita"/>
        </w:rPr>
        <w:t xml:space="preserve">, ‘Instruction’, in </w:t>
      </w:r>
      <w:r w:rsidRPr="00352FC4">
        <w:rPr>
          <w:rFonts w:ascii="Aparajita" w:hAnsi="Aparajita" w:cs="Aparajita"/>
          <w:i/>
        </w:rPr>
        <w:t>The Enlightenment: A Sourcebook and Reader</w:t>
      </w:r>
      <w:r w:rsidRPr="00352FC4">
        <w:rPr>
          <w:rFonts w:ascii="Aparajita" w:hAnsi="Aparajita" w:cs="Aparajita"/>
        </w:rPr>
        <w:t>, ed. by Paul Hyland (New York: Routledge, 2003), pp. 172 – 173</w:t>
      </w:r>
      <w:r w:rsidRPr="00291410">
        <w:rPr>
          <w:rFonts w:ascii="Aparajita" w:hAnsi="Aparajita" w:cs="Aparajita"/>
        </w:rPr>
        <w:t xml:space="preserve"> </w:t>
      </w:r>
    </w:p>
    <w:p w14:paraId="1016BE9D" w14:textId="3FD9F8C2" w:rsidR="00291410" w:rsidRPr="00291410" w:rsidRDefault="00291410" w:rsidP="00352FC4">
      <w:pPr>
        <w:rPr>
          <w:rFonts w:ascii="Aparajita" w:hAnsi="Aparajita" w:cs="Aparajita"/>
        </w:rPr>
      </w:pPr>
      <w:r w:rsidRPr="00291410">
        <w:rPr>
          <w:rFonts w:ascii="Aparajita" w:hAnsi="Aparajita" w:cs="Aparajita"/>
        </w:rPr>
        <w:t>Hobbes</w:t>
      </w:r>
      <w:r>
        <w:rPr>
          <w:rFonts w:ascii="Aparajita" w:hAnsi="Aparajita" w:cs="Aparajita"/>
        </w:rPr>
        <w:t>. T</w:t>
      </w:r>
      <w:r w:rsidR="00E57F55">
        <w:rPr>
          <w:rFonts w:ascii="Aparajita" w:hAnsi="Aparajita" w:cs="Aparajita"/>
        </w:rPr>
        <w:t>.</w:t>
      </w:r>
      <w:r>
        <w:rPr>
          <w:rFonts w:ascii="Aparajita" w:hAnsi="Aparajita" w:cs="Aparajita"/>
        </w:rPr>
        <w:t>,</w:t>
      </w:r>
      <w:r w:rsidRPr="00291410">
        <w:rPr>
          <w:rFonts w:ascii="Aparajita" w:hAnsi="Aparajita" w:cs="Aparajita"/>
        </w:rPr>
        <w:t xml:space="preserve"> </w:t>
      </w:r>
      <w:r w:rsidRPr="00291410">
        <w:rPr>
          <w:rFonts w:ascii="Aparajita" w:hAnsi="Aparajita" w:cs="Aparajita"/>
          <w:i/>
        </w:rPr>
        <w:t>Leviathan</w:t>
      </w:r>
      <w:r w:rsidRPr="00291410">
        <w:rPr>
          <w:rFonts w:ascii="Aparajita" w:hAnsi="Aparajita" w:cs="Aparajita"/>
        </w:rPr>
        <w:t>, (Galloway: Anodos Books, 2017),</w:t>
      </w:r>
    </w:p>
    <w:p w14:paraId="78B517DF" w14:textId="126F8E49" w:rsidR="00352FC4" w:rsidRPr="00291410" w:rsidRDefault="00352FC4" w:rsidP="00352FC4">
      <w:pPr>
        <w:rPr>
          <w:rFonts w:ascii="Aparajita" w:hAnsi="Aparajita" w:cs="Aparajita"/>
        </w:rPr>
      </w:pPr>
      <w:r w:rsidRPr="00291410">
        <w:rPr>
          <w:rFonts w:ascii="Aparajita" w:hAnsi="Aparajita" w:cs="Aparajita"/>
        </w:rPr>
        <w:t>Montesquieu</w:t>
      </w:r>
      <w:r w:rsidR="00E57F55">
        <w:rPr>
          <w:rFonts w:ascii="Aparajita" w:hAnsi="Aparajita" w:cs="Aparajita"/>
        </w:rPr>
        <w:t>.</w:t>
      </w:r>
      <w:r w:rsidRPr="00291410">
        <w:rPr>
          <w:rFonts w:ascii="Aparajita" w:hAnsi="Aparajita" w:cs="Aparajita"/>
          <w:i/>
        </w:rPr>
        <w:t>, The Spirit of the Laws</w:t>
      </w:r>
      <w:r w:rsidRPr="00291410">
        <w:rPr>
          <w:rFonts w:ascii="Aparajita" w:hAnsi="Aparajita" w:cs="Aparajita"/>
        </w:rPr>
        <w:t xml:space="preserve">, (Oxford: Oxford University Press, 1989) </w:t>
      </w:r>
    </w:p>
    <w:p w14:paraId="1FAC7446" w14:textId="01363423" w:rsidR="00352FC4" w:rsidRDefault="00352FC4" w:rsidP="00352FC4">
      <w:pPr>
        <w:rPr>
          <w:rFonts w:ascii="Aparajita" w:hAnsi="Aparajita" w:cs="Aparajita"/>
        </w:rPr>
      </w:pPr>
      <w:r w:rsidRPr="00291410">
        <w:rPr>
          <w:rFonts w:ascii="Aparajita" w:hAnsi="Aparajita" w:cs="Aparajita"/>
        </w:rPr>
        <w:t>Rousseau. J. J</w:t>
      </w:r>
      <w:r w:rsidR="00E57F55">
        <w:rPr>
          <w:rFonts w:ascii="Aparajita" w:hAnsi="Aparajita" w:cs="Aparajita"/>
        </w:rPr>
        <w:t>.</w:t>
      </w:r>
      <w:r w:rsidRPr="00291410">
        <w:rPr>
          <w:rFonts w:ascii="Aparajita" w:hAnsi="Aparajita" w:cs="Aparajita"/>
        </w:rPr>
        <w:t xml:space="preserve">, and Wooton. D, </w:t>
      </w:r>
      <w:r w:rsidRPr="00291410">
        <w:rPr>
          <w:rFonts w:ascii="Aparajita" w:hAnsi="Aparajita" w:cs="Aparajita"/>
          <w:i/>
        </w:rPr>
        <w:t>Basic Political Writings: Discourse on the Sciences &amp; the Arts, Discourse on the Origin of Inequality, Discourse on Political Economy, On the Social Contract, The State of War</w:t>
      </w:r>
      <w:r w:rsidRPr="00291410">
        <w:rPr>
          <w:rFonts w:ascii="Aparajita" w:hAnsi="Aparajita" w:cs="Aparajita"/>
        </w:rPr>
        <w:t xml:space="preserve">, (London, Hackett Classics: 2012) </w:t>
      </w:r>
    </w:p>
    <w:p w14:paraId="3C3007D9" w14:textId="19A9DD3C" w:rsidR="0019399E" w:rsidRDefault="00217CE3" w:rsidP="00352FC4">
      <w:pPr>
        <w:rPr>
          <w:rFonts w:ascii="Aparajita" w:hAnsi="Aparajita" w:cs="Aparajita"/>
        </w:rPr>
      </w:pPr>
      <w:r>
        <w:rPr>
          <w:rFonts w:ascii="Aparajita" w:hAnsi="Aparajita" w:cs="Aparajita"/>
        </w:rPr>
        <w:t xml:space="preserve">Secondary Sources: </w:t>
      </w:r>
    </w:p>
    <w:p w14:paraId="439327B5" w14:textId="177AD1EC" w:rsidR="00217CE3" w:rsidRDefault="00217CE3" w:rsidP="00352FC4">
      <w:pPr>
        <w:rPr>
          <w:rFonts w:ascii="Aparajita" w:hAnsi="Aparajita" w:cs="Aparajita"/>
        </w:rPr>
      </w:pPr>
      <w:r w:rsidRPr="00217CE3">
        <w:rPr>
          <w:rFonts w:ascii="Aparajita" w:hAnsi="Aparajita" w:cs="Aparajita"/>
        </w:rPr>
        <w:t>Massie</w:t>
      </w:r>
      <w:r>
        <w:rPr>
          <w:rFonts w:ascii="Aparajita" w:hAnsi="Aparajita" w:cs="Aparajita"/>
        </w:rPr>
        <w:t>. R</w:t>
      </w:r>
      <w:r w:rsidR="00E57F55">
        <w:rPr>
          <w:rFonts w:ascii="Aparajita" w:hAnsi="Aparajita" w:cs="Aparajita"/>
        </w:rPr>
        <w:t>.</w:t>
      </w:r>
      <w:r>
        <w:rPr>
          <w:rFonts w:ascii="Aparajita" w:hAnsi="Aparajita" w:cs="Aparajita"/>
        </w:rPr>
        <w:t>,</w:t>
      </w:r>
      <w:r w:rsidRPr="00217CE3">
        <w:rPr>
          <w:rFonts w:ascii="Aparajita" w:hAnsi="Aparajita" w:cs="Aparajita"/>
        </w:rPr>
        <w:t xml:space="preserve"> </w:t>
      </w:r>
      <w:r w:rsidRPr="00217CE3">
        <w:rPr>
          <w:rFonts w:ascii="Aparajita" w:hAnsi="Aparajita" w:cs="Aparajita"/>
          <w:i/>
        </w:rPr>
        <w:t>Catherine the Great: Portrait of a Woman</w:t>
      </w:r>
      <w:r w:rsidRPr="00217CE3">
        <w:rPr>
          <w:rFonts w:ascii="Aparajita" w:hAnsi="Aparajita" w:cs="Aparajita"/>
        </w:rPr>
        <w:t>, (London: Head of Zeus, 2016)</w:t>
      </w:r>
    </w:p>
    <w:p w14:paraId="1F6C5713" w14:textId="5DD40ED8" w:rsidR="0019399E" w:rsidRDefault="0019399E" w:rsidP="00352FC4">
      <w:pPr>
        <w:rPr>
          <w:rFonts w:ascii="Aparajita" w:hAnsi="Aparajita" w:cs="Aparajita"/>
        </w:rPr>
      </w:pPr>
      <w:r w:rsidRPr="0019399E">
        <w:rPr>
          <w:rFonts w:ascii="Aparajita" w:hAnsi="Aparajita" w:cs="Aparajita"/>
        </w:rPr>
        <w:t>Montefiore</w:t>
      </w:r>
      <w:r w:rsidR="00E57F55">
        <w:rPr>
          <w:rFonts w:ascii="Aparajita" w:hAnsi="Aparajita" w:cs="Aparajita"/>
        </w:rPr>
        <w:t>.</w:t>
      </w:r>
      <w:r w:rsidRPr="0019399E">
        <w:rPr>
          <w:rFonts w:ascii="Aparajita" w:hAnsi="Aparajita" w:cs="Aparajita"/>
        </w:rPr>
        <w:t>,</w:t>
      </w:r>
      <w:r>
        <w:rPr>
          <w:rFonts w:ascii="Aparajita" w:hAnsi="Aparajita" w:cs="Aparajita"/>
        </w:rPr>
        <w:t xml:space="preserve"> S.</w:t>
      </w:r>
      <w:r w:rsidRPr="0019399E">
        <w:rPr>
          <w:rFonts w:ascii="Aparajita" w:hAnsi="Aparajita" w:cs="Aparajita"/>
        </w:rPr>
        <w:t xml:space="preserve"> </w:t>
      </w:r>
      <w:r w:rsidRPr="0019399E">
        <w:rPr>
          <w:rFonts w:ascii="Aparajita" w:hAnsi="Aparajita" w:cs="Aparajita"/>
          <w:i/>
        </w:rPr>
        <w:t>Catherine the Great and Potemkin: The Imperial Love Affair</w:t>
      </w:r>
      <w:r w:rsidRPr="0019399E">
        <w:rPr>
          <w:rFonts w:ascii="Aparajita" w:hAnsi="Aparajita" w:cs="Aparajita"/>
        </w:rPr>
        <w:t>, (London: W&amp;N, 2016),</w:t>
      </w:r>
    </w:p>
    <w:p w14:paraId="7A8BA30A" w14:textId="2B4A5E15" w:rsidR="00217CE3" w:rsidRDefault="00217CE3" w:rsidP="00352FC4">
      <w:pPr>
        <w:rPr>
          <w:rFonts w:ascii="Aparajita" w:hAnsi="Aparajita" w:cs="Aparajita"/>
        </w:rPr>
      </w:pPr>
      <w:r w:rsidRPr="00217CE3">
        <w:rPr>
          <w:rFonts w:ascii="Aparajita" w:hAnsi="Aparajita" w:cs="Aparajita"/>
        </w:rPr>
        <w:t>Strickland</w:t>
      </w:r>
      <w:r>
        <w:rPr>
          <w:rFonts w:ascii="Aparajita" w:hAnsi="Aparajita" w:cs="Aparajita"/>
        </w:rPr>
        <w:t>. J</w:t>
      </w:r>
      <w:r w:rsidR="00E57F55">
        <w:rPr>
          <w:rFonts w:ascii="Aparajita" w:hAnsi="Aparajita" w:cs="Aparajita"/>
        </w:rPr>
        <w:t>.</w:t>
      </w:r>
      <w:r>
        <w:rPr>
          <w:rFonts w:ascii="Aparajita" w:hAnsi="Aparajita" w:cs="Aparajita"/>
        </w:rPr>
        <w:t>,</w:t>
      </w:r>
      <w:r w:rsidRPr="00217CE3">
        <w:rPr>
          <w:rFonts w:ascii="Aparajita" w:hAnsi="Aparajita" w:cs="Aparajita"/>
        </w:rPr>
        <w:t xml:space="preserve"> </w:t>
      </w:r>
      <w:r w:rsidRPr="00217CE3">
        <w:rPr>
          <w:rFonts w:ascii="Aparajita" w:hAnsi="Aparajita" w:cs="Aparajita"/>
          <w:i/>
        </w:rPr>
        <w:t>The Making of Holy Russia: The Orthodox Church and Russian Nationalism Before the Revolution</w:t>
      </w:r>
      <w:r w:rsidRPr="00217CE3">
        <w:rPr>
          <w:rFonts w:ascii="Aparajita" w:hAnsi="Aparajita" w:cs="Aparajita"/>
        </w:rPr>
        <w:t>, (Cambridge: Independent Publisher Group, 2013)</w:t>
      </w:r>
    </w:p>
    <w:p w14:paraId="4D917B2E" w14:textId="77777777" w:rsidR="00217CE3" w:rsidRDefault="00217CE3" w:rsidP="00352FC4">
      <w:pPr>
        <w:rPr>
          <w:rFonts w:ascii="Aparajita" w:hAnsi="Aparajita" w:cs="Aparajita"/>
        </w:rPr>
      </w:pPr>
    </w:p>
    <w:p w14:paraId="69F289DD" w14:textId="77777777" w:rsidR="00217CE3" w:rsidRPr="00291410" w:rsidRDefault="00217CE3" w:rsidP="00352FC4">
      <w:pPr>
        <w:rPr>
          <w:rFonts w:ascii="Aparajita" w:hAnsi="Aparajita" w:cs="Aparajita"/>
        </w:rPr>
      </w:pPr>
    </w:p>
    <w:p w14:paraId="06C900F6" w14:textId="77777777" w:rsidR="00352FC4" w:rsidRPr="00291410" w:rsidRDefault="00352FC4" w:rsidP="00352FC4">
      <w:pPr>
        <w:rPr>
          <w:rFonts w:ascii="Aparajita" w:hAnsi="Aparajita" w:cs="Aparajita"/>
        </w:rPr>
      </w:pPr>
    </w:p>
    <w:p w14:paraId="7C1D7B88" w14:textId="77777777" w:rsidR="00352FC4" w:rsidRPr="00352FC4" w:rsidRDefault="00352FC4" w:rsidP="00352FC4"/>
    <w:p w14:paraId="5D9446CC" w14:textId="77777777" w:rsidR="00352FC4" w:rsidRPr="007E39C8" w:rsidRDefault="00352FC4" w:rsidP="001E213F"/>
    <w:sectPr w:rsidR="00352FC4" w:rsidRPr="007E39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C86636" w14:textId="77777777" w:rsidR="002D5E6A" w:rsidRDefault="002D5E6A" w:rsidP="0069035F">
      <w:pPr>
        <w:spacing w:after="0" w:line="240" w:lineRule="auto"/>
      </w:pPr>
      <w:r>
        <w:separator/>
      </w:r>
    </w:p>
  </w:endnote>
  <w:endnote w:type="continuationSeparator" w:id="0">
    <w:p w14:paraId="06676C51" w14:textId="77777777" w:rsidR="002D5E6A" w:rsidRDefault="002D5E6A" w:rsidP="00690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arajita">
    <w:altName w:val="Aparajita"/>
    <w:charset w:val="00"/>
    <w:family w:val="roman"/>
    <w:pitch w:val="variable"/>
    <w:sig w:usb0="00008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F9A82" w14:textId="77777777" w:rsidR="002D5E6A" w:rsidRDefault="002D5E6A" w:rsidP="0069035F">
      <w:pPr>
        <w:spacing w:after="0" w:line="240" w:lineRule="auto"/>
      </w:pPr>
      <w:r>
        <w:separator/>
      </w:r>
    </w:p>
  </w:footnote>
  <w:footnote w:type="continuationSeparator" w:id="0">
    <w:p w14:paraId="10021649" w14:textId="77777777" w:rsidR="002D5E6A" w:rsidRDefault="002D5E6A" w:rsidP="0069035F">
      <w:pPr>
        <w:spacing w:after="0" w:line="240" w:lineRule="auto"/>
      </w:pPr>
      <w:r>
        <w:continuationSeparator/>
      </w:r>
    </w:p>
  </w:footnote>
  <w:footnote w:id="1">
    <w:p w14:paraId="4AF17DC5" w14:textId="77777777" w:rsidR="0019399E" w:rsidRDefault="0019399E" w:rsidP="0019399E">
      <w:pPr>
        <w:pStyle w:val="FootnoteText"/>
      </w:pPr>
      <w:r>
        <w:rPr>
          <w:rStyle w:val="FootnoteReference"/>
        </w:rPr>
        <w:footnoteRef/>
      </w:r>
      <w:r>
        <w:t>Jeremy Black</w:t>
      </w:r>
      <w:r w:rsidRPr="005B5516">
        <w:t>, ‘</w:t>
      </w:r>
      <w:r>
        <w:t>About</w:t>
      </w:r>
      <w:r w:rsidRPr="005B5516">
        <w:t xml:space="preserve">’, </w:t>
      </w:r>
      <w:r>
        <w:t>Jeremy Black.com</w:t>
      </w:r>
      <w:r w:rsidRPr="005B5516">
        <w:t xml:space="preserve">, (2018), [online]. Available at </w:t>
      </w:r>
      <w:proofErr w:type="gramStart"/>
      <w:r w:rsidRPr="005B5516">
        <w:t xml:space="preserve">https://jeremyblackhistorian.wordpress.com/about/ </w:t>
      </w:r>
      <w:r>
        <w:t xml:space="preserve"> </w:t>
      </w:r>
      <w:r w:rsidRPr="005B5516">
        <w:t>(</w:t>
      </w:r>
      <w:proofErr w:type="gramEnd"/>
      <w:r w:rsidRPr="005B5516">
        <w:t>accessed: 1</w:t>
      </w:r>
      <w:r>
        <w:t>5th</w:t>
      </w:r>
      <w:r w:rsidRPr="005B5516">
        <w:t xml:space="preserve"> </w:t>
      </w:r>
      <w:r>
        <w:t>October</w:t>
      </w:r>
      <w:r w:rsidRPr="005B5516">
        <w:t xml:space="preserve"> 2018)</w:t>
      </w:r>
    </w:p>
  </w:footnote>
  <w:footnote w:id="2">
    <w:p w14:paraId="2D72B97F" w14:textId="77777777" w:rsidR="0019399E" w:rsidRDefault="0019399E" w:rsidP="0019399E">
      <w:pPr>
        <w:pStyle w:val="FootnoteText"/>
      </w:pPr>
      <w:r>
        <w:rPr>
          <w:rStyle w:val="FootnoteReference"/>
        </w:rPr>
        <w:footnoteRef/>
      </w:r>
      <w:r>
        <w:t xml:space="preserve"> Ibid</w:t>
      </w:r>
    </w:p>
  </w:footnote>
  <w:footnote w:id="3">
    <w:p w14:paraId="25430931" w14:textId="77777777" w:rsidR="0019399E" w:rsidRDefault="0019399E" w:rsidP="0019399E">
      <w:pPr>
        <w:pStyle w:val="FootnoteText"/>
      </w:pPr>
      <w:r>
        <w:rPr>
          <w:rStyle w:val="FootnoteReference"/>
        </w:rPr>
        <w:footnoteRef/>
      </w:r>
      <w:r>
        <w:t xml:space="preserve"> Ibid</w:t>
      </w:r>
    </w:p>
  </w:footnote>
  <w:footnote w:id="4">
    <w:p w14:paraId="17C45E4A" w14:textId="77777777" w:rsidR="0019399E" w:rsidRDefault="0019399E" w:rsidP="0019399E">
      <w:pPr>
        <w:pStyle w:val="FootnoteText"/>
      </w:pPr>
      <w:r>
        <w:rPr>
          <w:rStyle w:val="FootnoteReference"/>
        </w:rPr>
        <w:footnoteRef/>
      </w:r>
      <w:r>
        <w:t xml:space="preserve"> Ibid</w:t>
      </w:r>
    </w:p>
  </w:footnote>
  <w:footnote w:id="5">
    <w:p w14:paraId="63620D47" w14:textId="77777777" w:rsidR="0019399E" w:rsidRDefault="0019399E" w:rsidP="0019399E">
      <w:pPr>
        <w:pStyle w:val="FootnoteText"/>
      </w:pPr>
      <w:r>
        <w:rPr>
          <w:rStyle w:val="FootnoteReference"/>
        </w:rPr>
        <w:footnoteRef/>
      </w:r>
      <w:r>
        <w:t xml:space="preserve"> </w:t>
      </w:r>
      <w:bookmarkStart w:id="1" w:name="_Hlk527567805"/>
      <w:r>
        <w:t>S. Conway, ‘</w:t>
      </w:r>
      <w:r w:rsidRPr="001D3D22">
        <w:t>Reviewed Work(s): Parliament and Foreign Policy in the Eighteenth Century Jeremy Black</w:t>
      </w:r>
      <w:r>
        <w:t xml:space="preserve">’, </w:t>
      </w:r>
      <w:r w:rsidRPr="001D3D22">
        <w:rPr>
          <w:i/>
        </w:rPr>
        <w:t>The American Historical Review, Vol. 110, No. 1 (2005</w:t>
      </w:r>
      <w:r w:rsidRPr="001D3D22">
        <w:t>), pp. 218-219</w:t>
      </w:r>
      <w:bookmarkEnd w:id="1"/>
      <w:r>
        <w:t xml:space="preserve">. P. 218. </w:t>
      </w:r>
    </w:p>
  </w:footnote>
  <w:footnote w:id="6">
    <w:p w14:paraId="43A4592D" w14:textId="77777777" w:rsidR="0019399E" w:rsidRDefault="0019399E" w:rsidP="0019399E">
      <w:pPr>
        <w:pStyle w:val="FootnoteText"/>
      </w:pPr>
      <w:r>
        <w:rPr>
          <w:rStyle w:val="FootnoteReference"/>
        </w:rPr>
        <w:footnoteRef/>
      </w:r>
      <w:r>
        <w:t xml:space="preserve"> Ibid., p. 119.  </w:t>
      </w:r>
    </w:p>
  </w:footnote>
  <w:footnote w:id="7">
    <w:p w14:paraId="12FDDAE8" w14:textId="77777777" w:rsidR="0019399E" w:rsidRPr="001D3D22" w:rsidRDefault="0019399E" w:rsidP="0019399E">
      <w:pPr>
        <w:pStyle w:val="FootnoteText"/>
        <w:rPr>
          <w:i/>
        </w:rPr>
      </w:pPr>
      <w:r>
        <w:rPr>
          <w:rStyle w:val="FootnoteReference"/>
        </w:rPr>
        <w:footnoteRef/>
      </w:r>
      <w:r>
        <w:t xml:space="preserve"> Black, </w:t>
      </w:r>
      <w:r>
        <w:rPr>
          <w:i/>
        </w:rPr>
        <w:t xml:space="preserve">About. </w:t>
      </w:r>
    </w:p>
  </w:footnote>
  <w:footnote w:id="8">
    <w:p w14:paraId="2FC3BBAB" w14:textId="77777777" w:rsidR="0019399E" w:rsidRPr="00631FBF" w:rsidRDefault="0019399E" w:rsidP="0019399E">
      <w:pPr>
        <w:pStyle w:val="FootnoteText"/>
      </w:pPr>
      <w:r>
        <w:rPr>
          <w:rStyle w:val="FootnoteReference"/>
        </w:rPr>
        <w:footnoteRef/>
      </w:r>
      <w:r>
        <w:t xml:space="preserve"> J. Black, </w:t>
      </w:r>
      <w:r>
        <w:rPr>
          <w:i/>
        </w:rPr>
        <w:t>Europe in the Eighteenth Century,</w:t>
      </w:r>
      <w:r>
        <w:t xml:space="preserve"> (Basingstoke: Macmillan History of Europe, 1990). </w:t>
      </w:r>
    </w:p>
  </w:footnote>
  <w:footnote w:id="9">
    <w:p w14:paraId="03034A3E" w14:textId="77777777" w:rsidR="0019399E" w:rsidRDefault="0019399E" w:rsidP="0019399E">
      <w:pPr>
        <w:pStyle w:val="FootnoteText"/>
      </w:pPr>
      <w:r>
        <w:rPr>
          <w:rStyle w:val="FootnoteReference"/>
        </w:rPr>
        <w:footnoteRef/>
      </w:r>
      <w:r>
        <w:t xml:space="preserve"> Ibid., pp. 1 – 7. </w:t>
      </w:r>
    </w:p>
  </w:footnote>
  <w:footnote w:id="10">
    <w:p w14:paraId="3043EC10" w14:textId="77777777" w:rsidR="0019399E" w:rsidRDefault="0019399E" w:rsidP="0019399E">
      <w:pPr>
        <w:pStyle w:val="FootnoteText"/>
      </w:pPr>
      <w:r>
        <w:rPr>
          <w:rStyle w:val="FootnoteReference"/>
        </w:rPr>
        <w:footnoteRef/>
      </w:r>
      <w:r>
        <w:t xml:space="preserve"> Ibid., p. 12. </w:t>
      </w:r>
    </w:p>
  </w:footnote>
  <w:footnote w:id="11">
    <w:p w14:paraId="38C3FCDA" w14:textId="77777777" w:rsidR="0019399E" w:rsidRDefault="0019399E" w:rsidP="0019399E">
      <w:pPr>
        <w:pStyle w:val="FootnoteText"/>
      </w:pPr>
      <w:r>
        <w:rPr>
          <w:rStyle w:val="FootnoteReference"/>
        </w:rPr>
        <w:footnoteRef/>
      </w:r>
      <w:r>
        <w:t xml:space="preserve"> </w:t>
      </w:r>
      <w:bookmarkStart w:id="2" w:name="_Hlk527382909"/>
      <w:r>
        <w:t xml:space="preserve">Ibid., pp. 27 – 101. </w:t>
      </w:r>
      <w:bookmarkEnd w:id="2"/>
    </w:p>
  </w:footnote>
  <w:footnote w:id="12">
    <w:p w14:paraId="51C81C46" w14:textId="77777777" w:rsidR="0019399E" w:rsidRDefault="0019399E" w:rsidP="0019399E">
      <w:pPr>
        <w:pStyle w:val="FootnoteText"/>
      </w:pPr>
      <w:r>
        <w:rPr>
          <w:rStyle w:val="FootnoteReference"/>
        </w:rPr>
        <w:footnoteRef/>
      </w:r>
      <w:r>
        <w:t xml:space="preserve"> </w:t>
      </w:r>
      <w:r w:rsidRPr="00631FBF">
        <w:t>Ibid., pp. 27 – 101.</w:t>
      </w:r>
    </w:p>
  </w:footnote>
  <w:footnote w:id="13">
    <w:p w14:paraId="04F1848C" w14:textId="77777777" w:rsidR="0019399E" w:rsidRDefault="0019399E" w:rsidP="0019399E">
      <w:pPr>
        <w:pStyle w:val="FootnoteText"/>
      </w:pPr>
      <w:r>
        <w:rPr>
          <w:rStyle w:val="FootnoteReference"/>
        </w:rPr>
        <w:footnoteRef/>
      </w:r>
      <w:r>
        <w:t xml:space="preserve"> Ibid., p. 28. </w:t>
      </w:r>
    </w:p>
  </w:footnote>
  <w:footnote w:id="14">
    <w:p w14:paraId="40769D8A" w14:textId="77777777" w:rsidR="0019399E" w:rsidRDefault="0019399E" w:rsidP="0019399E">
      <w:pPr>
        <w:pStyle w:val="FootnoteText"/>
      </w:pPr>
      <w:r>
        <w:rPr>
          <w:rStyle w:val="FootnoteReference"/>
        </w:rPr>
        <w:footnoteRef/>
      </w:r>
      <w:r>
        <w:t xml:space="preserve"> Ibid., p. 30. </w:t>
      </w:r>
    </w:p>
  </w:footnote>
  <w:footnote w:id="15">
    <w:p w14:paraId="21869731" w14:textId="77777777" w:rsidR="0019399E" w:rsidRDefault="0019399E" w:rsidP="0019399E">
      <w:pPr>
        <w:pStyle w:val="FootnoteText"/>
      </w:pPr>
      <w:r>
        <w:rPr>
          <w:rStyle w:val="FootnoteReference"/>
        </w:rPr>
        <w:footnoteRef/>
      </w:r>
      <w:r>
        <w:t xml:space="preserve"> </w:t>
      </w:r>
      <w:bookmarkStart w:id="3" w:name="_Hlk527391063"/>
      <w:bookmarkStart w:id="4" w:name="_Hlk527567971"/>
      <w:r>
        <w:t>M. Sonenscher</w:t>
      </w:r>
      <w:bookmarkEnd w:id="3"/>
      <w:r>
        <w:t xml:space="preserve">, </w:t>
      </w:r>
      <w:r w:rsidRPr="00786725">
        <w:rPr>
          <w:i/>
        </w:rPr>
        <w:t>Sans-Culottes: An Eighteenth-Century Emblem in the French Revolution</w:t>
      </w:r>
      <w:r>
        <w:t>, (Princeton: Princeton University Press, 2001</w:t>
      </w:r>
      <w:bookmarkEnd w:id="4"/>
      <w:r>
        <w:t>). p. 12.</w:t>
      </w:r>
    </w:p>
  </w:footnote>
  <w:footnote w:id="16">
    <w:p w14:paraId="43630765" w14:textId="77777777" w:rsidR="0019399E" w:rsidRDefault="0019399E" w:rsidP="0019399E">
      <w:pPr>
        <w:pStyle w:val="FootnoteText"/>
      </w:pPr>
      <w:r>
        <w:rPr>
          <w:rStyle w:val="FootnoteReference"/>
        </w:rPr>
        <w:footnoteRef/>
      </w:r>
      <w:r>
        <w:t xml:space="preserve"> Ibid., p. 25. </w:t>
      </w:r>
    </w:p>
  </w:footnote>
  <w:footnote w:id="17">
    <w:p w14:paraId="491F8A4D" w14:textId="77777777" w:rsidR="0019399E" w:rsidRDefault="0019399E" w:rsidP="0019399E">
      <w:pPr>
        <w:pStyle w:val="FootnoteText"/>
      </w:pPr>
      <w:r>
        <w:rPr>
          <w:rStyle w:val="FootnoteReference"/>
        </w:rPr>
        <w:footnoteRef/>
      </w:r>
      <w:bookmarkStart w:id="5" w:name="_Hlk527568065"/>
      <w:r>
        <w:t>B.</w:t>
      </w:r>
      <w:r w:rsidRPr="00D57750">
        <w:rPr>
          <w:sz w:val="22"/>
          <w:szCs w:val="22"/>
        </w:rPr>
        <w:t xml:space="preserve"> </w:t>
      </w:r>
      <w:proofErr w:type="spellStart"/>
      <w:r w:rsidRPr="00D57750">
        <w:t>Stuchtey</w:t>
      </w:r>
      <w:proofErr w:type="spellEnd"/>
      <w:r>
        <w:t>, ‘</w:t>
      </w:r>
      <w:r w:rsidRPr="00DF37F5">
        <w:t>Reviewed Work(s): America or Europe? British Foreign Policy, 1739-63 by Jeremy Black</w:t>
      </w:r>
      <w:r>
        <w:t xml:space="preserve">’, </w:t>
      </w:r>
      <w:proofErr w:type="spellStart"/>
      <w:r w:rsidRPr="000D3440">
        <w:rPr>
          <w:i/>
        </w:rPr>
        <w:t>Historische</w:t>
      </w:r>
      <w:proofErr w:type="spellEnd"/>
      <w:r w:rsidRPr="000D3440">
        <w:rPr>
          <w:i/>
        </w:rPr>
        <w:t xml:space="preserve"> </w:t>
      </w:r>
      <w:proofErr w:type="spellStart"/>
      <w:r w:rsidRPr="000D3440">
        <w:rPr>
          <w:i/>
        </w:rPr>
        <w:t>Zeitschrift</w:t>
      </w:r>
      <w:proofErr w:type="spellEnd"/>
      <w:r w:rsidRPr="000D3440">
        <w:rPr>
          <w:i/>
        </w:rPr>
        <w:t>, Bd. 269, H. 2 (1999</w:t>
      </w:r>
      <w:r w:rsidRPr="000D3440">
        <w:t xml:space="preserve">), </w:t>
      </w:r>
      <w:bookmarkEnd w:id="5"/>
      <w:r w:rsidRPr="000D3440">
        <w:t>pp. 497-498</w:t>
      </w:r>
      <w:r>
        <w:t xml:space="preserve">. p. 497. </w:t>
      </w:r>
    </w:p>
  </w:footnote>
  <w:footnote w:id="18">
    <w:p w14:paraId="5A09994B" w14:textId="77777777" w:rsidR="0019399E" w:rsidRDefault="0019399E" w:rsidP="0019399E">
      <w:pPr>
        <w:pStyle w:val="FootnoteText"/>
      </w:pPr>
      <w:r>
        <w:rPr>
          <w:rStyle w:val="FootnoteReference"/>
        </w:rPr>
        <w:footnoteRef/>
      </w:r>
      <w:r>
        <w:t xml:space="preserve"> Ibid., p. 497. </w:t>
      </w:r>
    </w:p>
  </w:footnote>
  <w:footnote w:id="19">
    <w:p w14:paraId="3D4AAC9C" w14:textId="77777777" w:rsidR="0019399E" w:rsidRPr="00352C3D" w:rsidRDefault="0019399E" w:rsidP="0019399E">
      <w:pPr>
        <w:pStyle w:val="FootnoteText"/>
      </w:pPr>
      <w:r>
        <w:rPr>
          <w:rStyle w:val="FootnoteReference"/>
        </w:rPr>
        <w:footnoteRef/>
      </w:r>
      <w:r>
        <w:t xml:space="preserve"> Black, </w:t>
      </w:r>
      <w:r>
        <w:rPr>
          <w:i/>
        </w:rPr>
        <w:t xml:space="preserve">Eighteenth Century, </w:t>
      </w:r>
      <w:r>
        <w:t xml:space="preserve">p. 9. </w:t>
      </w:r>
    </w:p>
  </w:footnote>
  <w:footnote w:id="20">
    <w:p w14:paraId="74CCB8C1" w14:textId="77777777" w:rsidR="0019399E" w:rsidRDefault="0019399E" w:rsidP="0019399E">
      <w:pPr>
        <w:pStyle w:val="FootnoteText"/>
      </w:pPr>
      <w:r>
        <w:rPr>
          <w:rStyle w:val="FootnoteReference"/>
        </w:rPr>
        <w:footnoteRef/>
      </w:r>
      <w:r>
        <w:t xml:space="preserve"> Ibid., p.9. </w:t>
      </w:r>
    </w:p>
  </w:footnote>
  <w:footnote w:id="21">
    <w:p w14:paraId="6CD8CD61" w14:textId="77777777" w:rsidR="0019399E" w:rsidRDefault="0019399E" w:rsidP="0019399E">
      <w:pPr>
        <w:pStyle w:val="FootnoteText"/>
      </w:pPr>
      <w:r>
        <w:rPr>
          <w:rStyle w:val="FootnoteReference"/>
        </w:rPr>
        <w:footnoteRef/>
      </w:r>
      <w:r>
        <w:t xml:space="preserve"> Sonenscher, </w:t>
      </w:r>
      <w:r w:rsidRPr="00786725">
        <w:rPr>
          <w:i/>
        </w:rPr>
        <w:t>San – Coulotte</w:t>
      </w:r>
      <w:r>
        <w:t xml:space="preserve">, p. 25.  </w:t>
      </w:r>
    </w:p>
  </w:footnote>
  <w:footnote w:id="22">
    <w:p w14:paraId="544BF973" w14:textId="77777777" w:rsidR="0019399E" w:rsidRDefault="0019399E" w:rsidP="0019399E">
      <w:pPr>
        <w:pStyle w:val="FootnoteText"/>
      </w:pPr>
      <w:r>
        <w:rPr>
          <w:rStyle w:val="FootnoteReference"/>
        </w:rPr>
        <w:footnoteRef/>
      </w:r>
      <w:r>
        <w:t xml:space="preserve"> Ibid. p. 25. </w:t>
      </w:r>
    </w:p>
  </w:footnote>
  <w:footnote w:id="23">
    <w:p w14:paraId="01AD8A52" w14:textId="77777777" w:rsidR="0019399E" w:rsidRDefault="0019399E" w:rsidP="0019399E">
      <w:pPr>
        <w:pStyle w:val="FootnoteText"/>
      </w:pPr>
      <w:r>
        <w:rPr>
          <w:rStyle w:val="FootnoteReference"/>
        </w:rPr>
        <w:footnoteRef/>
      </w:r>
      <w:r>
        <w:t xml:space="preserve"> Ibid., p. 26. </w:t>
      </w:r>
    </w:p>
  </w:footnote>
  <w:footnote w:id="24">
    <w:p w14:paraId="79A02196" w14:textId="77777777" w:rsidR="0019399E" w:rsidRDefault="0019399E" w:rsidP="0019399E">
      <w:pPr>
        <w:pStyle w:val="FootnoteText"/>
      </w:pPr>
      <w:r>
        <w:rPr>
          <w:rStyle w:val="FootnoteReference"/>
        </w:rPr>
        <w:footnoteRef/>
      </w:r>
      <w:r>
        <w:t xml:space="preserve"> </w:t>
      </w:r>
      <w:bookmarkStart w:id="6" w:name="_Hlk509578916"/>
      <w:r>
        <w:t>J. Keegan</w:t>
      </w:r>
      <w:r>
        <w:rPr>
          <w:i/>
        </w:rPr>
        <w:t>, Mask of Command</w:t>
      </w:r>
      <w:r>
        <w:t xml:space="preserve">, (London: Pimlico, 2004). </w:t>
      </w:r>
      <w:bookmarkEnd w:id="6"/>
      <w:r>
        <w:t xml:space="preserve">p. 7. </w:t>
      </w:r>
    </w:p>
  </w:footnote>
  <w:footnote w:id="25">
    <w:p w14:paraId="0F35615F" w14:textId="77777777" w:rsidR="0019399E" w:rsidRDefault="0019399E" w:rsidP="0019399E">
      <w:pPr>
        <w:pStyle w:val="FootnoteText"/>
      </w:pPr>
      <w:r>
        <w:rPr>
          <w:rStyle w:val="FootnoteReference"/>
        </w:rPr>
        <w:footnoteRef/>
      </w:r>
      <w:r>
        <w:t xml:space="preserve"> Ibid., p. 120. </w:t>
      </w:r>
    </w:p>
  </w:footnote>
  <w:footnote w:id="26">
    <w:p w14:paraId="0DE536E2" w14:textId="77777777" w:rsidR="0019399E" w:rsidRDefault="0019399E" w:rsidP="0019399E">
      <w:pPr>
        <w:pStyle w:val="FootnoteText"/>
      </w:pPr>
      <w:r>
        <w:rPr>
          <w:rStyle w:val="FootnoteReference"/>
        </w:rPr>
        <w:footnoteRef/>
      </w:r>
      <w:r>
        <w:t xml:space="preserve"> Ibid., p. 121. </w:t>
      </w:r>
    </w:p>
  </w:footnote>
  <w:footnote w:id="27">
    <w:p w14:paraId="2D772683" w14:textId="77777777" w:rsidR="0019399E" w:rsidRPr="00051B19" w:rsidRDefault="0019399E" w:rsidP="0019399E">
      <w:pPr>
        <w:pStyle w:val="FootnoteText"/>
      </w:pPr>
      <w:r>
        <w:rPr>
          <w:rStyle w:val="FootnoteReference"/>
        </w:rPr>
        <w:footnoteRef/>
      </w:r>
      <w:r>
        <w:t xml:space="preserve"> Black, </w:t>
      </w:r>
      <w:r>
        <w:rPr>
          <w:i/>
        </w:rPr>
        <w:t>Eighteenth Century</w:t>
      </w:r>
      <w:r>
        <w:t xml:space="preserve">, p. 220. </w:t>
      </w:r>
    </w:p>
  </w:footnote>
  <w:footnote w:id="28">
    <w:p w14:paraId="0E413DD7" w14:textId="1539DD37" w:rsidR="0069035F" w:rsidRDefault="0069035F">
      <w:pPr>
        <w:pStyle w:val="FootnoteText"/>
      </w:pPr>
      <w:r>
        <w:rPr>
          <w:rStyle w:val="FootnoteReference"/>
        </w:rPr>
        <w:footnoteRef/>
      </w:r>
      <w:r>
        <w:t xml:space="preserve"> </w:t>
      </w:r>
      <w:bookmarkStart w:id="7" w:name="_Hlk527628942"/>
      <w:bookmarkStart w:id="8" w:name="_Hlk527630484"/>
      <w:r w:rsidR="003E67C4">
        <w:t>Catherine The Great</w:t>
      </w:r>
      <w:r w:rsidR="003E67C4" w:rsidRPr="003E67C4">
        <w:t>, ‘</w:t>
      </w:r>
      <w:r w:rsidR="003E67C4">
        <w:t>Instruction</w:t>
      </w:r>
      <w:r w:rsidR="003E67C4" w:rsidRPr="003E67C4">
        <w:t xml:space="preserve">’, </w:t>
      </w:r>
      <w:r w:rsidR="003E67C4">
        <w:t xml:space="preserve">in </w:t>
      </w:r>
      <w:r w:rsidR="003E67C4">
        <w:rPr>
          <w:i/>
        </w:rPr>
        <w:t>The Enlightenment: A Sourcebook and Reader</w:t>
      </w:r>
      <w:r w:rsidR="003E67C4">
        <w:t xml:space="preserve">, </w:t>
      </w:r>
      <w:r w:rsidR="003E67C4" w:rsidRPr="003E67C4">
        <w:t xml:space="preserve">ed. by </w:t>
      </w:r>
      <w:r w:rsidR="003E67C4">
        <w:t>Paul Hyland</w:t>
      </w:r>
      <w:r w:rsidR="003E67C4" w:rsidRPr="003E67C4">
        <w:t xml:space="preserve"> (</w:t>
      </w:r>
      <w:r w:rsidR="003E67C4">
        <w:t>New York</w:t>
      </w:r>
      <w:r w:rsidR="003E67C4" w:rsidRPr="003E67C4">
        <w:t xml:space="preserve">: </w:t>
      </w:r>
      <w:r w:rsidR="003E67C4">
        <w:t>Routledge</w:t>
      </w:r>
      <w:r w:rsidR="003E67C4" w:rsidRPr="003E67C4">
        <w:t xml:space="preserve">, </w:t>
      </w:r>
      <w:r w:rsidR="003E67C4">
        <w:t>2003</w:t>
      </w:r>
      <w:r w:rsidR="003E67C4" w:rsidRPr="003E67C4">
        <w:t>), pp. 1</w:t>
      </w:r>
      <w:r w:rsidR="003E67C4">
        <w:t>72 – 173</w:t>
      </w:r>
      <w:bookmarkEnd w:id="7"/>
      <w:r w:rsidR="003E67C4">
        <w:t xml:space="preserve">. </w:t>
      </w:r>
    </w:p>
    <w:bookmarkEnd w:id="8"/>
  </w:footnote>
  <w:footnote w:id="29">
    <w:p w14:paraId="53A725B5" w14:textId="4498B07B" w:rsidR="003E67C4" w:rsidRDefault="003E67C4">
      <w:pPr>
        <w:pStyle w:val="FootnoteText"/>
      </w:pPr>
      <w:r>
        <w:rPr>
          <w:rStyle w:val="FootnoteReference"/>
        </w:rPr>
        <w:footnoteRef/>
      </w:r>
      <w:r>
        <w:t xml:space="preserve"> Ibid., p. 172. </w:t>
      </w:r>
    </w:p>
  </w:footnote>
  <w:footnote w:id="30">
    <w:p w14:paraId="02C63E69" w14:textId="08689EFB" w:rsidR="003E67C4" w:rsidRPr="003E67C4" w:rsidRDefault="003E67C4">
      <w:pPr>
        <w:pStyle w:val="FootnoteText"/>
      </w:pPr>
      <w:r>
        <w:rPr>
          <w:rStyle w:val="FootnoteReference"/>
        </w:rPr>
        <w:footnoteRef/>
      </w:r>
      <w:r>
        <w:t xml:space="preserve"> </w:t>
      </w:r>
      <w:bookmarkStart w:id="9" w:name="_Hlk527631029"/>
      <w:r>
        <w:t xml:space="preserve">R. Massie, </w:t>
      </w:r>
      <w:r>
        <w:rPr>
          <w:i/>
        </w:rPr>
        <w:t>Catherine the Great: Portrait of a Woman</w:t>
      </w:r>
      <w:r>
        <w:t>, (London: Head of Zeus, 2016)</w:t>
      </w:r>
      <w:bookmarkEnd w:id="9"/>
      <w:r w:rsidR="00751BE3">
        <w:t>,</w:t>
      </w:r>
      <w:r>
        <w:t xml:space="preserve"> p. 112. </w:t>
      </w:r>
    </w:p>
  </w:footnote>
  <w:footnote w:id="31">
    <w:p w14:paraId="3816BB38" w14:textId="7ADE3D89" w:rsidR="00751BE3" w:rsidRDefault="00751BE3">
      <w:pPr>
        <w:pStyle w:val="FootnoteText"/>
      </w:pPr>
      <w:r>
        <w:rPr>
          <w:rStyle w:val="FootnoteReference"/>
        </w:rPr>
        <w:footnoteRef/>
      </w:r>
      <w:r>
        <w:t xml:space="preserve"> Ibid., p, 112. </w:t>
      </w:r>
    </w:p>
  </w:footnote>
  <w:footnote w:id="32">
    <w:p w14:paraId="38180004" w14:textId="424FAF45" w:rsidR="00751BE3" w:rsidRDefault="00751BE3">
      <w:pPr>
        <w:pStyle w:val="FootnoteText"/>
      </w:pPr>
      <w:r>
        <w:rPr>
          <w:rStyle w:val="FootnoteReference"/>
        </w:rPr>
        <w:footnoteRef/>
      </w:r>
      <w:r>
        <w:t xml:space="preserve"> </w:t>
      </w:r>
      <w:r w:rsidRPr="00751BE3">
        <w:t>Ibid., p. 113.</w:t>
      </w:r>
    </w:p>
  </w:footnote>
  <w:footnote w:id="33">
    <w:p w14:paraId="507CE49F" w14:textId="506B522D" w:rsidR="00751BE3" w:rsidRPr="00751BE3" w:rsidRDefault="00751BE3">
      <w:pPr>
        <w:pStyle w:val="FootnoteText"/>
      </w:pPr>
      <w:r>
        <w:rPr>
          <w:rStyle w:val="FootnoteReference"/>
        </w:rPr>
        <w:footnoteRef/>
      </w:r>
      <w:r>
        <w:t xml:space="preserve"> </w:t>
      </w:r>
      <w:bookmarkStart w:id="10" w:name="_Hlk527631197"/>
      <w:r>
        <w:t xml:space="preserve">S. Montefiore, </w:t>
      </w:r>
      <w:r>
        <w:rPr>
          <w:i/>
        </w:rPr>
        <w:t>Catherine the Great and Potemkin: The Imperial Love Affair</w:t>
      </w:r>
      <w:r>
        <w:t xml:space="preserve">, (London: W&amp;N, 2016), </w:t>
      </w:r>
      <w:bookmarkEnd w:id="10"/>
      <w:r>
        <w:t xml:space="preserve">p. 45. </w:t>
      </w:r>
    </w:p>
  </w:footnote>
  <w:footnote w:id="34">
    <w:p w14:paraId="730C4F04" w14:textId="289AE85F" w:rsidR="00751BE3" w:rsidRDefault="00751BE3">
      <w:pPr>
        <w:pStyle w:val="FootnoteText"/>
      </w:pPr>
      <w:r>
        <w:rPr>
          <w:rStyle w:val="FootnoteReference"/>
        </w:rPr>
        <w:footnoteRef/>
      </w:r>
      <w:r>
        <w:t xml:space="preserve"> Ibid., p. 46. </w:t>
      </w:r>
    </w:p>
  </w:footnote>
  <w:footnote w:id="35">
    <w:p w14:paraId="75A3D524" w14:textId="2D3DDD70" w:rsidR="00074453" w:rsidRPr="00074453" w:rsidRDefault="00074453">
      <w:pPr>
        <w:pStyle w:val="FootnoteText"/>
        <w:rPr>
          <w:i/>
        </w:rPr>
      </w:pPr>
      <w:r>
        <w:rPr>
          <w:rStyle w:val="FootnoteReference"/>
        </w:rPr>
        <w:footnoteRef/>
      </w:r>
      <w:r>
        <w:t xml:space="preserve"> </w:t>
      </w:r>
      <w:bookmarkStart w:id="11" w:name="_Hlk527629302"/>
      <w:r>
        <w:t xml:space="preserve">Massie, </w:t>
      </w:r>
      <w:r>
        <w:rPr>
          <w:i/>
        </w:rPr>
        <w:t xml:space="preserve">Portrait of a Woman, </w:t>
      </w:r>
      <w:r w:rsidRPr="00074453">
        <w:t>p. 13</w:t>
      </w:r>
      <w:bookmarkEnd w:id="11"/>
      <w:r w:rsidRPr="00074453">
        <w:t>.</w:t>
      </w:r>
      <w:r>
        <w:rPr>
          <w:i/>
        </w:rPr>
        <w:t xml:space="preserve"> </w:t>
      </w:r>
    </w:p>
  </w:footnote>
  <w:footnote w:id="36">
    <w:p w14:paraId="5FDCF932" w14:textId="20DAF778" w:rsidR="00074453" w:rsidRDefault="00074453">
      <w:pPr>
        <w:pStyle w:val="FootnoteText"/>
      </w:pPr>
      <w:r>
        <w:rPr>
          <w:rStyle w:val="FootnoteReference"/>
        </w:rPr>
        <w:footnoteRef/>
      </w:r>
      <w:r>
        <w:t xml:space="preserve"> Ibid., p. 13. </w:t>
      </w:r>
    </w:p>
  </w:footnote>
  <w:footnote w:id="37">
    <w:p w14:paraId="1FC4EBB6" w14:textId="033068F2" w:rsidR="00074453" w:rsidRPr="00074453" w:rsidRDefault="00074453">
      <w:pPr>
        <w:pStyle w:val="FootnoteText"/>
      </w:pPr>
      <w:r>
        <w:rPr>
          <w:rStyle w:val="FootnoteReference"/>
        </w:rPr>
        <w:footnoteRef/>
      </w:r>
      <w:r>
        <w:t xml:space="preserve"> Catherine the Great, </w:t>
      </w:r>
      <w:r>
        <w:rPr>
          <w:i/>
        </w:rPr>
        <w:t xml:space="preserve">Instruction, </w:t>
      </w:r>
      <w:r>
        <w:t>p. 17</w:t>
      </w:r>
      <w:r w:rsidR="004F1C22">
        <w:t>2</w:t>
      </w:r>
      <w:r>
        <w:t xml:space="preserve">. </w:t>
      </w:r>
    </w:p>
  </w:footnote>
  <w:footnote w:id="38">
    <w:p w14:paraId="69A5C1E0" w14:textId="2B823EE8" w:rsidR="00074453" w:rsidRDefault="00074453">
      <w:pPr>
        <w:pStyle w:val="FootnoteText"/>
      </w:pPr>
      <w:r>
        <w:rPr>
          <w:rStyle w:val="FootnoteReference"/>
        </w:rPr>
        <w:footnoteRef/>
      </w:r>
      <w:r>
        <w:t xml:space="preserve"> Ibid., p, 171. </w:t>
      </w:r>
    </w:p>
  </w:footnote>
  <w:footnote w:id="39">
    <w:p w14:paraId="0AECC679" w14:textId="4304592C" w:rsidR="00074453" w:rsidRPr="00074453" w:rsidRDefault="00074453">
      <w:pPr>
        <w:pStyle w:val="FootnoteText"/>
      </w:pPr>
      <w:r>
        <w:rPr>
          <w:rStyle w:val="FootnoteReference"/>
        </w:rPr>
        <w:footnoteRef/>
      </w:r>
      <w:r>
        <w:t xml:space="preserve"> </w:t>
      </w:r>
      <w:bookmarkStart w:id="12" w:name="_Hlk527628069"/>
      <w:r>
        <w:t xml:space="preserve">Montefiore, </w:t>
      </w:r>
      <w:r>
        <w:rPr>
          <w:i/>
        </w:rPr>
        <w:t>Potemkin</w:t>
      </w:r>
      <w:r>
        <w:t xml:space="preserve">, p. 32. </w:t>
      </w:r>
    </w:p>
    <w:bookmarkEnd w:id="12"/>
  </w:footnote>
  <w:footnote w:id="40">
    <w:p w14:paraId="0E89052F" w14:textId="79F655C9" w:rsidR="00074453" w:rsidRDefault="00074453">
      <w:pPr>
        <w:pStyle w:val="FootnoteText"/>
      </w:pPr>
      <w:r>
        <w:rPr>
          <w:rStyle w:val="FootnoteReference"/>
        </w:rPr>
        <w:footnoteRef/>
      </w:r>
      <w:r>
        <w:t xml:space="preserve"> Ibid., p. 33. </w:t>
      </w:r>
    </w:p>
  </w:footnote>
  <w:footnote w:id="41">
    <w:p w14:paraId="70C8C789" w14:textId="58020B33" w:rsidR="00416155" w:rsidRPr="004F1C22" w:rsidRDefault="00416155">
      <w:pPr>
        <w:pStyle w:val="FootnoteText"/>
      </w:pPr>
      <w:r>
        <w:rPr>
          <w:rStyle w:val="FootnoteReference"/>
        </w:rPr>
        <w:footnoteRef/>
      </w:r>
      <w:r>
        <w:t xml:space="preserve"> </w:t>
      </w:r>
      <w:bookmarkStart w:id="13" w:name="_Hlk527627413"/>
      <w:r>
        <w:t xml:space="preserve">Catherine the Great, </w:t>
      </w:r>
      <w:r w:rsidR="004F1C22">
        <w:rPr>
          <w:i/>
        </w:rPr>
        <w:t>Instruction</w:t>
      </w:r>
      <w:r w:rsidR="004F1C22">
        <w:t xml:space="preserve">, p. 172.   </w:t>
      </w:r>
      <w:bookmarkEnd w:id="13"/>
    </w:p>
  </w:footnote>
  <w:footnote w:id="42">
    <w:p w14:paraId="31B3A510" w14:textId="5EA17E28" w:rsidR="008271E8" w:rsidRDefault="008271E8">
      <w:pPr>
        <w:pStyle w:val="FootnoteText"/>
      </w:pPr>
      <w:r>
        <w:rPr>
          <w:rStyle w:val="FootnoteReference"/>
        </w:rPr>
        <w:footnoteRef/>
      </w:r>
      <w:r>
        <w:t xml:space="preserve"> Ibid., p. 172. </w:t>
      </w:r>
    </w:p>
  </w:footnote>
  <w:footnote w:id="43">
    <w:p w14:paraId="12AFEEF4" w14:textId="3B9A2DEC" w:rsidR="003B2D5C" w:rsidRDefault="003B2D5C">
      <w:pPr>
        <w:pStyle w:val="FootnoteText"/>
      </w:pPr>
      <w:r>
        <w:rPr>
          <w:rStyle w:val="FootnoteReference"/>
        </w:rPr>
        <w:footnoteRef/>
      </w:r>
      <w:r>
        <w:t xml:space="preserve"> Ibid., p. 172. </w:t>
      </w:r>
    </w:p>
  </w:footnote>
  <w:footnote w:id="44">
    <w:p w14:paraId="577E8FE9" w14:textId="472E70FC" w:rsidR="003B2D5C" w:rsidRDefault="003B2D5C">
      <w:pPr>
        <w:pStyle w:val="FootnoteText"/>
      </w:pPr>
      <w:r>
        <w:rPr>
          <w:rStyle w:val="FootnoteReference"/>
        </w:rPr>
        <w:footnoteRef/>
      </w:r>
      <w:r>
        <w:t xml:space="preserve"> </w:t>
      </w:r>
      <w:bookmarkStart w:id="14" w:name="_Hlk527630640"/>
      <w:r w:rsidR="00193EB6" w:rsidRPr="00193EB6">
        <w:t>Montesquieu</w:t>
      </w:r>
      <w:r w:rsidR="00193EB6" w:rsidRPr="00B30EDD">
        <w:rPr>
          <w:i/>
        </w:rPr>
        <w:t>, The Spirit of the Laws</w:t>
      </w:r>
      <w:r w:rsidR="00193EB6" w:rsidRPr="00193EB6">
        <w:t xml:space="preserve">, (Oxford: Oxford University Press, 1989), </w:t>
      </w:r>
      <w:bookmarkEnd w:id="14"/>
      <w:r w:rsidR="00193EB6" w:rsidRPr="00193EB6">
        <w:t>p. 45.</w:t>
      </w:r>
      <w:r w:rsidR="00193EB6">
        <w:t xml:space="preserve">; </w:t>
      </w:r>
      <w:bookmarkStart w:id="15" w:name="_Hlk527630755"/>
      <w:bookmarkStart w:id="16" w:name="_Hlk527036442"/>
      <w:r w:rsidR="00193EB6" w:rsidRPr="00193EB6">
        <w:t xml:space="preserve">T. Hobbes, </w:t>
      </w:r>
      <w:r w:rsidR="00193EB6" w:rsidRPr="00193EB6">
        <w:rPr>
          <w:i/>
        </w:rPr>
        <w:t>Leviathan</w:t>
      </w:r>
      <w:r w:rsidR="00193EB6" w:rsidRPr="00193EB6">
        <w:t xml:space="preserve">, (Galloway: Anodos Books, 2017), </w:t>
      </w:r>
      <w:bookmarkEnd w:id="15"/>
      <w:r w:rsidR="00193EB6" w:rsidRPr="00193EB6">
        <w:t>p. 48.</w:t>
      </w:r>
      <w:bookmarkEnd w:id="16"/>
      <w:r w:rsidR="00193EB6">
        <w:t xml:space="preserve"> </w:t>
      </w:r>
    </w:p>
  </w:footnote>
  <w:footnote w:id="45">
    <w:p w14:paraId="2C018A25" w14:textId="1799531A" w:rsidR="00871041" w:rsidRPr="00871041" w:rsidRDefault="00871041">
      <w:pPr>
        <w:pStyle w:val="FootnoteText"/>
      </w:pPr>
      <w:r>
        <w:rPr>
          <w:rStyle w:val="FootnoteReference"/>
        </w:rPr>
        <w:footnoteRef/>
      </w:r>
      <w:r>
        <w:t xml:space="preserve"> Montesquieu, </w:t>
      </w:r>
      <w:r>
        <w:rPr>
          <w:i/>
        </w:rPr>
        <w:t>The Spirit</w:t>
      </w:r>
      <w:r>
        <w:t xml:space="preserve">, p. 46. </w:t>
      </w:r>
    </w:p>
  </w:footnote>
  <w:footnote w:id="46">
    <w:p w14:paraId="352D1CA1" w14:textId="54106571" w:rsidR="002C05BB" w:rsidRDefault="002C05BB">
      <w:pPr>
        <w:pStyle w:val="FootnoteText"/>
      </w:pPr>
      <w:r>
        <w:rPr>
          <w:rStyle w:val="FootnoteReference"/>
        </w:rPr>
        <w:footnoteRef/>
      </w:r>
      <w:r>
        <w:t xml:space="preserve"> J. J. Rousseau. and D. Wooton, </w:t>
      </w:r>
      <w:r w:rsidRPr="00B30EDD">
        <w:rPr>
          <w:i/>
        </w:rPr>
        <w:t>Basic Political Writings: Discourse on the Sciences &amp; the Arts, Discourse on the Origin of Inequality, Discourse on Political Economy, On the Social Contract, The State of War</w:t>
      </w:r>
      <w:r>
        <w:t>, (London, Hackett Classics: 2012)</w:t>
      </w:r>
      <w:r w:rsidR="00352FC4">
        <w:t>, p. 72.</w:t>
      </w:r>
      <w:r>
        <w:t xml:space="preserve">   </w:t>
      </w:r>
    </w:p>
  </w:footnote>
  <w:footnote w:id="47">
    <w:p w14:paraId="074755B0" w14:textId="37B92ADB" w:rsidR="00564181" w:rsidRDefault="00564181">
      <w:pPr>
        <w:pStyle w:val="FootnoteText"/>
      </w:pPr>
      <w:r>
        <w:rPr>
          <w:rStyle w:val="FootnoteReference"/>
        </w:rPr>
        <w:footnoteRef/>
      </w:r>
      <w:r>
        <w:t xml:space="preserve"> </w:t>
      </w:r>
      <w:r w:rsidRPr="00564181">
        <w:t xml:space="preserve">Catherine the Great, </w:t>
      </w:r>
      <w:r w:rsidRPr="00564181">
        <w:rPr>
          <w:i/>
        </w:rPr>
        <w:t>Instruction</w:t>
      </w:r>
      <w:r w:rsidRPr="00564181">
        <w:t xml:space="preserve">, p. 172.   </w:t>
      </w:r>
    </w:p>
  </w:footnote>
  <w:footnote w:id="48">
    <w:p w14:paraId="3C641A25" w14:textId="72220787" w:rsidR="000F6B5E" w:rsidRDefault="000F6B5E">
      <w:pPr>
        <w:pStyle w:val="FootnoteText"/>
      </w:pPr>
      <w:r>
        <w:rPr>
          <w:rStyle w:val="FootnoteReference"/>
        </w:rPr>
        <w:footnoteRef/>
      </w:r>
      <w:r>
        <w:t xml:space="preserve"> Ibid., p. 172. </w:t>
      </w:r>
    </w:p>
  </w:footnote>
  <w:footnote w:id="49">
    <w:p w14:paraId="5754CD16" w14:textId="2ED53F30" w:rsidR="000F6B5E" w:rsidRDefault="000F6B5E">
      <w:pPr>
        <w:pStyle w:val="FootnoteText"/>
      </w:pPr>
      <w:r>
        <w:rPr>
          <w:rStyle w:val="FootnoteReference"/>
        </w:rPr>
        <w:footnoteRef/>
      </w:r>
      <w:r>
        <w:t xml:space="preserve"> Ibid., p. 173. </w:t>
      </w:r>
    </w:p>
  </w:footnote>
  <w:footnote w:id="50">
    <w:p w14:paraId="20A03374" w14:textId="6933655B" w:rsidR="00E82A77" w:rsidRDefault="00E82A77">
      <w:pPr>
        <w:pStyle w:val="FootnoteText"/>
      </w:pPr>
      <w:r>
        <w:rPr>
          <w:rStyle w:val="FootnoteReference"/>
        </w:rPr>
        <w:footnoteRef/>
      </w:r>
      <w:r>
        <w:t xml:space="preserve"> Rousseau and Wootan, </w:t>
      </w:r>
      <w:r>
        <w:rPr>
          <w:i/>
        </w:rPr>
        <w:t>Political Writing</w:t>
      </w:r>
      <w:r>
        <w:t xml:space="preserve">, p. 72.  </w:t>
      </w:r>
    </w:p>
  </w:footnote>
  <w:footnote w:id="51">
    <w:p w14:paraId="4D406741" w14:textId="68A2D3F5" w:rsidR="00E82A77" w:rsidRDefault="00E82A77">
      <w:pPr>
        <w:pStyle w:val="FootnoteText"/>
      </w:pPr>
      <w:r>
        <w:rPr>
          <w:rStyle w:val="FootnoteReference"/>
        </w:rPr>
        <w:footnoteRef/>
      </w:r>
      <w:r>
        <w:t xml:space="preserve"> Ibid., p. 72. </w:t>
      </w:r>
    </w:p>
  </w:footnote>
  <w:footnote w:id="52">
    <w:p w14:paraId="4715D0D3" w14:textId="7B3B420E" w:rsidR="00E85B7F" w:rsidRDefault="00E85B7F">
      <w:pPr>
        <w:pStyle w:val="FootnoteText"/>
      </w:pPr>
      <w:r>
        <w:rPr>
          <w:rStyle w:val="FootnoteReference"/>
        </w:rPr>
        <w:footnoteRef/>
      </w:r>
      <w:r>
        <w:t xml:space="preserve"> </w:t>
      </w:r>
      <w:r w:rsidRPr="00E85B7F">
        <w:t xml:space="preserve">Montefiore, </w:t>
      </w:r>
      <w:r w:rsidRPr="00E85B7F">
        <w:rPr>
          <w:i/>
        </w:rPr>
        <w:t>Potemkin</w:t>
      </w:r>
      <w:r w:rsidRPr="00E85B7F">
        <w:t>, p. 3</w:t>
      </w:r>
      <w:r>
        <w:t>6</w:t>
      </w:r>
      <w:r w:rsidRPr="00E85B7F">
        <w:t xml:space="preserve">. </w:t>
      </w:r>
    </w:p>
  </w:footnote>
  <w:footnote w:id="53">
    <w:p w14:paraId="0305682A" w14:textId="241CAD90" w:rsidR="00AE6619" w:rsidRDefault="00AE6619">
      <w:pPr>
        <w:pStyle w:val="FootnoteText"/>
      </w:pPr>
      <w:r>
        <w:rPr>
          <w:rStyle w:val="FootnoteReference"/>
        </w:rPr>
        <w:footnoteRef/>
      </w:r>
      <w:r>
        <w:t xml:space="preserve"> Ibid., p. 37. </w:t>
      </w:r>
    </w:p>
  </w:footnote>
  <w:footnote w:id="54">
    <w:p w14:paraId="694C1514" w14:textId="7264D60D" w:rsidR="00AE6619" w:rsidRPr="00AE6619" w:rsidRDefault="00AE6619">
      <w:pPr>
        <w:pStyle w:val="FootnoteText"/>
      </w:pPr>
      <w:r>
        <w:rPr>
          <w:rStyle w:val="FootnoteReference"/>
        </w:rPr>
        <w:footnoteRef/>
      </w:r>
      <w:r>
        <w:t xml:space="preserve"> Catherine the Great, </w:t>
      </w:r>
      <w:r>
        <w:rPr>
          <w:i/>
        </w:rPr>
        <w:t xml:space="preserve">Instruction, </w:t>
      </w:r>
      <w:r>
        <w:t xml:space="preserve">p. 173. </w:t>
      </w:r>
    </w:p>
  </w:footnote>
  <w:footnote w:id="55">
    <w:p w14:paraId="1CEB99F4" w14:textId="1660576E" w:rsidR="00F926D0" w:rsidRDefault="00F926D0">
      <w:pPr>
        <w:pStyle w:val="FootnoteText"/>
      </w:pPr>
      <w:r>
        <w:rPr>
          <w:rStyle w:val="FootnoteReference"/>
        </w:rPr>
        <w:footnoteRef/>
      </w:r>
      <w:r>
        <w:t xml:space="preserve"> </w:t>
      </w:r>
      <w:bookmarkStart w:id="17" w:name="_Hlk527630894"/>
      <w:r w:rsidR="001F3ABC">
        <w:t>Cesare Beccaria</w:t>
      </w:r>
      <w:r w:rsidR="001F3ABC" w:rsidRPr="001F3ABC">
        <w:t>, ‘</w:t>
      </w:r>
      <w:r w:rsidR="001F3ABC">
        <w:t>On Crime and Punishment</w:t>
      </w:r>
      <w:r w:rsidR="001F3ABC" w:rsidRPr="001F3ABC">
        <w:t xml:space="preserve">’, in </w:t>
      </w:r>
      <w:r w:rsidR="001F3ABC" w:rsidRPr="001F3ABC">
        <w:rPr>
          <w:i/>
        </w:rPr>
        <w:t>The Enlightenment: A Sourcebook and Reader</w:t>
      </w:r>
      <w:r w:rsidR="001F3ABC" w:rsidRPr="001F3ABC">
        <w:t xml:space="preserve">, ed. by Paul Hyland (New York: Routledge, 2003), pp. </w:t>
      </w:r>
      <w:r w:rsidR="001F3ABC">
        <w:t>216 – 220</w:t>
      </w:r>
      <w:bookmarkEnd w:id="17"/>
      <w:r w:rsidR="001F3ABC">
        <w:t xml:space="preserve">. </w:t>
      </w:r>
    </w:p>
  </w:footnote>
  <w:footnote w:id="56">
    <w:p w14:paraId="66FDE06C" w14:textId="7E2F6BB8" w:rsidR="001F3ABC" w:rsidRDefault="001F3ABC">
      <w:pPr>
        <w:pStyle w:val="FootnoteText"/>
      </w:pPr>
      <w:r>
        <w:rPr>
          <w:rStyle w:val="FootnoteReference"/>
        </w:rPr>
        <w:footnoteRef/>
      </w:r>
      <w:r>
        <w:t xml:space="preserve"> Ibid., p. 218. </w:t>
      </w:r>
    </w:p>
  </w:footnote>
  <w:footnote w:id="57">
    <w:p w14:paraId="6973411F" w14:textId="0D1EF2D4" w:rsidR="001F3ABC" w:rsidRDefault="001F3ABC">
      <w:pPr>
        <w:pStyle w:val="FootnoteText"/>
      </w:pPr>
      <w:r>
        <w:rPr>
          <w:rStyle w:val="FootnoteReference"/>
        </w:rPr>
        <w:footnoteRef/>
      </w:r>
      <w:r>
        <w:t xml:space="preserve"> </w:t>
      </w:r>
      <w:r w:rsidRPr="001F3ABC">
        <w:t xml:space="preserve">Catherine the Great, </w:t>
      </w:r>
      <w:r w:rsidRPr="001F3ABC">
        <w:rPr>
          <w:i/>
        </w:rPr>
        <w:t>Instruction</w:t>
      </w:r>
      <w:r w:rsidRPr="001F3ABC">
        <w:t>, p. 17</w:t>
      </w:r>
      <w:r w:rsidR="00BF3A35">
        <w:t>3</w:t>
      </w:r>
      <w:r w:rsidRPr="001F3ABC">
        <w:t xml:space="preserve">.   </w:t>
      </w:r>
    </w:p>
  </w:footnote>
  <w:footnote w:id="58">
    <w:p w14:paraId="7C568E86" w14:textId="2237DCB1" w:rsidR="00BF3A35" w:rsidRDefault="00BF3A35">
      <w:pPr>
        <w:pStyle w:val="FootnoteText"/>
      </w:pPr>
      <w:r>
        <w:rPr>
          <w:rStyle w:val="FootnoteReference"/>
        </w:rPr>
        <w:footnoteRef/>
      </w:r>
      <w:r>
        <w:t xml:space="preserve"> Ibid., p. 173. </w:t>
      </w:r>
    </w:p>
  </w:footnote>
  <w:footnote w:id="59">
    <w:p w14:paraId="45EB2604" w14:textId="4F94463B" w:rsidR="00BF3A35" w:rsidRDefault="00BF3A35">
      <w:pPr>
        <w:pStyle w:val="FootnoteText"/>
      </w:pPr>
      <w:r>
        <w:rPr>
          <w:rStyle w:val="FootnoteReference"/>
        </w:rPr>
        <w:footnoteRef/>
      </w:r>
      <w:r>
        <w:t xml:space="preserve"> </w:t>
      </w:r>
      <w:r w:rsidR="005438F7" w:rsidRPr="005438F7">
        <w:t xml:space="preserve">Massie, </w:t>
      </w:r>
      <w:r w:rsidR="005438F7" w:rsidRPr="005438F7">
        <w:rPr>
          <w:i/>
        </w:rPr>
        <w:t xml:space="preserve">Portrait of a Woman, </w:t>
      </w:r>
      <w:r w:rsidR="005438F7" w:rsidRPr="005438F7">
        <w:t xml:space="preserve">p. </w:t>
      </w:r>
      <w:r w:rsidR="005438F7">
        <w:t xml:space="preserve">74. </w:t>
      </w:r>
    </w:p>
  </w:footnote>
  <w:footnote w:id="60">
    <w:p w14:paraId="5877052B" w14:textId="79CA4515" w:rsidR="005438F7" w:rsidRDefault="005438F7">
      <w:pPr>
        <w:pStyle w:val="FootnoteText"/>
      </w:pPr>
      <w:r>
        <w:rPr>
          <w:rStyle w:val="FootnoteReference"/>
        </w:rPr>
        <w:footnoteRef/>
      </w:r>
      <w:r>
        <w:t xml:space="preserve"> Ibid., p. 74. </w:t>
      </w:r>
    </w:p>
  </w:footnote>
  <w:footnote w:id="61">
    <w:p w14:paraId="41EB01EC" w14:textId="1CE8127E" w:rsidR="005438F7" w:rsidRDefault="005438F7">
      <w:pPr>
        <w:pStyle w:val="FootnoteText"/>
      </w:pPr>
      <w:r>
        <w:rPr>
          <w:rStyle w:val="FootnoteReference"/>
        </w:rPr>
        <w:footnoteRef/>
      </w:r>
      <w:r>
        <w:t xml:space="preserve"> </w:t>
      </w:r>
      <w:bookmarkStart w:id="18" w:name="_Hlk527629391"/>
      <w:r>
        <w:t xml:space="preserve">Ibid., p. 74. </w:t>
      </w:r>
      <w:bookmarkEnd w:id="18"/>
    </w:p>
  </w:footnote>
  <w:footnote w:id="62">
    <w:p w14:paraId="1D9D6FDC" w14:textId="5D0ABDDF" w:rsidR="005438F7" w:rsidRDefault="005438F7">
      <w:pPr>
        <w:pStyle w:val="FootnoteText"/>
      </w:pPr>
      <w:r>
        <w:rPr>
          <w:rStyle w:val="FootnoteReference"/>
        </w:rPr>
        <w:footnoteRef/>
      </w:r>
      <w:r>
        <w:t xml:space="preserve"> </w:t>
      </w:r>
      <w:r w:rsidRPr="005438F7">
        <w:t>Ibid., p. 74.</w:t>
      </w:r>
    </w:p>
  </w:footnote>
  <w:footnote w:id="63">
    <w:p w14:paraId="00838360" w14:textId="25C88EC6" w:rsidR="00C75DD5" w:rsidRPr="00C75DD5" w:rsidRDefault="00C75DD5">
      <w:pPr>
        <w:pStyle w:val="FootnoteText"/>
      </w:pPr>
      <w:r>
        <w:rPr>
          <w:rStyle w:val="FootnoteReference"/>
        </w:rPr>
        <w:footnoteRef/>
      </w:r>
      <w:r>
        <w:t xml:space="preserve"> Beccaria, </w:t>
      </w:r>
      <w:r>
        <w:rPr>
          <w:i/>
        </w:rPr>
        <w:t>Crimes and Punishment</w:t>
      </w:r>
      <w:r>
        <w:t xml:space="preserve">, p. 218. </w:t>
      </w:r>
    </w:p>
  </w:footnote>
  <w:footnote w:id="64">
    <w:p w14:paraId="222393BF" w14:textId="29708E52" w:rsidR="00F910B8" w:rsidRDefault="00F910B8">
      <w:pPr>
        <w:pStyle w:val="FootnoteText"/>
      </w:pPr>
      <w:r>
        <w:rPr>
          <w:rStyle w:val="FootnoteReference"/>
        </w:rPr>
        <w:footnoteRef/>
      </w:r>
      <w:r>
        <w:t xml:space="preserve"> </w:t>
      </w:r>
      <w:r w:rsidRPr="00F910B8">
        <w:t xml:space="preserve">Montefiore, </w:t>
      </w:r>
      <w:r w:rsidRPr="00F910B8">
        <w:rPr>
          <w:i/>
        </w:rPr>
        <w:t>Potemkin</w:t>
      </w:r>
      <w:r w:rsidRPr="00F910B8">
        <w:t>, p. 36</w:t>
      </w:r>
      <w:r>
        <w:t xml:space="preserve">. </w:t>
      </w:r>
    </w:p>
  </w:footnote>
  <w:footnote w:id="65">
    <w:p w14:paraId="487B29BC" w14:textId="1CEE8537" w:rsidR="00152C5C" w:rsidRDefault="00152C5C">
      <w:pPr>
        <w:pStyle w:val="FootnoteText"/>
      </w:pPr>
      <w:r>
        <w:rPr>
          <w:rStyle w:val="FootnoteReference"/>
        </w:rPr>
        <w:footnoteRef/>
      </w:r>
      <w:r>
        <w:t xml:space="preserve"> Ibid., p. 37. </w:t>
      </w:r>
    </w:p>
  </w:footnote>
  <w:footnote w:id="66">
    <w:p w14:paraId="17BDD6C4" w14:textId="0573F4B0" w:rsidR="00152C5C" w:rsidRDefault="00152C5C">
      <w:pPr>
        <w:pStyle w:val="FootnoteText"/>
      </w:pPr>
      <w:r>
        <w:rPr>
          <w:rStyle w:val="FootnoteReference"/>
        </w:rPr>
        <w:footnoteRef/>
      </w:r>
      <w:r>
        <w:t xml:space="preserve"> Ibid., p. 45. </w:t>
      </w:r>
    </w:p>
  </w:footnote>
  <w:footnote w:id="67">
    <w:p w14:paraId="3546640F" w14:textId="789787AA" w:rsidR="00152C5C" w:rsidRDefault="00152C5C">
      <w:pPr>
        <w:pStyle w:val="FootnoteText"/>
      </w:pPr>
      <w:r>
        <w:rPr>
          <w:rStyle w:val="FootnoteReference"/>
        </w:rPr>
        <w:footnoteRef/>
      </w:r>
      <w:r>
        <w:t xml:space="preserve"> Ibid., p. 45. </w:t>
      </w:r>
    </w:p>
  </w:footnote>
  <w:footnote w:id="68">
    <w:p w14:paraId="70E30FDC" w14:textId="57CE0523" w:rsidR="00152C5C" w:rsidRPr="00152C5C" w:rsidRDefault="00152C5C">
      <w:pPr>
        <w:pStyle w:val="FootnoteText"/>
      </w:pPr>
      <w:r>
        <w:rPr>
          <w:rStyle w:val="FootnoteReference"/>
        </w:rPr>
        <w:footnoteRef/>
      </w:r>
      <w:r>
        <w:t xml:space="preserve"> Massie, </w:t>
      </w:r>
      <w:r>
        <w:rPr>
          <w:i/>
        </w:rPr>
        <w:t xml:space="preserve">Portrayal of a Woman, </w:t>
      </w:r>
      <w:r>
        <w:t xml:space="preserve">p. 112. </w:t>
      </w:r>
    </w:p>
  </w:footnote>
  <w:footnote w:id="69">
    <w:p w14:paraId="652524DA" w14:textId="533DC782" w:rsidR="00152C5C" w:rsidRDefault="00152C5C">
      <w:pPr>
        <w:pStyle w:val="FootnoteText"/>
      </w:pPr>
      <w:r>
        <w:rPr>
          <w:rStyle w:val="FootnoteReference"/>
        </w:rPr>
        <w:footnoteRef/>
      </w:r>
      <w:r>
        <w:t xml:space="preserve"> Ibid., p. 112.  </w:t>
      </w:r>
    </w:p>
  </w:footnote>
  <w:footnote w:id="70">
    <w:p w14:paraId="1D027B44" w14:textId="51A93B39" w:rsidR="00C43CB0" w:rsidRPr="00526773" w:rsidRDefault="00C43CB0">
      <w:pPr>
        <w:pStyle w:val="FootnoteText"/>
      </w:pPr>
      <w:r>
        <w:rPr>
          <w:rStyle w:val="FootnoteReference"/>
        </w:rPr>
        <w:footnoteRef/>
      </w:r>
      <w:r>
        <w:t xml:space="preserve"> </w:t>
      </w:r>
      <w:bookmarkStart w:id="19" w:name="_Hlk527631059"/>
      <w:r>
        <w:t>J. S</w:t>
      </w:r>
      <w:r w:rsidR="00526773">
        <w:t xml:space="preserve">trickland, </w:t>
      </w:r>
      <w:r w:rsidR="00526773" w:rsidRPr="00526773">
        <w:rPr>
          <w:i/>
        </w:rPr>
        <w:t>The Making of Holy Russia: The Orthodox Church and Russian Nationalism Before the Revolution</w:t>
      </w:r>
      <w:r w:rsidR="00526773">
        <w:t xml:space="preserve">, (Cambridge: Independent Publisher Group, 2013). </w:t>
      </w:r>
      <w:bookmarkEnd w:id="19"/>
      <w:r w:rsidR="00526773">
        <w:t xml:space="preserve">p. 145.  </w:t>
      </w:r>
    </w:p>
  </w:footnote>
  <w:footnote w:id="71">
    <w:p w14:paraId="31A099DF" w14:textId="78118F6B" w:rsidR="00526773" w:rsidRDefault="00526773">
      <w:pPr>
        <w:pStyle w:val="FootnoteText"/>
      </w:pPr>
      <w:r>
        <w:rPr>
          <w:rStyle w:val="FootnoteReference"/>
        </w:rPr>
        <w:footnoteRef/>
      </w:r>
      <w:r>
        <w:t xml:space="preserve"> Ibid., p. 145. </w:t>
      </w:r>
    </w:p>
  </w:footnote>
  <w:footnote w:id="72">
    <w:p w14:paraId="5ECF3894" w14:textId="3C0E9D7B" w:rsidR="00526773" w:rsidRDefault="00526773">
      <w:pPr>
        <w:pStyle w:val="FootnoteText"/>
      </w:pPr>
      <w:r>
        <w:rPr>
          <w:rStyle w:val="FootnoteReference"/>
        </w:rPr>
        <w:footnoteRef/>
      </w:r>
      <w:r>
        <w:t xml:space="preserve"> Ibid., p. 146. </w:t>
      </w:r>
    </w:p>
  </w:footnote>
  <w:footnote w:id="73">
    <w:p w14:paraId="2CCD07A8" w14:textId="395F15B1" w:rsidR="00526773" w:rsidRDefault="00526773">
      <w:pPr>
        <w:pStyle w:val="FootnoteText"/>
      </w:pPr>
      <w:r>
        <w:rPr>
          <w:rStyle w:val="FootnoteReference"/>
        </w:rPr>
        <w:footnoteRef/>
      </w:r>
      <w:r>
        <w:t xml:space="preserve"> Ibid., p. 146. </w:t>
      </w:r>
    </w:p>
  </w:footnote>
  <w:footnote w:id="74">
    <w:p w14:paraId="42E29FE2" w14:textId="202B3A8C" w:rsidR="00E07A98" w:rsidRDefault="00E07A98">
      <w:pPr>
        <w:pStyle w:val="FootnoteText"/>
      </w:pPr>
      <w:r>
        <w:rPr>
          <w:rStyle w:val="FootnoteReference"/>
        </w:rPr>
        <w:footnoteRef/>
      </w:r>
      <w:r>
        <w:t xml:space="preserve"> Ibid., p. 147.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LI0MzU2NDM1MDSxNDNW0lEKTi0uzszPAykwrwUA6QIOsiwAAAA="/>
  </w:docVars>
  <w:rsids>
    <w:rsidRoot w:val="001E213F"/>
    <w:rsid w:val="00015126"/>
    <w:rsid w:val="00074453"/>
    <w:rsid w:val="000F6B5E"/>
    <w:rsid w:val="00152C5C"/>
    <w:rsid w:val="0019399E"/>
    <w:rsid w:val="00193EB6"/>
    <w:rsid w:val="001A3026"/>
    <w:rsid w:val="001E213F"/>
    <w:rsid w:val="001F326D"/>
    <w:rsid w:val="001F3ABC"/>
    <w:rsid w:val="001F791B"/>
    <w:rsid w:val="00217CE3"/>
    <w:rsid w:val="00265E25"/>
    <w:rsid w:val="00291410"/>
    <w:rsid w:val="00297F1B"/>
    <w:rsid w:val="002A28DB"/>
    <w:rsid w:val="002C05BB"/>
    <w:rsid w:val="002D5E6A"/>
    <w:rsid w:val="002F0BED"/>
    <w:rsid w:val="00352FC4"/>
    <w:rsid w:val="00357CEF"/>
    <w:rsid w:val="00363B36"/>
    <w:rsid w:val="003B12A1"/>
    <w:rsid w:val="003B2D5C"/>
    <w:rsid w:val="003C2066"/>
    <w:rsid w:val="003E67C4"/>
    <w:rsid w:val="004074CC"/>
    <w:rsid w:val="00416155"/>
    <w:rsid w:val="004571D4"/>
    <w:rsid w:val="004E4ADD"/>
    <w:rsid w:val="004F1C22"/>
    <w:rsid w:val="00526773"/>
    <w:rsid w:val="005438F7"/>
    <w:rsid w:val="00564181"/>
    <w:rsid w:val="00567FFA"/>
    <w:rsid w:val="00572C2A"/>
    <w:rsid w:val="00596B2F"/>
    <w:rsid w:val="005A40B1"/>
    <w:rsid w:val="0062129E"/>
    <w:rsid w:val="0069035F"/>
    <w:rsid w:val="006912D0"/>
    <w:rsid w:val="006C7569"/>
    <w:rsid w:val="006F31D6"/>
    <w:rsid w:val="00707FC0"/>
    <w:rsid w:val="00751BE3"/>
    <w:rsid w:val="00786725"/>
    <w:rsid w:val="00790E74"/>
    <w:rsid w:val="00796A6A"/>
    <w:rsid w:val="007D2C76"/>
    <w:rsid w:val="007E33E5"/>
    <w:rsid w:val="007E39C8"/>
    <w:rsid w:val="007E79AB"/>
    <w:rsid w:val="00820981"/>
    <w:rsid w:val="008271E8"/>
    <w:rsid w:val="00871041"/>
    <w:rsid w:val="00895592"/>
    <w:rsid w:val="008A4A79"/>
    <w:rsid w:val="008B3E13"/>
    <w:rsid w:val="0096368B"/>
    <w:rsid w:val="009C7238"/>
    <w:rsid w:val="00A01AE0"/>
    <w:rsid w:val="00A43110"/>
    <w:rsid w:val="00A534C5"/>
    <w:rsid w:val="00A7766A"/>
    <w:rsid w:val="00AE0C88"/>
    <w:rsid w:val="00AE6619"/>
    <w:rsid w:val="00B30EDD"/>
    <w:rsid w:val="00BF3A35"/>
    <w:rsid w:val="00C43CB0"/>
    <w:rsid w:val="00C62CB5"/>
    <w:rsid w:val="00C66ECC"/>
    <w:rsid w:val="00C75DD5"/>
    <w:rsid w:val="00C84B0D"/>
    <w:rsid w:val="00C96802"/>
    <w:rsid w:val="00D038E5"/>
    <w:rsid w:val="00D07A24"/>
    <w:rsid w:val="00D55E59"/>
    <w:rsid w:val="00D631D1"/>
    <w:rsid w:val="00E07A98"/>
    <w:rsid w:val="00E21108"/>
    <w:rsid w:val="00E273B6"/>
    <w:rsid w:val="00E57F55"/>
    <w:rsid w:val="00E80CA5"/>
    <w:rsid w:val="00E82A77"/>
    <w:rsid w:val="00E85B7F"/>
    <w:rsid w:val="00EA1210"/>
    <w:rsid w:val="00EA4B24"/>
    <w:rsid w:val="00EA4D9B"/>
    <w:rsid w:val="00EB0CB1"/>
    <w:rsid w:val="00ED7E13"/>
    <w:rsid w:val="00F30D8F"/>
    <w:rsid w:val="00F7650C"/>
    <w:rsid w:val="00F910B8"/>
    <w:rsid w:val="00F926D0"/>
    <w:rsid w:val="00F92EAC"/>
    <w:rsid w:val="00FC4E08"/>
    <w:rsid w:val="00FD5D9B"/>
    <w:rsid w:val="00FE4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DAE126"/>
  <w15:chartTrackingRefBased/>
  <w15:docId w15:val="{13AFE2EB-1936-4911-85CA-81DDAD389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074CC"/>
    <w:rPr>
      <w:sz w:val="16"/>
      <w:szCs w:val="16"/>
    </w:rPr>
  </w:style>
  <w:style w:type="paragraph" w:styleId="CommentText">
    <w:name w:val="annotation text"/>
    <w:basedOn w:val="Normal"/>
    <w:link w:val="CommentTextChar"/>
    <w:uiPriority w:val="99"/>
    <w:semiHidden/>
    <w:unhideWhenUsed/>
    <w:rsid w:val="004074CC"/>
    <w:pPr>
      <w:spacing w:line="240" w:lineRule="auto"/>
    </w:pPr>
    <w:rPr>
      <w:sz w:val="20"/>
      <w:szCs w:val="20"/>
    </w:rPr>
  </w:style>
  <w:style w:type="character" w:customStyle="1" w:styleId="CommentTextChar">
    <w:name w:val="Comment Text Char"/>
    <w:basedOn w:val="DefaultParagraphFont"/>
    <w:link w:val="CommentText"/>
    <w:uiPriority w:val="99"/>
    <w:semiHidden/>
    <w:rsid w:val="004074CC"/>
    <w:rPr>
      <w:sz w:val="20"/>
      <w:szCs w:val="20"/>
    </w:rPr>
  </w:style>
  <w:style w:type="paragraph" w:styleId="CommentSubject">
    <w:name w:val="annotation subject"/>
    <w:basedOn w:val="CommentText"/>
    <w:next w:val="CommentText"/>
    <w:link w:val="CommentSubjectChar"/>
    <w:uiPriority w:val="99"/>
    <w:semiHidden/>
    <w:unhideWhenUsed/>
    <w:rsid w:val="004074CC"/>
    <w:rPr>
      <w:b/>
      <w:bCs/>
    </w:rPr>
  </w:style>
  <w:style w:type="character" w:customStyle="1" w:styleId="CommentSubjectChar">
    <w:name w:val="Comment Subject Char"/>
    <w:basedOn w:val="CommentTextChar"/>
    <w:link w:val="CommentSubject"/>
    <w:uiPriority w:val="99"/>
    <w:semiHidden/>
    <w:rsid w:val="004074CC"/>
    <w:rPr>
      <w:b/>
      <w:bCs/>
      <w:sz w:val="20"/>
      <w:szCs w:val="20"/>
    </w:rPr>
  </w:style>
  <w:style w:type="paragraph" w:styleId="BalloonText">
    <w:name w:val="Balloon Text"/>
    <w:basedOn w:val="Normal"/>
    <w:link w:val="BalloonTextChar"/>
    <w:uiPriority w:val="99"/>
    <w:semiHidden/>
    <w:unhideWhenUsed/>
    <w:rsid w:val="004074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74CC"/>
    <w:rPr>
      <w:rFonts w:ascii="Segoe UI" w:hAnsi="Segoe UI" w:cs="Segoe UI"/>
      <w:sz w:val="18"/>
      <w:szCs w:val="18"/>
    </w:rPr>
  </w:style>
  <w:style w:type="paragraph" w:styleId="FootnoteText">
    <w:name w:val="footnote text"/>
    <w:basedOn w:val="Normal"/>
    <w:link w:val="FootnoteTextChar"/>
    <w:uiPriority w:val="99"/>
    <w:semiHidden/>
    <w:unhideWhenUsed/>
    <w:rsid w:val="006903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035F"/>
    <w:rPr>
      <w:sz w:val="20"/>
      <w:szCs w:val="20"/>
    </w:rPr>
  </w:style>
  <w:style w:type="character" w:styleId="FootnoteReference">
    <w:name w:val="footnote reference"/>
    <w:basedOn w:val="DefaultParagraphFont"/>
    <w:uiPriority w:val="99"/>
    <w:semiHidden/>
    <w:unhideWhenUsed/>
    <w:rsid w:val="0069035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0470AC-DA11-4C00-91D3-74F60F0F1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2488</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Gillson-Gant</dc:creator>
  <cp:keywords/>
  <dc:description/>
  <cp:lastModifiedBy>Henry Gillson-Gant</cp:lastModifiedBy>
  <cp:revision>3</cp:revision>
  <dcterms:created xsi:type="dcterms:W3CDTF">2018-10-18T15:30:00Z</dcterms:created>
  <dcterms:modified xsi:type="dcterms:W3CDTF">2018-10-18T15:30:00Z</dcterms:modified>
</cp:coreProperties>
</file>