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An Image Commentary of the Family of Henry VIII Portrait</w:t>
      </w:r>
    </w:p>
    <w:p w:rsidR="00000000" w:rsidDel="00000000" w:rsidP="00000000" w:rsidRDefault="00000000" w:rsidRPr="00000000" w14:paraId="00000002">
      <w:pPr>
        <w:spacing w:line="240" w:lineRule="auto"/>
        <w:jc w:val="both"/>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3">
      <w:pPr>
        <w:spacing w:line="240" w:lineRule="auto"/>
        <w:jc w:val="both"/>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Unknown, The Family of Henry VIII, (Royal Collections Trust, c. 1545)</w:t>
      </w:r>
    </w:p>
    <w:p w:rsidR="00000000" w:rsidDel="00000000" w:rsidP="00000000" w:rsidRDefault="00000000" w:rsidRPr="00000000" w14:paraId="00000004">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anchor allowOverlap="1" behindDoc="0" distB="114300" distT="114300" distL="114300" distR="114300" hidden="0" layoutInCell="1" locked="0" relativeHeight="0" simplePos="0">
            <wp:simplePos x="0" y="0"/>
            <wp:positionH relativeFrom="margin">
              <wp:posOffset>0</wp:posOffset>
            </wp:positionH>
            <wp:positionV relativeFrom="margin">
              <wp:posOffset>457200</wp:posOffset>
            </wp:positionV>
            <wp:extent cx="5943600" cy="2425700"/>
            <wp:effectExtent b="0" l="0" r="0" t="0"/>
            <wp:wrapTopAndBottom distB="114300" distT="11430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2425700"/>
                    </a:xfrm>
                    <a:prstGeom prst="rect"/>
                    <a:ln/>
                  </pic:spPr>
                </pic:pic>
              </a:graphicData>
            </a:graphic>
          </wp:anchor>
        </w:drawing>
      </w:r>
      <w:r w:rsidDel="00000000" w:rsidR="00000000" w:rsidRPr="00000000">
        <w:rPr>
          <w:rtl w:val="0"/>
        </w:rPr>
      </w:r>
    </w:p>
    <w:p w:rsidR="00000000" w:rsidDel="00000000" w:rsidP="00000000" w:rsidRDefault="00000000" w:rsidRPr="00000000" w14:paraId="00000005">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Tudor Dynasty were well-known for their use of portraiture to portray a message to other nations in times of political instability, and the Family of Henry VIII portrait is no exception. This famous Tudor painting was commissioned and painted in the year 1545.</w:t>
      </w:r>
      <w:r w:rsidDel="00000000" w:rsidR="00000000" w:rsidRPr="00000000">
        <w:rPr>
          <w:rFonts w:ascii="Times New Roman" w:cs="Times New Roman" w:eastAsia="Times New Roman" w:hAnsi="Times New Roman"/>
          <w:vertAlign w:val="superscript"/>
        </w:rPr>
        <w:footnoteReference w:customMarkFollows="0" w:id="0"/>
      </w:r>
      <w:r w:rsidDel="00000000" w:rsidR="00000000" w:rsidRPr="00000000">
        <w:rPr>
          <w:rFonts w:ascii="Times New Roman" w:cs="Times New Roman" w:eastAsia="Times New Roman" w:hAnsi="Times New Roman"/>
          <w:rtl w:val="0"/>
        </w:rPr>
        <w:t xml:space="preserve"> The portrait of King Henry VIII and his family was one of large significance to the English and French courts. The use of propaganda was a key element within the Tudor reign. Typically, one would associate the use of propaganda with that of fascist indoctrination, however the use of propaganda has been utilised through generations to spread misleading information for one’s own gain. With regards to the Tudor Portrait, 1545 was a year of much political strife, and war with France was very much underway.</w:t>
      </w:r>
      <w:r w:rsidDel="00000000" w:rsidR="00000000" w:rsidRPr="00000000">
        <w:rPr>
          <w:rFonts w:ascii="Times New Roman" w:cs="Times New Roman" w:eastAsia="Times New Roman" w:hAnsi="Times New Roman"/>
          <w:vertAlign w:val="superscript"/>
        </w:rPr>
        <w:footnoteReference w:customMarkFollows="0" w:id="1"/>
      </w:r>
      <w:r w:rsidDel="00000000" w:rsidR="00000000" w:rsidRPr="00000000">
        <w:rPr>
          <w:rFonts w:ascii="Times New Roman" w:cs="Times New Roman" w:eastAsia="Times New Roman" w:hAnsi="Times New Roman"/>
          <w:rtl w:val="0"/>
        </w:rPr>
        <w:t xml:space="preserve"> It was during this year of the French Armada, during which the Battle of the Solent had occurred. The Battle of Solent was disastrous for Henry because he witnessed his favourite ship, the Mary Rose, sink to the bottom of the Solent. It was a demoralising site for Henry, and no doubt lit a fire in him.</w:t>
      </w:r>
      <w:r w:rsidDel="00000000" w:rsidR="00000000" w:rsidRPr="00000000">
        <w:rPr>
          <w:rFonts w:ascii="Times New Roman" w:cs="Times New Roman" w:eastAsia="Times New Roman" w:hAnsi="Times New Roman"/>
          <w:vertAlign w:val="superscript"/>
        </w:rPr>
        <w:footnoteReference w:customMarkFollows="0" w:id="2"/>
      </w: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Henry had been humiliated in the Battle of the Solent, war with France still raged on. It can be argued that Henry was in a weak position, politically and physically.  Henry had died only two years later which suggests that in 1545, his health was declining, along with his power in court.</w:t>
      </w:r>
      <w:r w:rsidDel="00000000" w:rsidR="00000000" w:rsidRPr="00000000">
        <w:rPr>
          <w:rFonts w:ascii="Times New Roman" w:cs="Times New Roman" w:eastAsia="Times New Roman" w:hAnsi="Times New Roman"/>
          <w:vertAlign w:val="superscript"/>
        </w:rPr>
        <w:footnoteReference w:customMarkFollows="0" w:id="3"/>
      </w:r>
      <w:r w:rsidDel="00000000" w:rsidR="00000000" w:rsidRPr="00000000">
        <w:rPr>
          <w:rFonts w:ascii="Times New Roman" w:cs="Times New Roman" w:eastAsia="Times New Roman" w:hAnsi="Times New Roman"/>
          <w:rtl w:val="0"/>
        </w:rPr>
        <w:t xml:space="preserve"> Additionally, his only son and heir was eight and a sickly boy at that. Henry feared for the Tudor Dynasty’s position. As a result, Henry VIII had this painting commissioned as a sign of strength and political stability in his Tudor Court. He was sending a political message of his strength to France and other powerful monarchies around the world. Therefore, Henry had a family portrait created. This painting consists of Jane the Fool, Lady Mary, Prince Edward, Henry VIII, Jane Seymour, Lady Elizabeth, and Will Somers. The three in the middle, Henry VIII, Jane Seymour and Prince Edward, were seated beneath a canopy of state which is more formally known as a Baldachin. A Baldachin is defined as Baldachin: “A baldachin (or baldacchino) is a canopy. The most typical use of the term refers to an architectural canopy placed over the high altar of a church. The best known example is Bernini's baldachin for St Peter's in Rome.” This was a cloth of honour used for the royalty and deities, and further signifies their strong leadership.</w:t>
      </w:r>
      <w:r w:rsidDel="00000000" w:rsidR="00000000" w:rsidRPr="00000000">
        <w:rPr>
          <w:rFonts w:ascii="Times New Roman" w:cs="Times New Roman" w:eastAsia="Times New Roman" w:hAnsi="Times New Roman"/>
          <w:vertAlign w:val="superscript"/>
        </w:rPr>
        <w:footnoteReference w:customMarkFollows="0" w:id="4"/>
      </w:r>
      <w:r w:rsidDel="00000000" w:rsidR="00000000" w:rsidRPr="00000000">
        <w:rPr>
          <w:rFonts w:ascii="Times New Roman" w:cs="Times New Roman" w:eastAsia="Times New Roman" w:hAnsi="Times New Roman"/>
          <w:rtl w:val="0"/>
        </w:rPr>
        <w:t xml:space="preserve"> However, this painting had been commissioned in 1545, eight years after the death of Henry’s third wife Jane Seymour, whilst he was married to his sixth wife, Katherine Parr. Additionally, this painting cannot be considered accurate. Jane Seymour had died in childbirth, however, in the painting she is seen standing with her eight year old son.</w:t>
      </w:r>
      <w:r w:rsidDel="00000000" w:rsidR="00000000" w:rsidRPr="00000000">
        <w:rPr>
          <w:rFonts w:ascii="Times New Roman" w:cs="Times New Roman" w:eastAsia="Times New Roman" w:hAnsi="Times New Roman"/>
          <w:vertAlign w:val="superscript"/>
        </w:rPr>
        <w:footnoteReference w:customMarkFollows="0" w:id="5"/>
      </w:r>
      <w:r w:rsidDel="00000000" w:rsidR="00000000" w:rsidRPr="00000000">
        <w:rPr>
          <w:rFonts w:ascii="Times New Roman" w:cs="Times New Roman" w:eastAsia="Times New Roman" w:hAnsi="Times New Roman"/>
          <w:rtl w:val="0"/>
        </w:rPr>
        <w:t xml:space="preserve"> This painting would not have been used as a factual source of information, however this piece does provide a strong insight into the stability of court during this time. This painting proves that Henry was significantly insecure regarding his power within court. Therefore, this shows that in light of Henry's declining health and power, and the political instability with France, that the commissioning of this painting could be logically construed as a message of strength and stability aimed at the French. </w:t>
      </w:r>
    </w:p>
    <w:p w:rsidR="00000000" w:rsidDel="00000000" w:rsidP="00000000" w:rsidRDefault="00000000" w:rsidRPr="00000000" w14:paraId="00000008">
      <w:pPr>
        <w:spacing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Susan Doran speculates that </w:t>
      </w:r>
      <w:r w:rsidDel="00000000" w:rsidR="00000000" w:rsidRPr="00000000">
        <w:rPr>
          <w:rFonts w:ascii="Times New Roman" w:cs="Times New Roman" w:eastAsia="Times New Roman" w:hAnsi="Times New Roman"/>
          <w:i w:val="1"/>
          <w:rtl w:val="0"/>
        </w:rPr>
        <w:t xml:space="preserve">The Family of Henry VIII</w:t>
      </w:r>
      <w:r w:rsidDel="00000000" w:rsidR="00000000" w:rsidRPr="00000000">
        <w:rPr>
          <w:rFonts w:ascii="Times New Roman" w:cs="Times New Roman" w:eastAsia="Times New Roman" w:hAnsi="Times New Roman"/>
          <w:rtl w:val="0"/>
        </w:rPr>
        <w:t xml:space="preserve"> “was probably painted to commemorate the 1544 statute that restored the bastardised Mary and Elizabeth to a place in the succession.”</w:t>
      </w:r>
      <w:r w:rsidDel="00000000" w:rsidR="00000000" w:rsidRPr="00000000">
        <w:rPr>
          <w:rFonts w:ascii="Times New Roman" w:cs="Times New Roman" w:eastAsia="Times New Roman" w:hAnsi="Times New Roman"/>
          <w:vertAlign w:val="superscript"/>
        </w:rPr>
        <w:footnoteReference w:customMarkFollows="0" w:id="6"/>
      </w:r>
      <w:r w:rsidDel="00000000" w:rsidR="00000000" w:rsidRPr="00000000">
        <w:rPr>
          <w:rFonts w:ascii="Times New Roman" w:cs="Times New Roman" w:eastAsia="Times New Roman" w:hAnsi="Times New Roman"/>
          <w:rtl w:val="0"/>
        </w:rPr>
        <w:t xml:space="preserve"> Doran highlights that the Third Act of Succession was one of the main motivating factors for the commissioning of this piece. During the annulment of the marriage between Catherine of Aragon and Henry VIII, Mary was officially declared illegitimate.</w:t>
      </w:r>
      <w:r w:rsidDel="00000000" w:rsidR="00000000" w:rsidRPr="00000000">
        <w:rPr>
          <w:rFonts w:ascii="Times New Roman" w:cs="Times New Roman" w:eastAsia="Times New Roman" w:hAnsi="Times New Roman"/>
          <w:vertAlign w:val="superscript"/>
        </w:rPr>
        <w:footnoteReference w:customMarkFollows="0" w:id="7"/>
      </w:r>
      <w:r w:rsidDel="00000000" w:rsidR="00000000" w:rsidRPr="00000000">
        <w:rPr>
          <w:rFonts w:ascii="Times New Roman" w:cs="Times New Roman" w:eastAsia="Times New Roman" w:hAnsi="Times New Roman"/>
          <w:rtl w:val="0"/>
        </w:rPr>
        <w:t xml:space="preserve"> In the eyes of the church, the marriage never occurred, meaning she was technically born out of wedlock. As well as this, Elizabeth was also declared illegitimate once Edward had arrived because there was no longer a need for her. Tudor women, most commonly, were used as pawns in a game of political chess. However, in 1544 the Third Act of Succession was created allowing the two daughters to be reinstated as rightful heirs to the throne.</w:t>
      </w:r>
      <w:r w:rsidDel="00000000" w:rsidR="00000000" w:rsidRPr="00000000">
        <w:rPr>
          <w:rFonts w:ascii="Times New Roman" w:cs="Times New Roman" w:eastAsia="Times New Roman" w:hAnsi="Times New Roman"/>
          <w:vertAlign w:val="superscript"/>
        </w:rPr>
        <w:footnoteReference w:customMarkFollows="0" w:id="8"/>
      </w:r>
      <w:r w:rsidDel="00000000" w:rsidR="00000000" w:rsidRPr="00000000">
        <w:rPr>
          <w:rFonts w:ascii="Times New Roman" w:cs="Times New Roman" w:eastAsia="Times New Roman" w:hAnsi="Times New Roman"/>
          <w:rtl w:val="0"/>
        </w:rPr>
        <w:t xml:space="preserve"> The condition was dependent on if Edward produced an heir. This can be seen visibly in the painting. The two daughters, Lady Mary and Lady Elizabeth are positioned quite far away from the three in the middle, could this suggest that the three in the middle are the most crucial to the monarch with the two daughters waiting in the side lines as reserves. This is essentially what they were, they were women so came second best to his son and heir, Edward. An heir and a spare.  </w:t>
      </w:r>
    </w:p>
    <w:p w:rsidR="00000000" w:rsidDel="00000000" w:rsidP="00000000" w:rsidRDefault="00000000" w:rsidRPr="00000000" w14:paraId="0000000A">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Within the painting, there are a number of small details that express many hidden meanings. For example, the wall behind Henry depicts the King’s Beasts, it appears that the beast on the right is the Red Dragon of Wales, this beast is representative of valour and bravery.</w:t>
      </w:r>
      <w:r w:rsidDel="00000000" w:rsidR="00000000" w:rsidRPr="00000000">
        <w:rPr>
          <w:rFonts w:ascii="Times New Roman" w:cs="Times New Roman" w:eastAsia="Times New Roman" w:hAnsi="Times New Roman"/>
          <w:vertAlign w:val="superscript"/>
        </w:rPr>
        <w:footnoteReference w:customMarkFollows="0" w:id="9"/>
      </w:r>
      <w:r w:rsidDel="00000000" w:rsidR="00000000" w:rsidRPr="00000000">
        <w:rPr>
          <w:rFonts w:ascii="Times New Roman" w:cs="Times New Roman" w:eastAsia="Times New Roman" w:hAnsi="Times New Roman"/>
          <w:rtl w:val="0"/>
        </w:rPr>
        <w:t xml:space="preserve"> Whereas the one on the right is a White Greyhound of Richmond which signified loyalty and honour. These King’s beasts are symbols, signifying various aspects of the monarchy. The other beasts include that of the Golden Lion of England, this beast represents ‘Britishness’ with qualities such as strength, courage, dignity and pride.</w:t>
      </w:r>
      <w:r w:rsidDel="00000000" w:rsidR="00000000" w:rsidRPr="00000000">
        <w:rPr>
          <w:rFonts w:ascii="Times New Roman" w:cs="Times New Roman" w:eastAsia="Times New Roman" w:hAnsi="Times New Roman"/>
          <w:vertAlign w:val="superscript"/>
        </w:rPr>
        <w:footnoteReference w:customMarkFollows="0" w:id="10"/>
      </w:r>
      <w:r w:rsidDel="00000000" w:rsidR="00000000" w:rsidRPr="00000000">
        <w:rPr>
          <w:rFonts w:ascii="Times New Roman" w:cs="Times New Roman" w:eastAsia="Times New Roman" w:hAnsi="Times New Roman"/>
          <w:rtl w:val="0"/>
        </w:rPr>
        <w:t xml:space="preserve"> The Falcon of the Plantagenets, representing resolve, determination and the high status of a monarch. Others represented qualities such as prowess, loyalty, purity and honour. This artist chose to include the Red Dragon and the White Greyhound for a reason, when producing a form of propaganda, every detail is carefully thought out. </w:t>
      </w:r>
    </w:p>
    <w:p w:rsidR="00000000" w:rsidDel="00000000" w:rsidP="00000000" w:rsidRDefault="00000000" w:rsidRPr="00000000" w14:paraId="0000000C">
      <w:pPr>
        <w:spacing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well as the use of the King’s Beasts, the artist also chose to incorporate the Tudor Rose. The ceiling of the painting is lined with the tudor rose, as a subtle hint as a symbol of war but more importantly, the end of conflict. Additionally, the portrait appears to have been set in the background of whitechapel which one can only assume that this portrait was intended to be hung in the Presences Chamber at Whitehall. This assumption is corroborated by the fact that the portrait was in fact displayed in Whitehall for a period of time. The use of Whitehall as a setting is an important feature that one may not realise when you first delve into the history of this painting. The palace had been the residence of Cardinal Wolsey and was previously named York Place. After his sudden fall from grace, Henry took the desirable palace from Wolsey and transformed it into Whitehall Palace.</w:t>
      </w:r>
      <w:r w:rsidDel="00000000" w:rsidR="00000000" w:rsidRPr="00000000">
        <w:rPr>
          <w:rFonts w:ascii="Times New Roman" w:cs="Times New Roman" w:eastAsia="Times New Roman" w:hAnsi="Times New Roman"/>
          <w:vertAlign w:val="superscript"/>
        </w:rPr>
        <w:footnoteReference w:customMarkFollows="0" w:id="11"/>
      </w:r>
      <w:r w:rsidDel="00000000" w:rsidR="00000000" w:rsidRPr="00000000">
        <w:rPr>
          <w:rFonts w:ascii="Times New Roman" w:cs="Times New Roman" w:eastAsia="Times New Roman" w:hAnsi="Times New Roman"/>
          <w:rtl w:val="0"/>
        </w:rPr>
        <w:t xml:space="preserve"> At its height, Whitehall Palace was the largest palace in Europe, and was the epicentre of English power for 168 years.</w:t>
      </w:r>
      <w:r w:rsidDel="00000000" w:rsidR="00000000" w:rsidRPr="00000000">
        <w:rPr>
          <w:rFonts w:ascii="Times New Roman" w:cs="Times New Roman" w:eastAsia="Times New Roman" w:hAnsi="Times New Roman"/>
          <w:vertAlign w:val="superscript"/>
        </w:rPr>
        <w:footnoteReference w:customMarkFollows="0" w:id="12"/>
      </w:r>
      <w:r w:rsidDel="00000000" w:rsidR="00000000" w:rsidRPr="00000000">
        <w:rPr>
          <w:rFonts w:ascii="Times New Roman" w:cs="Times New Roman" w:eastAsia="Times New Roman" w:hAnsi="Times New Roman"/>
          <w:rtl w:val="0"/>
        </w:rPr>
        <w:t xml:space="preserve"> The palace began to be referred to as ‘Whitehall,’ the palace of the Kings and Queens of England. This established the link between the power of the monarchy and Whitehall, a link that still remains today.</w:t>
      </w:r>
      <w:r w:rsidDel="00000000" w:rsidR="00000000" w:rsidRPr="00000000">
        <w:rPr>
          <w:rFonts w:ascii="Times New Roman" w:cs="Times New Roman" w:eastAsia="Times New Roman" w:hAnsi="Times New Roman"/>
          <w:vertAlign w:val="superscript"/>
        </w:rPr>
        <w:footnoteReference w:customMarkFollows="0" w:id="13"/>
      </w:r>
      <w:r w:rsidDel="00000000" w:rsidR="00000000" w:rsidRPr="00000000">
        <w:rPr>
          <w:rtl w:val="0"/>
        </w:rPr>
      </w:r>
    </w:p>
    <w:p w:rsidR="00000000" w:rsidDel="00000000" w:rsidP="00000000" w:rsidRDefault="00000000" w:rsidRPr="00000000" w14:paraId="0000000E">
      <w:pPr>
        <w:spacing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line="360" w:lineRule="auto"/>
        <w:ind w:left="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Furthermore, the two individuals in the background of the image are the last details of the painting that this commentary will discuss. The woman on the far left has been speculated to be either Mary Jak, Edwards wet nurse or Jane the fool. The man on the far right is generally assumed to be Will Somers, the court fool.</w:t>
      </w:r>
      <w:r w:rsidDel="00000000" w:rsidR="00000000" w:rsidRPr="00000000">
        <w:rPr>
          <w:rFonts w:ascii="Times New Roman" w:cs="Times New Roman" w:eastAsia="Times New Roman" w:hAnsi="Times New Roman"/>
          <w:vertAlign w:val="superscript"/>
        </w:rPr>
        <w:footnoteReference w:customMarkFollows="0" w:id="14"/>
      </w:r>
      <w:r w:rsidDel="00000000" w:rsidR="00000000" w:rsidRPr="00000000">
        <w:rPr>
          <w:rFonts w:ascii="Times New Roman" w:cs="Times New Roman" w:eastAsia="Times New Roman" w:hAnsi="Times New Roman"/>
          <w:rtl w:val="0"/>
        </w:rPr>
        <w:t xml:space="preserve"> In context, there were two variations of a fool, a “natural fool” was a person “we recognise today as having a learning disability.”</w:t>
      </w:r>
      <w:r w:rsidDel="00000000" w:rsidR="00000000" w:rsidRPr="00000000">
        <w:rPr>
          <w:rFonts w:ascii="Times New Roman" w:cs="Times New Roman" w:eastAsia="Times New Roman" w:hAnsi="Times New Roman"/>
          <w:vertAlign w:val="superscript"/>
        </w:rPr>
        <w:footnoteReference w:customMarkFollows="0" w:id="15"/>
      </w:r>
      <w:r w:rsidDel="00000000" w:rsidR="00000000" w:rsidRPr="00000000">
        <w:rPr>
          <w:rFonts w:ascii="Times New Roman" w:cs="Times New Roman" w:eastAsia="Times New Roman" w:hAnsi="Times New Roman"/>
          <w:rtl w:val="0"/>
        </w:rPr>
        <w:t xml:space="preserve"> An “artificial fool” was a term that seems to have been synonymous with ‘jester’ as one who mimicked the ‘foolishness’ of the other.” Including Jane and Will Somers in the painting was a significant choice, it proves that they were not the lowest of the court but instead were given distinct and privileged roles in court. They were very important to the running of the court and the presence of Will Somers and Jane the Fool indicate that they were in fact important.</w:t>
      </w:r>
    </w:p>
    <w:p w:rsidR="00000000" w:rsidDel="00000000" w:rsidP="00000000" w:rsidRDefault="00000000" w:rsidRPr="00000000" w14:paraId="00000010">
      <w:pPr>
        <w:spacing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spacing w:line="360" w:lineRule="auto"/>
        <w:ind w:left="0" w:firstLine="72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Additionally, within the painting, Jane Seymore appeared to be painted in a fairly similar manner to another painting. Jane Seymore had passed on eight years prior to the commissioning of this piece, to be able to precisely paint Jane would have been very difficult. Norris noted that Jane was “dressed in almost the exact costume depicted in the copy of Holbein’s original fresco, dating 1537.”</w:t>
      </w:r>
      <w:r w:rsidDel="00000000" w:rsidR="00000000" w:rsidRPr="00000000">
        <w:rPr>
          <w:rFonts w:ascii="Times New Roman" w:cs="Times New Roman" w:eastAsia="Times New Roman" w:hAnsi="Times New Roman"/>
          <w:highlight w:val="white"/>
          <w:vertAlign w:val="superscript"/>
        </w:rPr>
        <w:footnoteReference w:customMarkFollows="0" w:id="16"/>
      </w:r>
      <w:r w:rsidDel="00000000" w:rsidR="00000000" w:rsidRPr="00000000">
        <w:rPr>
          <w:rFonts w:ascii="Times New Roman" w:cs="Times New Roman" w:eastAsia="Times New Roman" w:hAnsi="Times New Roman"/>
          <w:highlight w:val="white"/>
          <w:rtl w:val="0"/>
        </w:rPr>
        <w:t xml:space="preserve">  It can be seen in the Holbein piece of Jane Seymore, dated c.1536, that she is almost identical to the image of Jane in the family portrait.</w:t>
      </w:r>
      <w:r w:rsidDel="00000000" w:rsidR="00000000" w:rsidRPr="00000000">
        <w:rPr>
          <w:rFonts w:ascii="Times New Roman" w:cs="Times New Roman" w:eastAsia="Times New Roman" w:hAnsi="Times New Roman"/>
          <w:highlight w:val="white"/>
          <w:vertAlign w:val="superscript"/>
        </w:rPr>
        <w:footnoteReference w:customMarkFollows="0" w:id="17"/>
      </w:r>
      <w:r w:rsidDel="00000000" w:rsidR="00000000" w:rsidRPr="00000000">
        <w:rPr>
          <w:rFonts w:ascii="Times New Roman" w:cs="Times New Roman" w:eastAsia="Times New Roman" w:hAnsi="Times New Roman"/>
          <w:highlight w:val="white"/>
          <w:rtl w:val="0"/>
        </w:rPr>
        <w:t xml:space="preserve"> It can be seen in both paintings that Jane is wearing an orange and black headpiece, an orange bodice with large sleeves of dark oranges and black and white furs. It can be assumed that the composition from Holbein's original portrait was more than likely taken for this piece considering a real life version would not have been ascertained easily. </w:t>
      </w:r>
    </w:p>
    <w:p w:rsidR="00000000" w:rsidDel="00000000" w:rsidP="00000000" w:rsidRDefault="00000000" w:rsidRPr="00000000" w14:paraId="00000012">
      <w:pPr>
        <w:spacing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Moreover, t</w:t>
      </w:r>
      <w:r w:rsidDel="00000000" w:rsidR="00000000" w:rsidRPr="00000000">
        <w:rPr>
          <w:rFonts w:ascii="Times New Roman" w:cs="Times New Roman" w:eastAsia="Times New Roman" w:hAnsi="Times New Roman"/>
          <w:rtl w:val="0"/>
        </w:rPr>
        <w:t xml:space="preserve">he individual who created this piece was widely unknown, however it is assumed that Holbein had some influence in the painting. Holbein had previously painted for the Tudor family, one example was the Jane Seymour Portrait, as mentioned previously. It is entirely plausible to assume that it was in fact Holbein who was commissioned to paint this piece; however, it is not yet certain that he did. From his previous work, and the clear and direct use of his portrait of Jane Seymour within the family portrait, one would argue that it is valid to determine it was Holbein. However, without solid evidence, this can only be a speculation. The artist of this piece used oil paints to create the image. Originally it was renaissance artist Jan Van Eyck who discovered the use for oil painting when creating a piece. Jan Van Eyck was known for experimenting with oils and powders to create the perfect colours and consistencies for his art. He noted that the slow drying properties of the oil based paints allow artists to be able to work for much longer and allow artists to correct mistakes easily. The use of oil paints were a significant sign of wealth, oil paints were very expensive and the use of this medium was a clear indication of wealth and status. Additionally, portraiture was seen as a crucial form of propaganda, the oil paintings allowed for the likeness of monarchs to be uncanny because the artists had a significant amount of time to perfect their work. The Royal court needed likenesses for, as Elizabeth I had discovered, portraits were the best propaganda.</w:t>
      </w:r>
      <w:r w:rsidDel="00000000" w:rsidR="00000000" w:rsidRPr="00000000">
        <w:rPr>
          <w:rFonts w:ascii="Times New Roman" w:cs="Times New Roman" w:eastAsia="Times New Roman" w:hAnsi="Times New Roman"/>
          <w:vertAlign w:val="superscript"/>
        </w:rPr>
        <w:footnoteReference w:customMarkFollows="0" w:id="18"/>
      </w: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it is clear that this entire painting was a form of propaganda, used to mislead the French into believing the Tudor dynasty was as powerful as it always had been. Despite the only male heir being a sickly boy, two women to follow and a king whose health was rapidly declining, the king was still determined to appear a strong leader. Doleman poignantly argued that “Henry had learnt to use art and portraiture in a less literal, more symbolic way by the end of his reign. It is usually read as a statement about Henry’s rapprochement with all three of his children at the end of his reign, and his inclusion of all three in the succession.”</w:t>
      </w:r>
      <w:r w:rsidDel="00000000" w:rsidR="00000000" w:rsidRPr="00000000">
        <w:rPr>
          <w:rFonts w:ascii="Times New Roman" w:cs="Times New Roman" w:eastAsia="Times New Roman" w:hAnsi="Times New Roman"/>
          <w:vertAlign w:val="superscript"/>
        </w:rPr>
        <w:footnoteReference w:customMarkFollows="0" w:id="19"/>
      </w:r>
      <w:r w:rsidDel="00000000" w:rsidR="00000000" w:rsidRPr="00000000">
        <w:rPr>
          <w:rFonts w:ascii="Times New Roman" w:cs="Times New Roman" w:eastAsia="Times New Roman" w:hAnsi="Times New Roman"/>
          <w:rtl w:val="0"/>
        </w:rPr>
        <w:t xml:space="preserve"> Henry had intended for this painting to signify his strength and leadership during a time of rife political instability. The Tudors were well-known for their use of portraiture by means of portraying a message, The Field of the Cloth of Gold and The Armada Portrait are also examples of paintings whereby the Tudor Dynasty sought to send a message of power and strength. This use of propaganda was incredibly effective, and certainly did have the desired impact. </w:t>
      </w:r>
    </w:p>
    <w:p w:rsidR="00000000" w:rsidDel="00000000" w:rsidP="00000000" w:rsidRDefault="00000000" w:rsidRPr="00000000" w14:paraId="00000016">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7">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8">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9">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A">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B">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C">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D">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E">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F">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0">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1">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2">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3">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4">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5">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6">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7">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8">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9">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A">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B">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C">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D">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E">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2F">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0">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1">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2">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3">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4">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5">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6">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7">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8">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9">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A">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B">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C">
      <w:pPr>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3D">
      <w:pPr>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Bibliography:</w:t>
      </w:r>
    </w:p>
    <w:p w:rsidR="00000000" w:rsidDel="00000000" w:rsidP="00000000" w:rsidRDefault="00000000" w:rsidRPr="00000000" w14:paraId="0000003E">
      <w:pPr>
        <w:jc w:val="both"/>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Primary:</w:t>
      </w:r>
    </w:p>
    <w:p w:rsidR="00000000" w:rsidDel="00000000" w:rsidP="00000000" w:rsidRDefault="00000000" w:rsidRPr="00000000" w14:paraId="0000003F">
      <w:pPr>
        <w:spacing w:line="240" w:lineRule="auto"/>
        <w:jc w:val="both"/>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40">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6403585" cy="261685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6403585" cy="261685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pacing w:line="240" w:lineRule="auto"/>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Unknown, The Family of Henry VIII, (Royal Collections Trust, c. 1545)</w:t>
      </w:r>
    </w:p>
    <w:p w:rsidR="00000000" w:rsidDel="00000000" w:rsidP="00000000" w:rsidRDefault="00000000" w:rsidRPr="00000000" w14:paraId="00000042">
      <w:pPr>
        <w:jc w:val="center"/>
        <w:rPr>
          <w:rFonts w:ascii="Times New Roman" w:cs="Times New Roman" w:eastAsia="Times New Roman" w:hAnsi="Times New Roman"/>
        </w:rPr>
      </w:pPr>
      <w:hyperlink r:id="rId8">
        <w:r w:rsidDel="00000000" w:rsidR="00000000" w:rsidRPr="00000000">
          <w:rPr>
            <w:rFonts w:ascii="Times New Roman" w:cs="Times New Roman" w:eastAsia="Times New Roman" w:hAnsi="Times New Roman"/>
            <w:color w:val="1155cc"/>
            <w:u w:val="single"/>
            <w:rtl w:val="0"/>
          </w:rPr>
          <w:t xml:space="preserve">https://www.rct.uk/collection/405796/the-family-of-henry-viii</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4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sz w:val="20"/>
          <w:szCs w:val="20"/>
        </w:rPr>
        <w:drawing>
          <wp:anchor allowOverlap="1" behindDoc="0" distB="114300" distT="114300" distL="114300" distR="114300" hidden="0" layoutInCell="1" locked="0" relativeHeight="0" simplePos="0">
            <wp:simplePos x="0" y="0"/>
            <wp:positionH relativeFrom="page">
              <wp:posOffset>2800350</wp:posOffset>
            </wp:positionH>
            <wp:positionV relativeFrom="page">
              <wp:posOffset>5074344</wp:posOffset>
            </wp:positionV>
            <wp:extent cx="2171700" cy="3396498"/>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2171700" cy="3396498"/>
                    </a:xfrm>
                    <a:prstGeom prst="rect"/>
                    <a:ln/>
                  </pic:spPr>
                </pic:pic>
              </a:graphicData>
            </a:graphic>
          </wp:anchor>
        </w:drawing>
      </w:r>
      <w:r w:rsidDel="00000000" w:rsidR="00000000" w:rsidRPr="00000000">
        <w:rPr>
          <w:rFonts w:ascii="Times New Roman" w:cs="Times New Roman" w:eastAsia="Times New Roman" w:hAnsi="Times New Roman"/>
          <w:sz w:val="20"/>
          <w:szCs w:val="20"/>
          <w:rtl w:val="0"/>
        </w:rPr>
        <w:t xml:space="preserve">Hans Holbein the Younger, Portrait of Jane Seymore, c.1536 </w:t>
      </w:r>
      <w:hyperlink r:id="rId10">
        <w:r w:rsidDel="00000000" w:rsidR="00000000" w:rsidRPr="00000000">
          <w:rPr>
            <w:rFonts w:ascii="Times New Roman" w:cs="Times New Roman" w:eastAsia="Times New Roman" w:hAnsi="Times New Roman"/>
            <w:color w:val="1155cc"/>
            <w:sz w:val="20"/>
            <w:szCs w:val="20"/>
            <w:u w:val="single"/>
            <w:rtl w:val="0"/>
          </w:rPr>
          <w:t xml:space="preserve">https://artsandculture.google.com/asset/jane-seymour-queen-of-england/egE1bExAbnBDgg?hl=en-GB</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p w:rsidR="00000000" w:rsidDel="00000000" w:rsidP="00000000" w:rsidRDefault="00000000" w:rsidRPr="00000000" w14:paraId="00000044">
      <w:pPr>
        <w:spacing w:line="240" w:lineRule="auto"/>
        <w:jc w:val="both"/>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45">
      <w:pPr>
        <w:spacing w:line="240" w:lineRule="auto"/>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u w:val="single"/>
          <w:rtl w:val="0"/>
        </w:rPr>
        <w:t xml:space="preserve">Secondary:</w:t>
      </w: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after="360"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highlight w:val="white"/>
          <w:rtl w:val="0"/>
        </w:rPr>
        <w:t xml:space="preserve">Armin, Robert.  </w:t>
      </w:r>
      <w:r w:rsidDel="00000000" w:rsidR="00000000" w:rsidRPr="00000000">
        <w:rPr>
          <w:rFonts w:ascii="Times New Roman" w:cs="Times New Roman" w:eastAsia="Times New Roman" w:hAnsi="Times New Roman"/>
          <w:i w:val="1"/>
          <w:highlight w:val="white"/>
          <w:rtl w:val="0"/>
        </w:rPr>
        <w:t xml:space="preserve">Fools and Jesters: With a Reprint of Robert Armin’s Nest of Ninnies</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highlight w:val="white"/>
          <w:rtl w:val="0"/>
        </w:rPr>
        <w:t xml:space="preserve">1608</w:t>
      </w:r>
      <w:r w:rsidDel="00000000" w:rsidR="00000000" w:rsidRPr="00000000">
        <w:rPr>
          <w:rFonts w:ascii="Times New Roman" w:cs="Times New Roman" w:eastAsia="Times New Roman" w:hAnsi="Times New Roman"/>
          <w:highlight w:val="white"/>
          <w:rtl w:val="0"/>
        </w:rPr>
        <w:t xml:space="preserve">.  London:  Shakespeare Society, 1841</w:t>
      </w:r>
      <w:r w:rsidDel="00000000" w:rsidR="00000000" w:rsidRPr="00000000">
        <w:rPr>
          <w:rtl w:val="0"/>
        </w:rPr>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after="360"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Bolland, Charlotte and Cooper Tarnya .</w:t>
      </w:r>
      <w:r w:rsidDel="00000000" w:rsidR="00000000" w:rsidRPr="00000000">
        <w:rPr>
          <w:rFonts w:ascii="Times New Roman" w:cs="Times New Roman" w:eastAsia="Times New Roman" w:hAnsi="Times New Roman"/>
          <w:i w:val="1"/>
          <w:rtl w:val="0"/>
        </w:rPr>
        <w:t xml:space="preserve"> The Real Tudors: Kings and Queens Rediscovered, </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rtl w:val="0"/>
        </w:rPr>
        <w:t xml:space="preserve">London, National Portrait Gallery Publications, 2014)</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after="360"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Dolman, Brett, “Wishful Thinking:  Reading the Portraits of Henry VIII’s Queens.” Henry VIII and the Court:  Art, Politics and Performance, (Ashgate Publishing Company, 2013)  </w:t>
      </w:r>
      <w:r w:rsidDel="00000000" w:rsidR="00000000" w:rsidRPr="00000000">
        <w:rPr>
          <w:rtl w:val="0"/>
        </w:rPr>
      </w:r>
    </w:p>
    <w:p w:rsidR="00000000" w:rsidDel="00000000" w:rsidP="00000000" w:rsidRDefault="00000000" w:rsidRPr="00000000" w14:paraId="00000049">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Doran Susan , The Tudor Chronicles 1485-1603, (Quercus, 2008) p.195</w:t>
      </w:r>
    </w:p>
    <w:p w:rsidR="00000000" w:rsidDel="00000000" w:rsidP="00000000" w:rsidRDefault="00000000" w:rsidRPr="00000000" w14:paraId="0000004A">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B">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Ettin Andrew Vogel , “Will Sommers.” Fools and Jesters in Literature, Art, and History: A Bio-bibliographical Sourcebook, (Greenwood Press, 1998)</w:t>
      </w:r>
    </w:p>
    <w:p w:rsidR="00000000" w:rsidDel="00000000" w:rsidP="00000000" w:rsidRDefault="00000000" w:rsidRPr="00000000" w14:paraId="0000004C">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D">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Hampton Court Beasts, Historic Royal Palaces, 2022 https://www.hrp.org.uk/hampton-court-palace/hampton-court-beasts/#gs.k285nc</w:t>
      </w:r>
    </w:p>
    <w:p w:rsidR="00000000" w:rsidDel="00000000" w:rsidP="00000000" w:rsidRDefault="00000000" w:rsidRPr="00000000" w14:paraId="0000004E">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F">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Jerrett Simon , “The King’s Fools – Disability in the Tudor Court.” Disability in Time and Place (English Heritage Disability History, 2012)</w:t>
      </w:r>
    </w:p>
    <w:p w:rsidR="00000000" w:rsidDel="00000000" w:rsidP="00000000" w:rsidRDefault="00000000" w:rsidRPr="00000000" w14:paraId="00000050">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Loades David , The Making of the Elizabethan Navy 1540-1590: From the Solent to the Armada, (Boydell Press, 2009) pp. 19-38</w:t>
      </w:r>
    </w:p>
    <w:p w:rsidR="00000000" w:rsidDel="00000000" w:rsidP="00000000" w:rsidRDefault="00000000" w:rsidRPr="00000000" w14:paraId="00000052">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3">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Maas Rupert, The History of Oils, (Mall Galleries, 2009) https://www.mallgalleries.org.uk/learning/resources/history-oils</w:t>
      </w:r>
    </w:p>
    <w:p w:rsidR="00000000" w:rsidDel="00000000" w:rsidP="00000000" w:rsidRDefault="00000000" w:rsidRPr="00000000" w14:paraId="00000054">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5">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Murphy Neil , “Violence, Colonisation and Henry VIII’s Conquest of France, 1544–1546,” Past &amp; Present, Volume 233, Issue 1, (Oxford University Press, 2016) pp.13–51</w:t>
      </w:r>
    </w:p>
    <w:p w:rsidR="00000000" w:rsidDel="00000000" w:rsidP="00000000" w:rsidRDefault="00000000" w:rsidRPr="00000000" w14:paraId="00000056">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7">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Norris Herbert , Tudor Costume and Fashion, (Courier Corporation, 2013) p.287</w:t>
      </w:r>
    </w:p>
    <w:p w:rsidR="00000000" w:rsidDel="00000000" w:rsidP="00000000" w:rsidRDefault="00000000" w:rsidRPr="00000000" w14:paraId="00000058">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9">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Norton Elizabeth , Jane Seymour: Henry VIII's True Love, (Amberley Publishing, 2009) p.157</w:t>
      </w:r>
    </w:p>
    <w:p w:rsidR="00000000" w:rsidDel="00000000" w:rsidP="00000000" w:rsidRDefault="00000000" w:rsidRPr="00000000" w14:paraId="0000005A">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B">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Porter Linda , Mary Tudor: The First Queen, (Hachette UK, 2010)</w:t>
      </w:r>
    </w:p>
    <w:p w:rsidR="00000000" w:rsidDel="00000000" w:rsidP="00000000" w:rsidRDefault="00000000" w:rsidRPr="00000000" w14:paraId="0000005C">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hd w:fill="ffffff" w:val="clear"/>
        <w:spacing w:after="360"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National Gallery, Definition for Baldachins, 2016 https://www.nationalgallery.org.uk/paintings/glossary/baldachins</w:t>
      </w:r>
    </w:p>
    <w:p w:rsidR="00000000" w:rsidDel="00000000" w:rsidP="00000000" w:rsidRDefault="00000000" w:rsidRPr="00000000" w14:paraId="0000005E">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Scarisbrick J. J, Henry VIII, (Yale University Press, 1997)</w:t>
      </w:r>
    </w:p>
    <w:p w:rsidR="00000000" w:rsidDel="00000000" w:rsidP="00000000" w:rsidRDefault="00000000" w:rsidRPr="00000000" w14:paraId="0000005F">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0">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Whitehall Fire of 1698, Historic Royal Palaces, 2022 https://www.hrp.org.uk/banqueting-house/history-and-stories/the-whitehall-fire-of-1698/#gs.k3y8</w:t>
      </w:r>
      <w:r w:rsidDel="00000000" w:rsidR="00000000" w:rsidRPr="00000000">
        <w:rPr>
          <w:rtl w:val="0"/>
        </w:rPr>
      </w:r>
    </w:p>
    <w:sectPr>
      <w:head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66">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Unknown, The Family of Henry VIII, (Royal Collections Trust, c. 1545)</w:t>
      </w:r>
    </w:p>
  </w:footnote>
  <w:footnote w:id="6">
    <w:p w:rsidR="00000000" w:rsidDel="00000000" w:rsidP="00000000" w:rsidRDefault="00000000" w:rsidRPr="00000000" w14:paraId="0000006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Susan Doran, </w:t>
      </w:r>
      <w:r w:rsidDel="00000000" w:rsidR="00000000" w:rsidRPr="00000000">
        <w:rPr>
          <w:rFonts w:ascii="Times New Roman" w:cs="Times New Roman" w:eastAsia="Times New Roman" w:hAnsi="Times New Roman"/>
          <w:i w:val="1"/>
          <w:sz w:val="20"/>
          <w:szCs w:val="20"/>
          <w:rtl w:val="0"/>
        </w:rPr>
        <w:t xml:space="preserve">The Tudor Chronicles 1485-1603</w:t>
      </w:r>
      <w:r w:rsidDel="00000000" w:rsidR="00000000" w:rsidRPr="00000000">
        <w:rPr>
          <w:rFonts w:ascii="Times New Roman" w:cs="Times New Roman" w:eastAsia="Times New Roman" w:hAnsi="Times New Roman"/>
          <w:sz w:val="20"/>
          <w:szCs w:val="20"/>
          <w:rtl w:val="0"/>
        </w:rPr>
        <w:t xml:space="preserve">, (Quercus, 2008) p.195</w:t>
      </w:r>
    </w:p>
  </w:footnote>
  <w:footnote w:id="17">
    <w:p w:rsidR="00000000" w:rsidDel="00000000" w:rsidP="00000000" w:rsidRDefault="00000000" w:rsidRPr="00000000" w14:paraId="0000006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Hans Holbein the Younger, Portrait of Jane Seymore, c.1536 </w:t>
      </w:r>
      <w:hyperlink r:id="rId1">
        <w:r w:rsidDel="00000000" w:rsidR="00000000" w:rsidRPr="00000000">
          <w:rPr>
            <w:rFonts w:ascii="Times New Roman" w:cs="Times New Roman" w:eastAsia="Times New Roman" w:hAnsi="Times New Roman"/>
            <w:color w:val="1155cc"/>
            <w:sz w:val="20"/>
            <w:szCs w:val="20"/>
            <w:u w:val="single"/>
            <w:rtl w:val="0"/>
          </w:rPr>
          <w:t xml:space="preserve">https://artsandculture.google.com/asset/jane-seymour-queen-of-england/egE1bExAbnBDgg?hl=en-GB</w:t>
        </w:r>
      </w:hyperlink>
      <w:r w:rsidDel="00000000" w:rsidR="00000000" w:rsidRPr="00000000">
        <w:rPr>
          <w:rFonts w:ascii="Times New Roman" w:cs="Times New Roman" w:eastAsia="Times New Roman" w:hAnsi="Times New Roman"/>
          <w:sz w:val="20"/>
          <w:szCs w:val="20"/>
          <w:rtl w:val="0"/>
        </w:rPr>
        <w:t xml:space="preserve"> </w:t>
      </w:r>
    </w:p>
  </w:footnote>
  <w:footnote w:id="18">
    <w:p w:rsidR="00000000" w:rsidDel="00000000" w:rsidP="00000000" w:rsidRDefault="00000000" w:rsidRPr="00000000" w14:paraId="0000006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color w:val="1a1919"/>
          <w:sz w:val="20"/>
          <w:szCs w:val="20"/>
          <w:highlight w:val="white"/>
          <w:rtl w:val="0"/>
        </w:rPr>
        <w:t xml:space="preserve">Rupert Maas, The History of Oils, (Mall Galleries, 2009) </w:t>
      </w:r>
      <w:hyperlink r:id="rId2">
        <w:r w:rsidDel="00000000" w:rsidR="00000000" w:rsidRPr="00000000">
          <w:rPr>
            <w:rFonts w:ascii="Times New Roman" w:cs="Times New Roman" w:eastAsia="Times New Roman" w:hAnsi="Times New Roman"/>
            <w:color w:val="1155cc"/>
            <w:sz w:val="20"/>
            <w:szCs w:val="20"/>
            <w:highlight w:val="white"/>
            <w:u w:val="single"/>
            <w:rtl w:val="0"/>
          </w:rPr>
          <w:t xml:space="preserve">https://www.mallgalleries.org.uk/learning/resources/history-oils</w:t>
        </w:r>
      </w:hyperlink>
      <w:r w:rsidDel="00000000" w:rsidR="00000000" w:rsidRPr="00000000">
        <w:rPr>
          <w:rFonts w:ascii="Times New Roman" w:cs="Times New Roman" w:eastAsia="Times New Roman" w:hAnsi="Times New Roman"/>
          <w:color w:val="1a1919"/>
          <w:sz w:val="20"/>
          <w:szCs w:val="20"/>
          <w:highlight w:val="white"/>
          <w:rtl w:val="0"/>
        </w:rPr>
        <w:t xml:space="preserve"> </w:t>
      </w:r>
      <w:r w:rsidDel="00000000" w:rsidR="00000000" w:rsidRPr="00000000">
        <w:rPr>
          <w:rtl w:val="0"/>
        </w:rPr>
      </w:r>
    </w:p>
  </w:footnote>
  <w:footnote w:id="10">
    <w:p w:rsidR="00000000" w:rsidDel="00000000" w:rsidP="00000000" w:rsidRDefault="00000000" w:rsidRPr="00000000" w14:paraId="0000006A">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i w:val="1"/>
          <w:sz w:val="20"/>
          <w:szCs w:val="20"/>
          <w:rtl w:val="0"/>
        </w:rPr>
        <w:t xml:space="preserve">Hampton Court Beast</w:t>
      </w:r>
      <w:r w:rsidDel="00000000" w:rsidR="00000000" w:rsidRPr="00000000">
        <w:rPr>
          <w:rFonts w:ascii="Times New Roman" w:cs="Times New Roman" w:eastAsia="Times New Roman" w:hAnsi="Times New Roman"/>
          <w:sz w:val="20"/>
          <w:szCs w:val="20"/>
          <w:rtl w:val="0"/>
        </w:rPr>
        <w:t xml:space="preserve">s, Historic Royal Palaces, 2022 https://www.hrp.org.uk/hampton-court-palace/hampton-court-beasts/#gs.k285nc</w:t>
      </w:r>
    </w:p>
  </w:footnote>
  <w:footnote w:id="11">
    <w:p w:rsidR="00000000" w:rsidDel="00000000" w:rsidP="00000000" w:rsidRDefault="00000000" w:rsidRPr="00000000" w14:paraId="0000006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The Whitehall Fire of 1698, Historic Royal Palaces, 2022 https://www.hrp.org.uk/banqueting-house/history-and-stories/the-whitehall-fire-of-1698/#gs.k3y8dz</w:t>
      </w:r>
    </w:p>
  </w:footnote>
  <w:footnote w:id="12">
    <w:p w:rsidR="00000000" w:rsidDel="00000000" w:rsidP="00000000" w:rsidRDefault="00000000" w:rsidRPr="00000000" w14:paraId="0000006C">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The Whitehall Fire of 1698, Historic Royal Palaces, 2022 https://www.hrp.org.uk/banqueting-house/history-and-stories/the-whitehall-fire-of-1698/#gs.k3y8dz</w:t>
      </w:r>
      <w:r w:rsidDel="00000000" w:rsidR="00000000" w:rsidRPr="00000000">
        <w:rPr>
          <w:rtl w:val="0"/>
        </w:rPr>
      </w:r>
    </w:p>
  </w:footnote>
  <w:footnote w:id="13">
    <w:p w:rsidR="00000000" w:rsidDel="00000000" w:rsidP="00000000" w:rsidRDefault="00000000" w:rsidRPr="00000000" w14:paraId="0000006D">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The Whitehall Fire of 1698, Historic Royal Palaces, 2022 https://www.hrp.org.uk/banqueting-house/history-and-stories/the-whitehall-fire-of-1698/#gs.k3y8dz</w:t>
      </w:r>
      <w:r w:rsidDel="00000000" w:rsidR="00000000" w:rsidRPr="00000000">
        <w:rPr>
          <w:rtl w:val="0"/>
        </w:rPr>
      </w:r>
    </w:p>
  </w:footnote>
  <w:footnote w:id="1">
    <w:p w:rsidR="00000000" w:rsidDel="00000000" w:rsidP="00000000" w:rsidRDefault="00000000" w:rsidRPr="00000000" w14:paraId="0000006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Neil Murphy, “Violence, Colonisation and Henry VIII’s Conquest of France, 1544–1546,” </w:t>
      </w:r>
      <w:r w:rsidDel="00000000" w:rsidR="00000000" w:rsidRPr="00000000">
        <w:rPr>
          <w:rFonts w:ascii="Times New Roman" w:cs="Times New Roman" w:eastAsia="Times New Roman" w:hAnsi="Times New Roman"/>
          <w:i w:val="1"/>
          <w:color w:val="2a2a2a"/>
          <w:sz w:val="20"/>
          <w:szCs w:val="20"/>
          <w:highlight w:val="white"/>
          <w:rtl w:val="0"/>
        </w:rPr>
        <w:t xml:space="preserve">Past &amp; Present</w:t>
      </w:r>
      <w:r w:rsidDel="00000000" w:rsidR="00000000" w:rsidRPr="00000000">
        <w:rPr>
          <w:rFonts w:ascii="Times New Roman" w:cs="Times New Roman" w:eastAsia="Times New Roman" w:hAnsi="Times New Roman"/>
          <w:color w:val="2a2a2a"/>
          <w:sz w:val="20"/>
          <w:szCs w:val="20"/>
          <w:highlight w:val="white"/>
          <w:rtl w:val="0"/>
        </w:rPr>
        <w:t xml:space="preserve">, Volume 233, Issue 1, (Oxford University Press, 2016) pp.13–51</w:t>
      </w:r>
      <w:r w:rsidDel="00000000" w:rsidR="00000000" w:rsidRPr="00000000">
        <w:rPr>
          <w:rFonts w:ascii="Times New Roman" w:cs="Times New Roman" w:eastAsia="Times New Roman" w:hAnsi="Times New Roman"/>
          <w:sz w:val="20"/>
          <w:szCs w:val="20"/>
          <w:rtl w:val="0"/>
        </w:rPr>
        <w:t xml:space="preserve"> </w:t>
      </w:r>
    </w:p>
  </w:footnote>
  <w:footnote w:id="2">
    <w:p w:rsidR="00000000" w:rsidDel="00000000" w:rsidP="00000000" w:rsidRDefault="00000000" w:rsidRPr="00000000" w14:paraId="0000006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David Loades, The Making of the Elizabethan Navy 1540-1590: From the Solent to the Armada, (Boydell Press, 2009) pp. 19-38</w:t>
      </w:r>
    </w:p>
  </w:footnote>
  <w:footnote w:id="3">
    <w:p w:rsidR="00000000" w:rsidDel="00000000" w:rsidP="00000000" w:rsidRDefault="00000000" w:rsidRPr="00000000" w14:paraId="00000070">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J. J. Scarisbrick, </w:t>
      </w:r>
      <w:r w:rsidDel="00000000" w:rsidR="00000000" w:rsidRPr="00000000">
        <w:rPr>
          <w:rFonts w:ascii="Times New Roman" w:cs="Times New Roman" w:eastAsia="Times New Roman" w:hAnsi="Times New Roman"/>
          <w:i w:val="1"/>
          <w:sz w:val="20"/>
          <w:szCs w:val="20"/>
          <w:rtl w:val="0"/>
        </w:rPr>
        <w:t xml:space="preserve">Henry VIII,</w:t>
      </w:r>
      <w:r w:rsidDel="00000000" w:rsidR="00000000" w:rsidRPr="00000000">
        <w:rPr>
          <w:rFonts w:ascii="Times New Roman" w:cs="Times New Roman" w:eastAsia="Times New Roman" w:hAnsi="Times New Roman"/>
          <w:sz w:val="20"/>
          <w:szCs w:val="20"/>
          <w:rtl w:val="0"/>
        </w:rPr>
        <w:t xml:space="preserve"> (Yale University Press, 1997) </w:t>
      </w:r>
    </w:p>
  </w:footnote>
  <w:footnote w:id="4">
    <w:p w:rsidR="00000000" w:rsidDel="00000000" w:rsidP="00000000" w:rsidRDefault="00000000" w:rsidRPr="00000000" w14:paraId="0000007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The National Gallery, </w:t>
      </w:r>
      <w:r w:rsidDel="00000000" w:rsidR="00000000" w:rsidRPr="00000000">
        <w:rPr>
          <w:rFonts w:ascii="Times New Roman" w:cs="Times New Roman" w:eastAsia="Times New Roman" w:hAnsi="Times New Roman"/>
          <w:i w:val="1"/>
          <w:sz w:val="20"/>
          <w:szCs w:val="20"/>
          <w:rtl w:val="0"/>
        </w:rPr>
        <w:t xml:space="preserve">Definition for Baldachins</w:t>
      </w:r>
      <w:r w:rsidDel="00000000" w:rsidR="00000000" w:rsidRPr="00000000">
        <w:rPr>
          <w:rFonts w:ascii="Times New Roman" w:cs="Times New Roman" w:eastAsia="Times New Roman" w:hAnsi="Times New Roman"/>
          <w:sz w:val="20"/>
          <w:szCs w:val="20"/>
          <w:rtl w:val="0"/>
        </w:rPr>
        <w:t xml:space="preserve">, 2016 https://www.nationalgallery.org.uk/paintings/glossary/baldachins</w:t>
      </w:r>
    </w:p>
  </w:footnote>
  <w:footnote w:id="5">
    <w:p w:rsidR="00000000" w:rsidDel="00000000" w:rsidP="00000000" w:rsidRDefault="00000000" w:rsidRPr="00000000" w14:paraId="00000072">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Elizabeth Norton, </w:t>
      </w:r>
      <w:r w:rsidDel="00000000" w:rsidR="00000000" w:rsidRPr="00000000">
        <w:rPr>
          <w:rFonts w:ascii="Times New Roman" w:cs="Times New Roman" w:eastAsia="Times New Roman" w:hAnsi="Times New Roman"/>
          <w:sz w:val="20"/>
          <w:szCs w:val="20"/>
          <w:rtl w:val="0"/>
        </w:rPr>
        <w:t xml:space="preserve">Jane Seymour: Henry VIII's True Love, (Amberley Publishing, 2009) p.157</w:t>
      </w:r>
      <w:r w:rsidDel="00000000" w:rsidR="00000000" w:rsidRPr="00000000">
        <w:rPr>
          <w:rtl w:val="0"/>
        </w:rPr>
      </w:r>
    </w:p>
  </w:footnote>
  <w:footnote w:id="7">
    <w:p w:rsidR="00000000" w:rsidDel="00000000" w:rsidP="00000000" w:rsidRDefault="00000000" w:rsidRPr="00000000" w14:paraId="00000073">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Linda Porter, </w:t>
      </w:r>
      <w:r w:rsidDel="00000000" w:rsidR="00000000" w:rsidRPr="00000000">
        <w:rPr>
          <w:rFonts w:ascii="Times New Roman" w:cs="Times New Roman" w:eastAsia="Times New Roman" w:hAnsi="Times New Roman"/>
          <w:i w:val="1"/>
          <w:sz w:val="20"/>
          <w:szCs w:val="20"/>
          <w:rtl w:val="0"/>
        </w:rPr>
        <w:t xml:space="preserve">Mary Tudor: The First Queen</w:t>
      </w:r>
      <w:r w:rsidDel="00000000" w:rsidR="00000000" w:rsidRPr="00000000">
        <w:rPr>
          <w:rFonts w:ascii="Times New Roman" w:cs="Times New Roman" w:eastAsia="Times New Roman" w:hAnsi="Times New Roman"/>
          <w:sz w:val="20"/>
          <w:szCs w:val="20"/>
          <w:rtl w:val="0"/>
        </w:rPr>
        <w:t xml:space="preserve">, (Hachette UK, 2010)</w:t>
      </w:r>
    </w:p>
  </w:footnote>
  <w:footnote w:id="8">
    <w:p w:rsidR="00000000" w:rsidDel="00000000" w:rsidP="00000000" w:rsidRDefault="00000000" w:rsidRPr="00000000" w14:paraId="0000007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Linda Porter, Mary Tudor: The First Queen, (Hachette UK, 2010)</w:t>
      </w:r>
    </w:p>
  </w:footnote>
  <w:footnote w:id="9">
    <w:p w:rsidR="00000000" w:rsidDel="00000000" w:rsidP="00000000" w:rsidRDefault="00000000" w:rsidRPr="00000000" w14:paraId="00000075">
      <w:pPr>
        <w:spacing w:line="240" w:lineRule="auto"/>
        <w:rPr>
          <w:b w:val="1"/>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i w:val="1"/>
          <w:sz w:val="20"/>
          <w:szCs w:val="20"/>
          <w:rtl w:val="0"/>
        </w:rPr>
        <w:t xml:space="preserve">Hampton Court Beast</w:t>
      </w:r>
      <w:r w:rsidDel="00000000" w:rsidR="00000000" w:rsidRPr="00000000">
        <w:rPr>
          <w:rFonts w:ascii="Times New Roman" w:cs="Times New Roman" w:eastAsia="Times New Roman" w:hAnsi="Times New Roman"/>
          <w:sz w:val="20"/>
          <w:szCs w:val="20"/>
          <w:rtl w:val="0"/>
        </w:rPr>
        <w:t xml:space="preserve">s, Historic Royal Palaces, 2022 https://www.hrp.org.uk/hampton-court-palace/hampton-court-beasts/#gs.k285nc</w:t>
      </w:r>
      <w:r w:rsidDel="00000000" w:rsidR="00000000" w:rsidRPr="00000000">
        <w:rPr>
          <w:rtl w:val="0"/>
        </w:rPr>
      </w:r>
    </w:p>
  </w:footnote>
  <w:footnote w:id="15">
    <w:p w:rsidR="00000000" w:rsidDel="00000000" w:rsidP="00000000" w:rsidRDefault="00000000" w:rsidRPr="00000000" w14:paraId="00000076">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Simon Jerrett, “The King’s Fools – Disability in the Tudor Court.”</w:t>
      </w:r>
      <w:r w:rsidDel="00000000" w:rsidR="00000000" w:rsidRPr="00000000">
        <w:rPr>
          <w:rFonts w:ascii="Times New Roman" w:cs="Times New Roman" w:eastAsia="Times New Roman" w:hAnsi="Times New Roman"/>
          <w:i w:val="1"/>
          <w:sz w:val="20"/>
          <w:szCs w:val="20"/>
          <w:rtl w:val="0"/>
        </w:rPr>
        <w:t xml:space="preserve"> Disability in Time and Place</w:t>
      </w:r>
      <w:r w:rsidDel="00000000" w:rsidR="00000000" w:rsidRPr="00000000">
        <w:rPr>
          <w:rFonts w:ascii="Times New Roman" w:cs="Times New Roman" w:eastAsia="Times New Roman" w:hAnsi="Times New Roman"/>
          <w:sz w:val="20"/>
          <w:szCs w:val="20"/>
          <w:rtl w:val="0"/>
        </w:rPr>
        <w:t xml:space="preserve"> (English Heritage Disability History, 2012)</w:t>
      </w:r>
    </w:p>
  </w:footnote>
  <w:footnote w:id="14">
    <w:p w:rsidR="00000000" w:rsidDel="00000000" w:rsidP="00000000" w:rsidRDefault="00000000" w:rsidRPr="00000000" w14:paraId="0000007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Andrew Vogel Ettin, “Will Sommers.”  </w:t>
      </w:r>
      <w:r w:rsidDel="00000000" w:rsidR="00000000" w:rsidRPr="00000000">
        <w:rPr>
          <w:rFonts w:ascii="Times New Roman" w:cs="Times New Roman" w:eastAsia="Times New Roman" w:hAnsi="Times New Roman"/>
          <w:i w:val="1"/>
          <w:sz w:val="20"/>
          <w:szCs w:val="20"/>
          <w:rtl w:val="0"/>
        </w:rPr>
        <w:t xml:space="preserve">Fools and Jesters in Literature, Art, and History: A Bio-bibliographical  Sourcebook</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sz w:val="20"/>
          <w:szCs w:val="20"/>
          <w:rtl w:val="0"/>
        </w:rPr>
        <w:t xml:space="preserve">Greenwood Press, 1998) </w:t>
      </w:r>
    </w:p>
  </w:footnote>
  <w:footnote w:id="16">
    <w:p w:rsidR="00000000" w:rsidDel="00000000" w:rsidP="00000000" w:rsidRDefault="00000000" w:rsidRPr="00000000" w14:paraId="0000007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Herbert Norris,</w:t>
      </w:r>
      <w:r w:rsidDel="00000000" w:rsidR="00000000" w:rsidRPr="00000000">
        <w:rPr>
          <w:rFonts w:ascii="Times New Roman" w:cs="Times New Roman" w:eastAsia="Times New Roman" w:hAnsi="Times New Roman"/>
          <w:i w:val="1"/>
          <w:sz w:val="20"/>
          <w:szCs w:val="20"/>
          <w:rtl w:val="0"/>
        </w:rPr>
        <w:t xml:space="preserve"> Tudor Costume and Fashion, </w:t>
      </w:r>
      <w:r w:rsidDel="00000000" w:rsidR="00000000" w:rsidRPr="00000000">
        <w:rPr>
          <w:rFonts w:ascii="Times New Roman" w:cs="Times New Roman" w:eastAsia="Times New Roman" w:hAnsi="Times New Roman"/>
          <w:sz w:val="20"/>
          <w:szCs w:val="20"/>
          <w:rtl w:val="0"/>
        </w:rPr>
        <w:t xml:space="preserve">(Courier Corporation, 2013)</w:t>
      </w:r>
      <w:r w:rsidDel="00000000" w:rsidR="00000000" w:rsidRPr="00000000">
        <w:rPr>
          <w:rFonts w:ascii="Times New Roman" w:cs="Times New Roman" w:eastAsia="Times New Roman" w:hAnsi="Times New Roman"/>
          <w:i w:val="1"/>
          <w:sz w:val="20"/>
          <w:szCs w:val="20"/>
          <w:rtl w:val="0"/>
        </w:rPr>
        <w:t xml:space="preserve"> </w:t>
      </w:r>
      <w:r w:rsidDel="00000000" w:rsidR="00000000" w:rsidRPr="00000000">
        <w:rPr>
          <w:rFonts w:ascii="Times New Roman" w:cs="Times New Roman" w:eastAsia="Times New Roman" w:hAnsi="Times New Roman"/>
          <w:sz w:val="20"/>
          <w:szCs w:val="20"/>
          <w:rtl w:val="0"/>
        </w:rPr>
        <w:t xml:space="preserve">p.287</w:t>
      </w:r>
    </w:p>
  </w:footnote>
  <w:footnote w:id="19">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spacing w:after="360" w:line="240" w:lineRule="auto"/>
        <w:jc w:val="both"/>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Dolman, Brett, “Wishful Thinking:  Reading the Portraits of Henry VIII’s Queens.” </w:t>
      </w:r>
      <w:r w:rsidDel="00000000" w:rsidR="00000000" w:rsidRPr="00000000">
        <w:rPr>
          <w:rFonts w:ascii="Times New Roman" w:cs="Times New Roman" w:eastAsia="Times New Roman" w:hAnsi="Times New Roman"/>
          <w:i w:val="1"/>
          <w:sz w:val="20"/>
          <w:szCs w:val="20"/>
          <w:rtl w:val="0"/>
        </w:rPr>
        <w:t xml:space="preserve">Henry VIII and the Court:  Art, Politics and Performance</w:t>
      </w:r>
      <w:r w:rsidDel="00000000" w:rsidR="00000000" w:rsidRPr="00000000">
        <w:rPr>
          <w:rFonts w:ascii="Times New Roman" w:cs="Times New Roman" w:eastAsia="Times New Roman" w:hAnsi="Times New Roman"/>
          <w:sz w:val="20"/>
          <w:szCs w:val="20"/>
          <w:rtl w:val="0"/>
        </w:rPr>
        <w:t xml:space="preserve">, (Ashgate Publishing Company, 2013)  </w:t>
      </w:r>
    </w:p>
    <w:p w:rsidR="00000000" w:rsidDel="00000000" w:rsidP="00000000" w:rsidRDefault="00000000" w:rsidRPr="00000000" w14:paraId="0000007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B">
      <w:pPr>
        <w:spacing w:line="360" w:lineRule="auto"/>
        <w:jc w:val="both"/>
        <w:rPr>
          <w:rFonts w:ascii="Times New Roman" w:cs="Times New Roman" w:eastAsia="Times New Roman" w:hAnsi="Times New Roman"/>
        </w:rPr>
      </w:pP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Student Number:</w:t>
    </w:r>
    <w:r w:rsidDel="00000000" w:rsidR="00000000" w:rsidRPr="00000000">
      <w:rPr>
        <w:rFonts w:ascii="Times New Roman" w:cs="Times New Roman" w:eastAsia="Times New Roman" w:hAnsi="Times New Roman"/>
        <w:rtl w:val="0"/>
      </w:rPr>
      <w:t xml:space="preserve"> 2217199</w:t>
    </w:r>
  </w:p>
  <w:p w:rsidR="00000000" w:rsidDel="00000000" w:rsidP="00000000" w:rsidRDefault="00000000" w:rsidRPr="00000000" w14:paraId="00000062">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Module:</w:t>
    </w:r>
    <w:r w:rsidDel="00000000" w:rsidR="00000000" w:rsidRPr="00000000">
      <w:rPr>
        <w:rFonts w:ascii="Times New Roman" w:cs="Times New Roman" w:eastAsia="Times New Roman" w:hAnsi="Times New Roman"/>
        <w:rtl w:val="0"/>
      </w:rPr>
      <w:t xml:space="preserve"> Past Peoples</w:t>
    </w:r>
  </w:p>
  <w:p w:rsidR="00000000" w:rsidDel="00000000" w:rsidP="00000000" w:rsidRDefault="00000000" w:rsidRPr="00000000" w14:paraId="00000063">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Tutor:</w:t>
    </w:r>
    <w:r w:rsidDel="00000000" w:rsidR="00000000" w:rsidRPr="00000000">
      <w:rPr>
        <w:rFonts w:ascii="Times New Roman" w:cs="Times New Roman" w:eastAsia="Times New Roman" w:hAnsi="Times New Roman"/>
        <w:rtl w:val="0"/>
      </w:rPr>
      <w:t xml:space="preserve"> Harriett Webster</w:t>
    </w:r>
  </w:p>
  <w:p w:rsidR="00000000" w:rsidDel="00000000" w:rsidP="00000000" w:rsidRDefault="00000000" w:rsidRPr="00000000" w14:paraId="00000064">
    <w:pP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Word Count: </w:t>
    </w:r>
  </w:p>
  <w:p w:rsidR="00000000" w:rsidDel="00000000" w:rsidP="00000000" w:rsidRDefault="00000000" w:rsidRPr="00000000" w14:paraId="00000065">
    <w:pPr>
      <w:rPr>
        <w:rFonts w:ascii="Times New Roman" w:cs="Times New Roman" w:eastAsia="Times New Roman" w:hAnsi="Times New Roman"/>
        <w:u w:val="singl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eader" Target="header1.xml"/><Relationship Id="rId10" Type="http://schemas.openxmlformats.org/officeDocument/2006/relationships/hyperlink" Target="https://artsandculture.google.com/asset/jane-seymour-queen-of-england/egE1bExAbnBDgg?hl=en-GB" TargetMode="External"/><Relationship Id="rId9" Type="http://schemas.openxmlformats.org/officeDocument/2006/relationships/image" Target="media/image1.pn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png"/><Relationship Id="rId8" Type="http://schemas.openxmlformats.org/officeDocument/2006/relationships/hyperlink" Target="https://www.rct.uk/collection/405796/the-family-of-henry-viii"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artsandculture.google.com/asset/jane-seymour-queen-of-england/egE1bExAbnBDgg?hl=en-GB" TargetMode="External"/><Relationship Id="rId2" Type="http://schemas.openxmlformats.org/officeDocument/2006/relationships/hyperlink" Target="https://www.mallgalleries.org.uk/learning/resources/history-o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