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9A7BE" w14:textId="77777777" w:rsidR="00587AC4" w:rsidRPr="00D66D15" w:rsidRDefault="00587AC4" w:rsidP="00587AC4">
      <w:pPr>
        <w:pStyle w:val="Heading1"/>
        <w:spacing w:line="360" w:lineRule="auto"/>
        <w:rPr>
          <w:rFonts w:ascii="Arial" w:hAnsi="Arial" w:cs="Arial"/>
          <w:sz w:val="28"/>
          <w:szCs w:val="28"/>
        </w:rPr>
      </w:pPr>
    </w:p>
    <w:p w14:paraId="4F654424" w14:textId="77777777" w:rsidR="00587AC4" w:rsidRPr="00D66D15" w:rsidRDefault="00587AC4" w:rsidP="00587AC4">
      <w:pPr>
        <w:numPr>
          <w:ilvl w:val="0"/>
          <w:numId w:val="4"/>
        </w:numPr>
        <w:rPr>
          <w:rFonts w:ascii="Arial" w:hAnsi="Arial" w:cs="Arial"/>
          <w:sz w:val="28"/>
          <w:szCs w:val="28"/>
        </w:rPr>
      </w:pPr>
      <w:r w:rsidRPr="00587AC4">
        <w:rPr>
          <w:rFonts w:ascii="Arial" w:hAnsi="Arial" w:cs="Arial"/>
          <w:sz w:val="28"/>
          <w:szCs w:val="28"/>
        </w:rPr>
        <w:t>Student: Dragos Marian Piron</w:t>
      </w:r>
    </w:p>
    <w:p w14:paraId="427EE6E9" w14:textId="3E9FC37A" w:rsidR="00587AC4" w:rsidRPr="00587AC4" w:rsidRDefault="00D66D15" w:rsidP="00587AC4">
      <w:pPr>
        <w:numPr>
          <w:ilvl w:val="0"/>
          <w:numId w:val="4"/>
        </w:numPr>
        <w:rPr>
          <w:rFonts w:ascii="Arial" w:hAnsi="Arial" w:cs="Arial"/>
          <w:sz w:val="28"/>
          <w:szCs w:val="28"/>
        </w:rPr>
      </w:pPr>
      <w:r w:rsidRPr="00D66D15">
        <w:rPr>
          <w:rFonts w:ascii="Arial" w:hAnsi="Arial" w:cs="Arial"/>
          <w:sz w:val="28"/>
          <w:szCs w:val="28"/>
        </w:rPr>
        <w:t>Student Number: 2215965</w:t>
      </w:r>
    </w:p>
    <w:p w14:paraId="7AF3E98C" w14:textId="77777777" w:rsidR="00587AC4" w:rsidRPr="00587AC4" w:rsidRDefault="00587AC4" w:rsidP="00587AC4">
      <w:pPr>
        <w:numPr>
          <w:ilvl w:val="0"/>
          <w:numId w:val="4"/>
        </w:numPr>
        <w:rPr>
          <w:rFonts w:ascii="Arial" w:hAnsi="Arial" w:cs="Arial"/>
          <w:sz w:val="28"/>
          <w:szCs w:val="28"/>
        </w:rPr>
      </w:pPr>
      <w:r w:rsidRPr="00587AC4">
        <w:rPr>
          <w:rFonts w:ascii="Arial" w:hAnsi="Arial" w:cs="Arial"/>
          <w:sz w:val="28"/>
          <w:szCs w:val="28"/>
        </w:rPr>
        <w:t>Module name: International Business Communications</w:t>
      </w:r>
    </w:p>
    <w:p w14:paraId="7A53A335" w14:textId="77777777" w:rsidR="00587AC4" w:rsidRPr="00587AC4" w:rsidRDefault="00587AC4" w:rsidP="00587AC4">
      <w:pPr>
        <w:numPr>
          <w:ilvl w:val="0"/>
          <w:numId w:val="4"/>
        </w:numPr>
        <w:rPr>
          <w:rFonts w:ascii="Arial" w:hAnsi="Arial" w:cs="Arial"/>
          <w:sz w:val="28"/>
          <w:szCs w:val="28"/>
        </w:rPr>
      </w:pPr>
      <w:r w:rsidRPr="00587AC4">
        <w:rPr>
          <w:rFonts w:ascii="Arial" w:hAnsi="Arial" w:cs="Arial"/>
          <w:sz w:val="28"/>
          <w:szCs w:val="28"/>
        </w:rPr>
        <w:t>Module code: LCBB6023</w:t>
      </w:r>
    </w:p>
    <w:p w14:paraId="75A91220" w14:textId="77777777" w:rsidR="00587AC4" w:rsidRPr="00587AC4" w:rsidRDefault="00587AC4" w:rsidP="00587AC4">
      <w:pPr>
        <w:numPr>
          <w:ilvl w:val="0"/>
          <w:numId w:val="4"/>
        </w:numPr>
        <w:rPr>
          <w:rFonts w:ascii="Arial" w:hAnsi="Arial" w:cs="Arial"/>
          <w:sz w:val="28"/>
          <w:szCs w:val="28"/>
        </w:rPr>
      </w:pPr>
      <w:r w:rsidRPr="00587AC4">
        <w:rPr>
          <w:rFonts w:ascii="Arial" w:hAnsi="Arial" w:cs="Arial"/>
          <w:sz w:val="28"/>
          <w:szCs w:val="28"/>
        </w:rPr>
        <w:t>Lecturer: Gregory Cowan</w:t>
      </w:r>
    </w:p>
    <w:p w14:paraId="1153EEBA" w14:textId="54132308" w:rsidR="00587AC4" w:rsidRDefault="00587AC4" w:rsidP="00587AC4"/>
    <w:p w14:paraId="7D33BAC0" w14:textId="2F62C6EE" w:rsidR="00587AC4" w:rsidRDefault="00587AC4"/>
    <w:p w14:paraId="3476FEA1" w14:textId="77CA6DBD" w:rsidR="00587AC4" w:rsidRDefault="00587AC4" w:rsidP="00587AC4">
      <w:pPr>
        <w:rPr>
          <w:rFonts w:eastAsiaTheme="majorEastAsia"/>
          <w:color w:val="0F4761" w:themeColor="accent1" w:themeShade="BF"/>
        </w:rPr>
      </w:pPr>
    </w:p>
    <w:p w14:paraId="2BE0D649" w14:textId="77777777" w:rsidR="00587AC4" w:rsidRDefault="00587AC4">
      <w:pPr>
        <w:rPr>
          <w:rFonts w:eastAsiaTheme="majorEastAsia"/>
          <w:color w:val="0F4761" w:themeColor="accent1" w:themeShade="BF"/>
        </w:rPr>
      </w:pPr>
      <w:r>
        <w:rPr>
          <w:rFonts w:eastAsiaTheme="majorEastAsia"/>
          <w:color w:val="0F4761" w:themeColor="accent1" w:themeShade="BF"/>
        </w:rPr>
        <w:br w:type="page"/>
      </w:r>
    </w:p>
    <w:p w14:paraId="707C9E1B" w14:textId="77777777" w:rsidR="00587AC4" w:rsidRPr="00587AC4" w:rsidRDefault="00587AC4" w:rsidP="00587AC4">
      <w:pPr>
        <w:rPr>
          <w:rFonts w:eastAsiaTheme="majorEastAsia"/>
          <w:color w:val="0F4761" w:themeColor="accent1" w:themeShade="BF"/>
        </w:rPr>
      </w:pPr>
    </w:p>
    <w:p w14:paraId="100C3953" w14:textId="0EF1E79E" w:rsidR="00587AC4" w:rsidRDefault="00587AC4">
      <w:pPr>
        <w:rPr>
          <w:rFonts w:ascii="Arial" w:hAnsi="Arial" w:cs="Arial"/>
          <w:sz w:val="28"/>
          <w:szCs w:val="28"/>
        </w:rPr>
      </w:pPr>
    </w:p>
    <w:sdt>
      <w:sdtPr>
        <w:id w:val="-79683689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A65F52D" w14:textId="468D9A8C" w:rsidR="00587AC4" w:rsidRDefault="00587AC4">
          <w:pPr>
            <w:pStyle w:val="TOCHeading"/>
          </w:pPr>
          <w:r>
            <w:t>Contents</w:t>
          </w:r>
        </w:p>
        <w:p w14:paraId="5FD936E4" w14:textId="0AB856C0" w:rsidR="002C15EE" w:rsidRDefault="00587A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7054977" w:history="1">
            <w:r w:rsidR="002C15EE" w:rsidRPr="00C82C74">
              <w:rPr>
                <w:rStyle w:val="Hyperlink"/>
                <w:rFonts w:ascii="Arial" w:hAnsi="Arial" w:cs="Arial"/>
                <w:noProof/>
              </w:rPr>
              <w:t>Introduction</w:t>
            </w:r>
            <w:r w:rsidR="002C15EE">
              <w:rPr>
                <w:noProof/>
                <w:webHidden/>
              </w:rPr>
              <w:tab/>
            </w:r>
            <w:r w:rsidR="002C15EE">
              <w:rPr>
                <w:noProof/>
                <w:webHidden/>
              </w:rPr>
              <w:fldChar w:fldCharType="begin"/>
            </w:r>
            <w:r w:rsidR="002C15EE">
              <w:rPr>
                <w:noProof/>
                <w:webHidden/>
              </w:rPr>
              <w:instrText xml:space="preserve"> PAGEREF _Toc217054977 \h </w:instrText>
            </w:r>
            <w:r w:rsidR="002C15EE">
              <w:rPr>
                <w:noProof/>
                <w:webHidden/>
              </w:rPr>
            </w:r>
            <w:r w:rsidR="002C15EE">
              <w:rPr>
                <w:noProof/>
                <w:webHidden/>
              </w:rPr>
              <w:fldChar w:fldCharType="separate"/>
            </w:r>
            <w:r w:rsidR="002C15EE">
              <w:rPr>
                <w:noProof/>
                <w:webHidden/>
              </w:rPr>
              <w:t>3</w:t>
            </w:r>
            <w:r w:rsidR="002C15EE">
              <w:rPr>
                <w:noProof/>
                <w:webHidden/>
              </w:rPr>
              <w:fldChar w:fldCharType="end"/>
            </w:r>
          </w:hyperlink>
        </w:p>
        <w:p w14:paraId="2B1BB0C1" w14:textId="50A8D776" w:rsidR="002C15EE" w:rsidRDefault="002C15EE">
          <w:pPr>
            <w:pStyle w:val="TOC1"/>
            <w:tabs>
              <w:tab w:val="right" w:leader="dot" w:pos="9016"/>
            </w:tabs>
            <w:rPr>
              <w:rFonts w:eastAsiaTheme="minorEastAsia"/>
              <w:noProof/>
              <w:lang w:eastAsia="en-GB"/>
            </w:rPr>
          </w:pPr>
          <w:hyperlink w:anchor="_Toc217054978" w:history="1">
            <w:r w:rsidRPr="00C82C74">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_Toc217054978 \h </w:instrText>
            </w:r>
            <w:r>
              <w:rPr>
                <w:noProof/>
                <w:webHidden/>
              </w:rPr>
            </w:r>
            <w:r>
              <w:rPr>
                <w:noProof/>
                <w:webHidden/>
              </w:rPr>
              <w:fldChar w:fldCharType="separate"/>
            </w:r>
            <w:r>
              <w:rPr>
                <w:noProof/>
                <w:webHidden/>
              </w:rPr>
              <w:t>4</w:t>
            </w:r>
            <w:r>
              <w:rPr>
                <w:noProof/>
                <w:webHidden/>
              </w:rPr>
              <w:fldChar w:fldCharType="end"/>
            </w:r>
          </w:hyperlink>
        </w:p>
        <w:p w14:paraId="6058B37A" w14:textId="62D4DBC0" w:rsidR="002C15EE" w:rsidRDefault="002C15EE">
          <w:pPr>
            <w:pStyle w:val="TOC1"/>
            <w:tabs>
              <w:tab w:val="right" w:leader="dot" w:pos="9016"/>
            </w:tabs>
            <w:rPr>
              <w:rFonts w:eastAsiaTheme="minorEastAsia"/>
              <w:noProof/>
              <w:lang w:eastAsia="en-GB"/>
            </w:rPr>
          </w:pPr>
          <w:hyperlink w:anchor="_Toc217054979" w:history="1">
            <w:r w:rsidRPr="00C82C74">
              <w:rPr>
                <w:rStyle w:val="Hyperlink"/>
                <w:rFonts w:ascii="Arial" w:hAnsi="Arial" w:cs="Arial"/>
                <w:noProof/>
              </w:rPr>
              <w:t>Negotiation Language and BELF Sensitivities to Negotiations</w:t>
            </w:r>
            <w:r>
              <w:rPr>
                <w:noProof/>
                <w:webHidden/>
              </w:rPr>
              <w:tab/>
            </w:r>
            <w:r>
              <w:rPr>
                <w:noProof/>
                <w:webHidden/>
              </w:rPr>
              <w:fldChar w:fldCharType="begin"/>
            </w:r>
            <w:r>
              <w:rPr>
                <w:noProof/>
                <w:webHidden/>
              </w:rPr>
              <w:instrText xml:space="preserve"> PAGEREF _Toc217054979 \h </w:instrText>
            </w:r>
            <w:r>
              <w:rPr>
                <w:noProof/>
                <w:webHidden/>
              </w:rPr>
            </w:r>
            <w:r>
              <w:rPr>
                <w:noProof/>
                <w:webHidden/>
              </w:rPr>
              <w:fldChar w:fldCharType="separate"/>
            </w:r>
            <w:r>
              <w:rPr>
                <w:noProof/>
                <w:webHidden/>
              </w:rPr>
              <w:t>8</w:t>
            </w:r>
            <w:r>
              <w:rPr>
                <w:noProof/>
                <w:webHidden/>
              </w:rPr>
              <w:fldChar w:fldCharType="end"/>
            </w:r>
          </w:hyperlink>
        </w:p>
        <w:p w14:paraId="45EA4795" w14:textId="4D518A02" w:rsidR="002C15EE" w:rsidRDefault="002C15EE">
          <w:pPr>
            <w:pStyle w:val="TOC1"/>
            <w:tabs>
              <w:tab w:val="right" w:leader="dot" w:pos="9016"/>
            </w:tabs>
            <w:rPr>
              <w:rFonts w:eastAsiaTheme="minorEastAsia"/>
              <w:noProof/>
              <w:lang w:eastAsia="en-GB"/>
            </w:rPr>
          </w:pPr>
          <w:hyperlink w:anchor="_Toc217054980" w:history="1">
            <w:r w:rsidRPr="00C82C74">
              <w:rPr>
                <w:rStyle w:val="Hyperlink"/>
                <w:rFonts w:ascii="Arial" w:hAnsi="Arial" w:cs="Arial"/>
                <w:noProof/>
              </w:rPr>
              <w:t>Conflict Management and Face-Saving</w:t>
            </w:r>
            <w:r>
              <w:rPr>
                <w:noProof/>
                <w:webHidden/>
              </w:rPr>
              <w:tab/>
            </w:r>
            <w:r>
              <w:rPr>
                <w:noProof/>
                <w:webHidden/>
              </w:rPr>
              <w:fldChar w:fldCharType="begin"/>
            </w:r>
            <w:r>
              <w:rPr>
                <w:noProof/>
                <w:webHidden/>
              </w:rPr>
              <w:instrText xml:space="preserve"> PAGEREF _Toc217054980 \h </w:instrText>
            </w:r>
            <w:r>
              <w:rPr>
                <w:noProof/>
                <w:webHidden/>
              </w:rPr>
            </w:r>
            <w:r>
              <w:rPr>
                <w:noProof/>
                <w:webHidden/>
              </w:rPr>
              <w:fldChar w:fldCharType="separate"/>
            </w:r>
            <w:r>
              <w:rPr>
                <w:noProof/>
                <w:webHidden/>
              </w:rPr>
              <w:t>9</w:t>
            </w:r>
            <w:r>
              <w:rPr>
                <w:noProof/>
                <w:webHidden/>
              </w:rPr>
              <w:fldChar w:fldCharType="end"/>
            </w:r>
          </w:hyperlink>
        </w:p>
        <w:p w14:paraId="47C8E70F" w14:textId="3E5E0C67" w:rsidR="002C15EE" w:rsidRDefault="002C15EE">
          <w:pPr>
            <w:pStyle w:val="TOC1"/>
            <w:tabs>
              <w:tab w:val="right" w:leader="dot" w:pos="9016"/>
            </w:tabs>
            <w:rPr>
              <w:rFonts w:eastAsiaTheme="minorEastAsia"/>
              <w:noProof/>
              <w:lang w:eastAsia="en-GB"/>
            </w:rPr>
          </w:pPr>
          <w:hyperlink w:anchor="_Toc217054981" w:history="1">
            <w:r w:rsidRPr="00C82C74">
              <w:rPr>
                <w:rStyle w:val="Hyperlink"/>
                <w:rFonts w:ascii="Arial" w:hAnsi="Arial" w:cs="Arial"/>
                <w:noProof/>
              </w:rPr>
              <w:t>Tactical Techniques for Breaking the Communication Bottleneck</w:t>
            </w:r>
            <w:r>
              <w:rPr>
                <w:noProof/>
                <w:webHidden/>
              </w:rPr>
              <w:tab/>
            </w:r>
            <w:r>
              <w:rPr>
                <w:noProof/>
                <w:webHidden/>
              </w:rPr>
              <w:fldChar w:fldCharType="begin"/>
            </w:r>
            <w:r>
              <w:rPr>
                <w:noProof/>
                <w:webHidden/>
              </w:rPr>
              <w:instrText xml:space="preserve"> PAGEREF _Toc217054981 \h </w:instrText>
            </w:r>
            <w:r>
              <w:rPr>
                <w:noProof/>
                <w:webHidden/>
              </w:rPr>
            </w:r>
            <w:r>
              <w:rPr>
                <w:noProof/>
                <w:webHidden/>
              </w:rPr>
              <w:fldChar w:fldCharType="separate"/>
            </w:r>
            <w:r>
              <w:rPr>
                <w:noProof/>
                <w:webHidden/>
              </w:rPr>
              <w:t>10</w:t>
            </w:r>
            <w:r>
              <w:rPr>
                <w:noProof/>
                <w:webHidden/>
              </w:rPr>
              <w:fldChar w:fldCharType="end"/>
            </w:r>
          </w:hyperlink>
        </w:p>
        <w:p w14:paraId="015512AE" w14:textId="01B8A8B9" w:rsidR="002C15EE" w:rsidRDefault="002C15EE">
          <w:pPr>
            <w:pStyle w:val="TOC1"/>
            <w:tabs>
              <w:tab w:val="right" w:leader="dot" w:pos="9016"/>
            </w:tabs>
            <w:rPr>
              <w:rFonts w:eastAsiaTheme="minorEastAsia"/>
              <w:noProof/>
              <w:lang w:eastAsia="en-GB"/>
            </w:rPr>
          </w:pPr>
          <w:hyperlink w:anchor="_Toc217054982" w:history="1">
            <w:r w:rsidRPr="00C82C7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_Toc217054982 \h </w:instrText>
            </w:r>
            <w:r>
              <w:rPr>
                <w:noProof/>
                <w:webHidden/>
              </w:rPr>
            </w:r>
            <w:r>
              <w:rPr>
                <w:noProof/>
                <w:webHidden/>
              </w:rPr>
              <w:fldChar w:fldCharType="separate"/>
            </w:r>
            <w:r>
              <w:rPr>
                <w:noProof/>
                <w:webHidden/>
              </w:rPr>
              <w:t>11</w:t>
            </w:r>
            <w:r>
              <w:rPr>
                <w:noProof/>
                <w:webHidden/>
              </w:rPr>
              <w:fldChar w:fldCharType="end"/>
            </w:r>
          </w:hyperlink>
        </w:p>
        <w:p w14:paraId="37BA43BA" w14:textId="7D3302A5" w:rsidR="002C15EE" w:rsidRDefault="002C15EE">
          <w:pPr>
            <w:pStyle w:val="TOC1"/>
            <w:tabs>
              <w:tab w:val="right" w:leader="dot" w:pos="9016"/>
            </w:tabs>
            <w:rPr>
              <w:rFonts w:eastAsiaTheme="minorEastAsia"/>
              <w:noProof/>
              <w:lang w:eastAsia="en-GB"/>
            </w:rPr>
          </w:pPr>
          <w:hyperlink w:anchor="_Toc217054983" w:history="1">
            <w:r w:rsidRPr="00C82C7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_Toc217054983 \h </w:instrText>
            </w:r>
            <w:r>
              <w:rPr>
                <w:noProof/>
                <w:webHidden/>
              </w:rPr>
            </w:r>
            <w:r>
              <w:rPr>
                <w:noProof/>
                <w:webHidden/>
              </w:rPr>
              <w:fldChar w:fldCharType="separate"/>
            </w:r>
            <w:r>
              <w:rPr>
                <w:noProof/>
                <w:webHidden/>
              </w:rPr>
              <w:t>13</w:t>
            </w:r>
            <w:r>
              <w:rPr>
                <w:noProof/>
                <w:webHidden/>
              </w:rPr>
              <w:fldChar w:fldCharType="end"/>
            </w:r>
          </w:hyperlink>
        </w:p>
        <w:p w14:paraId="747B9882" w14:textId="7FC4F7FB" w:rsidR="00587AC4" w:rsidRDefault="00587AC4">
          <w:r>
            <w:rPr>
              <w:b/>
              <w:bCs/>
            </w:rPr>
            <w:fldChar w:fldCharType="end"/>
          </w:r>
        </w:p>
      </w:sdtContent>
    </w:sdt>
    <w:p w14:paraId="221A4475" w14:textId="4D8C0798" w:rsidR="00587AC4" w:rsidRDefault="00587AC4">
      <w:pPr>
        <w:rPr>
          <w:rFonts w:ascii="Arial" w:eastAsiaTheme="majorEastAsia" w:hAnsi="Arial" w:cs="Arial"/>
          <w:color w:val="0F4761" w:themeColor="accent1" w:themeShade="BF"/>
          <w:sz w:val="28"/>
          <w:szCs w:val="28"/>
        </w:rPr>
      </w:pPr>
      <w:r>
        <w:rPr>
          <w:rFonts w:ascii="Arial" w:hAnsi="Arial" w:cs="Arial"/>
          <w:sz w:val="28"/>
          <w:szCs w:val="28"/>
        </w:rPr>
        <w:br w:type="page"/>
      </w:r>
    </w:p>
    <w:p w14:paraId="3861872C" w14:textId="5BFA0838" w:rsidR="003157B3" w:rsidRPr="00C6575D" w:rsidRDefault="003157B3" w:rsidP="00C6575D">
      <w:pPr>
        <w:pStyle w:val="Heading1"/>
        <w:spacing w:line="360" w:lineRule="auto"/>
        <w:ind w:left="360"/>
        <w:rPr>
          <w:rFonts w:ascii="Arial" w:hAnsi="Arial" w:cs="Arial"/>
          <w:sz w:val="28"/>
          <w:szCs w:val="28"/>
        </w:rPr>
      </w:pPr>
      <w:bookmarkStart w:id="0" w:name="_Toc217054977"/>
      <w:r w:rsidRPr="00C6575D">
        <w:rPr>
          <w:rFonts w:ascii="Arial" w:hAnsi="Arial" w:cs="Arial"/>
          <w:sz w:val="28"/>
          <w:szCs w:val="28"/>
        </w:rPr>
        <w:lastRenderedPageBreak/>
        <w:t>Introduction</w:t>
      </w:r>
      <w:bookmarkEnd w:id="0"/>
      <w:r w:rsidRPr="00C6575D">
        <w:rPr>
          <w:rFonts w:ascii="Arial" w:hAnsi="Arial" w:cs="Arial"/>
          <w:sz w:val="28"/>
          <w:szCs w:val="28"/>
        </w:rPr>
        <w:t xml:space="preserve"> </w:t>
      </w:r>
    </w:p>
    <w:p w14:paraId="108B824C"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Interactions across cultures are critical to an organisation's success in today's global economy. When great companies operate across borders, languages, and cultures, missing translation leads to hundreds of millions in falling negotiations, broken relationships, and billions of dollars lost. Negotiation has been considered as one of the most complex communications in international business that involves serious and relationship behaviour such as interpersonal and power-distributive matters and decisions (Brett, 2014).</w:t>
      </w:r>
    </w:p>
    <w:p w14:paraId="531252E2"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 xml:space="preserve">Cultural factors are likely to influence negotiation styles, such as direct versus indirect communication, management of hierarchy, attitudes toward time, and conflict (Hofstede, 2011; </w:t>
      </w:r>
      <w:proofErr w:type="spellStart"/>
      <w:r w:rsidRPr="00C6575D">
        <w:rPr>
          <w:rFonts w:ascii="Arial" w:hAnsi="Arial" w:cs="Arial"/>
          <w:sz w:val="28"/>
          <w:szCs w:val="28"/>
        </w:rPr>
        <w:t>Salacuse</w:t>
      </w:r>
      <w:proofErr w:type="spellEnd"/>
      <w:r w:rsidRPr="00C6575D">
        <w:rPr>
          <w:rFonts w:ascii="Arial" w:hAnsi="Arial" w:cs="Arial"/>
          <w:sz w:val="28"/>
          <w:szCs w:val="28"/>
        </w:rPr>
        <w:t>, 2017). Americans believe in being courteous and professional, whereas others think that such an attitude is either offensive to them or gets them nowhere. Managers working in other countries usually must have good cultural and communication skills as well as linguistic proficiency in the related language of the country.</w:t>
      </w:r>
    </w:p>
    <w:p w14:paraId="01028790"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The purpose of this essay is to demonstrate the significance of cultural variety in negotiations and preparation for international business negotiations with examples. Based on this, the study draws on theories of intercultural communication, such as Hofstede’s cultural dimensions, BELF, and high/low context communication, to examine western-Asian business negotiations in practical settings.</w:t>
      </w:r>
    </w:p>
    <w:p w14:paraId="59176286"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 xml:space="preserve">The essay includes four major parts, it will firstly provide an overview of basic theories and concepts of intercultural communication, the most relevant to the nature of negotiation. The core of the book then employs these concepts in discussing international business negotiations, in particular focusing on communication problems encountered by </w:t>
      </w:r>
      <w:r w:rsidRPr="00C6575D">
        <w:rPr>
          <w:rFonts w:ascii="Arial" w:hAnsi="Arial" w:cs="Arial"/>
          <w:sz w:val="28"/>
          <w:szCs w:val="28"/>
        </w:rPr>
        <w:lastRenderedPageBreak/>
        <w:t>negotiators and what it is that international managers do. The essay ends with a discussion of possibilities for managers and points out the importance of cultural intelligence in international negotiation.</w:t>
      </w:r>
    </w:p>
    <w:p w14:paraId="712B85E5" w14:textId="77777777" w:rsidR="003157B3" w:rsidRPr="00C6575D" w:rsidRDefault="003157B3" w:rsidP="00C6575D">
      <w:pPr>
        <w:pStyle w:val="Heading1"/>
        <w:spacing w:line="360" w:lineRule="auto"/>
        <w:rPr>
          <w:rFonts w:ascii="Arial" w:hAnsi="Arial" w:cs="Arial"/>
          <w:sz w:val="28"/>
          <w:szCs w:val="28"/>
        </w:rPr>
      </w:pPr>
      <w:bookmarkStart w:id="1" w:name="_Toc217054978"/>
      <w:r w:rsidRPr="00C6575D">
        <w:rPr>
          <w:rFonts w:ascii="Arial" w:hAnsi="Arial" w:cs="Arial"/>
          <w:sz w:val="28"/>
          <w:szCs w:val="28"/>
        </w:rPr>
        <w:t>Literature Review</w:t>
      </w:r>
      <w:bookmarkEnd w:id="1"/>
    </w:p>
    <w:p w14:paraId="2DBC97FB"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Considering everything, it is possible that the theory of intercultural communication, which is interdisciplinary in nature, might assist us in comprehending the various ways in which cultural perspectives can impede commercial patterns of action at different levels. One of the most established frameworks is Hofstede’s (2010) cultural dimensions model, which comprises factors such as power distance, individualism versus collectivism, uncertainty avoidance, masculinity versus femininity, long-term orientation, and indulgence. “We can see through these dimensions why negotiators in other countries are going to behave very differently,” Dr Cooper said. For example, collectivistic culture parties might be more likely to prefer a longer-term relationship over a short-term one, with epistemic consequences of contractability, while individualistic ones may attribute relatively greater weight to contracts in the near future.</w:t>
      </w:r>
    </w:p>
    <w:p w14:paraId="4CCBD00E" w14:textId="08FB7A31" w:rsidR="00C6575D" w:rsidRPr="00C6575D" w:rsidRDefault="00C6575D" w:rsidP="00C6575D">
      <w:pPr>
        <w:spacing w:line="360" w:lineRule="auto"/>
        <w:rPr>
          <w:rFonts w:ascii="Arial" w:hAnsi="Arial" w:cs="Arial"/>
          <w:sz w:val="28"/>
          <w:szCs w:val="28"/>
        </w:rPr>
      </w:pPr>
      <w:r w:rsidRPr="00C6575D">
        <w:rPr>
          <w:rFonts w:ascii="Arial" w:hAnsi="Arial" w:cs="Arial"/>
          <w:sz w:val="28"/>
          <w:szCs w:val="28"/>
        </w:rPr>
        <w:t>In many Western countries, trust relies on clear contracts, legal protections, and demonstrated reliability, with a well-structured agreement often seen as a sign of trustworthiness. In contrast, many Asian and relationship-oriented societies develop trust through personal relationships, face-to-face</w:t>
      </w:r>
      <w:r w:rsidRPr="00C6575D">
        <w:rPr>
          <w:rFonts w:ascii="Arial" w:hAnsi="Arial" w:cs="Arial"/>
          <w:sz w:val="28"/>
          <w:szCs w:val="28"/>
        </w:rPr>
        <w:t xml:space="preserve"> </w:t>
      </w:r>
      <w:r w:rsidRPr="00C6575D">
        <w:rPr>
          <w:rFonts w:ascii="Arial" w:hAnsi="Arial" w:cs="Arial"/>
          <w:sz w:val="28"/>
          <w:szCs w:val="28"/>
        </w:rPr>
        <w:t xml:space="preserve">meetings, ongoing interactions with long-term partners, and consistent </w:t>
      </w:r>
      <w:proofErr w:type="spellStart"/>
      <w:r w:rsidRPr="00C6575D">
        <w:rPr>
          <w:rFonts w:ascii="Arial" w:hAnsi="Arial" w:cs="Arial"/>
          <w:sz w:val="28"/>
          <w:szCs w:val="28"/>
        </w:rPr>
        <w:t>behavior</w:t>
      </w:r>
      <w:proofErr w:type="spellEnd"/>
      <w:r w:rsidRPr="00C6575D">
        <w:rPr>
          <w:rFonts w:ascii="Arial" w:hAnsi="Arial" w:cs="Arial"/>
          <w:sz w:val="28"/>
          <w:szCs w:val="28"/>
        </w:rPr>
        <w:t xml:space="preserve">, rather than formal legal agreements (Faure and Fang, 2008). Western negotiators may be considered unprofessional or disrespectful if they take too long to build relationships or focus on contracts too early, raising suspicion. Communication is essential in trust-building across cultures. Non-verbal cues during </w:t>
      </w:r>
      <w:r w:rsidRPr="00C6575D">
        <w:rPr>
          <w:rFonts w:ascii="Arial" w:hAnsi="Arial" w:cs="Arial"/>
          <w:sz w:val="28"/>
          <w:szCs w:val="28"/>
        </w:rPr>
        <w:lastRenderedPageBreak/>
        <w:t xml:space="preserve">interactions can weigh more than words when assessing sincerity and intent (Hall, 1976). For example, silence can be used strategically to show thoughtfulness or deference, but Western negotiators might interpret it as disagreement or disinterest. Misunderstandings about communication styles can undermine trust if managers are unaware of the cultural importance of certain </w:t>
      </w:r>
      <w:proofErr w:type="spellStart"/>
      <w:r w:rsidRPr="00C6575D">
        <w:rPr>
          <w:rFonts w:ascii="Arial" w:hAnsi="Arial" w:cs="Arial"/>
          <w:sz w:val="28"/>
          <w:szCs w:val="28"/>
        </w:rPr>
        <w:t>behaviors</w:t>
      </w:r>
      <w:proofErr w:type="spellEnd"/>
      <w:r w:rsidRPr="00C6575D">
        <w:rPr>
          <w:rFonts w:ascii="Arial" w:hAnsi="Arial" w:cs="Arial"/>
          <w:sz w:val="28"/>
          <w:szCs w:val="28"/>
        </w:rPr>
        <w:t>. Additionally, power distance affects how trust is expressed; negotiators from cultures with high power distance may avoid direct challenges and instead signal concern indirectly (Hofstede et al.</w:t>
      </w:r>
      <w:r w:rsidRPr="00C6575D">
        <w:rPr>
          <w:rFonts w:ascii="Arial" w:hAnsi="Arial" w:cs="Arial"/>
          <w:sz w:val="28"/>
          <w:szCs w:val="28"/>
        </w:rPr>
        <w:t>, 2010</w:t>
      </w:r>
      <w:r w:rsidRPr="00C6575D">
        <w:rPr>
          <w:rFonts w:ascii="Arial" w:hAnsi="Arial" w:cs="Arial"/>
          <w:sz w:val="28"/>
          <w:szCs w:val="28"/>
        </w:rPr>
        <w:t>). To avoid these challenges, international managers should adopt relational and culturally sensitive communication styles. Patience, persistence, and acceptance of culturally familiar trust-building methods will help foster coalitions. Customizing communication strategies to the cultural context can increase leverage, reduce uncertainty, and support sustainable global business relationships.</w:t>
      </w:r>
    </w:p>
    <w:p w14:paraId="41F9755D" w14:textId="4BFC85F6" w:rsidR="00C6575D" w:rsidRPr="00C6575D" w:rsidRDefault="00C6575D" w:rsidP="00C6575D">
      <w:pPr>
        <w:spacing w:line="360" w:lineRule="auto"/>
        <w:rPr>
          <w:rFonts w:ascii="Arial" w:hAnsi="Arial" w:cs="Arial"/>
          <w:sz w:val="28"/>
          <w:szCs w:val="28"/>
        </w:rPr>
      </w:pPr>
      <w:r w:rsidRPr="00C6575D">
        <w:rPr>
          <w:rFonts w:ascii="Arial" w:hAnsi="Arial" w:cs="Arial"/>
          <w:sz w:val="28"/>
          <w:szCs w:val="28"/>
        </w:rPr>
        <w:t>Communication and communication methods are key in</w:t>
      </w:r>
      <w:r w:rsidRPr="00C6575D">
        <w:rPr>
          <w:rFonts w:ascii="Arial" w:hAnsi="Arial" w:cs="Arial"/>
          <w:sz w:val="28"/>
          <w:szCs w:val="28"/>
        </w:rPr>
        <w:t xml:space="preserve"> </w:t>
      </w:r>
      <w:r w:rsidRPr="00C6575D">
        <w:rPr>
          <w:rFonts w:ascii="Arial" w:hAnsi="Arial" w:cs="Arial"/>
          <w:sz w:val="28"/>
          <w:szCs w:val="28"/>
        </w:rPr>
        <w:t>this building of trust. In these cultures, the non-verbal components associated with interactions may be more important than words when considering sincerity and intent (Hall, 1976). Silence, for instance, can be strategically used to show thoughtfulness or deference whereas western negotiators may perceive silence as disagreement or lack of interest. If management do not understand the cultural significance of behaviours of communication, such misunderstandings can undermine trust. Finally, power distance also affects how trust is conveyed since negotiators from high power distan</w:t>
      </w:r>
      <w:r w:rsidRPr="00C6575D">
        <w:rPr>
          <w:rFonts w:ascii="Arial" w:hAnsi="Arial" w:cs="Arial"/>
          <w:sz w:val="28"/>
          <w:szCs w:val="28"/>
        </w:rPr>
        <w:t xml:space="preserve">ce </w:t>
      </w:r>
      <w:r w:rsidRPr="00C6575D">
        <w:rPr>
          <w:rFonts w:ascii="Arial" w:hAnsi="Arial" w:cs="Arial"/>
          <w:sz w:val="28"/>
          <w:szCs w:val="28"/>
        </w:rPr>
        <w:t>cultures may not directly challenge offers but send a signal to show concern (Hofstede et al.</w:t>
      </w:r>
      <w:r w:rsidRPr="00C6575D">
        <w:rPr>
          <w:rFonts w:ascii="Arial" w:hAnsi="Arial" w:cs="Arial"/>
          <w:sz w:val="28"/>
          <w:szCs w:val="28"/>
        </w:rPr>
        <w:t>, 2010)</w:t>
      </w:r>
    </w:p>
    <w:p w14:paraId="1A18472E" w14:textId="77777777" w:rsidR="00C6575D" w:rsidRPr="00C6575D" w:rsidRDefault="00C6575D" w:rsidP="00C6575D">
      <w:pPr>
        <w:spacing w:line="360" w:lineRule="auto"/>
        <w:rPr>
          <w:rFonts w:ascii="Arial" w:hAnsi="Arial" w:cs="Arial"/>
          <w:sz w:val="28"/>
          <w:szCs w:val="28"/>
        </w:rPr>
      </w:pPr>
      <w:r w:rsidRPr="00C6575D">
        <w:rPr>
          <w:rFonts w:ascii="Arial" w:hAnsi="Arial" w:cs="Arial"/>
          <w:sz w:val="28"/>
          <w:szCs w:val="28"/>
        </w:rPr>
        <w:t xml:space="preserve">To cope with these issues, international managers should apply a more relational and culturally sensitive communication style. Patience, persistence and tolerating culturally familiar methods of trust-building </w:t>
      </w:r>
      <w:r w:rsidRPr="00C6575D">
        <w:rPr>
          <w:rFonts w:ascii="Arial" w:hAnsi="Arial" w:cs="Arial"/>
          <w:sz w:val="28"/>
          <w:szCs w:val="28"/>
        </w:rPr>
        <w:lastRenderedPageBreak/>
        <w:t>will foster coalition building opportunities. Managers who tailor communication strategies to culturally appropriate context are more likely to gain leverage, reduce uncertainty and engender sustainable global business relationships.</w:t>
      </w:r>
    </w:p>
    <w:p w14:paraId="26EA681E" w14:textId="77777777" w:rsidR="00C6575D" w:rsidRPr="00C6575D" w:rsidRDefault="00C6575D" w:rsidP="00C6575D">
      <w:pPr>
        <w:spacing w:line="360" w:lineRule="auto"/>
        <w:rPr>
          <w:rFonts w:ascii="Arial" w:hAnsi="Arial" w:cs="Arial"/>
          <w:sz w:val="28"/>
          <w:szCs w:val="28"/>
        </w:rPr>
      </w:pPr>
    </w:p>
    <w:p w14:paraId="371F4057" w14:textId="3306856F"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Hall’s high and low context theory is a widely recognised model. In high-context cultures like Japan and China, non-verbal gestures and body language hold greater importance than the spoken words. Being direct in meaning, as in the UK, Germany, or the US culture, is highly valued because they are low-context cultures (Hall 1976). This guideline applies in situations where there is a conflict between clarity and reserve, as well as between expressing feelings and using words.</w:t>
      </w:r>
    </w:p>
    <w:p w14:paraId="44F4205F"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In the field of international business communication, the concept “Business English as a Lingua Franca” (BELF) has been created. BELF is also described as the temporary functioning language of speakers with varying levels of English (</w:t>
      </w:r>
      <w:proofErr w:type="spellStart"/>
      <w:r w:rsidRPr="00C6575D">
        <w:rPr>
          <w:rFonts w:ascii="Arial" w:hAnsi="Arial" w:cs="Arial"/>
          <w:sz w:val="28"/>
          <w:szCs w:val="28"/>
        </w:rPr>
        <w:t>Kankaanranta</w:t>
      </w:r>
      <w:proofErr w:type="spellEnd"/>
      <w:r w:rsidRPr="00C6575D">
        <w:rPr>
          <w:rFonts w:ascii="Arial" w:hAnsi="Arial" w:cs="Arial"/>
          <w:sz w:val="28"/>
          <w:szCs w:val="28"/>
        </w:rPr>
        <w:t xml:space="preserve"> &amp; </w:t>
      </w:r>
      <w:proofErr w:type="spellStart"/>
      <w:r w:rsidRPr="00C6575D">
        <w:rPr>
          <w:rFonts w:ascii="Arial" w:hAnsi="Arial" w:cs="Arial"/>
          <w:sz w:val="28"/>
          <w:szCs w:val="28"/>
        </w:rPr>
        <w:t>Louhiala</w:t>
      </w:r>
      <w:proofErr w:type="spellEnd"/>
      <w:r w:rsidRPr="00C6575D">
        <w:rPr>
          <w:rFonts w:ascii="Arial" w:hAnsi="Arial" w:cs="Arial"/>
          <w:sz w:val="28"/>
          <w:szCs w:val="28"/>
        </w:rPr>
        <w:t xml:space="preserve">-Salminen, 2013). Consequently, BELF facilitates communication among businesses across diverse nations, yet it may also give rise to several challenges due to discrepancies in language proficiency and performance, as well as nuances of pragmatics and etiquette in interactions. Additionally, the dynamic power inherent in these exchanges can be influenced by the status of native English speakers, who may enjoy certain advantages due to their fluency in English as their primary language (Gimenez, 2006). </w:t>
      </w:r>
    </w:p>
    <w:p w14:paraId="648AC363" w14:textId="77777777" w:rsidR="003157B3" w:rsidRPr="00C6575D" w:rsidRDefault="003157B3" w:rsidP="00C6575D">
      <w:pPr>
        <w:spacing w:line="360" w:lineRule="auto"/>
        <w:rPr>
          <w:rFonts w:ascii="Arial" w:hAnsi="Arial" w:cs="Arial"/>
          <w:sz w:val="28"/>
          <w:szCs w:val="28"/>
        </w:rPr>
      </w:pPr>
    </w:p>
    <w:p w14:paraId="3A7695DD"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 xml:space="preserve">According to Samovar et al. (2017), the nuances of our cultural context shape the manner in which we communicate, interpret messages, and </w:t>
      </w:r>
      <w:r w:rsidRPr="00C6575D">
        <w:rPr>
          <w:rFonts w:ascii="Arial" w:hAnsi="Arial" w:cs="Arial"/>
          <w:sz w:val="28"/>
          <w:szCs w:val="28"/>
        </w:rPr>
        <w:lastRenderedPageBreak/>
        <w:t>comprehend one another. In a negotiation setting, this implies that people from different cultures may put a different value on the same word, action, or idea and thus interpret it differently. Trompenaars and Hampden-Turner (2012) also add that the rules, contracts, or authority forms of negotiators from various cultures are coded differently as a result of their dominant cultural dimension, namely universalism versus particularism and achievement versus ascription.</w:t>
      </w:r>
    </w:p>
    <w:p w14:paraId="72602483"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according to these theories, it is clear that intercultural communication extends beyond the boundaries of language and incorporates fundamental cultural values, norms, and expectations that people have been exposed to throughout their lives. In order to identify issues in global communication and develop effective management strategies, it is necessary to have an understanding of how these frameworks operate.</w:t>
      </w:r>
    </w:p>
    <w:p w14:paraId="6D659EA3" w14:textId="77777777" w:rsidR="003157B3" w:rsidRPr="00C6575D" w:rsidRDefault="003157B3" w:rsidP="00C6575D">
      <w:pPr>
        <w:spacing w:line="360" w:lineRule="auto"/>
        <w:rPr>
          <w:rFonts w:ascii="Arial" w:hAnsi="Arial" w:cs="Arial"/>
          <w:sz w:val="28"/>
          <w:szCs w:val="28"/>
        </w:rPr>
      </w:pPr>
    </w:p>
    <w:p w14:paraId="6E83C687"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On the other hand, in many Asian countries such as Japan and China, a relationship-building and high-context approach is used in business negotiations. Negotiations often involve substantial relationship-building, informal meetings, and trust development (Faure and Fang 2008). The communication method used in discussing business may be implicit, in which the speaker's intention is determined by verbal tone, pitch, and other non-verbal cues. According to Hofstede’s cultural model, these norms reflect collectivism, high power distance, and long-term orientation.</w:t>
      </w:r>
    </w:p>
    <w:p w14:paraId="506417DC"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 xml:space="preserve">This contrast commonly leads to misinterpretations. For example, Westerners may interpret indirectness as being evasive or inefficient in terms of communication (Morris et al., 1996), while Asians may see directness as aggressive and disrespectful (Brett, 1984). If not carefully </w:t>
      </w:r>
      <w:r w:rsidRPr="00C6575D">
        <w:rPr>
          <w:rFonts w:ascii="Arial" w:hAnsi="Arial" w:cs="Arial"/>
          <w:sz w:val="28"/>
          <w:szCs w:val="28"/>
        </w:rPr>
        <w:lastRenderedPageBreak/>
        <w:t>handled, such misperceptions can culminate in conflict or failed negotiation.</w:t>
      </w:r>
    </w:p>
    <w:p w14:paraId="2AF445A4" w14:textId="77777777" w:rsidR="003157B3" w:rsidRPr="00C6575D" w:rsidRDefault="003157B3" w:rsidP="00C6575D">
      <w:pPr>
        <w:pStyle w:val="Heading1"/>
        <w:spacing w:line="360" w:lineRule="auto"/>
        <w:rPr>
          <w:rFonts w:ascii="Arial" w:hAnsi="Arial" w:cs="Arial"/>
          <w:sz w:val="28"/>
          <w:szCs w:val="28"/>
        </w:rPr>
      </w:pPr>
      <w:bookmarkStart w:id="2" w:name="_Toc217054979"/>
      <w:r w:rsidRPr="00C6575D">
        <w:rPr>
          <w:rFonts w:ascii="Arial" w:hAnsi="Arial" w:cs="Arial"/>
          <w:sz w:val="28"/>
          <w:szCs w:val="28"/>
        </w:rPr>
        <w:t>Negotiation Language and BELF Sensitivities to Negotiations</w:t>
      </w:r>
      <w:bookmarkEnd w:id="2"/>
    </w:p>
    <w:p w14:paraId="78205B93"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Language matters in international negotiations, especially when the lingua franca is English. Although BELF facilitates cross-border communication, it does not dissolve cultural differences (</w:t>
      </w:r>
      <w:proofErr w:type="spellStart"/>
      <w:r w:rsidRPr="00C6575D">
        <w:rPr>
          <w:rFonts w:ascii="Arial" w:hAnsi="Arial" w:cs="Arial"/>
          <w:sz w:val="28"/>
          <w:szCs w:val="28"/>
        </w:rPr>
        <w:t>Kankaanranta</w:t>
      </w:r>
      <w:proofErr w:type="spellEnd"/>
      <w:r w:rsidRPr="00C6575D">
        <w:rPr>
          <w:rFonts w:ascii="Arial" w:hAnsi="Arial" w:cs="Arial"/>
          <w:sz w:val="28"/>
          <w:szCs w:val="28"/>
        </w:rPr>
        <w:t xml:space="preserve"> and </w:t>
      </w:r>
      <w:proofErr w:type="spellStart"/>
      <w:r w:rsidRPr="00C6575D">
        <w:rPr>
          <w:rFonts w:ascii="Arial" w:hAnsi="Arial" w:cs="Arial"/>
          <w:sz w:val="28"/>
          <w:szCs w:val="28"/>
        </w:rPr>
        <w:t>Louhiala</w:t>
      </w:r>
      <w:proofErr w:type="spellEnd"/>
      <w:r w:rsidRPr="00C6575D">
        <w:rPr>
          <w:rFonts w:ascii="Arial" w:hAnsi="Arial" w:cs="Arial"/>
          <w:sz w:val="28"/>
          <w:szCs w:val="28"/>
        </w:rPr>
        <w:t>-Salminen, 2013). What is an acceptable and polite negotiating statement may vary in different cultures: this variation can cause negotiations to be confusion or lead to unintended insult.</w:t>
      </w:r>
    </w:p>
    <w:p w14:paraId="0C65FCAF"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For example, English-speaking respondents tend to employ idiomatic expressions, jokes and slang which non-native speaking respondents may not understand and can lead to power asymmetries (Gimenez, 2006). Alternatively, different levels of fluency might influence participation contributing to less self-assured speakers adding little (if anything), biasing negotiation events.</w:t>
      </w:r>
    </w:p>
    <w:p w14:paraId="3F9B76CD"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 xml:space="preserve">Therefore, International Mangers can play with the idea of being dominant but it is critical for them to understand that optimal BELF communication would be achieved via adaptation, simplification and cultural sensitivity (De Jong &amp; </w:t>
      </w:r>
      <w:proofErr w:type="spellStart"/>
      <w:r w:rsidRPr="00C6575D">
        <w:rPr>
          <w:rFonts w:ascii="Arial" w:hAnsi="Arial" w:cs="Arial"/>
          <w:sz w:val="28"/>
          <w:szCs w:val="28"/>
        </w:rPr>
        <w:t>Trompenaar</w:t>
      </w:r>
      <w:proofErr w:type="spellEnd"/>
      <w:r w:rsidRPr="00C6575D">
        <w:rPr>
          <w:rFonts w:ascii="Arial" w:hAnsi="Arial" w:cs="Arial"/>
          <w:sz w:val="28"/>
          <w:szCs w:val="28"/>
        </w:rPr>
        <w:t xml:space="preserve"> 2005) rather than linguistic domination. Communication methods, including paraphrasing, seeking clarification, and avoidance of informal language, can increase mutual understanding between the organisations(Charles, 2007).</w:t>
      </w:r>
    </w:p>
    <w:p w14:paraId="4A297D46"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 xml:space="preserve">Understanding Power Distance and Hierarchy in Negotiation can really help us connect better across different cultures. By recognising the role of negotiation and understanding, we are able to build stronger relationships and find solutions that work well for everyone. It’s genuinely </w:t>
      </w:r>
      <w:r w:rsidRPr="00C6575D">
        <w:rPr>
          <w:rFonts w:ascii="Arial" w:hAnsi="Arial" w:cs="Arial"/>
          <w:sz w:val="28"/>
          <w:szCs w:val="28"/>
        </w:rPr>
        <w:lastRenderedPageBreak/>
        <w:t>fascinating to see how these cultural differences shape the way we interact and succeed together.</w:t>
      </w:r>
    </w:p>
    <w:p w14:paraId="34B7C85D"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Negotiations communication is mostly influenced by power distance. In countries with high power distance, e.g., India or China, the decision-making process is concentrated in higher positions, and lower position delegates likely have no autonomy (Hofstede et al., 2010). Those negotiators from the West who are not used to this dynamic might start celebrating when they shouldn’t, because talks were merely exploratory.</w:t>
      </w:r>
    </w:p>
    <w:p w14:paraId="098E5AC6"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Also, hierarchical cultures can value deference, formal speaking and status. Not recognizing such norms by going to the top or asking for quick decisions can deteriorate trust and bring negotiations to a standstill (Trompenaars &amp; Hampden-Turner, 2012).</w:t>
      </w:r>
    </w:p>
    <w:p w14:paraId="353D203E"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Good international negotiators adjust by figuring out early who the decision-makers are, respecting bureaucratic processes, and giving time for internal consultations. When intentional managers show cultural understanding towards others' cultures, it helps build a long-lasting business relationship.</w:t>
      </w:r>
    </w:p>
    <w:p w14:paraId="050ABADA" w14:textId="77777777" w:rsidR="003157B3" w:rsidRPr="00C6575D" w:rsidRDefault="003157B3" w:rsidP="00C6575D">
      <w:pPr>
        <w:pStyle w:val="Heading1"/>
        <w:spacing w:line="360" w:lineRule="auto"/>
        <w:rPr>
          <w:rFonts w:ascii="Arial" w:hAnsi="Arial" w:cs="Arial"/>
          <w:sz w:val="28"/>
          <w:szCs w:val="28"/>
        </w:rPr>
      </w:pPr>
      <w:bookmarkStart w:id="3" w:name="_Toc217054980"/>
      <w:r w:rsidRPr="00C6575D">
        <w:rPr>
          <w:rFonts w:ascii="Arial" w:hAnsi="Arial" w:cs="Arial"/>
          <w:sz w:val="28"/>
          <w:szCs w:val="28"/>
        </w:rPr>
        <w:t>Conflict Management and Face-Saving</w:t>
      </w:r>
      <w:bookmarkEnd w:id="3"/>
    </w:p>
    <w:p w14:paraId="07AEE5E3"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Disagreements are a prominent aspect of negotiations, however, various cultures opt to address and convey these divergences in manners that align with their established norms. The belief persists among Western nations that confrontation serves as both a beneficial and necessary means to achieve one's objectives with greater efficacy. Fang (2012) posits that numerous Asian cultures prioritise the avoidance of disputes as a strategy to uphold individual dignity and sustain harmony amidst conflict.</w:t>
      </w:r>
    </w:p>
    <w:p w14:paraId="5BB5DAC7"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lastRenderedPageBreak/>
        <w:t>The use of confrontational means can simply bring a loss of face and destroy relationships, which will make it harder to cooperate in the future. Japanese negotiators, for instance, tend not to directly reject proposals but rather respond in an ambiguous way that should be interpreted (Hall 1976). Western managers who does not correctly understand these communication methods may overreact and result in breakdowns.</w:t>
      </w:r>
    </w:p>
    <w:p w14:paraId="6A96EFAA"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Non-Asian managers can address this challenge by employing indirect conflict management methods, such as involving mediators to handle parties and steer specific issues diplomatically through private rather than public conversations. These approaches align with high-context communication styles and emphasize face-saving.</w:t>
      </w:r>
    </w:p>
    <w:p w14:paraId="3B7531C3" w14:textId="77777777" w:rsidR="003157B3" w:rsidRPr="00C6575D" w:rsidRDefault="003157B3" w:rsidP="00C6575D">
      <w:pPr>
        <w:pStyle w:val="Heading1"/>
        <w:spacing w:line="360" w:lineRule="auto"/>
        <w:rPr>
          <w:rFonts w:ascii="Arial" w:hAnsi="Arial" w:cs="Arial"/>
          <w:sz w:val="28"/>
          <w:szCs w:val="28"/>
        </w:rPr>
      </w:pPr>
      <w:bookmarkStart w:id="4" w:name="_Toc217054981"/>
      <w:r w:rsidRPr="00C6575D">
        <w:rPr>
          <w:rFonts w:ascii="Arial" w:hAnsi="Arial" w:cs="Arial"/>
          <w:sz w:val="28"/>
          <w:szCs w:val="28"/>
        </w:rPr>
        <w:t>Tactical Techniques for Breaking the Communication Bottleneck</w:t>
      </w:r>
      <w:bookmarkEnd w:id="4"/>
    </w:p>
    <w:p w14:paraId="1A02D9FD" w14:textId="77777777" w:rsidR="003157B3" w:rsidRPr="00C6575D" w:rsidRDefault="003157B3" w:rsidP="00C6575D">
      <w:pPr>
        <w:spacing w:line="360" w:lineRule="auto"/>
        <w:rPr>
          <w:rFonts w:ascii="Arial" w:hAnsi="Arial" w:cs="Arial"/>
          <w:sz w:val="28"/>
          <w:szCs w:val="28"/>
        </w:rPr>
      </w:pPr>
      <w:r w:rsidRPr="00C6575D">
        <w:rPr>
          <w:rFonts w:ascii="Arial" w:hAnsi="Arial" w:cs="Arial"/>
          <w:sz w:val="28"/>
          <w:szCs w:val="28"/>
        </w:rPr>
        <w:t>To properly address intercultural negotiation challenges, international managers must enhance their cultural intelligence (CQ), which is the ability to operate successfully across different social and cultural settings (Earley &amp; Ang, 2003)</w:t>
      </w:r>
    </w:p>
    <w:p w14:paraId="5015471F" w14:textId="7A7171B5" w:rsidR="00E74252" w:rsidRDefault="003157B3" w:rsidP="00C6575D">
      <w:pPr>
        <w:spacing w:line="360" w:lineRule="auto"/>
        <w:rPr>
          <w:rFonts w:ascii="Arial" w:hAnsi="Arial" w:cs="Arial"/>
          <w:sz w:val="28"/>
          <w:szCs w:val="28"/>
        </w:rPr>
      </w:pPr>
      <w:r w:rsidRPr="00C6575D">
        <w:rPr>
          <w:rFonts w:ascii="Arial" w:hAnsi="Arial" w:cs="Arial"/>
          <w:sz w:val="28"/>
          <w:szCs w:val="28"/>
        </w:rPr>
        <w:t>Intercultural training and diverse negotiation teams are two other vital components that must be implemented inside organisations. Additionally, the development of inclusive communication methods is a crucial component. Sustainable International Business Relations is the structural supports that promote individual functioning and allows for sustainable knowledge.</w:t>
      </w:r>
    </w:p>
    <w:p w14:paraId="125FB543" w14:textId="77777777" w:rsidR="002C15EE" w:rsidRPr="00C6575D" w:rsidRDefault="002C15EE" w:rsidP="00C6575D">
      <w:pPr>
        <w:spacing w:line="360" w:lineRule="auto"/>
        <w:rPr>
          <w:rFonts w:ascii="Arial" w:hAnsi="Arial" w:cs="Arial"/>
          <w:sz w:val="28"/>
          <w:szCs w:val="28"/>
        </w:rPr>
      </w:pPr>
    </w:p>
    <w:p w14:paraId="65CDA89F" w14:textId="77777777" w:rsidR="003157B3" w:rsidRPr="00C6575D" w:rsidRDefault="003157B3" w:rsidP="00C6575D">
      <w:pPr>
        <w:pStyle w:val="Heading1"/>
        <w:spacing w:line="360" w:lineRule="auto"/>
        <w:rPr>
          <w:rFonts w:ascii="Arial" w:hAnsi="Arial" w:cs="Arial"/>
          <w:sz w:val="28"/>
          <w:szCs w:val="28"/>
        </w:rPr>
      </w:pPr>
      <w:bookmarkStart w:id="5" w:name="_Toc217054982"/>
      <w:r w:rsidRPr="00C6575D">
        <w:rPr>
          <w:rFonts w:ascii="Arial" w:hAnsi="Arial" w:cs="Arial"/>
          <w:sz w:val="28"/>
          <w:szCs w:val="28"/>
        </w:rPr>
        <w:lastRenderedPageBreak/>
        <w:t>Conclusion</w:t>
      </w:r>
      <w:bookmarkEnd w:id="5"/>
    </w:p>
    <w:p w14:paraId="1DCACEC7" w14:textId="77777777" w:rsidR="003157B3" w:rsidRPr="003157B3" w:rsidRDefault="003157B3" w:rsidP="00C6575D">
      <w:pPr>
        <w:spacing w:line="360" w:lineRule="auto"/>
        <w:rPr>
          <w:rFonts w:ascii="Arial" w:hAnsi="Arial" w:cs="Arial"/>
          <w:sz w:val="28"/>
          <w:szCs w:val="28"/>
        </w:rPr>
      </w:pPr>
      <w:r w:rsidRPr="003157B3">
        <w:rPr>
          <w:rFonts w:ascii="Arial" w:hAnsi="Arial" w:cs="Arial"/>
          <w:sz w:val="28"/>
          <w:szCs w:val="28"/>
        </w:rPr>
        <w:t>This essay examined how intercultural communication affects international business negotiations. It found that cultural differences shape communication styles and expectations, which in turn influence negotiation outcomes. Language differences rarely cause major issues; instead, challenges usually stem from deeper cultural values, social norms, and assumptions about relationships, authority, time, and conflict. By applying frameworks such as Hofstede’s cultural dimensions, high- and low-context communication, and Business English as a Lingua Franca (BELF), this discussion shows how these theories help clarify misunderstandings in cross-cultural negotiations.</w:t>
      </w:r>
    </w:p>
    <w:p w14:paraId="086B7B2B" w14:textId="77777777" w:rsidR="003157B3" w:rsidRPr="003157B3" w:rsidRDefault="003157B3" w:rsidP="00C6575D">
      <w:pPr>
        <w:spacing w:line="360" w:lineRule="auto"/>
        <w:rPr>
          <w:rFonts w:ascii="Arial" w:hAnsi="Arial" w:cs="Arial"/>
          <w:sz w:val="28"/>
          <w:szCs w:val="28"/>
        </w:rPr>
      </w:pPr>
      <w:r w:rsidRPr="003157B3">
        <w:rPr>
          <w:rFonts w:ascii="Arial" w:hAnsi="Arial" w:cs="Arial"/>
          <w:sz w:val="28"/>
          <w:szCs w:val="28"/>
        </w:rPr>
        <w:t>A comparison of Western and Asian bargaining styles reveals that differences in directness, hierarchy, and relationship-building frequently result in misunderstandings, particularly when cultural sensitivity is lacking. Western managers often prioritize efficiency, direct communication, and rapid decision-making, whereas many Asian business cultures emphasize relationship-building, indirect communication, and group consensus. When these differences are overlooked, negotiations may become ineffective or collapse. However, such challenges can be addressed through thoughtful and adaptable communication strategies.</w:t>
      </w:r>
    </w:p>
    <w:p w14:paraId="1E60D00E" w14:textId="77777777" w:rsidR="003157B3" w:rsidRPr="003157B3" w:rsidRDefault="003157B3" w:rsidP="00C6575D">
      <w:pPr>
        <w:spacing w:line="360" w:lineRule="auto"/>
        <w:rPr>
          <w:rFonts w:ascii="Arial" w:hAnsi="Arial" w:cs="Arial"/>
          <w:sz w:val="28"/>
          <w:szCs w:val="28"/>
        </w:rPr>
      </w:pPr>
      <w:r w:rsidRPr="003157B3">
        <w:rPr>
          <w:rFonts w:ascii="Arial" w:hAnsi="Arial" w:cs="Arial"/>
          <w:sz w:val="28"/>
          <w:szCs w:val="28"/>
        </w:rPr>
        <w:t xml:space="preserve">For managers in multinational companies, these findings highlight the need to develop cultural intelligence, reflective listening, and strategic flexibility. Successful international negotiation requires more than expertise or persuasion; it demands attention to cultural cues, adaptation to different communication styles, and a willingness to adjust one’s approach. Investing in intercultural training and promoting inclusive </w:t>
      </w:r>
      <w:r w:rsidRPr="003157B3">
        <w:rPr>
          <w:rFonts w:ascii="Arial" w:hAnsi="Arial" w:cs="Arial"/>
          <w:sz w:val="28"/>
          <w:szCs w:val="28"/>
        </w:rPr>
        <w:lastRenderedPageBreak/>
        <w:t>communication helps organizations build trust, form lasting relationships, and strengthen their competitiveness in international markets.</w:t>
      </w:r>
    </w:p>
    <w:p w14:paraId="031A5BBE" w14:textId="77777777" w:rsidR="003157B3" w:rsidRPr="003157B3" w:rsidRDefault="003157B3" w:rsidP="00C6575D">
      <w:pPr>
        <w:spacing w:line="360" w:lineRule="auto"/>
        <w:rPr>
          <w:rFonts w:ascii="Arial" w:hAnsi="Arial" w:cs="Arial"/>
          <w:sz w:val="28"/>
          <w:szCs w:val="28"/>
        </w:rPr>
      </w:pPr>
      <w:r w:rsidRPr="003157B3">
        <w:rPr>
          <w:rFonts w:ascii="Arial" w:hAnsi="Arial" w:cs="Arial"/>
          <w:sz w:val="28"/>
          <w:szCs w:val="28"/>
        </w:rPr>
        <w:t>In summary, effective cross-cultural communication is a vital management skill in international business. As globalization increases cross-border interactions, managers who address cultural differences with insight, ethics, and effectiveness will be more successful negotiators and leaders in diverse environments.</w:t>
      </w:r>
    </w:p>
    <w:p w14:paraId="5E6643D6" w14:textId="77777777" w:rsidR="00C6575D" w:rsidRPr="00C6575D" w:rsidRDefault="00C6575D" w:rsidP="00C6575D">
      <w:pPr>
        <w:pStyle w:val="ListParagraph"/>
        <w:spacing w:line="360" w:lineRule="auto"/>
        <w:rPr>
          <w:rFonts w:ascii="Arial" w:hAnsi="Arial" w:cs="Arial"/>
          <w:b/>
          <w:bCs/>
          <w:sz w:val="28"/>
          <w:szCs w:val="28"/>
        </w:rPr>
      </w:pPr>
    </w:p>
    <w:p w14:paraId="44B86A85" w14:textId="77777777" w:rsidR="00C6575D" w:rsidRPr="00C6575D" w:rsidRDefault="00C6575D" w:rsidP="00C6575D">
      <w:pPr>
        <w:pStyle w:val="ListParagraph"/>
        <w:spacing w:line="360" w:lineRule="auto"/>
        <w:rPr>
          <w:rFonts w:ascii="Arial" w:hAnsi="Arial" w:cs="Arial"/>
          <w:b/>
          <w:bCs/>
          <w:sz w:val="28"/>
          <w:szCs w:val="28"/>
        </w:rPr>
      </w:pPr>
    </w:p>
    <w:p w14:paraId="032C040E" w14:textId="77777777" w:rsidR="00C6575D" w:rsidRPr="00C6575D" w:rsidRDefault="00C6575D" w:rsidP="00C6575D">
      <w:pPr>
        <w:pStyle w:val="ListParagraph"/>
        <w:spacing w:line="360" w:lineRule="auto"/>
        <w:rPr>
          <w:rFonts w:ascii="Arial" w:hAnsi="Arial" w:cs="Arial"/>
          <w:b/>
          <w:bCs/>
          <w:sz w:val="28"/>
          <w:szCs w:val="28"/>
        </w:rPr>
      </w:pPr>
    </w:p>
    <w:p w14:paraId="1939B268" w14:textId="77777777" w:rsidR="00C6575D" w:rsidRPr="00C6575D" w:rsidRDefault="00C6575D" w:rsidP="00C6575D">
      <w:pPr>
        <w:pStyle w:val="ListParagraph"/>
        <w:spacing w:line="360" w:lineRule="auto"/>
        <w:rPr>
          <w:rFonts w:ascii="Arial" w:hAnsi="Arial" w:cs="Arial"/>
          <w:b/>
          <w:bCs/>
          <w:sz w:val="28"/>
          <w:szCs w:val="28"/>
        </w:rPr>
      </w:pPr>
    </w:p>
    <w:p w14:paraId="56E0918C" w14:textId="77777777" w:rsidR="00C6575D" w:rsidRDefault="00C6575D" w:rsidP="00C6575D">
      <w:pPr>
        <w:pStyle w:val="ListParagraph"/>
        <w:spacing w:line="360" w:lineRule="auto"/>
        <w:rPr>
          <w:rFonts w:ascii="Arial" w:hAnsi="Arial" w:cs="Arial"/>
          <w:b/>
          <w:bCs/>
          <w:sz w:val="28"/>
          <w:szCs w:val="28"/>
        </w:rPr>
      </w:pPr>
    </w:p>
    <w:p w14:paraId="4638AA5D" w14:textId="77777777" w:rsidR="00C6575D" w:rsidRDefault="00C6575D" w:rsidP="00C6575D">
      <w:pPr>
        <w:pStyle w:val="ListParagraph"/>
        <w:spacing w:line="360" w:lineRule="auto"/>
        <w:rPr>
          <w:rFonts w:ascii="Arial" w:hAnsi="Arial" w:cs="Arial"/>
          <w:b/>
          <w:bCs/>
          <w:sz w:val="28"/>
          <w:szCs w:val="28"/>
        </w:rPr>
      </w:pPr>
    </w:p>
    <w:p w14:paraId="3C87215B" w14:textId="77777777" w:rsidR="00C6575D" w:rsidRDefault="00C6575D" w:rsidP="00C6575D">
      <w:pPr>
        <w:pStyle w:val="ListParagraph"/>
        <w:spacing w:line="360" w:lineRule="auto"/>
        <w:rPr>
          <w:rFonts w:ascii="Arial" w:hAnsi="Arial" w:cs="Arial"/>
          <w:b/>
          <w:bCs/>
          <w:sz w:val="28"/>
          <w:szCs w:val="28"/>
        </w:rPr>
      </w:pPr>
    </w:p>
    <w:p w14:paraId="4B83D487" w14:textId="77777777" w:rsidR="00C6575D" w:rsidRDefault="00C6575D" w:rsidP="00C6575D">
      <w:pPr>
        <w:pStyle w:val="ListParagraph"/>
        <w:spacing w:line="360" w:lineRule="auto"/>
        <w:rPr>
          <w:rFonts w:ascii="Arial" w:hAnsi="Arial" w:cs="Arial"/>
          <w:b/>
          <w:bCs/>
          <w:sz w:val="28"/>
          <w:szCs w:val="28"/>
        </w:rPr>
      </w:pPr>
    </w:p>
    <w:p w14:paraId="28CBCC4D" w14:textId="77777777" w:rsidR="00C6575D" w:rsidRDefault="00C6575D" w:rsidP="00C6575D">
      <w:pPr>
        <w:pStyle w:val="ListParagraph"/>
        <w:spacing w:line="360" w:lineRule="auto"/>
        <w:rPr>
          <w:rFonts w:ascii="Arial" w:hAnsi="Arial" w:cs="Arial"/>
          <w:b/>
          <w:bCs/>
          <w:sz w:val="28"/>
          <w:szCs w:val="28"/>
        </w:rPr>
      </w:pPr>
    </w:p>
    <w:p w14:paraId="41E650EB" w14:textId="77777777" w:rsidR="00C6575D" w:rsidRDefault="00C6575D" w:rsidP="00C6575D">
      <w:pPr>
        <w:pStyle w:val="ListParagraph"/>
        <w:spacing w:line="360" w:lineRule="auto"/>
        <w:rPr>
          <w:rFonts w:ascii="Arial" w:hAnsi="Arial" w:cs="Arial"/>
          <w:b/>
          <w:bCs/>
          <w:sz w:val="28"/>
          <w:szCs w:val="28"/>
        </w:rPr>
      </w:pPr>
    </w:p>
    <w:p w14:paraId="1412D082" w14:textId="77777777" w:rsidR="00C6575D" w:rsidRDefault="00C6575D" w:rsidP="00C6575D">
      <w:pPr>
        <w:pStyle w:val="ListParagraph"/>
        <w:spacing w:line="360" w:lineRule="auto"/>
        <w:rPr>
          <w:rFonts w:ascii="Arial" w:hAnsi="Arial" w:cs="Arial"/>
          <w:b/>
          <w:bCs/>
          <w:sz w:val="28"/>
          <w:szCs w:val="28"/>
        </w:rPr>
      </w:pPr>
    </w:p>
    <w:p w14:paraId="15BC51A4" w14:textId="77777777" w:rsidR="00C6575D" w:rsidRDefault="00C6575D" w:rsidP="00C6575D">
      <w:pPr>
        <w:pStyle w:val="ListParagraph"/>
        <w:spacing w:line="360" w:lineRule="auto"/>
        <w:rPr>
          <w:rFonts w:ascii="Arial" w:hAnsi="Arial" w:cs="Arial"/>
          <w:b/>
          <w:bCs/>
          <w:sz w:val="28"/>
          <w:szCs w:val="28"/>
        </w:rPr>
      </w:pPr>
    </w:p>
    <w:p w14:paraId="0722B664" w14:textId="77777777" w:rsidR="00C6575D" w:rsidRDefault="00C6575D" w:rsidP="00C6575D">
      <w:pPr>
        <w:pStyle w:val="ListParagraph"/>
        <w:spacing w:line="360" w:lineRule="auto"/>
        <w:rPr>
          <w:rFonts w:ascii="Arial" w:hAnsi="Arial" w:cs="Arial"/>
          <w:b/>
          <w:bCs/>
          <w:sz w:val="28"/>
          <w:szCs w:val="28"/>
        </w:rPr>
      </w:pPr>
    </w:p>
    <w:p w14:paraId="16B613C9" w14:textId="77777777" w:rsidR="00C6575D" w:rsidRDefault="00C6575D" w:rsidP="00C6575D">
      <w:pPr>
        <w:pStyle w:val="ListParagraph"/>
        <w:spacing w:line="360" w:lineRule="auto"/>
        <w:rPr>
          <w:rFonts w:ascii="Arial" w:hAnsi="Arial" w:cs="Arial"/>
          <w:b/>
          <w:bCs/>
          <w:sz w:val="28"/>
          <w:szCs w:val="28"/>
        </w:rPr>
      </w:pPr>
    </w:p>
    <w:p w14:paraId="427FD2B0" w14:textId="77777777" w:rsidR="00C6575D" w:rsidRDefault="00C6575D" w:rsidP="00C6575D">
      <w:pPr>
        <w:pStyle w:val="ListParagraph"/>
        <w:spacing w:line="360" w:lineRule="auto"/>
        <w:rPr>
          <w:rFonts w:ascii="Arial" w:hAnsi="Arial" w:cs="Arial"/>
          <w:b/>
          <w:bCs/>
          <w:sz w:val="28"/>
          <w:szCs w:val="28"/>
        </w:rPr>
      </w:pPr>
    </w:p>
    <w:p w14:paraId="52241C63" w14:textId="77777777" w:rsidR="00C6575D" w:rsidRDefault="00C6575D" w:rsidP="00C6575D">
      <w:pPr>
        <w:pStyle w:val="ListParagraph"/>
        <w:spacing w:line="360" w:lineRule="auto"/>
        <w:rPr>
          <w:rFonts w:ascii="Arial" w:hAnsi="Arial" w:cs="Arial"/>
          <w:b/>
          <w:bCs/>
          <w:sz w:val="28"/>
          <w:szCs w:val="28"/>
        </w:rPr>
      </w:pPr>
    </w:p>
    <w:p w14:paraId="6D980656" w14:textId="77777777" w:rsidR="00587AC4" w:rsidRDefault="00587AC4" w:rsidP="00C6575D">
      <w:pPr>
        <w:pStyle w:val="ListParagraph"/>
        <w:spacing w:line="360" w:lineRule="auto"/>
        <w:rPr>
          <w:rFonts w:ascii="Arial" w:hAnsi="Arial" w:cs="Arial"/>
          <w:b/>
          <w:bCs/>
          <w:sz w:val="28"/>
          <w:szCs w:val="28"/>
        </w:rPr>
      </w:pPr>
    </w:p>
    <w:p w14:paraId="0964A93E" w14:textId="77777777" w:rsidR="00587AC4" w:rsidRDefault="00587AC4" w:rsidP="00C6575D">
      <w:pPr>
        <w:pStyle w:val="ListParagraph"/>
        <w:spacing w:line="360" w:lineRule="auto"/>
        <w:rPr>
          <w:rFonts w:ascii="Arial" w:hAnsi="Arial" w:cs="Arial"/>
          <w:b/>
          <w:bCs/>
          <w:sz w:val="28"/>
          <w:szCs w:val="28"/>
        </w:rPr>
      </w:pPr>
    </w:p>
    <w:p w14:paraId="7E5ABF5B" w14:textId="77777777" w:rsidR="00587AC4" w:rsidRDefault="00587AC4" w:rsidP="00C6575D">
      <w:pPr>
        <w:pStyle w:val="ListParagraph"/>
        <w:spacing w:line="360" w:lineRule="auto"/>
        <w:rPr>
          <w:rFonts w:ascii="Arial" w:hAnsi="Arial" w:cs="Arial"/>
          <w:b/>
          <w:bCs/>
          <w:sz w:val="28"/>
          <w:szCs w:val="28"/>
        </w:rPr>
      </w:pPr>
    </w:p>
    <w:p w14:paraId="199C5222" w14:textId="77777777" w:rsidR="00C6575D" w:rsidRDefault="00C6575D" w:rsidP="00C6575D">
      <w:pPr>
        <w:pStyle w:val="ListParagraph"/>
        <w:spacing w:line="360" w:lineRule="auto"/>
        <w:rPr>
          <w:rFonts w:ascii="Arial" w:hAnsi="Arial" w:cs="Arial"/>
          <w:b/>
          <w:bCs/>
          <w:sz w:val="28"/>
          <w:szCs w:val="28"/>
        </w:rPr>
      </w:pPr>
    </w:p>
    <w:p w14:paraId="49AC596D" w14:textId="77777777" w:rsidR="00C6575D" w:rsidRDefault="00C6575D" w:rsidP="00C6575D">
      <w:pPr>
        <w:pStyle w:val="ListParagraph"/>
        <w:spacing w:line="360" w:lineRule="auto"/>
        <w:rPr>
          <w:rFonts w:ascii="Arial" w:hAnsi="Arial" w:cs="Arial"/>
          <w:b/>
          <w:bCs/>
          <w:sz w:val="28"/>
          <w:szCs w:val="28"/>
        </w:rPr>
      </w:pPr>
    </w:p>
    <w:p w14:paraId="45DE1830" w14:textId="77777777" w:rsidR="00C6575D" w:rsidRDefault="00C6575D" w:rsidP="00C6575D">
      <w:pPr>
        <w:pStyle w:val="ListParagraph"/>
        <w:spacing w:line="360" w:lineRule="auto"/>
        <w:rPr>
          <w:rFonts w:ascii="Arial" w:hAnsi="Arial" w:cs="Arial"/>
          <w:b/>
          <w:bCs/>
          <w:sz w:val="28"/>
          <w:szCs w:val="28"/>
        </w:rPr>
      </w:pPr>
    </w:p>
    <w:p w14:paraId="2700421F" w14:textId="77777777" w:rsidR="00C6575D" w:rsidRPr="00C6575D" w:rsidRDefault="00C6575D" w:rsidP="00C6575D">
      <w:pPr>
        <w:pStyle w:val="ListParagraph"/>
        <w:spacing w:line="360" w:lineRule="auto"/>
        <w:rPr>
          <w:rFonts w:ascii="Arial" w:hAnsi="Arial" w:cs="Arial"/>
          <w:b/>
          <w:bCs/>
          <w:sz w:val="28"/>
          <w:szCs w:val="28"/>
        </w:rPr>
      </w:pPr>
    </w:p>
    <w:p w14:paraId="2E174CE1" w14:textId="77777777" w:rsidR="00C6575D" w:rsidRPr="00C6575D" w:rsidRDefault="00C6575D" w:rsidP="00C6575D">
      <w:pPr>
        <w:pStyle w:val="ListParagraph"/>
        <w:spacing w:line="360" w:lineRule="auto"/>
        <w:rPr>
          <w:rFonts w:ascii="Arial" w:hAnsi="Arial" w:cs="Arial"/>
          <w:b/>
          <w:bCs/>
          <w:sz w:val="28"/>
          <w:szCs w:val="28"/>
        </w:rPr>
      </w:pPr>
    </w:p>
    <w:p w14:paraId="0A1A101E" w14:textId="096448B1" w:rsidR="00C6575D" w:rsidRPr="00587AC4" w:rsidRDefault="00C6575D" w:rsidP="00C6575D">
      <w:pPr>
        <w:pStyle w:val="Heading1"/>
        <w:spacing w:line="360" w:lineRule="auto"/>
        <w:rPr>
          <w:rFonts w:ascii="Arial" w:hAnsi="Arial" w:cs="Arial"/>
          <w:sz w:val="28"/>
          <w:szCs w:val="28"/>
        </w:rPr>
      </w:pPr>
      <w:bookmarkStart w:id="6" w:name="_Toc217054983"/>
      <w:r w:rsidRPr="00587AC4">
        <w:rPr>
          <w:rFonts w:ascii="Arial" w:hAnsi="Arial" w:cs="Arial"/>
          <w:sz w:val="28"/>
          <w:szCs w:val="28"/>
        </w:rPr>
        <w:t>References</w:t>
      </w:r>
      <w:bookmarkEnd w:id="6"/>
    </w:p>
    <w:p w14:paraId="757B5A55" w14:textId="77777777" w:rsidR="00587AC4" w:rsidRPr="00C6575D" w:rsidRDefault="00587AC4" w:rsidP="00C6575D">
      <w:pPr>
        <w:pStyle w:val="ListParagraph"/>
        <w:spacing w:line="360" w:lineRule="auto"/>
        <w:rPr>
          <w:rFonts w:ascii="Arial" w:hAnsi="Arial" w:cs="Arial"/>
          <w:sz w:val="28"/>
          <w:szCs w:val="28"/>
        </w:rPr>
      </w:pPr>
    </w:p>
    <w:p w14:paraId="18456EC9"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Adler, N.J. (2008) </w:t>
      </w:r>
      <w:r w:rsidRPr="00C6575D">
        <w:rPr>
          <w:rFonts w:ascii="Arial" w:hAnsi="Arial" w:cs="Arial"/>
          <w:i/>
          <w:iCs/>
        </w:rPr>
        <w:t xml:space="preserve">International Dimensions of Organizational </w:t>
      </w:r>
      <w:proofErr w:type="spellStart"/>
      <w:r w:rsidRPr="00C6575D">
        <w:rPr>
          <w:rFonts w:ascii="Arial" w:hAnsi="Arial" w:cs="Arial"/>
          <w:i/>
          <w:iCs/>
        </w:rPr>
        <w:t>Behavior</w:t>
      </w:r>
      <w:proofErr w:type="spellEnd"/>
      <w:r w:rsidRPr="00C6575D">
        <w:rPr>
          <w:rFonts w:ascii="Arial" w:hAnsi="Arial" w:cs="Arial"/>
        </w:rPr>
        <w:t xml:space="preserve">. 5th </w:t>
      </w:r>
      <w:proofErr w:type="spellStart"/>
      <w:r w:rsidRPr="00C6575D">
        <w:rPr>
          <w:rFonts w:ascii="Arial" w:hAnsi="Arial" w:cs="Arial"/>
        </w:rPr>
        <w:t>edn</w:t>
      </w:r>
      <w:proofErr w:type="spellEnd"/>
      <w:r w:rsidRPr="00C6575D">
        <w:rPr>
          <w:rFonts w:ascii="Arial" w:hAnsi="Arial" w:cs="Arial"/>
        </w:rPr>
        <w:t>. Mason: Cengage.</w:t>
      </w:r>
    </w:p>
    <w:p w14:paraId="3AB7CAE5"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Brett, J.M. (2014) </w:t>
      </w:r>
      <w:r w:rsidRPr="00C6575D">
        <w:rPr>
          <w:rFonts w:ascii="Arial" w:hAnsi="Arial" w:cs="Arial"/>
          <w:i/>
          <w:iCs/>
        </w:rPr>
        <w:t>Negotiating Globally</w:t>
      </w:r>
      <w:r w:rsidRPr="00C6575D">
        <w:rPr>
          <w:rFonts w:ascii="Arial" w:hAnsi="Arial" w:cs="Arial"/>
        </w:rPr>
        <w:t xml:space="preserve">. 3rd </w:t>
      </w:r>
      <w:proofErr w:type="spellStart"/>
      <w:r w:rsidRPr="00C6575D">
        <w:rPr>
          <w:rFonts w:ascii="Arial" w:hAnsi="Arial" w:cs="Arial"/>
        </w:rPr>
        <w:t>edn</w:t>
      </w:r>
      <w:proofErr w:type="spellEnd"/>
      <w:r w:rsidRPr="00C6575D">
        <w:rPr>
          <w:rFonts w:ascii="Arial" w:hAnsi="Arial" w:cs="Arial"/>
        </w:rPr>
        <w:t>. San Francisco: Jossey-Bass.</w:t>
      </w:r>
    </w:p>
    <w:p w14:paraId="37EF7DAC"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Charles, M. (2007) ‘Language matters in global communication’, </w:t>
      </w:r>
      <w:r w:rsidRPr="00C6575D">
        <w:rPr>
          <w:rFonts w:ascii="Arial" w:hAnsi="Arial" w:cs="Arial"/>
          <w:i/>
          <w:iCs/>
        </w:rPr>
        <w:t>Journal of Business Communication</w:t>
      </w:r>
      <w:r w:rsidRPr="00C6575D">
        <w:rPr>
          <w:rFonts w:ascii="Arial" w:hAnsi="Arial" w:cs="Arial"/>
        </w:rPr>
        <w:t>, 44(3), pp. 260–282.</w:t>
      </w:r>
    </w:p>
    <w:p w14:paraId="79B4F816" w14:textId="77777777" w:rsidR="00587AC4" w:rsidRPr="00C6575D" w:rsidRDefault="00587AC4" w:rsidP="00C6575D">
      <w:pPr>
        <w:pStyle w:val="NormalWeb"/>
        <w:numPr>
          <w:ilvl w:val="0"/>
          <w:numId w:val="3"/>
        </w:numPr>
        <w:spacing w:line="360" w:lineRule="auto"/>
        <w:rPr>
          <w:rFonts w:ascii="Arial" w:hAnsi="Arial" w:cs="Arial"/>
        </w:rPr>
      </w:pPr>
      <w:r w:rsidRPr="00C6575D">
        <w:rPr>
          <w:rFonts w:ascii="Arial" w:hAnsi="Arial" w:cs="Arial"/>
        </w:rPr>
        <w:t xml:space="preserve">Cohen, R. (2014) </w:t>
      </w:r>
      <w:r w:rsidRPr="00C6575D">
        <w:rPr>
          <w:rStyle w:val="Emphasis"/>
          <w:rFonts w:ascii="Arial" w:eastAsiaTheme="majorEastAsia" w:hAnsi="Arial" w:cs="Arial"/>
        </w:rPr>
        <w:t>Negotiating Across Cultures: International Communication in an Interdependent World</w:t>
      </w:r>
      <w:r w:rsidRPr="00C6575D">
        <w:rPr>
          <w:rFonts w:ascii="Arial" w:hAnsi="Arial" w:cs="Arial"/>
        </w:rPr>
        <w:t xml:space="preserve">. 2nd </w:t>
      </w:r>
      <w:proofErr w:type="spellStart"/>
      <w:r w:rsidRPr="00C6575D">
        <w:rPr>
          <w:rFonts w:ascii="Arial" w:hAnsi="Arial" w:cs="Arial"/>
        </w:rPr>
        <w:t>edn</w:t>
      </w:r>
      <w:proofErr w:type="spellEnd"/>
      <w:r w:rsidRPr="00C6575D">
        <w:rPr>
          <w:rFonts w:ascii="Arial" w:hAnsi="Arial" w:cs="Arial"/>
        </w:rPr>
        <w:t>. Washington, DC: United States Institute of Peace Press.</w:t>
      </w:r>
      <w:r w:rsidRPr="00C6575D">
        <w:rPr>
          <w:rFonts w:ascii="Arial" w:hAnsi="Arial" w:cs="Arial"/>
        </w:rPr>
        <w:br/>
      </w:r>
      <w:r w:rsidRPr="00C6575D">
        <w:rPr>
          <w:rStyle w:val="Emphasis"/>
          <w:rFonts w:ascii="Arial" w:eastAsiaTheme="majorEastAsia" w:hAnsi="Arial" w:cs="Arial"/>
        </w:rPr>
        <w:t>(Supports intercultural negotiation styles, conflict management, and cultural misunderstandings.)</w:t>
      </w:r>
    </w:p>
    <w:p w14:paraId="2E9E6492"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Earley, P.C. and Ang, S. (2003) </w:t>
      </w:r>
      <w:r w:rsidRPr="00C6575D">
        <w:rPr>
          <w:rFonts w:ascii="Arial" w:hAnsi="Arial" w:cs="Arial"/>
          <w:i/>
          <w:iCs/>
        </w:rPr>
        <w:t>Cultural Intelligence</w:t>
      </w:r>
      <w:r w:rsidRPr="00C6575D">
        <w:rPr>
          <w:rFonts w:ascii="Arial" w:hAnsi="Arial" w:cs="Arial"/>
        </w:rPr>
        <w:t>. Stanford: Stanford University Press.</w:t>
      </w:r>
    </w:p>
    <w:p w14:paraId="0D850331"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Fang, T. (2012) ‘Yin Yang: A new perspective on culture’, </w:t>
      </w:r>
      <w:r w:rsidRPr="00C6575D">
        <w:rPr>
          <w:rFonts w:ascii="Arial" w:hAnsi="Arial" w:cs="Arial"/>
          <w:i/>
          <w:iCs/>
        </w:rPr>
        <w:t>Management and Organization Review</w:t>
      </w:r>
      <w:r w:rsidRPr="00C6575D">
        <w:rPr>
          <w:rFonts w:ascii="Arial" w:hAnsi="Arial" w:cs="Arial"/>
        </w:rPr>
        <w:t>, 8(1), pp. 25–50.</w:t>
      </w:r>
    </w:p>
    <w:p w14:paraId="42D83396"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Faure, G.O. and Fang, T. (2008) ‘Changing Chinese values’, </w:t>
      </w:r>
      <w:r w:rsidRPr="00C6575D">
        <w:rPr>
          <w:rFonts w:ascii="Arial" w:hAnsi="Arial" w:cs="Arial"/>
          <w:i/>
          <w:iCs/>
        </w:rPr>
        <w:t>International Business Review</w:t>
      </w:r>
      <w:r w:rsidRPr="00C6575D">
        <w:rPr>
          <w:rFonts w:ascii="Arial" w:hAnsi="Arial" w:cs="Arial"/>
        </w:rPr>
        <w:t>, 17(2), pp. 194–207.</w:t>
      </w:r>
    </w:p>
    <w:p w14:paraId="7B3FD196"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Gimenez, J.C. (2006) ‘Embedded business emails’, </w:t>
      </w:r>
      <w:r w:rsidRPr="00C6575D">
        <w:rPr>
          <w:rFonts w:ascii="Arial" w:hAnsi="Arial" w:cs="Arial"/>
          <w:i/>
          <w:iCs/>
        </w:rPr>
        <w:t>English for Specific Purposes</w:t>
      </w:r>
      <w:r w:rsidRPr="00C6575D">
        <w:rPr>
          <w:rFonts w:ascii="Arial" w:hAnsi="Arial" w:cs="Arial"/>
        </w:rPr>
        <w:t>, 25(2), pp. 154–169.</w:t>
      </w:r>
    </w:p>
    <w:p w14:paraId="5A586E5D" w14:textId="77777777" w:rsidR="00587AC4" w:rsidRPr="00C6575D" w:rsidRDefault="00587AC4" w:rsidP="00C6575D">
      <w:pPr>
        <w:pStyle w:val="NormalWeb"/>
        <w:numPr>
          <w:ilvl w:val="0"/>
          <w:numId w:val="3"/>
        </w:numPr>
        <w:spacing w:line="360" w:lineRule="auto"/>
        <w:rPr>
          <w:rFonts w:ascii="Arial" w:hAnsi="Arial" w:cs="Arial"/>
        </w:rPr>
      </w:pPr>
      <w:proofErr w:type="spellStart"/>
      <w:r w:rsidRPr="00C6575D">
        <w:rPr>
          <w:rFonts w:ascii="Arial" w:hAnsi="Arial" w:cs="Arial"/>
        </w:rPr>
        <w:t>Gudykunst</w:t>
      </w:r>
      <w:proofErr w:type="spellEnd"/>
      <w:r w:rsidRPr="00C6575D">
        <w:rPr>
          <w:rFonts w:ascii="Arial" w:hAnsi="Arial" w:cs="Arial"/>
        </w:rPr>
        <w:t xml:space="preserve">, W.B. (2004) </w:t>
      </w:r>
      <w:r w:rsidRPr="00C6575D">
        <w:rPr>
          <w:rStyle w:val="Emphasis"/>
          <w:rFonts w:ascii="Arial" w:eastAsiaTheme="majorEastAsia" w:hAnsi="Arial" w:cs="Arial"/>
        </w:rPr>
        <w:t>Bridging Differences: Effective Intergroup Communication</w:t>
      </w:r>
      <w:r w:rsidRPr="00C6575D">
        <w:rPr>
          <w:rFonts w:ascii="Arial" w:hAnsi="Arial" w:cs="Arial"/>
        </w:rPr>
        <w:t xml:space="preserve">. 4th </w:t>
      </w:r>
      <w:proofErr w:type="spellStart"/>
      <w:r w:rsidRPr="00C6575D">
        <w:rPr>
          <w:rFonts w:ascii="Arial" w:hAnsi="Arial" w:cs="Arial"/>
        </w:rPr>
        <w:t>edn</w:t>
      </w:r>
      <w:proofErr w:type="spellEnd"/>
      <w:r w:rsidRPr="00C6575D">
        <w:rPr>
          <w:rFonts w:ascii="Arial" w:hAnsi="Arial" w:cs="Arial"/>
        </w:rPr>
        <w:t>. Thousand Oaks, CA: SAGE.</w:t>
      </w:r>
      <w:r w:rsidRPr="00C6575D">
        <w:rPr>
          <w:rFonts w:ascii="Arial" w:hAnsi="Arial" w:cs="Arial"/>
        </w:rPr>
        <w:br/>
      </w:r>
      <w:r w:rsidRPr="00C6575D">
        <w:rPr>
          <w:rStyle w:val="Emphasis"/>
          <w:rFonts w:ascii="Arial" w:eastAsiaTheme="majorEastAsia" w:hAnsi="Arial" w:cs="Arial"/>
        </w:rPr>
        <w:t>(Supports analysis of misinterpretation, uncertainty, and intercultural communication barriers.)</w:t>
      </w:r>
    </w:p>
    <w:p w14:paraId="0D8EBDD4"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Hall, E.T. (1976) </w:t>
      </w:r>
      <w:r w:rsidRPr="00C6575D">
        <w:rPr>
          <w:rFonts w:ascii="Arial" w:hAnsi="Arial" w:cs="Arial"/>
          <w:i/>
          <w:iCs/>
        </w:rPr>
        <w:t>Beyond Culture</w:t>
      </w:r>
      <w:r w:rsidRPr="00C6575D">
        <w:rPr>
          <w:rFonts w:ascii="Arial" w:hAnsi="Arial" w:cs="Arial"/>
        </w:rPr>
        <w:t>. New York: Anchor Books.</w:t>
      </w:r>
    </w:p>
    <w:p w14:paraId="381531E7"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Hofstede, G. (2011) </w:t>
      </w:r>
      <w:r w:rsidRPr="00C6575D">
        <w:rPr>
          <w:rFonts w:ascii="Arial" w:hAnsi="Arial" w:cs="Arial"/>
          <w:i/>
          <w:iCs/>
        </w:rPr>
        <w:t>Cultures and Organizations</w:t>
      </w:r>
      <w:r w:rsidRPr="00C6575D">
        <w:rPr>
          <w:rFonts w:ascii="Arial" w:hAnsi="Arial" w:cs="Arial"/>
        </w:rPr>
        <w:t xml:space="preserve">. 3rd </w:t>
      </w:r>
      <w:proofErr w:type="spellStart"/>
      <w:r w:rsidRPr="00C6575D">
        <w:rPr>
          <w:rFonts w:ascii="Arial" w:hAnsi="Arial" w:cs="Arial"/>
        </w:rPr>
        <w:t>edn</w:t>
      </w:r>
      <w:proofErr w:type="spellEnd"/>
      <w:r w:rsidRPr="00C6575D">
        <w:rPr>
          <w:rFonts w:ascii="Arial" w:hAnsi="Arial" w:cs="Arial"/>
        </w:rPr>
        <w:t>. London: McGraw-Hill.</w:t>
      </w:r>
    </w:p>
    <w:p w14:paraId="20283420"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lastRenderedPageBreak/>
        <w:t xml:space="preserve">Hofstede, G., Hofstede, G.J. and Minkov, M. (2010) </w:t>
      </w:r>
      <w:r w:rsidRPr="00C6575D">
        <w:rPr>
          <w:rFonts w:ascii="Arial" w:hAnsi="Arial" w:cs="Arial"/>
          <w:i/>
          <w:iCs/>
        </w:rPr>
        <w:t>Cultures and Organizations</w:t>
      </w:r>
      <w:r w:rsidRPr="00C6575D">
        <w:rPr>
          <w:rFonts w:ascii="Arial" w:hAnsi="Arial" w:cs="Arial"/>
        </w:rPr>
        <w:t>. New York: McGraw-Hill.</w:t>
      </w:r>
    </w:p>
    <w:p w14:paraId="416474DC" w14:textId="77777777" w:rsidR="00587AC4" w:rsidRPr="00C6575D" w:rsidRDefault="00587AC4" w:rsidP="00C6575D">
      <w:pPr>
        <w:pStyle w:val="NormalWeb"/>
        <w:numPr>
          <w:ilvl w:val="0"/>
          <w:numId w:val="3"/>
        </w:numPr>
        <w:spacing w:line="360" w:lineRule="auto"/>
        <w:rPr>
          <w:rFonts w:ascii="Arial" w:hAnsi="Arial" w:cs="Arial"/>
        </w:rPr>
      </w:pPr>
      <w:r w:rsidRPr="00C6575D">
        <w:rPr>
          <w:rFonts w:ascii="Arial" w:hAnsi="Arial" w:cs="Arial"/>
        </w:rPr>
        <w:t xml:space="preserve">House, R.J., Hanges, P.J., Javidan, M., Dorfman, P.W. and Gupta, V. (2004) </w:t>
      </w:r>
      <w:r w:rsidRPr="00C6575D">
        <w:rPr>
          <w:rStyle w:val="Emphasis"/>
          <w:rFonts w:ascii="Arial" w:eastAsiaTheme="majorEastAsia" w:hAnsi="Arial" w:cs="Arial"/>
        </w:rPr>
        <w:t>Culture, Leadership, and Organizations: The GLOBE Study of 62 Societies</w:t>
      </w:r>
      <w:r w:rsidRPr="00C6575D">
        <w:rPr>
          <w:rFonts w:ascii="Arial" w:hAnsi="Arial" w:cs="Arial"/>
        </w:rPr>
        <w:t>. Thousand Oaks, CA: SAGE.</w:t>
      </w:r>
      <w:r w:rsidRPr="00C6575D">
        <w:rPr>
          <w:rFonts w:ascii="Arial" w:hAnsi="Arial" w:cs="Arial"/>
        </w:rPr>
        <w:br/>
      </w:r>
      <w:r w:rsidRPr="00C6575D">
        <w:rPr>
          <w:rStyle w:val="Emphasis"/>
          <w:rFonts w:ascii="Arial" w:eastAsiaTheme="majorEastAsia" w:hAnsi="Arial" w:cs="Arial"/>
        </w:rPr>
        <w:t>(Strengthens discussion of hierarchy, leadership expectations, and power distance in negotiations.)</w:t>
      </w:r>
    </w:p>
    <w:p w14:paraId="45E3EF78" w14:textId="77777777" w:rsidR="00587AC4" w:rsidRPr="00C6575D" w:rsidRDefault="00587AC4" w:rsidP="00C6575D">
      <w:pPr>
        <w:pStyle w:val="ListParagraph"/>
        <w:numPr>
          <w:ilvl w:val="0"/>
          <w:numId w:val="3"/>
        </w:numPr>
        <w:spacing w:line="360" w:lineRule="auto"/>
        <w:rPr>
          <w:rFonts w:ascii="Arial" w:hAnsi="Arial" w:cs="Arial"/>
        </w:rPr>
      </w:pPr>
      <w:proofErr w:type="spellStart"/>
      <w:r w:rsidRPr="00C6575D">
        <w:rPr>
          <w:rFonts w:ascii="Arial" w:hAnsi="Arial" w:cs="Arial"/>
        </w:rPr>
        <w:t>Kankaanranta</w:t>
      </w:r>
      <w:proofErr w:type="spellEnd"/>
      <w:r w:rsidRPr="00C6575D">
        <w:rPr>
          <w:rFonts w:ascii="Arial" w:hAnsi="Arial" w:cs="Arial"/>
        </w:rPr>
        <w:t xml:space="preserve">, A. and </w:t>
      </w:r>
      <w:proofErr w:type="spellStart"/>
      <w:r w:rsidRPr="00C6575D">
        <w:rPr>
          <w:rFonts w:ascii="Arial" w:hAnsi="Arial" w:cs="Arial"/>
        </w:rPr>
        <w:t>Louhiala</w:t>
      </w:r>
      <w:proofErr w:type="spellEnd"/>
      <w:r w:rsidRPr="00C6575D">
        <w:rPr>
          <w:rFonts w:ascii="Arial" w:hAnsi="Arial" w:cs="Arial"/>
        </w:rPr>
        <w:t xml:space="preserve">-Salminen, L. (2013) ‘What language does global business speak?’, </w:t>
      </w:r>
      <w:r w:rsidRPr="00C6575D">
        <w:rPr>
          <w:rFonts w:ascii="Arial" w:hAnsi="Arial" w:cs="Arial"/>
          <w:i/>
          <w:iCs/>
        </w:rPr>
        <w:t>Journal of Business Communication</w:t>
      </w:r>
      <w:r w:rsidRPr="00C6575D">
        <w:rPr>
          <w:rFonts w:ascii="Arial" w:hAnsi="Arial" w:cs="Arial"/>
        </w:rPr>
        <w:t>, 50(4), pp. 331–350.</w:t>
      </w:r>
    </w:p>
    <w:p w14:paraId="54669660" w14:textId="77777777" w:rsidR="00587AC4" w:rsidRPr="00C6575D" w:rsidRDefault="00587AC4" w:rsidP="00C6575D">
      <w:pPr>
        <w:pStyle w:val="NormalWeb"/>
        <w:numPr>
          <w:ilvl w:val="0"/>
          <w:numId w:val="3"/>
        </w:numPr>
        <w:spacing w:line="360" w:lineRule="auto"/>
        <w:rPr>
          <w:rFonts w:ascii="Arial" w:hAnsi="Arial" w:cs="Arial"/>
        </w:rPr>
      </w:pPr>
      <w:r w:rsidRPr="00C6575D">
        <w:rPr>
          <w:rFonts w:ascii="Arial" w:hAnsi="Arial" w:cs="Arial"/>
        </w:rPr>
        <w:t xml:space="preserve">Lewis, R.D. (2010) </w:t>
      </w:r>
      <w:r w:rsidRPr="00C6575D">
        <w:rPr>
          <w:rStyle w:val="Emphasis"/>
          <w:rFonts w:ascii="Arial" w:eastAsiaTheme="majorEastAsia" w:hAnsi="Arial" w:cs="Arial"/>
        </w:rPr>
        <w:t>When Cultures Collide: Leading Across Cultures</w:t>
      </w:r>
      <w:r w:rsidRPr="00C6575D">
        <w:rPr>
          <w:rFonts w:ascii="Arial" w:hAnsi="Arial" w:cs="Arial"/>
        </w:rPr>
        <w:t xml:space="preserve">. 3rd </w:t>
      </w:r>
      <w:proofErr w:type="spellStart"/>
      <w:r w:rsidRPr="00C6575D">
        <w:rPr>
          <w:rFonts w:ascii="Arial" w:hAnsi="Arial" w:cs="Arial"/>
        </w:rPr>
        <w:t>edn</w:t>
      </w:r>
      <w:proofErr w:type="spellEnd"/>
      <w:r w:rsidRPr="00C6575D">
        <w:rPr>
          <w:rFonts w:ascii="Arial" w:hAnsi="Arial" w:cs="Arial"/>
        </w:rPr>
        <w:t>. London: Nicholas Brealey Publishing.</w:t>
      </w:r>
      <w:r w:rsidRPr="00C6575D">
        <w:rPr>
          <w:rFonts w:ascii="Arial" w:hAnsi="Arial" w:cs="Arial"/>
        </w:rPr>
        <w:br/>
      </w:r>
      <w:r w:rsidRPr="00C6575D">
        <w:rPr>
          <w:rStyle w:val="Emphasis"/>
          <w:rFonts w:ascii="Arial" w:eastAsiaTheme="majorEastAsia" w:hAnsi="Arial" w:cs="Arial"/>
        </w:rPr>
        <w:t>(Directly aligns with Western–Asian communication contrasts and negotiation behaviour.)</w:t>
      </w:r>
    </w:p>
    <w:p w14:paraId="7EA3BB29" w14:textId="77777777" w:rsidR="00587AC4" w:rsidRPr="00C6575D" w:rsidRDefault="00587AC4" w:rsidP="00C6575D">
      <w:pPr>
        <w:pStyle w:val="ListParagraph"/>
        <w:numPr>
          <w:ilvl w:val="0"/>
          <w:numId w:val="3"/>
        </w:numPr>
        <w:spacing w:line="360" w:lineRule="auto"/>
        <w:rPr>
          <w:rFonts w:ascii="Arial" w:hAnsi="Arial" w:cs="Arial"/>
        </w:rPr>
      </w:pPr>
      <w:proofErr w:type="spellStart"/>
      <w:r w:rsidRPr="00C6575D">
        <w:rPr>
          <w:rFonts w:ascii="Arial" w:hAnsi="Arial" w:cs="Arial"/>
        </w:rPr>
        <w:t>Salacuse</w:t>
      </w:r>
      <w:proofErr w:type="spellEnd"/>
      <w:r w:rsidRPr="00C6575D">
        <w:rPr>
          <w:rFonts w:ascii="Arial" w:hAnsi="Arial" w:cs="Arial"/>
        </w:rPr>
        <w:t xml:space="preserve">, J.W. (2017) </w:t>
      </w:r>
      <w:r w:rsidRPr="00C6575D">
        <w:rPr>
          <w:rFonts w:ascii="Arial" w:hAnsi="Arial" w:cs="Arial"/>
          <w:i/>
          <w:iCs/>
        </w:rPr>
        <w:t>The Global Negotiator</w:t>
      </w:r>
      <w:r w:rsidRPr="00C6575D">
        <w:rPr>
          <w:rFonts w:ascii="Arial" w:hAnsi="Arial" w:cs="Arial"/>
        </w:rPr>
        <w:t>. London: Palgrave Macmillan.</w:t>
      </w:r>
    </w:p>
    <w:p w14:paraId="6A500F60"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Samovar, L.A., Porter, R.E. and McDaniel, E.R. (2017) </w:t>
      </w:r>
      <w:r w:rsidRPr="00C6575D">
        <w:rPr>
          <w:rFonts w:ascii="Arial" w:hAnsi="Arial" w:cs="Arial"/>
          <w:i/>
          <w:iCs/>
        </w:rPr>
        <w:t>Communication Between Cultures</w:t>
      </w:r>
      <w:r w:rsidRPr="00C6575D">
        <w:rPr>
          <w:rFonts w:ascii="Arial" w:hAnsi="Arial" w:cs="Arial"/>
        </w:rPr>
        <w:t xml:space="preserve">. 9th </w:t>
      </w:r>
      <w:proofErr w:type="spellStart"/>
      <w:r w:rsidRPr="00C6575D">
        <w:rPr>
          <w:rFonts w:ascii="Arial" w:hAnsi="Arial" w:cs="Arial"/>
        </w:rPr>
        <w:t>edn</w:t>
      </w:r>
      <w:proofErr w:type="spellEnd"/>
      <w:r w:rsidRPr="00C6575D">
        <w:rPr>
          <w:rFonts w:ascii="Arial" w:hAnsi="Arial" w:cs="Arial"/>
        </w:rPr>
        <w:t>. Boston: Cengage.</w:t>
      </w:r>
    </w:p>
    <w:p w14:paraId="1C6ABCE7" w14:textId="77777777" w:rsidR="00587AC4" w:rsidRPr="00C6575D" w:rsidRDefault="00587AC4" w:rsidP="00C6575D">
      <w:pPr>
        <w:pStyle w:val="NormalWeb"/>
        <w:numPr>
          <w:ilvl w:val="0"/>
          <w:numId w:val="3"/>
        </w:numPr>
        <w:spacing w:line="360" w:lineRule="auto"/>
        <w:rPr>
          <w:rFonts w:ascii="Arial" w:hAnsi="Arial" w:cs="Arial"/>
        </w:rPr>
      </w:pPr>
      <w:r w:rsidRPr="00C6575D">
        <w:rPr>
          <w:rFonts w:ascii="Arial" w:hAnsi="Arial" w:cs="Arial"/>
        </w:rPr>
        <w:t xml:space="preserve">Thomas, D.C. and Ang, S. (2008) </w:t>
      </w:r>
      <w:r w:rsidRPr="00C6575D">
        <w:rPr>
          <w:rStyle w:val="Emphasis"/>
          <w:rFonts w:ascii="Arial" w:eastAsiaTheme="majorEastAsia" w:hAnsi="Arial" w:cs="Arial"/>
        </w:rPr>
        <w:t>Cultural Intelligence: Living and Working Globally</w:t>
      </w:r>
      <w:r w:rsidRPr="00C6575D">
        <w:rPr>
          <w:rFonts w:ascii="Arial" w:hAnsi="Arial" w:cs="Arial"/>
        </w:rPr>
        <w:t>. Stanford, CA: Stanford University Press.</w:t>
      </w:r>
    </w:p>
    <w:p w14:paraId="45DDBA64" w14:textId="77777777" w:rsidR="00587AC4" w:rsidRPr="00C6575D" w:rsidRDefault="00587AC4" w:rsidP="00C6575D">
      <w:pPr>
        <w:pStyle w:val="ListParagraph"/>
        <w:numPr>
          <w:ilvl w:val="0"/>
          <w:numId w:val="3"/>
        </w:numPr>
        <w:spacing w:line="360" w:lineRule="auto"/>
        <w:rPr>
          <w:rFonts w:ascii="Arial" w:hAnsi="Arial" w:cs="Arial"/>
        </w:rPr>
      </w:pPr>
      <w:r w:rsidRPr="00C6575D">
        <w:rPr>
          <w:rFonts w:ascii="Arial" w:hAnsi="Arial" w:cs="Arial"/>
        </w:rPr>
        <w:t xml:space="preserve">Trompenaars, F. and Hampden-Turner, C. (2012) </w:t>
      </w:r>
      <w:r w:rsidRPr="00C6575D">
        <w:rPr>
          <w:rFonts w:ascii="Arial" w:hAnsi="Arial" w:cs="Arial"/>
          <w:i/>
          <w:iCs/>
        </w:rPr>
        <w:t>Riding the Waves of Culture</w:t>
      </w:r>
      <w:r w:rsidRPr="00C6575D">
        <w:rPr>
          <w:rFonts w:ascii="Arial" w:hAnsi="Arial" w:cs="Arial"/>
        </w:rPr>
        <w:t xml:space="preserve">. 3rd </w:t>
      </w:r>
      <w:proofErr w:type="spellStart"/>
      <w:r w:rsidRPr="00C6575D">
        <w:rPr>
          <w:rFonts w:ascii="Arial" w:hAnsi="Arial" w:cs="Arial"/>
        </w:rPr>
        <w:t>edn</w:t>
      </w:r>
      <w:proofErr w:type="spellEnd"/>
      <w:r w:rsidRPr="00C6575D">
        <w:rPr>
          <w:rFonts w:ascii="Arial" w:hAnsi="Arial" w:cs="Arial"/>
        </w:rPr>
        <w:t>. London: Nicholas Brealey.</w:t>
      </w:r>
    </w:p>
    <w:sectPr w:rsidR="00587AC4" w:rsidRPr="00C65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40E3E"/>
    <w:multiLevelType w:val="hybridMultilevel"/>
    <w:tmpl w:val="A410A30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3DB7124"/>
    <w:multiLevelType w:val="hybridMultilevel"/>
    <w:tmpl w:val="935CC592"/>
    <w:lvl w:ilvl="0" w:tplc="E72ACB2E">
      <w:start w:val="1"/>
      <w:numFmt w:val="bullet"/>
      <w:lvlText w:val="•"/>
      <w:lvlJc w:val="left"/>
      <w:pPr>
        <w:tabs>
          <w:tab w:val="num" w:pos="720"/>
        </w:tabs>
        <w:ind w:left="720" w:hanging="360"/>
      </w:pPr>
      <w:rPr>
        <w:rFonts w:ascii="Arial" w:hAnsi="Arial" w:hint="default"/>
      </w:rPr>
    </w:lvl>
    <w:lvl w:ilvl="1" w:tplc="26921D3E" w:tentative="1">
      <w:start w:val="1"/>
      <w:numFmt w:val="bullet"/>
      <w:lvlText w:val="•"/>
      <w:lvlJc w:val="left"/>
      <w:pPr>
        <w:tabs>
          <w:tab w:val="num" w:pos="1440"/>
        </w:tabs>
        <w:ind w:left="1440" w:hanging="360"/>
      </w:pPr>
      <w:rPr>
        <w:rFonts w:ascii="Arial" w:hAnsi="Arial" w:hint="default"/>
      </w:rPr>
    </w:lvl>
    <w:lvl w:ilvl="2" w:tplc="18BAE2D2" w:tentative="1">
      <w:start w:val="1"/>
      <w:numFmt w:val="bullet"/>
      <w:lvlText w:val="•"/>
      <w:lvlJc w:val="left"/>
      <w:pPr>
        <w:tabs>
          <w:tab w:val="num" w:pos="2160"/>
        </w:tabs>
        <w:ind w:left="2160" w:hanging="360"/>
      </w:pPr>
      <w:rPr>
        <w:rFonts w:ascii="Arial" w:hAnsi="Arial" w:hint="default"/>
      </w:rPr>
    </w:lvl>
    <w:lvl w:ilvl="3" w:tplc="2B36FF8C" w:tentative="1">
      <w:start w:val="1"/>
      <w:numFmt w:val="bullet"/>
      <w:lvlText w:val="•"/>
      <w:lvlJc w:val="left"/>
      <w:pPr>
        <w:tabs>
          <w:tab w:val="num" w:pos="2880"/>
        </w:tabs>
        <w:ind w:left="2880" w:hanging="360"/>
      </w:pPr>
      <w:rPr>
        <w:rFonts w:ascii="Arial" w:hAnsi="Arial" w:hint="default"/>
      </w:rPr>
    </w:lvl>
    <w:lvl w:ilvl="4" w:tplc="3998D322" w:tentative="1">
      <w:start w:val="1"/>
      <w:numFmt w:val="bullet"/>
      <w:lvlText w:val="•"/>
      <w:lvlJc w:val="left"/>
      <w:pPr>
        <w:tabs>
          <w:tab w:val="num" w:pos="3600"/>
        </w:tabs>
        <w:ind w:left="3600" w:hanging="360"/>
      </w:pPr>
      <w:rPr>
        <w:rFonts w:ascii="Arial" w:hAnsi="Arial" w:hint="default"/>
      </w:rPr>
    </w:lvl>
    <w:lvl w:ilvl="5" w:tplc="7DBE5A9A" w:tentative="1">
      <w:start w:val="1"/>
      <w:numFmt w:val="bullet"/>
      <w:lvlText w:val="•"/>
      <w:lvlJc w:val="left"/>
      <w:pPr>
        <w:tabs>
          <w:tab w:val="num" w:pos="4320"/>
        </w:tabs>
        <w:ind w:left="4320" w:hanging="360"/>
      </w:pPr>
      <w:rPr>
        <w:rFonts w:ascii="Arial" w:hAnsi="Arial" w:hint="default"/>
      </w:rPr>
    </w:lvl>
    <w:lvl w:ilvl="6" w:tplc="5C4095C0" w:tentative="1">
      <w:start w:val="1"/>
      <w:numFmt w:val="bullet"/>
      <w:lvlText w:val="•"/>
      <w:lvlJc w:val="left"/>
      <w:pPr>
        <w:tabs>
          <w:tab w:val="num" w:pos="5040"/>
        </w:tabs>
        <w:ind w:left="5040" w:hanging="360"/>
      </w:pPr>
      <w:rPr>
        <w:rFonts w:ascii="Arial" w:hAnsi="Arial" w:hint="default"/>
      </w:rPr>
    </w:lvl>
    <w:lvl w:ilvl="7" w:tplc="90266B80" w:tentative="1">
      <w:start w:val="1"/>
      <w:numFmt w:val="bullet"/>
      <w:lvlText w:val="•"/>
      <w:lvlJc w:val="left"/>
      <w:pPr>
        <w:tabs>
          <w:tab w:val="num" w:pos="5760"/>
        </w:tabs>
        <w:ind w:left="5760" w:hanging="360"/>
      </w:pPr>
      <w:rPr>
        <w:rFonts w:ascii="Arial" w:hAnsi="Arial" w:hint="default"/>
      </w:rPr>
    </w:lvl>
    <w:lvl w:ilvl="8" w:tplc="83E800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BF95E40"/>
    <w:multiLevelType w:val="hybridMultilevel"/>
    <w:tmpl w:val="2C2AB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154FD"/>
    <w:multiLevelType w:val="hybridMultilevel"/>
    <w:tmpl w:val="6BBEE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518410">
    <w:abstractNumId w:val="2"/>
  </w:num>
  <w:num w:numId="2" w16cid:durableId="518157711">
    <w:abstractNumId w:val="0"/>
  </w:num>
  <w:num w:numId="3" w16cid:durableId="727722846">
    <w:abstractNumId w:val="3"/>
  </w:num>
  <w:num w:numId="4" w16cid:durableId="121505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B78"/>
    <w:rsid w:val="00043790"/>
    <w:rsid w:val="002C15EE"/>
    <w:rsid w:val="002F03CA"/>
    <w:rsid w:val="003157B3"/>
    <w:rsid w:val="00587AC4"/>
    <w:rsid w:val="00782B78"/>
    <w:rsid w:val="00BE7FC1"/>
    <w:rsid w:val="00C00679"/>
    <w:rsid w:val="00C6575D"/>
    <w:rsid w:val="00D66D15"/>
    <w:rsid w:val="00E61E6B"/>
    <w:rsid w:val="00E74252"/>
    <w:rsid w:val="00EA3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ADA45"/>
  <w15:chartTrackingRefBased/>
  <w15:docId w15:val="{F506353E-3684-403C-831A-D8C6DC0AC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B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2B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2B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2B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B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B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B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B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B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B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2B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2B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B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B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B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B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B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B78"/>
    <w:rPr>
      <w:rFonts w:eastAsiaTheme="majorEastAsia" w:cstheme="majorBidi"/>
      <w:color w:val="272727" w:themeColor="text1" w:themeTint="D8"/>
    </w:rPr>
  </w:style>
  <w:style w:type="paragraph" w:styleId="Title">
    <w:name w:val="Title"/>
    <w:basedOn w:val="Normal"/>
    <w:next w:val="Normal"/>
    <w:link w:val="TitleChar"/>
    <w:uiPriority w:val="10"/>
    <w:qFormat/>
    <w:rsid w:val="00782B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B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B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B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B78"/>
    <w:pPr>
      <w:spacing w:before="160"/>
      <w:jc w:val="center"/>
    </w:pPr>
    <w:rPr>
      <w:i/>
      <w:iCs/>
      <w:color w:val="404040" w:themeColor="text1" w:themeTint="BF"/>
    </w:rPr>
  </w:style>
  <w:style w:type="character" w:customStyle="1" w:styleId="QuoteChar">
    <w:name w:val="Quote Char"/>
    <w:basedOn w:val="DefaultParagraphFont"/>
    <w:link w:val="Quote"/>
    <w:uiPriority w:val="29"/>
    <w:rsid w:val="00782B78"/>
    <w:rPr>
      <w:i/>
      <w:iCs/>
      <w:color w:val="404040" w:themeColor="text1" w:themeTint="BF"/>
    </w:rPr>
  </w:style>
  <w:style w:type="paragraph" w:styleId="ListParagraph">
    <w:name w:val="List Paragraph"/>
    <w:basedOn w:val="Normal"/>
    <w:uiPriority w:val="34"/>
    <w:qFormat/>
    <w:rsid w:val="00782B78"/>
    <w:pPr>
      <w:ind w:left="720"/>
      <w:contextualSpacing/>
    </w:pPr>
  </w:style>
  <w:style w:type="character" w:styleId="IntenseEmphasis">
    <w:name w:val="Intense Emphasis"/>
    <w:basedOn w:val="DefaultParagraphFont"/>
    <w:uiPriority w:val="21"/>
    <w:qFormat/>
    <w:rsid w:val="00782B78"/>
    <w:rPr>
      <w:i/>
      <w:iCs/>
      <w:color w:val="0F4761" w:themeColor="accent1" w:themeShade="BF"/>
    </w:rPr>
  </w:style>
  <w:style w:type="paragraph" w:styleId="IntenseQuote">
    <w:name w:val="Intense Quote"/>
    <w:basedOn w:val="Normal"/>
    <w:next w:val="Normal"/>
    <w:link w:val="IntenseQuoteChar"/>
    <w:uiPriority w:val="30"/>
    <w:qFormat/>
    <w:rsid w:val="00782B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B78"/>
    <w:rPr>
      <w:i/>
      <w:iCs/>
      <w:color w:val="0F4761" w:themeColor="accent1" w:themeShade="BF"/>
    </w:rPr>
  </w:style>
  <w:style w:type="character" w:styleId="IntenseReference">
    <w:name w:val="Intense Reference"/>
    <w:basedOn w:val="DefaultParagraphFont"/>
    <w:uiPriority w:val="32"/>
    <w:qFormat/>
    <w:rsid w:val="00782B78"/>
    <w:rPr>
      <w:b/>
      <w:bCs/>
      <w:smallCaps/>
      <w:color w:val="0F4761" w:themeColor="accent1" w:themeShade="BF"/>
      <w:spacing w:val="5"/>
    </w:rPr>
  </w:style>
  <w:style w:type="paragraph" w:styleId="NormalWeb">
    <w:name w:val="Normal (Web)"/>
    <w:basedOn w:val="Normal"/>
    <w:uiPriority w:val="99"/>
    <w:semiHidden/>
    <w:unhideWhenUsed/>
    <w:rsid w:val="00C657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6575D"/>
    <w:rPr>
      <w:i/>
      <w:iCs/>
    </w:rPr>
  </w:style>
  <w:style w:type="paragraph" w:styleId="TOCHeading">
    <w:name w:val="TOC Heading"/>
    <w:basedOn w:val="Heading1"/>
    <w:next w:val="Normal"/>
    <w:uiPriority w:val="39"/>
    <w:unhideWhenUsed/>
    <w:qFormat/>
    <w:rsid w:val="00587AC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87AC4"/>
    <w:pPr>
      <w:spacing w:after="100"/>
    </w:pPr>
  </w:style>
  <w:style w:type="character" w:styleId="Hyperlink">
    <w:name w:val="Hyperlink"/>
    <w:basedOn w:val="DefaultParagraphFont"/>
    <w:uiPriority w:val="99"/>
    <w:unhideWhenUsed/>
    <w:rsid w:val="00587AC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2862</Words>
  <Characters>16318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Piron Dragos Marian</dc:creator>
  <cp:keywords/>
  <dc:description/>
  <cp:lastModifiedBy>Piron Dragos Marian</cp:lastModifiedBy>
  <cp:revision>7</cp:revision>
  <dcterms:created xsi:type="dcterms:W3CDTF">2025-12-19T12:45:00Z</dcterms:created>
  <dcterms:modified xsi:type="dcterms:W3CDTF">2025-12-19T16:42:00Z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1091eaf3-4a2b-48e4-b1f2-c56dbdf85b5d</vt:lpwstr>
  </property>
</Properties>
</file>