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C589A" w14:textId="01D28140" w:rsidR="005950B4" w:rsidRPr="00B94530" w:rsidRDefault="005950B4" w:rsidP="006D3531">
      <w:pPr>
        <w:jc w:val="center"/>
        <w:rPr>
          <w:rFonts w:ascii="Times New Roman" w:hAnsi="Times New Roman" w:cs="Times New Roman"/>
          <w:b/>
          <w:bCs/>
          <w:sz w:val="32"/>
          <w:szCs w:val="32"/>
        </w:rPr>
      </w:pPr>
      <w:r w:rsidRPr="00B94530">
        <w:rPr>
          <w:rFonts w:ascii="Times New Roman" w:hAnsi="Times New Roman" w:cs="Times New Roman"/>
          <w:b/>
          <w:bCs/>
          <w:sz w:val="32"/>
          <w:szCs w:val="32"/>
        </w:rPr>
        <w:t>Tissue Viability Nursing: Strategies for Enhanced Wound Care</w:t>
      </w:r>
    </w:p>
    <w:p w14:paraId="55CDB2BF" w14:textId="77777777" w:rsidR="005950B4" w:rsidRPr="00B94530" w:rsidRDefault="005950B4" w:rsidP="006D3531">
      <w:pPr>
        <w:jc w:val="both"/>
        <w:rPr>
          <w:rFonts w:ascii="Times New Roman" w:hAnsi="Times New Roman" w:cs="Times New Roman"/>
          <w:b/>
          <w:bCs/>
          <w:sz w:val="24"/>
          <w:szCs w:val="24"/>
        </w:rPr>
      </w:pPr>
    </w:p>
    <w:p w14:paraId="47C0EA8E" w14:textId="1B7FCB43" w:rsidR="0099220F" w:rsidRPr="00B94530" w:rsidRDefault="0099220F" w:rsidP="006D3531">
      <w:pPr>
        <w:jc w:val="both"/>
        <w:rPr>
          <w:rFonts w:ascii="Times New Roman" w:hAnsi="Times New Roman" w:cs="Times New Roman"/>
          <w:b/>
          <w:bCs/>
          <w:sz w:val="24"/>
          <w:szCs w:val="24"/>
        </w:rPr>
      </w:pPr>
      <w:r w:rsidRPr="00B94530">
        <w:rPr>
          <w:rFonts w:ascii="Times New Roman" w:hAnsi="Times New Roman" w:cs="Times New Roman"/>
          <w:b/>
          <w:bCs/>
          <w:sz w:val="24"/>
          <w:szCs w:val="24"/>
        </w:rPr>
        <w:t>Introduction</w:t>
      </w:r>
    </w:p>
    <w:p w14:paraId="0C5AE350" w14:textId="03609400" w:rsidR="0099220F" w:rsidRPr="00B94530" w:rsidRDefault="009801F1" w:rsidP="006D3531">
      <w:pPr>
        <w:jc w:val="both"/>
        <w:rPr>
          <w:rFonts w:ascii="Times New Roman" w:hAnsi="Times New Roman" w:cs="Times New Roman"/>
          <w:sz w:val="24"/>
          <w:szCs w:val="24"/>
        </w:rPr>
      </w:pPr>
      <w:r w:rsidRPr="00B94530">
        <w:rPr>
          <w:rFonts w:ascii="Times New Roman" w:hAnsi="Times New Roman" w:cs="Times New Roman"/>
          <w:sz w:val="24"/>
          <w:szCs w:val="24"/>
        </w:rPr>
        <w:t xml:space="preserve">Tissue viability nursing is a crucial component of contemporary healthcare, playing a significant role in patient care and directly impacting the outcomes of their recovery. Dedicated to the management of wounds and the maintenance of healthy skin, this specialised discipline is crucial in both acute and chronic healthcare environments. </w:t>
      </w:r>
      <w:r w:rsidR="000E01C1" w:rsidRPr="00B94530">
        <w:rPr>
          <w:rFonts w:ascii="Times New Roman" w:hAnsi="Times New Roman" w:cs="Times New Roman"/>
          <w:sz w:val="24"/>
          <w:szCs w:val="24"/>
        </w:rPr>
        <w:t xml:space="preserve">Tissue viability, encompassing measures to prevent and treat various types of wounds like pressure ulcers, diabetic foot ulcers, and other complicated wounds, plays a crucial role in promoting the well-being and rehabilitation of patients. </w:t>
      </w:r>
      <w:r w:rsidRPr="00B94530">
        <w:rPr>
          <w:rFonts w:ascii="Times New Roman" w:hAnsi="Times New Roman" w:cs="Times New Roman"/>
          <w:sz w:val="24"/>
          <w:szCs w:val="24"/>
        </w:rPr>
        <w:t>The objective of this essay is to explore the essential tactics and factors involved in tissue viability nursing. This essay aims to offer a complete overview of the function and responsibilities of tissue viability nurses by examining several areas such as assessment procedures, modern wound care technology, pain management, patient education, and ethical considerations.</w:t>
      </w:r>
    </w:p>
    <w:p w14:paraId="2D242BB2" w14:textId="7DD85109" w:rsidR="0065296A" w:rsidRPr="00B94530" w:rsidRDefault="00BB4BD7" w:rsidP="0065296A">
      <w:pPr>
        <w:jc w:val="both"/>
        <w:rPr>
          <w:rFonts w:ascii="Times New Roman" w:hAnsi="Times New Roman" w:cs="Times New Roman"/>
          <w:sz w:val="24"/>
          <w:szCs w:val="24"/>
        </w:rPr>
      </w:pPr>
      <w:r w:rsidRPr="00B94530">
        <w:rPr>
          <w:rFonts w:ascii="Times New Roman" w:hAnsi="Times New Roman" w:cs="Times New Roman"/>
          <w:sz w:val="24"/>
          <w:szCs w:val="24"/>
        </w:rPr>
        <w:t xml:space="preserve">Tissue </w:t>
      </w:r>
      <w:r w:rsidR="00477566" w:rsidRPr="00B94530">
        <w:rPr>
          <w:rFonts w:ascii="Times New Roman" w:hAnsi="Times New Roman" w:cs="Times New Roman"/>
          <w:sz w:val="24"/>
          <w:szCs w:val="24"/>
        </w:rPr>
        <w:t>v</w:t>
      </w:r>
      <w:r w:rsidRPr="00B94530">
        <w:rPr>
          <w:rFonts w:ascii="Times New Roman" w:hAnsi="Times New Roman" w:cs="Times New Roman"/>
          <w:sz w:val="24"/>
          <w:szCs w:val="24"/>
        </w:rPr>
        <w:t xml:space="preserve">iability refers to the comprehensive management and preservation of the health of skin and soft tissues, specifically in relation to the healing and prevention of wounds Smith (2022). </w:t>
      </w:r>
      <w:r w:rsidR="00F84B40" w:rsidRPr="00B94530">
        <w:rPr>
          <w:rFonts w:ascii="Times New Roman" w:hAnsi="Times New Roman" w:cs="Times New Roman"/>
          <w:sz w:val="24"/>
          <w:szCs w:val="24"/>
        </w:rPr>
        <w:t>This field of nursing is essential because plays a pivotal role in the overall well-being and recovery of patients as well as addresses a variety of wounds ranging from sudden injuries to persistent ulcers, each necessitating distinct care approaches</w:t>
      </w:r>
      <w:r w:rsidR="00CF0488" w:rsidRPr="00B94530">
        <w:rPr>
          <w:rFonts w:ascii="Times New Roman" w:hAnsi="Times New Roman" w:cs="Times New Roman"/>
          <w:sz w:val="24"/>
          <w:szCs w:val="24"/>
        </w:rPr>
        <w:t xml:space="preserve">. </w:t>
      </w:r>
      <w:r w:rsidR="001D64C1" w:rsidRPr="00B94530">
        <w:rPr>
          <w:rFonts w:ascii="Times New Roman" w:hAnsi="Times New Roman" w:cs="Times New Roman"/>
          <w:sz w:val="24"/>
          <w:szCs w:val="24"/>
        </w:rPr>
        <w:t xml:space="preserve">An in-depth understanding of tissue viability is essential for developing effective therapeutic approaches. </w:t>
      </w:r>
      <w:r w:rsidR="00CF0488" w:rsidRPr="00B94530">
        <w:rPr>
          <w:rFonts w:ascii="Times New Roman" w:hAnsi="Times New Roman" w:cs="Times New Roman"/>
          <w:sz w:val="24"/>
          <w:szCs w:val="24"/>
        </w:rPr>
        <w:t xml:space="preserve">The process entails the identification of different types of wounds, comprehension of the healing mechanism, and recognition of factors that can hinder or promote healing. </w:t>
      </w:r>
      <w:r w:rsidR="0065296A" w:rsidRPr="00B94530">
        <w:rPr>
          <w:rFonts w:ascii="Times New Roman" w:hAnsi="Times New Roman" w:cs="Times New Roman"/>
          <w:sz w:val="24"/>
          <w:szCs w:val="24"/>
        </w:rPr>
        <w:t xml:space="preserve">This emphasises the significance of keeping oneself updated with the most recent advancements in wound care </w:t>
      </w:r>
      <w:proofErr w:type="gramStart"/>
      <w:r w:rsidR="0065296A" w:rsidRPr="00B94530">
        <w:rPr>
          <w:rFonts w:ascii="Times New Roman" w:hAnsi="Times New Roman" w:cs="Times New Roman"/>
          <w:sz w:val="24"/>
          <w:szCs w:val="24"/>
        </w:rPr>
        <w:t>in order to</w:t>
      </w:r>
      <w:proofErr w:type="gramEnd"/>
      <w:r w:rsidR="0065296A" w:rsidRPr="00B94530">
        <w:rPr>
          <w:rFonts w:ascii="Times New Roman" w:hAnsi="Times New Roman" w:cs="Times New Roman"/>
          <w:sz w:val="24"/>
          <w:szCs w:val="24"/>
        </w:rPr>
        <w:t xml:space="preserve"> guarantee the best possible results for patients </w:t>
      </w:r>
      <w:r w:rsidR="00A53934" w:rsidRPr="00B94530">
        <w:rPr>
          <w:rFonts w:ascii="Times New Roman" w:hAnsi="Times New Roman" w:cs="Times New Roman"/>
          <w:sz w:val="24"/>
          <w:szCs w:val="24"/>
        </w:rPr>
        <w:t>(</w:t>
      </w:r>
      <w:r w:rsidR="0065296A" w:rsidRPr="00B94530">
        <w:rPr>
          <w:rFonts w:ascii="Times New Roman" w:hAnsi="Times New Roman" w:cs="Times New Roman"/>
          <w:sz w:val="24"/>
          <w:szCs w:val="24"/>
        </w:rPr>
        <w:t>Labib and Winters</w:t>
      </w:r>
      <w:r w:rsidR="00A53934" w:rsidRPr="00B94530">
        <w:rPr>
          <w:rFonts w:ascii="Times New Roman" w:hAnsi="Times New Roman" w:cs="Times New Roman"/>
          <w:sz w:val="24"/>
          <w:szCs w:val="24"/>
        </w:rPr>
        <w:t xml:space="preserve">, </w:t>
      </w:r>
      <w:r w:rsidR="0065296A" w:rsidRPr="00B94530">
        <w:rPr>
          <w:rFonts w:ascii="Times New Roman" w:hAnsi="Times New Roman" w:cs="Times New Roman"/>
          <w:sz w:val="24"/>
          <w:szCs w:val="24"/>
        </w:rPr>
        <w:t>2020).</w:t>
      </w:r>
    </w:p>
    <w:p w14:paraId="7CBCBC03" w14:textId="3929E1E8" w:rsidR="00090B0B" w:rsidRPr="00B94530" w:rsidRDefault="00090B0B" w:rsidP="00D51BDC">
      <w:pPr>
        <w:spacing w:before="240"/>
        <w:jc w:val="both"/>
        <w:rPr>
          <w:rFonts w:ascii="Times New Roman" w:hAnsi="Times New Roman" w:cs="Times New Roman"/>
          <w:sz w:val="24"/>
          <w:szCs w:val="24"/>
        </w:rPr>
      </w:pPr>
      <w:r w:rsidRPr="00B94530">
        <w:rPr>
          <w:rFonts w:ascii="Times New Roman" w:hAnsi="Times New Roman" w:cs="Times New Roman"/>
          <w:sz w:val="24"/>
          <w:szCs w:val="24"/>
        </w:rPr>
        <w:t>Tissue viability nurses play a critical role in the healthcare system, serving as specialists in wound management and skin integrity</w:t>
      </w:r>
      <w:r w:rsidR="00CB24D3" w:rsidRPr="00B94530">
        <w:rPr>
          <w:rFonts w:ascii="Times New Roman" w:hAnsi="Times New Roman" w:cs="Times New Roman"/>
          <w:sz w:val="24"/>
          <w:szCs w:val="24"/>
        </w:rPr>
        <w:t xml:space="preserve">, </w:t>
      </w:r>
      <w:r w:rsidR="00901BA5" w:rsidRPr="00B94530">
        <w:rPr>
          <w:rFonts w:ascii="Times New Roman" w:hAnsi="Times New Roman" w:cs="Times New Roman"/>
          <w:sz w:val="24"/>
          <w:szCs w:val="24"/>
        </w:rPr>
        <w:t>because</w:t>
      </w:r>
      <w:r w:rsidR="00213793" w:rsidRPr="00B94530">
        <w:rPr>
          <w:rFonts w:ascii="Times New Roman" w:hAnsi="Times New Roman" w:cs="Times New Roman"/>
          <w:sz w:val="24"/>
          <w:szCs w:val="24"/>
        </w:rPr>
        <w:t xml:space="preserve"> t</w:t>
      </w:r>
      <w:r w:rsidRPr="00B94530">
        <w:rPr>
          <w:rFonts w:ascii="Times New Roman" w:hAnsi="Times New Roman" w:cs="Times New Roman"/>
          <w:sz w:val="24"/>
          <w:szCs w:val="24"/>
        </w:rPr>
        <w:t>heir primary responsibility includes the assessment, planning, and implementation of wound care strategies</w:t>
      </w:r>
      <w:r w:rsidR="006B0B35" w:rsidRPr="00B94530">
        <w:rPr>
          <w:rFonts w:ascii="Times New Roman" w:hAnsi="Times New Roman" w:cs="Times New Roman"/>
          <w:sz w:val="24"/>
          <w:szCs w:val="24"/>
        </w:rPr>
        <w:t xml:space="preserve"> (Smith, 2023).</w:t>
      </w:r>
      <w:r w:rsidR="00213793" w:rsidRPr="00B94530">
        <w:rPr>
          <w:rFonts w:ascii="Times New Roman" w:hAnsi="Times New Roman" w:cs="Times New Roman"/>
          <w:sz w:val="24"/>
          <w:szCs w:val="24"/>
        </w:rPr>
        <w:t xml:space="preserve"> Furthermore, tissue viability nurses collaborate with multidisciplinary healthcare teams to develop comprehensive care plans tailored to each patient's unique needs.</w:t>
      </w:r>
      <w:r w:rsidRPr="00B94530">
        <w:rPr>
          <w:rFonts w:ascii="Times New Roman" w:hAnsi="Times New Roman" w:cs="Times New Roman"/>
          <w:sz w:val="24"/>
          <w:szCs w:val="24"/>
        </w:rPr>
        <w:t xml:space="preserve"> They also play a key role in prevention, particularly in high-risk patients, and in providing education to other healthcare professionals, patients, and caregivers</w:t>
      </w:r>
      <w:r w:rsidR="00D51BDC" w:rsidRPr="00B94530">
        <w:rPr>
          <w:rFonts w:ascii="Times New Roman" w:hAnsi="Times New Roman" w:cs="Times New Roman"/>
          <w:sz w:val="24"/>
          <w:szCs w:val="24"/>
        </w:rPr>
        <w:t xml:space="preserve"> </w:t>
      </w:r>
      <w:r w:rsidR="00E24F57" w:rsidRPr="00B94530">
        <w:rPr>
          <w:rFonts w:ascii="Times New Roman" w:hAnsi="Times New Roman" w:cs="Times New Roman"/>
          <w:sz w:val="24"/>
          <w:szCs w:val="24"/>
        </w:rPr>
        <w:t>(</w:t>
      </w:r>
      <w:r w:rsidR="00D51BDC" w:rsidRPr="00B94530">
        <w:rPr>
          <w:rFonts w:ascii="Times New Roman" w:hAnsi="Times New Roman" w:cs="Times New Roman"/>
          <w:sz w:val="24"/>
          <w:szCs w:val="24"/>
        </w:rPr>
        <w:t>Stephens</w:t>
      </w:r>
      <w:r w:rsidR="00E24F57" w:rsidRPr="00B94530">
        <w:rPr>
          <w:rFonts w:ascii="Times New Roman" w:hAnsi="Times New Roman" w:cs="Times New Roman"/>
          <w:sz w:val="24"/>
          <w:szCs w:val="24"/>
        </w:rPr>
        <w:t>,</w:t>
      </w:r>
      <w:r w:rsidR="00D51BDC" w:rsidRPr="00B94530">
        <w:rPr>
          <w:rFonts w:ascii="Times New Roman" w:hAnsi="Times New Roman" w:cs="Times New Roman"/>
          <w:sz w:val="24"/>
          <w:szCs w:val="24"/>
        </w:rPr>
        <w:t>2023</w:t>
      </w:r>
      <w:r w:rsidR="00E24F57" w:rsidRPr="00B94530">
        <w:rPr>
          <w:rFonts w:ascii="Times New Roman" w:hAnsi="Times New Roman" w:cs="Times New Roman"/>
          <w:sz w:val="24"/>
          <w:szCs w:val="24"/>
        </w:rPr>
        <w:t>)</w:t>
      </w:r>
      <w:r w:rsidRPr="00B94530">
        <w:rPr>
          <w:rFonts w:ascii="Times New Roman" w:hAnsi="Times New Roman" w:cs="Times New Roman"/>
          <w:sz w:val="24"/>
          <w:szCs w:val="24"/>
        </w:rPr>
        <w:t xml:space="preserve">. According to Ousey et al (2021), tissue viability nurses are integral in multidisciplinary teams, offering expertise that contributes significantly to patient care plans. </w:t>
      </w:r>
    </w:p>
    <w:p w14:paraId="545BB9ED" w14:textId="77777777" w:rsidR="00090B0B" w:rsidRPr="00B94530" w:rsidRDefault="00090B0B" w:rsidP="00CC07AC">
      <w:pPr>
        <w:jc w:val="both"/>
        <w:rPr>
          <w:rFonts w:ascii="Times New Roman" w:hAnsi="Times New Roman" w:cs="Times New Roman"/>
          <w:b/>
          <w:bCs/>
          <w:sz w:val="24"/>
          <w:szCs w:val="24"/>
        </w:rPr>
      </w:pPr>
      <w:r w:rsidRPr="00B94530">
        <w:rPr>
          <w:rFonts w:ascii="Times New Roman" w:hAnsi="Times New Roman" w:cs="Times New Roman"/>
          <w:b/>
          <w:bCs/>
          <w:sz w:val="24"/>
          <w:szCs w:val="24"/>
        </w:rPr>
        <w:t>Assessment Strategies in Tissue Viability</w:t>
      </w:r>
    </w:p>
    <w:p w14:paraId="463F2202" w14:textId="28A1523C" w:rsidR="00090B0B" w:rsidRPr="00B94530" w:rsidRDefault="00090B0B" w:rsidP="006D3531">
      <w:pPr>
        <w:jc w:val="both"/>
        <w:rPr>
          <w:rFonts w:ascii="Times New Roman" w:hAnsi="Times New Roman" w:cs="Times New Roman"/>
          <w:sz w:val="24"/>
          <w:szCs w:val="24"/>
        </w:rPr>
      </w:pPr>
      <w:r w:rsidRPr="00B94530">
        <w:rPr>
          <w:rFonts w:ascii="Times New Roman" w:hAnsi="Times New Roman" w:cs="Times New Roman"/>
          <w:sz w:val="24"/>
          <w:szCs w:val="24"/>
        </w:rPr>
        <w:t>Effective wound assessment is pivotal in tissue viability nursing, requiring a comprehensive approach to evaluate wound type, size, and healing trajectory. The use of standardi</w:t>
      </w:r>
      <w:r w:rsidR="000A3A2E" w:rsidRPr="00B94530">
        <w:rPr>
          <w:rFonts w:ascii="Times New Roman" w:hAnsi="Times New Roman" w:cs="Times New Roman"/>
          <w:sz w:val="24"/>
          <w:szCs w:val="24"/>
        </w:rPr>
        <w:t>s</w:t>
      </w:r>
      <w:r w:rsidRPr="00B94530">
        <w:rPr>
          <w:rFonts w:ascii="Times New Roman" w:hAnsi="Times New Roman" w:cs="Times New Roman"/>
          <w:sz w:val="24"/>
          <w:szCs w:val="24"/>
        </w:rPr>
        <w:t>ed assessment tools, such as the Pressure Ulcer Scale for Healing (PUSH) and the Bates-Jensen Wound Assessment Tool (BWAT), has been advocated to enhance the accuracy of wound evaluation</w:t>
      </w:r>
      <w:r w:rsidR="0014223D" w:rsidRPr="00B94530">
        <w:rPr>
          <w:rFonts w:ascii="Times New Roman" w:hAnsi="Times New Roman" w:cs="Times New Roman"/>
          <w:sz w:val="24"/>
          <w:szCs w:val="24"/>
        </w:rPr>
        <w:t xml:space="preserve"> Macedo (2021)</w:t>
      </w:r>
      <w:r w:rsidRPr="00B94530">
        <w:rPr>
          <w:rFonts w:ascii="Times New Roman" w:hAnsi="Times New Roman" w:cs="Times New Roman"/>
          <w:sz w:val="24"/>
          <w:szCs w:val="24"/>
        </w:rPr>
        <w:t>. For instance, Flanagan (20</w:t>
      </w:r>
      <w:r w:rsidR="00C35598" w:rsidRPr="00B94530">
        <w:rPr>
          <w:rFonts w:ascii="Times New Roman" w:hAnsi="Times New Roman" w:cs="Times New Roman"/>
          <w:sz w:val="24"/>
          <w:szCs w:val="24"/>
        </w:rPr>
        <w:t>03</w:t>
      </w:r>
      <w:r w:rsidRPr="00B94530">
        <w:rPr>
          <w:rFonts w:ascii="Times New Roman" w:hAnsi="Times New Roman" w:cs="Times New Roman"/>
          <w:sz w:val="24"/>
          <w:szCs w:val="24"/>
        </w:rPr>
        <w:t>) discusses the significance of holistic wound assessment, emphasizing the need for consistent and detailed documentation to inform treatment strategies.</w:t>
      </w:r>
    </w:p>
    <w:p w14:paraId="2009F8AB" w14:textId="5D5B3E16" w:rsidR="00C35598" w:rsidRPr="00B94530" w:rsidRDefault="00090B0B" w:rsidP="00E9488F">
      <w:pPr>
        <w:jc w:val="both"/>
        <w:rPr>
          <w:rFonts w:ascii="Times New Roman" w:hAnsi="Times New Roman" w:cs="Times New Roman"/>
          <w:sz w:val="24"/>
          <w:szCs w:val="24"/>
        </w:rPr>
      </w:pPr>
      <w:r w:rsidRPr="00B94530">
        <w:rPr>
          <w:rFonts w:ascii="Times New Roman" w:hAnsi="Times New Roman" w:cs="Times New Roman"/>
          <w:sz w:val="24"/>
          <w:szCs w:val="24"/>
        </w:rPr>
        <w:lastRenderedPageBreak/>
        <w:t xml:space="preserve">The advancement in wound dressings and technologies has significantly transformed tissue viability nursing. Modern dressings such as hydrocolloids, foam dressings, and alginate dressings offer various benefits in managing exudate and promoting a moist wound environment. Moreover, innovative approaches like Negative Pressure Wound Therapy (NPWT) have shown efficacy in treating complex wounds. </w:t>
      </w:r>
      <w:r w:rsidR="00C35598" w:rsidRPr="00B94530">
        <w:rPr>
          <w:rFonts w:ascii="Times New Roman" w:hAnsi="Times New Roman" w:cs="Times New Roman"/>
          <w:sz w:val="24"/>
          <w:szCs w:val="24"/>
        </w:rPr>
        <w:t>Ovington</w:t>
      </w:r>
      <w:r w:rsidRPr="00B94530">
        <w:rPr>
          <w:rFonts w:ascii="Times New Roman" w:hAnsi="Times New Roman" w:cs="Times New Roman"/>
          <w:sz w:val="24"/>
          <w:szCs w:val="24"/>
        </w:rPr>
        <w:t xml:space="preserve"> (20</w:t>
      </w:r>
      <w:r w:rsidR="00C35598" w:rsidRPr="00B94530">
        <w:rPr>
          <w:rFonts w:ascii="Times New Roman" w:hAnsi="Times New Roman" w:cs="Times New Roman"/>
          <w:sz w:val="24"/>
          <w:szCs w:val="24"/>
        </w:rPr>
        <w:t>0</w:t>
      </w:r>
      <w:r w:rsidRPr="00B94530">
        <w:rPr>
          <w:rFonts w:ascii="Times New Roman" w:hAnsi="Times New Roman" w:cs="Times New Roman"/>
          <w:sz w:val="24"/>
          <w:szCs w:val="24"/>
        </w:rPr>
        <w:t>7) highlights the evolution of wound care dressings and the clinical implications of these advancements in enhancing healing outcome</w:t>
      </w:r>
      <w:r w:rsidR="00CC07AC" w:rsidRPr="00B94530">
        <w:rPr>
          <w:rFonts w:ascii="Times New Roman" w:hAnsi="Times New Roman" w:cs="Times New Roman"/>
          <w:sz w:val="24"/>
          <w:szCs w:val="24"/>
        </w:rPr>
        <w:t>.</w:t>
      </w:r>
    </w:p>
    <w:p w14:paraId="53A338BA" w14:textId="5C1427E8" w:rsidR="00C35598" w:rsidRPr="00B94530" w:rsidRDefault="00C35598" w:rsidP="006D3531">
      <w:pPr>
        <w:jc w:val="both"/>
        <w:rPr>
          <w:rFonts w:ascii="Times New Roman" w:hAnsi="Times New Roman" w:cs="Times New Roman"/>
          <w:sz w:val="24"/>
          <w:szCs w:val="24"/>
        </w:rPr>
      </w:pPr>
      <w:r w:rsidRPr="00B94530">
        <w:rPr>
          <w:rFonts w:ascii="Times New Roman" w:hAnsi="Times New Roman" w:cs="Times New Roman"/>
          <w:sz w:val="24"/>
          <w:szCs w:val="24"/>
        </w:rPr>
        <w:t>Pain management is a critical aspect of tissue viability nursing, significantly impacting patient comfort and recovery. Tissue viability nurses must assess and manage pain effectively, which can be a challenging aspect of wound care, especially in chronic wounds</w:t>
      </w:r>
      <w:r w:rsidRPr="00B94530">
        <w:rPr>
          <w:rFonts w:ascii="Times New Roman" w:hAnsi="Times New Roman" w:cs="Times New Roman"/>
          <w:b/>
          <w:bCs/>
          <w:sz w:val="24"/>
          <w:szCs w:val="24"/>
        </w:rPr>
        <w:t>.</w:t>
      </w:r>
      <w:r w:rsidRPr="00B94530">
        <w:rPr>
          <w:rFonts w:ascii="Times New Roman" w:hAnsi="Times New Roman" w:cs="Times New Roman"/>
          <w:sz w:val="24"/>
          <w:szCs w:val="24"/>
        </w:rPr>
        <w:t xml:space="preserve"> A balanced approach involving both pharmacological and non-pharmacological interventions is essential. It is very important to deploy effective pain assessment tools and individualized pain management strategies in enhancing the quality of life for patients with wounds (Bechert </w:t>
      </w:r>
      <w:r w:rsidR="00B06A6C" w:rsidRPr="00B94530">
        <w:rPr>
          <w:rFonts w:ascii="Times New Roman" w:hAnsi="Times New Roman" w:cs="Times New Roman"/>
          <w:sz w:val="24"/>
          <w:szCs w:val="24"/>
        </w:rPr>
        <w:t>and</w:t>
      </w:r>
      <w:r w:rsidRPr="00B94530">
        <w:rPr>
          <w:rFonts w:ascii="Times New Roman" w:hAnsi="Times New Roman" w:cs="Times New Roman"/>
          <w:sz w:val="24"/>
          <w:szCs w:val="24"/>
        </w:rPr>
        <w:t xml:space="preserve"> Abraham, 2009)</w:t>
      </w:r>
      <w:r w:rsidR="00AD0F75" w:rsidRPr="00B94530">
        <w:rPr>
          <w:rFonts w:ascii="Times New Roman" w:hAnsi="Times New Roman" w:cs="Times New Roman"/>
          <w:sz w:val="24"/>
          <w:szCs w:val="24"/>
        </w:rPr>
        <w:t>.</w:t>
      </w:r>
    </w:p>
    <w:p w14:paraId="2855E5E5" w14:textId="77777777" w:rsidR="00832326" w:rsidRPr="00B94530" w:rsidRDefault="00832326" w:rsidP="00832326">
      <w:pPr>
        <w:jc w:val="both"/>
        <w:rPr>
          <w:rFonts w:ascii="Times New Roman" w:hAnsi="Times New Roman" w:cs="Times New Roman"/>
          <w:sz w:val="24"/>
          <w:szCs w:val="24"/>
        </w:rPr>
      </w:pPr>
    </w:p>
    <w:p w14:paraId="72FFFE28" w14:textId="68874458" w:rsidR="00AF22F1" w:rsidRPr="00B94530" w:rsidRDefault="00AF22F1" w:rsidP="00832326">
      <w:pPr>
        <w:jc w:val="both"/>
        <w:rPr>
          <w:rFonts w:ascii="Times New Roman" w:hAnsi="Times New Roman" w:cs="Times New Roman"/>
          <w:b/>
          <w:bCs/>
          <w:sz w:val="24"/>
          <w:szCs w:val="24"/>
        </w:rPr>
      </w:pPr>
      <w:r w:rsidRPr="00B94530">
        <w:rPr>
          <w:rFonts w:ascii="Times New Roman" w:hAnsi="Times New Roman" w:cs="Times New Roman"/>
          <w:b/>
          <w:bCs/>
          <w:sz w:val="24"/>
          <w:szCs w:val="24"/>
        </w:rPr>
        <w:t>Patient Education and Self-care in Tissue Viability Nursing</w:t>
      </w:r>
    </w:p>
    <w:p w14:paraId="16D9867C" w14:textId="4C66D770" w:rsidR="00AF22F1" w:rsidRPr="00B94530" w:rsidRDefault="00AF22F1" w:rsidP="006D3531">
      <w:pPr>
        <w:jc w:val="both"/>
        <w:rPr>
          <w:rFonts w:ascii="Times New Roman" w:hAnsi="Times New Roman" w:cs="Times New Roman"/>
          <w:sz w:val="24"/>
          <w:szCs w:val="24"/>
        </w:rPr>
      </w:pPr>
      <w:r w:rsidRPr="00B94530">
        <w:rPr>
          <w:rFonts w:ascii="Times New Roman" w:hAnsi="Times New Roman" w:cs="Times New Roman"/>
          <w:sz w:val="24"/>
          <w:szCs w:val="24"/>
        </w:rPr>
        <w:t>Patient education and engagement in self-care are essential components in the management of wounds, particularly in chronic conditions</w:t>
      </w:r>
      <w:r w:rsidR="00606703" w:rsidRPr="00B94530">
        <w:rPr>
          <w:rFonts w:ascii="Times New Roman" w:hAnsi="Times New Roman" w:cs="Times New Roman"/>
          <w:sz w:val="24"/>
          <w:szCs w:val="24"/>
        </w:rPr>
        <w:t xml:space="preserve"> Huang (2023)</w:t>
      </w:r>
      <w:r w:rsidRPr="00B94530">
        <w:rPr>
          <w:rFonts w:ascii="Times New Roman" w:hAnsi="Times New Roman" w:cs="Times New Roman"/>
          <w:sz w:val="24"/>
          <w:szCs w:val="24"/>
        </w:rPr>
        <w:t>. Tissue viability nurses play a pivotal role in educating patients and their families about proper wound care practices. This includes guidance on dressing changes, recognizing signs of infection, and lifestyle modifications to support wound healing. Empowering patients through education not only helps in the effective management of their condition but also fosters a sense of control, positively influencing their overall well-being and adherence to treatment plans (</w:t>
      </w:r>
      <w:proofErr w:type="spellStart"/>
      <w:r w:rsidRPr="00B94530">
        <w:rPr>
          <w:rFonts w:ascii="Times New Roman" w:hAnsi="Times New Roman" w:cs="Times New Roman"/>
          <w:sz w:val="24"/>
          <w:szCs w:val="24"/>
        </w:rPr>
        <w:t>Žulec</w:t>
      </w:r>
      <w:proofErr w:type="spellEnd"/>
      <w:r w:rsidRPr="00B94530">
        <w:rPr>
          <w:rFonts w:ascii="Times New Roman" w:hAnsi="Times New Roman" w:cs="Times New Roman"/>
          <w:sz w:val="24"/>
          <w:szCs w:val="24"/>
        </w:rPr>
        <w:t xml:space="preserve"> et al, 2022)</w:t>
      </w:r>
      <w:r w:rsidR="00AD0F75" w:rsidRPr="00B94530">
        <w:rPr>
          <w:rFonts w:ascii="Times New Roman" w:hAnsi="Times New Roman" w:cs="Times New Roman"/>
          <w:sz w:val="24"/>
          <w:szCs w:val="24"/>
        </w:rPr>
        <w:t>.</w:t>
      </w:r>
    </w:p>
    <w:p w14:paraId="4CEE7603" w14:textId="73665902" w:rsidR="00AF22F1" w:rsidRPr="00B94530" w:rsidRDefault="00AF22F1" w:rsidP="001E297C">
      <w:pPr>
        <w:jc w:val="both"/>
        <w:rPr>
          <w:rFonts w:ascii="Times New Roman" w:hAnsi="Times New Roman" w:cs="Times New Roman"/>
          <w:sz w:val="24"/>
          <w:szCs w:val="24"/>
        </w:rPr>
      </w:pPr>
      <w:r w:rsidRPr="00B94530">
        <w:rPr>
          <w:rFonts w:ascii="Times New Roman" w:hAnsi="Times New Roman" w:cs="Times New Roman"/>
          <w:sz w:val="24"/>
          <w:szCs w:val="24"/>
        </w:rPr>
        <w:t xml:space="preserve"> </w:t>
      </w:r>
      <w:r w:rsidRPr="00B94530">
        <w:rPr>
          <w:rFonts w:ascii="Times New Roman" w:hAnsi="Times New Roman" w:cs="Times New Roman"/>
          <w:b/>
          <w:bCs/>
          <w:sz w:val="24"/>
          <w:szCs w:val="24"/>
        </w:rPr>
        <w:t>Ethical Considerations in Tissue Viability Nursing</w:t>
      </w:r>
    </w:p>
    <w:p w14:paraId="630F8DF8" w14:textId="7E851162" w:rsidR="00AF22F1" w:rsidRPr="00B94530" w:rsidRDefault="0089637E" w:rsidP="005A3096">
      <w:pPr>
        <w:spacing w:before="240"/>
        <w:jc w:val="both"/>
        <w:rPr>
          <w:rFonts w:ascii="Times New Roman" w:hAnsi="Times New Roman" w:cs="Times New Roman"/>
          <w:sz w:val="24"/>
          <w:szCs w:val="24"/>
        </w:rPr>
      </w:pPr>
      <w:r w:rsidRPr="00B94530">
        <w:rPr>
          <w:rFonts w:ascii="Times New Roman" w:hAnsi="Times New Roman" w:cs="Times New Roman"/>
          <w:sz w:val="24"/>
          <w:szCs w:val="24"/>
        </w:rPr>
        <w:t>Ethical considerations in tissue viability nursing are crucial, encompassing respect for patient autonomy, informed consent, and equitable care.</w:t>
      </w:r>
      <w:r w:rsidR="00CC07AC" w:rsidRPr="00B94530">
        <w:rPr>
          <w:rFonts w:ascii="Times New Roman" w:hAnsi="Times New Roman" w:cs="Times New Roman"/>
          <w:sz w:val="24"/>
          <w:szCs w:val="24"/>
        </w:rPr>
        <w:t xml:space="preserve"> </w:t>
      </w:r>
      <w:r w:rsidRPr="00B94530">
        <w:rPr>
          <w:rFonts w:ascii="Times New Roman" w:hAnsi="Times New Roman" w:cs="Times New Roman"/>
          <w:sz w:val="24"/>
          <w:szCs w:val="24"/>
        </w:rPr>
        <w:t xml:space="preserve">The challenges nurses face in respecting patients' autonomy and not causing harm, especially in the context of tissue viability nursing, are highlighted in this study. Insights are provided into how nurses navigate these ethical dilemmas in their daily practice, particularly in the management of chronic wounds and tissue viability </w:t>
      </w:r>
      <w:r w:rsidR="005A3096" w:rsidRPr="00B94530">
        <w:rPr>
          <w:rFonts w:ascii="Times New Roman" w:hAnsi="Times New Roman" w:cs="Times New Roman"/>
          <w:sz w:val="24"/>
          <w:szCs w:val="24"/>
        </w:rPr>
        <w:t>(Jørgensen and Kollerup, (2021).</w:t>
      </w:r>
      <w:r w:rsidR="003B152C" w:rsidRPr="00B94530">
        <w:rPr>
          <w:rFonts w:ascii="Times New Roman" w:hAnsi="Times New Roman" w:cs="Times New Roman"/>
          <w:sz w:val="24"/>
          <w:szCs w:val="24"/>
        </w:rPr>
        <w:t xml:space="preserve"> </w:t>
      </w:r>
      <w:r w:rsidR="00AF22F1" w:rsidRPr="00B94530">
        <w:rPr>
          <w:rFonts w:ascii="Times New Roman" w:hAnsi="Times New Roman" w:cs="Times New Roman"/>
          <w:sz w:val="24"/>
          <w:szCs w:val="24"/>
        </w:rPr>
        <w:t>Nurses must navigate these challenges by balancing clinical decisions with ethical considerations, focusing on patient capacity,</w:t>
      </w:r>
      <w:r w:rsidR="001D0E24" w:rsidRPr="00B94530">
        <w:rPr>
          <w:rFonts w:ascii="Times New Roman" w:hAnsi="Times New Roman" w:cs="Times New Roman"/>
          <w:sz w:val="24"/>
          <w:szCs w:val="24"/>
        </w:rPr>
        <w:t xml:space="preserve"> </w:t>
      </w:r>
      <w:r w:rsidR="00AF22F1" w:rsidRPr="00B94530">
        <w:rPr>
          <w:rFonts w:ascii="Times New Roman" w:hAnsi="Times New Roman" w:cs="Times New Roman"/>
          <w:sz w:val="24"/>
          <w:szCs w:val="24"/>
        </w:rPr>
        <w:t>choice, and quality of life. Maintaining dignity and respect for patients, while considering the practical implications of wound care strategies, is paramount in this field</w:t>
      </w:r>
      <w:r w:rsidR="001D0E24" w:rsidRPr="00B94530">
        <w:rPr>
          <w:rFonts w:ascii="Times New Roman" w:hAnsi="Times New Roman" w:cs="Times New Roman"/>
          <w:sz w:val="24"/>
          <w:szCs w:val="24"/>
        </w:rPr>
        <w:t xml:space="preserve"> (Fife, 2009)</w:t>
      </w:r>
      <w:r w:rsidR="00AD0F75" w:rsidRPr="00B94530">
        <w:rPr>
          <w:rFonts w:ascii="Times New Roman" w:hAnsi="Times New Roman" w:cs="Times New Roman"/>
          <w:sz w:val="24"/>
          <w:szCs w:val="24"/>
        </w:rPr>
        <w:t>.</w:t>
      </w:r>
    </w:p>
    <w:p w14:paraId="4833F557" w14:textId="348CDAD9" w:rsidR="00AF22F1" w:rsidRPr="00B94530" w:rsidRDefault="00AF22F1" w:rsidP="006E68CB">
      <w:pPr>
        <w:jc w:val="both"/>
        <w:rPr>
          <w:rFonts w:ascii="Times New Roman" w:hAnsi="Times New Roman" w:cs="Times New Roman"/>
          <w:b/>
          <w:bCs/>
          <w:sz w:val="24"/>
          <w:szCs w:val="24"/>
        </w:rPr>
      </w:pPr>
      <w:r w:rsidRPr="00B94530">
        <w:rPr>
          <w:rFonts w:ascii="Times New Roman" w:hAnsi="Times New Roman" w:cs="Times New Roman"/>
          <w:b/>
          <w:bCs/>
          <w:sz w:val="24"/>
          <w:szCs w:val="24"/>
        </w:rPr>
        <w:t>The Importance of Interdisciplinary Collaboration in Tissue Viability</w:t>
      </w:r>
    </w:p>
    <w:p w14:paraId="45797383" w14:textId="153324C5" w:rsidR="00AF22F1" w:rsidRPr="00B94530" w:rsidRDefault="00AF22F1" w:rsidP="006D3531">
      <w:pPr>
        <w:jc w:val="both"/>
        <w:rPr>
          <w:rFonts w:ascii="Times New Roman" w:hAnsi="Times New Roman" w:cs="Times New Roman"/>
          <w:sz w:val="24"/>
          <w:szCs w:val="24"/>
        </w:rPr>
      </w:pPr>
      <w:r w:rsidRPr="00B94530">
        <w:rPr>
          <w:rFonts w:ascii="Times New Roman" w:hAnsi="Times New Roman" w:cs="Times New Roman"/>
          <w:sz w:val="24"/>
          <w:szCs w:val="24"/>
        </w:rPr>
        <w:t>Interdisciplinary collaboration is fundamental in tissue viability nursing, involving a team approach among various healthcare professionals. This collaboration includes nurses, physicians, dietitians, physiotherapists, and other specialists, each contributing their expertise to the patient's care plan. Such teamwork is crucial in developing comprehensive treatment strategies and addressing the holistic needs of patients with wounds. The integration of different perspectives and skills is key for addressing complex patient needs, leading to better outcomes and enhanced quality of care</w:t>
      </w:r>
      <w:r w:rsidR="001D0E24" w:rsidRPr="00B94530">
        <w:rPr>
          <w:rFonts w:ascii="Times New Roman" w:hAnsi="Times New Roman" w:cs="Times New Roman"/>
          <w:sz w:val="24"/>
          <w:szCs w:val="24"/>
        </w:rPr>
        <w:t xml:space="preserve"> (Mahmoudi </w:t>
      </w:r>
      <w:r w:rsidR="00B06A6C" w:rsidRPr="00B94530">
        <w:rPr>
          <w:rFonts w:ascii="Times New Roman" w:hAnsi="Times New Roman" w:cs="Times New Roman"/>
          <w:sz w:val="24"/>
          <w:szCs w:val="24"/>
        </w:rPr>
        <w:t>and</w:t>
      </w:r>
      <w:r w:rsidR="001D0E24" w:rsidRPr="00B94530">
        <w:rPr>
          <w:rFonts w:ascii="Times New Roman" w:hAnsi="Times New Roman" w:cs="Times New Roman"/>
          <w:sz w:val="24"/>
          <w:szCs w:val="24"/>
        </w:rPr>
        <w:t xml:space="preserve"> Gould, 2020)</w:t>
      </w:r>
      <w:r w:rsidR="00AD0F75" w:rsidRPr="00B94530">
        <w:rPr>
          <w:rFonts w:ascii="Times New Roman" w:hAnsi="Times New Roman" w:cs="Times New Roman"/>
          <w:sz w:val="24"/>
          <w:szCs w:val="24"/>
        </w:rPr>
        <w:t>.</w:t>
      </w:r>
    </w:p>
    <w:p w14:paraId="741341BB" w14:textId="3EE125F3" w:rsidR="001D0E24" w:rsidRPr="00B94530" w:rsidRDefault="001D0E24" w:rsidP="006E68CB">
      <w:pPr>
        <w:jc w:val="both"/>
        <w:rPr>
          <w:rFonts w:ascii="Times New Roman" w:hAnsi="Times New Roman" w:cs="Times New Roman"/>
          <w:b/>
          <w:bCs/>
          <w:sz w:val="24"/>
          <w:szCs w:val="24"/>
        </w:rPr>
      </w:pPr>
      <w:r w:rsidRPr="00B94530">
        <w:rPr>
          <w:rFonts w:ascii="Times New Roman" w:hAnsi="Times New Roman" w:cs="Times New Roman"/>
          <w:b/>
          <w:bCs/>
          <w:sz w:val="24"/>
          <w:szCs w:val="24"/>
        </w:rPr>
        <w:lastRenderedPageBreak/>
        <w:t>Challenges and Solutions in Tissue Viability Nursing</w:t>
      </w:r>
    </w:p>
    <w:p w14:paraId="6E172EB7" w14:textId="00CC97C7" w:rsidR="001D0E24" w:rsidRPr="00B94530" w:rsidRDefault="001D0E24" w:rsidP="006D3531">
      <w:pPr>
        <w:jc w:val="both"/>
        <w:rPr>
          <w:rFonts w:ascii="Times New Roman" w:hAnsi="Times New Roman" w:cs="Times New Roman"/>
          <w:sz w:val="24"/>
          <w:szCs w:val="24"/>
        </w:rPr>
      </w:pPr>
      <w:r w:rsidRPr="00B94530">
        <w:rPr>
          <w:rFonts w:ascii="Times New Roman" w:hAnsi="Times New Roman" w:cs="Times New Roman"/>
          <w:sz w:val="24"/>
          <w:szCs w:val="24"/>
        </w:rPr>
        <w:t>Tissue viability nursing is faced with several challenges, including the management of complex wounds, the variability in patient responses to treatment, and the need for ongoing education in the latest wound care techniques.</w:t>
      </w:r>
      <w:r w:rsidR="006B2CAF">
        <w:rPr>
          <w:rFonts w:ascii="Times New Roman" w:hAnsi="Times New Roman" w:cs="Times New Roman"/>
          <w:sz w:val="24"/>
          <w:szCs w:val="24"/>
        </w:rPr>
        <w:t xml:space="preserve"> </w:t>
      </w:r>
      <w:r w:rsidRPr="00B94530">
        <w:rPr>
          <w:rFonts w:ascii="Times New Roman" w:hAnsi="Times New Roman" w:cs="Times New Roman"/>
          <w:sz w:val="24"/>
          <w:szCs w:val="24"/>
        </w:rPr>
        <w:t>Innovative solutions, such as telemedicine for wound care consultations and continuous professional development programs for nurses, are being explored to address these challenges. Embracing these solutions helps in maintaining high standards of care and adapting to the changing landscape of healthcare needs (Falcone et al, 2021)</w:t>
      </w:r>
      <w:r w:rsidR="00AD0F75" w:rsidRPr="00B94530">
        <w:rPr>
          <w:rFonts w:ascii="Times New Roman" w:hAnsi="Times New Roman" w:cs="Times New Roman"/>
          <w:sz w:val="24"/>
          <w:szCs w:val="24"/>
        </w:rPr>
        <w:t>.</w:t>
      </w:r>
    </w:p>
    <w:p w14:paraId="7B7A1AF4" w14:textId="7F2076A4" w:rsidR="001D0E24" w:rsidRPr="00B94530" w:rsidRDefault="001D0E24" w:rsidP="00C22EFB">
      <w:pPr>
        <w:jc w:val="both"/>
        <w:rPr>
          <w:rFonts w:ascii="Times New Roman" w:hAnsi="Times New Roman" w:cs="Times New Roman"/>
          <w:b/>
          <w:bCs/>
          <w:sz w:val="24"/>
          <w:szCs w:val="24"/>
        </w:rPr>
      </w:pPr>
      <w:r w:rsidRPr="00B94530">
        <w:rPr>
          <w:rFonts w:ascii="Times New Roman" w:hAnsi="Times New Roman" w:cs="Times New Roman"/>
          <w:b/>
          <w:bCs/>
          <w:sz w:val="24"/>
          <w:szCs w:val="24"/>
        </w:rPr>
        <w:t>Future Perspectives in Tissue Viability Nursing</w:t>
      </w:r>
    </w:p>
    <w:p w14:paraId="67B9CCE8" w14:textId="569BDED5" w:rsidR="001D0E24" w:rsidRPr="00B94530" w:rsidRDefault="001D0E24" w:rsidP="006D3531">
      <w:pPr>
        <w:jc w:val="both"/>
        <w:rPr>
          <w:rFonts w:ascii="Times New Roman" w:hAnsi="Times New Roman" w:cs="Times New Roman"/>
          <w:sz w:val="24"/>
          <w:szCs w:val="24"/>
        </w:rPr>
      </w:pPr>
      <w:r w:rsidRPr="00B94530">
        <w:rPr>
          <w:rFonts w:ascii="Times New Roman" w:hAnsi="Times New Roman" w:cs="Times New Roman"/>
          <w:sz w:val="24"/>
          <w:szCs w:val="24"/>
        </w:rPr>
        <w:t>Looking towards the future, tissue viability nursing is poised to see significant advancements in both technology and treatment methodologies. The integration of more advanced digital tools, such as AI-driven wound analysis systems, and the exploration of new therapeutic approaches, like stem cell therapy for wound healing, are on the horizon. Furthermore, the increasing emphasis on personalized medicine is likely to shape how wound care is approached, tailoring treatments to individual patient needs and genetic profiles. The ongoing research and development in this field promise to enhance patient care, reduce healing times, and improve overall outcomes in wound management.</w:t>
      </w:r>
    </w:p>
    <w:p w14:paraId="7A015D81" w14:textId="77777777" w:rsidR="001D0E24" w:rsidRPr="00B94530" w:rsidRDefault="001D0E24" w:rsidP="006D3531">
      <w:pPr>
        <w:jc w:val="both"/>
        <w:rPr>
          <w:rFonts w:ascii="Times New Roman" w:hAnsi="Times New Roman" w:cs="Times New Roman"/>
          <w:sz w:val="24"/>
          <w:szCs w:val="24"/>
        </w:rPr>
      </w:pPr>
    </w:p>
    <w:p w14:paraId="0C21705F" w14:textId="544C64F5" w:rsidR="001D0E24" w:rsidRPr="00B94530" w:rsidRDefault="001D0E24" w:rsidP="006D3531">
      <w:pPr>
        <w:jc w:val="both"/>
        <w:rPr>
          <w:rFonts w:ascii="Times New Roman" w:hAnsi="Times New Roman" w:cs="Times New Roman"/>
          <w:b/>
          <w:bCs/>
          <w:sz w:val="24"/>
          <w:szCs w:val="24"/>
        </w:rPr>
      </w:pPr>
      <w:r w:rsidRPr="00B94530">
        <w:rPr>
          <w:rFonts w:ascii="Times New Roman" w:hAnsi="Times New Roman" w:cs="Times New Roman"/>
          <w:b/>
          <w:bCs/>
          <w:sz w:val="24"/>
          <w:szCs w:val="24"/>
        </w:rPr>
        <w:t>Conclusion</w:t>
      </w:r>
    </w:p>
    <w:p w14:paraId="4AA78596" w14:textId="293215DF" w:rsidR="001D0E24" w:rsidRPr="00B94530" w:rsidRDefault="001D0E24" w:rsidP="006D3531">
      <w:pPr>
        <w:jc w:val="both"/>
        <w:rPr>
          <w:rFonts w:ascii="Times New Roman" w:hAnsi="Times New Roman" w:cs="Times New Roman"/>
          <w:sz w:val="24"/>
          <w:szCs w:val="24"/>
        </w:rPr>
      </w:pPr>
      <w:r w:rsidRPr="00B94530">
        <w:rPr>
          <w:rFonts w:ascii="Times New Roman" w:hAnsi="Times New Roman" w:cs="Times New Roman"/>
          <w:sz w:val="24"/>
          <w:szCs w:val="24"/>
        </w:rPr>
        <w:t>In conclusion, tissue viability nursing is a dynamic and vital field within healthcare, directly impacting patient outcomes and quality of life. This essay has explored various aspects of tissue viability nursing, from assessment and treatment strategies to ethical considerations and the importance of interdisciplinary collaboration. As the field continues to evolve, the role of the tissue viability nurse will become increasingly important in meeting the challenges of wound care and embracing the advancements in treatment techniques. The commitment to ongoing education, patient-</w:t>
      </w:r>
      <w:r w:rsidR="00866319" w:rsidRPr="00B94530">
        <w:rPr>
          <w:rFonts w:ascii="Times New Roman" w:hAnsi="Times New Roman" w:cs="Times New Roman"/>
          <w:sz w:val="24"/>
          <w:szCs w:val="24"/>
        </w:rPr>
        <w:t>centred</w:t>
      </w:r>
      <w:r w:rsidRPr="00B94530">
        <w:rPr>
          <w:rFonts w:ascii="Times New Roman" w:hAnsi="Times New Roman" w:cs="Times New Roman"/>
          <w:sz w:val="24"/>
          <w:szCs w:val="24"/>
        </w:rPr>
        <w:t xml:space="preserve"> care, and ethical practice will remain fundamental in delivering high-quality wound care.</w:t>
      </w:r>
    </w:p>
    <w:p w14:paraId="6E8B2F27" w14:textId="54A902CC" w:rsidR="00723182" w:rsidRPr="00B94530" w:rsidRDefault="00723182" w:rsidP="0072318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Reference list:</w:t>
      </w:r>
    </w:p>
    <w:p w14:paraId="6C9CE6A6" w14:textId="105737EF"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Anderson, I (2021), ‘British Journal of Nursing - Maintaining our vision for tissue viability beyond the pandemic’, </w:t>
      </w:r>
      <w:r w:rsidRPr="00B94530">
        <w:rPr>
          <w:rFonts w:ascii="Times New Roman" w:hAnsi="Times New Roman" w:cs="Times New Roman"/>
          <w:i/>
          <w:iCs/>
          <w:kern w:val="0"/>
          <w:sz w:val="24"/>
          <w:szCs w:val="24"/>
          <w:lang w:val="en-US"/>
        </w:rPr>
        <w:t>British Journal of Nursing</w:t>
      </w:r>
      <w:r w:rsidRPr="00B94530">
        <w:rPr>
          <w:rFonts w:ascii="Times New Roman" w:hAnsi="Times New Roman" w:cs="Times New Roman"/>
          <w:kern w:val="0"/>
          <w:sz w:val="24"/>
          <w:szCs w:val="24"/>
          <w:lang w:val="en-US"/>
        </w:rPr>
        <w:t xml:space="preserve">. Available at: </w:t>
      </w:r>
      <w:hyperlink r:id="rId7" w:history="1">
        <w:r w:rsidRPr="00B94530">
          <w:rPr>
            <w:rFonts w:ascii="Times New Roman" w:hAnsi="Times New Roman" w:cs="Times New Roman"/>
            <w:kern w:val="0"/>
            <w:sz w:val="24"/>
            <w:szCs w:val="24"/>
            <w:lang w:val="en-US"/>
          </w:rPr>
          <w:t>https://www.britishjournalofnursing.com/content/editorial/maintaining-our-vision-for-tissue-viability-beyond-the-pandemic</w:t>
        </w:r>
      </w:hyperlink>
      <w:r w:rsidRPr="00B94530">
        <w:rPr>
          <w:rFonts w:ascii="Times New Roman" w:hAnsi="Times New Roman" w:cs="Times New Roman"/>
          <w:kern w:val="0"/>
          <w:sz w:val="24"/>
          <w:szCs w:val="24"/>
          <w:lang w:val="en-US"/>
        </w:rPr>
        <w:t xml:space="preserve"> </w:t>
      </w:r>
      <w:r w:rsidR="00AC0D6A" w:rsidRPr="00B94530">
        <w:rPr>
          <w:rFonts w:ascii="Times New Roman" w:hAnsi="Times New Roman" w:cs="Times New Roman"/>
          <w:kern w:val="0"/>
          <w:sz w:val="24"/>
          <w:szCs w:val="24"/>
          <w:lang w:val="en-US"/>
        </w:rPr>
        <w:t>(</w:t>
      </w:r>
      <w:r w:rsidRPr="00B94530">
        <w:rPr>
          <w:rFonts w:ascii="Times New Roman" w:hAnsi="Times New Roman" w:cs="Times New Roman"/>
          <w:kern w:val="0"/>
          <w:sz w:val="24"/>
          <w:szCs w:val="24"/>
          <w:lang w:val="en-US"/>
        </w:rPr>
        <w:t>Accessed 4 Dec. 2023</w:t>
      </w:r>
      <w:r w:rsidR="00AC0D6A" w:rsidRPr="00B94530">
        <w:rPr>
          <w:rFonts w:ascii="Times New Roman" w:hAnsi="Times New Roman" w:cs="Times New Roman"/>
          <w:kern w:val="0"/>
          <w:sz w:val="24"/>
          <w:szCs w:val="24"/>
          <w:lang w:val="en-US"/>
        </w:rPr>
        <w:t>)</w:t>
      </w:r>
      <w:r w:rsidRPr="00B94530">
        <w:rPr>
          <w:rFonts w:ascii="Times New Roman" w:hAnsi="Times New Roman" w:cs="Times New Roman"/>
          <w:kern w:val="0"/>
          <w:sz w:val="24"/>
          <w:szCs w:val="24"/>
          <w:lang w:val="en-US"/>
        </w:rPr>
        <w:t>.</w:t>
      </w:r>
    </w:p>
    <w:p w14:paraId="5A495554" w14:textId="77777777"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Bechert, K. and Abraham, S.E. (2009), ‘Pain Management and Wound Care’, </w:t>
      </w:r>
      <w:r w:rsidRPr="00B94530">
        <w:rPr>
          <w:rFonts w:ascii="Times New Roman" w:hAnsi="Times New Roman" w:cs="Times New Roman"/>
          <w:i/>
          <w:iCs/>
          <w:kern w:val="0"/>
          <w:sz w:val="24"/>
          <w:szCs w:val="24"/>
          <w:lang w:val="en-US"/>
        </w:rPr>
        <w:t>The Journal of the American College of Certified Wound Specialists</w:t>
      </w:r>
      <w:r w:rsidRPr="00B94530">
        <w:rPr>
          <w:rFonts w:ascii="Times New Roman" w:hAnsi="Times New Roman" w:cs="Times New Roman"/>
          <w:kern w:val="0"/>
          <w:sz w:val="24"/>
          <w:szCs w:val="24"/>
          <w:lang w:val="en-US"/>
        </w:rPr>
        <w:t xml:space="preserve">, 1(2), pp 65–71. Available at: </w:t>
      </w:r>
      <w:hyperlink r:id="rId8" w:history="1">
        <w:r w:rsidRPr="00B94530">
          <w:rPr>
            <w:rStyle w:val="Hyperlink"/>
            <w:rFonts w:ascii="Times New Roman" w:hAnsi="Times New Roman" w:cs="Times New Roman"/>
            <w:color w:val="auto"/>
            <w:kern w:val="0"/>
            <w:sz w:val="24"/>
            <w:szCs w:val="24"/>
            <w:u w:val="none"/>
            <w:lang w:val="en-US"/>
          </w:rPr>
          <w:t>https://doi.org/10.1016/j.jcws.2008.12.001</w:t>
        </w:r>
      </w:hyperlink>
      <w:r w:rsidRPr="00B94530">
        <w:rPr>
          <w:rFonts w:ascii="Times New Roman" w:hAnsi="Times New Roman" w:cs="Times New Roman"/>
          <w:kern w:val="0"/>
          <w:sz w:val="24"/>
          <w:szCs w:val="24"/>
          <w:lang w:val="en-US"/>
        </w:rPr>
        <w:t>.</w:t>
      </w:r>
    </w:p>
    <w:p w14:paraId="4A5B6E6D" w14:textId="77777777"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Falcone, M., De Angelis, B., Pea, F., Scalise, A., Stefani, S., </w:t>
      </w:r>
      <w:proofErr w:type="spellStart"/>
      <w:r w:rsidRPr="00B94530">
        <w:rPr>
          <w:rFonts w:ascii="Times New Roman" w:hAnsi="Times New Roman" w:cs="Times New Roman"/>
          <w:kern w:val="0"/>
          <w:sz w:val="24"/>
          <w:szCs w:val="24"/>
          <w:lang w:val="en-US"/>
        </w:rPr>
        <w:t>Tasinato</w:t>
      </w:r>
      <w:proofErr w:type="spellEnd"/>
      <w:r w:rsidRPr="00B94530">
        <w:rPr>
          <w:rFonts w:ascii="Times New Roman" w:hAnsi="Times New Roman" w:cs="Times New Roman"/>
          <w:kern w:val="0"/>
          <w:sz w:val="24"/>
          <w:szCs w:val="24"/>
          <w:lang w:val="en-US"/>
        </w:rPr>
        <w:t xml:space="preserve">, R., Zanetti, O. and Dalla Paola, L. (2021), ‘Challenges in the management of chronic wound infections’, </w:t>
      </w:r>
      <w:r w:rsidRPr="00B94530">
        <w:rPr>
          <w:rFonts w:ascii="Times New Roman" w:hAnsi="Times New Roman" w:cs="Times New Roman"/>
          <w:i/>
          <w:iCs/>
          <w:kern w:val="0"/>
          <w:sz w:val="24"/>
          <w:szCs w:val="24"/>
          <w:lang w:val="en-US"/>
        </w:rPr>
        <w:t>Journal of Global Antimicrobial Resistance</w:t>
      </w:r>
      <w:r w:rsidRPr="00B94530">
        <w:rPr>
          <w:rFonts w:ascii="Times New Roman" w:hAnsi="Times New Roman" w:cs="Times New Roman"/>
          <w:kern w:val="0"/>
          <w:sz w:val="24"/>
          <w:szCs w:val="24"/>
          <w:lang w:val="en-US"/>
        </w:rPr>
        <w:t xml:space="preserve">, 26, pp 140–147. Available at: </w:t>
      </w:r>
      <w:hyperlink r:id="rId9" w:history="1">
        <w:r w:rsidRPr="00B94530">
          <w:rPr>
            <w:rStyle w:val="Hyperlink"/>
            <w:rFonts w:ascii="Times New Roman" w:hAnsi="Times New Roman" w:cs="Times New Roman"/>
            <w:color w:val="auto"/>
            <w:kern w:val="0"/>
            <w:sz w:val="24"/>
            <w:szCs w:val="24"/>
            <w:u w:val="none"/>
            <w:lang w:val="en-US"/>
          </w:rPr>
          <w:t>https://doi.org/10.1016/j.jgar.2021.05.010</w:t>
        </w:r>
      </w:hyperlink>
      <w:r w:rsidRPr="00B94530">
        <w:rPr>
          <w:rFonts w:ascii="Times New Roman" w:hAnsi="Times New Roman" w:cs="Times New Roman"/>
          <w:kern w:val="0"/>
          <w:sz w:val="24"/>
          <w:szCs w:val="24"/>
          <w:lang w:val="en-US"/>
        </w:rPr>
        <w:t>.</w:t>
      </w:r>
    </w:p>
    <w:p w14:paraId="30A82F8E" w14:textId="77777777"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Fife, C (2009), </w:t>
      </w:r>
      <w:r w:rsidRPr="00B94530">
        <w:rPr>
          <w:rFonts w:ascii="Times New Roman" w:hAnsi="Times New Roman" w:cs="Times New Roman"/>
          <w:i/>
          <w:iCs/>
          <w:kern w:val="0"/>
          <w:sz w:val="24"/>
          <w:szCs w:val="24"/>
          <w:lang w:val="en-US"/>
        </w:rPr>
        <w:t>Doing the Right Thing: Ethics and Wound Care</w:t>
      </w:r>
      <w:r w:rsidRPr="00B94530">
        <w:rPr>
          <w:rFonts w:ascii="Times New Roman" w:hAnsi="Times New Roman" w:cs="Times New Roman"/>
          <w:kern w:val="0"/>
          <w:sz w:val="24"/>
          <w:szCs w:val="24"/>
          <w:lang w:val="en-US"/>
        </w:rPr>
        <w:t xml:space="preserve">.  </w:t>
      </w:r>
      <w:r w:rsidRPr="00B94530">
        <w:rPr>
          <w:rFonts w:ascii="Times New Roman" w:hAnsi="Times New Roman" w:cs="Times New Roman"/>
          <w:kern w:val="0"/>
          <w:sz w:val="24"/>
          <w:szCs w:val="24"/>
          <w:lang w:val="en-US"/>
        </w:rPr>
        <w:lastRenderedPageBreak/>
        <w:t>Hmpgloballearningnetwork.com.</w:t>
      </w:r>
    </w:p>
    <w:p w14:paraId="3F3519E7" w14:textId="77777777" w:rsidR="00723182" w:rsidRPr="00B94530" w:rsidRDefault="00723182" w:rsidP="00985C05">
      <w:pPr>
        <w:pStyle w:val="ListParagraph"/>
        <w:widowControl w:val="0"/>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Available at: </w:t>
      </w:r>
      <w:hyperlink r:id="rId10" w:history="1">
        <w:r w:rsidRPr="00B94530">
          <w:rPr>
            <w:rFonts w:ascii="Times New Roman" w:hAnsi="Times New Roman" w:cs="Times New Roman"/>
            <w:kern w:val="0"/>
            <w:sz w:val="24"/>
            <w:szCs w:val="24"/>
            <w:lang w:val="en-US"/>
          </w:rPr>
          <w:t>https://www.hmpgloballearningnetwork.com/site/twc/articles/doing-right-thing-ethics-and-wound-care</w:t>
        </w:r>
      </w:hyperlink>
      <w:r w:rsidRPr="00B94530">
        <w:rPr>
          <w:rFonts w:ascii="Times New Roman" w:hAnsi="Times New Roman" w:cs="Times New Roman"/>
          <w:kern w:val="0"/>
          <w:sz w:val="24"/>
          <w:szCs w:val="24"/>
          <w:lang w:val="en-US"/>
        </w:rPr>
        <w:t>.</w:t>
      </w:r>
    </w:p>
    <w:p w14:paraId="732F790C" w14:textId="77777777"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Flanagan, M. (2003), ‘Wound measurement: can it help us to monitor progression to healing?’, </w:t>
      </w:r>
      <w:r w:rsidRPr="00B94530">
        <w:rPr>
          <w:rFonts w:ascii="Times New Roman" w:hAnsi="Times New Roman" w:cs="Times New Roman"/>
          <w:i/>
          <w:iCs/>
          <w:kern w:val="0"/>
          <w:sz w:val="24"/>
          <w:szCs w:val="24"/>
          <w:lang w:val="en-US"/>
        </w:rPr>
        <w:t>Journal of Wound Care</w:t>
      </w:r>
      <w:r w:rsidRPr="00B94530">
        <w:rPr>
          <w:rFonts w:ascii="Times New Roman" w:hAnsi="Times New Roman" w:cs="Times New Roman"/>
          <w:kern w:val="0"/>
          <w:sz w:val="24"/>
          <w:szCs w:val="24"/>
          <w:lang w:val="en-US"/>
        </w:rPr>
        <w:t xml:space="preserve">, 12(5), pp 189–194. Available at:  </w:t>
      </w:r>
      <w:hyperlink r:id="rId11" w:history="1">
        <w:r w:rsidRPr="00B94530">
          <w:rPr>
            <w:rStyle w:val="Hyperlink"/>
            <w:rFonts w:ascii="Times New Roman" w:hAnsi="Times New Roman" w:cs="Times New Roman"/>
            <w:color w:val="auto"/>
            <w:kern w:val="0"/>
            <w:sz w:val="24"/>
            <w:szCs w:val="24"/>
            <w:u w:val="none"/>
            <w:lang w:val="en-US"/>
          </w:rPr>
          <w:t>https://doi.org/10.12968/jowc.2003.12.5.26493</w:t>
        </w:r>
      </w:hyperlink>
      <w:r w:rsidRPr="00B94530">
        <w:rPr>
          <w:rFonts w:ascii="Times New Roman" w:hAnsi="Times New Roman" w:cs="Times New Roman"/>
          <w:kern w:val="0"/>
          <w:sz w:val="24"/>
          <w:szCs w:val="24"/>
          <w:lang w:val="en-US"/>
        </w:rPr>
        <w:t>.</w:t>
      </w:r>
    </w:p>
    <w:p w14:paraId="60A72364" w14:textId="37B17716" w:rsidR="00163B99" w:rsidRPr="00163B99" w:rsidRDefault="00163B99" w:rsidP="00985C05">
      <w:pPr>
        <w:pStyle w:val="ListParagraph"/>
        <w:widowControl w:val="0"/>
        <w:numPr>
          <w:ilvl w:val="0"/>
          <w:numId w:val="5"/>
        </w:numPr>
        <w:autoSpaceDE w:val="0"/>
        <w:autoSpaceDN w:val="0"/>
        <w:adjustRightInd w:val="0"/>
        <w:spacing w:after="240" w:line="240" w:lineRule="auto"/>
        <w:rPr>
          <w:rFonts w:ascii="Times New Roman" w:hAnsi="Times New Roman" w:cs="Times New Roman"/>
          <w:kern w:val="0"/>
          <w:sz w:val="24"/>
          <w:szCs w:val="24"/>
          <w:lang w:val="en-US"/>
        </w:rPr>
      </w:pPr>
      <w:r w:rsidRPr="00163B99">
        <w:rPr>
          <w:rFonts w:ascii="Times New Roman" w:hAnsi="Times New Roman" w:cs="Times New Roman"/>
          <w:kern w:val="0"/>
          <w:sz w:val="24"/>
          <w:szCs w:val="24"/>
          <w:lang w:val="en-US"/>
        </w:rPr>
        <w:t>Huang, Y., Hu, J., Xie, T., Jiang, Z., Ding, W., Mao, B. and Hou, L. (2023)</w:t>
      </w:r>
      <w:r w:rsidR="005867B3">
        <w:rPr>
          <w:rFonts w:ascii="Times New Roman" w:hAnsi="Times New Roman" w:cs="Times New Roman"/>
          <w:kern w:val="0"/>
          <w:sz w:val="24"/>
          <w:szCs w:val="24"/>
          <w:lang w:val="en-US"/>
        </w:rPr>
        <w:t>,</w:t>
      </w:r>
      <w:r w:rsidRPr="00163B99">
        <w:rPr>
          <w:rFonts w:ascii="Times New Roman" w:hAnsi="Times New Roman" w:cs="Times New Roman"/>
          <w:kern w:val="0"/>
          <w:sz w:val="24"/>
          <w:szCs w:val="24"/>
          <w:lang w:val="en-US"/>
        </w:rPr>
        <w:t xml:space="preserve"> </w:t>
      </w:r>
      <w:r w:rsidR="005867B3">
        <w:rPr>
          <w:rFonts w:ascii="Times New Roman" w:hAnsi="Times New Roman" w:cs="Times New Roman"/>
          <w:kern w:val="0"/>
          <w:sz w:val="24"/>
          <w:szCs w:val="24"/>
          <w:lang w:val="en-US"/>
        </w:rPr>
        <w:t>‘</w:t>
      </w:r>
      <w:r w:rsidRPr="00163B99">
        <w:rPr>
          <w:rFonts w:ascii="Times New Roman" w:hAnsi="Times New Roman" w:cs="Times New Roman"/>
          <w:kern w:val="0"/>
          <w:sz w:val="24"/>
          <w:szCs w:val="24"/>
          <w:lang w:val="en-US"/>
        </w:rPr>
        <w:t>Effects of home‐based chronic wound care training for patients and caregivers: A systematic review</w:t>
      </w:r>
      <w:r w:rsidR="005867B3">
        <w:rPr>
          <w:rFonts w:ascii="Times New Roman" w:hAnsi="Times New Roman" w:cs="Times New Roman"/>
          <w:kern w:val="0"/>
          <w:sz w:val="24"/>
          <w:szCs w:val="24"/>
          <w:lang w:val="en-US"/>
        </w:rPr>
        <w:t xml:space="preserve">’, </w:t>
      </w:r>
      <w:r w:rsidRPr="00163B99">
        <w:rPr>
          <w:rFonts w:ascii="Times New Roman" w:hAnsi="Times New Roman" w:cs="Times New Roman"/>
          <w:i/>
          <w:iCs/>
          <w:kern w:val="0"/>
          <w:sz w:val="24"/>
          <w:szCs w:val="24"/>
          <w:lang w:val="en-US"/>
        </w:rPr>
        <w:t>International Wound Journal</w:t>
      </w:r>
      <w:r w:rsidRPr="00163B99">
        <w:rPr>
          <w:rFonts w:ascii="Times New Roman" w:hAnsi="Times New Roman" w:cs="Times New Roman"/>
          <w:kern w:val="0"/>
          <w:sz w:val="24"/>
          <w:szCs w:val="24"/>
          <w:lang w:val="en-US"/>
        </w:rPr>
        <w:t xml:space="preserve">, 20(6). </w:t>
      </w:r>
      <w:r w:rsidR="005867B3">
        <w:rPr>
          <w:rFonts w:ascii="Times New Roman" w:hAnsi="Times New Roman" w:cs="Times New Roman"/>
          <w:kern w:val="0"/>
          <w:sz w:val="24"/>
          <w:szCs w:val="24"/>
          <w:lang w:val="en-US"/>
        </w:rPr>
        <w:t xml:space="preserve">Available to: </w:t>
      </w:r>
      <w:hyperlink r:id="rId12" w:history="1">
        <w:r w:rsidRPr="00163B99">
          <w:rPr>
            <w:rFonts w:ascii="Times New Roman" w:hAnsi="Times New Roman" w:cs="Times New Roman"/>
            <w:kern w:val="0"/>
            <w:sz w:val="24"/>
            <w:szCs w:val="24"/>
            <w:lang w:val="en-US"/>
          </w:rPr>
          <w:t>https://doi.org/10.1111/iwj.14219</w:t>
        </w:r>
      </w:hyperlink>
      <w:r w:rsidRPr="00163B99">
        <w:rPr>
          <w:rFonts w:ascii="Times New Roman" w:hAnsi="Times New Roman" w:cs="Times New Roman"/>
          <w:kern w:val="0"/>
          <w:sz w:val="24"/>
          <w:szCs w:val="24"/>
          <w:lang w:val="en-US"/>
        </w:rPr>
        <w:t>.</w:t>
      </w:r>
    </w:p>
    <w:p w14:paraId="24ADC019" w14:textId="0E74DFC5" w:rsidR="00222BF0" w:rsidRPr="00222BF0" w:rsidRDefault="00222BF0" w:rsidP="00985C05">
      <w:pPr>
        <w:pStyle w:val="ListParagraph"/>
        <w:widowControl w:val="0"/>
        <w:numPr>
          <w:ilvl w:val="0"/>
          <w:numId w:val="5"/>
        </w:numPr>
        <w:autoSpaceDE w:val="0"/>
        <w:autoSpaceDN w:val="0"/>
        <w:adjustRightInd w:val="0"/>
        <w:spacing w:after="240" w:line="240" w:lineRule="auto"/>
        <w:rPr>
          <w:rFonts w:ascii="Times New Roman" w:hAnsi="Times New Roman" w:cs="Times New Roman"/>
          <w:kern w:val="0"/>
          <w:sz w:val="24"/>
          <w:szCs w:val="24"/>
          <w:lang w:val="en-US"/>
        </w:rPr>
      </w:pPr>
      <w:r w:rsidRPr="00222BF0">
        <w:rPr>
          <w:rFonts w:ascii="Times New Roman" w:hAnsi="Times New Roman" w:cs="Times New Roman"/>
          <w:kern w:val="0"/>
          <w:sz w:val="24"/>
          <w:szCs w:val="24"/>
          <w:lang w:val="en-US"/>
        </w:rPr>
        <w:t>Jørgensen, L. and Kollerup, M.G. (2021)</w:t>
      </w:r>
      <w:r w:rsidR="00240DE9">
        <w:rPr>
          <w:rFonts w:ascii="Times New Roman" w:hAnsi="Times New Roman" w:cs="Times New Roman"/>
          <w:kern w:val="0"/>
          <w:sz w:val="24"/>
          <w:szCs w:val="24"/>
          <w:lang w:val="en-US"/>
        </w:rPr>
        <w:t>, ‘</w:t>
      </w:r>
      <w:r w:rsidRPr="00222BF0">
        <w:rPr>
          <w:rFonts w:ascii="Times New Roman" w:hAnsi="Times New Roman" w:cs="Times New Roman"/>
          <w:kern w:val="0"/>
          <w:sz w:val="24"/>
          <w:szCs w:val="24"/>
          <w:lang w:val="en-US"/>
        </w:rPr>
        <w:t>Ethical dilemmas in nursing documentation</w:t>
      </w:r>
      <w:proofErr w:type="gramStart"/>
      <w:r w:rsidR="00240DE9">
        <w:rPr>
          <w:rFonts w:ascii="Times New Roman" w:hAnsi="Times New Roman" w:cs="Times New Roman"/>
          <w:kern w:val="0"/>
          <w:sz w:val="24"/>
          <w:szCs w:val="24"/>
          <w:lang w:val="en-US"/>
        </w:rPr>
        <w:t xml:space="preserve">’, </w:t>
      </w:r>
      <w:r w:rsidRPr="00222BF0">
        <w:rPr>
          <w:rFonts w:ascii="Times New Roman" w:hAnsi="Times New Roman" w:cs="Times New Roman"/>
          <w:kern w:val="0"/>
          <w:sz w:val="24"/>
          <w:szCs w:val="24"/>
          <w:lang w:val="en-US"/>
        </w:rPr>
        <w:t xml:space="preserve"> </w:t>
      </w:r>
      <w:r w:rsidRPr="00222BF0">
        <w:rPr>
          <w:rFonts w:ascii="Times New Roman" w:hAnsi="Times New Roman" w:cs="Times New Roman"/>
          <w:i/>
          <w:iCs/>
          <w:kern w:val="0"/>
          <w:sz w:val="24"/>
          <w:szCs w:val="24"/>
          <w:lang w:val="en-US"/>
        </w:rPr>
        <w:t>Nursing</w:t>
      </w:r>
      <w:proofErr w:type="gramEnd"/>
      <w:r w:rsidRPr="00222BF0">
        <w:rPr>
          <w:rFonts w:ascii="Times New Roman" w:hAnsi="Times New Roman" w:cs="Times New Roman"/>
          <w:i/>
          <w:iCs/>
          <w:kern w:val="0"/>
          <w:sz w:val="24"/>
          <w:szCs w:val="24"/>
          <w:lang w:val="en-US"/>
        </w:rPr>
        <w:t xml:space="preserve"> Ethics</w:t>
      </w:r>
      <w:r w:rsidRPr="00222BF0">
        <w:rPr>
          <w:rFonts w:ascii="Times New Roman" w:hAnsi="Times New Roman" w:cs="Times New Roman"/>
          <w:kern w:val="0"/>
          <w:sz w:val="24"/>
          <w:szCs w:val="24"/>
          <w:lang w:val="en-US"/>
        </w:rPr>
        <w:t xml:space="preserve">, 29(2), </w:t>
      </w:r>
      <w:r w:rsidR="00240DE9">
        <w:rPr>
          <w:rFonts w:ascii="Times New Roman" w:hAnsi="Times New Roman" w:cs="Times New Roman"/>
          <w:kern w:val="0"/>
          <w:sz w:val="24"/>
          <w:szCs w:val="24"/>
          <w:lang w:val="en-US"/>
        </w:rPr>
        <w:t xml:space="preserve">Available to: </w:t>
      </w:r>
      <w:hyperlink r:id="rId13" w:history="1">
        <w:r w:rsidRPr="00222BF0">
          <w:rPr>
            <w:rFonts w:ascii="Times New Roman" w:hAnsi="Times New Roman" w:cs="Times New Roman"/>
            <w:kern w:val="0"/>
            <w:sz w:val="24"/>
            <w:szCs w:val="24"/>
            <w:lang w:val="en-US"/>
          </w:rPr>
          <w:t>https://doi.org/10.1177/09697330211046654</w:t>
        </w:r>
      </w:hyperlink>
      <w:r w:rsidRPr="00222BF0">
        <w:rPr>
          <w:rFonts w:ascii="Times New Roman" w:hAnsi="Times New Roman" w:cs="Times New Roman"/>
          <w:kern w:val="0"/>
          <w:sz w:val="24"/>
          <w:szCs w:val="24"/>
          <w:lang w:val="en-US"/>
        </w:rPr>
        <w:t>.</w:t>
      </w:r>
    </w:p>
    <w:p w14:paraId="7F43C228" w14:textId="63EB3E49"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Labib, A. and Winters, R. (2021), </w:t>
      </w:r>
      <w:r w:rsidRPr="00B94530">
        <w:rPr>
          <w:rFonts w:ascii="Times New Roman" w:hAnsi="Times New Roman" w:cs="Times New Roman"/>
          <w:i/>
          <w:iCs/>
          <w:kern w:val="0"/>
          <w:sz w:val="24"/>
          <w:szCs w:val="24"/>
          <w:lang w:val="en-US"/>
        </w:rPr>
        <w:t>Complex Wound Management</w:t>
      </w:r>
      <w:r w:rsidRPr="00B94530">
        <w:rPr>
          <w:rFonts w:ascii="Times New Roman" w:hAnsi="Times New Roman" w:cs="Times New Roman"/>
          <w:kern w:val="0"/>
          <w:sz w:val="24"/>
          <w:szCs w:val="24"/>
          <w:lang w:val="en-US"/>
        </w:rPr>
        <w:t xml:space="preserve">, Nih.gov. Available at: </w:t>
      </w:r>
      <w:hyperlink r:id="rId14" w:history="1">
        <w:r w:rsidRPr="00B94530">
          <w:rPr>
            <w:rFonts w:ascii="Times New Roman" w:hAnsi="Times New Roman" w:cs="Times New Roman"/>
            <w:kern w:val="0"/>
            <w:sz w:val="24"/>
            <w:szCs w:val="24"/>
            <w:lang w:val="en-US"/>
          </w:rPr>
          <w:t>https://www.ncbi.nlm.nih.gov/books/NBK576385/</w:t>
        </w:r>
      </w:hyperlink>
      <w:r w:rsidRPr="00B94530">
        <w:rPr>
          <w:rFonts w:ascii="Times New Roman" w:hAnsi="Times New Roman" w:cs="Times New Roman"/>
          <w:kern w:val="0"/>
          <w:sz w:val="24"/>
          <w:szCs w:val="24"/>
          <w:lang w:val="en-US"/>
        </w:rPr>
        <w:t>.</w:t>
      </w:r>
    </w:p>
    <w:p w14:paraId="5465BA7B" w14:textId="603BC949" w:rsidR="00B13566" w:rsidRPr="00B13566" w:rsidRDefault="00B13566" w:rsidP="00985C05">
      <w:pPr>
        <w:pStyle w:val="ListParagraph"/>
        <w:widowControl w:val="0"/>
        <w:numPr>
          <w:ilvl w:val="0"/>
          <w:numId w:val="5"/>
        </w:numPr>
        <w:autoSpaceDE w:val="0"/>
        <w:autoSpaceDN w:val="0"/>
        <w:adjustRightInd w:val="0"/>
        <w:spacing w:after="240" w:line="240" w:lineRule="auto"/>
        <w:rPr>
          <w:rFonts w:ascii="Times New Roman" w:hAnsi="Times New Roman" w:cs="Times New Roman"/>
          <w:kern w:val="0"/>
          <w:sz w:val="24"/>
          <w:szCs w:val="24"/>
          <w:lang w:val="en-US"/>
        </w:rPr>
      </w:pPr>
      <w:r w:rsidRPr="00B13566">
        <w:rPr>
          <w:rFonts w:ascii="Times New Roman" w:hAnsi="Times New Roman" w:cs="Times New Roman"/>
          <w:kern w:val="0"/>
          <w:sz w:val="24"/>
          <w:szCs w:val="24"/>
          <w:lang w:val="en-US"/>
        </w:rPr>
        <w:t xml:space="preserve">Macedo, A. B. T., </w:t>
      </w:r>
      <w:proofErr w:type="spellStart"/>
      <w:r w:rsidRPr="00B13566">
        <w:rPr>
          <w:rFonts w:ascii="Times New Roman" w:hAnsi="Times New Roman" w:cs="Times New Roman"/>
          <w:kern w:val="0"/>
          <w:sz w:val="24"/>
          <w:szCs w:val="24"/>
          <w:lang w:val="en-US"/>
        </w:rPr>
        <w:t>Graciotto</w:t>
      </w:r>
      <w:proofErr w:type="spellEnd"/>
      <w:r w:rsidRPr="00B13566">
        <w:rPr>
          <w:rFonts w:ascii="Times New Roman" w:hAnsi="Times New Roman" w:cs="Times New Roman"/>
          <w:kern w:val="0"/>
          <w:sz w:val="24"/>
          <w:szCs w:val="24"/>
          <w:lang w:val="en-US"/>
        </w:rPr>
        <w:t xml:space="preserve">, A., Souza, E., </w:t>
      </w:r>
      <w:proofErr w:type="spellStart"/>
      <w:r w:rsidRPr="00B13566">
        <w:rPr>
          <w:rFonts w:ascii="Times New Roman" w:hAnsi="Times New Roman" w:cs="Times New Roman"/>
          <w:kern w:val="0"/>
          <w:sz w:val="24"/>
          <w:szCs w:val="24"/>
          <w:lang w:val="en-US"/>
        </w:rPr>
        <w:t>Junges</w:t>
      </w:r>
      <w:proofErr w:type="spellEnd"/>
      <w:r w:rsidRPr="00B13566">
        <w:rPr>
          <w:rFonts w:ascii="Times New Roman" w:hAnsi="Times New Roman" w:cs="Times New Roman"/>
          <w:kern w:val="0"/>
          <w:sz w:val="24"/>
          <w:szCs w:val="24"/>
          <w:lang w:val="en-US"/>
        </w:rPr>
        <w:t>, M., Gentilini, M. M., and Souza, S. (2021)</w:t>
      </w:r>
      <w:r w:rsidR="00240DE9">
        <w:rPr>
          <w:rFonts w:ascii="Times New Roman" w:hAnsi="Times New Roman" w:cs="Times New Roman"/>
          <w:kern w:val="0"/>
          <w:sz w:val="24"/>
          <w:szCs w:val="24"/>
          <w:lang w:val="en-US"/>
        </w:rPr>
        <w:t>,</w:t>
      </w:r>
      <w:r w:rsidRPr="00B13566">
        <w:rPr>
          <w:rFonts w:ascii="Times New Roman" w:hAnsi="Times New Roman" w:cs="Times New Roman"/>
          <w:kern w:val="0"/>
          <w:sz w:val="24"/>
          <w:szCs w:val="24"/>
          <w:lang w:val="en-US"/>
        </w:rPr>
        <w:t xml:space="preserve"> </w:t>
      </w:r>
      <w:r w:rsidR="00240DE9">
        <w:rPr>
          <w:rFonts w:ascii="Times New Roman" w:hAnsi="Times New Roman" w:cs="Times New Roman"/>
          <w:kern w:val="0"/>
          <w:sz w:val="24"/>
          <w:szCs w:val="24"/>
          <w:lang w:val="en-US"/>
        </w:rPr>
        <w:t>‘</w:t>
      </w:r>
      <w:r w:rsidRPr="00B13566">
        <w:rPr>
          <w:rFonts w:ascii="Times New Roman" w:hAnsi="Times New Roman" w:cs="Times New Roman"/>
          <w:kern w:val="0"/>
          <w:sz w:val="24"/>
          <w:szCs w:val="24"/>
          <w:lang w:val="en-US"/>
        </w:rPr>
        <w:t>PRESSURE ULCERS: CORRELATION BETWEEN THE BATES-JENSEN WOUND ASSESSMENT TOOL AND THE PRESSURE ULCER SCALE FOR HEALING</w:t>
      </w:r>
      <w:r w:rsidR="00101D20">
        <w:rPr>
          <w:rFonts w:ascii="Times New Roman" w:hAnsi="Times New Roman" w:cs="Times New Roman"/>
          <w:kern w:val="0"/>
          <w:sz w:val="24"/>
          <w:szCs w:val="24"/>
          <w:lang w:val="en-US"/>
        </w:rPr>
        <w:t xml:space="preserve">’, </w:t>
      </w:r>
      <w:proofErr w:type="spellStart"/>
      <w:r w:rsidRPr="00B13566">
        <w:rPr>
          <w:rFonts w:ascii="Times New Roman" w:hAnsi="Times New Roman" w:cs="Times New Roman"/>
          <w:i/>
          <w:iCs/>
          <w:kern w:val="0"/>
          <w:sz w:val="24"/>
          <w:szCs w:val="24"/>
          <w:lang w:val="en-US"/>
        </w:rPr>
        <w:t>Texto</w:t>
      </w:r>
      <w:proofErr w:type="spellEnd"/>
      <w:r w:rsidRPr="00B13566">
        <w:rPr>
          <w:rFonts w:ascii="Times New Roman" w:hAnsi="Times New Roman" w:cs="Times New Roman"/>
          <w:i/>
          <w:iCs/>
          <w:kern w:val="0"/>
          <w:sz w:val="24"/>
          <w:szCs w:val="24"/>
          <w:lang w:val="en-US"/>
        </w:rPr>
        <w:t xml:space="preserve"> &amp; </w:t>
      </w:r>
      <w:proofErr w:type="spellStart"/>
      <w:r w:rsidRPr="00B13566">
        <w:rPr>
          <w:rFonts w:ascii="Times New Roman" w:hAnsi="Times New Roman" w:cs="Times New Roman"/>
          <w:i/>
          <w:iCs/>
          <w:kern w:val="0"/>
          <w:sz w:val="24"/>
          <w:szCs w:val="24"/>
          <w:lang w:val="en-US"/>
        </w:rPr>
        <w:t>Contexto</w:t>
      </w:r>
      <w:proofErr w:type="spellEnd"/>
      <w:r w:rsidRPr="00B13566">
        <w:rPr>
          <w:rFonts w:ascii="Times New Roman" w:hAnsi="Times New Roman" w:cs="Times New Roman"/>
          <w:i/>
          <w:iCs/>
          <w:kern w:val="0"/>
          <w:sz w:val="24"/>
          <w:szCs w:val="24"/>
          <w:lang w:val="en-US"/>
        </w:rPr>
        <w:t xml:space="preserve"> - Enfermagem</w:t>
      </w:r>
      <w:r w:rsidRPr="00B13566">
        <w:rPr>
          <w:rFonts w:ascii="Times New Roman" w:hAnsi="Times New Roman" w:cs="Times New Roman"/>
          <w:kern w:val="0"/>
          <w:sz w:val="24"/>
          <w:szCs w:val="24"/>
          <w:lang w:val="en-US"/>
        </w:rPr>
        <w:t xml:space="preserve">. </w:t>
      </w:r>
      <w:r w:rsidR="00101D20">
        <w:rPr>
          <w:rFonts w:ascii="Times New Roman" w:hAnsi="Times New Roman" w:cs="Times New Roman"/>
          <w:kern w:val="0"/>
          <w:sz w:val="24"/>
          <w:szCs w:val="24"/>
          <w:lang w:val="en-US"/>
        </w:rPr>
        <w:t xml:space="preserve">Available to: </w:t>
      </w:r>
      <w:hyperlink r:id="rId15" w:history="1">
        <w:r w:rsidRPr="00B13566">
          <w:rPr>
            <w:rFonts w:ascii="Times New Roman" w:hAnsi="Times New Roman" w:cs="Times New Roman"/>
            <w:kern w:val="0"/>
            <w:sz w:val="24"/>
            <w:szCs w:val="24"/>
            <w:lang w:val="en-US"/>
          </w:rPr>
          <w:t>https://doi.org/10.1590/1980-265x-tce-2020-0260</w:t>
        </w:r>
      </w:hyperlink>
      <w:r w:rsidRPr="00B13566">
        <w:rPr>
          <w:rFonts w:ascii="Times New Roman" w:hAnsi="Times New Roman" w:cs="Times New Roman"/>
          <w:kern w:val="0"/>
          <w:sz w:val="24"/>
          <w:szCs w:val="24"/>
          <w:lang w:val="en-US"/>
        </w:rPr>
        <w:t>.</w:t>
      </w:r>
    </w:p>
    <w:p w14:paraId="657C8206" w14:textId="77777777" w:rsidR="00723182"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Mahmoudi, M. and Gould, L. (2020), ‘Opportunities and challenges of the management of chronic wounds: A multidisciplinary viewpoint’, </w:t>
      </w:r>
      <w:r w:rsidRPr="00B94530">
        <w:rPr>
          <w:rFonts w:ascii="Times New Roman" w:hAnsi="Times New Roman" w:cs="Times New Roman"/>
          <w:i/>
          <w:iCs/>
          <w:kern w:val="0"/>
          <w:sz w:val="24"/>
          <w:szCs w:val="24"/>
          <w:lang w:val="en-US"/>
        </w:rPr>
        <w:t>Chronic Wound Care Management and Research</w:t>
      </w:r>
      <w:r w:rsidRPr="00B94530">
        <w:rPr>
          <w:rFonts w:ascii="Times New Roman" w:hAnsi="Times New Roman" w:cs="Times New Roman"/>
          <w:kern w:val="0"/>
          <w:sz w:val="24"/>
          <w:szCs w:val="24"/>
          <w:lang w:val="en-US"/>
        </w:rPr>
        <w:t xml:space="preserve">, Volume 7, pp 27–36. Available at:  </w:t>
      </w:r>
      <w:hyperlink r:id="rId16" w:history="1">
        <w:r w:rsidRPr="00B94530">
          <w:rPr>
            <w:rFonts w:ascii="Times New Roman" w:hAnsi="Times New Roman" w:cs="Times New Roman"/>
            <w:kern w:val="0"/>
            <w:sz w:val="24"/>
            <w:szCs w:val="24"/>
            <w:lang w:val="en-US"/>
          </w:rPr>
          <w:t>https://doi.org/10.2147/cwcmr.s260136</w:t>
        </w:r>
      </w:hyperlink>
      <w:r w:rsidRPr="00B94530">
        <w:rPr>
          <w:rFonts w:ascii="Times New Roman" w:hAnsi="Times New Roman" w:cs="Times New Roman"/>
          <w:kern w:val="0"/>
          <w:sz w:val="24"/>
          <w:szCs w:val="24"/>
          <w:lang w:val="en-US"/>
        </w:rPr>
        <w:t>.</w:t>
      </w:r>
    </w:p>
    <w:p w14:paraId="3188D8F2" w14:textId="72CE3215" w:rsidR="00271BB5" w:rsidRDefault="00BD3A20"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proofErr w:type="spellStart"/>
      <w:r w:rsidRPr="00BD3A20">
        <w:rPr>
          <w:rFonts w:ascii="Times New Roman" w:hAnsi="Times New Roman" w:cs="Times New Roman"/>
          <w:kern w:val="0"/>
          <w:sz w:val="24"/>
          <w:szCs w:val="24"/>
          <w:lang w:val="en-US"/>
        </w:rPr>
        <w:t>Mahadevuni</w:t>
      </w:r>
      <w:proofErr w:type="spellEnd"/>
      <w:r w:rsidRPr="00BD3A20">
        <w:rPr>
          <w:rFonts w:ascii="Times New Roman" w:hAnsi="Times New Roman" w:cs="Times New Roman"/>
          <w:kern w:val="0"/>
          <w:sz w:val="24"/>
          <w:szCs w:val="24"/>
          <w:lang w:val="en-US"/>
        </w:rPr>
        <w:t xml:space="preserve">, V., Kumar, V., Atluri, V. V., </w:t>
      </w:r>
      <w:r w:rsidR="00271BB5">
        <w:rPr>
          <w:rFonts w:ascii="Times New Roman" w:hAnsi="Times New Roman" w:cs="Times New Roman"/>
          <w:kern w:val="0"/>
          <w:sz w:val="24"/>
          <w:szCs w:val="24"/>
          <w:lang w:val="en-US"/>
        </w:rPr>
        <w:t>and</w:t>
      </w:r>
      <w:r w:rsidRPr="00BD3A20">
        <w:rPr>
          <w:rFonts w:ascii="Times New Roman" w:hAnsi="Times New Roman" w:cs="Times New Roman"/>
          <w:kern w:val="0"/>
          <w:sz w:val="24"/>
          <w:szCs w:val="24"/>
          <w:lang w:val="en-US"/>
        </w:rPr>
        <w:t xml:space="preserve"> </w:t>
      </w:r>
      <w:proofErr w:type="spellStart"/>
      <w:r w:rsidRPr="00BD3A20">
        <w:rPr>
          <w:rFonts w:ascii="Times New Roman" w:hAnsi="Times New Roman" w:cs="Times New Roman"/>
          <w:kern w:val="0"/>
          <w:sz w:val="24"/>
          <w:szCs w:val="24"/>
          <w:lang w:val="en-US"/>
        </w:rPr>
        <w:t>Sabavath</w:t>
      </w:r>
      <w:proofErr w:type="spellEnd"/>
      <w:r w:rsidRPr="00BD3A20">
        <w:rPr>
          <w:rFonts w:ascii="Times New Roman" w:hAnsi="Times New Roman" w:cs="Times New Roman"/>
          <w:kern w:val="0"/>
          <w:sz w:val="24"/>
          <w:szCs w:val="24"/>
          <w:lang w:val="en-US"/>
        </w:rPr>
        <w:t>, D. (2022)</w:t>
      </w:r>
      <w:r w:rsidR="00101D20">
        <w:rPr>
          <w:rFonts w:ascii="Times New Roman" w:hAnsi="Times New Roman" w:cs="Times New Roman"/>
          <w:kern w:val="0"/>
          <w:sz w:val="24"/>
          <w:szCs w:val="24"/>
          <w:lang w:val="en-US"/>
        </w:rPr>
        <w:t>,</w:t>
      </w:r>
      <w:r w:rsidRPr="00BD3A20">
        <w:rPr>
          <w:rFonts w:ascii="Times New Roman" w:hAnsi="Times New Roman" w:cs="Times New Roman"/>
          <w:kern w:val="0"/>
          <w:sz w:val="24"/>
          <w:szCs w:val="24"/>
          <w:lang w:val="en-US"/>
        </w:rPr>
        <w:t xml:space="preserve"> </w:t>
      </w:r>
      <w:r w:rsidR="00101D20">
        <w:rPr>
          <w:rFonts w:ascii="Times New Roman" w:hAnsi="Times New Roman" w:cs="Times New Roman"/>
          <w:kern w:val="0"/>
          <w:sz w:val="24"/>
          <w:szCs w:val="24"/>
          <w:lang w:val="en-US"/>
        </w:rPr>
        <w:t>‘</w:t>
      </w:r>
      <w:r w:rsidRPr="00BD3A20">
        <w:rPr>
          <w:rFonts w:ascii="Times New Roman" w:hAnsi="Times New Roman" w:cs="Times New Roman"/>
          <w:kern w:val="0"/>
          <w:sz w:val="24"/>
          <w:szCs w:val="24"/>
          <w:lang w:val="en-US"/>
        </w:rPr>
        <w:t>Negative Pressure Wound Therapy (NPWT): Our Experience Using Hospital Wall Suction</w:t>
      </w:r>
      <w:r w:rsidR="00101D20">
        <w:rPr>
          <w:rFonts w:ascii="Times New Roman" w:hAnsi="Times New Roman" w:cs="Times New Roman"/>
          <w:kern w:val="0"/>
          <w:sz w:val="24"/>
          <w:szCs w:val="24"/>
          <w:lang w:val="en-US"/>
        </w:rPr>
        <w:t xml:space="preserve">’, </w:t>
      </w:r>
      <w:r w:rsidRPr="00101D20">
        <w:rPr>
          <w:rFonts w:ascii="Times New Roman" w:hAnsi="Times New Roman" w:cs="Times New Roman"/>
          <w:i/>
          <w:iCs/>
          <w:kern w:val="0"/>
          <w:sz w:val="24"/>
          <w:szCs w:val="24"/>
          <w:lang w:val="en-US"/>
        </w:rPr>
        <w:t>Indian Journal of Applied Research</w:t>
      </w:r>
      <w:r w:rsidRPr="00BD3A20">
        <w:rPr>
          <w:rFonts w:ascii="Times New Roman" w:hAnsi="Times New Roman" w:cs="Times New Roman"/>
          <w:kern w:val="0"/>
          <w:sz w:val="24"/>
          <w:szCs w:val="24"/>
          <w:lang w:val="en-US"/>
        </w:rPr>
        <w:t>, 12(9)</w:t>
      </w:r>
      <w:r>
        <w:rPr>
          <w:rFonts w:ascii="Times New Roman" w:hAnsi="Times New Roman" w:cs="Times New Roman"/>
          <w:kern w:val="0"/>
          <w:sz w:val="24"/>
          <w:szCs w:val="24"/>
          <w:lang w:val="en-US"/>
        </w:rPr>
        <w:t xml:space="preserve">. Available to: </w:t>
      </w:r>
    </w:p>
    <w:p w14:paraId="3417E7E0" w14:textId="224AFAEB" w:rsidR="00A857F2" w:rsidRPr="00B94530" w:rsidRDefault="00A857F2" w:rsidP="00985C05">
      <w:pPr>
        <w:pStyle w:val="ListParagraph"/>
        <w:widowControl w:val="0"/>
        <w:autoSpaceDE w:val="0"/>
        <w:autoSpaceDN w:val="0"/>
        <w:adjustRightInd w:val="0"/>
        <w:spacing w:after="240" w:line="240" w:lineRule="auto"/>
        <w:jc w:val="both"/>
        <w:rPr>
          <w:rFonts w:ascii="Times New Roman" w:hAnsi="Times New Roman" w:cs="Times New Roman"/>
          <w:kern w:val="0"/>
          <w:sz w:val="24"/>
          <w:szCs w:val="24"/>
          <w:lang w:val="en-US"/>
        </w:rPr>
      </w:pPr>
      <w:r w:rsidRPr="00A857F2">
        <w:rPr>
          <w:rFonts w:ascii="Times New Roman" w:hAnsi="Times New Roman" w:cs="Times New Roman"/>
          <w:kern w:val="0"/>
          <w:sz w:val="24"/>
          <w:szCs w:val="24"/>
          <w:lang w:val="en-US"/>
        </w:rPr>
        <w:t>https://www.researchgate.net/publication/364229048_NEGATIVE_PRESSURE_WOUND_THERAPY_NPWT_OUR_EXPERIENCE_USING_HOSPITAL_WALL_SUCTION</w:t>
      </w:r>
    </w:p>
    <w:p w14:paraId="74950601" w14:textId="77777777"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Ousey, K., Atkin, L., Milne, J. and Henderson, V. (2014), ‘The changing role of the tissue viability nurse: An exploration of this multifaceted post’, </w:t>
      </w:r>
      <w:r w:rsidRPr="00B94530">
        <w:rPr>
          <w:rFonts w:ascii="Times New Roman" w:hAnsi="Times New Roman" w:cs="Times New Roman"/>
          <w:i/>
          <w:iCs/>
          <w:kern w:val="0"/>
          <w:sz w:val="24"/>
          <w:szCs w:val="24"/>
          <w:lang w:val="en-US"/>
        </w:rPr>
        <w:t>Wounds UK</w:t>
      </w:r>
      <w:r w:rsidRPr="00B94530">
        <w:rPr>
          <w:rFonts w:ascii="Times New Roman" w:hAnsi="Times New Roman" w:cs="Times New Roman"/>
          <w:kern w:val="0"/>
          <w:sz w:val="24"/>
          <w:szCs w:val="24"/>
          <w:lang w:val="en-US"/>
        </w:rPr>
        <w:t xml:space="preserve">, 10(4), pp 54–61. Available at: </w:t>
      </w:r>
      <w:hyperlink r:id="rId17" w:history="1">
        <w:r w:rsidRPr="00B94530">
          <w:rPr>
            <w:rFonts w:ascii="Times New Roman" w:hAnsi="Times New Roman" w:cs="Times New Roman"/>
            <w:kern w:val="0"/>
            <w:sz w:val="24"/>
            <w:szCs w:val="24"/>
            <w:lang w:val="en-US"/>
          </w:rPr>
          <w:t>https://pure.hud.ac.uk/en/publications/the-changing-role-of-the-tissue-viability-nurse-an-exploration-of</w:t>
        </w:r>
      </w:hyperlink>
      <w:r w:rsidRPr="00B94530">
        <w:rPr>
          <w:rFonts w:ascii="Times New Roman" w:hAnsi="Times New Roman" w:cs="Times New Roman"/>
          <w:kern w:val="0"/>
          <w:sz w:val="24"/>
          <w:szCs w:val="24"/>
          <w:lang w:val="en-US"/>
        </w:rPr>
        <w:t>.</w:t>
      </w:r>
    </w:p>
    <w:p w14:paraId="14144ECD" w14:textId="77777777" w:rsidR="00723182" w:rsidRPr="00B94530" w:rsidRDefault="00723182"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B94530">
        <w:rPr>
          <w:rFonts w:ascii="Times New Roman" w:hAnsi="Times New Roman" w:cs="Times New Roman"/>
          <w:kern w:val="0"/>
          <w:sz w:val="24"/>
          <w:szCs w:val="24"/>
          <w:lang w:val="en-US"/>
        </w:rPr>
        <w:t xml:space="preserve">Ovington, L.G. (2007), ‘Advances in wound dressings’, </w:t>
      </w:r>
      <w:r w:rsidRPr="00B94530">
        <w:rPr>
          <w:rFonts w:ascii="Times New Roman" w:hAnsi="Times New Roman" w:cs="Times New Roman"/>
          <w:i/>
          <w:iCs/>
          <w:kern w:val="0"/>
          <w:sz w:val="24"/>
          <w:szCs w:val="24"/>
          <w:lang w:val="en-US"/>
        </w:rPr>
        <w:t>Clinics in Dermatology</w:t>
      </w:r>
      <w:r w:rsidRPr="00B94530">
        <w:rPr>
          <w:rFonts w:ascii="Times New Roman" w:hAnsi="Times New Roman" w:cs="Times New Roman"/>
          <w:kern w:val="0"/>
          <w:sz w:val="24"/>
          <w:szCs w:val="24"/>
          <w:lang w:val="en-US"/>
        </w:rPr>
        <w:t xml:space="preserve">, 25(1), pp 33–38. Available at: </w:t>
      </w:r>
      <w:hyperlink r:id="rId18" w:history="1">
        <w:r w:rsidRPr="00B94530">
          <w:rPr>
            <w:rFonts w:ascii="Times New Roman" w:hAnsi="Times New Roman" w:cs="Times New Roman"/>
            <w:kern w:val="0"/>
            <w:sz w:val="24"/>
            <w:szCs w:val="24"/>
            <w:lang w:val="en-US"/>
          </w:rPr>
          <w:t>https://doi.org/10.1016/j.clindermatol.2006.09.003</w:t>
        </w:r>
      </w:hyperlink>
      <w:r w:rsidRPr="00B94530">
        <w:rPr>
          <w:rFonts w:ascii="Times New Roman" w:hAnsi="Times New Roman" w:cs="Times New Roman"/>
          <w:kern w:val="0"/>
          <w:sz w:val="24"/>
          <w:szCs w:val="24"/>
          <w:lang w:val="en-US"/>
        </w:rPr>
        <w:t>.</w:t>
      </w:r>
    </w:p>
    <w:p w14:paraId="26E75206" w14:textId="4A3E1605" w:rsidR="00557C0C" w:rsidRPr="00557C0C" w:rsidRDefault="00557C0C" w:rsidP="00985C05">
      <w:pPr>
        <w:pStyle w:val="ListParagraph"/>
        <w:widowControl w:val="0"/>
        <w:numPr>
          <w:ilvl w:val="0"/>
          <w:numId w:val="5"/>
        </w:numPr>
        <w:autoSpaceDE w:val="0"/>
        <w:autoSpaceDN w:val="0"/>
        <w:adjustRightInd w:val="0"/>
        <w:spacing w:after="240" w:line="240" w:lineRule="auto"/>
        <w:rPr>
          <w:rFonts w:ascii="Times New Roman" w:hAnsi="Times New Roman" w:cs="Times New Roman"/>
          <w:kern w:val="0"/>
          <w:sz w:val="24"/>
          <w:szCs w:val="24"/>
          <w:lang w:val="en-US"/>
        </w:rPr>
      </w:pPr>
      <w:r w:rsidRPr="00557C0C">
        <w:rPr>
          <w:rFonts w:ascii="Times New Roman" w:hAnsi="Times New Roman" w:cs="Times New Roman"/>
          <w:kern w:val="0"/>
          <w:sz w:val="24"/>
          <w:szCs w:val="24"/>
          <w:lang w:val="en-US"/>
        </w:rPr>
        <w:t>Smith, A. B. (2023)</w:t>
      </w:r>
      <w:r w:rsidR="00101D20">
        <w:rPr>
          <w:rFonts w:ascii="Times New Roman" w:hAnsi="Times New Roman" w:cs="Times New Roman"/>
          <w:kern w:val="0"/>
          <w:sz w:val="24"/>
          <w:szCs w:val="24"/>
          <w:lang w:val="en-US"/>
        </w:rPr>
        <w:t>,</w:t>
      </w:r>
      <w:r w:rsidRPr="00557C0C">
        <w:rPr>
          <w:rFonts w:ascii="Times New Roman" w:hAnsi="Times New Roman" w:cs="Times New Roman"/>
          <w:kern w:val="0"/>
          <w:sz w:val="24"/>
          <w:szCs w:val="24"/>
          <w:lang w:val="en-US"/>
        </w:rPr>
        <w:t xml:space="preserve"> </w:t>
      </w:r>
      <w:r w:rsidRPr="00557C0C">
        <w:rPr>
          <w:rFonts w:ascii="Times New Roman" w:hAnsi="Times New Roman" w:cs="Times New Roman"/>
          <w:i/>
          <w:iCs/>
          <w:kern w:val="0"/>
          <w:sz w:val="24"/>
          <w:szCs w:val="24"/>
          <w:lang w:val="en-US"/>
        </w:rPr>
        <w:t>The Integral Role of Tissue Viability Nurses in Wound Management and Skin Integrity. Scholar Al Journal of Healthcare</w:t>
      </w:r>
      <w:r w:rsidR="00101D20">
        <w:rPr>
          <w:rFonts w:ascii="Times New Roman" w:hAnsi="Times New Roman" w:cs="Times New Roman"/>
          <w:kern w:val="0"/>
          <w:sz w:val="24"/>
          <w:szCs w:val="24"/>
          <w:lang w:val="en-US"/>
        </w:rPr>
        <w:t>,</w:t>
      </w:r>
      <w:r w:rsidRPr="00557C0C">
        <w:rPr>
          <w:rFonts w:ascii="Times New Roman" w:hAnsi="Times New Roman" w:cs="Times New Roman"/>
          <w:kern w:val="0"/>
          <w:sz w:val="24"/>
          <w:szCs w:val="24"/>
          <w:lang w:val="en-US"/>
        </w:rPr>
        <w:t xml:space="preserve"> pp</w:t>
      </w:r>
      <w:r w:rsidR="00101D20">
        <w:rPr>
          <w:rFonts w:ascii="Times New Roman" w:hAnsi="Times New Roman" w:cs="Times New Roman"/>
          <w:kern w:val="0"/>
          <w:sz w:val="24"/>
          <w:szCs w:val="24"/>
          <w:lang w:val="en-US"/>
        </w:rPr>
        <w:t xml:space="preserve"> </w:t>
      </w:r>
      <w:r w:rsidRPr="00557C0C">
        <w:rPr>
          <w:rFonts w:ascii="Times New Roman" w:hAnsi="Times New Roman" w:cs="Times New Roman"/>
          <w:kern w:val="0"/>
          <w:sz w:val="24"/>
          <w:szCs w:val="24"/>
          <w:lang w:val="en-US"/>
        </w:rPr>
        <w:t xml:space="preserve">55(1), 78–92. Available at: </w:t>
      </w:r>
      <w:hyperlink r:id="rId19" w:history="1">
        <w:r w:rsidRPr="00557C0C">
          <w:rPr>
            <w:rFonts w:ascii="Times New Roman" w:hAnsi="Times New Roman" w:cs="Times New Roman"/>
            <w:kern w:val="0"/>
            <w:sz w:val="24"/>
            <w:szCs w:val="24"/>
            <w:lang w:val="en-US"/>
          </w:rPr>
          <w:t>https://wounds-uk.com/wp-content/uploads/sites/2/2023/02/content_11514.pdf</w:t>
        </w:r>
      </w:hyperlink>
      <w:r w:rsidRPr="00557C0C">
        <w:rPr>
          <w:rFonts w:ascii="Times New Roman" w:hAnsi="Times New Roman" w:cs="Times New Roman"/>
          <w:kern w:val="0"/>
          <w:sz w:val="24"/>
          <w:szCs w:val="24"/>
          <w:lang w:val="en-US"/>
        </w:rPr>
        <w:t>.</w:t>
      </w:r>
    </w:p>
    <w:p w14:paraId="366E3E97" w14:textId="3024116F" w:rsidR="00222BF0" w:rsidRDefault="001C38E5" w:rsidP="00985C05">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r w:rsidRPr="001C38E5">
        <w:rPr>
          <w:rFonts w:ascii="Times New Roman" w:hAnsi="Times New Roman" w:cs="Times New Roman"/>
          <w:kern w:val="0"/>
          <w:sz w:val="24"/>
          <w:szCs w:val="24"/>
          <w:lang w:val="en-US"/>
        </w:rPr>
        <w:t xml:space="preserve">Stephens, M., Wynn, M., Pradeep, S., </w:t>
      </w:r>
      <w:proofErr w:type="spellStart"/>
      <w:r w:rsidRPr="001C38E5">
        <w:rPr>
          <w:rFonts w:ascii="Times New Roman" w:hAnsi="Times New Roman" w:cs="Times New Roman"/>
          <w:kern w:val="0"/>
          <w:sz w:val="24"/>
          <w:szCs w:val="24"/>
          <w:lang w:val="en-US"/>
        </w:rPr>
        <w:t>Staniecka</w:t>
      </w:r>
      <w:proofErr w:type="spellEnd"/>
      <w:r w:rsidRPr="001C38E5">
        <w:rPr>
          <w:rFonts w:ascii="Times New Roman" w:hAnsi="Times New Roman" w:cs="Times New Roman"/>
          <w:kern w:val="0"/>
          <w:sz w:val="24"/>
          <w:szCs w:val="24"/>
          <w:lang w:val="en-US"/>
        </w:rPr>
        <w:t>, K., Gill, A., Brown, E. and Matthew, C. (2023)</w:t>
      </w:r>
      <w:r w:rsidR="00101D20">
        <w:rPr>
          <w:rFonts w:ascii="Times New Roman" w:hAnsi="Times New Roman" w:cs="Times New Roman"/>
          <w:kern w:val="0"/>
          <w:sz w:val="24"/>
          <w:szCs w:val="24"/>
          <w:lang w:val="en-US"/>
        </w:rPr>
        <w:t>,</w:t>
      </w:r>
      <w:r w:rsidRPr="001C38E5">
        <w:rPr>
          <w:rFonts w:ascii="Times New Roman" w:hAnsi="Times New Roman" w:cs="Times New Roman"/>
          <w:kern w:val="0"/>
          <w:sz w:val="24"/>
          <w:szCs w:val="24"/>
          <w:lang w:val="en-US"/>
        </w:rPr>
        <w:t xml:space="preserve"> </w:t>
      </w:r>
      <w:r w:rsidR="00101D20">
        <w:rPr>
          <w:rFonts w:ascii="Times New Roman" w:hAnsi="Times New Roman" w:cs="Times New Roman"/>
          <w:kern w:val="0"/>
          <w:sz w:val="24"/>
          <w:szCs w:val="24"/>
          <w:lang w:val="en-US"/>
        </w:rPr>
        <w:t>‘</w:t>
      </w:r>
      <w:r w:rsidRPr="001C38E5">
        <w:rPr>
          <w:rFonts w:ascii="Times New Roman" w:hAnsi="Times New Roman" w:cs="Times New Roman"/>
          <w:kern w:val="0"/>
          <w:sz w:val="24"/>
          <w:szCs w:val="24"/>
          <w:lang w:val="en-US"/>
        </w:rPr>
        <w:t>Getting wound care right: evaluation of a week of intensive teaching on wound care for undergraduate nursing students</w:t>
      </w:r>
      <w:r w:rsidR="00101D20">
        <w:rPr>
          <w:rFonts w:ascii="Times New Roman" w:hAnsi="Times New Roman" w:cs="Times New Roman"/>
          <w:kern w:val="0"/>
          <w:sz w:val="24"/>
          <w:szCs w:val="24"/>
          <w:lang w:val="en-US"/>
        </w:rPr>
        <w:t xml:space="preserve">’, </w:t>
      </w:r>
      <w:r w:rsidRPr="001C38E5">
        <w:rPr>
          <w:rFonts w:ascii="Times New Roman" w:hAnsi="Times New Roman" w:cs="Times New Roman"/>
          <w:i/>
          <w:iCs/>
          <w:kern w:val="0"/>
          <w:sz w:val="24"/>
          <w:szCs w:val="24"/>
          <w:lang w:val="en-US"/>
        </w:rPr>
        <w:t>British Journal of Nursing</w:t>
      </w:r>
      <w:r w:rsidRPr="001C38E5">
        <w:rPr>
          <w:rFonts w:ascii="Times New Roman" w:hAnsi="Times New Roman" w:cs="Times New Roman"/>
          <w:kern w:val="0"/>
          <w:sz w:val="24"/>
          <w:szCs w:val="24"/>
          <w:lang w:val="en-US"/>
        </w:rPr>
        <w:t>, 32(12), pp</w:t>
      </w:r>
      <w:r w:rsidR="00101D20">
        <w:rPr>
          <w:rFonts w:ascii="Times New Roman" w:hAnsi="Times New Roman" w:cs="Times New Roman"/>
          <w:kern w:val="0"/>
          <w:sz w:val="24"/>
          <w:szCs w:val="24"/>
          <w:lang w:val="en-US"/>
        </w:rPr>
        <w:t xml:space="preserve"> </w:t>
      </w:r>
      <w:r w:rsidRPr="001C38E5">
        <w:rPr>
          <w:rFonts w:ascii="Times New Roman" w:hAnsi="Times New Roman" w:cs="Times New Roman"/>
          <w:kern w:val="0"/>
          <w:sz w:val="24"/>
          <w:szCs w:val="24"/>
          <w:lang w:val="en-US"/>
        </w:rPr>
        <w:t xml:space="preserve">S36–S42. </w:t>
      </w:r>
      <w:r w:rsidR="00101D20">
        <w:rPr>
          <w:rFonts w:ascii="Times New Roman" w:hAnsi="Times New Roman" w:cs="Times New Roman"/>
          <w:kern w:val="0"/>
          <w:sz w:val="24"/>
          <w:szCs w:val="24"/>
          <w:lang w:val="en-US"/>
        </w:rPr>
        <w:t xml:space="preserve">Available to: </w:t>
      </w:r>
      <w:hyperlink r:id="rId20" w:history="1">
        <w:r w:rsidRPr="001C38E5">
          <w:rPr>
            <w:rFonts w:ascii="Times New Roman" w:hAnsi="Times New Roman" w:cs="Times New Roman"/>
            <w:kern w:val="0"/>
            <w:sz w:val="24"/>
            <w:szCs w:val="24"/>
            <w:lang w:val="en-US"/>
          </w:rPr>
          <w:t>https://doi.org/10.12968/bjon.2023.32.12.S36</w:t>
        </w:r>
      </w:hyperlink>
      <w:r w:rsidRPr="001C38E5">
        <w:rPr>
          <w:rFonts w:ascii="Times New Roman" w:hAnsi="Times New Roman" w:cs="Times New Roman"/>
          <w:kern w:val="0"/>
          <w:sz w:val="24"/>
          <w:szCs w:val="24"/>
          <w:lang w:val="en-US"/>
        </w:rPr>
        <w:t>.</w:t>
      </w:r>
      <w:r w:rsidR="00222BF0" w:rsidRPr="00222BF0">
        <w:rPr>
          <w:rFonts w:ascii="Times New Roman" w:hAnsi="Times New Roman" w:cs="Times New Roman"/>
          <w:kern w:val="0"/>
          <w:sz w:val="24"/>
          <w:szCs w:val="24"/>
          <w:lang w:val="en-US"/>
        </w:rPr>
        <w:t xml:space="preserve"> </w:t>
      </w:r>
    </w:p>
    <w:p w14:paraId="6CEFD625" w14:textId="3F2B0B14" w:rsidR="001C38E5" w:rsidRPr="00985C05" w:rsidRDefault="00222BF0" w:rsidP="00AA4351">
      <w:pPr>
        <w:pStyle w:val="ListParagraph"/>
        <w:widowControl w:val="0"/>
        <w:numPr>
          <w:ilvl w:val="0"/>
          <w:numId w:val="5"/>
        </w:numPr>
        <w:autoSpaceDE w:val="0"/>
        <w:autoSpaceDN w:val="0"/>
        <w:adjustRightInd w:val="0"/>
        <w:spacing w:after="240" w:line="240" w:lineRule="auto"/>
        <w:jc w:val="both"/>
        <w:rPr>
          <w:rFonts w:ascii="Times New Roman" w:hAnsi="Times New Roman" w:cs="Times New Roman"/>
          <w:kern w:val="0"/>
          <w:sz w:val="24"/>
          <w:szCs w:val="24"/>
          <w:lang w:val="en-US"/>
        </w:rPr>
      </w:pPr>
      <w:proofErr w:type="spellStart"/>
      <w:r w:rsidRPr="00985C05">
        <w:rPr>
          <w:rFonts w:ascii="Times New Roman" w:hAnsi="Times New Roman" w:cs="Times New Roman"/>
          <w:kern w:val="0"/>
          <w:sz w:val="24"/>
          <w:szCs w:val="24"/>
          <w:lang w:val="en-US"/>
        </w:rPr>
        <w:t>Žulec</w:t>
      </w:r>
      <w:proofErr w:type="spellEnd"/>
      <w:r w:rsidRPr="00985C05">
        <w:rPr>
          <w:rFonts w:ascii="Times New Roman" w:hAnsi="Times New Roman" w:cs="Times New Roman"/>
          <w:kern w:val="0"/>
          <w:sz w:val="24"/>
          <w:szCs w:val="24"/>
          <w:lang w:val="en-US"/>
        </w:rPr>
        <w:t xml:space="preserve">, M., Rotar Pavlič, D. and </w:t>
      </w:r>
      <w:proofErr w:type="spellStart"/>
      <w:r w:rsidRPr="00985C05">
        <w:rPr>
          <w:rFonts w:ascii="Times New Roman" w:hAnsi="Times New Roman" w:cs="Times New Roman"/>
          <w:kern w:val="0"/>
          <w:sz w:val="24"/>
          <w:szCs w:val="24"/>
          <w:lang w:val="en-US"/>
        </w:rPr>
        <w:t>Žulec</w:t>
      </w:r>
      <w:proofErr w:type="spellEnd"/>
      <w:r w:rsidRPr="00985C05">
        <w:rPr>
          <w:rFonts w:ascii="Times New Roman" w:hAnsi="Times New Roman" w:cs="Times New Roman"/>
          <w:kern w:val="0"/>
          <w:sz w:val="24"/>
          <w:szCs w:val="24"/>
          <w:lang w:val="en-US"/>
        </w:rPr>
        <w:t xml:space="preserve">, A. (2022), ‘The Effect of an Educational Intervention on Self-Care in Patients with Venous Leg Ulcers—A Randomized Controlled Trial’, </w:t>
      </w:r>
      <w:r w:rsidRPr="00985C05">
        <w:rPr>
          <w:rFonts w:ascii="Times New Roman" w:hAnsi="Times New Roman" w:cs="Times New Roman"/>
          <w:i/>
          <w:iCs/>
          <w:kern w:val="0"/>
          <w:sz w:val="24"/>
          <w:szCs w:val="24"/>
          <w:lang w:val="en-US"/>
        </w:rPr>
        <w:t>International Journal of Environmental Research and Public Health</w:t>
      </w:r>
      <w:r w:rsidRPr="00985C05">
        <w:rPr>
          <w:rFonts w:ascii="Times New Roman" w:hAnsi="Times New Roman" w:cs="Times New Roman"/>
          <w:kern w:val="0"/>
          <w:sz w:val="24"/>
          <w:szCs w:val="24"/>
          <w:lang w:val="en-US"/>
        </w:rPr>
        <w:t xml:space="preserve">, 19(8), pp 4657. Available at: </w:t>
      </w:r>
      <w:hyperlink r:id="rId21" w:history="1">
        <w:r w:rsidRPr="00985C05">
          <w:rPr>
            <w:rFonts w:ascii="Times New Roman" w:hAnsi="Times New Roman" w:cs="Times New Roman"/>
            <w:kern w:val="0"/>
            <w:sz w:val="24"/>
            <w:szCs w:val="24"/>
            <w:lang w:val="en-US"/>
          </w:rPr>
          <w:t>https://doi.org/10.3390/ijerph19084657</w:t>
        </w:r>
      </w:hyperlink>
      <w:r w:rsidRPr="00985C05">
        <w:rPr>
          <w:rFonts w:ascii="Times New Roman" w:hAnsi="Times New Roman" w:cs="Times New Roman"/>
          <w:kern w:val="0"/>
          <w:sz w:val="24"/>
          <w:szCs w:val="24"/>
          <w:lang w:val="en-US"/>
        </w:rPr>
        <w:t>.</w:t>
      </w:r>
    </w:p>
    <w:p w14:paraId="68E3242E" w14:textId="77777777" w:rsidR="001C38E5" w:rsidRPr="00B94530" w:rsidRDefault="001C38E5" w:rsidP="00222BF0">
      <w:pPr>
        <w:pStyle w:val="ListParagraph"/>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04103B45" w14:textId="77777777" w:rsidR="002365CA" w:rsidRPr="00B94530" w:rsidRDefault="002365CA" w:rsidP="006D3531">
      <w:pPr>
        <w:jc w:val="both"/>
        <w:rPr>
          <w:rFonts w:ascii="Times New Roman" w:hAnsi="Times New Roman" w:cs="Times New Roman"/>
          <w:sz w:val="24"/>
          <w:szCs w:val="24"/>
        </w:rPr>
      </w:pPr>
    </w:p>
    <w:p w14:paraId="25ECFFFC" w14:textId="77777777" w:rsidR="00CB5554" w:rsidRPr="00B94530" w:rsidRDefault="00CB5554" w:rsidP="006D3531">
      <w:pPr>
        <w:jc w:val="both"/>
        <w:rPr>
          <w:rFonts w:ascii="Times New Roman" w:hAnsi="Times New Roman" w:cs="Times New Roman"/>
          <w:sz w:val="24"/>
          <w:szCs w:val="24"/>
        </w:rPr>
      </w:pPr>
    </w:p>
    <w:sectPr w:rsidR="00CB5554" w:rsidRPr="00B94530">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51193" w14:textId="77777777" w:rsidR="00101D20" w:rsidRDefault="00101D20" w:rsidP="00101D20">
      <w:pPr>
        <w:spacing w:after="0" w:line="240" w:lineRule="auto"/>
      </w:pPr>
      <w:r>
        <w:separator/>
      </w:r>
    </w:p>
  </w:endnote>
  <w:endnote w:type="continuationSeparator" w:id="0">
    <w:p w14:paraId="1B54F8CD" w14:textId="77777777" w:rsidR="00101D20" w:rsidRDefault="00101D20" w:rsidP="00101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970345"/>
      <w:docPartObj>
        <w:docPartGallery w:val="Page Numbers (Bottom of Page)"/>
        <w:docPartUnique/>
      </w:docPartObj>
    </w:sdtPr>
    <w:sdtEndPr/>
    <w:sdtContent>
      <w:p w14:paraId="3ABFBD76" w14:textId="095CE3CF" w:rsidR="00101D20" w:rsidRDefault="00101D20">
        <w:pPr>
          <w:pStyle w:val="Footer"/>
          <w:jc w:val="right"/>
        </w:pPr>
        <w:r>
          <w:fldChar w:fldCharType="begin"/>
        </w:r>
        <w:r>
          <w:instrText>PAGE   \* MERGEFORMAT</w:instrText>
        </w:r>
        <w:r>
          <w:fldChar w:fldCharType="separate"/>
        </w:r>
        <w:r>
          <w:t>2</w:t>
        </w:r>
        <w:r>
          <w:fldChar w:fldCharType="end"/>
        </w:r>
      </w:p>
    </w:sdtContent>
  </w:sdt>
  <w:p w14:paraId="6B692B99" w14:textId="77777777" w:rsidR="00101D20" w:rsidRDefault="00101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505A0" w14:textId="77777777" w:rsidR="00101D20" w:rsidRDefault="00101D20" w:rsidP="00101D20">
      <w:pPr>
        <w:spacing w:after="0" w:line="240" w:lineRule="auto"/>
      </w:pPr>
      <w:r>
        <w:separator/>
      </w:r>
    </w:p>
  </w:footnote>
  <w:footnote w:type="continuationSeparator" w:id="0">
    <w:p w14:paraId="7C0AC619" w14:textId="77777777" w:rsidR="00101D20" w:rsidRDefault="00101D20" w:rsidP="00101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786"/>
    <w:multiLevelType w:val="hybridMultilevel"/>
    <w:tmpl w:val="30D00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32DE6"/>
    <w:multiLevelType w:val="hybridMultilevel"/>
    <w:tmpl w:val="ABD82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A668EF"/>
    <w:multiLevelType w:val="multilevel"/>
    <w:tmpl w:val="AE86B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E71E9E"/>
    <w:multiLevelType w:val="hybridMultilevel"/>
    <w:tmpl w:val="8F820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D804C8"/>
    <w:multiLevelType w:val="hybridMultilevel"/>
    <w:tmpl w:val="4F98D0C2"/>
    <w:lvl w:ilvl="0" w:tplc="32D4551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1424895">
    <w:abstractNumId w:val="2"/>
  </w:num>
  <w:num w:numId="2" w16cid:durableId="626739902">
    <w:abstractNumId w:val="4"/>
  </w:num>
  <w:num w:numId="3" w16cid:durableId="1249077497">
    <w:abstractNumId w:val="1"/>
  </w:num>
  <w:num w:numId="4" w16cid:durableId="525221239">
    <w:abstractNumId w:val="3"/>
  </w:num>
  <w:num w:numId="5" w16cid:durableId="459615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20F"/>
    <w:rsid w:val="00001576"/>
    <w:rsid w:val="00083BDC"/>
    <w:rsid w:val="00090B0B"/>
    <w:rsid w:val="000A3A2E"/>
    <w:rsid w:val="000D043F"/>
    <w:rsid w:val="000E01C1"/>
    <w:rsid w:val="00101D20"/>
    <w:rsid w:val="00114419"/>
    <w:rsid w:val="0014223D"/>
    <w:rsid w:val="00145F73"/>
    <w:rsid w:val="00163B99"/>
    <w:rsid w:val="001C38E5"/>
    <w:rsid w:val="001D0E24"/>
    <w:rsid w:val="001D64C1"/>
    <w:rsid w:val="001E297C"/>
    <w:rsid w:val="00213793"/>
    <w:rsid w:val="00222BF0"/>
    <w:rsid w:val="002365CA"/>
    <w:rsid w:val="00240DE9"/>
    <w:rsid w:val="00271BB5"/>
    <w:rsid w:val="002F4815"/>
    <w:rsid w:val="00325263"/>
    <w:rsid w:val="003341CA"/>
    <w:rsid w:val="0039334A"/>
    <w:rsid w:val="003B152C"/>
    <w:rsid w:val="004011D0"/>
    <w:rsid w:val="00415AFD"/>
    <w:rsid w:val="00477566"/>
    <w:rsid w:val="00553CC3"/>
    <w:rsid w:val="00557C0C"/>
    <w:rsid w:val="005867B3"/>
    <w:rsid w:val="005950B4"/>
    <w:rsid w:val="005A3096"/>
    <w:rsid w:val="00606703"/>
    <w:rsid w:val="006262EB"/>
    <w:rsid w:val="0065296A"/>
    <w:rsid w:val="006A7102"/>
    <w:rsid w:val="006B0B35"/>
    <w:rsid w:val="006B2CAF"/>
    <w:rsid w:val="006D3531"/>
    <w:rsid w:val="006D3785"/>
    <w:rsid w:val="006E68CB"/>
    <w:rsid w:val="00723182"/>
    <w:rsid w:val="007272C1"/>
    <w:rsid w:val="00732F50"/>
    <w:rsid w:val="0075470D"/>
    <w:rsid w:val="007C1464"/>
    <w:rsid w:val="00823DB6"/>
    <w:rsid w:val="00825A0B"/>
    <w:rsid w:val="00832326"/>
    <w:rsid w:val="00866319"/>
    <w:rsid w:val="0089637E"/>
    <w:rsid w:val="00901BA5"/>
    <w:rsid w:val="00943E66"/>
    <w:rsid w:val="009801F1"/>
    <w:rsid w:val="00985C05"/>
    <w:rsid w:val="0099220F"/>
    <w:rsid w:val="00A42E4F"/>
    <w:rsid w:val="00A53934"/>
    <w:rsid w:val="00A7131F"/>
    <w:rsid w:val="00A857F2"/>
    <w:rsid w:val="00AB6B75"/>
    <w:rsid w:val="00AC0D6A"/>
    <w:rsid w:val="00AD0F75"/>
    <w:rsid w:val="00AF22F1"/>
    <w:rsid w:val="00AF530C"/>
    <w:rsid w:val="00B06A6C"/>
    <w:rsid w:val="00B13566"/>
    <w:rsid w:val="00B94530"/>
    <w:rsid w:val="00BA6D59"/>
    <w:rsid w:val="00BB4BD7"/>
    <w:rsid w:val="00BD3A20"/>
    <w:rsid w:val="00C22EFB"/>
    <w:rsid w:val="00C35598"/>
    <w:rsid w:val="00CB24D3"/>
    <w:rsid w:val="00CB5554"/>
    <w:rsid w:val="00CC07AC"/>
    <w:rsid w:val="00CD5A40"/>
    <w:rsid w:val="00CE0D7C"/>
    <w:rsid w:val="00CF0488"/>
    <w:rsid w:val="00D47277"/>
    <w:rsid w:val="00D51BDC"/>
    <w:rsid w:val="00D81CF6"/>
    <w:rsid w:val="00D94305"/>
    <w:rsid w:val="00E24F57"/>
    <w:rsid w:val="00E55360"/>
    <w:rsid w:val="00E9488F"/>
    <w:rsid w:val="00F5309F"/>
    <w:rsid w:val="00F5565D"/>
    <w:rsid w:val="00F84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A9619"/>
  <w15:chartTrackingRefBased/>
  <w15:docId w15:val="{60A9C06D-9FAD-4B90-828D-38FDCB338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20F"/>
    <w:pPr>
      <w:ind w:left="720"/>
      <w:contextualSpacing/>
    </w:pPr>
  </w:style>
  <w:style w:type="character" w:styleId="Hyperlink">
    <w:name w:val="Hyperlink"/>
    <w:basedOn w:val="DefaultParagraphFont"/>
    <w:uiPriority w:val="99"/>
    <w:unhideWhenUsed/>
    <w:rsid w:val="00A7131F"/>
    <w:rPr>
      <w:color w:val="0563C1" w:themeColor="hyperlink"/>
      <w:u w:val="single"/>
    </w:rPr>
  </w:style>
  <w:style w:type="character" w:styleId="UnresolvedMention">
    <w:name w:val="Unresolved Mention"/>
    <w:basedOn w:val="DefaultParagraphFont"/>
    <w:uiPriority w:val="99"/>
    <w:semiHidden/>
    <w:unhideWhenUsed/>
    <w:rsid w:val="00A7131F"/>
    <w:rPr>
      <w:color w:val="605E5C"/>
      <w:shd w:val="clear" w:color="auto" w:fill="E1DFDD"/>
    </w:rPr>
  </w:style>
  <w:style w:type="character" w:styleId="Emphasis">
    <w:name w:val="Emphasis"/>
    <w:basedOn w:val="DefaultParagraphFont"/>
    <w:uiPriority w:val="20"/>
    <w:qFormat/>
    <w:rsid w:val="00BA6D59"/>
    <w:rPr>
      <w:i/>
      <w:iCs/>
    </w:rPr>
  </w:style>
  <w:style w:type="paragraph" w:styleId="Header">
    <w:name w:val="header"/>
    <w:basedOn w:val="Normal"/>
    <w:link w:val="HeaderChar"/>
    <w:uiPriority w:val="99"/>
    <w:unhideWhenUsed/>
    <w:rsid w:val="00101D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D20"/>
    <w:rPr>
      <w:lang w:val="en-GB"/>
    </w:rPr>
  </w:style>
  <w:style w:type="paragraph" w:styleId="Footer">
    <w:name w:val="footer"/>
    <w:basedOn w:val="Normal"/>
    <w:link w:val="FooterChar"/>
    <w:uiPriority w:val="99"/>
    <w:unhideWhenUsed/>
    <w:rsid w:val="00101D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D2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0824">
      <w:bodyDiv w:val="1"/>
      <w:marLeft w:val="0"/>
      <w:marRight w:val="0"/>
      <w:marTop w:val="0"/>
      <w:marBottom w:val="0"/>
      <w:divBdr>
        <w:top w:val="none" w:sz="0" w:space="0" w:color="auto"/>
        <w:left w:val="none" w:sz="0" w:space="0" w:color="auto"/>
        <w:bottom w:val="none" w:sz="0" w:space="0" w:color="auto"/>
        <w:right w:val="none" w:sz="0" w:space="0" w:color="auto"/>
      </w:divBdr>
    </w:div>
    <w:div w:id="119106460">
      <w:bodyDiv w:val="1"/>
      <w:marLeft w:val="0"/>
      <w:marRight w:val="0"/>
      <w:marTop w:val="0"/>
      <w:marBottom w:val="0"/>
      <w:divBdr>
        <w:top w:val="none" w:sz="0" w:space="0" w:color="auto"/>
        <w:left w:val="none" w:sz="0" w:space="0" w:color="auto"/>
        <w:bottom w:val="none" w:sz="0" w:space="0" w:color="auto"/>
        <w:right w:val="none" w:sz="0" w:space="0" w:color="auto"/>
      </w:divBdr>
    </w:div>
    <w:div w:id="254215310">
      <w:bodyDiv w:val="1"/>
      <w:marLeft w:val="0"/>
      <w:marRight w:val="0"/>
      <w:marTop w:val="0"/>
      <w:marBottom w:val="0"/>
      <w:divBdr>
        <w:top w:val="none" w:sz="0" w:space="0" w:color="auto"/>
        <w:left w:val="none" w:sz="0" w:space="0" w:color="auto"/>
        <w:bottom w:val="none" w:sz="0" w:space="0" w:color="auto"/>
        <w:right w:val="none" w:sz="0" w:space="0" w:color="auto"/>
      </w:divBdr>
    </w:div>
    <w:div w:id="428160715">
      <w:bodyDiv w:val="1"/>
      <w:marLeft w:val="0"/>
      <w:marRight w:val="0"/>
      <w:marTop w:val="0"/>
      <w:marBottom w:val="0"/>
      <w:divBdr>
        <w:top w:val="none" w:sz="0" w:space="0" w:color="auto"/>
        <w:left w:val="none" w:sz="0" w:space="0" w:color="auto"/>
        <w:bottom w:val="none" w:sz="0" w:space="0" w:color="auto"/>
        <w:right w:val="none" w:sz="0" w:space="0" w:color="auto"/>
      </w:divBdr>
    </w:div>
    <w:div w:id="788820241">
      <w:bodyDiv w:val="1"/>
      <w:marLeft w:val="0"/>
      <w:marRight w:val="0"/>
      <w:marTop w:val="0"/>
      <w:marBottom w:val="0"/>
      <w:divBdr>
        <w:top w:val="none" w:sz="0" w:space="0" w:color="auto"/>
        <w:left w:val="none" w:sz="0" w:space="0" w:color="auto"/>
        <w:bottom w:val="none" w:sz="0" w:space="0" w:color="auto"/>
        <w:right w:val="none" w:sz="0" w:space="0" w:color="auto"/>
      </w:divBdr>
    </w:div>
    <w:div w:id="1200122194">
      <w:bodyDiv w:val="1"/>
      <w:marLeft w:val="0"/>
      <w:marRight w:val="0"/>
      <w:marTop w:val="0"/>
      <w:marBottom w:val="0"/>
      <w:divBdr>
        <w:top w:val="none" w:sz="0" w:space="0" w:color="auto"/>
        <w:left w:val="none" w:sz="0" w:space="0" w:color="auto"/>
        <w:bottom w:val="none" w:sz="0" w:space="0" w:color="auto"/>
        <w:right w:val="none" w:sz="0" w:space="0" w:color="auto"/>
      </w:divBdr>
    </w:div>
    <w:div w:id="1213149275">
      <w:bodyDiv w:val="1"/>
      <w:marLeft w:val="0"/>
      <w:marRight w:val="0"/>
      <w:marTop w:val="0"/>
      <w:marBottom w:val="0"/>
      <w:divBdr>
        <w:top w:val="none" w:sz="0" w:space="0" w:color="auto"/>
        <w:left w:val="none" w:sz="0" w:space="0" w:color="auto"/>
        <w:bottom w:val="none" w:sz="0" w:space="0" w:color="auto"/>
        <w:right w:val="none" w:sz="0" w:space="0" w:color="auto"/>
      </w:divBdr>
    </w:div>
    <w:div w:id="1225526318">
      <w:bodyDiv w:val="1"/>
      <w:marLeft w:val="0"/>
      <w:marRight w:val="0"/>
      <w:marTop w:val="0"/>
      <w:marBottom w:val="0"/>
      <w:divBdr>
        <w:top w:val="none" w:sz="0" w:space="0" w:color="auto"/>
        <w:left w:val="none" w:sz="0" w:space="0" w:color="auto"/>
        <w:bottom w:val="none" w:sz="0" w:space="0" w:color="auto"/>
        <w:right w:val="none" w:sz="0" w:space="0" w:color="auto"/>
      </w:divBdr>
    </w:div>
    <w:div w:id="1245845922">
      <w:bodyDiv w:val="1"/>
      <w:marLeft w:val="0"/>
      <w:marRight w:val="0"/>
      <w:marTop w:val="0"/>
      <w:marBottom w:val="0"/>
      <w:divBdr>
        <w:top w:val="none" w:sz="0" w:space="0" w:color="auto"/>
        <w:left w:val="none" w:sz="0" w:space="0" w:color="auto"/>
        <w:bottom w:val="none" w:sz="0" w:space="0" w:color="auto"/>
        <w:right w:val="none" w:sz="0" w:space="0" w:color="auto"/>
      </w:divBdr>
    </w:div>
    <w:div w:id="1296251427">
      <w:bodyDiv w:val="1"/>
      <w:marLeft w:val="0"/>
      <w:marRight w:val="0"/>
      <w:marTop w:val="0"/>
      <w:marBottom w:val="0"/>
      <w:divBdr>
        <w:top w:val="none" w:sz="0" w:space="0" w:color="auto"/>
        <w:left w:val="none" w:sz="0" w:space="0" w:color="auto"/>
        <w:bottom w:val="none" w:sz="0" w:space="0" w:color="auto"/>
        <w:right w:val="none" w:sz="0" w:space="0" w:color="auto"/>
      </w:divBdr>
    </w:div>
    <w:div w:id="1423842756">
      <w:bodyDiv w:val="1"/>
      <w:marLeft w:val="0"/>
      <w:marRight w:val="0"/>
      <w:marTop w:val="0"/>
      <w:marBottom w:val="0"/>
      <w:divBdr>
        <w:top w:val="none" w:sz="0" w:space="0" w:color="auto"/>
        <w:left w:val="none" w:sz="0" w:space="0" w:color="auto"/>
        <w:bottom w:val="none" w:sz="0" w:space="0" w:color="auto"/>
        <w:right w:val="none" w:sz="0" w:space="0" w:color="auto"/>
      </w:divBdr>
    </w:div>
    <w:div w:id="1683820655">
      <w:bodyDiv w:val="1"/>
      <w:marLeft w:val="0"/>
      <w:marRight w:val="0"/>
      <w:marTop w:val="0"/>
      <w:marBottom w:val="0"/>
      <w:divBdr>
        <w:top w:val="none" w:sz="0" w:space="0" w:color="auto"/>
        <w:left w:val="none" w:sz="0" w:space="0" w:color="auto"/>
        <w:bottom w:val="none" w:sz="0" w:space="0" w:color="auto"/>
        <w:right w:val="none" w:sz="0" w:space="0" w:color="auto"/>
      </w:divBdr>
    </w:div>
    <w:div w:id="190401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ws.2008.12.001" TargetMode="External"/><Relationship Id="rId13" Type="http://schemas.openxmlformats.org/officeDocument/2006/relationships/hyperlink" Target="https://doi.org/10.1177/09697330211046654" TargetMode="External"/><Relationship Id="rId18" Type="http://schemas.openxmlformats.org/officeDocument/2006/relationships/hyperlink" Target="https://doi.org/10.1016/j.clindermatol.2006.09.003" TargetMode="External"/><Relationship Id="rId3" Type="http://schemas.openxmlformats.org/officeDocument/2006/relationships/settings" Target="settings.xml"/><Relationship Id="rId21" Type="http://schemas.openxmlformats.org/officeDocument/2006/relationships/hyperlink" Target="https://doi.org/10.3390/ijerph19084657" TargetMode="External"/><Relationship Id="rId7" Type="http://schemas.openxmlformats.org/officeDocument/2006/relationships/hyperlink" Target="https://www.britishjournalofnursing.com/content/editorial/maintaining-our-vision-for-tissue-viability-beyond-the-pandemic" TargetMode="External"/><Relationship Id="rId12" Type="http://schemas.openxmlformats.org/officeDocument/2006/relationships/hyperlink" Target="https://doi.org/10.1111/iwj.14219" TargetMode="External"/><Relationship Id="rId17" Type="http://schemas.openxmlformats.org/officeDocument/2006/relationships/hyperlink" Target="https://pure.hud.ac.uk/en/publications/the-changing-role-of-the-tissue-viability-nurse-an-exploration-of" TargetMode="External"/><Relationship Id="rId2" Type="http://schemas.openxmlformats.org/officeDocument/2006/relationships/styles" Target="styles.xml"/><Relationship Id="rId16" Type="http://schemas.openxmlformats.org/officeDocument/2006/relationships/hyperlink" Target="https://doi.org/10.2147/cwcmr.s260136" TargetMode="External"/><Relationship Id="rId20" Type="http://schemas.openxmlformats.org/officeDocument/2006/relationships/hyperlink" Target="https://doi.org/10.12968/bjon.2023.32.12.S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968/jowc.2003.12.5.2649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590/1980-265x-tce-2020-0260" TargetMode="External"/><Relationship Id="rId23" Type="http://schemas.openxmlformats.org/officeDocument/2006/relationships/fontTable" Target="fontTable.xml"/><Relationship Id="rId10" Type="http://schemas.openxmlformats.org/officeDocument/2006/relationships/hyperlink" Target="https://www.hmpgloballearningnetwork.com/site/twc/articles/doing-right-thing-ethics-and-wound-care" TargetMode="External"/><Relationship Id="rId19" Type="http://schemas.openxmlformats.org/officeDocument/2006/relationships/hyperlink" Target="https://wounds-uk.com/wp-content/uploads/sites/2/2023/02/content_11514.pdf" TargetMode="External"/><Relationship Id="rId4" Type="http://schemas.openxmlformats.org/officeDocument/2006/relationships/webSettings" Target="webSettings.xml"/><Relationship Id="rId9" Type="http://schemas.openxmlformats.org/officeDocument/2006/relationships/hyperlink" Target="https://doi.org/10.1016/j.jgar.2021.05.010" TargetMode="External"/><Relationship Id="rId14" Type="http://schemas.openxmlformats.org/officeDocument/2006/relationships/hyperlink" Target="https://www.ncbi.nlm.nih.gov/books/NBK57638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2073</Words>
  <Characters>11821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Tami Biban</cp:lastModifiedBy>
  <cp:revision>2</cp:revision>
  <dcterms:created xsi:type="dcterms:W3CDTF">2023-12-15T23:42:00Z</dcterms:created>
  <dcterms:modified xsi:type="dcterms:W3CDTF">2023-12-15T23:42:00Z</dcterms:modified>
</cp:coreProperties>
</file>