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D7BB45" w14:textId="5556C2E1" w:rsidR="00E90171" w:rsidRDefault="00E90171" w:rsidP="009722AE">
      <w:pPr>
        <w:jc w:val="center"/>
        <w:rPr>
          <w:rFonts w:ascii="Arial" w:hAnsi="Arial" w:cs="Arial"/>
        </w:rPr>
      </w:pPr>
      <w:r w:rsidRPr="0098015B">
        <w:rPr>
          <w:rFonts w:ascii="Arial" w:hAnsi="Arial" w:cs="Arial"/>
          <w:noProof/>
        </w:rPr>
        <w:drawing>
          <wp:inline distT="0" distB="0" distL="0" distR="0" wp14:anchorId="0EC96A71" wp14:editId="600537A2">
            <wp:extent cx="2636520" cy="1181460"/>
            <wp:effectExtent l="0" t="0" r="0" b="0"/>
            <wp:docPr id="1" name="Picture 1" descr="A gro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black text&#10;&#10;Description automatically generated"/>
                    <pic:cNvPicPr/>
                  </pic:nvPicPr>
                  <pic:blipFill>
                    <a:blip r:embed="rId7"/>
                    <a:stretch>
                      <a:fillRect/>
                    </a:stretch>
                  </pic:blipFill>
                  <pic:spPr>
                    <a:xfrm>
                      <a:off x="0" y="0"/>
                      <a:ext cx="2653874" cy="1189236"/>
                    </a:xfrm>
                    <a:prstGeom prst="rect">
                      <a:avLst/>
                    </a:prstGeom>
                  </pic:spPr>
                </pic:pic>
              </a:graphicData>
            </a:graphic>
          </wp:inline>
        </w:drawing>
      </w:r>
    </w:p>
    <w:p w14:paraId="3C6318C3" w14:textId="77777777" w:rsidR="007E24C6" w:rsidRDefault="007E24C6" w:rsidP="009722AE">
      <w:pPr>
        <w:jc w:val="center"/>
        <w:rPr>
          <w:rFonts w:ascii="Arial" w:hAnsi="Arial" w:cs="Arial"/>
        </w:rPr>
      </w:pPr>
    </w:p>
    <w:p w14:paraId="30EC5A8B" w14:textId="77777777" w:rsidR="007E24C6" w:rsidRDefault="007E24C6" w:rsidP="009722AE">
      <w:pPr>
        <w:jc w:val="center"/>
        <w:rPr>
          <w:rFonts w:ascii="Arial" w:hAnsi="Arial" w:cs="Arial"/>
        </w:rPr>
      </w:pPr>
    </w:p>
    <w:p w14:paraId="0040822F" w14:textId="77777777" w:rsidR="007E24C6" w:rsidRDefault="007E24C6" w:rsidP="009722AE">
      <w:pPr>
        <w:jc w:val="center"/>
        <w:rPr>
          <w:rFonts w:ascii="Arial" w:hAnsi="Arial" w:cs="Arial"/>
        </w:rPr>
      </w:pPr>
    </w:p>
    <w:p w14:paraId="65C89131" w14:textId="3D539F3A" w:rsidR="003966DE" w:rsidRPr="0015569D" w:rsidRDefault="003F6386" w:rsidP="009722AE">
      <w:pPr>
        <w:jc w:val="center"/>
        <w:rPr>
          <w:rFonts w:ascii="Arial" w:hAnsi="Arial" w:cs="Arial"/>
          <w:b/>
          <w:bCs/>
          <w:sz w:val="32"/>
          <w:szCs w:val="32"/>
        </w:rPr>
      </w:pPr>
      <w:r w:rsidRPr="0015569D">
        <w:rPr>
          <w:rFonts w:ascii="Arial" w:hAnsi="Arial" w:cs="Arial"/>
          <w:b/>
          <w:bCs/>
          <w:sz w:val="32"/>
          <w:szCs w:val="32"/>
        </w:rPr>
        <w:t>Institute of Mana</w:t>
      </w:r>
      <w:r w:rsidR="0033642A" w:rsidRPr="0015569D">
        <w:rPr>
          <w:rFonts w:ascii="Arial" w:hAnsi="Arial" w:cs="Arial"/>
          <w:b/>
          <w:bCs/>
          <w:sz w:val="32"/>
          <w:szCs w:val="32"/>
        </w:rPr>
        <w:t>gement and Health</w:t>
      </w:r>
    </w:p>
    <w:p w14:paraId="31B25584" w14:textId="5BAB2765" w:rsidR="009722AE" w:rsidRPr="0015569D" w:rsidRDefault="00F9348F" w:rsidP="009722AE">
      <w:pPr>
        <w:jc w:val="center"/>
        <w:rPr>
          <w:rFonts w:ascii="Arial" w:hAnsi="Arial" w:cs="Arial"/>
          <w:b/>
          <w:bCs/>
          <w:sz w:val="32"/>
          <w:szCs w:val="32"/>
        </w:rPr>
      </w:pPr>
      <w:r w:rsidRPr="0015569D">
        <w:rPr>
          <w:rFonts w:ascii="Arial" w:hAnsi="Arial" w:cs="Arial"/>
          <w:b/>
          <w:bCs/>
          <w:sz w:val="32"/>
          <w:szCs w:val="32"/>
        </w:rPr>
        <w:t xml:space="preserve">Academic Discipline of </w:t>
      </w:r>
      <w:r w:rsidR="00C0680D" w:rsidRPr="0015569D">
        <w:rPr>
          <w:rFonts w:ascii="Arial" w:hAnsi="Arial" w:cs="Arial"/>
          <w:b/>
          <w:bCs/>
          <w:sz w:val="32"/>
          <w:szCs w:val="32"/>
        </w:rPr>
        <w:t>Hospitality &amp; Tourism Management</w:t>
      </w:r>
    </w:p>
    <w:p w14:paraId="0CF5067F" w14:textId="154FAF8D" w:rsidR="007709B8" w:rsidRPr="007E24C6" w:rsidRDefault="00DD24FE" w:rsidP="00F27D54">
      <w:pPr>
        <w:jc w:val="center"/>
        <w:rPr>
          <w:bCs/>
          <w:sz w:val="32"/>
          <w:szCs w:val="32"/>
          <w:lang w:bidi="hi-IN"/>
        </w:rPr>
      </w:pPr>
      <w:r w:rsidRPr="007E24C6">
        <w:rPr>
          <w:rFonts w:ascii="Arial" w:eastAsiaTheme="majorEastAsia" w:hAnsi="Arial" w:cs="Arial"/>
          <w:b/>
          <w:bCs/>
          <w:spacing w:val="-10"/>
          <w:kern w:val="28"/>
          <w:sz w:val="32"/>
          <w:szCs w:val="32"/>
        </w:rPr>
        <w:t>BA International Hotel Management</w:t>
      </w:r>
    </w:p>
    <w:p w14:paraId="446E2917" w14:textId="77777777" w:rsidR="005B778E" w:rsidRDefault="005B778E" w:rsidP="000D354B">
      <w:pPr>
        <w:jc w:val="center"/>
        <w:rPr>
          <w:b/>
          <w:i/>
          <w:iCs/>
          <w:sz w:val="40"/>
          <w:szCs w:val="40"/>
          <w:lang w:bidi="hi-IN"/>
        </w:rPr>
      </w:pPr>
    </w:p>
    <w:p w14:paraId="234E250E" w14:textId="77777777" w:rsidR="00F27D54" w:rsidRDefault="00F27D54" w:rsidP="000D354B">
      <w:pPr>
        <w:jc w:val="center"/>
        <w:rPr>
          <w:b/>
          <w:i/>
          <w:iCs/>
          <w:sz w:val="40"/>
          <w:szCs w:val="40"/>
          <w:lang w:bidi="hi-IN"/>
        </w:rPr>
      </w:pPr>
    </w:p>
    <w:p w14:paraId="7BD8146F" w14:textId="77777777" w:rsidR="005B778E" w:rsidRPr="004469C2" w:rsidRDefault="0042054D" w:rsidP="000D354B">
      <w:pPr>
        <w:jc w:val="center"/>
        <w:rPr>
          <w:b/>
          <w:i/>
          <w:iCs/>
          <w:sz w:val="36"/>
          <w:szCs w:val="36"/>
          <w:lang w:bidi="hi-IN"/>
        </w:rPr>
      </w:pPr>
      <w:r w:rsidRPr="004469C2">
        <w:rPr>
          <w:b/>
          <w:i/>
          <w:iCs/>
          <w:sz w:val="36"/>
          <w:szCs w:val="36"/>
          <w:lang w:bidi="hi-IN"/>
        </w:rPr>
        <w:t>Diversity and Inclusion in Hospitality:</w:t>
      </w:r>
      <w:r w:rsidR="00225785" w:rsidRPr="004469C2">
        <w:rPr>
          <w:b/>
          <w:i/>
          <w:iCs/>
          <w:sz w:val="36"/>
          <w:szCs w:val="36"/>
          <w:lang w:bidi="hi-IN"/>
        </w:rPr>
        <w:t xml:space="preserve"> </w:t>
      </w:r>
    </w:p>
    <w:p w14:paraId="3AC85E54" w14:textId="75BA09E4" w:rsidR="002B64AD" w:rsidRPr="004469C2" w:rsidRDefault="00225785" w:rsidP="004469C2">
      <w:pPr>
        <w:jc w:val="center"/>
        <w:rPr>
          <w:b/>
          <w:i/>
          <w:iCs/>
          <w:sz w:val="36"/>
          <w:szCs w:val="36"/>
          <w:lang w:bidi="hi-IN"/>
        </w:rPr>
      </w:pPr>
      <w:r w:rsidRPr="004469C2">
        <w:rPr>
          <w:b/>
          <w:i/>
          <w:iCs/>
          <w:sz w:val="36"/>
          <w:szCs w:val="36"/>
          <w:lang w:bidi="hi-IN"/>
        </w:rPr>
        <w:t xml:space="preserve">A Comparative Study of </w:t>
      </w:r>
      <w:r w:rsidR="00AA3201" w:rsidRPr="004469C2">
        <w:rPr>
          <w:b/>
          <w:i/>
          <w:iCs/>
          <w:sz w:val="36"/>
          <w:szCs w:val="36"/>
          <w:lang w:bidi="hi-IN"/>
        </w:rPr>
        <w:t xml:space="preserve">Village Hotel and Ibis Hotel </w:t>
      </w:r>
      <w:r w:rsidR="008D39A3" w:rsidRPr="004469C2">
        <w:rPr>
          <w:b/>
          <w:i/>
          <w:iCs/>
          <w:sz w:val="36"/>
          <w:szCs w:val="36"/>
          <w:lang w:bidi="hi-IN"/>
        </w:rPr>
        <w:t>Swansea</w:t>
      </w:r>
    </w:p>
    <w:p w14:paraId="3562B30C" w14:textId="77777777" w:rsidR="007709B8" w:rsidRPr="004469C2" w:rsidRDefault="007709B8" w:rsidP="004469C2">
      <w:pPr>
        <w:pStyle w:val="Title"/>
        <w:jc w:val="center"/>
        <w:rPr>
          <w:rFonts w:ascii="Arial" w:hAnsi="Arial" w:cs="Arial"/>
          <w:b/>
          <w:bCs/>
          <w:sz w:val="36"/>
          <w:szCs w:val="36"/>
        </w:rPr>
      </w:pPr>
    </w:p>
    <w:p w14:paraId="23B333E6" w14:textId="77777777" w:rsidR="00A80519" w:rsidRPr="00A80519" w:rsidRDefault="00A80519" w:rsidP="00A80519"/>
    <w:p w14:paraId="6433D252" w14:textId="77777777" w:rsidR="007E24C6" w:rsidRPr="007E24C6" w:rsidRDefault="007E24C6" w:rsidP="007E24C6"/>
    <w:p w14:paraId="03481807" w14:textId="77777777" w:rsidR="000E0A6E" w:rsidRDefault="000E0A6E" w:rsidP="00E90171">
      <w:pPr>
        <w:rPr>
          <w:rFonts w:ascii="Arial" w:hAnsi="Arial" w:cs="Arial"/>
          <w:sz w:val="28"/>
          <w:szCs w:val="28"/>
        </w:rPr>
      </w:pPr>
    </w:p>
    <w:p w14:paraId="1AA55DE7" w14:textId="77777777" w:rsidR="005B778E" w:rsidRDefault="005B778E" w:rsidP="00E90171">
      <w:pPr>
        <w:rPr>
          <w:rFonts w:ascii="Arial" w:hAnsi="Arial" w:cs="Arial"/>
        </w:rPr>
      </w:pPr>
    </w:p>
    <w:p w14:paraId="15842EDD" w14:textId="26AF1535" w:rsidR="007709B8" w:rsidRPr="009F0147" w:rsidRDefault="0073145F" w:rsidP="000E0A6E">
      <w:pPr>
        <w:spacing w:line="240" w:lineRule="auto"/>
        <w:rPr>
          <w:rFonts w:ascii="Arial" w:hAnsi="Arial" w:cs="Arial"/>
        </w:rPr>
      </w:pPr>
      <w:r w:rsidRPr="009F0147">
        <w:rPr>
          <w:rFonts w:ascii="Arial" w:hAnsi="Arial" w:cs="Arial"/>
        </w:rPr>
        <w:t>Student Name: Oleg Goncear</w:t>
      </w:r>
    </w:p>
    <w:p w14:paraId="27B364DF" w14:textId="2724FD4B" w:rsidR="0073145F" w:rsidRPr="009F0147" w:rsidRDefault="0073145F" w:rsidP="000E0A6E">
      <w:pPr>
        <w:spacing w:line="240" w:lineRule="auto"/>
        <w:rPr>
          <w:rFonts w:ascii="Arial" w:hAnsi="Arial" w:cs="Arial"/>
        </w:rPr>
      </w:pPr>
      <w:r w:rsidRPr="009F0147">
        <w:rPr>
          <w:rFonts w:ascii="Arial" w:hAnsi="Arial" w:cs="Arial"/>
        </w:rPr>
        <w:t>Student ID: 2231041</w:t>
      </w:r>
    </w:p>
    <w:p w14:paraId="5330C79F" w14:textId="1017E087" w:rsidR="0073145F" w:rsidRPr="009F0147" w:rsidRDefault="0073145F" w:rsidP="000E0A6E">
      <w:pPr>
        <w:spacing w:line="240" w:lineRule="auto"/>
        <w:rPr>
          <w:rFonts w:ascii="Arial" w:hAnsi="Arial" w:cs="Arial"/>
        </w:rPr>
      </w:pPr>
      <w:r w:rsidRPr="009F0147">
        <w:rPr>
          <w:rFonts w:ascii="Arial" w:hAnsi="Arial" w:cs="Arial"/>
        </w:rPr>
        <w:t>Module</w:t>
      </w:r>
      <w:r w:rsidR="00950B1E" w:rsidRPr="009F0147">
        <w:rPr>
          <w:rFonts w:ascii="Arial" w:hAnsi="Arial" w:cs="Arial"/>
        </w:rPr>
        <w:t xml:space="preserve"> </w:t>
      </w:r>
      <w:r w:rsidR="00A45ECE" w:rsidRPr="009F0147">
        <w:rPr>
          <w:rFonts w:ascii="Arial" w:hAnsi="Arial" w:cs="Arial"/>
        </w:rPr>
        <w:t>Title</w:t>
      </w:r>
      <w:r w:rsidRPr="009F0147">
        <w:rPr>
          <w:rFonts w:ascii="Arial" w:hAnsi="Arial" w:cs="Arial"/>
        </w:rPr>
        <w:t xml:space="preserve">: </w:t>
      </w:r>
      <w:r w:rsidR="002E4C9E" w:rsidRPr="009F0147">
        <w:rPr>
          <w:rFonts w:ascii="Arial" w:hAnsi="Arial" w:cs="Arial"/>
        </w:rPr>
        <w:t>Hotel Placement Research Project</w:t>
      </w:r>
    </w:p>
    <w:p w14:paraId="75E93DBC" w14:textId="4A9A38DA" w:rsidR="00AB727E" w:rsidRPr="009F0147" w:rsidRDefault="00AB727E" w:rsidP="000E0A6E">
      <w:pPr>
        <w:spacing w:line="240" w:lineRule="auto"/>
        <w:rPr>
          <w:rFonts w:ascii="Arial" w:hAnsi="Arial" w:cs="Arial"/>
        </w:rPr>
      </w:pPr>
      <w:r w:rsidRPr="009F0147">
        <w:rPr>
          <w:rFonts w:ascii="Arial" w:hAnsi="Arial" w:cs="Arial"/>
        </w:rPr>
        <w:t xml:space="preserve">Module code: </w:t>
      </w:r>
      <w:r w:rsidR="009C595B" w:rsidRPr="009F0147">
        <w:rPr>
          <w:rFonts w:ascii="Arial" w:hAnsi="Arial" w:cs="Arial"/>
        </w:rPr>
        <w:t>BMIH6008</w:t>
      </w:r>
    </w:p>
    <w:p w14:paraId="555E3B89" w14:textId="6BFFB586" w:rsidR="00EC22DD" w:rsidRPr="009F0147" w:rsidRDefault="00AB727E" w:rsidP="000E0A6E">
      <w:pPr>
        <w:spacing w:line="240" w:lineRule="auto"/>
        <w:rPr>
          <w:rFonts w:ascii="Arial" w:hAnsi="Arial" w:cs="Arial"/>
        </w:rPr>
      </w:pPr>
      <w:r w:rsidRPr="009F0147">
        <w:rPr>
          <w:rFonts w:ascii="Arial" w:hAnsi="Arial" w:cs="Arial"/>
        </w:rPr>
        <w:t>Lecturer</w:t>
      </w:r>
      <w:r w:rsidR="003F4B49" w:rsidRPr="009F0147">
        <w:rPr>
          <w:rFonts w:ascii="Arial" w:hAnsi="Arial" w:cs="Arial"/>
        </w:rPr>
        <w:t xml:space="preserve">: Kathryn </w:t>
      </w:r>
      <w:r w:rsidR="00F4099C" w:rsidRPr="009F0147">
        <w:rPr>
          <w:rFonts w:ascii="Arial" w:hAnsi="Arial" w:cs="Arial"/>
        </w:rPr>
        <w:t>F</w:t>
      </w:r>
      <w:r w:rsidR="00187935" w:rsidRPr="009F0147">
        <w:rPr>
          <w:rFonts w:ascii="Arial" w:hAnsi="Arial" w:cs="Arial"/>
        </w:rPr>
        <w:t>lynn</w:t>
      </w:r>
    </w:p>
    <w:p w14:paraId="248DDCB1" w14:textId="203D714B" w:rsidR="00E5300F" w:rsidRPr="009F0147" w:rsidRDefault="00172837" w:rsidP="000E0A6E">
      <w:pPr>
        <w:spacing w:line="240" w:lineRule="auto"/>
        <w:rPr>
          <w:rFonts w:ascii="Arial" w:hAnsi="Arial" w:cs="Arial"/>
        </w:rPr>
      </w:pPr>
      <w:r w:rsidRPr="009F0147">
        <w:rPr>
          <w:rFonts w:ascii="Arial" w:hAnsi="Arial" w:cs="Arial"/>
        </w:rPr>
        <w:t>06/11/2025</w:t>
      </w:r>
    </w:p>
    <w:p w14:paraId="144C4352" w14:textId="77777777" w:rsidR="003C5B80" w:rsidRDefault="003C5B80" w:rsidP="00447CA6">
      <w:pPr>
        <w:spacing w:line="259" w:lineRule="auto"/>
        <w:rPr>
          <w:rFonts w:ascii="Arial" w:eastAsia="Aptos" w:hAnsi="Arial" w:cs="Arial"/>
          <w:b/>
          <w:bCs/>
          <w:color w:val="000000"/>
          <w:kern w:val="0"/>
        </w:rPr>
      </w:pPr>
    </w:p>
    <w:p w14:paraId="62AECAC5" w14:textId="307095CB" w:rsidR="003C5B80" w:rsidRDefault="003C5B80" w:rsidP="00447CA6">
      <w:pPr>
        <w:spacing w:line="259" w:lineRule="auto"/>
        <w:rPr>
          <w:rFonts w:ascii="Arial" w:eastAsia="Aptos" w:hAnsi="Arial" w:cs="Arial"/>
          <w:b/>
          <w:bCs/>
          <w:color w:val="000000"/>
          <w:kern w:val="0"/>
        </w:rPr>
      </w:pPr>
      <w:r>
        <w:rPr>
          <w:rFonts w:ascii="Arial" w:eastAsia="Aptos" w:hAnsi="Arial" w:cs="Arial"/>
          <w:b/>
          <w:bCs/>
          <w:color w:val="000000"/>
          <w:kern w:val="0"/>
        </w:rPr>
        <w:lastRenderedPageBreak/>
        <w:t>AI DECLARATION</w:t>
      </w:r>
    </w:p>
    <w:p w14:paraId="4EAEED18" w14:textId="77777777" w:rsidR="004F6113" w:rsidRDefault="004F6113" w:rsidP="00447CA6">
      <w:pPr>
        <w:spacing w:line="259" w:lineRule="auto"/>
        <w:rPr>
          <w:rFonts w:ascii="Arial" w:eastAsia="Aptos" w:hAnsi="Arial" w:cs="Arial"/>
          <w:b/>
          <w:bCs/>
          <w:color w:val="000000"/>
          <w:kern w:val="0"/>
        </w:rPr>
      </w:pPr>
    </w:p>
    <w:p w14:paraId="1EDA6FD3" w14:textId="77777777" w:rsidR="004F6113" w:rsidRDefault="004F6113" w:rsidP="00447CA6">
      <w:pPr>
        <w:spacing w:line="259" w:lineRule="auto"/>
        <w:rPr>
          <w:rFonts w:ascii="Arial" w:eastAsia="Aptos" w:hAnsi="Arial" w:cs="Arial"/>
          <w:b/>
          <w:bCs/>
          <w:color w:val="000000"/>
          <w:kern w:val="0"/>
        </w:rPr>
      </w:pPr>
    </w:p>
    <w:p w14:paraId="5E61026C" w14:textId="77777777" w:rsidR="004F6113" w:rsidRDefault="004F6113" w:rsidP="00447CA6">
      <w:pPr>
        <w:spacing w:line="259" w:lineRule="auto"/>
        <w:rPr>
          <w:rFonts w:ascii="Arial" w:eastAsia="Aptos" w:hAnsi="Arial" w:cs="Arial"/>
          <w:b/>
          <w:bCs/>
          <w:color w:val="000000"/>
          <w:kern w:val="0"/>
        </w:rPr>
      </w:pPr>
    </w:p>
    <w:p w14:paraId="7F6D69D5" w14:textId="77777777" w:rsidR="004F6113" w:rsidRDefault="004F6113" w:rsidP="00447CA6">
      <w:pPr>
        <w:spacing w:line="259" w:lineRule="auto"/>
        <w:rPr>
          <w:rFonts w:ascii="Arial" w:eastAsia="Aptos" w:hAnsi="Arial" w:cs="Arial"/>
          <w:b/>
          <w:bCs/>
          <w:color w:val="000000"/>
          <w:kern w:val="0"/>
        </w:rPr>
      </w:pPr>
    </w:p>
    <w:p w14:paraId="4DF9EA5D" w14:textId="77777777" w:rsidR="004F6113" w:rsidRDefault="004F6113" w:rsidP="00447CA6">
      <w:pPr>
        <w:spacing w:line="259" w:lineRule="auto"/>
        <w:rPr>
          <w:rFonts w:ascii="Arial" w:eastAsia="Aptos" w:hAnsi="Arial" w:cs="Arial"/>
          <w:b/>
          <w:bCs/>
          <w:color w:val="000000"/>
          <w:kern w:val="0"/>
        </w:rPr>
      </w:pPr>
    </w:p>
    <w:p w14:paraId="3F152645" w14:textId="77777777" w:rsidR="004F6113" w:rsidRDefault="004F6113" w:rsidP="00447CA6">
      <w:pPr>
        <w:spacing w:line="259" w:lineRule="auto"/>
        <w:rPr>
          <w:rFonts w:ascii="Arial" w:eastAsia="Aptos" w:hAnsi="Arial" w:cs="Arial"/>
          <w:b/>
          <w:bCs/>
          <w:color w:val="000000"/>
          <w:kern w:val="0"/>
        </w:rPr>
      </w:pPr>
    </w:p>
    <w:p w14:paraId="63B52CD2" w14:textId="77777777" w:rsidR="004F6113" w:rsidRDefault="004F6113" w:rsidP="00447CA6">
      <w:pPr>
        <w:spacing w:line="259" w:lineRule="auto"/>
        <w:rPr>
          <w:rFonts w:ascii="Arial" w:eastAsia="Aptos" w:hAnsi="Arial" w:cs="Arial"/>
          <w:b/>
          <w:bCs/>
          <w:color w:val="000000"/>
          <w:kern w:val="0"/>
        </w:rPr>
      </w:pPr>
    </w:p>
    <w:p w14:paraId="6F7D1DDA" w14:textId="77777777" w:rsidR="004F6113" w:rsidRDefault="004F6113" w:rsidP="00447CA6">
      <w:pPr>
        <w:spacing w:line="259" w:lineRule="auto"/>
        <w:rPr>
          <w:rFonts w:ascii="Arial" w:eastAsia="Aptos" w:hAnsi="Arial" w:cs="Arial"/>
          <w:b/>
          <w:bCs/>
          <w:color w:val="000000"/>
          <w:kern w:val="0"/>
        </w:rPr>
      </w:pPr>
    </w:p>
    <w:p w14:paraId="4C1BE5D7" w14:textId="77777777" w:rsidR="004F6113" w:rsidRDefault="004F6113" w:rsidP="00447CA6">
      <w:pPr>
        <w:spacing w:line="259" w:lineRule="auto"/>
        <w:rPr>
          <w:rFonts w:ascii="Arial" w:eastAsia="Aptos" w:hAnsi="Arial" w:cs="Arial"/>
          <w:b/>
          <w:bCs/>
          <w:color w:val="000000"/>
          <w:kern w:val="0"/>
        </w:rPr>
      </w:pPr>
    </w:p>
    <w:p w14:paraId="5F75B670" w14:textId="77777777" w:rsidR="004F6113" w:rsidRDefault="004F6113" w:rsidP="00447CA6">
      <w:pPr>
        <w:spacing w:line="259" w:lineRule="auto"/>
        <w:rPr>
          <w:rFonts w:ascii="Arial" w:eastAsia="Aptos" w:hAnsi="Arial" w:cs="Arial"/>
          <w:b/>
          <w:bCs/>
          <w:color w:val="000000"/>
          <w:kern w:val="0"/>
        </w:rPr>
      </w:pPr>
    </w:p>
    <w:p w14:paraId="03A5FF96" w14:textId="77777777" w:rsidR="004F6113" w:rsidRDefault="004F6113" w:rsidP="00447CA6">
      <w:pPr>
        <w:spacing w:line="259" w:lineRule="auto"/>
        <w:rPr>
          <w:rFonts w:ascii="Arial" w:eastAsia="Aptos" w:hAnsi="Arial" w:cs="Arial"/>
          <w:b/>
          <w:bCs/>
          <w:color w:val="000000"/>
          <w:kern w:val="0"/>
        </w:rPr>
      </w:pPr>
    </w:p>
    <w:p w14:paraId="585CCD00" w14:textId="77777777" w:rsidR="004F6113" w:rsidRDefault="004F6113" w:rsidP="00447CA6">
      <w:pPr>
        <w:spacing w:line="259" w:lineRule="auto"/>
        <w:rPr>
          <w:rFonts w:ascii="Arial" w:eastAsia="Aptos" w:hAnsi="Arial" w:cs="Arial"/>
          <w:b/>
          <w:bCs/>
          <w:color w:val="000000"/>
          <w:kern w:val="0"/>
        </w:rPr>
      </w:pPr>
    </w:p>
    <w:p w14:paraId="31B08C56" w14:textId="77777777" w:rsidR="004F6113" w:rsidRDefault="004F6113" w:rsidP="00447CA6">
      <w:pPr>
        <w:spacing w:line="259" w:lineRule="auto"/>
        <w:rPr>
          <w:rFonts w:ascii="Arial" w:eastAsia="Aptos" w:hAnsi="Arial" w:cs="Arial"/>
          <w:b/>
          <w:bCs/>
          <w:color w:val="000000"/>
          <w:kern w:val="0"/>
        </w:rPr>
      </w:pPr>
    </w:p>
    <w:p w14:paraId="0FFF3F84" w14:textId="77777777" w:rsidR="004F6113" w:rsidRDefault="004F6113" w:rsidP="00447CA6">
      <w:pPr>
        <w:spacing w:line="259" w:lineRule="auto"/>
        <w:rPr>
          <w:rFonts w:ascii="Arial" w:eastAsia="Aptos" w:hAnsi="Arial" w:cs="Arial"/>
          <w:b/>
          <w:bCs/>
          <w:color w:val="000000"/>
          <w:kern w:val="0"/>
        </w:rPr>
      </w:pPr>
    </w:p>
    <w:p w14:paraId="4D1F90B7" w14:textId="77777777" w:rsidR="004F6113" w:rsidRDefault="004F6113" w:rsidP="00447CA6">
      <w:pPr>
        <w:spacing w:line="259" w:lineRule="auto"/>
        <w:rPr>
          <w:rFonts w:ascii="Arial" w:eastAsia="Aptos" w:hAnsi="Arial" w:cs="Arial"/>
          <w:b/>
          <w:bCs/>
          <w:color w:val="000000"/>
          <w:kern w:val="0"/>
        </w:rPr>
      </w:pPr>
    </w:p>
    <w:p w14:paraId="3E1F9A7F" w14:textId="77777777" w:rsidR="004F6113" w:rsidRDefault="004F6113" w:rsidP="00447CA6">
      <w:pPr>
        <w:spacing w:line="259" w:lineRule="auto"/>
        <w:rPr>
          <w:rFonts w:ascii="Arial" w:eastAsia="Aptos" w:hAnsi="Arial" w:cs="Arial"/>
          <w:b/>
          <w:bCs/>
          <w:color w:val="000000"/>
          <w:kern w:val="0"/>
        </w:rPr>
      </w:pPr>
    </w:p>
    <w:p w14:paraId="31CEB995" w14:textId="77777777" w:rsidR="004F6113" w:rsidRDefault="004F6113" w:rsidP="00447CA6">
      <w:pPr>
        <w:spacing w:line="259" w:lineRule="auto"/>
        <w:rPr>
          <w:rFonts w:ascii="Arial" w:eastAsia="Aptos" w:hAnsi="Arial" w:cs="Arial"/>
          <w:b/>
          <w:bCs/>
          <w:color w:val="000000"/>
          <w:kern w:val="0"/>
        </w:rPr>
      </w:pPr>
    </w:p>
    <w:p w14:paraId="6CE83FAA" w14:textId="77777777" w:rsidR="004F6113" w:rsidRDefault="004F6113" w:rsidP="00447CA6">
      <w:pPr>
        <w:spacing w:line="259" w:lineRule="auto"/>
        <w:rPr>
          <w:rFonts w:ascii="Arial" w:eastAsia="Aptos" w:hAnsi="Arial" w:cs="Arial"/>
          <w:b/>
          <w:bCs/>
          <w:color w:val="000000"/>
          <w:kern w:val="0"/>
        </w:rPr>
      </w:pPr>
    </w:p>
    <w:p w14:paraId="26CD68D3" w14:textId="77777777" w:rsidR="004F6113" w:rsidRDefault="004F6113" w:rsidP="00447CA6">
      <w:pPr>
        <w:spacing w:line="259" w:lineRule="auto"/>
        <w:rPr>
          <w:rFonts w:ascii="Arial" w:eastAsia="Aptos" w:hAnsi="Arial" w:cs="Arial"/>
          <w:b/>
          <w:bCs/>
          <w:color w:val="000000"/>
          <w:kern w:val="0"/>
        </w:rPr>
      </w:pPr>
    </w:p>
    <w:p w14:paraId="469970CD" w14:textId="77777777" w:rsidR="004F6113" w:rsidRDefault="004F6113" w:rsidP="00447CA6">
      <w:pPr>
        <w:spacing w:line="259" w:lineRule="auto"/>
        <w:rPr>
          <w:rFonts w:ascii="Arial" w:eastAsia="Aptos" w:hAnsi="Arial" w:cs="Arial"/>
          <w:b/>
          <w:bCs/>
          <w:color w:val="000000"/>
          <w:kern w:val="0"/>
        </w:rPr>
      </w:pPr>
    </w:p>
    <w:p w14:paraId="39E6D009" w14:textId="77777777" w:rsidR="004F6113" w:rsidRDefault="004F6113" w:rsidP="00447CA6">
      <w:pPr>
        <w:spacing w:line="259" w:lineRule="auto"/>
        <w:rPr>
          <w:rFonts w:ascii="Arial" w:eastAsia="Aptos" w:hAnsi="Arial" w:cs="Arial"/>
          <w:b/>
          <w:bCs/>
          <w:color w:val="000000"/>
          <w:kern w:val="0"/>
        </w:rPr>
      </w:pPr>
    </w:p>
    <w:p w14:paraId="1589DDE5" w14:textId="77777777" w:rsidR="004F6113" w:rsidRDefault="004F6113" w:rsidP="00447CA6">
      <w:pPr>
        <w:spacing w:line="259" w:lineRule="auto"/>
        <w:rPr>
          <w:rFonts w:ascii="Arial" w:eastAsia="Aptos" w:hAnsi="Arial" w:cs="Arial"/>
          <w:b/>
          <w:bCs/>
          <w:color w:val="000000"/>
          <w:kern w:val="0"/>
        </w:rPr>
      </w:pPr>
    </w:p>
    <w:p w14:paraId="0ACD0433" w14:textId="77777777" w:rsidR="004F6113" w:rsidRDefault="004F6113" w:rsidP="00447CA6">
      <w:pPr>
        <w:spacing w:line="259" w:lineRule="auto"/>
        <w:rPr>
          <w:rFonts w:ascii="Arial" w:eastAsia="Aptos" w:hAnsi="Arial" w:cs="Arial"/>
          <w:b/>
          <w:bCs/>
          <w:color w:val="000000"/>
          <w:kern w:val="0"/>
        </w:rPr>
      </w:pPr>
    </w:p>
    <w:p w14:paraId="4C5B5248" w14:textId="77777777" w:rsidR="004F6113" w:rsidRDefault="004F6113" w:rsidP="00447CA6">
      <w:pPr>
        <w:spacing w:line="259" w:lineRule="auto"/>
        <w:rPr>
          <w:rFonts w:ascii="Arial" w:eastAsia="Aptos" w:hAnsi="Arial" w:cs="Arial"/>
          <w:b/>
          <w:bCs/>
          <w:color w:val="000000"/>
          <w:kern w:val="0"/>
        </w:rPr>
      </w:pPr>
    </w:p>
    <w:p w14:paraId="01F3A46B" w14:textId="77777777" w:rsidR="004F6113" w:rsidRDefault="004F6113" w:rsidP="00447CA6">
      <w:pPr>
        <w:spacing w:line="259" w:lineRule="auto"/>
        <w:rPr>
          <w:rFonts w:ascii="Arial" w:eastAsia="Aptos" w:hAnsi="Arial" w:cs="Arial"/>
          <w:b/>
          <w:bCs/>
          <w:color w:val="000000"/>
          <w:kern w:val="0"/>
        </w:rPr>
      </w:pPr>
    </w:p>
    <w:p w14:paraId="7A5414B7" w14:textId="77777777" w:rsidR="004F6113" w:rsidRDefault="004F6113" w:rsidP="00447CA6">
      <w:pPr>
        <w:spacing w:line="259" w:lineRule="auto"/>
        <w:rPr>
          <w:rFonts w:ascii="Arial" w:eastAsia="Aptos" w:hAnsi="Arial" w:cs="Arial"/>
          <w:b/>
          <w:bCs/>
          <w:color w:val="000000"/>
          <w:kern w:val="0"/>
        </w:rPr>
      </w:pPr>
    </w:p>
    <w:p w14:paraId="26399684" w14:textId="77777777" w:rsidR="004F6113" w:rsidRDefault="004F6113" w:rsidP="00447CA6">
      <w:pPr>
        <w:spacing w:line="259" w:lineRule="auto"/>
        <w:rPr>
          <w:rFonts w:ascii="Arial" w:eastAsia="Aptos" w:hAnsi="Arial" w:cs="Arial"/>
          <w:b/>
          <w:bCs/>
          <w:color w:val="000000"/>
          <w:kern w:val="0"/>
        </w:rPr>
      </w:pPr>
    </w:p>
    <w:p w14:paraId="1E611E53" w14:textId="50ABA62F" w:rsidR="00F55C59" w:rsidRPr="00D27585" w:rsidRDefault="003F4B49" w:rsidP="00D27585">
      <w:pPr>
        <w:spacing w:line="259" w:lineRule="auto"/>
        <w:rPr>
          <w:rFonts w:ascii="Arial" w:eastAsia="Aptos" w:hAnsi="Arial" w:cs="Arial"/>
          <w:i/>
          <w:iCs/>
          <w:color w:val="000000"/>
          <w:kern w:val="0"/>
        </w:rPr>
      </w:pPr>
      <w:r w:rsidRPr="00D27585">
        <w:rPr>
          <w:rFonts w:ascii="Arial" w:eastAsia="Aptos" w:hAnsi="Arial" w:cs="Arial"/>
          <w:i/>
          <w:iCs/>
          <w:color w:val="000000"/>
          <w:kern w:val="0"/>
        </w:rPr>
        <w:t xml:space="preserve">I </w:t>
      </w:r>
      <w:r w:rsidR="0012090E" w:rsidRPr="00D27585">
        <w:rPr>
          <w:rFonts w:ascii="Arial" w:eastAsia="Aptos" w:hAnsi="Arial" w:cs="Arial"/>
          <w:i/>
          <w:iCs/>
          <w:color w:val="000000"/>
          <w:kern w:val="0"/>
        </w:rPr>
        <w:t>acknowledge</w:t>
      </w:r>
      <w:r w:rsidR="0098559E" w:rsidRPr="00D27585">
        <w:rPr>
          <w:rFonts w:ascii="Arial" w:eastAsia="Aptos" w:hAnsi="Arial" w:cs="Arial"/>
          <w:i/>
          <w:iCs/>
          <w:color w:val="000000"/>
          <w:kern w:val="0"/>
        </w:rPr>
        <w:t xml:space="preserve"> the</w:t>
      </w:r>
      <w:r w:rsidR="0012090E" w:rsidRPr="00D27585">
        <w:rPr>
          <w:rFonts w:ascii="Arial" w:eastAsia="Aptos" w:hAnsi="Arial" w:cs="Arial"/>
          <w:i/>
          <w:iCs/>
          <w:color w:val="000000"/>
          <w:kern w:val="0"/>
        </w:rPr>
        <w:t xml:space="preserve"> us</w:t>
      </w:r>
      <w:r w:rsidR="0098559E" w:rsidRPr="00D27585">
        <w:rPr>
          <w:rFonts w:ascii="Arial" w:eastAsia="Aptos" w:hAnsi="Arial" w:cs="Arial"/>
          <w:i/>
          <w:iCs/>
          <w:color w:val="000000"/>
          <w:kern w:val="0"/>
        </w:rPr>
        <w:t xml:space="preserve">e of </w:t>
      </w:r>
      <w:r w:rsidR="0012090E" w:rsidRPr="00D27585">
        <w:rPr>
          <w:rFonts w:ascii="Arial" w:eastAsia="Aptos" w:hAnsi="Arial" w:cs="Arial"/>
          <w:i/>
          <w:iCs/>
          <w:color w:val="000000"/>
          <w:kern w:val="0"/>
        </w:rPr>
        <w:t xml:space="preserve">the Grammarly App on </w:t>
      </w:r>
      <w:r w:rsidR="00A01F0F" w:rsidRPr="00D27585">
        <w:rPr>
          <w:rFonts w:ascii="Arial" w:eastAsia="Aptos" w:hAnsi="Arial" w:cs="Arial"/>
          <w:i/>
          <w:iCs/>
          <w:color w:val="000000"/>
          <w:kern w:val="0"/>
        </w:rPr>
        <w:t xml:space="preserve">06/11/2025 </w:t>
      </w:r>
      <w:r w:rsidR="008E6AFD" w:rsidRPr="00D27585">
        <w:rPr>
          <w:rFonts w:ascii="Arial" w:eastAsia="Aptos" w:hAnsi="Arial" w:cs="Arial"/>
          <w:i/>
          <w:iCs/>
          <w:color w:val="000000"/>
          <w:kern w:val="0"/>
        </w:rPr>
        <w:t xml:space="preserve">in my </w:t>
      </w:r>
      <w:r w:rsidR="00A53776" w:rsidRPr="00D27585">
        <w:rPr>
          <w:rFonts w:ascii="Arial" w:eastAsia="Aptos" w:hAnsi="Arial" w:cs="Arial"/>
          <w:i/>
          <w:iCs/>
          <w:color w:val="000000"/>
          <w:kern w:val="0"/>
        </w:rPr>
        <w:t xml:space="preserve">own </w:t>
      </w:r>
      <w:r w:rsidR="00DD7DD6" w:rsidRPr="00D27585">
        <w:rPr>
          <w:rFonts w:ascii="Arial" w:eastAsia="Aptos" w:hAnsi="Arial" w:cs="Arial"/>
          <w:i/>
          <w:iCs/>
          <w:color w:val="000000"/>
          <w:kern w:val="0"/>
        </w:rPr>
        <w:t xml:space="preserve">text </w:t>
      </w:r>
      <w:r w:rsidR="00447CA6" w:rsidRPr="00D27585">
        <w:rPr>
          <w:rFonts w:ascii="Arial" w:eastAsia="Aptos" w:hAnsi="Arial" w:cs="Arial"/>
          <w:i/>
          <w:iCs/>
          <w:color w:val="000000"/>
          <w:kern w:val="0"/>
        </w:rPr>
        <w:t>for grammatical and syntactical mistakes</w:t>
      </w:r>
      <w:r w:rsidR="00DD7DD6" w:rsidRPr="00D27585">
        <w:rPr>
          <w:rFonts w:ascii="Arial" w:eastAsia="Aptos" w:hAnsi="Arial" w:cs="Arial"/>
          <w:i/>
          <w:iCs/>
          <w:color w:val="000000"/>
          <w:kern w:val="0"/>
        </w:rPr>
        <w:t>, including getting suggestions to rephr</w:t>
      </w:r>
      <w:r w:rsidR="00290CC2" w:rsidRPr="00D27585">
        <w:rPr>
          <w:rFonts w:ascii="Arial" w:eastAsia="Aptos" w:hAnsi="Arial" w:cs="Arial"/>
          <w:i/>
          <w:iCs/>
          <w:color w:val="000000"/>
          <w:kern w:val="0"/>
        </w:rPr>
        <w:t xml:space="preserve">ase my work in the document containing the </w:t>
      </w:r>
      <w:r w:rsidR="003C5B80" w:rsidRPr="00D27585">
        <w:rPr>
          <w:rFonts w:ascii="Arial" w:eastAsia="Aptos" w:hAnsi="Arial" w:cs="Arial"/>
          <w:i/>
          <w:iCs/>
          <w:color w:val="000000"/>
          <w:kern w:val="0"/>
        </w:rPr>
        <w:t>assignment.</w:t>
      </w:r>
    </w:p>
    <w:p w14:paraId="0ED52A26" w14:textId="77777777" w:rsidR="00F55C59" w:rsidRDefault="00F55C59" w:rsidP="00F55C59">
      <w:pPr>
        <w:spacing w:line="360" w:lineRule="auto"/>
        <w:jc w:val="both"/>
        <w:rPr>
          <w:rFonts w:ascii="Arial" w:hAnsi="Arial" w:cs="Arial"/>
          <w:b/>
          <w:bCs/>
        </w:rPr>
      </w:pPr>
      <w:r>
        <w:rPr>
          <w:rFonts w:ascii="Arial" w:hAnsi="Arial" w:cs="Arial"/>
          <w:b/>
          <w:bCs/>
          <w:noProof/>
        </w:rPr>
        <w:lastRenderedPageBreak/>
        <w:drawing>
          <wp:inline distT="0" distB="0" distL="0" distR="0" wp14:anchorId="19E75F2E" wp14:editId="39318EF1">
            <wp:extent cx="6290992" cy="6427470"/>
            <wp:effectExtent l="0" t="0" r="0" b="0"/>
            <wp:docPr id="1271547931" name="Picture 1" descr="A white card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547931" name="Picture 1" descr="A white card with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12737" cy="6449687"/>
                    </a:xfrm>
                    <a:prstGeom prst="rect">
                      <a:avLst/>
                    </a:prstGeom>
                    <a:noFill/>
                    <a:ln>
                      <a:noFill/>
                    </a:ln>
                  </pic:spPr>
                </pic:pic>
              </a:graphicData>
            </a:graphic>
          </wp:inline>
        </w:drawing>
      </w:r>
    </w:p>
    <w:p w14:paraId="22BEBF09" w14:textId="77777777" w:rsidR="00F55C59" w:rsidRDefault="00F55C59" w:rsidP="00F55C59">
      <w:pPr>
        <w:spacing w:line="360" w:lineRule="auto"/>
        <w:jc w:val="both"/>
        <w:rPr>
          <w:rFonts w:ascii="Arial" w:hAnsi="Arial" w:cs="Arial"/>
          <w:b/>
          <w:bCs/>
        </w:rPr>
      </w:pPr>
    </w:p>
    <w:p w14:paraId="0AB37DD6" w14:textId="77777777" w:rsidR="00F55C59" w:rsidRDefault="00F55C59" w:rsidP="00F55C59">
      <w:pPr>
        <w:spacing w:line="360" w:lineRule="auto"/>
        <w:jc w:val="both"/>
        <w:rPr>
          <w:rFonts w:ascii="Arial" w:hAnsi="Arial" w:cs="Arial"/>
          <w:b/>
          <w:bCs/>
        </w:rPr>
      </w:pPr>
    </w:p>
    <w:p w14:paraId="22EF2BBF" w14:textId="77777777" w:rsidR="00F55C59" w:rsidRDefault="00F55C59" w:rsidP="00F55C59">
      <w:pPr>
        <w:spacing w:line="360" w:lineRule="auto"/>
        <w:jc w:val="both"/>
        <w:rPr>
          <w:rFonts w:ascii="Arial" w:hAnsi="Arial" w:cs="Arial"/>
          <w:b/>
          <w:bCs/>
        </w:rPr>
      </w:pPr>
    </w:p>
    <w:p w14:paraId="6B2331B6" w14:textId="77777777" w:rsidR="000F5D22" w:rsidRDefault="000F5D22" w:rsidP="00F55C59">
      <w:pPr>
        <w:spacing w:line="360" w:lineRule="auto"/>
        <w:jc w:val="both"/>
        <w:rPr>
          <w:rFonts w:ascii="Arial" w:hAnsi="Arial" w:cs="Arial"/>
          <w:b/>
          <w:bCs/>
        </w:rPr>
      </w:pPr>
    </w:p>
    <w:p w14:paraId="17FEEFCD" w14:textId="77777777" w:rsidR="000F5D22" w:rsidRDefault="000F5D22" w:rsidP="00F55C59">
      <w:pPr>
        <w:spacing w:line="360" w:lineRule="auto"/>
        <w:jc w:val="both"/>
        <w:rPr>
          <w:rFonts w:ascii="Arial" w:hAnsi="Arial" w:cs="Arial"/>
          <w:b/>
          <w:bCs/>
        </w:rPr>
      </w:pPr>
    </w:p>
    <w:p w14:paraId="2A56425E" w14:textId="77777777" w:rsidR="00F27D54" w:rsidRDefault="00F27D54" w:rsidP="00F55C59">
      <w:pPr>
        <w:spacing w:line="360" w:lineRule="auto"/>
        <w:jc w:val="both"/>
        <w:rPr>
          <w:rFonts w:ascii="Arial" w:hAnsi="Arial" w:cs="Arial"/>
          <w:b/>
          <w:bCs/>
        </w:rPr>
      </w:pPr>
    </w:p>
    <w:p w14:paraId="7A872F50" w14:textId="07F0576A" w:rsidR="00F55C59" w:rsidRPr="00DA3176" w:rsidRDefault="00F55C59" w:rsidP="00F55C59">
      <w:pPr>
        <w:spacing w:line="360" w:lineRule="auto"/>
        <w:jc w:val="both"/>
        <w:rPr>
          <w:rFonts w:ascii="Arial" w:hAnsi="Arial" w:cs="Arial"/>
        </w:rPr>
      </w:pPr>
      <w:r w:rsidRPr="00DA3176">
        <w:rPr>
          <w:rFonts w:ascii="Arial" w:hAnsi="Arial" w:cs="Arial"/>
          <w:b/>
          <w:bCs/>
        </w:rPr>
        <w:lastRenderedPageBreak/>
        <w:t>Abstract</w:t>
      </w:r>
    </w:p>
    <w:p w14:paraId="2F2F0B19" w14:textId="77777777" w:rsidR="00F55C59" w:rsidRPr="00BC0965" w:rsidRDefault="00F55C59" w:rsidP="00F55C59">
      <w:pPr>
        <w:spacing w:line="360" w:lineRule="auto"/>
        <w:jc w:val="both"/>
        <w:rPr>
          <w:rFonts w:ascii="Arial" w:hAnsi="Arial" w:cs="Arial"/>
        </w:rPr>
      </w:pPr>
      <w:r w:rsidRPr="00BC0965">
        <w:rPr>
          <w:rFonts w:ascii="Arial" w:hAnsi="Arial" w:cs="Arial"/>
        </w:rPr>
        <w:t>What follows looks at how Diversity, Equity and Inclusion (DEI) frameworks hold up once they reach the pace and pressure of daily hotel work. The focus is on two mid-scale operators that present contrasting organisational architectures: ibis Swansea, situated within Accor’s global culture-driven DEI strategy, and Village Hotel Club, which runs on nationally standardised HR compliance structures. The aim is straightforward but not simplistic: to see whether policy translates into lived behaviour, and under what internal conditions inclusion becomes visible rather than symbolic.</w:t>
      </w:r>
    </w:p>
    <w:p w14:paraId="3AC97B73" w14:textId="77777777" w:rsidR="00F55C59" w:rsidRPr="00BC0965" w:rsidRDefault="00F55C59" w:rsidP="00F55C59">
      <w:pPr>
        <w:spacing w:line="360" w:lineRule="auto"/>
        <w:jc w:val="both"/>
        <w:rPr>
          <w:rFonts w:ascii="Arial" w:hAnsi="Arial" w:cs="Arial"/>
        </w:rPr>
      </w:pPr>
      <w:r w:rsidRPr="00BC0965">
        <w:rPr>
          <w:rFonts w:ascii="Arial" w:hAnsi="Arial" w:cs="Arial"/>
        </w:rPr>
        <w:t>Three objectives guided the investigation. First, the formal DEI claims were identified through policy documentation, brand statements, and training materials. Second, the research examined whether these commitments shaped leadership behaviour, workload allocation, and channels for staff voice in routine operations. Third, the study compared how multinational versus UK-focused organisational structures condition the expression of inclusion on the ground. Some outcomes were predictable; others were not.</w:t>
      </w:r>
    </w:p>
    <w:p w14:paraId="5E91BB8C" w14:textId="1A916E6B" w:rsidR="00F55C59" w:rsidRPr="00BC0965" w:rsidRDefault="00F55C59" w:rsidP="00F55C59">
      <w:pPr>
        <w:spacing w:line="360" w:lineRule="auto"/>
        <w:jc w:val="both"/>
        <w:rPr>
          <w:rFonts w:ascii="Arial" w:hAnsi="Arial" w:cs="Arial"/>
        </w:rPr>
      </w:pPr>
      <w:r w:rsidRPr="00BC0965">
        <w:rPr>
          <w:rFonts w:ascii="Arial" w:hAnsi="Arial" w:cs="Arial"/>
        </w:rPr>
        <w:t xml:space="preserve">A qualitative comparative case study approach was used. Documentary evidence, netnographic data drawn from online employee reviews, and reflective field notes collected during placement at </w:t>
      </w:r>
      <w:r w:rsidR="00654EDE">
        <w:rPr>
          <w:rFonts w:ascii="Arial" w:hAnsi="Arial" w:cs="Arial"/>
        </w:rPr>
        <w:t>I</w:t>
      </w:r>
      <w:r w:rsidRPr="00BC0965">
        <w:rPr>
          <w:rFonts w:ascii="Arial" w:hAnsi="Arial" w:cs="Arial"/>
        </w:rPr>
        <w:t>bis Swansea formed the empirical base. The material was analysed through thematic coding, with attention to how meaning was negotiated in real time. The interpretivist stance was necessary because belonging is not imposed from above; it is produced through how people read tone, workload, and recognition during a shift.</w:t>
      </w:r>
    </w:p>
    <w:p w14:paraId="17D4E2B9" w14:textId="77777777" w:rsidR="00F55C59" w:rsidRPr="00BC0965" w:rsidRDefault="00F55C59" w:rsidP="00F55C59">
      <w:pPr>
        <w:spacing w:line="360" w:lineRule="auto"/>
        <w:jc w:val="both"/>
        <w:rPr>
          <w:rFonts w:ascii="Arial" w:hAnsi="Arial" w:cs="Arial"/>
        </w:rPr>
      </w:pPr>
      <w:r w:rsidRPr="00BC0965">
        <w:rPr>
          <w:rFonts w:ascii="Arial" w:hAnsi="Arial" w:cs="Arial"/>
        </w:rPr>
        <w:t>Across the data, several themes persisted. Accor frames DEI as integral to brand identity and emotional culture, whereas Village’s emphasis lies in formal procedure and regulatory compliance. Regardless of structure, inclusion rose or fell with managerial behaviour. Leadership style either stabilised the team under pressure or exposed fault lines. Workload fairness, especially rota design and task distribution, shaped staff perceptions more sharply than any aspirational statement. Voice and belonging surfaced not through campaigns but through how feedback was responded to, whether problems were owned, and whether support appeared at the moment it was needed. In practice, people believed what they experienced, not what they were told.</w:t>
      </w:r>
    </w:p>
    <w:p w14:paraId="5D0A8628" w14:textId="57E1B97E" w:rsidR="00F55C59" w:rsidRPr="00BC0965" w:rsidRDefault="00F55C59" w:rsidP="00F55C59">
      <w:pPr>
        <w:spacing w:line="360" w:lineRule="auto"/>
        <w:jc w:val="both"/>
        <w:rPr>
          <w:rFonts w:ascii="Arial" w:hAnsi="Arial" w:cs="Arial"/>
        </w:rPr>
      </w:pPr>
      <w:r w:rsidRPr="00BC0965">
        <w:rPr>
          <w:rFonts w:ascii="Arial" w:hAnsi="Arial" w:cs="Arial"/>
        </w:rPr>
        <w:lastRenderedPageBreak/>
        <w:t xml:space="preserve">Both organisations demonstrate DEI commitment on paper. However, the enactment differs. At ibis Swansea, empowerment and emotional connection are encouraged, but the accountability mechanisms are inconsistent across sites. Village ensures procedural </w:t>
      </w:r>
      <w:r w:rsidR="002A7076" w:rsidRPr="00BC0965">
        <w:rPr>
          <w:rFonts w:ascii="Arial" w:hAnsi="Arial" w:cs="Arial"/>
        </w:rPr>
        <w:t>parity yet</w:t>
      </w:r>
      <w:r w:rsidRPr="00BC0965">
        <w:rPr>
          <w:rFonts w:ascii="Arial" w:hAnsi="Arial" w:cs="Arial"/>
        </w:rPr>
        <w:t xml:space="preserve"> invests less in psychological safety and relational leadership. The pattern points to one conclusion: policy without operational reinforcement achieves limited effect. Inclusion happens in the rota, the briefing, and the tone of correction when a mistake is made.</w:t>
      </w:r>
    </w:p>
    <w:p w14:paraId="77C99A26" w14:textId="77777777" w:rsidR="00F55C59" w:rsidRDefault="00F55C59" w:rsidP="00F55C59">
      <w:pPr>
        <w:spacing w:line="360" w:lineRule="auto"/>
        <w:jc w:val="both"/>
        <w:rPr>
          <w:rFonts w:ascii="Arial" w:hAnsi="Arial" w:cs="Arial"/>
        </w:rPr>
      </w:pPr>
      <w:r w:rsidRPr="00BC0965">
        <w:rPr>
          <w:rFonts w:ascii="Arial" w:hAnsi="Arial" w:cs="Arial"/>
        </w:rPr>
        <w:t>Three implications follow</w:t>
      </w:r>
      <w:r>
        <w:rPr>
          <w:rFonts w:ascii="Arial" w:hAnsi="Arial" w:cs="Arial"/>
        </w:rPr>
        <w:t>:</w:t>
      </w:r>
    </w:p>
    <w:p w14:paraId="0C2B9A0C" w14:textId="77777777" w:rsidR="00F55C59" w:rsidRPr="008E791C" w:rsidRDefault="00F55C59" w:rsidP="00F55C59">
      <w:pPr>
        <w:pStyle w:val="ListParagraph"/>
        <w:numPr>
          <w:ilvl w:val="0"/>
          <w:numId w:val="9"/>
        </w:numPr>
        <w:spacing w:line="360" w:lineRule="auto"/>
        <w:jc w:val="both"/>
        <w:rPr>
          <w:rFonts w:ascii="Arial" w:hAnsi="Arial" w:cs="Arial"/>
        </w:rPr>
      </w:pPr>
      <w:r w:rsidRPr="008E791C">
        <w:rPr>
          <w:rFonts w:ascii="Arial" w:hAnsi="Arial" w:cs="Arial"/>
        </w:rPr>
        <w:t xml:space="preserve">Inclusion requires operational design, not abstract endorsement. </w:t>
      </w:r>
    </w:p>
    <w:p w14:paraId="7FC163BF" w14:textId="77777777" w:rsidR="00F55C59" w:rsidRPr="008E791C" w:rsidRDefault="00F55C59" w:rsidP="00F55C59">
      <w:pPr>
        <w:pStyle w:val="ListParagraph"/>
        <w:numPr>
          <w:ilvl w:val="0"/>
          <w:numId w:val="9"/>
        </w:numPr>
        <w:spacing w:line="360" w:lineRule="auto"/>
        <w:jc w:val="both"/>
        <w:rPr>
          <w:rFonts w:ascii="Arial" w:hAnsi="Arial" w:cs="Arial"/>
        </w:rPr>
      </w:pPr>
      <w:r w:rsidRPr="008E791C">
        <w:rPr>
          <w:rFonts w:ascii="Arial" w:hAnsi="Arial" w:cs="Arial"/>
        </w:rPr>
        <w:t xml:space="preserve">Work design and staffing are fairness structures in practice. </w:t>
      </w:r>
    </w:p>
    <w:p w14:paraId="391C88BA" w14:textId="77777777" w:rsidR="00F55C59" w:rsidRDefault="00F55C59" w:rsidP="00F55C59">
      <w:pPr>
        <w:pStyle w:val="ListParagraph"/>
        <w:numPr>
          <w:ilvl w:val="0"/>
          <w:numId w:val="9"/>
        </w:numPr>
        <w:spacing w:line="360" w:lineRule="auto"/>
        <w:jc w:val="both"/>
        <w:rPr>
          <w:rFonts w:ascii="Arial" w:hAnsi="Arial" w:cs="Arial"/>
        </w:rPr>
      </w:pPr>
      <w:r w:rsidRPr="008E791C">
        <w:rPr>
          <w:rFonts w:ascii="Arial" w:hAnsi="Arial" w:cs="Arial"/>
        </w:rPr>
        <w:t xml:space="preserve">Belonging develops through everyday behaviour: </w:t>
      </w:r>
      <w:r w:rsidRPr="00777154">
        <w:rPr>
          <w:rFonts w:ascii="Arial" w:hAnsi="Arial" w:cs="Arial"/>
        </w:rPr>
        <w:t xml:space="preserve">the way someone is spoken to, whether their fatigue is acknowledged, whether support appears when pressure peaks. </w:t>
      </w:r>
    </w:p>
    <w:p w14:paraId="16B6289B" w14:textId="77777777" w:rsidR="00F55C59" w:rsidRPr="00777154" w:rsidRDefault="00F55C59" w:rsidP="00F55C59">
      <w:pPr>
        <w:spacing w:line="360" w:lineRule="auto"/>
        <w:jc w:val="both"/>
        <w:rPr>
          <w:rFonts w:ascii="Arial" w:hAnsi="Arial" w:cs="Arial"/>
        </w:rPr>
      </w:pPr>
      <w:r w:rsidRPr="00777154">
        <w:rPr>
          <w:rFonts w:ascii="Arial" w:hAnsi="Arial" w:cs="Arial"/>
        </w:rPr>
        <w:t xml:space="preserve">Recommendations therefore include establishing measurable DEI indicators at </w:t>
      </w:r>
      <w:r>
        <w:rPr>
          <w:rFonts w:ascii="Arial" w:hAnsi="Arial" w:cs="Arial"/>
        </w:rPr>
        <w:t xml:space="preserve">the </w:t>
      </w:r>
      <w:r w:rsidRPr="00777154">
        <w:rPr>
          <w:rFonts w:ascii="Arial" w:hAnsi="Arial" w:cs="Arial"/>
        </w:rPr>
        <w:t xml:space="preserve">property level, embedding inclusive leadership behaviours into appraisal systems, constructing structured voice channels that require action, and designing rotas using JD-R principles to mitigate burnout and dissatisfaction.  </w:t>
      </w:r>
    </w:p>
    <w:p w14:paraId="65407E66" w14:textId="77777777" w:rsidR="00F55C59" w:rsidRPr="00BC0965" w:rsidRDefault="00F55C59" w:rsidP="00F55C59">
      <w:pPr>
        <w:spacing w:line="360" w:lineRule="auto"/>
        <w:jc w:val="both"/>
        <w:rPr>
          <w:rFonts w:ascii="Arial" w:hAnsi="Arial" w:cs="Arial"/>
        </w:rPr>
      </w:pPr>
      <w:r w:rsidRPr="00BC0965">
        <w:rPr>
          <w:rFonts w:ascii="Arial" w:hAnsi="Arial" w:cs="Arial"/>
        </w:rPr>
        <w:t>The contribution of this study is practical. It shifts DEI from corporate reporting language into the operational zone where hotel life actually occurs: during the 07:00 breakfast rush, during the late check-in queue, during the moment when the one person with authority decides whether to step in or look away. That is where inclusion is either lost or made real.</w:t>
      </w:r>
    </w:p>
    <w:p w14:paraId="763E02D1" w14:textId="77777777" w:rsidR="00F55C59" w:rsidRDefault="00F55C59" w:rsidP="00F55C59">
      <w:pPr>
        <w:spacing w:line="360" w:lineRule="auto"/>
        <w:jc w:val="both"/>
        <w:rPr>
          <w:rFonts w:ascii="Arial" w:hAnsi="Arial" w:cs="Arial"/>
        </w:rPr>
      </w:pPr>
    </w:p>
    <w:p w14:paraId="43FEFE1E" w14:textId="77777777" w:rsidR="00F55C59" w:rsidRDefault="00F55C59" w:rsidP="00F55C59">
      <w:pPr>
        <w:spacing w:line="360" w:lineRule="auto"/>
        <w:jc w:val="both"/>
        <w:rPr>
          <w:rFonts w:ascii="Arial" w:hAnsi="Arial" w:cs="Arial"/>
        </w:rPr>
      </w:pPr>
    </w:p>
    <w:p w14:paraId="286797D9" w14:textId="77777777" w:rsidR="00F55C59" w:rsidRDefault="00F55C59" w:rsidP="00F55C59">
      <w:pPr>
        <w:spacing w:line="360" w:lineRule="auto"/>
        <w:jc w:val="both"/>
        <w:rPr>
          <w:rFonts w:ascii="Arial" w:hAnsi="Arial" w:cs="Arial"/>
        </w:rPr>
      </w:pPr>
    </w:p>
    <w:p w14:paraId="2939163B" w14:textId="77777777" w:rsidR="00F55C59" w:rsidRDefault="00F55C59" w:rsidP="00F55C59">
      <w:pPr>
        <w:spacing w:line="360" w:lineRule="auto"/>
        <w:jc w:val="both"/>
        <w:rPr>
          <w:rFonts w:ascii="Arial" w:hAnsi="Arial" w:cs="Arial"/>
        </w:rPr>
      </w:pPr>
    </w:p>
    <w:p w14:paraId="0E16AA55" w14:textId="77777777" w:rsidR="00F55C59" w:rsidRDefault="00F55C59" w:rsidP="00F55C59">
      <w:pPr>
        <w:spacing w:line="360" w:lineRule="auto"/>
        <w:jc w:val="both"/>
        <w:rPr>
          <w:rFonts w:ascii="Arial" w:hAnsi="Arial" w:cs="Arial"/>
        </w:rPr>
      </w:pPr>
    </w:p>
    <w:p w14:paraId="0C20E3BF" w14:textId="77777777" w:rsidR="00D40A97" w:rsidRDefault="00D40A97" w:rsidP="00F55C59">
      <w:pPr>
        <w:spacing w:line="360" w:lineRule="auto"/>
        <w:jc w:val="both"/>
        <w:rPr>
          <w:rFonts w:ascii="Arial" w:hAnsi="Arial" w:cs="Arial"/>
          <w:b/>
          <w:bCs/>
        </w:rPr>
      </w:pPr>
    </w:p>
    <w:p w14:paraId="4A36C04E" w14:textId="77777777" w:rsidR="00E93AEF" w:rsidRDefault="00E93AEF" w:rsidP="00F55C59">
      <w:pPr>
        <w:spacing w:line="360" w:lineRule="auto"/>
        <w:jc w:val="both"/>
        <w:rPr>
          <w:rFonts w:ascii="Arial" w:hAnsi="Arial" w:cs="Arial"/>
          <w:b/>
          <w:bCs/>
        </w:rPr>
      </w:pPr>
    </w:p>
    <w:p w14:paraId="16912AA4" w14:textId="79683540" w:rsidR="00F55C59" w:rsidRPr="00362931" w:rsidRDefault="00F55C59" w:rsidP="00F55C59">
      <w:pPr>
        <w:spacing w:line="360" w:lineRule="auto"/>
        <w:jc w:val="both"/>
        <w:rPr>
          <w:rFonts w:ascii="Arial" w:hAnsi="Arial" w:cs="Arial"/>
          <w:b/>
          <w:bCs/>
        </w:rPr>
      </w:pPr>
      <w:r w:rsidRPr="00362931">
        <w:rPr>
          <w:rFonts w:ascii="Arial" w:hAnsi="Arial" w:cs="Arial"/>
          <w:b/>
          <w:bCs/>
        </w:rPr>
        <w:lastRenderedPageBreak/>
        <w:t>C</w:t>
      </w:r>
      <w:r w:rsidR="00525211">
        <w:rPr>
          <w:rFonts w:ascii="Arial" w:hAnsi="Arial" w:cs="Arial"/>
          <w:b/>
          <w:bCs/>
        </w:rPr>
        <w:t>HAPTER</w:t>
      </w:r>
      <w:r w:rsidRPr="00362931">
        <w:rPr>
          <w:rFonts w:ascii="Arial" w:hAnsi="Arial" w:cs="Arial"/>
          <w:b/>
          <w:bCs/>
        </w:rPr>
        <w:t xml:space="preserve"> 1</w:t>
      </w:r>
      <w:r w:rsidR="004B2F16">
        <w:rPr>
          <w:rFonts w:ascii="Arial" w:hAnsi="Arial" w:cs="Arial"/>
          <w:b/>
          <w:bCs/>
        </w:rPr>
        <w:t xml:space="preserve">: </w:t>
      </w:r>
      <w:r w:rsidRPr="00362931">
        <w:rPr>
          <w:rFonts w:ascii="Arial" w:hAnsi="Arial" w:cs="Arial"/>
          <w:b/>
          <w:bCs/>
        </w:rPr>
        <w:t>I</w:t>
      </w:r>
      <w:r w:rsidR="00525211">
        <w:rPr>
          <w:rFonts w:ascii="Arial" w:hAnsi="Arial" w:cs="Arial"/>
          <w:b/>
          <w:bCs/>
        </w:rPr>
        <w:t>NTRODUCTION</w:t>
      </w:r>
    </w:p>
    <w:p w14:paraId="5A1D8C0D" w14:textId="77777777" w:rsidR="00F55C59" w:rsidRPr="00285615" w:rsidRDefault="00F55C59" w:rsidP="00F55C59">
      <w:pPr>
        <w:spacing w:line="360" w:lineRule="auto"/>
        <w:jc w:val="both"/>
        <w:rPr>
          <w:rFonts w:ascii="Arial" w:hAnsi="Arial" w:cs="Arial"/>
        </w:rPr>
      </w:pPr>
      <w:r w:rsidRPr="00285615">
        <w:rPr>
          <w:rFonts w:ascii="Arial" w:hAnsi="Arial" w:cs="Arial"/>
        </w:rPr>
        <w:t>The discussion begins with the central concern of the project: how Diversity, Equity and Inclusion (DEI) policies hold once translated into the reality of daily hotel operations. The focus is not on what organisations claim to value, but on how those claims register during a busy shift when the lobby queue builds and the breakfast run overruns its staffing allocation. Two mid-scale hotels provide the comparative frame: ibis Swansea, positioned inside Accor’s global DEI culture, and Village Hotel Club, aligned with nationally standardised HR compliance. Each organisation offers a different pathway for converting principle into practice. The comparison becomes clearest not in boardroom strategy documents, but in the ten minutes where pressure tests attitude.</w:t>
      </w:r>
    </w:p>
    <w:p w14:paraId="3A92AA96" w14:textId="13CD3FEA" w:rsidR="00F55C59" w:rsidRPr="00285615" w:rsidRDefault="00F55C59" w:rsidP="00F55C59">
      <w:pPr>
        <w:spacing w:line="360" w:lineRule="auto"/>
        <w:jc w:val="both"/>
        <w:rPr>
          <w:rFonts w:ascii="Arial" w:hAnsi="Arial" w:cs="Arial"/>
        </w:rPr>
      </w:pPr>
      <w:r w:rsidRPr="00285615">
        <w:rPr>
          <w:rFonts w:ascii="Arial" w:hAnsi="Arial" w:cs="Arial"/>
        </w:rPr>
        <w:t xml:space="preserve">Ibis Swansea operates with 99 rooms, located just off Fabian Way in Port Tennant, a short distance from the city centre. The property offers the familiar </w:t>
      </w:r>
      <w:r w:rsidR="0037674A">
        <w:rPr>
          <w:rFonts w:ascii="Arial" w:hAnsi="Arial" w:cs="Arial"/>
        </w:rPr>
        <w:t>I</w:t>
      </w:r>
      <w:r w:rsidR="0037674A" w:rsidRPr="00285615">
        <w:rPr>
          <w:rFonts w:ascii="Arial" w:hAnsi="Arial" w:cs="Arial"/>
        </w:rPr>
        <w:t>bis’</w:t>
      </w:r>
      <w:r w:rsidRPr="00285615">
        <w:rPr>
          <w:rFonts w:ascii="Arial" w:hAnsi="Arial" w:cs="Arial"/>
        </w:rPr>
        <w:t xml:space="preserve"> model of functional comfort, supported by a 24-hour reception and food service that spans breakfast into the evening. The team works across multiple stations, rotating between front desk, bar, and light food preparation. Training reinforces the brand’s emphasis on clarity, friendliness, and simplicity, and sustainability is embedded in routines such as energy management and food-waste monitoring. These operational conditions form the environment in which inclusion succeeds, weakens, or fluctuates. Some days the system works smoothly. Other days, one staff member’s absence stretches the whole line thinner than intended. It varies.</w:t>
      </w:r>
    </w:p>
    <w:p w14:paraId="27A70A7F" w14:textId="77777777" w:rsidR="00F55C59" w:rsidRPr="00285615" w:rsidRDefault="00F55C59" w:rsidP="00F55C59">
      <w:pPr>
        <w:spacing w:line="360" w:lineRule="auto"/>
        <w:jc w:val="both"/>
        <w:rPr>
          <w:rFonts w:ascii="Arial" w:hAnsi="Arial" w:cs="Arial"/>
        </w:rPr>
      </w:pPr>
      <w:r w:rsidRPr="00285615">
        <w:rPr>
          <w:rFonts w:ascii="Arial" w:hAnsi="Arial" w:cs="Arial"/>
        </w:rPr>
        <w:t>Across the hospitality sector, DEI is frequently positioned as a requirement for staff wellbeing, retention, and consistent service quality. Yet the day-to-day reality in mid-scale hotels can diverge sharply from policy language. Staffing tends to be lean, tasks are layered, and service moves quickly. Teams are internationally diverse while structures remain relatively flat, and managers negotiate performance expectations alongside rota fairness and guest recovery. When a late finish is followed by an early start, even strong commitments to care can lose visibility behind operational demands. It continues to happen, and not because the values are insincere, but because the work is immediate and unrelenting.</w:t>
      </w:r>
    </w:p>
    <w:p w14:paraId="4E4A60FC" w14:textId="06235CFD" w:rsidR="00F55C59" w:rsidRPr="00285615" w:rsidRDefault="00F55C59" w:rsidP="00F55C59">
      <w:pPr>
        <w:spacing w:line="360" w:lineRule="auto"/>
        <w:jc w:val="both"/>
        <w:rPr>
          <w:rFonts w:ascii="Arial" w:hAnsi="Arial" w:cs="Arial"/>
        </w:rPr>
      </w:pPr>
      <w:r w:rsidRPr="00285615">
        <w:rPr>
          <w:rFonts w:ascii="Arial" w:hAnsi="Arial" w:cs="Arial"/>
        </w:rPr>
        <w:t xml:space="preserve">The aim of the project is to examine how DEI commitments are enacted in practice within mid-scale hotels, using the comparison between </w:t>
      </w:r>
      <w:r w:rsidR="000328B8">
        <w:rPr>
          <w:rFonts w:ascii="Arial" w:hAnsi="Arial" w:cs="Arial"/>
        </w:rPr>
        <w:t>I</w:t>
      </w:r>
      <w:r w:rsidRPr="00285615">
        <w:rPr>
          <w:rFonts w:ascii="Arial" w:hAnsi="Arial" w:cs="Arial"/>
        </w:rPr>
        <w:t xml:space="preserve">bis Swansea (Accor Group) </w:t>
      </w:r>
      <w:r w:rsidRPr="00285615">
        <w:rPr>
          <w:rFonts w:ascii="Arial" w:hAnsi="Arial" w:cs="Arial"/>
        </w:rPr>
        <w:lastRenderedPageBreak/>
        <w:t>and Village Hotel Club as a structured lens. The research question asks how formal DEI frameworks are expressed, interpreted, and experienced at property level, and where the distance opens up between documentation and lived behaviour. Three objectives direct the inquiry: to identify formal DEI provisions; to evaluate the consistency between stated expectations and everyday managerial action; and to assess how global versus national organisational structures shape inclusion during ordinary operations.</w:t>
      </w:r>
    </w:p>
    <w:p w14:paraId="16777BE4" w14:textId="77777777" w:rsidR="00F55C59" w:rsidRPr="00285615" w:rsidRDefault="00F55C59" w:rsidP="00F55C59">
      <w:pPr>
        <w:spacing w:line="360" w:lineRule="auto"/>
        <w:jc w:val="both"/>
        <w:rPr>
          <w:rFonts w:ascii="Arial" w:hAnsi="Arial" w:cs="Arial"/>
        </w:rPr>
      </w:pPr>
      <w:r w:rsidRPr="00285615">
        <w:rPr>
          <w:rFonts w:ascii="Arial" w:hAnsi="Arial" w:cs="Arial"/>
        </w:rPr>
        <w:t>The relevance of the project lies in two observations. First, there is limited comparative research addressing DEI practice specifically in UK mid-scale hotels, where labour structures and task demands differ from luxury operations or large-scale resorts. Second, many industry guidelines focus on policy design without acknowledging the immediacy of operational constraints. By grounding analysis in shift-level routines, the project places attention on how belonging is produced through rota distribution, communication tone, and managerial interventions at stressful moments. The contribution therefore aligns practical insight with conceptual clarity: inclusion is situated in work design and leadership behaviour rather than in written commitments alone.</w:t>
      </w:r>
    </w:p>
    <w:p w14:paraId="00D8933A" w14:textId="7258291C" w:rsidR="00F55C59" w:rsidRPr="00285615" w:rsidRDefault="00F55C59" w:rsidP="00F55C59">
      <w:pPr>
        <w:spacing w:line="360" w:lineRule="auto"/>
        <w:jc w:val="both"/>
        <w:rPr>
          <w:rFonts w:ascii="Arial" w:hAnsi="Arial" w:cs="Arial"/>
        </w:rPr>
      </w:pPr>
      <w:r w:rsidRPr="00285615">
        <w:rPr>
          <w:rFonts w:ascii="Arial" w:hAnsi="Arial" w:cs="Arial"/>
        </w:rPr>
        <w:t xml:space="preserve">The case structure reflects this orientation. The </w:t>
      </w:r>
      <w:r w:rsidR="00C13C01">
        <w:rPr>
          <w:rFonts w:ascii="Arial" w:hAnsi="Arial" w:cs="Arial"/>
        </w:rPr>
        <w:t>I</w:t>
      </w:r>
      <w:r w:rsidRPr="00285615">
        <w:rPr>
          <w:rFonts w:ascii="Arial" w:hAnsi="Arial" w:cs="Arial"/>
        </w:rPr>
        <w:t xml:space="preserve">bis Swansea case demonstrates how a global DEI ideology is translated into a compact, multi-skilled workforce. The Village Hotel Club case provides contrast through its nationally consistent HR policies and clearer departmental separation. Data was drawn from document analysis, online employee reviews, and reflective field notes gathered during placement experience at </w:t>
      </w:r>
      <w:r w:rsidR="006D2A99">
        <w:rPr>
          <w:rFonts w:ascii="Arial" w:hAnsi="Arial" w:cs="Arial"/>
        </w:rPr>
        <w:t>I</w:t>
      </w:r>
      <w:r w:rsidRPr="00285615">
        <w:rPr>
          <w:rFonts w:ascii="Arial" w:hAnsi="Arial" w:cs="Arial"/>
        </w:rPr>
        <w:t>bis Swansea. The scope remains strictly at property level; the intention is not to generalise brand performance, but to observe how inclusion is enacted in context.</w:t>
      </w:r>
    </w:p>
    <w:p w14:paraId="0F94D0CB" w14:textId="77777777" w:rsidR="00F55C59" w:rsidRPr="00285615" w:rsidRDefault="00F55C59" w:rsidP="00F55C59">
      <w:pPr>
        <w:spacing w:line="360" w:lineRule="auto"/>
        <w:jc w:val="both"/>
        <w:rPr>
          <w:rFonts w:ascii="Arial" w:hAnsi="Arial" w:cs="Arial"/>
        </w:rPr>
      </w:pPr>
      <w:r w:rsidRPr="00285615">
        <w:rPr>
          <w:rFonts w:ascii="Arial" w:hAnsi="Arial" w:cs="Arial"/>
        </w:rPr>
        <w:t>In effect, the chapter establishes the operational ground on which inclusion is made tangible. Sometimes it is in a rota that distributes workload instead of loyalty. Sometimes it is in the tone a manager uses when correcting an error during peak service. And sometimes it is in the moment a colleague steps in without being asked.</w:t>
      </w:r>
    </w:p>
    <w:p w14:paraId="5B1AC27A" w14:textId="77777777" w:rsidR="00F55C59" w:rsidRPr="00285615" w:rsidRDefault="00F55C59" w:rsidP="00F55C59">
      <w:pPr>
        <w:spacing w:line="360" w:lineRule="auto"/>
        <w:jc w:val="both"/>
        <w:rPr>
          <w:rFonts w:ascii="Arial" w:hAnsi="Arial" w:cs="Arial"/>
        </w:rPr>
      </w:pPr>
      <w:r w:rsidRPr="00285615">
        <w:rPr>
          <w:rFonts w:ascii="Arial" w:hAnsi="Arial" w:cs="Arial"/>
        </w:rPr>
        <w:t>That is where DEI is either lived or left unread.</w:t>
      </w:r>
    </w:p>
    <w:p w14:paraId="4D9BBB78" w14:textId="77777777" w:rsidR="005152CE" w:rsidRDefault="005152CE" w:rsidP="00F55C59">
      <w:pPr>
        <w:spacing w:line="360" w:lineRule="auto"/>
        <w:jc w:val="both"/>
        <w:rPr>
          <w:rFonts w:ascii="Arial" w:hAnsi="Arial" w:cs="Arial"/>
          <w:b/>
          <w:bCs/>
        </w:rPr>
      </w:pPr>
    </w:p>
    <w:p w14:paraId="781B12C9" w14:textId="77777777" w:rsidR="005152CE" w:rsidRDefault="005152CE" w:rsidP="00F55C59">
      <w:pPr>
        <w:spacing w:line="360" w:lineRule="auto"/>
        <w:jc w:val="both"/>
        <w:rPr>
          <w:rFonts w:ascii="Arial" w:hAnsi="Arial" w:cs="Arial"/>
          <w:b/>
          <w:bCs/>
        </w:rPr>
      </w:pPr>
    </w:p>
    <w:p w14:paraId="2CA3B9A5" w14:textId="6A73D0B8" w:rsidR="00F55C59" w:rsidRPr="00DE1442" w:rsidRDefault="00F55C59" w:rsidP="00F55C59">
      <w:pPr>
        <w:spacing w:line="360" w:lineRule="auto"/>
        <w:jc w:val="both"/>
        <w:rPr>
          <w:rFonts w:ascii="Arial" w:hAnsi="Arial" w:cs="Arial"/>
          <w:b/>
          <w:bCs/>
        </w:rPr>
      </w:pPr>
      <w:r w:rsidRPr="00DE1442">
        <w:rPr>
          <w:rFonts w:ascii="Arial" w:hAnsi="Arial" w:cs="Arial"/>
          <w:b/>
          <w:bCs/>
        </w:rPr>
        <w:lastRenderedPageBreak/>
        <w:t>CHAPTER 2: LITERATURE REVIEW</w:t>
      </w:r>
    </w:p>
    <w:p w14:paraId="2015BFB7" w14:textId="0691736A" w:rsidR="00F55C59" w:rsidRPr="00DE1442" w:rsidRDefault="00F55C59" w:rsidP="00F55C59">
      <w:pPr>
        <w:spacing w:line="360" w:lineRule="auto"/>
        <w:jc w:val="both"/>
        <w:rPr>
          <w:rFonts w:ascii="Arial" w:hAnsi="Arial" w:cs="Arial"/>
          <w:b/>
          <w:bCs/>
        </w:rPr>
      </w:pPr>
      <w:r w:rsidRPr="00DE1442">
        <w:rPr>
          <w:rFonts w:ascii="Arial" w:hAnsi="Arial" w:cs="Arial"/>
          <w:b/>
          <w:bCs/>
        </w:rPr>
        <w:t>Introduction</w:t>
      </w:r>
    </w:p>
    <w:p w14:paraId="7D68A1F9" w14:textId="77777777" w:rsidR="00F55C59" w:rsidRPr="00DE1442" w:rsidRDefault="00F55C59" w:rsidP="00F55C59">
      <w:pPr>
        <w:spacing w:line="360" w:lineRule="auto"/>
        <w:jc w:val="both"/>
        <w:rPr>
          <w:rFonts w:ascii="Arial" w:hAnsi="Arial" w:cs="Arial"/>
        </w:rPr>
      </w:pPr>
      <w:r w:rsidRPr="00DE1442">
        <w:rPr>
          <w:rFonts w:ascii="Arial" w:hAnsi="Arial" w:cs="Arial"/>
        </w:rPr>
        <w:t>What follows looks at the ideas that currently organise debate on diversity, equity and inclusion in hospitality. I read most of these sources after late shifts, sometimes while waiting for the night audit to finish, which is a good reminder that theory must survive contact with operations. The sequence begins with the major models that explain how inclusion forms in organisations, moves to the UK legal and ethical frame, then examines persistent challenges in hotels and closes with practice signals from sector leaders. At times the distance between concept and shift life is obvious, especially with understaffing or a clopening week that leaves little energy to reflect. Even so, this body of work offers a structure for understanding why inclusion holds or slips in mid-scale hotels.</w:t>
      </w:r>
    </w:p>
    <w:p w14:paraId="321ACD23" w14:textId="77777777" w:rsidR="00F55C59" w:rsidRPr="00DE1442" w:rsidRDefault="00F55C59" w:rsidP="00F55C59">
      <w:pPr>
        <w:spacing w:line="360" w:lineRule="auto"/>
        <w:jc w:val="both"/>
        <w:rPr>
          <w:rFonts w:ascii="Arial" w:hAnsi="Arial" w:cs="Arial"/>
          <w:b/>
          <w:bCs/>
        </w:rPr>
      </w:pPr>
      <w:r w:rsidRPr="00DE1442">
        <w:rPr>
          <w:rFonts w:ascii="Arial" w:hAnsi="Arial" w:cs="Arial"/>
          <w:b/>
          <w:bCs/>
        </w:rPr>
        <w:t>2.1 Theoretical Foundations of DEI</w:t>
      </w:r>
    </w:p>
    <w:p w14:paraId="493C7EF9" w14:textId="63168BE9" w:rsidR="00F55C59" w:rsidRPr="00DE1442" w:rsidRDefault="00F55C59" w:rsidP="00F55C59">
      <w:pPr>
        <w:spacing w:line="360" w:lineRule="auto"/>
        <w:jc w:val="both"/>
        <w:rPr>
          <w:rFonts w:ascii="Arial" w:hAnsi="Arial" w:cs="Arial"/>
        </w:rPr>
      </w:pPr>
      <w:r w:rsidRPr="00DE1442">
        <w:rPr>
          <w:rFonts w:ascii="Arial" w:hAnsi="Arial" w:cs="Arial"/>
        </w:rPr>
        <w:t xml:space="preserve">A closer look displays that belonging sits at the centre of most frameworks. Social Identity Theory proposes that people categorise themselves into groups, shaping perception, acceptance and response to others (Cunningham, 2023). Group membership affects who shares information, who asks for help, and how conflict is handled. In hotels, lines appear quietly and then </w:t>
      </w:r>
      <w:r w:rsidR="00E05C1F" w:rsidRPr="00DE1442">
        <w:rPr>
          <w:rFonts w:ascii="Arial" w:hAnsi="Arial" w:cs="Arial"/>
        </w:rPr>
        <w:t>harden</w:t>
      </w:r>
      <w:r w:rsidR="00E05C1F">
        <w:rPr>
          <w:rFonts w:ascii="Arial" w:hAnsi="Arial" w:cs="Arial"/>
        </w:rPr>
        <w:t>:</w:t>
      </w:r>
      <w:r w:rsidR="001A2FF4">
        <w:rPr>
          <w:rFonts w:ascii="Arial" w:hAnsi="Arial" w:cs="Arial"/>
        </w:rPr>
        <w:t xml:space="preserve"> </w:t>
      </w:r>
      <w:r w:rsidRPr="00DE1442">
        <w:rPr>
          <w:rFonts w:ascii="Arial" w:hAnsi="Arial" w:cs="Arial"/>
        </w:rPr>
        <w:t>front office versus restaurant, permanent staff versus agency, locals versus internationals. Sometimes it surfaces in a tense moment when reception declines to back up housekeeping because it is “not their job”. This still happens. Rivera and Lonis Shumate (2014) showed earlier that social categorisation shapes how even hospitality students perceive diversity, which means the pattern begins before employment.</w:t>
      </w:r>
    </w:p>
    <w:p w14:paraId="30DFE655" w14:textId="77777777" w:rsidR="00F55C59" w:rsidRPr="00DE1442" w:rsidRDefault="00F55C59" w:rsidP="00F55C59">
      <w:pPr>
        <w:spacing w:line="360" w:lineRule="auto"/>
        <w:jc w:val="both"/>
        <w:rPr>
          <w:rFonts w:ascii="Arial" w:hAnsi="Arial" w:cs="Arial"/>
        </w:rPr>
      </w:pPr>
      <w:r w:rsidRPr="00DE1442">
        <w:rPr>
          <w:rFonts w:ascii="Arial" w:hAnsi="Arial" w:cs="Arial"/>
        </w:rPr>
        <w:t>Intergroup contact can help when conditions are right. The Contact Hypothesis argues that supported contact, equal status, and shared goals reduce prejudice and improve inclusion (Russen and Dawson, 2023). Hotel teams certainly mix cultures side by side, although status rarely aligns perfectly across roles or pay grades (Alberti and Lannuzzi, 2020). In practice, weak scaffolding turns contact into discomfort: a bar supervisor may refuse assistance from a new colleague because the colleague “does not know the system yet”. The idea is sound; without structure, the effect is limited.</w:t>
      </w:r>
    </w:p>
    <w:p w14:paraId="1894167C" w14:textId="77777777" w:rsidR="00F55C59" w:rsidRPr="00DE1442" w:rsidRDefault="00F55C59" w:rsidP="00F55C59">
      <w:pPr>
        <w:spacing w:line="360" w:lineRule="auto"/>
        <w:jc w:val="both"/>
        <w:rPr>
          <w:rFonts w:ascii="Arial" w:hAnsi="Arial" w:cs="Arial"/>
        </w:rPr>
      </w:pPr>
      <w:r w:rsidRPr="00DE1442">
        <w:rPr>
          <w:rFonts w:ascii="Arial" w:hAnsi="Arial" w:cs="Arial"/>
        </w:rPr>
        <w:lastRenderedPageBreak/>
        <w:t>Inclusive leadership frameworks then lift the focus from groups to the behaviour that sets the climate. Leaders who create psychological safety and voice enable diversity outcomes that persist under pressure (Dawson, Neal and Madera, 2011; Lee and Shin, 2025; Mohammandi, Bhati and NG, 2022). Put plainly, the experience of inclusion precedes diversity benefits. Mohammadi, Bhati and Ng (2022) and Vassou et al. (2024) report stronger commitment where staff feel fairness and the right to speak. Ferdman (2020) reaches the same conclusion outside hospitality: small, daily behaviours, not grand documents, shift culture. One well-timed, empathetic response during a chaotic check-in often steadies a team.</w:t>
      </w:r>
    </w:p>
    <w:p w14:paraId="042F5117" w14:textId="77777777" w:rsidR="00F55C59" w:rsidRPr="00DE1442" w:rsidRDefault="00F55C59" w:rsidP="00F55C59">
      <w:pPr>
        <w:spacing w:line="360" w:lineRule="auto"/>
        <w:jc w:val="both"/>
        <w:rPr>
          <w:rFonts w:ascii="Arial" w:hAnsi="Arial" w:cs="Arial"/>
        </w:rPr>
      </w:pPr>
      <w:r w:rsidRPr="00DE1442">
        <w:rPr>
          <w:rFonts w:ascii="Arial" w:hAnsi="Arial" w:cs="Arial"/>
        </w:rPr>
        <w:t>Work design matters as much as attitude. The Job Demands</w:t>
      </w:r>
      <w:r>
        <w:rPr>
          <w:rFonts w:ascii="Arial" w:hAnsi="Arial" w:cs="Arial"/>
        </w:rPr>
        <w:t>-</w:t>
      </w:r>
      <w:r w:rsidRPr="00DE1442">
        <w:rPr>
          <w:rFonts w:ascii="Arial" w:hAnsi="Arial" w:cs="Arial"/>
        </w:rPr>
        <w:t>Resources Model shows how high demands and constant switching erode wellbeing unless buffered by support, autonomy, or recovery time (Harju, Kaltiainen and Hakanen, 2021). Originally tied to burnout, the model now appears directly in hospitality DEI debates (Madera et al., 2023). Many mid-scale hotels expect one person to cover bar, reception and room service within a single shift (Ayyildiz et al., 2025). When demands rise and resources stay thin, belonging weakens; I have felt that after moving across three stations in under an hour.</w:t>
      </w:r>
    </w:p>
    <w:p w14:paraId="2646A21E" w14:textId="7A32F200" w:rsidR="00F55C59" w:rsidRPr="00DE1442" w:rsidRDefault="00F55C59" w:rsidP="00F55C59">
      <w:pPr>
        <w:spacing w:line="360" w:lineRule="auto"/>
        <w:jc w:val="both"/>
        <w:rPr>
          <w:rFonts w:ascii="Arial" w:hAnsi="Arial" w:cs="Arial"/>
        </w:rPr>
      </w:pPr>
      <w:r w:rsidRPr="00DE1442">
        <w:rPr>
          <w:rFonts w:ascii="Arial" w:hAnsi="Arial" w:cs="Arial"/>
        </w:rPr>
        <w:t xml:space="preserve">Structure and agency interact. Drawing on Structuration Theory, Ponting and Dillette (2023) argue that policies influence culture only when staff enact them inside everyday exchanges. Corporate rules guide leaders, but leaders still choose how to move. Some show flexibility. </w:t>
      </w:r>
      <w:r w:rsidR="00D90E14" w:rsidRPr="00DE1442">
        <w:rPr>
          <w:rFonts w:ascii="Arial" w:hAnsi="Arial" w:cs="Arial"/>
        </w:rPr>
        <w:t>Other</w:t>
      </w:r>
      <w:r w:rsidR="006428F9">
        <w:rPr>
          <w:rFonts w:ascii="Arial" w:hAnsi="Arial" w:cs="Arial"/>
        </w:rPr>
        <w:t xml:space="preserve">s - </w:t>
      </w:r>
      <w:r w:rsidRPr="00DE1442">
        <w:rPr>
          <w:rFonts w:ascii="Arial" w:hAnsi="Arial" w:cs="Arial"/>
        </w:rPr>
        <w:t>police boundaries. The result is that two properties inside the same brand often display different cultures.</w:t>
      </w:r>
    </w:p>
    <w:p w14:paraId="7EC62CAA" w14:textId="77777777" w:rsidR="00F55C59" w:rsidRPr="00DE1442" w:rsidRDefault="00F55C59" w:rsidP="00F55C59">
      <w:pPr>
        <w:spacing w:line="360" w:lineRule="auto"/>
        <w:jc w:val="both"/>
        <w:rPr>
          <w:rFonts w:ascii="Arial" w:hAnsi="Arial" w:cs="Arial"/>
        </w:rPr>
      </w:pPr>
      <w:r w:rsidRPr="00DE1442">
        <w:rPr>
          <w:rFonts w:ascii="Arial" w:hAnsi="Arial" w:cs="Arial"/>
        </w:rPr>
        <w:t>Recent work widens the lens. Kalargyrou and Costea (2017) consider how education prepares students to read inclusion before they step into industry roles. From the demand side, Chauhan and Gupta (2025) show that guests increasingly notice whether staff are respected on site. Cha, Kim and Knutson (2024) find luxury brands now folding DEI into identity and marketing, while mid-scale adoption remains patchier. Across these traditions, the message converges: inclusion is relational, produced by identity, leadership, workload and repeated interactions. It is complicated in practice.</w:t>
      </w:r>
    </w:p>
    <w:p w14:paraId="13AC78CF" w14:textId="77777777" w:rsidR="00F55C59" w:rsidRPr="00DE1442" w:rsidRDefault="00F55C59" w:rsidP="00F55C59">
      <w:pPr>
        <w:spacing w:line="360" w:lineRule="auto"/>
        <w:jc w:val="both"/>
        <w:rPr>
          <w:rFonts w:ascii="Arial" w:hAnsi="Arial" w:cs="Arial"/>
          <w:b/>
          <w:bCs/>
        </w:rPr>
      </w:pPr>
      <w:r w:rsidRPr="00DE1442">
        <w:rPr>
          <w:rFonts w:ascii="Arial" w:hAnsi="Arial" w:cs="Arial"/>
          <w:b/>
          <w:bCs/>
        </w:rPr>
        <w:t>2.2 UK Legal and Ethical Framework</w:t>
      </w:r>
    </w:p>
    <w:p w14:paraId="5AA36B33" w14:textId="77777777" w:rsidR="00F55C59" w:rsidRPr="00DE1442" w:rsidRDefault="00F55C59" w:rsidP="00F55C59">
      <w:pPr>
        <w:spacing w:line="360" w:lineRule="auto"/>
        <w:jc w:val="both"/>
        <w:rPr>
          <w:rFonts w:ascii="Arial" w:hAnsi="Arial" w:cs="Arial"/>
        </w:rPr>
      </w:pPr>
      <w:r w:rsidRPr="00DE1442">
        <w:rPr>
          <w:rFonts w:ascii="Arial" w:hAnsi="Arial" w:cs="Arial"/>
        </w:rPr>
        <w:t xml:space="preserve">The legal baseline in the United Kingdom is clear. The Equality Act 2010 requires fair treatment across protected characteristics, including race, religion, age, disability and </w:t>
      </w:r>
      <w:r w:rsidRPr="00DE1442">
        <w:rPr>
          <w:rFonts w:ascii="Arial" w:hAnsi="Arial" w:cs="Arial"/>
        </w:rPr>
        <w:lastRenderedPageBreak/>
        <w:t>gender. Compliance is mandatory, but evidence suggests legal alignment alone does not create belonging. Organisations adopt governance frameworks and still miss cultural change, as Wickham, Fiedler and Donnelly (2025) observe.</w:t>
      </w:r>
    </w:p>
    <w:p w14:paraId="4A5460BD" w14:textId="77777777" w:rsidR="00F55C59" w:rsidRPr="00DE1442" w:rsidRDefault="00F55C59" w:rsidP="00F55C59">
      <w:pPr>
        <w:spacing w:line="360" w:lineRule="auto"/>
        <w:jc w:val="both"/>
        <w:rPr>
          <w:rFonts w:ascii="Arial" w:hAnsi="Arial" w:cs="Arial"/>
        </w:rPr>
      </w:pPr>
      <w:r w:rsidRPr="00DE1442">
        <w:rPr>
          <w:rFonts w:ascii="Arial" w:hAnsi="Arial" w:cs="Arial"/>
        </w:rPr>
        <w:t>Professional bodies push further. CIPD frames DEI as shared accountability and expects leaders to track outcomes and address inequality with evidence, not claims (CIPD, 2023). Measurement matters. Within hospitality research, value-centred leadership appears as an ethical expectation, since responsible leadership includes DEI as core practice rather than optional initiative (Gursoy and Maier, 2023).</w:t>
      </w:r>
    </w:p>
    <w:p w14:paraId="22100B01" w14:textId="77777777" w:rsidR="00F55C59" w:rsidRPr="00DE1442" w:rsidRDefault="00F55C59" w:rsidP="00F55C59">
      <w:pPr>
        <w:spacing w:line="360" w:lineRule="auto"/>
        <w:jc w:val="both"/>
        <w:rPr>
          <w:rFonts w:ascii="Arial" w:hAnsi="Arial" w:cs="Arial"/>
        </w:rPr>
      </w:pPr>
      <w:r w:rsidRPr="00DE1442">
        <w:rPr>
          <w:rFonts w:ascii="Arial" w:hAnsi="Arial" w:cs="Arial"/>
        </w:rPr>
        <w:t>Training should reinforce these positions. Integrating diversity learning into daily development improves understanding, whereas isolated workshops fade quickly, according to Almeida, Jadhav and Parchure (2024). Adegbite (2024) argues that training achieves impact only when linked to performance reviews and development plans. The pattern needs consistency and consequence. Legal rules say what must be done. Ethical frames show what should be done. Many hotels operate in the space between.</w:t>
      </w:r>
    </w:p>
    <w:p w14:paraId="5C82DEC2" w14:textId="77777777" w:rsidR="00F55C59" w:rsidRPr="00DE1442" w:rsidRDefault="00F55C59" w:rsidP="00F55C59">
      <w:pPr>
        <w:spacing w:line="360" w:lineRule="auto"/>
        <w:jc w:val="both"/>
        <w:rPr>
          <w:rFonts w:ascii="Arial" w:hAnsi="Arial" w:cs="Arial"/>
          <w:b/>
          <w:bCs/>
        </w:rPr>
      </w:pPr>
      <w:r w:rsidRPr="00DE1442">
        <w:rPr>
          <w:rFonts w:ascii="Arial" w:hAnsi="Arial" w:cs="Arial"/>
          <w:b/>
          <w:bCs/>
        </w:rPr>
        <w:t>2.3 DEI Challenges in Hospitality</w:t>
      </w:r>
    </w:p>
    <w:p w14:paraId="23A89790" w14:textId="77777777" w:rsidR="00F55C59" w:rsidRPr="00DE1442" w:rsidRDefault="00F55C59" w:rsidP="00F55C59">
      <w:pPr>
        <w:spacing w:line="360" w:lineRule="auto"/>
        <w:jc w:val="both"/>
        <w:rPr>
          <w:rFonts w:ascii="Arial" w:hAnsi="Arial" w:cs="Arial"/>
        </w:rPr>
      </w:pPr>
      <w:r w:rsidRPr="00DE1442">
        <w:rPr>
          <w:rFonts w:ascii="Arial" w:hAnsi="Arial" w:cs="Arial"/>
        </w:rPr>
        <w:t>Hospitality carries structural frictions that complicate DEI implementation (Chandra, Bahalla and Ranja, 2023). Property-level enactment frequently stalls because operations dominate attention, as Tsai (2024) notes. Giousmpasoglu (2024) links the problem to labour precarity, cultural segmentation and informal staffing practices. Diversity is normal because labour markets are global; inclusion remains inconsistent across sites (Georgiadou and Jasonos, 2014; Del Rosaria et al., 2024).</w:t>
      </w:r>
    </w:p>
    <w:p w14:paraId="15CB360C" w14:textId="77777777" w:rsidR="00F55C59" w:rsidRPr="00DE1442" w:rsidRDefault="00F55C59" w:rsidP="00F55C59">
      <w:pPr>
        <w:spacing w:line="360" w:lineRule="auto"/>
        <w:jc w:val="both"/>
        <w:rPr>
          <w:rFonts w:ascii="Arial" w:hAnsi="Arial" w:cs="Arial"/>
        </w:rPr>
      </w:pPr>
      <w:r w:rsidRPr="00DE1442">
        <w:rPr>
          <w:rFonts w:ascii="Arial" w:hAnsi="Arial" w:cs="Arial"/>
        </w:rPr>
        <w:t>Tokenism persists in management pipelines. Lockett et al. (2023) describe organisations that look diverse while decision power stays concentrated in a narrow group. On the market side, when staff diversity is visible but unsupported, brand messaging and guest perception diverge, a point made by Chauhan, Shaik and Gupta (2025).</w:t>
      </w:r>
    </w:p>
    <w:p w14:paraId="2FE52FD2" w14:textId="77777777" w:rsidR="00F55C59" w:rsidRPr="00DE1442" w:rsidRDefault="00F55C59" w:rsidP="00F55C59">
      <w:pPr>
        <w:spacing w:line="360" w:lineRule="auto"/>
        <w:jc w:val="both"/>
        <w:rPr>
          <w:rFonts w:ascii="Arial" w:hAnsi="Arial" w:cs="Arial"/>
        </w:rPr>
      </w:pPr>
      <w:r w:rsidRPr="00DE1442">
        <w:rPr>
          <w:rFonts w:ascii="Arial" w:hAnsi="Arial" w:cs="Arial"/>
        </w:rPr>
        <w:t xml:space="preserve">Communication barriers also interrupt coordination. Cultural and language differences reduce cohesion when they are unmanaged (Peltokorpi and Clausen, 2011; Madera et al., 2023). I watched a clopening week unravel because a new colleague could not </w:t>
      </w:r>
      <w:r w:rsidRPr="00DE1442">
        <w:rPr>
          <w:rFonts w:ascii="Arial" w:hAnsi="Arial" w:cs="Arial"/>
        </w:rPr>
        <w:lastRenderedPageBreak/>
        <w:t>interpret the rota message in the WhatsApp group; breakfast started understaffed and the shift never recovered.</w:t>
      </w:r>
    </w:p>
    <w:p w14:paraId="06684D61" w14:textId="77777777" w:rsidR="00F55C59" w:rsidRPr="00DE1442" w:rsidRDefault="00F55C59" w:rsidP="00F55C59">
      <w:pPr>
        <w:spacing w:line="360" w:lineRule="auto"/>
        <w:jc w:val="both"/>
        <w:rPr>
          <w:rFonts w:ascii="Arial" w:hAnsi="Arial" w:cs="Arial"/>
        </w:rPr>
      </w:pPr>
      <w:r w:rsidRPr="00DE1442">
        <w:rPr>
          <w:rFonts w:ascii="Arial" w:hAnsi="Arial" w:cs="Arial"/>
        </w:rPr>
        <w:t>Leadership variation deepens the gap. Outcomes depend heavily on the individual manager rather than standardised systems, which leaves teams exposed to preference and habit (Tsai, 2024). One scheduler spreads unpopular shifts fairly; another rewards social proximity (Wood, 2018). Rivera and Lonis-Shumate (2014) already signalled that personal attitudes carry more weight than rules when inclusion is at stake.</w:t>
      </w:r>
    </w:p>
    <w:p w14:paraId="6A6D3DA7" w14:textId="77777777" w:rsidR="00F55C59" w:rsidRPr="00DE1442" w:rsidRDefault="00F55C59" w:rsidP="00F55C59">
      <w:pPr>
        <w:spacing w:line="360" w:lineRule="auto"/>
        <w:jc w:val="both"/>
        <w:rPr>
          <w:rFonts w:ascii="Arial" w:hAnsi="Arial" w:cs="Arial"/>
        </w:rPr>
      </w:pPr>
      <w:r w:rsidRPr="00DE1442">
        <w:rPr>
          <w:rFonts w:ascii="Arial" w:hAnsi="Arial" w:cs="Arial"/>
        </w:rPr>
        <w:t>Education shows similar unevenness. Kalargyrou and Costea (2017) argue that educators shape future leaders’ understanding of inclusion. If formative learning varies, practice varies later, which Gough and Dort (2024) also underline. And when workload spikes or vacancies stack up, good intentions disappear behind urgent tasks (Gauci, 2024). It happens more often than anyone admits.</w:t>
      </w:r>
    </w:p>
    <w:p w14:paraId="7BE33171" w14:textId="77777777" w:rsidR="00F55C59" w:rsidRPr="00DE1442" w:rsidRDefault="00F55C59" w:rsidP="00F55C59">
      <w:pPr>
        <w:spacing w:line="360" w:lineRule="auto"/>
        <w:jc w:val="both"/>
        <w:rPr>
          <w:rFonts w:ascii="Arial" w:hAnsi="Arial" w:cs="Arial"/>
          <w:b/>
          <w:bCs/>
        </w:rPr>
      </w:pPr>
      <w:r w:rsidRPr="00DE1442">
        <w:rPr>
          <w:rFonts w:ascii="Arial" w:hAnsi="Arial" w:cs="Arial"/>
          <w:b/>
          <w:bCs/>
        </w:rPr>
        <w:t>2.4 Best Practices from Industry Leaders</w:t>
      </w:r>
    </w:p>
    <w:p w14:paraId="55ECACF7" w14:textId="77777777" w:rsidR="00F55C59" w:rsidRPr="00DE1442" w:rsidRDefault="00F55C59" w:rsidP="00F55C59">
      <w:pPr>
        <w:spacing w:line="360" w:lineRule="auto"/>
        <w:jc w:val="both"/>
        <w:rPr>
          <w:rFonts w:ascii="Arial" w:hAnsi="Arial" w:cs="Arial"/>
        </w:rPr>
      </w:pPr>
      <w:r w:rsidRPr="00DE1442">
        <w:rPr>
          <w:rFonts w:ascii="Arial" w:hAnsi="Arial" w:cs="Arial"/>
        </w:rPr>
        <w:t>Sector leaders attempt to embed DEI into operations rather than leave it in policy. Marriott builds around measurement, tracking representation, participation, application and appreciation to give managers a dashboard they cannot ignore (Leung et al., 2022). Hilton connects inclusion to leadership accountability and community programmes through Thrive (Hilton, 2025). Accor operates a global DEI architecture while encouraging local adaptation so properties can fit context without losing direction (Accor Group, 2025). Adegbite (2024) cautions that such designs only work when training reinforces practice.</w:t>
      </w:r>
    </w:p>
    <w:p w14:paraId="73B475BD" w14:textId="77777777" w:rsidR="00F55C59" w:rsidRPr="00DE1442" w:rsidRDefault="00F55C59" w:rsidP="00F55C59">
      <w:pPr>
        <w:spacing w:line="360" w:lineRule="auto"/>
        <w:jc w:val="both"/>
        <w:rPr>
          <w:rFonts w:ascii="Arial" w:hAnsi="Arial" w:cs="Arial"/>
        </w:rPr>
      </w:pPr>
      <w:r w:rsidRPr="00DE1442">
        <w:rPr>
          <w:rFonts w:ascii="Arial" w:hAnsi="Arial" w:cs="Arial"/>
        </w:rPr>
        <w:t>Across sectors, results improve when DEI is tied to leadership behaviour rather than HR documentation, which Tsai (2024) highlights. In education settings, authentic interaction shifts beliefs more than policy instruction, say Rivera and Lonis Shumate (2014). Cha, Kim and Knutson (2024) add that luxury brands employ DEI to strengthen identity and loyalty. Guests increasingly expect visible fairness during service, not only a diverse line-up behind the desk, a point pressed by Chauhan, Shaik and Gupta (2025). Some hotels move with data. Others rely on disciplined leadership behaviour and conversation. Progress accelerates when measurement and culture meet, as Dawson, Abbott and Shoemaker (2011) argue.</w:t>
      </w:r>
    </w:p>
    <w:p w14:paraId="6D15D715" w14:textId="77777777" w:rsidR="00F55C59" w:rsidRPr="00DE1442" w:rsidRDefault="00F55C59" w:rsidP="00F55C59">
      <w:pPr>
        <w:spacing w:line="360" w:lineRule="auto"/>
        <w:jc w:val="both"/>
        <w:rPr>
          <w:rFonts w:ascii="Arial" w:hAnsi="Arial" w:cs="Arial"/>
          <w:b/>
          <w:bCs/>
        </w:rPr>
      </w:pPr>
      <w:r w:rsidRPr="00DE1442">
        <w:rPr>
          <w:rFonts w:ascii="Arial" w:hAnsi="Arial" w:cs="Arial"/>
          <w:b/>
          <w:bCs/>
        </w:rPr>
        <w:lastRenderedPageBreak/>
        <w:t>2.5 Literature Gap</w:t>
      </w:r>
    </w:p>
    <w:p w14:paraId="79E9318B" w14:textId="77777777" w:rsidR="00F55C59" w:rsidRPr="00DE1442" w:rsidRDefault="00F55C59" w:rsidP="00F55C59">
      <w:pPr>
        <w:spacing w:line="360" w:lineRule="auto"/>
        <w:jc w:val="both"/>
        <w:rPr>
          <w:rFonts w:ascii="Arial" w:hAnsi="Arial" w:cs="Arial"/>
        </w:rPr>
      </w:pPr>
      <w:r w:rsidRPr="00DE1442">
        <w:rPr>
          <w:rFonts w:ascii="Arial" w:hAnsi="Arial" w:cs="Arial"/>
        </w:rPr>
        <w:t>Despite growing attention, important gaps remain. Liu, Hao Qiu (2025) note that much DEI work examines policy and organisation-level strategy while giving less attention to the lived experience of employees on shift. Research also leans towards luxury segments, which leaves mid-scale hotels underrepresented and poorly understood in this domain (Cha, Kim and Knutson, 2024).</w:t>
      </w:r>
    </w:p>
    <w:p w14:paraId="021E9783" w14:textId="2D061655" w:rsidR="00F55C59" w:rsidRPr="00DE1442" w:rsidRDefault="00F55C59" w:rsidP="00F55C59">
      <w:pPr>
        <w:spacing w:line="360" w:lineRule="auto"/>
        <w:jc w:val="both"/>
        <w:rPr>
          <w:rFonts w:ascii="Arial" w:hAnsi="Arial" w:cs="Arial"/>
        </w:rPr>
      </w:pPr>
      <w:r w:rsidRPr="00DE1442">
        <w:rPr>
          <w:rFonts w:ascii="Arial" w:hAnsi="Arial" w:cs="Arial"/>
        </w:rPr>
        <w:t xml:space="preserve">Comparative studies of UK mid-scale chains are limited. Few designs combine document analysis, employee perceptions and reflexive field observation in one frame. Beach and Segars (2022) call for closer examination of how leaders’ actions shape DEI outcomes during routine operations. Russen et al. (2023) point to the need to link leadership inclusion with psychological safety more explicitly. Madera et al. (2023) recommend integrating HR outcomes with customer experience indicators so that inclusion is tested against guest reality as well as staff metrics. This dissertation responds by examining inclusion where it is experienced: real shifts, not only policy pages. The gap becomes visible at the end of a long day when the checklist is </w:t>
      </w:r>
      <w:r w:rsidR="00DB0725" w:rsidRPr="00DE1442">
        <w:rPr>
          <w:rFonts w:ascii="Arial" w:hAnsi="Arial" w:cs="Arial"/>
        </w:rPr>
        <w:t>complete,</w:t>
      </w:r>
      <w:r w:rsidRPr="00DE1442">
        <w:rPr>
          <w:rFonts w:ascii="Arial" w:hAnsi="Arial" w:cs="Arial"/>
        </w:rPr>
        <w:t xml:space="preserve"> and somebody still feels invisible.</w:t>
      </w:r>
    </w:p>
    <w:p w14:paraId="6AA7335C" w14:textId="77777777" w:rsidR="00F55C59" w:rsidRPr="00DE1442" w:rsidRDefault="00F55C59" w:rsidP="00F55C59">
      <w:pPr>
        <w:spacing w:line="360" w:lineRule="auto"/>
        <w:jc w:val="both"/>
        <w:rPr>
          <w:rFonts w:ascii="Arial" w:hAnsi="Arial" w:cs="Arial"/>
          <w:b/>
          <w:bCs/>
        </w:rPr>
      </w:pPr>
      <w:r w:rsidRPr="00DE1442">
        <w:rPr>
          <w:rFonts w:ascii="Arial" w:hAnsi="Arial" w:cs="Arial"/>
          <w:b/>
          <w:bCs/>
        </w:rPr>
        <w:t>2.6 Chapter Summary</w:t>
      </w:r>
    </w:p>
    <w:p w14:paraId="2B6A4829" w14:textId="77777777" w:rsidR="00F55C59" w:rsidRPr="00DE1442" w:rsidRDefault="00F55C59" w:rsidP="00F55C59">
      <w:pPr>
        <w:spacing w:line="360" w:lineRule="auto"/>
        <w:jc w:val="both"/>
        <w:rPr>
          <w:rFonts w:ascii="Arial" w:hAnsi="Arial" w:cs="Arial"/>
        </w:rPr>
      </w:pPr>
      <w:r w:rsidRPr="00DE1442">
        <w:rPr>
          <w:rFonts w:ascii="Arial" w:hAnsi="Arial" w:cs="Arial"/>
        </w:rPr>
        <w:t>The review shows that inclusion is produced through identity dynamics, leadership behaviour, learning architectures and consistent organisational structures. Across the literature, a recurring distance appears between DEI policy and operational enactment. Mid-scale hotels face sharper difficulty because they rely on multitasking and flexible staffing while accountability systems remain light. The next chapter sets out the research design built from these insights and tailored to the conditions of property-level work.</w:t>
      </w:r>
    </w:p>
    <w:p w14:paraId="275F216A" w14:textId="77777777" w:rsidR="00F55C59" w:rsidRDefault="00F55C59" w:rsidP="00F55C59">
      <w:pPr>
        <w:spacing w:line="360" w:lineRule="auto"/>
        <w:jc w:val="both"/>
        <w:rPr>
          <w:rFonts w:ascii="Arial" w:hAnsi="Arial" w:cs="Arial"/>
          <w:b/>
          <w:bCs/>
        </w:rPr>
      </w:pPr>
    </w:p>
    <w:p w14:paraId="0791B528" w14:textId="77777777" w:rsidR="00F55C59" w:rsidRDefault="00F55C59" w:rsidP="00F55C59">
      <w:pPr>
        <w:spacing w:line="360" w:lineRule="auto"/>
        <w:jc w:val="both"/>
        <w:rPr>
          <w:rFonts w:ascii="Arial" w:hAnsi="Arial" w:cs="Arial"/>
          <w:b/>
          <w:bCs/>
        </w:rPr>
      </w:pPr>
    </w:p>
    <w:p w14:paraId="7BDF643E" w14:textId="77777777" w:rsidR="00F55C59" w:rsidRPr="00DE1442" w:rsidRDefault="00F55C59" w:rsidP="00F55C59">
      <w:pPr>
        <w:spacing w:line="360" w:lineRule="auto"/>
        <w:jc w:val="both"/>
        <w:rPr>
          <w:rFonts w:ascii="Arial" w:hAnsi="Arial" w:cs="Arial"/>
          <w:b/>
          <w:bCs/>
        </w:rPr>
      </w:pPr>
    </w:p>
    <w:p w14:paraId="25116920" w14:textId="77777777" w:rsidR="00074916" w:rsidRDefault="00074916" w:rsidP="00F55C59">
      <w:pPr>
        <w:spacing w:line="360" w:lineRule="auto"/>
        <w:jc w:val="both"/>
        <w:rPr>
          <w:rFonts w:ascii="Arial" w:hAnsi="Arial" w:cs="Arial"/>
          <w:b/>
          <w:bCs/>
        </w:rPr>
      </w:pPr>
    </w:p>
    <w:p w14:paraId="55A728EB" w14:textId="77777777" w:rsidR="00074916" w:rsidRDefault="00074916" w:rsidP="00F55C59">
      <w:pPr>
        <w:spacing w:line="360" w:lineRule="auto"/>
        <w:jc w:val="both"/>
        <w:rPr>
          <w:rFonts w:ascii="Arial" w:hAnsi="Arial" w:cs="Arial"/>
          <w:b/>
          <w:bCs/>
        </w:rPr>
      </w:pPr>
    </w:p>
    <w:p w14:paraId="1FC6138F" w14:textId="77777777" w:rsidR="00074916" w:rsidRDefault="00074916" w:rsidP="00F55C59">
      <w:pPr>
        <w:spacing w:line="360" w:lineRule="auto"/>
        <w:jc w:val="both"/>
        <w:rPr>
          <w:rFonts w:ascii="Arial" w:hAnsi="Arial" w:cs="Arial"/>
          <w:b/>
          <w:bCs/>
        </w:rPr>
      </w:pPr>
    </w:p>
    <w:p w14:paraId="44159EE0" w14:textId="08D99F6F" w:rsidR="00F55C59" w:rsidRPr="007B7293" w:rsidRDefault="00F55C59" w:rsidP="00F55C59">
      <w:pPr>
        <w:spacing w:line="360" w:lineRule="auto"/>
        <w:jc w:val="both"/>
        <w:rPr>
          <w:rFonts w:ascii="Arial" w:hAnsi="Arial" w:cs="Arial"/>
          <w:b/>
          <w:bCs/>
        </w:rPr>
      </w:pPr>
      <w:r w:rsidRPr="007B7293">
        <w:rPr>
          <w:rFonts w:ascii="Arial" w:hAnsi="Arial" w:cs="Arial"/>
          <w:b/>
          <w:bCs/>
        </w:rPr>
        <w:lastRenderedPageBreak/>
        <w:t>CHAPTER 3: METHODS</w:t>
      </w:r>
    </w:p>
    <w:p w14:paraId="0C7CD710" w14:textId="5BE87B16" w:rsidR="00F55C59" w:rsidRPr="007B7293" w:rsidRDefault="00F55C59" w:rsidP="00F55C59">
      <w:pPr>
        <w:spacing w:line="360" w:lineRule="auto"/>
        <w:jc w:val="both"/>
        <w:rPr>
          <w:rFonts w:ascii="Arial" w:hAnsi="Arial" w:cs="Arial"/>
          <w:b/>
          <w:bCs/>
        </w:rPr>
      </w:pPr>
      <w:r w:rsidRPr="007B7293">
        <w:rPr>
          <w:rFonts w:ascii="Arial" w:hAnsi="Arial" w:cs="Arial"/>
          <w:b/>
          <w:bCs/>
        </w:rPr>
        <w:t>Introduction</w:t>
      </w:r>
    </w:p>
    <w:p w14:paraId="2C533291" w14:textId="77777777" w:rsidR="00F55C59" w:rsidRPr="007B7293" w:rsidRDefault="00F55C59" w:rsidP="00F55C59">
      <w:pPr>
        <w:spacing w:line="360" w:lineRule="auto"/>
        <w:jc w:val="both"/>
        <w:rPr>
          <w:rFonts w:ascii="Arial" w:hAnsi="Arial" w:cs="Arial"/>
        </w:rPr>
      </w:pPr>
      <w:r w:rsidRPr="007B7293">
        <w:rPr>
          <w:rFonts w:ascii="Arial" w:hAnsi="Arial" w:cs="Arial"/>
        </w:rPr>
        <w:t>What follows explains how the inquiry was set up and why a qualitative comparative case approach suited the question of how DEI operates during ordinary shifts in two mid-scale hotels. The target was experience rather than headcounts, because the signal of inclusion appears in moments, not in tallies. Notes were written late, often after clearing the bar printer, which kept the process close to the work itself. Still, the design stayed disciplined.</w:t>
      </w:r>
    </w:p>
    <w:p w14:paraId="0EC7AF88" w14:textId="77777777" w:rsidR="00F55C59" w:rsidRPr="007B7293" w:rsidRDefault="00F55C59" w:rsidP="00F55C59">
      <w:pPr>
        <w:spacing w:line="360" w:lineRule="auto"/>
        <w:jc w:val="both"/>
        <w:rPr>
          <w:rFonts w:ascii="Arial" w:hAnsi="Arial" w:cs="Arial"/>
          <w:b/>
          <w:bCs/>
        </w:rPr>
      </w:pPr>
      <w:r w:rsidRPr="007B7293">
        <w:rPr>
          <w:rFonts w:ascii="Arial" w:hAnsi="Arial" w:cs="Arial"/>
          <w:b/>
          <w:bCs/>
        </w:rPr>
        <w:t>3.1 Research Design</w:t>
      </w:r>
    </w:p>
    <w:p w14:paraId="1DA5B97E" w14:textId="77777777" w:rsidR="00F55C59" w:rsidRPr="007B7293" w:rsidRDefault="00F55C59" w:rsidP="00F55C59">
      <w:pPr>
        <w:spacing w:line="360" w:lineRule="auto"/>
        <w:jc w:val="both"/>
        <w:rPr>
          <w:rFonts w:ascii="Arial" w:hAnsi="Arial" w:cs="Arial"/>
        </w:rPr>
      </w:pPr>
      <w:r w:rsidRPr="007B7293">
        <w:rPr>
          <w:rFonts w:ascii="Arial" w:hAnsi="Arial" w:cs="Arial"/>
        </w:rPr>
        <w:t>The project worked with a qualitative case study design because the central questions were “how” and “why” within real settings where context cannot be stripped away (Yin, 2018). An interpretivist stance shaped choices throughout, given that meaning is built through interaction and situation rather than detached instruments (Shrestha and Bhattarai, 2021). In practice, understanding DEI required reading how staff made sense of fairness, workload and voice while they were on shift.</w:t>
      </w:r>
    </w:p>
    <w:p w14:paraId="79C9DC61" w14:textId="77777777" w:rsidR="00F55C59" w:rsidRPr="007B7293" w:rsidRDefault="00F55C59" w:rsidP="00F55C59">
      <w:pPr>
        <w:spacing w:line="360" w:lineRule="auto"/>
        <w:jc w:val="both"/>
        <w:rPr>
          <w:rFonts w:ascii="Arial" w:hAnsi="Arial" w:cs="Arial"/>
        </w:rPr>
      </w:pPr>
      <w:r w:rsidRPr="007B7293">
        <w:rPr>
          <w:rFonts w:ascii="Arial" w:hAnsi="Arial" w:cs="Arial"/>
        </w:rPr>
        <w:t>Comparison was deliberate. One site sits within a global chain architecture (Accor/ibis Swansea), while Village Hotels operate nationally. That contrast lets organisational structure and local autonomy be seen together, which reveals where policy meets practice and where it does not (Ponting and Dillette, 2023). Using two cases directed attention to the distance between statements and behaviour, with insider observation adding texture to the cultural picture drawn by qualitative inquiry (Creswell, 2013). Numbers would have been neat; they would not have told this story.</w:t>
      </w:r>
    </w:p>
    <w:p w14:paraId="50186BA0" w14:textId="77777777" w:rsidR="00F55C59" w:rsidRPr="007B7293" w:rsidRDefault="00F55C59" w:rsidP="00F55C59">
      <w:pPr>
        <w:spacing w:line="360" w:lineRule="auto"/>
        <w:jc w:val="both"/>
        <w:rPr>
          <w:rFonts w:ascii="Arial" w:hAnsi="Arial" w:cs="Arial"/>
          <w:b/>
          <w:bCs/>
        </w:rPr>
      </w:pPr>
      <w:r w:rsidRPr="007B7293">
        <w:rPr>
          <w:rFonts w:ascii="Arial" w:hAnsi="Arial" w:cs="Arial"/>
          <w:b/>
          <w:bCs/>
        </w:rPr>
        <w:t>3.2 Data Sources</w:t>
      </w:r>
    </w:p>
    <w:p w14:paraId="53E5B2AA" w14:textId="77777777" w:rsidR="00F55C59" w:rsidRPr="007B7293" w:rsidRDefault="00F55C59" w:rsidP="00F55C59">
      <w:pPr>
        <w:spacing w:line="360" w:lineRule="auto"/>
        <w:jc w:val="both"/>
        <w:rPr>
          <w:rFonts w:ascii="Arial" w:hAnsi="Arial" w:cs="Arial"/>
        </w:rPr>
      </w:pPr>
      <w:r w:rsidRPr="007B7293">
        <w:rPr>
          <w:rFonts w:ascii="Arial" w:hAnsi="Arial" w:cs="Arial"/>
        </w:rPr>
        <w:t>Four streams provided evidence, read side by side to form a grounded view.</w:t>
      </w:r>
    </w:p>
    <w:p w14:paraId="2E03FFEC" w14:textId="77777777" w:rsidR="00F55C59" w:rsidRPr="007B7293" w:rsidRDefault="00F55C59" w:rsidP="00F55C59">
      <w:pPr>
        <w:spacing w:line="360" w:lineRule="auto"/>
        <w:jc w:val="both"/>
        <w:rPr>
          <w:rFonts w:ascii="Arial" w:hAnsi="Arial" w:cs="Arial"/>
        </w:rPr>
      </w:pPr>
      <w:r w:rsidRPr="007B7293">
        <w:rPr>
          <w:rFonts w:ascii="Arial" w:hAnsi="Arial" w:cs="Arial"/>
          <w:b/>
          <w:bCs/>
        </w:rPr>
        <w:t>1) Document analysis.</w:t>
      </w:r>
      <w:r w:rsidRPr="007B7293">
        <w:rPr>
          <w:rFonts w:ascii="Arial" w:hAnsi="Arial" w:cs="Arial"/>
        </w:rPr>
        <w:t xml:space="preserve"> Corporate DEI policies, HR manuals, public diversity statements and development plans from both groups were examined, along with government and professional guidance including the Equality Act 2010 and CIPD materials. Documents reveal how organisations frame expectations and signal priorities in formal language (Fahl et al., 2023; Wiyono et al., 2024).</w:t>
      </w:r>
    </w:p>
    <w:p w14:paraId="6A7DC43E" w14:textId="77777777" w:rsidR="00F55C59" w:rsidRPr="007B7293" w:rsidRDefault="00F55C59" w:rsidP="00F55C59">
      <w:pPr>
        <w:spacing w:line="360" w:lineRule="auto"/>
        <w:jc w:val="both"/>
        <w:rPr>
          <w:rFonts w:ascii="Arial" w:hAnsi="Arial" w:cs="Arial"/>
        </w:rPr>
      </w:pPr>
      <w:r w:rsidRPr="007B7293">
        <w:rPr>
          <w:rFonts w:ascii="Arial" w:hAnsi="Arial" w:cs="Arial"/>
          <w:b/>
          <w:bCs/>
        </w:rPr>
        <w:lastRenderedPageBreak/>
        <w:t>2) Netnography.</w:t>
      </w:r>
      <w:r w:rsidRPr="007B7293">
        <w:rPr>
          <w:rFonts w:ascii="Arial" w:hAnsi="Arial" w:cs="Arial"/>
        </w:rPr>
        <w:t xml:space="preserve"> Employee reviews posted on Indeed and Glassdoor were treated as qualitative material because they capture unfiltered sentiment about leadership and fairness; the tone can be emotional, but patterns still surface with care (Madera et al., 2023).</w:t>
      </w:r>
    </w:p>
    <w:p w14:paraId="75DE719C" w14:textId="77777777" w:rsidR="00F55C59" w:rsidRPr="007B7293" w:rsidRDefault="00F55C59" w:rsidP="00F55C59">
      <w:pPr>
        <w:spacing w:line="360" w:lineRule="auto"/>
        <w:jc w:val="both"/>
        <w:rPr>
          <w:rFonts w:ascii="Arial" w:hAnsi="Arial" w:cs="Arial"/>
        </w:rPr>
      </w:pPr>
      <w:r w:rsidRPr="007B7293">
        <w:rPr>
          <w:rFonts w:ascii="Arial" w:hAnsi="Arial" w:cs="Arial"/>
          <w:b/>
          <w:bCs/>
        </w:rPr>
        <w:t>3) Reflective field notes.</w:t>
      </w:r>
      <w:r w:rsidRPr="007B7293">
        <w:rPr>
          <w:rFonts w:ascii="Arial" w:hAnsi="Arial" w:cs="Arial"/>
        </w:rPr>
        <w:t xml:space="preserve"> During the placement at ibis Swansea, notes recorded communication style, rota decisions and the small behaviours that make inclusion tangible during busy periods. Leadership behaviour is a recognised driver of inclusion, so field notes helped catch it as it happened (Vassou et al., 2024).</w:t>
      </w:r>
    </w:p>
    <w:p w14:paraId="71B96DDF" w14:textId="77777777" w:rsidR="00F55C59" w:rsidRPr="007B7293" w:rsidRDefault="00F55C59" w:rsidP="00F55C59">
      <w:pPr>
        <w:spacing w:line="360" w:lineRule="auto"/>
        <w:jc w:val="both"/>
        <w:rPr>
          <w:rFonts w:ascii="Arial" w:hAnsi="Arial" w:cs="Arial"/>
        </w:rPr>
      </w:pPr>
      <w:r w:rsidRPr="007B7293">
        <w:rPr>
          <w:rFonts w:ascii="Arial" w:hAnsi="Arial" w:cs="Arial"/>
          <w:b/>
          <w:bCs/>
        </w:rPr>
        <w:t>4) Secondary literature.</w:t>
      </w:r>
      <w:r w:rsidRPr="007B7293">
        <w:rPr>
          <w:rFonts w:ascii="Arial" w:hAnsi="Arial" w:cs="Arial"/>
        </w:rPr>
        <w:t xml:space="preserve"> Peer-reviewed studies and sector analyses supported interpretation and offered external points of comparison when organisational access was naturally bounded (Malik et al., 2017). Together these sources produced a rounded perspective.</w:t>
      </w:r>
    </w:p>
    <w:p w14:paraId="71B8FC1E" w14:textId="77777777" w:rsidR="00F55C59" w:rsidRPr="007B7293" w:rsidRDefault="00F55C59" w:rsidP="00F55C59">
      <w:pPr>
        <w:spacing w:line="360" w:lineRule="auto"/>
        <w:jc w:val="both"/>
        <w:rPr>
          <w:rFonts w:ascii="Arial" w:hAnsi="Arial" w:cs="Arial"/>
          <w:b/>
          <w:bCs/>
        </w:rPr>
      </w:pPr>
      <w:r w:rsidRPr="007B7293">
        <w:rPr>
          <w:rFonts w:ascii="Arial" w:hAnsi="Arial" w:cs="Arial"/>
          <w:b/>
          <w:bCs/>
        </w:rPr>
        <w:t>3.3 Analytical Approach</w:t>
      </w:r>
    </w:p>
    <w:p w14:paraId="60AD11B1" w14:textId="77777777" w:rsidR="00F55C59" w:rsidRPr="007B7293" w:rsidRDefault="00F55C59" w:rsidP="00F55C59">
      <w:pPr>
        <w:spacing w:line="360" w:lineRule="auto"/>
        <w:jc w:val="both"/>
        <w:rPr>
          <w:rFonts w:ascii="Arial" w:hAnsi="Arial" w:cs="Arial"/>
        </w:rPr>
      </w:pPr>
      <w:r w:rsidRPr="007B7293">
        <w:rPr>
          <w:rFonts w:ascii="Arial" w:hAnsi="Arial" w:cs="Arial"/>
        </w:rPr>
        <w:t>Thematic analysis structured the reading of all materials. Codes gathered around recurring ideas such as leadership, belonging, fairness and voice, then were examined against existing models, including work on inclusive leadership for alignment or tension (Roberson and Perry, 2022; Russen et al., 2023). A cross-case matrix, adapted from case study guidance, organised similarities and contrasts between Accor and Village for clearer comparison (Yin, 2018).</w:t>
      </w:r>
    </w:p>
    <w:p w14:paraId="6A8CAACF" w14:textId="77777777" w:rsidR="00F55C59" w:rsidRPr="007B7293" w:rsidRDefault="00F55C59" w:rsidP="00F55C59">
      <w:pPr>
        <w:spacing w:line="360" w:lineRule="auto"/>
        <w:jc w:val="both"/>
        <w:rPr>
          <w:rFonts w:ascii="Arial" w:hAnsi="Arial" w:cs="Arial"/>
        </w:rPr>
      </w:pPr>
      <w:r w:rsidRPr="007B7293">
        <w:rPr>
          <w:rFonts w:ascii="Arial" w:hAnsi="Arial" w:cs="Arial"/>
        </w:rPr>
        <w:t>Credibility was strengthened by triangulation, with documents, online reviews, field notes and literature checked against one another for convergence or friction (Bans-Akutey and Tiimub, 2021; Denzin, 2017). At times this read-compare-verify cycle felt slow after a long shift; even so, it reduced the risk of leaning too hard on a single view.</w:t>
      </w:r>
    </w:p>
    <w:p w14:paraId="3181BC8A" w14:textId="77777777" w:rsidR="00F55C59" w:rsidRPr="007B7293" w:rsidRDefault="00F55C59" w:rsidP="00F55C59">
      <w:pPr>
        <w:spacing w:line="360" w:lineRule="auto"/>
        <w:jc w:val="both"/>
        <w:rPr>
          <w:rFonts w:ascii="Arial" w:hAnsi="Arial" w:cs="Arial"/>
          <w:b/>
          <w:bCs/>
        </w:rPr>
      </w:pPr>
      <w:r w:rsidRPr="007B7293">
        <w:rPr>
          <w:rFonts w:ascii="Arial" w:hAnsi="Arial" w:cs="Arial"/>
          <w:b/>
          <w:bCs/>
        </w:rPr>
        <w:t>3.4 Ethics and Reflexivity</w:t>
      </w:r>
    </w:p>
    <w:p w14:paraId="592ABED7" w14:textId="77777777" w:rsidR="00F55C59" w:rsidRPr="007B7293" w:rsidRDefault="00F55C59" w:rsidP="00F55C59">
      <w:pPr>
        <w:spacing w:line="360" w:lineRule="auto"/>
        <w:jc w:val="both"/>
        <w:rPr>
          <w:rFonts w:ascii="Arial" w:hAnsi="Arial" w:cs="Arial"/>
        </w:rPr>
      </w:pPr>
      <w:r w:rsidRPr="007B7293">
        <w:rPr>
          <w:rFonts w:ascii="Arial" w:hAnsi="Arial" w:cs="Arial"/>
        </w:rPr>
        <w:t>Confidential records and personal identifiers were excluded. Online reviews are publicly accessible, and the field notes relate to the researcher’s own experience in the workplace. Reflexive practice was necessary because the observer also worked at one of the sites; positionality shapes interpretation and needs to be acknowledged explicitly (Pinto, 2018). The aim was to watch first and judge later, even on days when the rota changed at the last minute. Some days that was easier than others.</w:t>
      </w:r>
    </w:p>
    <w:p w14:paraId="57E82D99" w14:textId="77777777" w:rsidR="00F55C59" w:rsidRPr="007B7293" w:rsidRDefault="00F55C59" w:rsidP="00F55C59">
      <w:pPr>
        <w:spacing w:line="360" w:lineRule="auto"/>
        <w:jc w:val="both"/>
        <w:rPr>
          <w:rFonts w:ascii="Arial" w:hAnsi="Arial" w:cs="Arial"/>
          <w:b/>
          <w:bCs/>
        </w:rPr>
      </w:pPr>
      <w:r w:rsidRPr="007B7293">
        <w:rPr>
          <w:rFonts w:ascii="Arial" w:hAnsi="Arial" w:cs="Arial"/>
          <w:b/>
          <w:bCs/>
        </w:rPr>
        <w:lastRenderedPageBreak/>
        <w:t>3.5 Limitations</w:t>
      </w:r>
    </w:p>
    <w:p w14:paraId="012A2B37" w14:textId="77777777" w:rsidR="00F55C59" w:rsidRPr="007B7293" w:rsidRDefault="00F55C59" w:rsidP="00F55C59">
      <w:pPr>
        <w:spacing w:line="360" w:lineRule="auto"/>
        <w:jc w:val="both"/>
        <w:rPr>
          <w:rFonts w:ascii="Arial" w:hAnsi="Arial" w:cs="Arial"/>
        </w:rPr>
      </w:pPr>
      <w:r w:rsidRPr="007B7293">
        <w:rPr>
          <w:rFonts w:ascii="Arial" w:hAnsi="Arial" w:cs="Arial"/>
        </w:rPr>
        <w:t>Access to internal HR datasets was limited, which narrowed some lines of analysis. Netnography can over-represent extreme experiences if not read cautiously (Okumus, Rasoolimanesh and Jahani, 2022). Field notes come from a single site. Findings from qualitative designs are not statistically generalisable; even so, the insights are transferable to comparable settings where work design and staffing resemble these conditions (Vassou et al., 2024). The trade-off was accepted because these methods capture how inclusion feels and functions during real shifts, which was the point.</w:t>
      </w:r>
    </w:p>
    <w:p w14:paraId="49C88E48" w14:textId="77777777" w:rsidR="00F55C59" w:rsidRDefault="00F55C59" w:rsidP="00F55C59">
      <w:pPr>
        <w:spacing w:line="360" w:lineRule="auto"/>
        <w:jc w:val="both"/>
        <w:rPr>
          <w:rFonts w:ascii="Arial" w:hAnsi="Arial" w:cs="Arial"/>
        </w:rPr>
      </w:pPr>
    </w:p>
    <w:p w14:paraId="2E074DEE" w14:textId="77777777" w:rsidR="00F55C59" w:rsidRDefault="00F55C59" w:rsidP="00F55C59">
      <w:pPr>
        <w:spacing w:line="360" w:lineRule="auto"/>
        <w:jc w:val="both"/>
        <w:rPr>
          <w:rFonts w:ascii="Arial" w:hAnsi="Arial" w:cs="Arial"/>
        </w:rPr>
      </w:pPr>
    </w:p>
    <w:p w14:paraId="6945665F" w14:textId="77777777" w:rsidR="00F55C59" w:rsidRDefault="00F55C59" w:rsidP="00F55C59">
      <w:pPr>
        <w:spacing w:line="360" w:lineRule="auto"/>
        <w:jc w:val="both"/>
        <w:rPr>
          <w:rFonts w:ascii="Arial" w:hAnsi="Arial" w:cs="Arial"/>
        </w:rPr>
      </w:pPr>
    </w:p>
    <w:p w14:paraId="26752C38" w14:textId="77777777" w:rsidR="00F55C59" w:rsidRDefault="00F55C59" w:rsidP="00F55C59">
      <w:pPr>
        <w:spacing w:line="360" w:lineRule="auto"/>
        <w:jc w:val="both"/>
        <w:rPr>
          <w:rFonts w:ascii="Arial" w:hAnsi="Arial" w:cs="Arial"/>
        </w:rPr>
      </w:pPr>
    </w:p>
    <w:p w14:paraId="782E34C9" w14:textId="77777777" w:rsidR="00F55C59" w:rsidRDefault="00F55C59" w:rsidP="00F55C59">
      <w:pPr>
        <w:spacing w:line="360" w:lineRule="auto"/>
        <w:jc w:val="both"/>
        <w:rPr>
          <w:rFonts w:ascii="Arial" w:hAnsi="Arial" w:cs="Arial"/>
        </w:rPr>
      </w:pPr>
    </w:p>
    <w:p w14:paraId="1FABF80F" w14:textId="77777777" w:rsidR="00F55C59" w:rsidRDefault="00F55C59" w:rsidP="00F55C59">
      <w:pPr>
        <w:spacing w:line="360" w:lineRule="auto"/>
        <w:jc w:val="both"/>
        <w:rPr>
          <w:rFonts w:ascii="Arial" w:hAnsi="Arial" w:cs="Arial"/>
        </w:rPr>
      </w:pPr>
    </w:p>
    <w:p w14:paraId="235826CD" w14:textId="77777777" w:rsidR="00F55C59" w:rsidRDefault="00F55C59" w:rsidP="00F55C59">
      <w:pPr>
        <w:spacing w:line="360" w:lineRule="auto"/>
        <w:jc w:val="both"/>
        <w:rPr>
          <w:rFonts w:ascii="Arial" w:hAnsi="Arial" w:cs="Arial"/>
        </w:rPr>
      </w:pPr>
    </w:p>
    <w:p w14:paraId="07D547AA" w14:textId="77777777" w:rsidR="00F55C59" w:rsidRDefault="00F55C59" w:rsidP="00F55C59">
      <w:pPr>
        <w:spacing w:line="360" w:lineRule="auto"/>
        <w:jc w:val="both"/>
        <w:rPr>
          <w:rFonts w:ascii="Arial" w:hAnsi="Arial" w:cs="Arial"/>
        </w:rPr>
      </w:pPr>
    </w:p>
    <w:p w14:paraId="1C2AF949" w14:textId="77777777" w:rsidR="00F55C59" w:rsidRDefault="00F55C59" w:rsidP="00F55C59">
      <w:pPr>
        <w:spacing w:line="360" w:lineRule="auto"/>
        <w:jc w:val="both"/>
        <w:rPr>
          <w:rFonts w:ascii="Arial" w:hAnsi="Arial" w:cs="Arial"/>
        </w:rPr>
      </w:pPr>
    </w:p>
    <w:p w14:paraId="37AA25A9" w14:textId="77777777" w:rsidR="00F55C59" w:rsidRDefault="00F55C59" w:rsidP="00F55C59">
      <w:pPr>
        <w:spacing w:line="360" w:lineRule="auto"/>
        <w:jc w:val="both"/>
        <w:rPr>
          <w:rFonts w:ascii="Arial" w:hAnsi="Arial" w:cs="Arial"/>
        </w:rPr>
      </w:pPr>
    </w:p>
    <w:p w14:paraId="15738A75" w14:textId="77777777" w:rsidR="00F55C59" w:rsidRDefault="00F55C59" w:rsidP="00F55C59">
      <w:pPr>
        <w:spacing w:line="360" w:lineRule="auto"/>
        <w:jc w:val="both"/>
        <w:rPr>
          <w:rFonts w:ascii="Arial" w:hAnsi="Arial" w:cs="Arial"/>
        </w:rPr>
      </w:pPr>
    </w:p>
    <w:p w14:paraId="0C93579D" w14:textId="77777777" w:rsidR="00F55C59" w:rsidRDefault="00F55C59" w:rsidP="00F55C59">
      <w:pPr>
        <w:spacing w:line="360" w:lineRule="auto"/>
        <w:jc w:val="both"/>
        <w:rPr>
          <w:rFonts w:ascii="Arial" w:hAnsi="Arial" w:cs="Arial"/>
        </w:rPr>
      </w:pPr>
    </w:p>
    <w:p w14:paraId="0B94E2DA" w14:textId="77777777" w:rsidR="00F55C59" w:rsidRDefault="00F55C59" w:rsidP="00F55C59">
      <w:pPr>
        <w:spacing w:line="360" w:lineRule="auto"/>
        <w:jc w:val="both"/>
        <w:rPr>
          <w:rFonts w:ascii="Arial" w:hAnsi="Arial" w:cs="Arial"/>
        </w:rPr>
      </w:pPr>
    </w:p>
    <w:p w14:paraId="69CF7D3D" w14:textId="77777777" w:rsidR="00F55C59" w:rsidRDefault="00F55C59" w:rsidP="00F55C59">
      <w:pPr>
        <w:spacing w:line="360" w:lineRule="auto"/>
        <w:jc w:val="both"/>
        <w:rPr>
          <w:rFonts w:ascii="Arial" w:hAnsi="Arial" w:cs="Arial"/>
        </w:rPr>
      </w:pPr>
    </w:p>
    <w:p w14:paraId="58048844" w14:textId="77777777" w:rsidR="00F55C59" w:rsidRPr="00D849C4" w:rsidRDefault="00F55C59" w:rsidP="00F55C59">
      <w:pPr>
        <w:spacing w:line="360" w:lineRule="auto"/>
        <w:jc w:val="both"/>
        <w:rPr>
          <w:rFonts w:ascii="Arial" w:hAnsi="Arial" w:cs="Arial"/>
          <w:b/>
          <w:bCs/>
        </w:rPr>
      </w:pPr>
    </w:p>
    <w:p w14:paraId="635F6A7C" w14:textId="77777777" w:rsidR="00074916" w:rsidRDefault="00074916" w:rsidP="00F55C59">
      <w:pPr>
        <w:spacing w:line="360" w:lineRule="auto"/>
        <w:jc w:val="both"/>
        <w:rPr>
          <w:rFonts w:ascii="Arial" w:hAnsi="Arial" w:cs="Arial"/>
          <w:b/>
          <w:bCs/>
        </w:rPr>
      </w:pPr>
    </w:p>
    <w:p w14:paraId="2D2E253C" w14:textId="77777777" w:rsidR="00074916" w:rsidRDefault="00074916" w:rsidP="00F55C59">
      <w:pPr>
        <w:spacing w:line="360" w:lineRule="auto"/>
        <w:jc w:val="both"/>
        <w:rPr>
          <w:rFonts w:ascii="Arial" w:hAnsi="Arial" w:cs="Arial"/>
          <w:b/>
          <w:bCs/>
        </w:rPr>
      </w:pPr>
    </w:p>
    <w:p w14:paraId="51267974" w14:textId="77777777" w:rsidR="00074916" w:rsidRDefault="00074916" w:rsidP="00F55C59">
      <w:pPr>
        <w:spacing w:line="360" w:lineRule="auto"/>
        <w:jc w:val="both"/>
        <w:rPr>
          <w:rFonts w:ascii="Arial" w:hAnsi="Arial" w:cs="Arial"/>
          <w:b/>
          <w:bCs/>
        </w:rPr>
      </w:pPr>
    </w:p>
    <w:p w14:paraId="40EC8340" w14:textId="7C88DE54" w:rsidR="00F55C59" w:rsidRPr="00094B03" w:rsidRDefault="00F55C59" w:rsidP="00F55C59">
      <w:pPr>
        <w:spacing w:line="360" w:lineRule="auto"/>
        <w:jc w:val="both"/>
        <w:rPr>
          <w:rFonts w:ascii="Arial" w:hAnsi="Arial" w:cs="Arial"/>
          <w:b/>
          <w:bCs/>
        </w:rPr>
      </w:pPr>
      <w:r w:rsidRPr="00094B03">
        <w:rPr>
          <w:rFonts w:ascii="Arial" w:hAnsi="Arial" w:cs="Arial"/>
          <w:b/>
          <w:bCs/>
        </w:rPr>
        <w:lastRenderedPageBreak/>
        <w:t xml:space="preserve">CHAPTER </w:t>
      </w:r>
      <w:r w:rsidR="003D6389">
        <w:rPr>
          <w:rFonts w:ascii="Arial" w:hAnsi="Arial" w:cs="Arial"/>
          <w:b/>
          <w:bCs/>
        </w:rPr>
        <w:t>4</w:t>
      </w:r>
      <w:r w:rsidRPr="00094B03">
        <w:rPr>
          <w:rFonts w:ascii="Arial" w:hAnsi="Arial" w:cs="Arial"/>
          <w:b/>
          <w:bCs/>
        </w:rPr>
        <w:t>: DISCUSSION</w:t>
      </w:r>
    </w:p>
    <w:p w14:paraId="4C741354" w14:textId="1C4CDE59" w:rsidR="00F55C59" w:rsidRPr="00094B03" w:rsidRDefault="00F55C59" w:rsidP="00F55C59">
      <w:pPr>
        <w:spacing w:line="360" w:lineRule="auto"/>
        <w:jc w:val="both"/>
        <w:rPr>
          <w:rFonts w:ascii="Arial" w:hAnsi="Arial" w:cs="Arial"/>
          <w:b/>
          <w:bCs/>
        </w:rPr>
      </w:pPr>
      <w:r w:rsidRPr="00094B03">
        <w:rPr>
          <w:rFonts w:ascii="Arial" w:hAnsi="Arial" w:cs="Arial"/>
          <w:b/>
          <w:bCs/>
        </w:rPr>
        <w:t>Introduction</w:t>
      </w:r>
    </w:p>
    <w:p w14:paraId="1C1658A2" w14:textId="77777777" w:rsidR="00F55C59" w:rsidRPr="00094B03" w:rsidRDefault="00F55C59" w:rsidP="00F55C59">
      <w:pPr>
        <w:spacing w:line="360" w:lineRule="auto"/>
        <w:jc w:val="both"/>
        <w:rPr>
          <w:rFonts w:ascii="Arial" w:hAnsi="Arial" w:cs="Arial"/>
        </w:rPr>
      </w:pPr>
      <w:r w:rsidRPr="00094B03">
        <w:rPr>
          <w:rFonts w:ascii="Arial" w:hAnsi="Arial" w:cs="Arial"/>
        </w:rPr>
        <w:t>The discussion moves between theory and the realities observed in the two hotels. Social Identity Theory, Contact Hypothesis, Leadership Inclusion ideas and the Job Demands</w:t>
      </w:r>
      <w:r>
        <w:rPr>
          <w:rFonts w:ascii="Arial" w:hAnsi="Arial" w:cs="Arial"/>
        </w:rPr>
        <w:t>-</w:t>
      </w:r>
      <w:r w:rsidRPr="00094B03">
        <w:rPr>
          <w:rFonts w:ascii="Arial" w:hAnsi="Arial" w:cs="Arial"/>
        </w:rPr>
        <w:t>Resources model provide the analytical frame. The purpose is to understand why DEI looks coherent in policy language and uneven in daily operation. Some evenings, I reviewed academic papers on belonging, and the next morning I watched a colleague hesitate to answer the phone because of language confidence. The proximity between theory and lived experience was uncomfortable, but useful. It revealed where inclusion is supposed to happen and where it actually happens.</w:t>
      </w:r>
    </w:p>
    <w:p w14:paraId="2052ED89" w14:textId="2C8B0977" w:rsidR="00F55C59" w:rsidRPr="00094B03" w:rsidRDefault="003D6389" w:rsidP="00F55C59">
      <w:pPr>
        <w:spacing w:line="360" w:lineRule="auto"/>
        <w:jc w:val="both"/>
        <w:rPr>
          <w:rFonts w:ascii="Arial" w:hAnsi="Arial" w:cs="Arial"/>
          <w:b/>
          <w:bCs/>
        </w:rPr>
      </w:pPr>
      <w:r>
        <w:rPr>
          <w:rFonts w:ascii="Arial" w:hAnsi="Arial" w:cs="Arial"/>
          <w:b/>
          <w:bCs/>
        </w:rPr>
        <w:t>4</w:t>
      </w:r>
      <w:r w:rsidR="00F55C59" w:rsidRPr="00094B03">
        <w:rPr>
          <w:rFonts w:ascii="Arial" w:hAnsi="Arial" w:cs="Arial"/>
          <w:b/>
          <w:bCs/>
        </w:rPr>
        <w:t>.1 Policy and practice separate in the space where work intensifies</w:t>
      </w:r>
    </w:p>
    <w:p w14:paraId="286F5A77" w14:textId="77777777" w:rsidR="00F55C59" w:rsidRPr="00094B03" w:rsidRDefault="00F55C59" w:rsidP="00F55C59">
      <w:pPr>
        <w:spacing w:line="360" w:lineRule="auto"/>
        <w:jc w:val="both"/>
        <w:rPr>
          <w:rFonts w:ascii="Arial" w:hAnsi="Arial" w:cs="Arial"/>
        </w:rPr>
      </w:pPr>
      <w:r w:rsidRPr="00094B03">
        <w:rPr>
          <w:rFonts w:ascii="Arial" w:hAnsi="Arial" w:cs="Arial"/>
        </w:rPr>
        <w:t>Both hotels published DEI commitments that emphasised fairness, representation and equality. The gap appeared in implementation. Behaviour at site level had more influence than corporate language. Mor Barak et al. (2022) note that inclusive outcomes depend on managerial action. That observation was visible repeatedly. Staff interpreted managerial priorities based on tone, responsiveness and scheduling choices, not on policy statements.</w:t>
      </w:r>
    </w:p>
    <w:p w14:paraId="52EE5BD3" w14:textId="576B7F80" w:rsidR="00F55C59" w:rsidRPr="00094B03" w:rsidRDefault="00F55C59" w:rsidP="00F55C59">
      <w:pPr>
        <w:spacing w:line="360" w:lineRule="auto"/>
        <w:jc w:val="both"/>
        <w:rPr>
          <w:rFonts w:ascii="Arial" w:hAnsi="Arial" w:cs="Arial"/>
        </w:rPr>
      </w:pPr>
      <w:r w:rsidRPr="00094B03">
        <w:rPr>
          <w:rFonts w:ascii="Arial" w:hAnsi="Arial" w:cs="Arial"/>
        </w:rPr>
        <w:t xml:space="preserve">At </w:t>
      </w:r>
      <w:r w:rsidR="00074916">
        <w:rPr>
          <w:rFonts w:ascii="Arial" w:hAnsi="Arial" w:cs="Arial"/>
        </w:rPr>
        <w:t>I</w:t>
      </w:r>
      <w:r w:rsidRPr="00094B03">
        <w:rPr>
          <w:rFonts w:ascii="Arial" w:hAnsi="Arial" w:cs="Arial"/>
        </w:rPr>
        <w:t>bis Swansea, global messages about multicultural belonging circulated through training material. During shifts, however, the pressure to multitask reduced the time available to enact them. Village Hotel Club displayed strong compliance architecture, but emotional recognition did not surface frequently. Work continued. Staff adapted. Belonging did not always follow. The gap formed in the moments when pace replaced intention.</w:t>
      </w:r>
    </w:p>
    <w:p w14:paraId="1D458A44" w14:textId="77777777" w:rsidR="00F55C59" w:rsidRPr="00094B03" w:rsidRDefault="00F55C59" w:rsidP="00F55C59">
      <w:pPr>
        <w:spacing w:line="360" w:lineRule="auto"/>
        <w:jc w:val="both"/>
        <w:rPr>
          <w:rFonts w:ascii="Arial" w:hAnsi="Arial" w:cs="Arial"/>
        </w:rPr>
      </w:pPr>
      <w:r w:rsidRPr="00094B03">
        <w:rPr>
          <w:rFonts w:ascii="Arial" w:hAnsi="Arial" w:cs="Arial"/>
        </w:rPr>
        <w:t>The theory places this pattern under policy</w:t>
      </w:r>
      <w:r>
        <w:rPr>
          <w:rFonts w:ascii="Arial" w:hAnsi="Arial" w:cs="Arial"/>
        </w:rPr>
        <w:t>-</w:t>
      </w:r>
      <w:r w:rsidRPr="00094B03">
        <w:rPr>
          <w:rFonts w:ascii="Arial" w:hAnsi="Arial" w:cs="Arial"/>
        </w:rPr>
        <w:t>practice decoupling, where inclusion exists more in documents than in behaviour (Williams and Cox, 2022; Baker, French and Ali, 2021). That is exactly what appeared here. Inclusion needs measurable operational presence to avoid dissolving under workload.</w:t>
      </w:r>
    </w:p>
    <w:p w14:paraId="0FD619AA" w14:textId="56E4A065" w:rsidR="00F55C59" w:rsidRPr="00094B03" w:rsidRDefault="003D6389" w:rsidP="00F55C59">
      <w:pPr>
        <w:spacing w:line="360" w:lineRule="auto"/>
        <w:jc w:val="both"/>
        <w:rPr>
          <w:rFonts w:ascii="Arial" w:hAnsi="Arial" w:cs="Arial"/>
          <w:b/>
          <w:bCs/>
        </w:rPr>
      </w:pPr>
      <w:r>
        <w:rPr>
          <w:rFonts w:ascii="Arial" w:hAnsi="Arial" w:cs="Arial"/>
          <w:b/>
          <w:bCs/>
        </w:rPr>
        <w:t>4</w:t>
      </w:r>
      <w:r w:rsidR="00F55C59" w:rsidRPr="00094B03">
        <w:rPr>
          <w:rFonts w:ascii="Arial" w:hAnsi="Arial" w:cs="Arial"/>
          <w:b/>
          <w:bCs/>
        </w:rPr>
        <w:t>.2 Leadership behaviour is the mechanism that activates or weakens inclusion</w:t>
      </w:r>
    </w:p>
    <w:p w14:paraId="23A342C3" w14:textId="18AA1123" w:rsidR="00F55C59" w:rsidRPr="00094B03" w:rsidRDefault="00F55C59" w:rsidP="00F55C59">
      <w:pPr>
        <w:spacing w:line="360" w:lineRule="auto"/>
        <w:jc w:val="both"/>
        <w:rPr>
          <w:rFonts w:ascii="Arial" w:hAnsi="Arial" w:cs="Arial"/>
        </w:rPr>
      </w:pPr>
      <w:r w:rsidRPr="00094B03">
        <w:rPr>
          <w:rFonts w:ascii="Arial" w:hAnsi="Arial" w:cs="Arial"/>
        </w:rPr>
        <w:t xml:space="preserve">Leadership Inclusion Theory states that inclusion is built through everyday interaction, not structural messaging (Vassou et al., 2024; Russen et al., 2023). The findings </w:t>
      </w:r>
      <w:r w:rsidRPr="00094B03">
        <w:rPr>
          <w:rFonts w:ascii="Arial" w:hAnsi="Arial" w:cs="Arial"/>
        </w:rPr>
        <w:lastRenderedPageBreak/>
        <w:t xml:space="preserve">aligned closely with this. At </w:t>
      </w:r>
      <w:r w:rsidR="009B2751">
        <w:rPr>
          <w:rFonts w:ascii="Arial" w:hAnsi="Arial" w:cs="Arial"/>
        </w:rPr>
        <w:t>I</w:t>
      </w:r>
      <w:r w:rsidRPr="00094B03">
        <w:rPr>
          <w:rFonts w:ascii="Arial" w:hAnsi="Arial" w:cs="Arial"/>
        </w:rPr>
        <w:t>bis Swansea, interpersonal tone was generally supportive. Managers stepped into tasks when needed. Yet there was little structured follow-through. Informal support held the atmosphere, but without consistency.</w:t>
      </w:r>
    </w:p>
    <w:p w14:paraId="4944E890" w14:textId="77777777" w:rsidR="00F55C59" w:rsidRPr="00094B03" w:rsidRDefault="00F55C59" w:rsidP="00F55C59">
      <w:pPr>
        <w:spacing w:line="360" w:lineRule="auto"/>
        <w:jc w:val="both"/>
        <w:rPr>
          <w:rFonts w:ascii="Arial" w:hAnsi="Arial" w:cs="Arial"/>
        </w:rPr>
      </w:pPr>
      <w:r w:rsidRPr="00094B03">
        <w:rPr>
          <w:rFonts w:ascii="Arial" w:hAnsi="Arial" w:cs="Arial"/>
        </w:rPr>
        <w:t>Village Hotel Club maintained procedure and order in leadership conduct. The environment stayed aligned with HR expectations. Yet emotional presence felt muted, and voice did not always convert into recognition. Staff described clarity without attachment.</w:t>
      </w:r>
    </w:p>
    <w:p w14:paraId="739ABF37" w14:textId="77777777" w:rsidR="00F55C59" w:rsidRPr="00094B03" w:rsidRDefault="00F55C59" w:rsidP="00F55C59">
      <w:pPr>
        <w:spacing w:line="360" w:lineRule="auto"/>
        <w:jc w:val="both"/>
        <w:rPr>
          <w:rFonts w:ascii="Arial" w:hAnsi="Arial" w:cs="Arial"/>
        </w:rPr>
      </w:pPr>
      <w:r w:rsidRPr="00094B03">
        <w:rPr>
          <w:rFonts w:ascii="Arial" w:hAnsi="Arial" w:cs="Arial"/>
        </w:rPr>
        <w:t>One field note described two similar late shifts. In one, the manager thanked the team directly. In the other, the shift closed in silence. The difference was small in action and large in meaning. Dhaheri (2024) identifies this as the point where leadership behaviour signals who belongs. Inclusion is not communicated once. It is signalled continuously.</w:t>
      </w:r>
    </w:p>
    <w:p w14:paraId="12A69832" w14:textId="77777777" w:rsidR="00F55C59" w:rsidRPr="00094B03" w:rsidRDefault="00F55C59" w:rsidP="00F55C59">
      <w:pPr>
        <w:spacing w:line="360" w:lineRule="auto"/>
        <w:jc w:val="both"/>
        <w:rPr>
          <w:rFonts w:ascii="Arial" w:hAnsi="Arial" w:cs="Arial"/>
        </w:rPr>
      </w:pPr>
      <w:r w:rsidRPr="00094B03">
        <w:rPr>
          <w:rFonts w:ascii="Arial" w:hAnsi="Arial" w:cs="Arial"/>
        </w:rPr>
        <w:t>Leadership style did not need to become emotional. It needed to become attentive.</w:t>
      </w:r>
    </w:p>
    <w:p w14:paraId="1C296958" w14:textId="7FC859E7" w:rsidR="00F55C59" w:rsidRPr="00094B03" w:rsidRDefault="003D6389" w:rsidP="00F55C59">
      <w:pPr>
        <w:spacing w:line="360" w:lineRule="auto"/>
        <w:jc w:val="both"/>
        <w:rPr>
          <w:rFonts w:ascii="Arial" w:hAnsi="Arial" w:cs="Arial"/>
          <w:b/>
          <w:bCs/>
        </w:rPr>
      </w:pPr>
      <w:r>
        <w:rPr>
          <w:rFonts w:ascii="Arial" w:hAnsi="Arial" w:cs="Arial"/>
          <w:b/>
          <w:bCs/>
        </w:rPr>
        <w:t>4</w:t>
      </w:r>
      <w:r w:rsidR="00F55C59" w:rsidRPr="00094B03">
        <w:rPr>
          <w:rFonts w:ascii="Arial" w:hAnsi="Arial" w:cs="Arial"/>
          <w:b/>
          <w:bCs/>
        </w:rPr>
        <w:t>.3 Workload and multitasking shape belonging more than policy language</w:t>
      </w:r>
    </w:p>
    <w:p w14:paraId="7BBB0AC4" w14:textId="77777777" w:rsidR="00F55C59" w:rsidRPr="00094B03" w:rsidRDefault="00F55C59" w:rsidP="00F55C59">
      <w:pPr>
        <w:spacing w:line="360" w:lineRule="auto"/>
        <w:jc w:val="both"/>
        <w:rPr>
          <w:rFonts w:ascii="Arial" w:hAnsi="Arial" w:cs="Arial"/>
        </w:rPr>
      </w:pPr>
      <w:r w:rsidRPr="00094B03">
        <w:rPr>
          <w:rFonts w:ascii="Arial" w:hAnsi="Arial" w:cs="Arial"/>
        </w:rPr>
        <w:t>The Job Demands</w:t>
      </w:r>
      <w:r>
        <w:rPr>
          <w:rFonts w:ascii="Arial" w:hAnsi="Arial" w:cs="Arial"/>
        </w:rPr>
        <w:t>-</w:t>
      </w:r>
      <w:r w:rsidRPr="00094B03">
        <w:rPr>
          <w:rFonts w:ascii="Arial" w:hAnsi="Arial" w:cs="Arial"/>
        </w:rPr>
        <w:t>Resources model offers a clear explanation (Oetjen, 2023). When demands intensify without supportive resource, belonging weakens. At ibis Swansea, shift rotation was standard. Staff moved between bar service, reception and conference preparation. Movement created skill fluency. It also accelerated exhaustion under high occupancy. Field notes recorded moments where the shift became a sequence of responses rather than a space for connection.</w:t>
      </w:r>
    </w:p>
    <w:p w14:paraId="5198EB13" w14:textId="77777777" w:rsidR="00F55C59" w:rsidRPr="00094B03" w:rsidRDefault="00F55C59" w:rsidP="00F55C59">
      <w:pPr>
        <w:spacing w:line="360" w:lineRule="auto"/>
        <w:jc w:val="both"/>
        <w:rPr>
          <w:rFonts w:ascii="Arial" w:hAnsi="Arial" w:cs="Arial"/>
        </w:rPr>
      </w:pPr>
      <w:r w:rsidRPr="00094B03">
        <w:rPr>
          <w:rFonts w:ascii="Arial" w:hAnsi="Arial" w:cs="Arial"/>
        </w:rPr>
        <w:t>At Village Hotel Club, roles stayed more contained. The environment was calmer. Yet predictability made disparities more noticeable. Several employees described rota distribution as uneven. Perception matters. Iverson (2016) emphasises that fairness in scheduling stabilises loyalty. The findings reflected that directly.</w:t>
      </w:r>
    </w:p>
    <w:p w14:paraId="727F2B10" w14:textId="77777777" w:rsidR="00F55C59" w:rsidRPr="00094B03" w:rsidRDefault="00F55C59" w:rsidP="00F55C59">
      <w:pPr>
        <w:spacing w:line="360" w:lineRule="auto"/>
        <w:jc w:val="both"/>
        <w:rPr>
          <w:rFonts w:ascii="Arial" w:hAnsi="Arial" w:cs="Arial"/>
        </w:rPr>
      </w:pPr>
      <w:r w:rsidRPr="00094B03">
        <w:rPr>
          <w:rFonts w:ascii="Arial" w:hAnsi="Arial" w:cs="Arial"/>
        </w:rPr>
        <w:t>JD</w:t>
      </w:r>
      <w:r>
        <w:rPr>
          <w:rFonts w:ascii="Arial" w:hAnsi="Arial" w:cs="Arial"/>
        </w:rPr>
        <w:t>-</w:t>
      </w:r>
      <w:r w:rsidRPr="00094B03">
        <w:rPr>
          <w:rFonts w:ascii="Arial" w:hAnsi="Arial" w:cs="Arial"/>
        </w:rPr>
        <w:t>R clarifies the mechanism:</w:t>
      </w:r>
    </w:p>
    <w:p w14:paraId="13A40BFC" w14:textId="77777777" w:rsidR="00F55C59" w:rsidRPr="00094B03" w:rsidRDefault="00F55C59" w:rsidP="00F55C59">
      <w:pPr>
        <w:numPr>
          <w:ilvl w:val="0"/>
          <w:numId w:val="10"/>
        </w:numPr>
        <w:spacing w:line="360" w:lineRule="auto"/>
        <w:jc w:val="both"/>
        <w:rPr>
          <w:rFonts w:ascii="Arial" w:hAnsi="Arial" w:cs="Arial"/>
        </w:rPr>
      </w:pPr>
      <w:r w:rsidRPr="00094B03">
        <w:rPr>
          <w:rFonts w:ascii="Arial" w:hAnsi="Arial" w:cs="Arial"/>
        </w:rPr>
        <w:t>When support aligns with demand, belonging strengthens.</w:t>
      </w:r>
    </w:p>
    <w:p w14:paraId="176C901A" w14:textId="77777777" w:rsidR="00F55C59" w:rsidRPr="00094B03" w:rsidRDefault="00F55C59" w:rsidP="00F55C59">
      <w:pPr>
        <w:numPr>
          <w:ilvl w:val="0"/>
          <w:numId w:val="10"/>
        </w:numPr>
        <w:spacing w:line="360" w:lineRule="auto"/>
        <w:jc w:val="both"/>
        <w:rPr>
          <w:rFonts w:ascii="Arial" w:hAnsi="Arial" w:cs="Arial"/>
        </w:rPr>
      </w:pPr>
      <w:r w:rsidRPr="00094B03">
        <w:rPr>
          <w:rFonts w:ascii="Arial" w:hAnsi="Arial" w:cs="Arial"/>
        </w:rPr>
        <w:t>When support does not align, belonging recedes.</w:t>
      </w:r>
    </w:p>
    <w:p w14:paraId="3AE0E8D9" w14:textId="77777777" w:rsidR="00F55C59" w:rsidRPr="00094B03" w:rsidRDefault="00F55C59" w:rsidP="00F55C59">
      <w:pPr>
        <w:spacing w:line="360" w:lineRule="auto"/>
        <w:jc w:val="both"/>
        <w:rPr>
          <w:rFonts w:ascii="Arial" w:hAnsi="Arial" w:cs="Arial"/>
        </w:rPr>
      </w:pPr>
      <w:r w:rsidRPr="00094B03">
        <w:rPr>
          <w:rFonts w:ascii="Arial" w:hAnsi="Arial" w:cs="Arial"/>
        </w:rPr>
        <w:t>Workload is not a neutral operational matter. It is a cultural signal.</w:t>
      </w:r>
    </w:p>
    <w:p w14:paraId="61519789" w14:textId="300E9271" w:rsidR="00F55C59" w:rsidRPr="00094B03" w:rsidRDefault="003D6389" w:rsidP="00F55C59">
      <w:pPr>
        <w:spacing w:line="360" w:lineRule="auto"/>
        <w:jc w:val="both"/>
        <w:rPr>
          <w:rFonts w:ascii="Arial" w:hAnsi="Arial" w:cs="Arial"/>
          <w:b/>
          <w:bCs/>
        </w:rPr>
      </w:pPr>
      <w:r>
        <w:rPr>
          <w:rFonts w:ascii="Arial" w:hAnsi="Arial" w:cs="Arial"/>
          <w:b/>
          <w:bCs/>
        </w:rPr>
        <w:t>4</w:t>
      </w:r>
      <w:r w:rsidR="00F55C59" w:rsidRPr="00094B03">
        <w:rPr>
          <w:rFonts w:ascii="Arial" w:hAnsi="Arial" w:cs="Arial"/>
          <w:b/>
          <w:bCs/>
        </w:rPr>
        <w:t>.4 Identity, communication and the structure of contact</w:t>
      </w:r>
    </w:p>
    <w:p w14:paraId="122F4048" w14:textId="77777777" w:rsidR="00F55C59" w:rsidRPr="00094B03" w:rsidRDefault="00F55C59" w:rsidP="00F55C59">
      <w:pPr>
        <w:spacing w:line="360" w:lineRule="auto"/>
        <w:jc w:val="both"/>
        <w:rPr>
          <w:rFonts w:ascii="Arial" w:hAnsi="Arial" w:cs="Arial"/>
        </w:rPr>
      </w:pPr>
      <w:r w:rsidRPr="00094B03">
        <w:rPr>
          <w:rFonts w:ascii="Arial" w:hAnsi="Arial" w:cs="Arial"/>
        </w:rPr>
        <w:lastRenderedPageBreak/>
        <w:t>Social Identity Theory explains how employees read belonging through group association. Identity boundaries surfaced during shifts, sometimes subtly. A colleague avoiding the phone because of language confidence shifts the relational map instantly. Confidence affects participation. Participation affects belonging (Madera et al., 2023; Vashishth et al., 2019).</w:t>
      </w:r>
    </w:p>
    <w:p w14:paraId="39C1D802" w14:textId="205D9910" w:rsidR="00F55C59" w:rsidRPr="00094B03" w:rsidRDefault="00F55C59" w:rsidP="00F55C59">
      <w:pPr>
        <w:spacing w:line="360" w:lineRule="auto"/>
        <w:jc w:val="both"/>
        <w:rPr>
          <w:rFonts w:ascii="Arial" w:hAnsi="Arial" w:cs="Arial"/>
        </w:rPr>
      </w:pPr>
      <w:r w:rsidRPr="00094B03">
        <w:rPr>
          <w:rFonts w:ascii="Arial" w:hAnsi="Arial" w:cs="Arial"/>
        </w:rPr>
        <w:t xml:space="preserve">The Contact Hypothesis proposes that diversity reduces bias when interaction occurs under equal status and shared purpose (Ponting and Dillette, 2023). At </w:t>
      </w:r>
      <w:r w:rsidR="002D60FF">
        <w:rPr>
          <w:rFonts w:ascii="Arial" w:hAnsi="Arial" w:cs="Arial"/>
        </w:rPr>
        <w:t>I</w:t>
      </w:r>
      <w:r w:rsidRPr="00094B03">
        <w:rPr>
          <w:rFonts w:ascii="Arial" w:hAnsi="Arial" w:cs="Arial"/>
        </w:rPr>
        <w:t>bis Swansea, contact was frequent but rapid and unstructured. Equal footing was not always present. At Village Hotel Club, fewer cultural differences reduced friction but also limited cross-cultural learning. Comfort did not automatically produce inclusion. It simply avoided conflict.</w:t>
      </w:r>
    </w:p>
    <w:p w14:paraId="5C889400" w14:textId="77777777" w:rsidR="00F55C59" w:rsidRPr="00094B03" w:rsidRDefault="00F55C59" w:rsidP="00F55C59">
      <w:pPr>
        <w:spacing w:line="360" w:lineRule="auto"/>
        <w:jc w:val="both"/>
        <w:rPr>
          <w:rFonts w:ascii="Arial" w:hAnsi="Arial" w:cs="Arial"/>
        </w:rPr>
      </w:pPr>
      <w:r w:rsidRPr="00094B03">
        <w:rPr>
          <w:rFonts w:ascii="Arial" w:hAnsi="Arial" w:cs="Arial"/>
        </w:rPr>
        <w:t>Belonging is not the presence of diversity. Belonging is the ability to participate confidently within it.</w:t>
      </w:r>
    </w:p>
    <w:p w14:paraId="7EA2A494" w14:textId="4CBD1D0F" w:rsidR="00F55C59" w:rsidRPr="00094B03" w:rsidRDefault="003D6389" w:rsidP="00F55C59">
      <w:pPr>
        <w:spacing w:line="360" w:lineRule="auto"/>
        <w:jc w:val="both"/>
        <w:rPr>
          <w:rFonts w:ascii="Arial" w:hAnsi="Arial" w:cs="Arial"/>
          <w:b/>
          <w:bCs/>
        </w:rPr>
      </w:pPr>
      <w:r>
        <w:rPr>
          <w:rFonts w:ascii="Arial" w:hAnsi="Arial" w:cs="Arial"/>
          <w:b/>
          <w:bCs/>
        </w:rPr>
        <w:t>4</w:t>
      </w:r>
      <w:r w:rsidR="00F55C59" w:rsidRPr="00094B03">
        <w:rPr>
          <w:rFonts w:ascii="Arial" w:hAnsi="Arial" w:cs="Arial"/>
          <w:b/>
          <w:bCs/>
        </w:rPr>
        <w:t>.5 Gender and intersectionality move differently in each hotel</w:t>
      </w:r>
    </w:p>
    <w:p w14:paraId="4090C723" w14:textId="2F1F88D0" w:rsidR="00F55C59" w:rsidRPr="00094B03" w:rsidRDefault="00F55C59" w:rsidP="00F55C59">
      <w:pPr>
        <w:spacing w:line="360" w:lineRule="auto"/>
        <w:jc w:val="both"/>
        <w:rPr>
          <w:rFonts w:ascii="Arial" w:hAnsi="Arial" w:cs="Arial"/>
        </w:rPr>
      </w:pPr>
      <w:r w:rsidRPr="00094B03">
        <w:rPr>
          <w:rFonts w:ascii="Arial" w:hAnsi="Arial" w:cs="Arial"/>
        </w:rPr>
        <w:t xml:space="preserve">Gender equity appeared in both policy frameworks. In practice, representation and progression remained uneven. Solmaz and Ehtiyar (2025) describe this as structural maintenance of hospitality’s traditional role distribution. The findings matched that description. At </w:t>
      </w:r>
      <w:r w:rsidR="00B61FBC">
        <w:rPr>
          <w:rFonts w:ascii="Arial" w:hAnsi="Arial" w:cs="Arial"/>
        </w:rPr>
        <w:t>I</w:t>
      </w:r>
      <w:r w:rsidRPr="00094B03">
        <w:rPr>
          <w:rFonts w:ascii="Arial" w:hAnsi="Arial" w:cs="Arial"/>
        </w:rPr>
        <w:t>bis Swansea, fewer women held operational authority. At Village, representation in administrative roles was stronger, while operational leadership still reflected traditional patterns.</w:t>
      </w:r>
    </w:p>
    <w:p w14:paraId="0D346FD8" w14:textId="77777777" w:rsidR="00F55C59" w:rsidRPr="00094B03" w:rsidRDefault="00F55C59" w:rsidP="00F55C59">
      <w:pPr>
        <w:spacing w:line="360" w:lineRule="auto"/>
        <w:jc w:val="both"/>
        <w:rPr>
          <w:rFonts w:ascii="Arial" w:hAnsi="Arial" w:cs="Arial"/>
        </w:rPr>
      </w:pPr>
      <w:r w:rsidRPr="00094B03">
        <w:rPr>
          <w:rFonts w:ascii="Arial" w:hAnsi="Arial" w:cs="Arial"/>
        </w:rPr>
        <w:t>Intersectionality made some experiences heavier. Being new to the country and a woman placed specific staff members at a disadvantage in confidence and perceived authority. Pompper (2024) notes that identity categories stack. The field evidence supported that dynamic directly.</w:t>
      </w:r>
    </w:p>
    <w:p w14:paraId="2FB37B0D" w14:textId="77777777" w:rsidR="00F55C59" w:rsidRPr="00094B03" w:rsidRDefault="00F55C59" w:rsidP="00F55C59">
      <w:pPr>
        <w:spacing w:line="360" w:lineRule="auto"/>
        <w:jc w:val="both"/>
        <w:rPr>
          <w:rFonts w:ascii="Arial" w:hAnsi="Arial" w:cs="Arial"/>
        </w:rPr>
      </w:pPr>
      <w:r w:rsidRPr="00094B03">
        <w:rPr>
          <w:rFonts w:ascii="Arial" w:hAnsi="Arial" w:cs="Arial"/>
        </w:rPr>
        <w:t>Policy recognition of gender did not replace the need for mentoring, progression structure and psychological safety.</w:t>
      </w:r>
    </w:p>
    <w:p w14:paraId="13846370" w14:textId="300658DB" w:rsidR="00F55C59" w:rsidRPr="00094B03" w:rsidRDefault="003D6389" w:rsidP="00F55C59">
      <w:pPr>
        <w:spacing w:line="360" w:lineRule="auto"/>
        <w:jc w:val="both"/>
        <w:rPr>
          <w:rFonts w:ascii="Arial" w:hAnsi="Arial" w:cs="Arial"/>
          <w:b/>
          <w:bCs/>
        </w:rPr>
      </w:pPr>
      <w:r>
        <w:rPr>
          <w:rFonts w:ascii="Arial" w:hAnsi="Arial" w:cs="Arial"/>
          <w:b/>
          <w:bCs/>
        </w:rPr>
        <w:t>4</w:t>
      </w:r>
      <w:r w:rsidR="00F55C59" w:rsidRPr="00094B03">
        <w:rPr>
          <w:rFonts w:ascii="Arial" w:hAnsi="Arial" w:cs="Arial"/>
          <w:b/>
          <w:bCs/>
        </w:rPr>
        <w:t>.6 Reducing the distance between DEI policy and lived experience</w:t>
      </w:r>
    </w:p>
    <w:p w14:paraId="58E77EA0" w14:textId="77777777" w:rsidR="00F55C59" w:rsidRPr="00094B03" w:rsidRDefault="00F55C59" w:rsidP="00F55C59">
      <w:pPr>
        <w:spacing w:line="360" w:lineRule="auto"/>
        <w:jc w:val="both"/>
        <w:rPr>
          <w:rFonts w:ascii="Arial" w:hAnsi="Arial" w:cs="Arial"/>
        </w:rPr>
      </w:pPr>
      <w:r w:rsidRPr="00094B03">
        <w:rPr>
          <w:rFonts w:ascii="Arial" w:hAnsi="Arial" w:cs="Arial"/>
        </w:rPr>
        <w:t xml:space="preserve">The literature points to several mechanisms. Vassou et al. (2024) call for measurable indicators of inclusive behaviour. Lim, Vaughan and Jang (2023) recommend feedback structures that change something in response. Hoang et al. (2021) show the effect of </w:t>
      </w:r>
      <w:r w:rsidRPr="00094B03">
        <w:rPr>
          <w:rFonts w:ascii="Arial" w:hAnsi="Arial" w:cs="Arial"/>
        </w:rPr>
        <w:lastRenderedPageBreak/>
        <w:t>empowerment on voice. Gursoy and Maier (2023) position DEI as a leadership practice, not a compliance outcome.</w:t>
      </w:r>
    </w:p>
    <w:p w14:paraId="43F1B025" w14:textId="77777777" w:rsidR="00F55C59" w:rsidRPr="00094B03" w:rsidRDefault="00F55C59" w:rsidP="00F55C59">
      <w:pPr>
        <w:spacing w:line="360" w:lineRule="auto"/>
        <w:jc w:val="both"/>
        <w:rPr>
          <w:rFonts w:ascii="Arial" w:hAnsi="Arial" w:cs="Arial"/>
        </w:rPr>
      </w:pPr>
      <w:r w:rsidRPr="00094B03">
        <w:rPr>
          <w:rFonts w:ascii="Arial" w:hAnsi="Arial" w:cs="Arial"/>
        </w:rPr>
        <w:t>Three practical adjustments follow:</w:t>
      </w:r>
    </w:p>
    <w:p w14:paraId="29FF4420" w14:textId="77777777" w:rsidR="00F55C59" w:rsidRPr="00094B03" w:rsidRDefault="00F55C59" w:rsidP="00F55C59">
      <w:pPr>
        <w:numPr>
          <w:ilvl w:val="0"/>
          <w:numId w:val="11"/>
        </w:numPr>
        <w:spacing w:line="360" w:lineRule="auto"/>
        <w:jc w:val="both"/>
        <w:rPr>
          <w:rFonts w:ascii="Arial" w:hAnsi="Arial" w:cs="Arial"/>
        </w:rPr>
      </w:pPr>
      <w:r w:rsidRPr="00094B03">
        <w:rPr>
          <w:rFonts w:ascii="Arial" w:hAnsi="Arial" w:cs="Arial"/>
        </w:rPr>
        <w:t>Measure inclusion where it happens: on shift, during workload distribution and communication.</w:t>
      </w:r>
    </w:p>
    <w:p w14:paraId="40E53A72" w14:textId="77777777" w:rsidR="00F55C59" w:rsidRPr="00094B03" w:rsidRDefault="00F55C59" w:rsidP="00F55C59">
      <w:pPr>
        <w:numPr>
          <w:ilvl w:val="0"/>
          <w:numId w:val="11"/>
        </w:numPr>
        <w:spacing w:line="360" w:lineRule="auto"/>
        <w:jc w:val="both"/>
        <w:rPr>
          <w:rFonts w:ascii="Arial" w:hAnsi="Arial" w:cs="Arial"/>
        </w:rPr>
      </w:pPr>
      <w:r w:rsidRPr="00094B03">
        <w:rPr>
          <w:rFonts w:ascii="Arial" w:hAnsi="Arial" w:cs="Arial"/>
        </w:rPr>
        <w:t>Train leadership at property level to recognise belonging as operational, not abstract.</w:t>
      </w:r>
    </w:p>
    <w:p w14:paraId="34FFF172" w14:textId="77777777" w:rsidR="00F55C59" w:rsidRPr="00094B03" w:rsidRDefault="00F55C59" w:rsidP="00F55C59">
      <w:pPr>
        <w:numPr>
          <w:ilvl w:val="0"/>
          <w:numId w:val="11"/>
        </w:numPr>
        <w:spacing w:line="360" w:lineRule="auto"/>
        <w:jc w:val="both"/>
        <w:rPr>
          <w:rFonts w:ascii="Arial" w:hAnsi="Arial" w:cs="Arial"/>
        </w:rPr>
      </w:pPr>
      <w:r w:rsidRPr="00094B03">
        <w:rPr>
          <w:rFonts w:ascii="Arial" w:hAnsi="Arial" w:cs="Arial"/>
        </w:rPr>
        <w:t>Create voice channels with response requirements, not optional listening.</w:t>
      </w:r>
    </w:p>
    <w:p w14:paraId="59DE6792" w14:textId="77777777" w:rsidR="00F55C59" w:rsidRPr="00094B03" w:rsidRDefault="00F55C59" w:rsidP="00F55C59">
      <w:pPr>
        <w:spacing w:line="360" w:lineRule="auto"/>
        <w:jc w:val="both"/>
        <w:rPr>
          <w:rFonts w:ascii="Arial" w:hAnsi="Arial" w:cs="Arial"/>
        </w:rPr>
      </w:pPr>
      <w:r w:rsidRPr="00094B03">
        <w:rPr>
          <w:rFonts w:ascii="Arial" w:hAnsi="Arial" w:cs="Arial"/>
        </w:rPr>
        <w:t>DEI becomes credible when employees see evidence inside routine work. When a schedule is adjusted fairly. When someone is supported learning language tasks. When a concern changes practice.</w:t>
      </w:r>
    </w:p>
    <w:p w14:paraId="44383EFB" w14:textId="77777777" w:rsidR="00F55C59" w:rsidRPr="00094B03" w:rsidRDefault="00F55C59" w:rsidP="00F55C59">
      <w:pPr>
        <w:spacing w:line="360" w:lineRule="auto"/>
        <w:jc w:val="both"/>
        <w:rPr>
          <w:rFonts w:ascii="Arial" w:hAnsi="Arial" w:cs="Arial"/>
        </w:rPr>
      </w:pPr>
      <w:r w:rsidRPr="00094B03">
        <w:rPr>
          <w:rFonts w:ascii="Arial" w:hAnsi="Arial" w:cs="Arial"/>
        </w:rPr>
        <w:t>DEI is not performed in policy language. It appears in daily allocation of attention.</w:t>
      </w:r>
    </w:p>
    <w:p w14:paraId="3CD4EF16" w14:textId="77777777" w:rsidR="00F55C59" w:rsidRDefault="00F55C59" w:rsidP="00F55C59">
      <w:pPr>
        <w:spacing w:line="360" w:lineRule="auto"/>
        <w:jc w:val="both"/>
        <w:rPr>
          <w:rFonts w:ascii="Segoe UI Emoji" w:hAnsi="Segoe UI Emoji" w:cs="Segoe UI Emoji"/>
          <w:b/>
          <w:bCs/>
        </w:rPr>
      </w:pPr>
    </w:p>
    <w:p w14:paraId="4FE4F8E8" w14:textId="77777777" w:rsidR="00F55C59" w:rsidRDefault="00F55C59" w:rsidP="00F55C59">
      <w:pPr>
        <w:spacing w:line="360" w:lineRule="auto"/>
        <w:jc w:val="both"/>
        <w:rPr>
          <w:rFonts w:ascii="Segoe UI Emoji" w:hAnsi="Segoe UI Emoji" w:cs="Segoe UI Emoji"/>
          <w:b/>
          <w:bCs/>
        </w:rPr>
      </w:pPr>
    </w:p>
    <w:p w14:paraId="10D8FEBA" w14:textId="77777777" w:rsidR="00B43312" w:rsidRDefault="00B43312" w:rsidP="00F55C59">
      <w:pPr>
        <w:spacing w:line="360" w:lineRule="auto"/>
        <w:jc w:val="both"/>
        <w:rPr>
          <w:rFonts w:ascii="Arial" w:hAnsi="Arial" w:cs="Arial"/>
          <w:b/>
          <w:bCs/>
        </w:rPr>
      </w:pPr>
    </w:p>
    <w:p w14:paraId="50C5BEF8" w14:textId="77777777" w:rsidR="00D27585" w:rsidRDefault="00D27585" w:rsidP="00F55C59">
      <w:pPr>
        <w:spacing w:line="360" w:lineRule="auto"/>
        <w:jc w:val="both"/>
        <w:rPr>
          <w:rFonts w:ascii="Arial" w:hAnsi="Arial" w:cs="Arial"/>
          <w:b/>
          <w:bCs/>
        </w:rPr>
      </w:pPr>
    </w:p>
    <w:p w14:paraId="16CB3FAB" w14:textId="77777777" w:rsidR="00D27585" w:rsidRDefault="00D27585" w:rsidP="00F55C59">
      <w:pPr>
        <w:spacing w:line="360" w:lineRule="auto"/>
        <w:jc w:val="both"/>
        <w:rPr>
          <w:rFonts w:ascii="Arial" w:hAnsi="Arial" w:cs="Arial"/>
          <w:b/>
          <w:bCs/>
        </w:rPr>
      </w:pPr>
    </w:p>
    <w:p w14:paraId="1BE9A3B9" w14:textId="77777777" w:rsidR="00D27585" w:rsidRDefault="00D27585" w:rsidP="00F55C59">
      <w:pPr>
        <w:spacing w:line="360" w:lineRule="auto"/>
        <w:jc w:val="both"/>
        <w:rPr>
          <w:rFonts w:ascii="Arial" w:hAnsi="Arial" w:cs="Arial"/>
          <w:b/>
          <w:bCs/>
        </w:rPr>
      </w:pPr>
    </w:p>
    <w:p w14:paraId="7FB72A72" w14:textId="77777777" w:rsidR="00D27585" w:rsidRDefault="00D27585" w:rsidP="00F55C59">
      <w:pPr>
        <w:spacing w:line="360" w:lineRule="auto"/>
        <w:jc w:val="both"/>
        <w:rPr>
          <w:rFonts w:ascii="Arial" w:hAnsi="Arial" w:cs="Arial"/>
          <w:b/>
          <w:bCs/>
        </w:rPr>
      </w:pPr>
    </w:p>
    <w:p w14:paraId="444F8B25" w14:textId="77777777" w:rsidR="00D27585" w:rsidRDefault="00D27585" w:rsidP="00F55C59">
      <w:pPr>
        <w:spacing w:line="360" w:lineRule="auto"/>
        <w:jc w:val="both"/>
        <w:rPr>
          <w:rFonts w:ascii="Arial" w:hAnsi="Arial" w:cs="Arial"/>
          <w:b/>
          <w:bCs/>
        </w:rPr>
      </w:pPr>
    </w:p>
    <w:p w14:paraId="3B2B2319" w14:textId="77777777" w:rsidR="00D27585" w:rsidRDefault="00D27585" w:rsidP="00F55C59">
      <w:pPr>
        <w:spacing w:line="360" w:lineRule="auto"/>
        <w:jc w:val="both"/>
        <w:rPr>
          <w:rFonts w:ascii="Arial" w:hAnsi="Arial" w:cs="Arial"/>
          <w:b/>
          <w:bCs/>
        </w:rPr>
      </w:pPr>
    </w:p>
    <w:p w14:paraId="517442CB" w14:textId="77777777" w:rsidR="00D27585" w:rsidRDefault="00D27585" w:rsidP="00F55C59">
      <w:pPr>
        <w:spacing w:line="360" w:lineRule="auto"/>
        <w:jc w:val="both"/>
        <w:rPr>
          <w:rFonts w:ascii="Arial" w:hAnsi="Arial" w:cs="Arial"/>
          <w:b/>
          <w:bCs/>
        </w:rPr>
      </w:pPr>
    </w:p>
    <w:p w14:paraId="6EE44610" w14:textId="77777777" w:rsidR="00D27585" w:rsidRDefault="00D27585" w:rsidP="00F55C59">
      <w:pPr>
        <w:spacing w:line="360" w:lineRule="auto"/>
        <w:jc w:val="both"/>
        <w:rPr>
          <w:rFonts w:ascii="Arial" w:hAnsi="Arial" w:cs="Arial"/>
          <w:b/>
          <w:bCs/>
        </w:rPr>
      </w:pPr>
    </w:p>
    <w:p w14:paraId="09FD82DC" w14:textId="77777777" w:rsidR="00D27585" w:rsidRDefault="00D27585" w:rsidP="00F55C59">
      <w:pPr>
        <w:spacing w:line="360" w:lineRule="auto"/>
        <w:jc w:val="both"/>
        <w:rPr>
          <w:rFonts w:ascii="Arial" w:hAnsi="Arial" w:cs="Arial"/>
          <w:b/>
          <w:bCs/>
        </w:rPr>
      </w:pPr>
    </w:p>
    <w:p w14:paraId="43F74AC0" w14:textId="77777777" w:rsidR="00D27585" w:rsidRDefault="00D27585" w:rsidP="00F55C59">
      <w:pPr>
        <w:spacing w:line="360" w:lineRule="auto"/>
        <w:jc w:val="both"/>
        <w:rPr>
          <w:rFonts w:ascii="Arial" w:hAnsi="Arial" w:cs="Arial"/>
          <w:b/>
          <w:bCs/>
        </w:rPr>
      </w:pPr>
    </w:p>
    <w:p w14:paraId="49544A4C" w14:textId="77777777" w:rsidR="00D27585" w:rsidRDefault="00D27585" w:rsidP="00F55C59">
      <w:pPr>
        <w:spacing w:line="360" w:lineRule="auto"/>
        <w:jc w:val="both"/>
        <w:rPr>
          <w:rFonts w:ascii="Arial" w:hAnsi="Arial" w:cs="Arial"/>
          <w:b/>
          <w:bCs/>
        </w:rPr>
      </w:pPr>
    </w:p>
    <w:p w14:paraId="32B229F1" w14:textId="00FB7215" w:rsidR="00F55C59" w:rsidRPr="00B70376" w:rsidRDefault="00F55C59" w:rsidP="00F55C59">
      <w:pPr>
        <w:spacing w:line="360" w:lineRule="auto"/>
        <w:jc w:val="both"/>
        <w:rPr>
          <w:rFonts w:ascii="Arial" w:hAnsi="Arial" w:cs="Arial"/>
          <w:b/>
          <w:bCs/>
        </w:rPr>
      </w:pPr>
      <w:r w:rsidRPr="008F430C">
        <w:rPr>
          <w:rFonts w:ascii="Arial" w:hAnsi="Arial" w:cs="Arial"/>
          <w:b/>
          <w:bCs/>
        </w:rPr>
        <w:lastRenderedPageBreak/>
        <w:t xml:space="preserve">CHAPTER </w:t>
      </w:r>
      <w:r w:rsidR="003D6389">
        <w:rPr>
          <w:rFonts w:ascii="Arial" w:hAnsi="Arial" w:cs="Arial"/>
          <w:b/>
          <w:bCs/>
        </w:rPr>
        <w:t>5</w:t>
      </w:r>
      <w:r w:rsidRPr="008F430C">
        <w:rPr>
          <w:rFonts w:ascii="Arial" w:hAnsi="Arial" w:cs="Arial"/>
          <w:b/>
          <w:bCs/>
        </w:rPr>
        <w:t xml:space="preserve">: CONCLUSION </w:t>
      </w:r>
      <w:r>
        <w:rPr>
          <w:rFonts w:ascii="Arial" w:hAnsi="Arial" w:cs="Arial"/>
          <w:b/>
          <w:bCs/>
        </w:rPr>
        <w:t>and</w:t>
      </w:r>
      <w:r w:rsidRPr="008F430C">
        <w:rPr>
          <w:rFonts w:ascii="Arial" w:hAnsi="Arial" w:cs="Arial"/>
          <w:b/>
          <w:bCs/>
        </w:rPr>
        <w:t xml:space="preserve"> RECOMMENDATIONS</w:t>
      </w:r>
    </w:p>
    <w:p w14:paraId="77FFDEB6" w14:textId="3D2C0E31" w:rsidR="00F55C59" w:rsidRPr="00DA70FF" w:rsidRDefault="00463C13" w:rsidP="00F55C59">
      <w:pPr>
        <w:spacing w:line="360" w:lineRule="auto"/>
        <w:jc w:val="both"/>
        <w:rPr>
          <w:rFonts w:ascii="Arial" w:hAnsi="Arial" w:cs="Arial"/>
          <w:b/>
          <w:bCs/>
        </w:rPr>
      </w:pPr>
      <w:r>
        <w:rPr>
          <w:rFonts w:ascii="Arial" w:hAnsi="Arial" w:cs="Arial"/>
          <w:b/>
          <w:bCs/>
        </w:rPr>
        <w:t>5</w:t>
      </w:r>
      <w:r w:rsidR="00F55C59" w:rsidRPr="00DA70FF">
        <w:rPr>
          <w:rFonts w:ascii="Arial" w:hAnsi="Arial" w:cs="Arial"/>
          <w:b/>
          <w:bCs/>
        </w:rPr>
        <w:t>.1 Conclusion</w:t>
      </w:r>
    </w:p>
    <w:p w14:paraId="2E0FD5FE" w14:textId="0DED9613" w:rsidR="00F55C59" w:rsidRPr="00DA70FF" w:rsidRDefault="00F55C59" w:rsidP="00F55C59">
      <w:pPr>
        <w:spacing w:line="360" w:lineRule="auto"/>
        <w:jc w:val="both"/>
        <w:rPr>
          <w:rFonts w:ascii="Arial" w:hAnsi="Arial" w:cs="Arial"/>
        </w:rPr>
      </w:pPr>
      <w:r w:rsidRPr="00DA70FF">
        <w:rPr>
          <w:rFonts w:ascii="Arial" w:hAnsi="Arial" w:cs="Arial"/>
        </w:rPr>
        <w:t xml:space="preserve">This closing chapter reflects on how Diversity, Equity and Inclusion (DEI) moved from corporate text into daily action within two mid-scale hotel brands. The intention throughout was to observe how DEI appears at property level and to identify the organisational and leadership conditions that enable or restrict inclusion. The two cases provided enough contrast to surface reliable patterns: </w:t>
      </w:r>
      <w:r w:rsidR="00F4772A">
        <w:rPr>
          <w:rFonts w:ascii="Arial" w:hAnsi="Arial" w:cs="Arial"/>
        </w:rPr>
        <w:t>I</w:t>
      </w:r>
      <w:r w:rsidRPr="00DA70FF">
        <w:rPr>
          <w:rFonts w:ascii="Arial" w:hAnsi="Arial" w:cs="Arial"/>
        </w:rPr>
        <w:t>bis Swansea sits within a multinational framework; Village Hotel Club operates in a national market with HR-driven compliance. Reading employee accounts after late shifts made the distance between promise and practice hard to ignore.</w:t>
      </w:r>
    </w:p>
    <w:p w14:paraId="30913E14" w14:textId="77777777" w:rsidR="00F55C59" w:rsidRPr="00DA70FF" w:rsidRDefault="00F55C59" w:rsidP="00F55C59">
      <w:pPr>
        <w:spacing w:line="360" w:lineRule="auto"/>
        <w:jc w:val="both"/>
        <w:rPr>
          <w:rFonts w:ascii="Arial" w:hAnsi="Arial" w:cs="Arial"/>
        </w:rPr>
      </w:pPr>
      <w:r w:rsidRPr="00DA70FF">
        <w:rPr>
          <w:rFonts w:ascii="Arial" w:hAnsi="Arial" w:cs="Arial"/>
        </w:rPr>
        <w:t>The study showed that outcomes depend less on the volume of policy and more on leadership behaviour. Policies set direction, while behaviour signals priority (Mohammadi, Bhati and Ng, 2022; Wickham et al., 2025). Williams and Cox (2022) describe the principle–practice gap; the present cases fit that frame. DEI was declared in both settings, yet experience varied with the steadiness of leadership and the logic of workload. Belonging tracked fairness, voice and psychological safety more than formal wording.</w:t>
      </w:r>
    </w:p>
    <w:p w14:paraId="4F073FB6" w14:textId="77777777" w:rsidR="00F55C59" w:rsidRPr="00DA70FF" w:rsidRDefault="00F55C59" w:rsidP="00F55C59">
      <w:pPr>
        <w:spacing w:line="360" w:lineRule="auto"/>
        <w:jc w:val="both"/>
        <w:rPr>
          <w:rFonts w:ascii="Arial" w:hAnsi="Arial" w:cs="Arial"/>
          <w:b/>
          <w:bCs/>
        </w:rPr>
      </w:pPr>
      <w:r w:rsidRPr="00DA70FF">
        <w:rPr>
          <w:rFonts w:ascii="Arial" w:hAnsi="Arial" w:cs="Arial"/>
          <w:b/>
          <w:bCs/>
        </w:rPr>
        <w:t>Research Aim Revisited</w:t>
      </w:r>
    </w:p>
    <w:p w14:paraId="6423F6AB" w14:textId="089F1114" w:rsidR="00F55C59" w:rsidRPr="00DA70FF" w:rsidRDefault="00F55C59" w:rsidP="00F55C59">
      <w:pPr>
        <w:spacing w:line="360" w:lineRule="auto"/>
        <w:jc w:val="both"/>
        <w:rPr>
          <w:rFonts w:ascii="Arial" w:hAnsi="Arial" w:cs="Arial"/>
        </w:rPr>
      </w:pPr>
      <w:r w:rsidRPr="00DA70FF">
        <w:rPr>
          <w:rFonts w:ascii="Arial" w:hAnsi="Arial" w:cs="Arial"/>
        </w:rPr>
        <w:t xml:space="preserve">The purpose was to understand how DEI policies are enacted in practice within mid-scale hotels by comparing </w:t>
      </w:r>
      <w:r w:rsidR="00510837">
        <w:rPr>
          <w:rFonts w:ascii="Arial" w:hAnsi="Arial" w:cs="Arial"/>
        </w:rPr>
        <w:t>I</w:t>
      </w:r>
      <w:r w:rsidRPr="00DA70FF">
        <w:rPr>
          <w:rFonts w:ascii="Arial" w:hAnsi="Arial" w:cs="Arial"/>
        </w:rPr>
        <w:t>bis Swansea (Accor Group) and Village Hotel Club. The focus was never on deciding which brand “performs better”, but on tracing how stated principles became actions, or stalled. Evidence included policy documents, DEI statements, online staff reviews and reflective field notes.</w:t>
      </w:r>
    </w:p>
    <w:p w14:paraId="52BAD7E2" w14:textId="77777777" w:rsidR="00F55C59" w:rsidRPr="00DA70FF" w:rsidRDefault="00F55C59" w:rsidP="00F55C59">
      <w:pPr>
        <w:spacing w:line="360" w:lineRule="auto"/>
        <w:jc w:val="both"/>
        <w:rPr>
          <w:rFonts w:ascii="Arial" w:hAnsi="Arial" w:cs="Arial"/>
          <w:b/>
          <w:bCs/>
        </w:rPr>
      </w:pPr>
      <w:r w:rsidRPr="00DA70FF">
        <w:rPr>
          <w:rFonts w:ascii="Arial" w:hAnsi="Arial" w:cs="Arial"/>
          <w:b/>
          <w:bCs/>
        </w:rPr>
        <w:t>Key Findings</w:t>
      </w:r>
    </w:p>
    <w:p w14:paraId="64F8EA2B" w14:textId="77777777" w:rsidR="00F55C59" w:rsidRPr="00DA70FF" w:rsidRDefault="00F55C59" w:rsidP="00F55C59">
      <w:pPr>
        <w:pStyle w:val="ListParagraph"/>
        <w:numPr>
          <w:ilvl w:val="0"/>
          <w:numId w:val="26"/>
        </w:numPr>
        <w:spacing w:line="360" w:lineRule="auto"/>
        <w:jc w:val="both"/>
        <w:rPr>
          <w:rFonts w:ascii="Arial" w:hAnsi="Arial" w:cs="Arial"/>
        </w:rPr>
      </w:pPr>
      <w:r w:rsidRPr="00DA70FF">
        <w:rPr>
          <w:rFonts w:ascii="Arial" w:hAnsi="Arial" w:cs="Arial"/>
          <w:b/>
          <w:bCs/>
        </w:rPr>
        <w:t>The policy–practice gap.</w:t>
      </w:r>
    </w:p>
    <w:p w14:paraId="3C3C5122" w14:textId="77777777" w:rsidR="00F55C59" w:rsidRPr="00DA70FF" w:rsidRDefault="00F55C59" w:rsidP="00F55C59">
      <w:pPr>
        <w:spacing w:line="360" w:lineRule="auto"/>
        <w:jc w:val="both"/>
        <w:rPr>
          <w:rFonts w:ascii="Arial" w:hAnsi="Arial" w:cs="Arial"/>
        </w:rPr>
      </w:pPr>
      <w:r w:rsidRPr="00DA70FF">
        <w:rPr>
          <w:rFonts w:ascii="Arial" w:hAnsi="Arial" w:cs="Arial"/>
        </w:rPr>
        <w:t xml:space="preserve">Policy volume did not predict inclusion. Ibis Swansea worked with a comprehensive global framework centred on emotional connection and representation. Village relied on procedural equality and structured HR mechanisms. Implementation still hinged on local leadership, which aligns with the policy–practice gap noted by Beach and Segar (2022) and Wickham, Fiedler and Donnely (2025). At ibis, DEI language faded during </w:t>
      </w:r>
      <w:r w:rsidRPr="00DA70FF">
        <w:rPr>
          <w:rFonts w:ascii="Arial" w:hAnsi="Arial" w:cs="Arial"/>
        </w:rPr>
        <w:lastRenderedPageBreak/>
        <w:t>peak occupancy. At Village, compliance was visible while emotional inclusion stayed quiet. Mor Barak et al. (2022) point out that DEI fails when leaders do not translate principles into routine decisions; the evidence here supports that view.</w:t>
      </w:r>
    </w:p>
    <w:p w14:paraId="71015333" w14:textId="4DBFCFBA" w:rsidR="00F55C59" w:rsidRPr="009B55FF" w:rsidRDefault="00F55C59" w:rsidP="009B55FF">
      <w:pPr>
        <w:pStyle w:val="ListParagraph"/>
        <w:numPr>
          <w:ilvl w:val="0"/>
          <w:numId w:val="26"/>
        </w:numPr>
        <w:spacing w:line="360" w:lineRule="auto"/>
        <w:jc w:val="both"/>
        <w:rPr>
          <w:rFonts w:ascii="Arial" w:hAnsi="Arial" w:cs="Arial"/>
        </w:rPr>
      </w:pPr>
      <w:r w:rsidRPr="009B55FF">
        <w:rPr>
          <w:rFonts w:ascii="Arial" w:hAnsi="Arial" w:cs="Arial"/>
          <w:b/>
          <w:bCs/>
        </w:rPr>
        <w:t>Leadership as the inclusion catalyst.</w:t>
      </w:r>
    </w:p>
    <w:p w14:paraId="5AE1C12A" w14:textId="77777777" w:rsidR="00F55C59" w:rsidRPr="00DA70FF" w:rsidRDefault="00F55C59" w:rsidP="00F55C59">
      <w:pPr>
        <w:spacing w:line="360" w:lineRule="auto"/>
        <w:jc w:val="both"/>
        <w:rPr>
          <w:rFonts w:ascii="Arial" w:hAnsi="Arial" w:cs="Arial"/>
        </w:rPr>
      </w:pPr>
      <w:r w:rsidRPr="00DA70FF">
        <w:rPr>
          <w:rFonts w:ascii="Arial" w:hAnsi="Arial" w:cs="Arial"/>
        </w:rPr>
        <w:t>Leadership behaviour was the strongest predictor of belonging (Lee and Shin, 2025). Recognition, fairness and attentive listening created psychological safety (Vassou et al., 2024). Leadership Inclusion Theory holds that inclusion precedes equity (Russen et al., 2023). Tsai (2024) adds that transformational conduct lifts engagement. Staff accounts described inclusion when leaders listened and adjusted work, not when leaders referenced policy. The pattern was relational.</w:t>
      </w:r>
    </w:p>
    <w:p w14:paraId="21BC48FE" w14:textId="39B1E76E" w:rsidR="00F55C59" w:rsidRPr="00DA70FF" w:rsidRDefault="009B55FF" w:rsidP="00B4020D">
      <w:pPr>
        <w:spacing w:line="360" w:lineRule="auto"/>
        <w:jc w:val="both"/>
        <w:rPr>
          <w:rFonts w:ascii="Arial" w:hAnsi="Arial" w:cs="Arial"/>
        </w:rPr>
      </w:pPr>
      <w:r>
        <w:rPr>
          <w:rFonts w:ascii="Arial" w:hAnsi="Arial" w:cs="Arial"/>
          <w:b/>
          <w:bCs/>
        </w:rPr>
        <w:t xml:space="preserve">      </w:t>
      </w:r>
      <w:r w:rsidR="00F55C59" w:rsidRPr="00DA70FF">
        <w:rPr>
          <w:rFonts w:ascii="Arial" w:hAnsi="Arial" w:cs="Arial"/>
          <w:b/>
          <w:bCs/>
        </w:rPr>
        <w:t>3)</w:t>
      </w:r>
      <w:r w:rsidR="00B4020D">
        <w:rPr>
          <w:rFonts w:ascii="Arial" w:hAnsi="Arial" w:cs="Arial"/>
          <w:b/>
          <w:bCs/>
        </w:rPr>
        <w:t xml:space="preserve"> </w:t>
      </w:r>
      <w:r w:rsidR="00F55C59" w:rsidRPr="00DA70FF">
        <w:rPr>
          <w:rFonts w:ascii="Arial" w:hAnsi="Arial" w:cs="Arial"/>
          <w:b/>
          <w:bCs/>
        </w:rPr>
        <w:t>Workload</w:t>
      </w:r>
      <w:r w:rsidR="00B4020D">
        <w:rPr>
          <w:rFonts w:ascii="Arial" w:hAnsi="Arial" w:cs="Arial"/>
          <w:b/>
          <w:bCs/>
        </w:rPr>
        <w:t xml:space="preserve"> </w:t>
      </w:r>
      <w:r w:rsidR="00F55C59" w:rsidRPr="00DA70FF">
        <w:rPr>
          <w:rFonts w:ascii="Arial" w:hAnsi="Arial" w:cs="Arial"/>
          <w:b/>
          <w:bCs/>
        </w:rPr>
        <w:t>determines belonging.</w:t>
      </w:r>
      <w:r w:rsidR="00F55C59" w:rsidRPr="00DA70FF">
        <w:rPr>
          <w:rFonts w:ascii="Arial" w:hAnsi="Arial" w:cs="Arial"/>
        </w:rPr>
        <w:br/>
        <w:t xml:space="preserve">The Job Demands–Resources model clarified how workload shapes fairness and attachment (Peiying, Yixing and Yingda, 2021; Rijal, 2023). At </w:t>
      </w:r>
      <w:r w:rsidR="00B4020D">
        <w:rPr>
          <w:rFonts w:ascii="Arial" w:hAnsi="Arial" w:cs="Arial"/>
        </w:rPr>
        <w:t>I</w:t>
      </w:r>
      <w:r w:rsidR="00F55C59" w:rsidRPr="00DA70FF">
        <w:rPr>
          <w:rFonts w:ascii="Arial" w:hAnsi="Arial" w:cs="Arial"/>
        </w:rPr>
        <w:t>bis, multitasking produced fatigue and weakened connection; one account described reception, bar and breakfast setup within a single shift. When resources lag, belonging falls (J and Mahalakshmi, 2024). Village’s structured rotas reduced volatility, while perceived favouritism appeared in some allocations. Malik et al. (2017) note that perceived fairness underpins attachment. The evidence links JD–R directly to DEI by showing workload distribution as an equity issue.</w:t>
      </w:r>
    </w:p>
    <w:p w14:paraId="4F48FEDB" w14:textId="4DEDD177" w:rsidR="00F55C59" w:rsidRPr="00DA70FF" w:rsidRDefault="009B55FF" w:rsidP="00F55C59">
      <w:pPr>
        <w:spacing w:line="360" w:lineRule="auto"/>
        <w:jc w:val="both"/>
        <w:rPr>
          <w:rFonts w:ascii="Arial" w:hAnsi="Arial" w:cs="Arial"/>
        </w:rPr>
      </w:pPr>
      <w:r>
        <w:rPr>
          <w:rFonts w:ascii="Arial" w:hAnsi="Arial" w:cs="Arial"/>
          <w:b/>
          <w:bCs/>
        </w:rPr>
        <w:t xml:space="preserve">     </w:t>
      </w:r>
      <w:r w:rsidR="00F55C59" w:rsidRPr="00DA70FF">
        <w:rPr>
          <w:rFonts w:ascii="Arial" w:hAnsi="Arial" w:cs="Arial"/>
          <w:b/>
          <w:bCs/>
        </w:rPr>
        <w:t>4) Organisational climate, identity and interaction.</w:t>
      </w:r>
      <w:r w:rsidR="00F55C59" w:rsidRPr="00DA70FF">
        <w:rPr>
          <w:rFonts w:ascii="Arial" w:hAnsi="Arial" w:cs="Arial"/>
        </w:rPr>
        <w:br/>
        <w:t>Group boundaries shape experience. Social Identity Theory explains how “us–them” distinctions can sit inside diverse teams when equal voice is missing. Ibis showed higher diversity and fewer supports for equal participation; language barriers amplified self-conscious behaviour. Village showed fewer barriers and fewer opportunities for cross-cultural learning. Ponting and Dillette (2023) observe that contact improves inclusion when equal status supports it. On busy evenings, identity boundaries formed fast when workload spiked and communication shortened.</w:t>
      </w:r>
    </w:p>
    <w:p w14:paraId="3E65F572" w14:textId="77777777" w:rsidR="00F55C59" w:rsidRPr="00DA70FF" w:rsidRDefault="00F55C59" w:rsidP="00F55C59">
      <w:pPr>
        <w:spacing w:line="360" w:lineRule="auto"/>
        <w:jc w:val="both"/>
        <w:rPr>
          <w:rFonts w:ascii="Arial" w:hAnsi="Arial" w:cs="Arial"/>
          <w:b/>
          <w:bCs/>
        </w:rPr>
      </w:pPr>
      <w:r w:rsidRPr="00DA70FF">
        <w:rPr>
          <w:rFonts w:ascii="Arial" w:hAnsi="Arial" w:cs="Arial"/>
          <w:b/>
          <w:bCs/>
        </w:rPr>
        <w:t>Theoretical Contribution</w:t>
      </w:r>
    </w:p>
    <w:p w14:paraId="6885E0BE" w14:textId="77777777" w:rsidR="00F55C59" w:rsidRPr="00DA70FF" w:rsidRDefault="00F55C59" w:rsidP="00F55C59">
      <w:pPr>
        <w:spacing w:line="360" w:lineRule="auto"/>
        <w:jc w:val="both"/>
        <w:rPr>
          <w:rFonts w:ascii="Arial" w:hAnsi="Arial" w:cs="Arial"/>
        </w:rPr>
      </w:pPr>
      <w:r w:rsidRPr="00DA70FF">
        <w:rPr>
          <w:rFonts w:ascii="Arial" w:hAnsi="Arial" w:cs="Arial"/>
        </w:rPr>
        <w:t>Three additions emerge (Liu, Hao and Qiu, 2025):</w:t>
      </w:r>
    </w:p>
    <w:p w14:paraId="730BBA0E" w14:textId="77777777" w:rsidR="00F55C59" w:rsidRPr="00DA70FF" w:rsidRDefault="00F55C59" w:rsidP="00F55C59">
      <w:pPr>
        <w:numPr>
          <w:ilvl w:val="0"/>
          <w:numId w:val="12"/>
        </w:numPr>
        <w:spacing w:line="360" w:lineRule="auto"/>
        <w:jc w:val="both"/>
        <w:rPr>
          <w:rFonts w:ascii="Arial" w:hAnsi="Arial" w:cs="Arial"/>
        </w:rPr>
      </w:pPr>
      <w:r w:rsidRPr="00DA70FF">
        <w:rPr>
          <w:rFonts w:ascii="Arial" w:hAnsi="Arial" w:cs="Arial"/>
        </w:rPr>
        <w:lastRenderedPageBreak/>
        <w:t>Leadership Inclusion Theory receives reinforcing evidence: belonging is driven by behaviour; equity follows when leaders act with fairness (Russen et al., 2023).</w:t>
      </w:r>
    </w:p>
    <w:p w14:paraId="23ED8D8B" w14:textId="77777777" w:rsidR="00F55C59" w:rsidRPr="00DA70FF" w:rsidRDefault="00F55C59" w:rsidP="00F55C59">
      <w:pPr>
        <w:numPr>
          <w:ilvl w:val="0"/>
          <w:numId w:val="12"/>
        </w:numPr>
        <w:spacing w:line="360" w:lineRule="auto"/>
        <w:jc w:val="both"/>
        <w:rPr>
          <w:rFonts w:ascii="Arial" w:hAnsi="Arial" w:cs="Arial"/>
        </w:rPr>
      </w:pPr>
      <w:r w:rsidRPr="00DA70FF">
        <w:rPr>
          <w:rFonts w:ascii="Arial" w:hAnsi="Arial" w:cs="Arial"/>
        </w:rPr>
        <w:t>JD–R is extended by linking work design to DEI outcomes; workload fairness signals respect.</w:t>
      </w:r>
    </w:p>
    <w:p w14:paraId="6B5BDB0B" w14:textId="77777777" w:rsidR="00F55C59" w:rsidRPr="00DA70FF" w:rsidRDefault="00F55C59" w:rsidP="00F55C59">
      <w:pPr>
        <w:numPr>
          <w:ilvl w:val="0"/>
          <w:numId w:val="12"/>
        </w:numPr>
        <w:spacing w:line="360" w:lineRule="auto"/>
        <w:jc w:val="both"/>
        <w:rPr>
          <w:rFonts w:ascii="Arial" w:hAnsi="Arial" w:cs="Arial"/>
        </w:rPr>
      </w:pPr>
      <w:r w:rsidRPr="00DA70FF">
        <w:rPr>
          <w:rFonts w:ascii="Arial" w:hAnsi="Arial" w:cs="Arial"/>
        </w:rPr>
        <w:t>DEI implementation is positioned within the principle–practice gap, showing the need for behavioural accountability (Gursoy and Maier, 2023).</w:t>
      </w:r>
    </w:p>
    <w:p w14:paraId="3DEF3520" w14:textId="77777777" w:rsidR="00F55C59" w:rsidRPr="00DA70FF" w:rsidRDefault="00F55C59" w:rsidP="00F55C59">
      <w:pPr>
        <w:spacing w:line="360" w:lineRule="auto"/>
        <w:jc w:val="both"/>
        <w:rPr>
          <w:rFonts w:ascii="Arial" w:hAnsi="Arial" w:cs="Arial"/>
          <w:b/>
          <w:bCs/>
        </w:rPr>
      </w:pPr>
      <w:r w:rsidRPr="00DA70FF">
        <w:rPr>
          <w:rFonts w:ascii="Arial" w:hAnsi="Arial" w:cs="Arial"/>
          <w:b/>
          <w:bCs/>
        </w:rPr>
        <w:t>Limitations</w:t>
      </w:r>
    </w:p>
    <w:p w14:paraId="1CD5D77B" w14:textId="77777777" w:rsidR="00F55C59" w:rsidRPr="00DA70FF" w:rsidRDefault="00F55C59" w:rsidP="00F55C59">
      <w:pPr>
        <w:spacing w:line="360" w:lineRule="auto"/>
        <w:jc w:val="both"/>
        <w:rPr>
          <w:rFonts w:ascii="Arial" w:hAnsi="Arial" w:cs="Arial"/>
        </w:rPr>
      </w:pPr>
      <w:r w:rsidRPr="00DA70FF">
        <w:rPr>
          <w:rFonts w:ascii="Arial" w:hAnsi="Arial" w:cs="Arial"/>
        </w:rPr>
        <w:t>Two cases limit transferability. Online reviews reflect perception, not verified fact. Field notes come from one location and carry subjectivity. Some notes were written after difficult shifts, which risks overlap between experience and interpretation. Triangulation reduced this risk and stabilised the patterns.</w:t>
      </w:r>
    </w:p>
    <w:p w14:paraId="52B84EC4" w14:textId="77777777" w:rsidR="00F55C59" w:rsidRPr="00DA70FF" w:rsidRDefault="00F55C59" w:rsidP="00F55C59">
      <w:pPr>
        <w:spacing w:line="360" w:lineRule="auto"/>
        <w:jc w:val="both"/>
        <w:rPr>
          <w:rFonts w:ascii="Arial" w:hAnsi="Arial" w:cs="Arial"/>
          <w:b/>
          <w:bCs/>
        </w:rPr>
      </w:pPr>
      <w:r w:rsidRPr="00DA70FF">
        <w:rPr>
          <w:rFonts w:ascii="Arial" w:hAnsi="Arial" w:cs="Arial"/>
          <w:b/>
          <w:bCs/>
        </w:rPr>
        <w:t>Final Conclusion</w:t>
      </w:r>
    </w:p>
    <w:p w14:paraId="03B2A12E" w14:textId="77777777" w:rsidR="00F55C59" w:rsidRPr="00DA70FF" w:rsidRDefault="00F55C59" w:rsidP="00F55C59">
      <w:pPr>
        <w:spacing w:line="360" w:lineRule="auto"/>
        <w:jc w:val="both"/>
        <w:rPr>
          <w:rFonts w:ascii="Arial" w:hAnsi="Arial" w:cs="Arial"/>
        </w:rPr>
      </w:pPr>
      <w:r w:rsidRPr="00DA70FF">
        <w:rPr>
          <w:rFonts w:ascii="Arial" w:hAnsi="Arial" w:cs="Arial"/>
        </w:rPr>
        <w:t>DEI becomes visible when people feel respected, supported and heard. Corporate reports and mandatory modules do not create that feeling by themselves. The signal appears when a leader shields an overwhelmed colleague during a rush or when feedback changes a rota (Ponting and Dillette, 2024; Gursoy and Maier, 2023).</w:t>
      </w:r>
      <w:r w:rsidRPr="00DA70FF">
        <w:rPr>
          <w:rFonts w:ascii="Arial" w:hAnsi="Arial" w:cs="Arial"/>
        </w:rPr>
        <w:br/>
        <w:t>Ibis requires measurable accountability.</w:t>
      </w:r>
      <w:r w:rsidRPr="00DA70FF">
        <w:rPr>
          <w:rFonts w:ascii="Arial" w:hAnsi="Arial" w:cs="Arial"/>
        </w:rPr>
        <w:br/>
        <w:t>Village requires work on emotional inclusion and cultural depth.</w:t>
      </w:r>
      <w:r w:rsidRPr="00DA70FF">
        <w:rPr>
          <w:rFonts w:ascii="Arial" w:hAnsi="Arial" w:cs="Arial"/>
        </w:rPr>
        <w:br/>
        <w:t>Both would gain from local metrics, structured voice and leadership development focused on daily behaviours.</w:t>
      </w:r>
      <w:r w:rsidRPr="00DA70FF">
        <w:rPr>
          <w:rFonts w:ascii="Arial" w:hAnsi="Arial" w:cs="Arial"/>
        </w:rPr>
        <w:br/>
        <w:t>The idea looks simple on paper. In practice, it is a choice made every shift.</w:t>
      </w:r>
    </w:p>
    <w:p w14:paraId="76DE0B5E" w14:textId="77777777" w:rsidR="00F55C59" w:rsidRDefault="00F55C59" w:rsidP="00F55C59">
      <w:pPr>
        <w:spacing w:line="360" w:lineRule="auto"/>
        <w:jc w:val="both"/>
        <w:rPr>
          <w:rFonts w:ascii="Arial" w:hAnsi="Arial" w:cs="Arial"/>
          <w:b/>
          <w:bCs/>
        </w:rPr>
      </w:pPr>
    </w:p>
    <w:p w14:paraId="3F67150D" w14:textId="7012F73B" w:rsidR="00F55C59" w:rsidRPr="00DA70FF" w:rsidRDefault="00463C13" w:rsidP="00F55C59">
      <w:pPr>
        <w:spacing w:line="360" w:lineRule="auto"/>
        <w:jc w:val="both"/>
        <w:rPr>
          <w:rFonts w:ascii="Arial" w:hAnsi="Arial" w:cs="Arial"/>
          <w:b/>
          <w:bCs/>
        </w:rPr>
      </w:pPr>
      <w:r>
        <w:rPr>
          <w:rFonts w:ascii="Arial" w:hAnsi="Arial" w:cs="Arial"/>
          <w:b/>
          <w:bCs/>
        </w:rPr>
        <w:t>5</w:t>
      </w:r>
      <w:r w:rsidR="00F55C59" w:rsidRPr="00DA70FF">
        <w:rPr>
          <w:rFonts w:ascii="Arial" w:hAnsi="Arial" w:cs="Arial"/>
          <w:b/>
          <w:bCs/>
        </w:rPr>
        <w:t xml:space="preserve">.2 Recommendations </w:t>
      </w:r>
    </w:p>
    <w:p w14:paraId="709F6FF5" w14:textId="77777777" w:rsidR="00F55C59" w:rsidRPr="00DA70FF" w:rsidRDefault="00F55C59" w:rsidP="00F55C59">
      <w:pPr>
        <w:spacing w:line="360" w:lineRule="auto"/>
        <w:jc w:val="both"/>
        <w:rPr>
          <w:rFonts w:ascii="Arial" w:hAnsi="Arial" w:cs="Arial"/>
        </w:rPr>
      </w:pPr>
      <w:r w:rsidRPr="00DA70FF">
        <w:rPr>
          <w:rFonts w:ascii="Arial" w:hAnsi="Arial" w:cs="Arial"/>
        </w:rPr>
        <w:t>What follows turns the findings into action that can be applied at property level. Short, concrete, and measurable.</w:t>
      </w:r>
    </w:p>
    <w:p w14:paraId="2F96FAD9" w14:textId="18BC7122" w:rsidR="00F55C59" w:rsidRPr="00DA70FF" w:rsidRDefault="00F55C59" w:rsidP="00F55C59">
      <w:pPr>
        <w:spacing w:line="360" w:lineRule="auto"/>
        <w:jc w:val="both"/>
        <w:rPr>
          <w:rFonts w:ascii="Arial" w:hAnsi="Arial" w:cs="Arial"/>
          <w:b/>
          <w:bCs/>
        </w:rPr>
      </w:pPr>
      <w:r w:rsidRPr="00DA70FF">
        <w:rPr>
          <w:rFonts w:ascii="Arial" w:hAnsi="Arial" w:cs="Arial"/>
          <w:b/>
          <w:bCs/>
        </w:rPr>
        <w:t xml:space="preserve">For </w:t>
      </w:r>
      <w:r w:rsidR="00157A4B">
        <w:rPr>
          <w:rFonts w:ascii="Arial" w:hAnsi="Arial" w:cs="Arial"/>
          <w:b/>
          <w:bCs/>
        </w:rPr>
        <w:t>I</w:t>
      </w:r>
      <w:r w:rsidRPr="00DA70FF">
        <w:rPr>
          <w:rFonts w:ascii="Arial" w:hAnsi="Arial" w:cs="Arial"/>
          <w:b/>
          <w:bCs/>
        </w:rPr>
        <w:t>bis Swansea (Accor Group)</w:t>
      </w:r>
    </w:p>
    <w:p w14:paraId="4E221F96" w14:textId="77777777" w:rsidR="00F55C59" w:rsidRPr="00DA70FF" w:rsidRDefault="00F55C59" w:rsidP="00F55C59">
      <w:pPr>
        <w:spacing w:line="360" w:lineRule="auto"/>
        <w:jc w:val="both"/>
        <w:rPr>
          <w:rFonts w:ascii="Arial" w:hAnsi="Arial" w:cs="Arial"/>
        </w:rPr>
      </w:pPr>
      <w:r w:rsidRPr="00DA70FF">
        <w:rPr>
          <w:rFonts w:ascii="Arial" w:hAnsi="Arial" w:cs="Arial"/>
          <w:b/>
          <w:bCs/>
        </w:rPr>
        <w:t>1) Local accountability for DEI progress</w:t>
      </w:r>
    </w:p>
    <w:p w14:paraId="0E22A5A5" w14:textId="77777777" w:rsidR="00F55C59" w:rsidRPr="00DA70FF" w:rsidRDefault="00F55C59" w:rsidP="00F55C59">
      <w:pPr>
        <w:numPr>
          <w:ilvl w:val="0"/>
          <w:numId w:val="13"/>
        </w:numPr>
        <w:spacing w:line="360" w:lineRule="auto"/>
        <w:jc w:val="both"/>
        <w:rPr>
          <w:rFonts w:ascii="Arial" w:hAnsi="Arial" w:cs="Arial"/>
        </w:rPr>
      </w:pPr>
      <w:r w:rsidRPr="00DA70FF">
        <w:rPr>
          <w:rFonts w:ascii="Arial" w:hAnsi="Arial" w:cs="Arial"/>
        </w:rPr>
        <w:lastRenderedPageBreak/>
        <w:t>Build a property-level dashboard covering participation in training, representation by role level, engagement indicators and rota fairness signals (Taylor et al., 2023).</w:t>
      </w:r>
    </w:p>
    <w:p w14:paraId="623970D9" w14:textId="77777777" w:rsidR="00F55C59" w:rsidRPr="00DA70FF" w:rsidRDefault="00F55C59" w:rsidP="00F55C59">
      <w:pPr>
        <w:numPr>
          <w:ilvl w:val="0"/>
          <w:numId w:val="13"/>
        </w:numPr>
        <w:spacing w:line="360" w:lineRule="auto"/>
        <w:jc w:val="both"/>
        <w:rPr>
          <w:rFonts w:ascii="Arial" w:hAnsi="Arial" w:cs="Arial"/>
        </w:rPr>
      </w:pPr>
      <w:r w:rsidRPr="00DA70FF">
        <w:rPr>
          <w:rFonts w:ascii="Arial" w:hAnsi="Arial" w:cs="Arial"/>
        </w:rPr>
        <w:t>Review monthly in manager huddles and note one change per cycle.</w:t>
      </w:r>
    </w:p>
    <w:p w14:paraId="50AB20BA" w14:textId="77777777" w:rsidR="00F55C59" w:rsidRPr="00DA70FF" w:rsidRDefault="00F55C59" w:rsidP="00F55C59">
      <w:pPr>
        <w:numPr>
          <w:ilvl w:val="0"/>
          <w:numId w:val="13"/>
        </w:numPr>
        <w:spacing w:line="360" w:lineRule="auto"/>
        <w:jc w:val="both"/>
        <w:rPr>
          <w:rFonts w:ascii="Arial" w:hAnsi="Arial" w:cs="Arial"/>
        </w:rPr>
      </w:pPr>
      <w:r w:rsidRPr="00DA70FF">
        <w:rPr>
          <w:rFonts w:ascii="Arial" w:hAnsi="Arial" w:cs="Arial"/>
        </w:rPr>
        <w:t>Link follow-through to manager objectives; Fahl et al. (2023) report better adoption with clear ownership.</w:t>
      </w:r>
    </w:p>
    <w:p w14:paraId="50136EFD" w14:textId="77777777" w:rsidR="00F55C59" w:rsidRPr="00DA70FF" w:rsidRDefault="00F55C59" w:rsidP="00F55C59">
      <w:pPr>
        <w:spacing w:line="360" w:lineRule="auto"/>
        <w:jc w:val="both"/>
        <w:rPr>
          <w:rFonts w:ascii="Arial" w:hAnsi="Arial" w:cs="Arial"/>
        </w:rPr>
      </w:pPr>
      <w:r w:rsidRPr="00DA70FF">
        <w:rPr>
          <w:rFonts w:ascii="Arial" w:hAnsi="Arial" w:cs="Arial"/>
          <w:b/>
          <w:bCs/>
        </w:rPr>
        <w:t>2) Leadership training focused on observable behaviours</w:t>
      </w:r>
    </w:p>
    <w:p w14:paraId="1495BD93" w14:textId="77777777" w:rsidR="00F55C59" w:rsidRPr="00DA70FF" w:rsidRDefault="00F55C59" w:rsidP="00F55C59">
      <w:pPr>
        <w:numPr>
          <w:ilvl w:val="0"/>
          <w:numId w:val="14"/>
        </w:numPr>
        <w:spacing w:line="360" w:lineRule="auto"/>
        <w:jc w:val="both"/>
        <w:rPr>
          <w:rFonts w:ascii="Arial" w:hAnsi="Arial" w:cs="Arial"/>
        </w:rPr>
      </w:pPr>
      <w:r w:rsidRPr="00DA70FF">
        <w:rPr>
          <w:rFonts w:ascii="Arial" w:hAnsi="Arial" w:cs="Arial"/>
        </w:rPr>
        <w:t>Add inclusive leadership behaviours to appraisal forms: active listening in peak periods, fair rota adjustments, timely recognition, and escalation when language confidence blocks participation (Vassou et al., 2024).</w:t>
      </w:r>
    </w:p>
    <w:p w14:paraId="4F9665D3" w14:textId="77777777" w:rsidR="00F55C59" w:rsidRPr="00DA70FF" w:rsidRDefault="00F55C59" w:rsidP="00F55C59">
      <w:pPr>
        <w:numPr>
          <w:ilvl w:val="0"/>
          <w:numId w:val="14"/>
        </w:numPr>
        <w:spacing w:line="360" w:lineRule="auto"/>
        <w:jc w:val="both"/>
        <w:rPr>
          <w:rFonts w:ascii="Arial" w:hAnsi="Arial" w:cs="Arial"/>
        </w:rPr>
      </w:pPr>
      <w:r w:rsidRPr="00DA70FF">
        <w:rPr>
          <w:rFonts w:ascii="Arial" w:hAnsi="Arial" w:cs="Arial"/>
        </w:rPr>
        <w:t>Pair Heartist values with short, shift-level checklists: one recognition, one fair swap, one coaching moment per leader per week.</w:t>
      </w:r>
    </w:p>
    <w:p w14:paraId="57CD3D0C" w14:textId="77777777" w:rsidR="00F55C59" w:rsidRPr="00DA70FF" w:rsidRDefault="00F55C59" w:rsidP="00F55C59">
      <w:pPr>
        <w:spacing w:line="360" w:lineRule="auto"/>
        <w:jc w:val="both"/>
        <w:rPr>
          <w:rFonts w:ascii="Arial" w:hAnsi="Arial" w:cs="Arial"/>
        </w:rPr>
      </w:pPr>
      <w:r w:rsidRPr="00DA70FF">
        <w:rPr>
          <w:rFonts w:ascii="Arial" w:hAnsi="Arial" w:cs="Arial"/>
          <w:b/>
          <w:bCs/>
        </w:rPr>
        <w:t>3) Rota and workload design guided by JD–R</w:t>
      </w:r>
    </w:p>
    <w:p w14:paraId="77ABD6B0" w14:textId="77777777" w:rsidR="00F55C59" w:rsidRPr="00DA70FF" w:rsidRDefault="00F55C59" w:rsidP="00F55C59">
      <w:pPr>
        <w:numPr>
          <w:ilvl w:val="0"/>
          <w:numId w:val="15"/>
        </w:numPr>
        <w:spacing w:line="360" w:lineRule="auto"/>
        <w:jc w:val="both"/>
        <w:rPr>
          <w:rFonts w:ascii="Arial" w:hAnsi="Arial" w:cs="Arial"/>
        </w:rPr>
      </w:pPr>
      <w:r w:rsidRPr="00DA70FF">
        <w:rPr>
          <w:rFonts w:ascii="Arial" w:hAnsi="Arial" w:cs="Arial"/>
        </w:rPr>
        <w:t>Introduce a simple load-balancing rule: any colleague scheduled for three functional areas in one day receives protected recovery time in the next 48 hours.</w:t>
      </w:r>
    </w:p>
    <w:p w14:paraId="16581C45" w14:textId="77777777" w:rsidR="00F55C59" w:rsidRPr="00DA70FF" w:rsidRDefault="00F55C59" w:rsidP="00F55C59">
      <w:pPr>
        <w:numPr>
          <w:ilvl w:val="0"/>
          <w:numId w:val="15"/>
        </w:numPr>
        <w:spacing w:line="360" w:lineRule="auto"/>
        <w:jc w:val="both"/>
        <w:rPr>
          <w:rFonts w:ascii="Arial" w:hAnsi="Arial" w:cs="Arial"/>
        </w:rPr>
      </w:pPr>
      <w:r w:rsidRPr="00DA70FF">
        <w:rPr>
          <w:rFonts w:ascii="Arial" w:hAnsi="Arial" w:cs="Arial"/>
        </w:rPr>
        <w:t>Cap clopening frequency and publish the cap openly.</w:t>
      </w:r>
    </w:p>
    <w:p w14:paraId="4D414022" w14:textId="77777777" w:rsidR="00F55C59" w:rsidRPr="00DA70FF" w:rsidRDefault="00F55C59" w:rsidP="00F55C59">
      <w:pPr>
        <w:numPr>
          <w:ilvl w:val="0"/>
          <w:numId w:val="15"/>
        </w:numPr>
        <w:spacing w:line="360" w:lineRule="auto"/>
        <w:jc w:val="both"/>
        <w:rPr>
          <w:rFonts w:ascii="Arial" w:hAnsi="Arial" w:cs="Arial"/>
        </w:rPr>
      </w:pPr>
      <w:r w:rsidRPr="00DA70FF">
        <w:rPr>
          <w:rFonts w:ascii="Arial" w:hAnsi="Arial" w:cs="Arial"/>
        </w:rPr>
        <w:t>Apply a JD–R pulse each Friday: “Where did demand exceed resource this week?” Chekmeyan and DeBenedectis (2022) show that JD–R guided planning improves wellbeing.</w:t>
      </w:r>
    </w:p>
    <w:p w14:paraId="5B46339D" w14:textId="77777777" w:rsidR="00F55C59" w:rsidRPr="00DA70FF" w:rsidRDefault="00F55C59" w:rsidP="00F55C59">
      <w:pPr>
        <w:spacing w:line="360" w:lineRule="auto"/>
        <w:jc w:val="both"/>
        <w:rPr>
          <w:rFonts w:ascii="Arial" w:hAnsi="Arial" w:cs="Arial"/>
        </w:rPr>
      </w:pPr>
      <w:r w:rsidRPr="00DA70FF">
        <w:rPr>
          <w:rFonts w:ascii="Arial" w:hAnsi="Arial" w:cs="Arial"/>
          <w:b/>
          <w:bCs/>
        </w:rPr>
        <w:t>4) Structured voice with visible action</w:t>
      </w:r>
    </w:p>
    <w:p w14:paraId="2F36F104" w14:textId="77777777" w:rsidR="00F55C59" w:rsidRPr="00DA70FF" w:rsidRDefault="00F55C59" w:rsidP="00F55C59">
      <w:pPr>
        <w:numPr>
          <w:ilvl w:val="0"/>
          <w:numId w:val="16"/>
        </w:numPr>
        <w:spacing w:line="360" w:lineRule="auto"/>
        <w:jc w:val="both"/>
        <w:rPr>
          <w:rFonts w:ascii="Arial" w:hAnsi="Arial" w:cs="Arial"/>
        </w:rPr>
      </w:pPr>
      <w:r w:rsidRPr="00DA70FF">
        <w:rPr>
          <w:rFonts w:ascii="Arial" w:hAnsi="Arial" w:cs="Arial"/>
        </w:rPr>
        <w:t>Run a quarterly anonymous pulse (three questions: fairness of rota, ability to speak up, recent recognition).</w:t>
      </w:r>
    </w:p>
    <w:p w14:paraId="69C8FE44" w14:textId="77777777" w:rsidR="00F55C59" w:rsidRPr="00DA70FF" w:rsidRDefault="00F55C59" w:rsidP="00F55C59">
      <w:pPr>
        <w:numPr>
          <w:ilvl w:val="0"/>
          <w:numId w:val="16"/>
        </w:numPr>
        <w:spacing w:line="360" w:lineRule="auto"/>
        <w:jc w:val="both"/>
        <w:rPr>
          <w:rFonts w:ascii="Arial" w:hAnsi="Arial" w:cs="Arial"/>
        </w:rPr>
      </w:pPr>
      <w:r w:rsidRPr="00DA70FF">
        <w:rPr>
          <w:rFonts w:ascii="Arial" w:hAnsi="Arial" w:cs="Arial"/>
        </w:rPr>
        <w:t>Publish a one-page response: what will change by date X.</w:t>
      </w:r>
    </w:p>
    <w:p w14:paraId="5ECF7268" w14:textId="77777777" w:rsidR="00F55C59" w:rsidRPr="00DA70FF" w:rsidRDefault="00F55C59" w:rsidP="00F55C59">
      <w:pPr>
        <w:numPr>
          <w:ilvl w:val="0"/>
          <w:numId w:val="16"/>
        </w:numPr>
        <w:spacing w:line="360" w:lineRule="auto"/>
        <w:jc w:val="both"/>
        <w:rPr>
          <w:rFonts w:ascii="Arial" w:hAnsi="Arial" w:cs="Arial"/>
        </w:rPr>
      </w:pPr>
      <w:r w:rsidRPr="00DA70FF">
        <w:rPr>
          <w:rFonts w:ascii="Arial" w:hAnsi="Arial" w:cs="Arial"/>
        </w:rPr>
        <w:t>Nominate and rotate DEI “shift champions” who collect quick concerns and close the loop at the next briefing (King et al., 2023).</w:t>
      </w:r>
    </w:p>
    <w:p w14:paraId="5764FBB6" w14:textId="77777777" w:rsidR="00F55C59" w:rsidRPr="00DA70FF" w:rsidRDefault="00F55C59" w:rsidP="00F55C59">
      <w:pPr>
        <w:spacing w:line="360" w:lineRule="auto"/>
        <w:jc w:val="both"/>
        <w:rPr>
          <w:rFonts w:ascii="Arial" w:hAnsi="Arial" w:cs="Arial"/>
          <w:b/>
          <w:bCs/>
        </w:rPr>
      </w:pPr>
      <w:r w:rsidRPr="00DA70FF">
        <w:rPr>
          <w:rFonts w:ascii="Arial" w:hAnsi="Arial" w:cs="Arial"/>
          <w:b/>
          <w:bCs/>
        </w:rPr>
        <w:t>For Village Hotel Club (UK)</w:t>
      </w:r>
    </w:p>
    <w:p w14:paraId="58195F97" w14:textId="77777777" w:rsidR="00F55C59" w:rsidRPr="00DA70FF" w:rsidRDefault="00F55C59" w:rsidP="00F55C59">
      <w:pPr>
        <w:spacing w:line="360" w:lineRule="auto"/>
        <w:jc w:val="both"/>
        <w:rPr>
          <w:rFonts w:ascii="Arial" w:hAnsi="Arial" w:cs="Arial"/>
        </w:rPr>
      </w:pPr>
      <w:r w:rsidRPr="00DA70FF">
        <w:rPr>
          <w:rFonts w:ascii="Arial" w:hAnsi="Arial" w:cs="Arial"/>
          <w:b/>
          <w:bCs/>
        </w:rPr>
        <w:t>1) Build a strategic DEI direction on top of compliance</w:t>
      </w:r>
    </w:p>
    <w:p w14:paraId="607501F7" w14:textId="77777777" w:rsidR="00F55C59" w:rsidRPr="00DA70FF" w:rsidRDefault="00F55C59" w:rsidP="00F55C59">
      <w:pPr>
        <w:numPr>
          <w:ilvl w:val="0"/>
          <w:numId w:val="17"/>
        </w:numPr>
        <w:spacing w:line="360" w:lineRule="auto"/>
        <w:jc w:val="both"/>
        <w:rPr>
          <w:rFonts w:ascii="Arial" w:hAnsi="Arial" w:cs="Arial"/>
        </w:rPr>
      </w:pPr>
      <w:r w:rsidRPr="00DA70FF">
        <w:rPr>
          <w:rFonts w:ascii="Arial" w:hAnsi="Arial" w:cs="Arial"/>
        </w:rPr>
        <w:lastRenderedPageBreak/>
        <w:t>Draft a short DEI intent that links inclusion to service quality and brand reputation, then cascade into property plans (Gursoy and Maier, 2023).</w:t>
      </w:r>
    </w:p>
    <w:p w14:paraId="03D93FF8" w14:textId="77777777" w:rsidR="00F55C59" w:rsidRPr="00DA70FF" w:rsidRDefault="00F55C59" w:rsidP="00F55C59">
      <w:pPr>
        <w:numPr>
          <w:ilvl w:val="0"/>
          <w:numId w:val="17"/>
        </w:numPr>
        <w:spacing w:line="360" w:lineRule="auto"/>
        <w:jc w:val="both"/>
        <w:rPr>
          <w:rFonts w:ascii="Arial" w:hAnsi="Arial" w:cs="Arial"/>
        </w:rPr>
      </w:pPr>
      <w:r w:rsidRPr="00DA70FF">
        <w:rPr>
          <w:rFonts w:ascii="Arial" w:hAnsi="Arial" w:cs="Arial"/>
        </w:rPr>
        <w:t>Keep compliance as baseline while setting two property-level culture goals per quarter.</w:t>
      </w:r>
    </w:p>
    <w:p w14:paraId="4077BB66" w14:textId="77777777" w:rsidR="00F55C59" w:rsidRPr="00DA70FF" w:rsidRDefault="00F55C59" w:rsidP="00F55C59">
      <w:pPr>
        <w:spacing w:line="360" w:lineRule="auto"/>
        <w:jc w:val="both"/>
        <w:rPr>
          <w:rFonts w:ascii="Arial" w:hAnsi="Arial" w:cs="Arial"/>
        </w:rPr>
      </w:pPr>
      <w:r w:rsidRPr="00DA70FF">
        <w:rPr>
          <w:rFonts w:ascii="Arial" w:hAnsi="Arial" w:cs="Arial"/>
          <w:b/>
          <w:bCs/>
        </w:rPr>
        <w:t>2) Transparent DEI evaluation</w:t>
      </w:r>
    </w:p>
    <w:p w14:paraId="4C5D1BA2" w14:textId="77777777" w:rsidR="00F55C59" w:rsidRPr="00DA70FF" w:rsidRDefault="00F55C59" w:rsidP="00F55C59">
      <w:pPr>
        <w:numPr>
          <w:ilvl w:val="0"/>
          <w:numId w:val="18"/>
        </w:numPr>
        <w:spacing w:line="360" w:lineRule="auto"/>
        <w:jc w:val="both"/>
        <w:rPr>
          <w:rFonts w:ascii="Arial" w:hAnsi="Arial" w:cs="Arial"/>
        </w:rPr>
      </w:pPr>
      <w:r w:rsidRPr="00DA70FF">
        <w:rPr>
          <w:rFonts w:ascii="Arial" w:hAnsi="Arial" w:cs="Arial"/>
        </w:rPr>
        <w:t>Issue a concise “report card” each quarter for each site: representation snapshots, rota fairness indicators, engagement trend, two corrective actions (Fahl et al., 2023).</w:t>
      </w:r>
    </w:p>
    <w:p w14:paraId="2AF9FF0D" w14:textId="77777777" w:rsidR="00F55C59" w:rsidRPr="00DA70FF" w:rsidRDefault="00F55C59" w:rsidP="00F55C59">
      <w:pPr>
        <w:numPr>
          <w:ilvl w:val="0"/>
          <w:numId w:val="18"/>
        </w:numPr>
        <w:spacing w:line="360" w:lineRule="auto"/>
        <w:jc w:val="both"/>
        <w:rPr>
          <w:rFonts w:ascii="Arial" w:hAnsi="Arial" w:cs="Arial"/>
        </w:rPr>
      </w:pPr>
      <w:r w:rsidRPr="00DA70FF">
        <w:rPr>
          <w:rFonts w:ascii="Arial" w:hAnsi="Arial" w:cs="Arial"/>
        </w:rPr>
        <w:t>Add 360-degree feedback on inclusive behaviours for duty managers.</w:t>
      </w:r>
    </w:p>
    <w:p w14:paraId="53BA7076" w14:textId="77777777" w:rsidR="00F55C59" w:rsidRPr="00DA70FF" w:rsidRDefault="00F55C59" w:rsidP="00F55C59">
      <w:pPr>
        <w:spacing w:line="360" w:lineRule="auto"/>
        <w:jc w:val="both"/>
        <w:rPr>
          <w:rFonts w:ascii="Arial" w:hAnsi="Arial" w:cs="Arial"/>
        </w:rPr>
      </w:pPr>
      <w:r w:rsidRPr="00DA70FF">
        <w:rPr>
          <w:rFonts w:ascii="Arial" w:hAnsi="Arial" w:cs="Arial"/>
          <w:b/>
          <w:bCs/>
        </w:rPr>
        <w:t>3) Psychological safety routines</w:t>
      </w:r>
    </w:p>
    <w:p w14:paraId="3279376F" w14:textId="77777777" w:rsidR="00F55C59" w:rsidRPr="00DA70FF" w:rsidRDefault="00F55C59" w:rsidP="00F55C59">
      <w:pPr>
        <w:numPr>
          <w:ilvl w:val="0"/>
          <w:numId w:val="19"/>
        </w:numPr>
        <w:spacing w:line="360" w:lineRule="auto"/>
        <w:jc w:val="both"/>
        <w:rPr>
          <w:rFonts w:ascii="Arial" w:hAnsi="Arial" w:cs="Arial"/>
        </w:rPr>
      </w:pPr>
      <w:r w:rsidRPr="00DA70FF">
        <w:rPr>
          <w:rFonts w:ascii="Arial" w:hAnsi="Arial" w:cs="Arial"/>
        </w:rPr>
        <w:t>Run weekly ten-minute check-ins by team, with one prompt: “What made work harder than it needed to be?” Log and resolve at least one item per week (Adjo et al., 2021).</w:t>
      </w:r>
    </w:p>
    <w:p w14:paraId="6F506B9F" w14:textId="77777777" w:rsidR="00F55C59" w:rsidRPr="00DA70FF" w:rsidRDefault="00F55C59" w:rsidP="00F55C59">
      <w:pPr>
        <w:numPr>
          <w:ilvl w:val="0"/>
          <w:numId w:val="19"/>
        </w:numPr>
        <w:spacing w:line="360" w:lineRule="auto"/>
        <w:jc w:val="both"/>
        <w:rPr>
          <w:rFonts w:ascii="Arial" w:hAnsi="Arial" w:cs="Arial"/>
        </w:rPr>
      </w:pPr>
      <w:r w:rsidRPr="00DA70FF">
        <w:rPr>
          <w:rFonts w:ascii="Arial" w:hAnsi="Arial" w:cs="Arial"/>
        </w:rPr>
        <w:t>Offer language confidence micro-support: scripts for phone handling, buddy calls, and short practice slots.</w:t>
      </w:r>
    </w:p>
    <w:p w14:paraId="7B3DABD8" w14:textId="77777777" w:rsidR="00F55C59" w:rsidRPr="00DA70FF" w:rsidRDefault="00F55C59" w:rsidP="00F55C59">
      <w:pPr>
        <w:spacing w:line="360" w:lineRule="auto"/>
        <w:jc w:val="both"/>
        <w:rPr>
          <w:rFonts w:ascii="Arial" w:hAnsi="Arial" w:cs="Arial"/>
        </w:rPr>
      </w:pPr>
      <w:r w:rsidRPr="00DA70FF">
        <w:rPr>
          <w:rFonts w:ascii="Arial" w:hAnsi="Arial" w:cs="Arial"/>
          <w:b/>
          <w:bCs/>
        </w:rPr>
        <w:t>4) Mentorship and rotational exposure</w:t>
      </w:r>
    </w:p>
    <w:p w14:paraId="07F66BB1" w14:textId="77777777" w:rsidR="00F55C59" w:rsidRPr="00DA70FF" w:rsidRDefault="00F55C59" w:rsidP="00F55C59">
      <w:pPr>
        <w:numPr>
          <w:ilvl w:val="0"/>
          <w:numId w:val="20"/>
        </w:numPr>
        <w:spacing w:line="360" w:lineRule="auto"/>
        <w:jc w:val="both"/>
        <w:rPr>
          <w:rFonts w:ascii="Arial" w:hAnsi="Arial" w:cs="Arial"/>
        </w:rPr>
      </w:pPr>
      <w:r w:rsidRPr="00DA70FF">
        <w:rPr>
          <w:rFonts w:ascii="Arial" w:hAnsi="Arial" w:cs="Arial"/>
        </w:rPr>
        <w:t>Pair supervisors from different departments for shadow shifts to widen perspective and reduce quiet bias in scheduling (Leung et al., 2022).</w:t>
      </w:r>
    </w:p>
    <w:p w14:paraId="138E2046" w14:textId="77777777" w:rsidR="00F55C59" w:rsidRPr="00DA70FF" w:rsidRDefault="00F55C59" w:rsidP="00F55C59">
      <w:pPr>
        <w:numPr>
          <w:ilvl w:val="0"/>
          <w:numId w:val="20"/>
        </w:numPr>
        <w:spacing w:line="360" w:lineRule="auto"/>
        <w:jc w:val="both"/>
        <w:rPr>
          <w:rFonts w:ascii="Arial" w:hAnsi="Arial" w:cs="Arial"/>
        </w:rPr>
      </w:pPr>
      <w:r w:rsidRPr="00DA70FF">
        <w:rPr>
          <w:rFonts w:ascii="Arial" w:hAnsi="Arial" w:cs="Arial"/>
        </w:rPr>
        <w:t>Open two rotational slots per month for aspiring leaders to take charge of a low-risk service window.</w:t>
      </w:r>
    </w:p>
    <w:p w14:paraId="4E78CF08" w14:textId="77777777" w:rsidR="00F55C59" w:rsidRPr="00DA70FF" w:rsidRDefault="00F55C59" w:rsidP="00F55C59">
      <w:pPr>
        <w:spacing w:line="360" w:lineRule="auto"/>
        <w:jc w:val="both"/>
        <w:rPr>
          <w:rFonts w:ascii="Arial" w:hAnsi="Arial" w:cs="Arial"/>
          <w:b/>
          <w:bCs/>
        </w:rPr>
      </w:pPr>
      <w:r w:rsidRPr="00DA70FF">
        <w:rPr>
          <w:rFonts w:ascii="Arial" w:hAnsi="Arial" w:cs="Arial"/>
          <w:b/>
          <w:bCs/>
        </w:rPr>
        <w:t>For both brands</w:t>
      </w:r>
    </w:p>
    <w:p w14:paraId="0BAB4931" w14:textId="77777777" w:rsidR="00F55C59" w:rsidRPr="00DA70FF" w:rsidRDefault="00F55C59" w:rsidP="00F55C59">
      <w:pPr>
        <w:spacing w:line="360" w:lineRule="auto"/>
        <w:jc w:val="both"/>
        <w:rPr>
          <w:rFonts w:ascii="Arial" w:hAnsi="Arial" w:cs="Arial"/>
        </w:rPr>
      </w:pPr>
      <w:r w:rsidRPr="00DA70FF">
        <w:rPr>
          <w:rFonts w:ascii="Arial" w:hAnsi="Arial" w:cs="Arial"/>
          <w:b/>
          <w:bCs/>
        </w:rPr>
        <w:t>1) KPI-driven DEI measurement</w:t>
      </w:r>
    </w:p>
    <w:p w14:paraId="452383C3" w14:textId="77777777" w:rsidR="00F55C59" w:rsidRPr="00DA70FF" w:rsidRDefault="00F55C59" w:rsidP="00F55C59">
      <w:pPr>
        <w:numPr>
          <w:ilvl w:val="0"/>
          <w:numId w:val="21"/>
        </w:numPr>
        <w:spacing w:line="360" w:lineRule="auto"/>
        <w:jc w:val="both"/>
        <w:rPr>
          <w:rFonts w:ascii="Arial" w:hAnsi="Arial" w:cs="Arial"/>
        </w:rPr>
      </w:pPr>
      <w:r w:rsidRPr="00DA70FF">
        <w:rPr>
          <w:rFonts w:ascii="Arial" w:hAnsi="Arial" w:cs="Arial"/>
        </w:rPr>
        <w:t>Track three indicators that staff can feel: rota equity (swaps and caps), recognition frequency, and actioned voice items (Tucker, 2023).</w:t>
      </w:r>
    </w:p>
    <w:p w14:paraId="7E82BB0F" w14:textId="77777777" w:rsidR="00F55C59" w:rsidRPr="00DA70FF" w:rsidRDefault="00F55C59" w:rsidP="00F55C59">
      <w:pPr>
        <w:numPr>
          <w:ilvl w:val="0"/>
          <w:numId w:val="21"/>
        </w:numPr>
        <w:spacing w:line="360" w:lineRule="auto"/>
        <w:jc w:val="both"/>
        <w:rPr>
          <w:rFonts w:ascii="Arial" w:hAnsi="Arial" w:cs="Arial"/>
        </w:rPr>
      </w:pPr>
      <w:r w:rsidRPr="00DA70FF">
        <w:rPr>
          <w:rFonts w:ascii="Arial" w:hAnsi="Arial" w:cs="Arial"/>
        </w:rPr>
        <w:t>Report these alongside financial and guest metrics.</w:t>
      </w:r>
    </w:p>
    <w:p w14:paraId="784F2BE0" w14:textId="77777777" w:rsidR="00F55C59" w:rsidRPr="00DA70FF" w:rsidRDefault="00F55C59" w:rsidP="00F55C59">
      <w:pPr>
        <w:spacing w:line="360" w:lineRule="auto"/>
        <w:jc w:val="both"/>
        <w:rPr>
          <w:rFonts w:ascii="Arial" w:hAnsi="Arial" w:cs="Arial"/>
        </w:rPr>
      </w:pPr>
      <w:r w:rsidRPr="00DA70FF">
        <w:rPr>
          <w:rFonts w:ascii="Arial" w:hAnsi="Arial" w:cs="Arial"/>
          <w:b/>
          <w:bCs/>
        </w:rPr>
        <w:t>2) Embed DEI in everyday governance</w:t>
      </w:r>
    </w:p>
    <w:p w14:paraId="10533347" w14:textId="77777777" w:rsidR="00F55C59" w:rsidRPr="00DA70FF" w:rsidRDefault="00F55C59" w:rsidP="00F55C59">
      <w:pPr>
        <w:numPr>
          <w:ilvl w:val="0"/>
          <w:numId w:val="22"/>
        </w:numPr>
        <w:spacing w:line="360" w:lineRule="auto"/>
        <w:jc w:val="both"/>
        <w:rPr>
          <w:rFonts w:ascii="Arial" w:hAnsi="Arial" w:cs="Arial"/>
        </w:rPr>
      </w:pPr>
      <w:r w:rsidRPr="00DA70FF">
        <w:rPr>
          <w:rFonts w:ascii="Arial" w:hAnsi="Arial" w:cs="Arial"/>
        </w:rPr>
        <w:lastRenderedPageBreak/>
        <w:t>Stand up a small property DEI forum that meets monthly with a fixed agenda: workload signals, language barriers, recognition stories, and one cross-department fix (Ponting and Dillette, 2023).</w:t>
      </w:r>
    </w:p>
    <w:p w14:paraId="62E2EADB" w14:textId="77777777" w:rsidR="00F55C59" w:rsidRPr="00DA70FF" w:rsidRDefault="00F55C59" w:rsidP="00F55C59">
      <w:pPr>
        <w:numPr>
          <w:ilvl w:val="0"/>
          <w:numId w:val="22"/>
        </w:numPr>
        <w:spacing w:line="360" w:lineRule="auto"/>
        <w:jc w:val="both"/>
        <w:rPr>
          <w:rFonts w:ascii="Arial" w:hAnsi="Arial" w:cs="Arial"/>
        </w:rPr>
      </w:pPr>
      <w:r w:rsidRPr="00DA70FF">
        <w:rPr>
          <w:rFonts w:ascii="Arial" w:hAnsi="Arial" w:cs="Arial"/>
        </w:rPr>
        <w:t>Tie one element of manager bonus to progress on the forum’s actions (Gutterman, 2023).</w:t>
      </w:r>
    </w:p>
    <w:p w14:paraId="3658B903" w14:textId="77777777" w:rsidR="00F55C59" w:rsidRPr="00DA70FF" w:rsidRDefault="00F55C59" w:rsidP="00F55C59">
      <w:pPr>
        <w:spacing w:line="360" w:lineRule="auto"/>
        <w:jc w:val="both"/>
        <w:rPr>
          <w:rFonts w:ascii="Arial" w:hAnsi="Arial" w:cs="Arial"/>
        </w:rPr>
      </w:pPr>
      <w:r w:rsidRPr="00DA70FF">
        <w:rPr>
          <w:rFonts w:ascii="Arial" w:hAnsi="Arial" w:cs="Arial"/>
          <w:b/>
          <w:bCs/>
        </w:rPr>
        <w:t>3) Annual reporting and benchmarking</w:t>
      </w:r>
    </w:p>
    <w:p w14:paraId="04BE7FAF" w14:textId="77777777" w:rsidR="00F55C59" w:rsidRPr="00DA70FF" w:rsidRDefault="00F55C59" w:rsidP="00F55C59">
      <w:pPr>
        <w:numPr>
          <w:ilvl w:val="0"/>
          <w:numId w:val="23"/>
        </w:numPr>
        <w:spacing w:line="360" w:lineRule="auto"/>
        <w:jc w:val="both"/>
        <w:rPr>
          <w:rFonts w:ascii="Arial" w:hAnsi="Arial" w:cs="Arial"/>
        </w:rPr>
      </w:pPr>
      <w:r w:rsidRPr="00DA70FF">
        <w:rPr>
          <w:rFonts w:ascii="Arial" w:hAnsi="Arial" w:cs="Arial"/>
        </w:rPr>
        <w:t>Produce a short internal DEI progress memo each year and share highlights across properties to speed diffusion of workable ideas.</w:t>
      </w:r>
    </w:p>
    <w:p w14:paraId="1B351D04" w14:textId="77777777" w:rsidR="00F55C59" w:rsidRPr="00DA70FF" w:rsidRDefault="00F55C59" w:rsidP="00F55C59">
      <w:pPr>
        <w:spacing w:line="360" w:lineRule="auto"/>
        <w:jc w:val="both"/>
        <w:rPr>
          <w:rFonts w:ascii="Arial" w:hAnsi="Arial" w:cs="Arial"/>
        </w:rPr>
      </w:pPr>
      <w:r w:rsidRPr="00DA70FF">
        <w:rPr>
          <w:rFonts w:ascii="Arial" w:hAnsi="Arial" w:cs="Arial"/>
          <w:b/>
          <w:bCs/>
        </w:rPr>
        <w:t>4) Continuous learning loop</w:t>
      </w:r>
    </w:p>
    <w:p w14:paraId="5FA6DE05" w14:textId="77777777" w:rsidR="00F55C59" w:rsidRPr="00DA70FF" w:rsidRDefault="00F55C59" w:rsidP="00F55C59">
      <w:pPr>
        <w:numPr>
          <w:ilvl w:val="0"/>
          <w:numId w:val="24"/>
        </w:numPr>
        <w:spacing w:line="360" w:lineRule="auto"/>
        <w:jc w:val="both"/>
        <w:rPr>
          <w:rFonts w:ascii="Arial" w:hAnsi="Arial" w:cs="Arial"/>
        </w:rPr>
      </w:pPr>
      <w:r w:rsidRPr="00DA70FF">
        <w:rPr>
          <w:rFonts w:ascii="Arial" w:hAnsi="Arial" w:cs="Arial"/>
        </w:rPr>
        <w:t>Add DEI to onboarding with practical scenarios from the property.</w:t>
      </w:r>
    </w:p>
    <w:p w14:paraId="1FA04F2B" w14:textId="77777777" w:rsidR="00F55C59" w:rsidRPr="00DA70FF" w:rsidRDefault="00F55C59" w:rsidP="00F55C59">
      <w:pPr>
        <w:numPr>
          <w:ilvl w:val="0"/>
          <w:numId w:val="24"/>
        </w:numPr>
        <w:spacing w:line="360" w:lineRule="auto"/>
        <w:jc w:val="both"/>
        <w:rPr>
          <w:rFonts w:ascii="Arial" w:hAnsi="Arial" w:cs="Arial"/>
        </w:rPr>
      </w:pPr>
      <w:r w:rsidRPr="00DA70FF">
        <w:rPr>
          <w:rFonts w:ascii="Arial" w:hAnsi="Arial" w:cs="Arial"/>
        </w:rPr>
        <w:t>Refresh annually with a 30-minute micro-module and a team discussion. Russen and Dawson (2023) note that reinforcement sustains behaviour change.</w:t>
      </w:r>
    </w:p>
    <w:p w14:paraId="6409E6EE" w14:textId="77777777" w:rsidR="00F55C59" w:rsidRPr="00DA70FF" w:rsidRDefault="00F55C59" w:rsidP="00F55C59">
      <w:pPr>
        <w:spacing w:line="360" w:lineRule="auto"/>
        <w:jc w:val="both"/>
        <w:rPr>
          <w:rFonts w:ascii="Arial" w:hAnsi="Arial" w:cs="Arial"/>
          <w:b/>
          <w:bCs/>
        </w:rPr>
      </w:pPr>
      <w:r w:rsidRPr="00DA70FF">
        <w:rPr>
          <w:rFonts w:ascii="Arial" w:hAnsi="Arial" w:cs="Arial"/>
          <w:b/>
          <w:bCs/>
        </w:rPr>
        <w:t>Final statement</w:t>
      </w:r>
    </w:p>
    <w:p w14:paraId="6AED2F25" w14:textId="77777777" w:rsidR="00F55C59" w:rsidRPr="00F7031D" w:rsidRDefault="00F55C59" w:rsidP="00F55C59">
      <w:pPr>
        <w:spacing w:line="360" w:lineRule="auto"/>
        <w:jc w:val="both"/>
        <w:rPr>
          <w:rFonts w:ascii="Arial" w:hAnsi="Arial" w:cs="Arial"/>
          <w:b/>
          <w:bCs/>
          <w:i/>
          <w:iCs/>
        </w:rPr>
      </w:pPr>
      <w:r w:rsidRPr="00F7031D">
        <w:rPr>
          <w:rFonts w:ascii="Arial" w:hAnsi="Arial" w:cs="Arial"/>
          <w:b/>
          <w:bCs/>
          <w:i/>
          <w:iCs/>
        </w:rPr>
        <w:t>Inclusion becomes visible in the small operational choices that staff notice.</w:t>
      </w:r>
    </w:p>
    <w:p w14:paraId="283693DB" w14:textId="77777777" w:rsidR="00F55C59" w:rsidRPr="00F7031D" w:rsidRDefault="00F55C59" w:rsidP="00F55C59">
      <w:pPr>
        <w:numPr>
          <w:ilvl w:val="0"/>
          <w:numId w:val="25"/>
        </w:numPr>
        <w:spacing w:line="360" w:lineRule="auto"/>
        <w:jc w:val="both"/>
        <w:rPr>
          <w:rFonts w:ascii="Arial" w:hAnsi="Arial" w:cs="Arial"/>
          <w:b/>
          <w:bCs/>
          <w:i/>
          <w:iCs/>
        </w:rPr>
      </w:pPr>
      <w:r w:rsidRPr="00F7031D">
        <w:rPr>
          <w:rFonts w:ascii="Arial" w:hAnsi="Arial" w:cs="Arial"/>
          <w:b/>
          <w:bCs/>
          <w:i/>
          <w:iCs/>
        </w:rPr>
        <w:t>A rota adjusted when fatigue is obvious.</w:t>
      </w:r>
    </w:p>
    <w:p w14:paraId="50D3044F" w14:textId="77777777" w:rsidR="00F55C59" w:rsidRPr="00F7031D" w:rsidRDefault="00F55C59" w:rsidP="00F55C59">
      <w:pPr>
        <w:numPr>
          <w:ilvl w:val="0"/>
          <w:numId w:val="25"/>
        </w:numPr>
        <w:spacing w:line="360" w:lineRule="auto"/>
        <w:jc w:val="both"/>
        <w:rPr>
          <w:rFonts w:ascii="Arial" w:hAnsi="Arial" w:cs="Arial"/>
          <w:b/>
          <w:bCs/>
          <w:i/>
          <w:iCs/>
        </w:rPr>
      </w:pPr>
      <w:r w:rsidRPr="00F7031D">
        <w:rPr>
          <w:rFonts w:ascii="Arial" w:hAnsi="Arial" w:cs="Arial"/>
          <w:b/>
          <w:bCs/>
          <w:i/>
          <w:iCs/>
        </w:rPr>
        <w:t>A manager who listens and follows through.</w:t>
      </w:r>
    </w:p>
    <w:p w14:paraId="4A593D0A" w14:textId="77777777" w:rsidR="00F55C59" w:rsidRPr="00F7031D" w:rsidRDefault="00F55C59" w:rsidP="00F55C59">
      <w:pPr>
        <w:numPr>
          <w:ilvl w:val="0"/>
          <w:numId w:val="25"/>
        </w:numPr>
        <w:spacing w:line="360" w:lineRule="auto"/>
        <w:jc w:val="both"/>
        <w:rPr>
          <w:rFonts w:ascii="Arial" w:hAnsi="Arial" w:cs="Arial"/>
          <w:b/>
          <w:bCs/>
          <w:i/>
          <w:iCs/>
        </w:rPr>
      </w:pPr>
      <w:r w:rsidRPr="00F7031D">
        <w:rPr>
          <w:rFonts w:ascii="Arial" w:hAnsi="Arial" w:cs="Arial"/>
          <w:b/>
          <w:bCs/>
          <w:i/>
          <w:iCs/>
        </w:rPr>
        <w:t>A colleague who asks whether help is needed and then stays for five minutes.</w:t>
      </w:r>
    </w:p>
    <w:p w14:paraId="5C878984" w14:textId="77777777" w:rsidR="00F55C59" w:rsidRPr="00F7031D" w:rsidRDefault="00F55C59" w:rsidP="00F55C59">
      <w:pPr>
        <w:spacing w:line="360" w:lineRule="auto"/>
        <w:jc w:val="both"/>
        <w:rPr>
          <w:rFonts w:ascii="Arial" w:hAnsi="Arial" w:cs="Arial"/>
          <w:b/>
          <w:bCs/>
          <w:i/>
          <w:iCs/>
        </w:rPr>
      </w:pPr>
      <w:r w:rsidRPr="00F7031D">
        <w:rPr>
          <w:rFonts w:ascii="Arial" w:hAnsi="Arial" w:cs="Arial"/>
          <w:b/>
          <w:bCs/>
          <w:i/>
          <w:iCs/>
        </w:rPr>
        <w:t>These are not slogans. They are signals of respect.</w:t>
      </w:r>
    </w:p>
    <w:p w14:paraId="56B36179" w14:textId="77777777" w:rsidR="00F55C59" w:rsidRDefault="00F55C59" w:rsidP="00F55C59">
      <w:pPr>
        <w:spacing w:line="360" w:lineRule="auto"/>
        <w:jc w:val="both"/>
        <w:rPr>
          <w:rFonts w:ascii="Arial" w:hAnsi="Arial" w:cs="Arial"/>
        </w:rPr>
      </w:pPr>
    </w:p>
    <w:p w14:paraId="3AAF349A" w14:textId="77777777" w:rsidR="00F55C59" w:rsidRDefault="00F55C59" w:rsidP="00F55C59">
      <w:pPr>
        <w:spacing w:line="360" w:lineRule="auto"/>
        <w:jc w:val="both"/>
        <w:rPr>
          <w:rFonts w:ascii="Arial" w:hAnsi="Arial" w:cs="Arial"/>
        </w:rPr>
      </w:pPr>
    </w:p>
    <w:p w14:paraId="759690B0" w14:textId="77777777" w:rsidR="00B43312" w:rsidRDefault="00B43312" w:rsidP="00B43312">
      <w:pPr>
        <w:ind w:left="360"/>
        <w:rPr>
          <w:b/>
          <w:bCs/>
        </w:rPr>
      </w:pPr>
    </w:p>
    <w:p w14:paraId="72016ACF" w14:textId="77777777" w:rsidR="00B43312" w:rsidRDefault="00B43312" w:rsidP="00B43312">
      <w:pPr>
        <w:ind w:left="360"/>
        <w:jc w:val="both"/>
        <w:rPr>
          <w:b/>
          <w:bCs/>
        </w:rPr>
      </w:pPr>
    </w:p>
    <w:p w14:paraId="24CF27D8" w14:textId="77777777" w:rsidR="00B43312" w:rsidRDefault="00B43312" w:rsidP="00B43312">
      <w:pPr>
        <w:ind w:left="360"/>
        <w:jc w:val="both"/>
        <w:rPr>
          <w:b/>
          <w:bCs/>
        </w:rPr>
      </w:pPr>
    </w:p>
    <w:p w14:paraId="1B6FB71D" w14:textId="77777777" w:rsidR="00B43312" w:rsidRDefault="00B43312" w:rsidP="00B43312">
      <w:pPr>
        <w:ind w:left="360"/>
        <w:jc w:val="both"/>
        <w:rPr>
          <w:b/>
          <w:bCs/>
        </w:rPr>
      </w:pPr>
    </w:p>
    <w:p w14:paraId="6902729F" w14:textId="77777777" w:rsidR="008A3D37" w:rsidRDefault="008A3D37" w:rsidP="00BB5C64">
      <w:pPr>
        <w:jc w:val="both"/>
        <w:rPr>
          <w:b/>
          <w:bCs/>
        </w:rPr>
      </w:pPr>
    </w:p>
    <w:p w14:paraId="6E81C305" w14:textId="45F527BE" w:rsidR="00F55C59" w:rsidRPr="005A2A06" w:rsidRDefault="00F55C59" w:rsidP="00BB5C64">
      <w:pPr>
        <w:jc w:val="both"/>
        <w:rPr>
          <w:b/>
          <w:bCs/>
          <w:sz w:val="28"/>
          <w:szCs w:val="28"/>
        </w:rPr>
      </w:pPr>
      <w:r w:rsidRPr="005A2A06">
        <w:rPr>
          <w:b/>
          <w:bCs/>
          <w:sz w:val="28"/>
          <w:szCs w:val="28"/>
        </w:rPr>
        <w:lastRenderedPageBreak/>
        <w:t>References</w:t>
      </w:r>
      <w:r w:rsidR="007D0668">
        <w:rPr>
          <w:b/>
          <w:bCs/>
          <w:sz w:val="28"/>
          <w:szCs w:val="28"/>
        </w:rPr>
        <w:t>:</w:t>
      </w:r>
    </w:p>
    <w:p w14:paraId="0323972C" w14:textId="77777777" w:rsidR="00F55C59" w:rsidRPr="002A0B7C" w:rsidRDefault="00F55C59" w:rsidP="00B43312">
      <w:pPr>
        <w:numPr>
          <w:ilvl w:val="0"/>
          <w:numId w:val="27"/>
        </w:numPr>
        <w:jc w:val="both"/>
        <w:rPr>
          <w:i/>
          <w:iCs/>
        </w:rPr>
      </w:pPr>
      <w:r w:rsidRPr="002A0B7C">
        <w:rPr>
          <w:i/>
          <w:iCs/>
        </w:rPr>
        <w:t xml:space="preserve">Accor Group, 2025. Our Culture of Inclusion. </w:t>
      </w:r>
      <w:hyperlink r:id="rId9" w:history="1">
        <w:r w:rsidRPr="002A0B7C">
          <w:rPr>
            <w:rStyle w:val="Hyperlink"/>
            <w:i/>
            <w:iCs/>
          </w:rPr>
          <w:t>https://group.accor.com/en/group/people-at-our-heart/our-culture-of-inclusion</w:t>
        </w:r>
      </w:hyperlink>
      <w:r w:rsidRPr="002A0B7C">
        <w:rPr>
          <w:i/>
          <w:iCs/>
        </w:rPr>
        <w:t xml:space="preserve"> </w:t>
      </w:r>
    </w:p>
    <w:p w14:paraId="076B2C4F" w14:textId="77777777" w:rsidR="00F55C59" w:rsidRPr="002A0B7C" w:rsidRDefault="00F55C59" w:rsidP="00B43312">
      <w:pPr>
        <w:numPr>
          <w:ilvl w:val="0"/>
          <w:numId w:val="27"/>
        </w:numPr>
        <w:jc w:val="both"/>
        <w:rPr>
          <w:i/>
          <w:iCs/>
        </w:rPr>
      </w:pPr>
      <w:r w:rsidRPr="002A0B7C">
        <w:rPr>
          <w:i/>
          <w:iCs/>
        </w:rPr>
        <w:t xml:space="preserve">Adegbite, A.O., 2024. Diversity, Equiti, And Inclusion In Workforce Training: From Concept To Implementation. IOSR, Journal of Humanities And Social Science. Volume 29, Issue 12, Series 9, p30-37. </w:t>
      </w:r>
      <w:hyperlink r:id="rId10" w:history="1">
        <w:r w:rsidRPr="002A0B7C">
          <w:rPr>
            <w:rStyle w:val="Hyperlink"/>
            <w:i/>
            <w:iCs/>
          </w:rPr>
          <w:t>https://www.iosrjournals.org/iosr-jhss/papers/Vol.29-Issue12/Ser-9/D2912093037.pdf</w:t>
        </w:r>
      </w:hyperlink>
      <w:r w:rsidRPr="002A0B7C">
        <w:rPr>
          <w:i/>
          <w:iCs/>
        </w:rPr>
        <w:t xml:space="preserve"> </w:t>
      </w:r>
    </w:p>
    <w:p w14:paraId="358F8474" w14:textId="77777777" w:rsidR="00F55C59" w:rsidRPr="002A0B7C" w:rsidRDefault="00F55C59" w:rsidP="00B43312">
      <w:pPr>
        <w:numPr>
          <w:ilvl w:val="0"/>
          <w:numId w:val="27"/>
        </w:numPr>
        <w:jc w:val="both"/>
        <w:rPr>
          <w:i/>
          <w:iCs/>
        </w:rPr>
      </w:pPr>
      <w:r w:rsidRPr="002A0B7C">
        <w:rPr>
          <w:i/>
          <w:iCs/>
        </w:rPr>
        <w:t xml:space="preserve">Adejumo, V., 2021. Beyond diversity, inclusion, and belonging. Leadership, 17(1), pp.62-73. </w:t>
      </w:r>
      <w:hyperlink r:id="rId11" w:history="1">
        <w:r w:rsidRPr="002A0B7C">
          <w:rPr>
            <w:rStyle w:val="Hyperlink"/>
            <w:i/>
            <w:iCs/>
          </w:rPr>
          <w:t>https://doi.org/10.1177/1742715020976202</w:t>
        </w:r>
      </w:hyperlink>
      <w:r w:rsidRPr="002A0B7C">
        <w:rPr>
          <w:i/>
          <w:iCs/>
        </w:rPr>
        <w:t xml:space="preserve"> </w:t>
      </w:r>
    </w:p>
    <w:p w14:paraId="5DD937FC" w14:textId="77777777" w:rsidR="00F55C59" w:rsidRPr="002A0B7C" w:rsidRDefault="00F55C59" w:rsidP="00B43312">
      <w:pPr>
        <w:numPr>
          <w:ilvl w:val="0"/>
          <w:numId w:val="27"/>
        </w:numPr>
        <w:jc w:val="both"/>
        <w:rPr>
          <w:i/>
          <w:iCs/>
        </w:rPr>
      </w:pPr>
      <w:r w:rsidRPr="002A0B7C">
        <w:rPr>
          <w:i/>
          <w:iCs/>
        </w:rPr>
        <w:t xml:space="preserve">Alberti, G. and Iannuzzi, F.E., 2020. Embodied intersectionality and the intersectional management of hotel labour: The everyday experiences of social differentiation in customer‐oriented work. Gender, Work and Organization, 27(6), pp.1165-1180. </w:t>
      </w:r>
      <w:hyperlink r:id="rId12" w:history="1">
        <w:r w:rsidRPr="002A0B7C">
          <w:rPr>
            <w:rStyle w:val="Hyperlink"/>
            <w:i/>
            <w:iCs/>
          </w:rPr>
          <w:t>https://doi.org/10.1111/gwao.12454</w:t>
        </w:r>
      </w:hyperlink>
      <w:r w:rsidRPr="002A0B7C">
        <w:rPr>
          <w:i/>
          <w:iCs/>
        </w:rPr>
        <w:t xml:space="preserve"> </w:t>
      </w:r>
    </w:p>
    <w:p w14:paraId="7145B801" w14:textId="77777777" w:rsidR="00F55C59" w:rsidRPr="002A0B7C" w:rsidRDefault="00F55C59" w:rsidP="00B43312">
      <w:pPr>
        <w:numPr>
          <w:ilvl w:val="0"/>
          <w:numId w:val="27"/>
        </w:numPr>
        <w:jc w:val="both"/>
        <w:rPr>
          <w:i/>
          <w:iCs/>
        </w:rPr>
      </w:pPr>
      <w:r w:rsidRPr="002A0B7C">
        <w:rPr>
          <w:i/>
          <w:iCs/>
        </w:rPr>
        <w:t>Almeida, S., Jadah, D. and Parchure, R., 2024. New Age Dimensions of Hospitality and Tourism Industry. National Conference Nobember 27</w:t>
      </w:r>
      <w:r w:rsidRPr="002A0B7C">
        <w:rPr>
          <w:i/>
          <w:iCs/>
          <w:vertAlign w:val="superscript"/>
        </w:rPr>
        <w:t>th</w:t>
      </w:r>
      <w:r w:rsidRPr="002A0B7C">
        <w:rPr>
          <w:i/>
          <w:iCs/>
        </w:rPr>
        <w:t xml:space="preserve">,2024. Anjuman-I-Islam’s Institute of Hospitality Management. </w:t>
      </w:r>
      <w:hyperlink r:id="rId13" w:history="1">
        <w:r w:rsidRPr="002A0B7C">
          <w:rPr>
            <w:rStyle w:val="Hyperlink"/>
            <w:i/>
            <w:iCs/>
          </w:rPr>
          <w:t>https://gpglobalize.in/book/ihm-22.-jan-2025.pdf</w:t>
        </w:r>
      </w:hyperlink>
      <w:r w:rsidRPr="002A0B7C">
        <w:rPr>
          <w:i/>
          <w:iCs/>
        </w:rPr>
        <w:t xml:space="preserve"> </w:t>
      </w:r>
    </w:p>
    <w:p w14:paraId="1AB0E910" w14:textId="77777777" w:rsidR="00F55C59" w:rsidRPr="002A0B7C" w:rsidRDefault="00F55C59" w:rsidP="00B43312">
      <w:pPr>
        <w:numPr>
          <w:ilvl w:val="0"/>
          <w:numId w:val="27"/>
        </w:numPr>
        <w:jc w:val="both"/>
        <w:rPr>
          <w:i/>
          <w:iCs/>
        </w:rPr>
      </w:pPr>
      <w:r w:rsidRPr="002A0B7C">
        <w:rPr>
          <w:i/>
          <w:iCs/>
        </w:rPr>
        <w:t xml:space="preserve">Ayyildiz, T., Koc, E., Baykal, M. and Yazıcı Ayyıldız, A., 2025. Hotel employees’ attitudes towards multitasking: scale development and validity testing. Journal of Hospitality and Tourism Insights. </w:t>
      </w:r>
      <w:hyperlink r:id="rId14" w:history="1">
        <w:r w:rsidRPr="002A0B7C">
          <w:rPr>
            <w:rStyle w:val="Hyperlink"/>
            <w:i/>
            <w:iCs/>
          </w:rPr>
          <w:t>https://doi.org/10.1108/JHTI-09-2024-1026</w:t>
        </w:r>
      </w:hyperlink>
      <w:r w:rsidRPr="002A0B7C">
        <w:rPr>
          <w:i/>
          <w:iCs/>
        </w:rPr>
        <w:t xml:space="preserve"> </w:t>
      </w:r>
    </w:p>
    <w:p w14:paraId="0FE9D778" w14:textId="77777777" w:rsidR="00F55C59" w:rsidRPr="002A0B7C" w:rsidRDefault="00F55C59" w:rsidP="00B43312">
      <w:pPr>
        <w:numPr>
          <w:ilvl w:val="0"/>
          <w:numId w:val="27"/>
        </w:numPr>
        <w:jc w:val="both"/>
        <w:rPr>
          <w:i/>
          <w:iCs/>
        </w:rPr>
      </w:pPr>
      <w:r w:rsidRPr="002A0B7C">
        <w:rPr>
          <w:i/>
          <w:iCs/>
        </w:rPr>
        <w:t xml:space="preserve">Baker, M., French, E. and Ali, M., 2021. Insights into ineffectiveness of gender equality and diversity initiatives in project-based organizations. Journal of Management in Engineering, 37(3), p.04021013. </w:t>
      </w:r>
      <w:hyperlink r:id="rId15" w:history="1">
        <w:r w:rsidRPr="002A0B7C">
          <w:rPr>
            <w:rStyle w:val="Hyperlink"/>
            <w:i/>
            <w:iCs/>
          </w:rPr>
          <w:t>https://doi.org/10.1061/(ASCE)ME.1943-5479.0000893</w:t>
        </w:r>
      </w:hyperlink>
      <w:r w:rsidRPr="002A0B7C">
        <w:rPr>
          <w:i/>
          <w:iCs/>
        </w:rPr>
        <w:t xml:space="preserve"> </w:t>
      </w:r>
    </w:p>
    <w:p w14:paraId="18FBC31B" w14:textId="77777777" w:rsidR="00F55C59" w:rsidRPr="002A0B7C" w:rsidRDefault="00F55C59" w:rsidP="00B43312">
      <w:pPr>
        <w:numPr>
          <w:ilvl w:val="0"/>
          <w:numId w:val="27"/>
        </w:numPr>
        <w:jc w:val="both"/>
        <w:rPr>
          <w:i/>
          <w:iCs/>
        </w:rPr>
      </w:pPr>
      <w:r w:rsidRPr="002A0B7C">
        <w:rPr>
          <w:i/>
          <w:iCs/>
        </w:rPr>
        <w:t xml:space="preserve">Bans-Akutey, A. and Tiimub, B.M., 2021. Triangulation in research. Academia Letters, 2(3392), pp.1-7. </w:t>
      </w:r>
      <w:hyperlink r:id="rId16" w:history="1">
        <w:r w:rsidRPr="002A0B7C">
          <w:rPr>
            <w:rStyle w:val="Hyperlink"/>
            <w:i/>
            <w:iCs/>
          </w:rPr>
          <w:t>https://www.researchgate.net/profile/Benjamin-Tiimub</w:t>
        </w:r>
      </w:hyperlink>
      <w:r w:rsidRPr="002A0B7C">
        <w:rPr>
          <w:i/>
          <w:iCs/>
        </w:rPr>
        <w:t xml:space="preserve"> </w:t>
      </w:r>
    </w:p>
    <w:p w14:paraId="0D78923E" w14:textId="77777777" w:rsidR="00F55C59" w:rsidRPr="002A0B7C" w:rsidRDefault="00F55C59" w:rsidP="00B43312">
      <w:pPr>
        <w:numPr>
          <w:ilvl w:val="0"/>
          <w:numId w:val="27"/>
        </w:numPr>
        <w:jc w:val="both"/>
        <w:rPr>
          <w:i/>
          <w:iCs/>
        </w:rPr>
      </w:pPr>
      <w:r w:rsidRPr="002A0B7C">
        <w:rPr>
          <w:i/>
          <w:iCs/>
        </w:rPr>
        <w:t xml:space="preserve">Beach, A.A. and Segars, A.H., 2022. How a values-based approach advances DEI. MIT Sloan Management Review, 63(4), pp.25-32. </w:t>
      </w:r>
      <w:hyperlink r:id="rId17" w:history="1">
        <w:r w:rsidRPr="002A0B7C">
          <w:rPr>
            <w:rStyle w:val="Hyperlink"/>
            <w:i/>
            <w:iCs/>
          </w:rPr>
          <w:t>https://www.researchgate.net/profile/Albert-Segars</w:t>
        </w:r>
      </w:hyperlink>
      <w:r w:rsidRPr="002A0B7C">
        <w:rPr>
          <w:i/>
          <w:iCs/>
        </w:rPr>
        <w:t xml:space="preserve">   </w:t>
      </w:r>
    </w:p>
    <w:p w14:paraId="658F072C" w14:textId="77777777" w:rsidR="00F55C59" w:rsidRPr="002A0B7C" w:rsidRDefault="00F55C59" w:rsidP="00B43312">
      <w:pPr>
        <w:numPr>
          <w:ilvl w:val="0"/>
          <w:numId w:val="27"/>
        </w:numPr>
        <w:jc w:val="both"/>
        <w:rPr>
          <w:i/>
          <w:iCs/>
        </w:rPr>
      </w:pPr>
      <w:r w:rsidRPr="002A0B7C">
        <w:rPr>
          <w:i/>
          <w:iCs/>
        </w:rPr>
        <w:t xml:space="preserve">Cha, J., Kim, S.J. and Knutson, B.J., 2024. New Avenues for Luxury Hospitality Research Through the Lens of Diversity, Equity, and Inclusion. Journal of Hospitality and Tourism Research, p.10963480251342899. </w:t>
      </w:r>
      <w:hyperlink r:id="rId18" w:history="1">
        <w:r w:rsidRPr="002A0B7C">
          <w:rPr>
            <w:rStyle w:val="Hyperlink"/>
            <w:i/>
            <w:iCs/>
          </w:rPr>
          <w:t>https://doi.org/10.1177/10963480251342899</w:t>
        </w:r>
      </w:hyperlink>
      <w:r w:rsidRPr="002A0B7C">
        <w:rPr>
          <w:i/>
          <w:iCs/>
        </w:rPr>
        <w:t xml:space="preserve"> </w:t>
      </w:r>
    </w:p>
    <w:p w14:paraId="3B131B18" w14:textId="77777777" w:rsidR="00F55C59" w:rsidRPr="002A0B7C" w:rsidRDefault="00F55C59" w:rsidP="00B43312">
      <w:pPr>
        <w:numPr>
          <w:ilvl w:val="0"/>
          <w:numId w:val="27"/>
        </w:numPr>
        <w:jc w:val="both"/>
        <w:rPr>
          <w:i/>
          <w:iCs/>
        </w:rPr>
      </w:pPr>
      <w:r w:rsidRPr="002A0B7C">
        <w:rPr>
          <w:i/>
          <w:iCs/>
        </w:rPr>
        <w:t xml:space="preserve">Chandra, S., Bhalla, R. and Ranjan, A., 2023. Diversity, Equity, and Inclusion Management in the Restaurant Industry. In The Routledge Handbook of Diversity, </w:t>
      </w:r>
      <w:r w:rsidRPr="002A0B7C">
        <w:rPr>
          <w:i/>
          <w:iCs/>
        </w:rPr>
        <w:lastRenderedPageBreak/>
        <w:t>Equity, and Inclusion Management in the Hospitality Industry (pp. 338-349). Routledge.</w:t>
      </w:r>
    </w:p>
    <w:p w14:paraId="67034813" w14:textId="77777777" w:rsidR="00F55C59" w:rsidRPr="002A0B7C" w:rsidRDefault="00F55C59" w:rsidP="00B43312">
      <w:pPr>
        <w:numPr>
          <w:ilvl w:val="0"/>
          <w:numId w:val="27"/>
        </w:numPr>
        <w:jc w:val="both"/>
        <w:rPr>
          <w:i/>
          <w:iCs/>
        </w:rPr>
      </w:pPr>
      <w:r w:rsidRPr="002A0B7C">
        <w:rPr>
          <w:i/>
          <w:iCs/>
        </w:rPr>
        <w:t xml:space="preserve">Chauhan, V., Shaik, A.S. and Gupta, M., 2025. Consumer response to diversity and inclusion initiatives in hospitality: role of brand integrity and materialism. Journal of Hospitality Marketing and Management, 34(4), pp.608-625. </w:t>
      </w:r>
      <w:hyperlink r:id="rId19" w:history="1">
        <w:r w:rsidRPr="002A0B7C">
          <w:rPr>
            <w:rStyle w:val="Hyperlink"/>
            <w:i/>
            <w:iCs/>
          </w:rPr>
          <w:t>https://doi.org/10.1080/19368623.2025.2449857</w:t>
        </w:r>
      </w:hyperlink>
      <w:r w:rsidRPr="002A0B7C">
        <w:rPr>
          <w:i/>
          <w:iCs/>
        </w:rPr>
        <w:t xml:space="preserve"> </w:t>
      </w:r>
    </w:p>
    <w:p w14:paraId="03F0F160" w14:textId="77777777" w:rsidR="00F55C59" w:rsidRPr="002A0B7C" w:rsidRDefault="00F55C59" w:rsidP="00B43312">
      <w:pPr>
        <w:numPr>
          <w:ilvl w:val="0"/>
          <w:numId w:val="27"/>
        </w:numPr>
        <w:jc w:val="both"/>
        <w:rPr>
          <w:i/>
          <w:iCs/>
        </w:rPr>
      </w:pPr>
      <w:r w:rsidRPr="002A0B7C">
        <w:rPr>
          <w:i/>
          <w:iCs/>
        </w:rPr>
        <w:t xml:space="preserve">Chunoo, V. and Schellhammer, E., 2024. Diversity, Equity, Inclusion, and Belonging for Peace Leadership. Journal of Leadership Studies, 18(3), pp.91-97. </w:t>
      </w:r>
      <w:hyperlink r:id="rId20" w:history="1">
        <w:r w:rsidRPr="002A0B7C">
          <w:rPr>
            <w:rStyle w:val="Hyperlink"/>
            <w:i/>
            <w:iCs/>
          </w:rPr>
          <w:t>https://doi.org/10.1002/jls.21908</w:t>
        </w:r>
      </w:hyperlink>
      <w:r w:rsidRPr="002A0B7C">
        <w:rPr>
          <w:i/>
          <w:iCs/>
        </w:rPr>
        <w:t xml:space="preserve"> </w:t>
      </w:r>
    </w:p>
    <w:p w14:paraId="4D6895A3" w14:textId="77777777" w:rsidR="00F55C59" w:rsidRPr="002A0B7C" w:rsidRDefault="00F55C59" w:rsidP="00B43312">
      <w:pPr>
        <w:numPr>
          <w:ilvl w:val="0"/>
          <w:numId w:val="27"/>
        </w:numPr>
        <w:jc w:val="both"/>
        <w:rPr>
          <w:i/>
          <w:iCs/>
        </w:rPr>
      </w:pPr>
      <w:r w:rsidRPr="002A0B7C">
        <w:rPr>
          <w:i/>
          <w:iCs/>
        </w:rPr>
        <w:t>Creswell, J. W., 2013. Qualitative Inquiry and Research Design: Choosing Among Five Approaches. Sage. 2</w:t>
      </w:r>
      <w:r w:rsidRPr="002A0B7C">
        <w:rPr>
          <w:i/>
          <w:iCs/>
          <w:vertAlign w:val="superscript"/>
        </w:rPr>
        <w:t>nd</w:t>
      </w:r>
      <w:r w:rsidRPr="002A0B7C">
        <w:rPr>
          <w:i/>
          <w:iCs/>
        </w:rPr>
        <w:t xml:space="preserve"> edition. </w:t>
      </w:r>
      <w:hyperlink r:id="rId21" w:history="1">
        <w:r w:rsidRPr="002A0B7C">
          <w:rPr>
            <w:rStyle w:val="Hyperlink"/>
            <w:i/>
            <w:iCs/>
          </w:rPr>
          <w:t>https://revistapsicologia.org/public/formato/cuali2.pdf</w:t>
        </w:r>
      </w:hyperlink>
      <w:r w:rsidRPr="002A0B7C">
        <w:rPr>
          <w:i/>
          <w:iCs/>
        </w:rPr>
        <w:t xml:space="preserve"> </w:t>
      </w:r>
    </w:p>
    <w:p w14:paraId="40417D09" w14:textId="77777777" w:rsidR="00F55C59" w:rsidRPr="002A0B7C" w:rsidRDefault="00F55C59" w:rsidP="00B43312">
      <w:pPr>
        <w:numPr>
          <w:ilvl w:val="0"/>
          <w:numId w:val="27"/>
        </w:numPr>
        <w:jc w:val="both"/>
        <w:rPr>
          <w:i/>
          <w:iCs/>
        </w:rPr>
      </w:pPr>
      <w:r w:rsidRPr="002A0B7C">
        <w:rPr>
          <w:i/>
          <w:iCs/>
        </w:rPr>
        <w:t xml:space="preserve">Cunningham, G.B., 2023. Diversity, equity, and inclusion at work. Routledge.  </w:t>
      </w:r>
      <w:hyperlink r:id="rId22" w:history="1">
        <w:r w:rsidRPr="002A0B7C">
          <w:rPr>
            <w:rStyle w:val="Hyperlink"/>
            <w:i/>
            <w:iCs/>
          </w:rPr>
          <w:t>https://doi.org/10.4324/9781003413110</w:t>
        </w:r>
      </w:hyperlink>
      <w:r w:rsidRPr="002A0B7C">
        <w:rPr>
          <w:i/>
          <w:iCs/>
        </w:rPr>
        <w:t xml:space="preserve"> </w:t>
      </w:r>
    </w:p>
    <w:p w14:paraId="2B668E8C" w14:textId="77777777" w:rsidR="00F55C59" w:rsidRPr="002A0B7C" w:rsidRDefault="00F55C59" w:rsidP="00B43312">
      <w:pPr>
        <w:numPr>
          <w:ilvl w:val="0"/>
          <w:numId w:val="27"/>
        </w:numPr>
        <w:jc w:val="both"/>
        <w:rPr>
          <w:i/>
          <w:iCs/>
        </w:rPr>
      </w:pPr>
      <w:r w:rsidRPr="002A0B7C">
        <w:rPr>
          <w:i/>
          <w:iCs/>
        </w:rPr>
        <w:t xml:space="preserve">Dawson, M., Abbott, J. and Shoemaker, S., 2011. The hospitality culture scale: A measure organizational culture and personal attributes. International Journal of Hospitality Management, 30(2), pp.290-300. </w:t>
      </w:r>
      <w:hyperlink r:id="rId23" w:history="1">
        <w:r w:rsidRPr="002A0B7C">
          <w:rPr>
            <w:rStyle w:val="Hyperlink"/>
            <w:i/>
            <w:iCs/>
          </w:rPr>
          <w:t>https://doi.org/10.1016/j.ijhm.2010.10.002</w:t>
        </w:r>
      </w:hyperlink>
      <w:r w:rsidRPr="002A0B7C">
        <w:rPr>
          <w:i/>
          <w:iCs/>
        </w:rPr>
        <w:t xml:space="preserve"> </w:t>
      </w:r>
    </w:p>
    <w:p w14:paraId="18776741" w14:textId="77777777" w:rsidR="00F55C59" w:rsidRPr="002A0B7C" w:rsidRDefault="00F55C59" w:rsidP="00B43312">
      <w:pPr>
        <w:pStyle w:val="NormalWeb"/>
        <w:numPr>
          <w:ilvl w:val="0"/>
          <w:numId w:val="27"/>
        </w:numPr>
        <w:jc w:val="both"/>
        <w:rPr>
          <w:i/>
          <w:iCs/>
        </w:rPr>
      </w:pPr>
      <w:r w:rsidRPr="002A0B7C">
        <w:rPr>
          <w:rFonts w:eastAsiaTheme="majorEastAsia"/>
          <w:i/>
          <w:iCs/>
        </w:rPr>
        <w:t xml:space="preserve">Dawson, M., Neal, J.A. and Madera, J.M., 2011. Preparing hospitality and tourism students to lead a diverse workforce. Journal of teaching in travel and tourism, 11(2), pp.195-210. </w:t>
      </w:r>
      <w:hyperlink r:id="rId24" w:history="1">
        <w:r w:rsidRPr="002A0B7C">
          <w:rPr>
            <w:rStyle w:val="Hyperlink"/>
            <w:rFonts w:eastAsiaTheme="majorEastAsia"/>
            <w:i/>
            <w:iCs/>
          </w:rPr>
          <w:t>https://doi.org/10.1080/15313220.2011.575025</w:t>
        </w:r>
      </w:hyperlink>
      <w:r w:rsidRPr="002A0B7C">
        <w:rPr>
          <w:rFonts w:eastAsiaTheme="majorEastAsia"/>
          <w:i/>
          <w:iCs/>
        </w:rPr>
        <w:t xml:space="preserve"> </w:t>
      </w:r>
    </w:p>
    <w:p w14:paraId="37C0ECA6" w14:textId="77777777" w:rsidR="00F55C59" w:rsidRPr="002A0B7C" w:rsidRDefault="00F55C59" w:rsidP="00B43312">
      <w:pPr>
        <w:pStyle w:val="NormalWeb"/>
        <w:numPr>
          <w:ilvl w:val="0"/>
          <w:numId w:val="27"/>
        </w:numPr>
        <w:jc w:val="both"/>
        <w:rPr>
          <w:i/>
          <w:iCs/>
        </w:rPr>
      </w:pPr>
      <w:r w:rsidRPr="002A0B7C">
        <w:rPr>
          <w:rFonts w:eastAsiaTheme="majorEastAsia"/>
          <w:i/>
          <w:iCs/>
        </w:rPr>
        <w:t xml:space="preserve">Del Rosario, C.M.A., Dotillos, F.J.C., Dumaguing, D.M.S., Empasis, A.M., Zabala, V.B., Encabo, C.C. and Ramayan, A.J.R., Perceived Knowledge, Attitude and Practices of Employees Towards Diversity and Inclusivity in the Workplace. </w:t>
      </w:r>
      <w:hyperlink r:id="rId25" w:history="1">
        <w:r w:rsidRPr="002A0B7C">
          <w:rPr>
            <w:rStyle w:val="Hyperlink"/>
            <w:rFonts w:eastAsiaTheme="majorEastAsia"/>
            <w:i/>
            <w:iCs/>
          </w:rPr>
          <w:t>https://www.academia.edu/download/118014948/19443.pdf</w:t>
        </w:r>
      </w:hyperlink>
      <w:r w:rsidRPr="002A0B7C">
        <w:rPr>
          <w:rFonts w:eastAsiaTheme="majorEastAsia"/>
          <w:i/>
          <w:iCs/>
        </w:rPr>
        <w:t xml:space="preserve"> </w:t>
      </w:r>
    </w:p>
    <w:p w14:paraId="7F437371" w14:textId="77777777" w:rsidR="00F55C59" w:rsidRPr="002A0B7C" w:rsidRDefault="00F55C59" w:rsidP="00B43312">
      <w:pPr>
        <w:numPr>
          <w:ilvl w:val="0"/>
          <w:numId w:val="27"/>
        </w:numPr>
        <w:jc w:val="both"/>
        <w:rPr>
          <w:i/>
          <w:iCs/>
        </w:rPr>
      </w:pPr>
      <w:r w:rsidRPr="002A0B7C">
        <w:rPr>
          <w:i/>
          <w:iCs/>
        </w:rPr>
        <w:t>Denzin, N., 2017. The Research Act: A Theoretical Introduction to Sociological Methods. Routledge. 1</w:t>
      </w:r>
      <w:r w:rsidRPr="002A0B7C">
        <w:rPr>
          <w:i/>
          <w:iCs/>
          <w:vertAlign w:val="superscript"/>
        </w:rPr>
        <w:t>st</w:t>
      </w:r>
      <w:r w:rsidRPr="002A0B7C">
        <w:rPr>
          <w:i/>
          <w:iCs/>
        </w:rPr>
        <w:t xml:space="preserve"> Edition. </w:t>
      </w:r>
      <w:hyperlink r:id="rId26" w:history="1">
        <w:r w:rsidRPr="002A0B7C">
          <w:rPr>
            <w:rStyle w:val="Hyperlink"/>
            <w:i/>
            <w:iCs/>
          </w:rPr>
          <w:t>https://doi.org/10.4324/9781315134543</w:t>
        </w:r>
      </w:hyperlink>
      <w:r w:rsidRPr="002A0B7C">
        <w:rPr>
          <w:i/>
          <w:iCs/>
        </w:rPr>
        <w:t xml:space="preserve"> </w:t>
      </w:r>
    </w:p>
    <w:p w14:paraId="59B0BFC5" w14:textId="77777777" w:rsidR="00F55C59" w:rsidRPr="002A0B7C" w:rsidRDefault="00F55C59" w:rsidP="00B43312">
      <w:pPr>
        <w:numPr>
          <w:ilvl w:val="0"/>
          <w:numId w:val="27"/>
        </w:numPr>
        <w:jc w:val="both"/>
        <w:rPr>
          <w:i/>
          <w:iCs/>
        </w:rPr>
      </w:pPr>
      <w:r w:rsidRPr="002A0B7C">
        <w:rPr>
          <w:i/>
          <w:iCs/>
        </w:rPr>
        <w:t xml:space="preserve">Dhaheri, D.A., 2024. The Role of Effective Leadership Strategy in Enhancing Employee Performance: Analysing the Hospitality Sector for Economic Growth in UAE. Journal of Hospitality and Tourism. </w:t>
      </w:r>
      <w:hyperlink r:id="rId27" w:history="1">
        <w:r w:rsidRPr="002A0B7C">
          <w:rPr>
            <w:rStyle w:val="Hyperlink"/>
            <w:i/>
            <w:iCs/>
          </w:rPr>
          <w:t>https://api.semanticscholar.org/CorpusID:268579708</w:t>
        </w:r>
      </w:hyperlink>
      <w:r w:rsidRPr="002A0B7C">
        <w:rPr>
          <w:i/>
          <w:iCs/>
        </w:rPr>
        <w:t xml:space="preserve"> </w:t>
      </w:r>
    </w:p>
    <w:p w14:paraId="6CB9BD02" w14:textId="77777777" w:rsidR="00F55C59" w:rsidRPr="002A0B7C" w:rsidRDefault="00F55C59" w:rsidP="00B43312">
      <w:pPr>
        <w:numPr>
          <w:ilvl w:val="0"/>
          <w:numId w:val="27"/>
        </w:numPr>
        <w:jc w:val="both"/>
        <w:rPr>
          <w:i/>
          <w:iCs/>
        </w:rPr>
      </w:pPr>
      <w:r w:rsidRPr="002A0B7C">
        <w:rPr>
          <w:i/>
          <w:iCs/>
        </w:rPr>
        <w:t xml:space="preserve">Fahl, C., Alexis, D., Higginbotham, E.J., Xu, C. and Aysola, J., 2023. Asserting accountability to address diversity: Report card as a system of measurement. Health Equity, 7(1), pp.116-125. </w:t>
      </w:r>
      <w:hyperlink r:id="rId28" w:history="1">
        <w:r w:rsidRPr="002A0B7C">
          <w:rPr>
            <w:rStyle w:val="Hyperlink"/>
            <w:i/>
            <w:iCs/>
          </w:rPr>
          <w:t>https://doi.org/10.1089/heq.2021.0169</w:t>
        </w:r>
      </w:hyperlink>
      <w:r w:rsidRPr="002A0B7C">
        <w:rPr>
          <w:i/>
          <w:iCs/>
        </w:rPr>
        <w:t xml:space="preserve"> </w:t>
      </w:r>
    </w:p>
    <w:p w14:paraId="2C94EAC4" w14:textId="77777777" w:rsidR="00F55C59" w:rsidRPr="002A0B7C" w:rsidRDefault="00F55C59" w:rsidP="00B43312">
      <w:pPr>
        <w:numPr>
          <w:ilvl w:val="0"/>
          <w:numId w:val="27"/>
        </w:numPr>
        <w:jc w:val="both"/>
        <w:rPr>
          <w:i/>
          <w:iCs/>
        </w:rPr>
      </w:pPr>
      <w:r w:rsidRPr="002A0B7C">
        <w:rPr>
          <w:i/>
          <w:iCs/>
        </w:rPr>
        <w:t>Ferdman, B.M., 2020. Inclusive leadership: The fulcrum of inclusion. In Inclusive leadership (pp. 3-24). Routledge.</w:t>
      </w:r>
    </w:p>
    <w:p w14:paraId="67FF308D" w14:textId="77777777" w:rsidR="00F55C59" w:rsidRPr="002A0B7C" w:rsidRDefault="00F55C59" w:rsidP="00B43312">
      <w:pPr>
        <w:numPr>
          <w:ilvl w:val="0"/>
          <w:numId w:val="27"/>
        </w:numPr>
        <w:jc w:val="both"/>
        <w:rPr>
          <w:i/>
          <w:iCs/>
        </w:rPr>
      </w:pPr>
      <w:r w:rsidRPr="002A0B7C">
        <w:rPr>
          <w:i/>
          <w:iCs/>
        </w:rPr>
        <w:lastRenderedPageBreak/>
        <w:t xml:space="preserve">Gauci, C., 2024. Addressing Staff Shortage in Five Star Hotels in Malta by Employing Robots. The Online Open Access Repository of the Institute of Tourism Studies (Malta). </w:t>
      </w:r>
      <w:hyperlink r:id="rId29" w:history="1">
        <w:r w:rsidRPr="002A0B7C">
          <w:rPr>
            <w:rStyle w:val="Hyperlink"/>
            <w:i/>
            <w:iCs/>
          </w:rPr>
          <w:t>https://futouristic.scholasticahq.com/article/127029.pdf</w:t>
        </w:r>
      </w:hyperlink>
      <w:r w:rsidRPr="002A0B7C">
        <w:rPr>
          <w:i/>
          <w:iCs/>
        </w:rPr>
        <w:t xml:space="preserve"> </w:t>
      </w:r>
    </w:p>
    <w:p w14:paraId="43F678C6" w14:textId="77777777" w:rsidR="00F55C59" w:rsidRPr="002A0B7C" w:rsidRDefault="00F55C59" w:rsidP="00B43312">
      <w:pPr>
        <w:pStyle w:val="NormalWeb"/>
        <w:numPr>
          <w:ilvl w:val="0"/>
          <w:numId w:val="27"/>
        </w:numPr>
        <w:jc w:val="both"/>
        <w:rPr>
          <w:i/>
          <w:iCs/>
        </w:rPr>
      </w:pPr>
      <w:r w:rsidRPr="002A0B7C">
        <w:rPr>
          <w:rFonts w:eastAsiaTheme="majorEastAsia"/>
          <w:i/>
          <w:iCs/>
        </w:rPr>
        <w:t xml:space="preserve">Georgiadou, A. and Jasonos, C., 2014. Diversity as a strategic competitive advantage: The impact of cultural diversity on hotel employees’ satisfaction and retention. In 7th International Conference on Equality, Diversity and Inclusion. </w:t>
      </w:r>
      <w:hyperlink r:id="rId30" w:history="1">
        <w:r w:rsidRPr="002A0B7C">
          <w:rPr>
            <w:rStyle w:val="Hyperlink"/>
            <w:rFonts w:eastAsiaTheme="majorEastAsia"/>
            <w:i/>
            <w:iCs/>
          </w:rPr>
          <w:t>https://researchprofiles.herts.ac.uk/files/12067442/4422_Culture_Diversity_as_a_Competitive_Advantage.pdf</w:t>
        </w:r>
      </w:hyperlink>
      <w:r w:rsidRPr="002A0B7C">
        <w:rPr>
          <w:rFonts w:eastAsiaTheme="majorEastAsia"/>
          <w:i/>
          <w:iCs/>
        </w:rPr>
        <w:t xml:space="preserve"> </w:t>
      </w:r>
    </w:p>
    <w:p w14:paraId="61841ED1" w14:textId="77777777" w:rsidR="00F55C59" w:rsidRPr="002A0B7C" w:rsidRDefault="00F55C59" w:rsidP="00B43312">
      <w:pPr>
        <w:numPr>
          <w:ilvl w:val="0"/>
          <w:numId w:val="27"/>
        </w:numPr>
        <w:jc w:val="both"/>
        <w:rPr>
          <w:i/>
          <w:iCs/>
        </w:rPr>
      </w:pPr>
      <w:r w:rsidRPr="002A0B7C">
        <w:rPr>
          <w:i/>
          <w:iCs/>
        </w:rPr>
        <w:t xml:space="preserve">Giousmpasoglou, C., 2024. Working conditions in the hospitality industry: the case for a fair and decent work agenda. Sustainability, 16(19), p.8428. </w:t>
      </w:r>
      <w:hyperlink r:id="rId31" w:history="1">
        <w:r w:rsidRPr="002A0B7C">
          <w:rPr>
            <w:rStyle w:val="Hyperlink"/>
            <w:i/>
            <w:iCs/>
          </w:rPr>
          <w:t>https://doi.org/10.3390/su16198428</w:t>
        </w:r>
      </w:hyperlink>
      <w:r w:rsidRPr="002A0B7C">
        <w:rPr>
          <w:i/>
          <w:iCs/>
        </w:rPr>
        <w:t xml:space="preserve"> </w:t>
      </w:r>
    </w:p>
    <w:p w14:paraId="249F1E6E" w14:textId="77777777" w:rsidR="00F55C59" w:rsidRPr="002A0B7C" w:rsidRDefault="00F55C59" w:rsidP="00B43312">
      <w:pPr>
        <w:pStyle w:val="NormalWeb"/>
        <w:numPr>
          <w:ilvl w:val="0"/>
          <w:numId w:val="27"/>
        </w:numPr>
        <w:jc w:val="both"/>
        <w:rPr>
          <w:i/>
          <w:iCs/>
        </w:rPr>
      </w:pPr>
      <w:r w:rsidRPr="002A0B7C">
        <w:rPr>
          <w:rFonts w:eastAsiaTheme="majorEastAsia"/>
          <w:i/>
          <w:iCs/>
        </w:rPr>
        <w:t xml:space="preserve">Gough, M. and Dort, J., 2024. Addressing microaggressions and promoting DEI in hospitality and tourism education. Journal of Teaching in Travel and Tourism, 25(1), pp.60-69. </w:t>
      </w:r>
      <w:hyperlink r:id="rId32" w:history="1">
        <w:r w:rsidRPr="002A0B7C">
          <w:rPr>
            <w:rStyle w:val="Hyperlink"/>
            <w:rFonts w:eastAsiaTheme="majorEastAsia"/>
            <w:i/>
            <w:iCs/>
          </w:rPr>
          <w:t>https://doi.org/10.1080/15313220.2024.2440316</w:t>
        </w:r>
      </w:hyperlink>
      <w:r w:rsidRPr="002A0B7C">
        <w:rPr>
          <w:rFonts w:eastAsiaTheme="majorEastAsia"/>
          <w:i/>
          <w:iCs/>
        </w:rPr>
        <w:t xml:space="preserve"> </w:t>
      </w:r>
    </w:p>
    <w:p w14:paraId="075F2806" w14:textId="77777777" w:rsidR="00F55C59" w:rsidRPr="002A0B7C" w:rsidRDefault="00F55C59" w:rsidP="00B43312">
      <w:pPr>
        <w:numPr>
          <w:ilvl w:val="0"/>
          <w:numId w:val="27"/>
        </w:numPr>
        <w:jc w:val="both"/>
        <w:rPr>
          <w:i/>
          <w:iCs/>
        </w:rPr>
      </w:pPr>
      <w:r w:rsidRPr="002A0B7C">
        <w:rPr>
          <w:i/>
          <w:iCs/>
        </w:rPr>
        <w:t xml:space="preserve">Gursoy, D. and Maier, T., 2023. Diversity, equity and inclusion in hospitality: Value centered leadership as a conduit for change. Journal of Hospitality Marketing and Management, 32(4), pp.445-453. </w:t>
      </w:r>
      <w:hyperlink r:id="rId33" w:history="1">
        <w:r w:rsidRPr="002A0B7C">
          <w:rPr>
            <w:rStyle w:val="Hyperlink"/>
            <w:i/>
            <w:iCs/>
          </w:rPr>
          <w:t>https://doi.org/10.1080/19368623.2023.2196282</w:t>
        </w:r>
      </w:hyperlink>
      <w:r w:rsidRPr="002A0B7C">
        <w:rPr>
          <w:i/>
          <w:iCs/>
        </w:rPr>
        <w:t xml:space="preserve"> </w:t>
      </w:r>
    </w:p>
    <w:p w14:paraId="688F1B49" w14:textId="77777777" w:rsidR="00F55C59" w:rsidRPr="002A0B7C" w:rsidRDefault="00F55C59" w:rsidP="00B43312">
      <w:pPr>
        <w:numPr>
          <w:ilvl w:val="0"/>
          <w:numId w:val="27"/>
        </w:numPr>
        <w:jc w:val="both"/>
        <w:rPr>
          <w:i/>
          <w:iCs/>
        </w:rPr>
      </w:pPr>
      <w:r w:rsidRPr="002A0B7C">
        <w:rPr>
          <w:i/>
          <w:iCs/>
        </w:rPr>
        <w:t xml:space="preserve">Gutterman, A.S., 2023. Embedding diversity, equity, and inclusion. Equity, and Inclusion (December 20, 2023). </w:t>
      </w:r>
      <w:hyperlink r:id="rId34" w:history="1">
        <w:r w:rsidRPr="002A0B7C">
          <w:rPr>
            <w:rStyle w:val="Hyperlink"/>
            <w:i/>
            <w:iCs/>
          </w:rPr>
          <w:t>https://dx.doi.org/10.2139/ssrn.4663759</w:t>
        </w:r>
      </w:hyperlink>
      <w:r w:rsidRPr="002A0B7C">
        <w:rPr>
          <w:i/>
          <w:iCs/>
        </w:rPr>
        <w:t xml:space="preserve"> </w:t>
      </w:r>
    </w:p>
    <w:p w14:paraId="5516A6B2" w14:textId="77777777" w:rsidR="00F55C59" w:rsidRPr="002A0B7C" w:rsidRDefault="00F55C59" w:rsidP="00B43312">
      <w:pPr>
        <w:numPr>
          <w:ilvl w:val="0"/>
          <w:numId w:val="27"/>
        </w:numPr>
        <w:jc w:val="both"/>
        <w:rPr>
          <w:i/>
          <w:iCs/>
        </w:rPr>
      </w:pPr>
      <w:r w:rsidRPr="002A0B7C">
        <w:rPr>
          <w:i/>
          <w:iCs/>
          <w:lang w:val="de-DE"/>
        </w:rPr>
        <w:t xml:space="preserve">Harju, L.K., Kaltiainen, J. and Hakanen, J.J., 2021. </w:t>
      </w:r>
      <w:r w:rsidRPr="002A0B7C">
        <w:rPr>
          <w:i/>
          <w:iCs/>
        </w:rPr>
        <w:t xml:space="preserve">The double‐edged sword of job crafting: The effects of job crafting on changes in job demands and employee well‐being. Human Resource Management, 60(6), pp.953-968. </w:t>
      </w:r>
      <w:hyperlink r:id="rId35" w:history="1">
        <w:r w:rsidRPr="002A0B7C">
          <w:rPr>
            <w:rStyle w:val="Hyperlink"/>
            <w:i/>
            <w:iCs/>
          </w:rPr>
          <w:t>https://doi.org/10.1002/hrm.22054</w:t>
        </w:r>
      </w:hyperlink>
      <w:r w:rsidRPr="002A0B7C">
        <w:rPr>
          <w:i/>
          <w:iCs/>
        </w:rPr>
        <w:t xml:space="preserve"> </w:t>
      </w:r>
    </w:p>
    <w:p w14:paraId="6105D912" w14:textId="77777777" w:rsidR="00F55C59" w:rsidRPr="002A0B7C" w:rsidRDefault="00F55C59" w:rsidP="00B43312">
      <w:pPr>
        <w:numPr>
          <w:ilvl w:val="0"/>
          <w:numId w:val="27"/>
        </w:numPr>
        <w:jc w:val="both"/>
        <w:rPr>
          <w:i/>
          <w:iCs/>
        </w:rPr>
      </w:pPr>
      <w:r w:rsidRPr="002A0B7C">
        <w:rPr>
          <w:i/>
          <w:iCs/>
        </w:rPr>
        <w:t xml:space="preserve">Hilton, 2025. Hilton’s Mental Wellbeing Benefits Creating a Cultur of Care. </w:t>
      </w:r>
      <w:hyperlink r:id="rId36" w:history="1">
        <w:r w:rsidRPr="002A0B7C">
          <w:rPr>
            <w:rStyle w:val="Hyperlink"/>
            <w:i/>
            <w:iCs/>
          </w:rPr>
          <w:t>https://stories.hilton.com/hilton-culture/hiltons-mental-wellbeing-benefits-creating-a-culture-of-care</w:t>
        </w:r>
      </w:hyperlink>
      <w:r w:rsidRPr="002A0B7C">
        <w:rPr>
          <w:i/>
          <w:iCs/>
        </w:rPr>
        <w:t xml:space="preserve"> </w:t>
      </w:r>
    </w:p>
    <w:p w14:paraId="386582A6" w14:textId="77777777" w:rsidR="00F55C59" w:rsidRPr="002A0B7C" w:rsidRDefault="00F55C59" w:rsidP="00B43312">
      <w:pPr>
        <w:numPr>
          <w:ilvl w:val="0"/>
          <w:numId w:val="27"/>
        </w:numPr>
        <w:jc w:val="both"/>
        <w:rPr>
          <w:i/>
          <w:iCs/>
        </w:rPr>
      </w:pPr>
      <w:r w:rsidRPr="002A0B7C">
        <w:rPr>
          <w:i/>
          <w:iCs/>
        </w:rPr>
        <w:t xml:space="preserve">Hoang, G., Wilson-Evered, E., Lockstone-Binney, L. and Luu, T.T., 2021. Empowering leadership in hospitality and tourism management: a systematic literature review. International Journal of Contemporary Hospitality Management, 33(12), pp.4182-4214. </w:t>
      </w:r>
      <w:hyperlink r:id="rId37" w:history="1">
        <w:r w:rsidRPr="002A0B7C">
          <w:rPr>
            <w:rStyle w:val="Hyperlink"/>
            <w:i/>
            <w:iCs/>
          </w:rPr>
          <w:t>https://doi.org/10.1108/IJCHM-03-2021-0323</w:t>
        </w:r>
      </w:hyperlink>
      <w:r w:rsidRPr="002A0B7C">
        <w:rPr>
          <w:i/>
          <w:iCs/>
        </w:rPr>
        <w:t xml:space="preserve"> </w:t>
      </w:r>
    </w:p>
    <w:p w14:paraId="2951DE7E" w14:textId="77777777" w:rsidR="00F55C59" w:rsidRPr="002A0B7C" w:rsidRDefault="00F55C59" w:rsidP="00B43312">
      <w:pPr>
        <w:numPr>
          <w:ilvl w:val="0"/>
          <w:numId w:val="27"/>
        </w:numPr>
        <w:jc w:val="both"/>
        <w:rPr>
          <w:i/>
          <w:iCs/>
        </w:rPr>
      </w:pPr>
      <w:r w:rsidRPr="002A0B7C">
        <w:rPr>
          <w:i/>
          <w:iCs/>
        </w:rPr>
        <w:t>Iverson, K., 2016. Managing for Effective Workforce Diversity: Identifying Issues that Are of Concern to Employees: Identifying Issues that Are of Concern to Employees. Cornell Hotel and Restaurant Administration Quarterly, 41(2), 31-38. </w:t>
      </w:r>
      <w:hyperlink r:id="rId38" w:history="1">
        <w:r w:rsidRPr="002A0B7C">
          <w:rPr>
            <w:rStyle w:val="Hyperlink"/>
            <w:i/>
            <w:iCs/>
          </w:rPr>
          <w:t>https://doi.org/10.1177/001088040004100214</w:t>
        </w:r>
      </w:hyperlink>
    </w:p>
    <w:p w14:paraId="44D1467D" w14:textId="77777777" w:rsidR="00F55C59" w:rsidRPr="002A0B7C" w:rsidRDefault="00F55C59" w:rsidP="00B43312">
      <w:pPr>
        <w:numPr>
          <w:ilvl w:val="0"/>
          <w:numId w:val="27"/>
        </w:numPr>
        <w:jc w:val="both"/>
        <w:rPr>
          <w:i/>
          <w:iCs/>
        </w:rPr>
      </w:pPr>
      <w:r w:rsidRPr="002A0B7C">
        <w:rPr>
          <w:i/>
          <w:iCs/>
        </w:rPr>
        <w:t xml:space="preserve">Kalargyrou, V. and Costen, W., 2017. Diversity management research in hospitality and tourism: past, present and future. International Journal of Contemporary </w:t>
      </w:r>
      <w:r w:rsidRPr="002A0B7C">
        <w:rPr>
          <w:i/>
          <w:iCs/>
        </w:rPr>
        <w:lastRenderedPageBreak/>
        <w:t xml:space="preserve">Hospitality Management, 29(1), pp.68-114. </w:t>
      </w:r>
      <w:hyperlink r:id="rId39" w:history="1">
        <w:r w:rsidRPr="002A0B7C">
          <w:rPr>
            <w:rStyle w:val="Hyperlink"/>
            <w:i/>
            <w:iCs/>
          </w:rPr>
          <w:t>https://doi.org/10.1108/IJCHM-09-2015-0470</w:t>
        </w:r>
      </w:hyperlink>
      <w:r w:rsidRPr="002A0B7C">
        <w:rPr>
          <w:i/>
          <w:iCs/>
        </w:rPr>
        <w:t xml:space="preserve"> </w:t>
      </w:r>
    </w:p>
    <w:p w14:paraId="2B8A0486" w14:textId="77777777" w:rsidR="00F55C59" w:rsidRPr="002A0B7C" w:rsidRDefault="00F55C59" w:rsidP="00B43312">
      <w:pPr>
        <w:numPr>
          <w:ilvl w:val="0"/>
          <w:numId w:val="27"/>
        </w:numPr>
        <w:jc w:val="both"/>
        <w:rPr>
          <w:i/>
          <w:iCs/>
        </w:rPr>
      </w:pPr>
      <w:r w:rsidRPr="002A0B7C">
        <w:rPr>
          <w:i/>
          <w:iCs/>
        </w:rPr>
        <w:t xml:space="preserve">King, S., Roberts-Turner, R. and Floyd, T.T., 2024. Inclusive leadership: A framework to advance diversity, equity, inclusion, and cultivate belonging. Nurse Leader, 22(2), pp.132-139. </w:t>
      </w:r>
      <w:hyperlink r:id="rId40" w:history="1">
        <w:r w:rsidRPr="002A0B7C">
          <w:rPr>
            <w:rStyle w:val="Hyperlink"/>
            <w:i/>
            <w:iCs/>
          </w:rPr>
          <w:t>https://doi.org/10.1016/j.mnl.2023.11.006</w:t>
        </w:r>
      </w:hyperlink>
      <w:r w:rsidRPr="002A0B7C">
        <w:rPr>
          <w:i/>
          <w:iCs/>
        </w:rPr>
        <w:t xml:space="preserve"> </w:t>
      </w:r>
    </w:p>
    <w:p w14:paraId="68DC5DB9" w14:textId="77777777" w:rsidR="00F55C59" w:rsidRPr="002A0B7C" w:rsidRDefault="00F55C59" w:rsidP="00B43312">
      <w:pPr>
        <w:pStyle w:val="NormalWeb"/>
        <w:numPr>
          <w:ilvl w:val="0"/>
          <w:numId w:val="27"/>
        </w:numPr>
        <w:jc w:val="both"/>
        <w:rPr>
          <w:i/>
          <w:iCs/>
        </w:rPr>
      </w:pPr>
      <w:r w:rsidRPr="002A0B7C">
        <w:rPr>
          <w:rFonts w:eastAsiaTheme="majorEastAsia"/>
          <w:i/>
          <w:iCs/>
        </w:rPr>
        <w:t xml:space="preserve">Lee, K. and Shin, H.C., 2025. Effect of inclusive leadership on the diversity sensitivity and innovative behavior of hotel employees. Social Behavior and Personality: an international journal, 53(2), pp.1-10. </w:t>
      </w:r>
      <w:hyperlink r:id="rId41" w:history="1">
        <w:r w:rsidRPr="002A0B7C">
          <w:rPr>
            <w:rStyle w:val="Hyperlink"/>
            <w:rFonts w:eastAsiaTheme="majorEastAsia"/>
            <w:i/>
            <w:iCs/>
          </w:rPr>
          <w:t>https://doi.org/</w:t>
        </w:r>
        <w:r w:rsidRPr="002A0B7C">
          <w:rPr>
            <w:rStyle w:val="Hyperlink"/>
            <w:i/>
            <w:iCs/>
          </w:rPr>
          <w:t>10.2224/sbp.14102</w:t>
        </w:r>
      </w:hyperlink>
      <w:r w:rsidRPr="002A0B7C">
        <w:rPr>
          <w:i/>
          <w:iCs/>
        </w:rPr>
        <w:t xml:space="preserve"> </w:t>
      </w:r>
    </w:p>
    <w:p w14:paraId="69046243" w14:textId="77777777" w:rsidR="00F55C59" w:rsidRPr="002A0B7C" w:rsidRDefault="00F55C59" w:rsidP="00B43312">
      <w:pPr>
        <w:numPr>
          <w:ilvl w:val="0"/>
          <w:numId w:val="27"/>
        </w:numPr>
        <w:jc w:val="both"/>
        <w:rPr>
          <w:i/>
          <w:iCs/>
        </w:rPr>
      </w:pPr>
      <w:r w:rsidRPr="002A0B7C">
        <w:rPr>
          <w:i/>
          <w:iCs/>
        </w:rPr>
        <w:t xml:space="preserve">Legislation.gov.uk, 2025. Equality Act 2010. Chapter 2,Prohibited Conduct. </w:t>
      </w:r>
      <w:hyperlink r:id="rId42" w:history="1">
        <w:r w:rsidRPr="002A0B7C">
          <w:rPr>
            <w:rStyle w:val="Hyperlink"/>
            <w:i/>
            <w:iCs/>
          </w:rPr>
          <w:t>https://www.legislation.gov.uk/ukpga/2010/15/part/2/chapter/2</w:t>
        </w:r>
      </w:hyperlink>
      <w:r w:rsidRPr="002A0B7C">
        <w:rPr>
          <w:i/>
          <w:iCs/>
        </w:rPr>
        <w:t xml:space="preserve"> </w:t>
      </w:r>
    </w:p>
    <w:p w14:paraId="683A9F4C" w14:textId="77777777" w:rsidR="00F55C59" w:rsidRPr="002A0B7C" w:rsidRDefault="00F55C59" w:rsidP="00B43312">
      <w:pPr>
        <w:numPr>
          <w:ilvl w:val="0"/>
          <w:numId w:val="27"/>
        </w:numPr>
        <w:jc w:val="both"/>
        <w:rPr>
          <w:i/>
          <w:iCs/>
        </w:rPr>
      </w:pPr>
      <w:r w:rsidRPr="002A0B7C">
        <w:rPr>
          <w:i/>
          <w:iCs/>
        </w:rPr>
        <w:t xml:space="preserve">Leung, M., Velilla Lanza, V., Hu, Y.F., McEntire, K. and Calderaro, J., 2022. Analysis on Marriott International's Diversity, Equity and Inclusion Performance Based on the Beach and Segars (2022) Contemporary Model of DEI. Kimberly and Calderaro, Jason, Analysis on Marriott International's Diversity, Equity and Inclusion Performance Based on the Beach and Segars. </w:t>
      </w:r>
      <w:hyperlink r:id="rId43" w:history="1">
        <w:r w:rsidRPr="002A0B7C">
          <w:rPr>
            <w:rStyle w:val="Hyperlink"/>
            <w:i/>
            <w:iCs/>
          </w:rPr>
          <w:t>https://dx.doi.org/10.2139/ssrn.4649413</w:t>
        </w:r>
      </w:hyperlink>
      <w:r w:rsidRPr="002A0B7C">
        <w:rPr>
          <w:i/>
          <w:iCs/>
        </w:rPr>
        <w:t xml:space="preserve"> </w:t>
      </w:r>
    </w:p>
    <w:p w14:paraId="2BFE0339" w14:textId="77777777" w:rsidR="00F55C59" w:rsidRPr="002A0B7C" w:rsidRDefault="00F55C59" w:rsidP="00B43312">
      <w:pPr>
        <w:numPr>
          <w:ilvl w:val="0"/>
          <w:numId w:val="27"/>
        </w:numPr>
        <w:jc w:val="both"/>
        <w:rPr>
          <w:i/>
          <w:iCs/>
        </w:rPr>
      </w:pPr>
      <w:r w:rsidRPr="002A0B7C">
        <w:rPr>
          <w:i/>
          <w:iCs/>
        </w:rPr>
        <w:t xml:space="preserve">Lim, J., Vaughan, Y. and Jang, J., 2023. Do employees’ perceptions of diversity management enhance firm’s financial performance: the moderating role of board members’ diversity level. International Journal of Contemporary Hospitality Management, 35(11), pp.3990-4009. </w:t>
      </w:r>
      <w:hyperlink r:id="rId44" w:history="1">
        <w:r w:rsidRPr="002A0B7C">
          <w:rPr>
            <w:rStyle w:val="Hyperlink"/>
            <w:i/>
            <w:iCs/>
          </w:rPr>
          <w:t>https://doi.org/10.1108/IJCHM-11-2022-1441</w:t>
        </w:r>
      </w:hyperlink>
      <w:r w:rsidRPr="002A0B7C">
        <w:rPr>
          <w:i/>
          <w:iCs/>
        </w:rPr>
        <w:t xml:space="preserve"> </w:t>
      </w:r>
    </w:p>
    <w:p w14:paraId="4ACE68AA" w14:textId="77777777" w:rsidR="00F55C59" w:rsidRPr="002A0B7C" w:rsidRDefault="00F55C59" w:rsidP="00B43312">
      <w:pPr>
        <w:numPr>
          <w:ilvl w:val="0"/>
          <w:numId w:val="27"/>
        </w:numPr>
        <w:jc w:val="both"/>
        <w:rPr>
          <w:i/>
          <w:iCs/>
        </w:rPr>
      </w:pPr>
      <w:r w:rsidRPr="002A0B7C">
        <w:rPr>
          <w:i/>
          <w:iCs/>
        </w:rPr>
        <w:t xml:space="preserve">Liu, S., Hao, F. and Qiu, X., 2025. Diversity, equity, and inclusion (DEI) research in tourism and hospitality: insights from bibliometric analysis. International Journal of Contemporary Hospitality Management, 37(7), pp.2532-2555. </w:t>
      </w:r>
      <w:hyperlink r:id="rId45" w:history="1">
        <w:r w:rsidRPr="002A0B7C">
          <w:rPr>
            <w:rStyle w:val="Hyperlink"/>
            <w:i/>
            <w:iCs/>
          </w:rPr>
          <w:t>https://doi.org/10.1108/IJCHM-11-2024-1638</w:t>
        </w:r>
      </w:hyperlink>
      <w:r w:rsidRPr="002A0B7C">
        <w:rPr>
          <w:i/>
          <w:iCs/>
        </w:rPr>
        <w:t xml:space="preserve"> </w:t>
      </w:r>
    </w:p>
    <w:p w14:paraId="6B921C1E" w14:textId="77777777" w:rsidR="00F55C59" w:rsidRPr="002A0B7C" w:rsidRDefault="00F55C59" w:rsidP="00B43312">
      <w:pPr>
        <w:numPr>
          <w:ilvl w:val="0"/>
          <w:numId w:val="27"/>
        </w:numPr>
        <w:jc w:val="both"/>
        <w:rPr>
          <w:i/>
          <w:iCs/>
        </w:rPr>
      </w:pPr>
      <w:r w:rsidRPr="002A0B7C">
        <w:rPr>
          <w:i/>
          <w:iCs/>
        </w:rPr>
        <w:t xml:space="preserve">Lockett, S., Butler, D. and Wui, P., 2023. The Lack of Diversity and Inclusion in Management in the Hospitality and Tourism Industry: Focused on the Interview with Executives. IPRPD International Journal of Business and Management Studies, 4(07), pp.1-7. </w:t>
      </w:r>
      <w:hyperlink r:id="rId46" w:history="1">
        <w:r w:rsidRPr="002A0B7C">
          <w:rPr>
            <w:rStyle w:val="Hyperlink"/>
            <w:i/>
            <w:iCs/>
          </w:rPr>
          <w:t>https://doi.org/10.56734/ijbms.v4n7a1</w:t>
        </w:r>
      </w:hyperlink>
      <w:r w:rsidRPr="002A0B7C">
        <w:rPr>
          <w:i/>
          <w:iCs/>
        </w:rPr>
        <w:t xml:space="preserve"> </w:t>
      </w:r>
    </w:p>
    <w:p w14:paraId="5F4DAD59" w14:textId="77777777" w:rsidR="00F55C59" w:rsidRPr="002A0B7C" w:rsidRDefault="00F55C59" w:rsidP="00B43312">
      <w:pPr>
        <w:pStyle w:val="NormalWeb"/>
        <w:numPr>
          <w:ilvl w:val="0"/>
          <w:numId w:val="27"/>
        </w:numPr>
        <w:jc w:val="both"/>
        <w:rPr>
          <w:i/>
          <w:iCs/>
        </w:rPr>
      </w:pPr>
      <w:r w:rsidRPr="002A0B7C">
        <w:rPr>
          <w:rFonts w:eastAsiaTheme="majorEastAsia"/>
          <w:i/>
          <w:iCs/>
        </w:rPr>
        <w:t>Madera, J.M. and Kapoor, C.E., 2018. 14. Diversity training in the hospitality and tourism industry. Handbook of Human Resource Management in the Tourism and Hospitality Industries, P.347.</w:t>
      </w:r>
    </w:p>
    <w:p w14:paraId="42001250" w14:textId="77777777" w:rsidR="00F55C59" w:rsidRPr="002A0B7C" w:rsidRDefault="00F55C59" w:rsidP="00B43312">
      <w:pPr>
        <w:numPr>
          <w:ilvl w:val="0"/>
          <w:numId w:val="27"/>
        </w:numPr>
        <w:jc w:val="both"/>
        <w:rPr>
          <w:i/>
          <w:iCs/>
        </w:rPr>
      </w:pPr>
      <w:r w:rsidRPr="002A0B7C">
        <w:rPr>
          <w:i/>
          <w:iCs/>
        </w:rPr>
        <w:t xml:space="preserve">Madera, J.M., Yang, W., Wu, L., Ma, E. and Xu, S., 2023. Diversity and inclusion in hospitality and tourism: bridging the gap between employee and customer perspectives. International Journal of Contemporary Hospitality Management, 35(11), pp.3972-3989. </w:t>
      </w:r>
      <w:hyperlink r:id="rId47" w:history="1">
        <w:r w:rsidRPr="002A0B7C">
          <w:rPr>
            <w:rStyle w:val="Hyperlink"/>
            <w:i/>
            <w:iCs/>
          </w:rPr>
          <w:t>https://doi.org/10.1108/IJCHM-04-2023-0450</w:t>
        </w:r>
      </w:hyperlink>
      <w:r w:rsidRPr="002A0B7C">
        <w:rPr>
          <w:i/>
          <w:iCs/>
        </w:rPr>
        <w:t xml:space="preserve"> </w:t>
      </w:r>
    </w:p>
    <w:p w14:paraId="17CB5EE2" w14:textId="77777777" w:rsidR="00F55C59" w:rsidRPr="002A0B7C" w:rsidRDefault="00F55C59" w:rsidP="00B43312">
      <w:pPr>
        <w:numPr>
          <w:ilvl w:val="0"/>
          <w:numId w:val="27"/>
        </w:numPr>
        <w:jc w:val="both"/>
        <w:rPr>
          <w:i/>
          <w:iCs/>
        </w:rPr>
      </w:pPr>
      <w:r w:rsidRPr="002A0B7C">
        <w:rPr>
          <w:i/>
          <w:iCs/>
        </w:rPr>
        <w:lastRenderedPageBreak/>
        <w:t xml:space="preserve">Malik, R., Madappa, T. and Chitranshi, J., 2017. Diversity management in tourism and hospitality: an exploratory study. foresight, 19(3), pp.323-336. </w:t>
      </w:r>
      <w:hyperlink r:id="rId48" w:history="1">
        <w:r w:rsidRPr="002A0B7C">
          <w:rPr>
            <w:rStyle w:val="Hyperlink"/>
            <w:i/>
            <w:iCs/>
          </w:rPr>
          <w:t>https://doi.org/10.1108/FS-12-2016-0058</w:t>
        </w:r>
      </w:hyperlink>
      <w:r w:rsidRPr="002A0B7C">
        <w:rPr>
          <w:i/>
          <w:iCs/>
        </w:rPr>
        <w:t xml:space="preserve"> </w:t>
      </w:r>
    </w:p>
    <w:p w14:paraId="7003B314" w14:textId="77777777" w:rsidR="00F55C59" w:rsidRPr="002A0B7C" w:rsidRDefault="00F55C59" w:rsidP="00B43312">
      <w:pPr>
        <w:numPr>
          <w:ilvl w:val="0"/>
          <w:numId w:val="27"/>
        </w:numPr>
        <w:jc w:val="both"/>
        <w:rPr>
          <w:i/>
          <w:iCs/>
        </w:rPr>
      </w:pPr>
      <w:r w:rsidRPr="002A0B7C">
        <w:rPr>
          <w:i/>
          <w:iCs/>
        </w:rPr>
        <w:t>Mohamed, D.R. and George, I., 2025. Fostering academic hospitality: Addressing the needs of muslim postgraduate students in Canadian higher education. Journal of International Students, 15(3), 243-262. </w:t>
      </w:r>
      <w:hyperlink r:id="rId49" w:history="1">
        <w:r w:rsidRPr="002A0B7C">
          <w:rPr>
            <w:rStyle w:val="Hyperlink"/>
            <w:i/>
            <w:iCs/>
          </w:rPr>
          <w:t>https://doi.org/10.32674/j57mcd40</w:t>
        </w:r>
      </w:hyperlink>
      <w:r w:rsidRPr="002A0B7C">
        <w:rPr>
          <w:i/>
          <w:iCs/>
        </w:rPr>
        <w:t xml:space="preserve"> </w:t>
      </w:r>
    </w:p>
    <w:p w14:paraId="58FA0232" w14:textId="77777777" w:rsidR="00F55C59" w:rsidRPr="002A0B7C" w:rsidRDefault="00F55C59" w:rsidP="00B43312">
      <w:pPr>
        <w:pStyle w:val="NormalWeb"/>
        <w:numPr>
          <w:ilvl w:val="0"/>
          <w:numId w:val="27"/>
        </w:numPr>
        <w:jc w:val="both"/>
        <w:rPr>
          <w:rFonts w:eastAsiaTheme="majorEastAsia"/>
          <w:i/>
          <w:iCs/>
        </w:rPr>
      </w:pPr>
      <w:r w:rsidRPr="002A0B7C">
        <w:rPr>
          <w:rFonts w:eastAsiaTheme="majorEastAsia"/>
          <w:i/>
          <w:iCs/>
        </w:rPr>
        <w:t xml:space="preserve">Mohamed, D.R. and George, I., 2025. Fostering Academic Hospitality: Addressing the Needs of Muslim Postgraduate Students in Canadian Higher Education. Journal of International Students, 15(3), pp.243-262. </w:t>
      </w:r>
      <w:hyperlink r:id="rId50" w:history="1">
        <w:r w:rsidRPr="002A0B7C">
          <w:rPr>
            <w:rStyle w:val="Hyperlink"/>
            <w:rFonts w:eastAsiaTheme="majorEastAsia"/>
            <w:i/>
            <w:iCs/>
          </w:rPr>
          <w:t>https://www.ojed.org/index.php/jis/index</w:t>
        </w:r>
      </w:hyperlink>
      <w:r w:rsidRPr="002A0B7C">
        <w:rPr>
          <w:rFonts w:eastAsiaTheme="majorEastAsia"/>
          <w:i/>
          <w:iCs/>
        </w:rPr>
        <w:t xml:space="preserve">  </w:t>
      </w:r>
      <w:r w:rsidRPr="002A0B7C">
        <w:rPr>
          <w:i/>
          <w:iCs/>
        </w:rPr>
        <w:t xml:space="preserve"> </w:t>
      </w:r>
    </w:p>
    <w:p w14:paraId="0A3322CA" w14:textId="77777777" w:rsidR="00F55C59" w:rsidRPr="002A0B7C" w:rsidRDefault="00F55C59" w:rsidP="00B43312">
      <w:pPr>
        <w:pStyle w:val="NormalWeb"/>
        <w:numPr>
          <w:ilvl w:val="0"/>
          <w:numId w:val="27"/>
        </w:numPr>
        <w:jc w:val="both"/>
        <w:rPr>
          <w:i/>
          <w:iCs/>
        </w:rPr>
      </w:pPr>
      <w:r w:rsidRPr="002A0B7C">
        <w:rPr>
          <w:rFonts w:eastAsiaTheme="majorEastAsia"/>
          <w:i/>
          <w:iCs/>
        </w:rPr>
        <w:t xml:space="preserve">Mohammadi, Z., Bhati, A. and Ng, E., 2022. 20 years of workplace diversity research in hospitality and tourism: a bibliometric analysis. Equality, Diversity and Inclusion: An International Journal, 42(4), pp.551-571. </w:t>
      </w:r>
      <w:hyperlink r:id="rId51" w:history="1">
        <w:r w:rsidRPr="002A0B7C">
          <w:rPr>
            <w:rStyle w:val="Hyperlink"/>
            <w:rFonts w:eastAsiaTheme="majorEastAsia"/>
            <w:i/>
            <w:iCs/>
          </w:rPr>
          <w:t>https://doi.org/10.1108/EDI-02-2022-0046</w:t>
        </w:r>
      </w:hyperlink>
      <w:r w:rsidRPr="002A0B7C">
        <w:rPr>
          <w:rFonts w:eastAsiaTheme="majorEastAsia"/>
          <w:i/>
          <w:iCs/>
        </w:rPr>
        <w:t xml:space="preserve"> </w:t>
      </w:r>
    </w:p>
    <w:p w14:paraId="66CA6510" w14:textId="77777777" w:rsidR="00F55C59" w:rsidRPr="002A0B7C" w:rsidRDefault="00F55C59" w:rsidP="00B43312">
      <w:pPr>
        <w:numPr>
          <w:ilvl w:val="0"/>
          <w:numId w:val="27"/>
        </w:numPr>
        <w:jc w:val="both"/>
        <w:rPr>
          <w:i/>
          <w:iCs/>
        </w:rPr>
      </w:pPr>
      <w:r w:rsidRPr="002A0B7C">
        <w:rPr>
          <w:i/>
          <w:iCs/>
        </w:rPr>
        <w:t xml:space="preserve">Mor Barak, M.E., Luria, G. and Brimhall, K.C., 2022. What leaders say versus what they do: Inclusive leadership, policy-practice decoupling, and the anomaly of climate for inclusion. Group and Organization Management, 47(4), pp.840-871. </w:t>
      </w:r>
      <w:hyperlink r:id="rId52" w:history="1">
        <w:r w:rsidRPr="002A0B7C">
          <w:rPr>
            <w:rStyle w:val="Hyperlink"/>
            <w:i/>
            <w:iCs/>
          </w:rPr>
          <w:t>https://doi.org/10.1177/10596011211005916</w:t>
        </w:r>
      </w:hyperlink>
      <w:r w:rsidRPr="002A0B7C">
        <w:rPr>
          <w:i/>
          <w:iCs/>
        </w:rPr>
        <w:t xml:space="preserve"> </w:t>
      </w:r>
    </w:p>
    <w:p w14:paraId="7D94142A" w14:textId="77777777" w:rsidR="00F55C59" w:rsidRPr="002A0B7C" w:rsidRDefault="00F55C59" w:rsidP="00B43312">
      <w:pPr>
        <w:numPr>
          <w:ilvl w:val="0"/>
          <w:numId w:val="27"/>
        </w:numPr>
        <w:jc w:val="both"/>
        <w:rPr>
          <w:i/>
          <w:iCs/>
        </w:rPr>
      </w:pPr>
      <w:r w:rsidRPr="002A0B7C">
        <w:rPr>
          <w:i/>
          <w:iCs/>
        </w:rPr>
        <w:t xml:space="preserve">Nisa, B.U., 2023. Women’s Employability in the Hospitality Sector: A Systematic Literature Review. Minhaj International Journal of Economics and Organization Sciences, 3(1), 1-9. </w:t>
      </w:r>
      <w:hyperlink r:id="rId53" w:history="1">
        <w:r w:rsidRPr="002A0B7C">
          <w:rPr>
            <w:rStyle w:val="Hyperlink"/>
            <w:i/>
            <w:iCs/>
          </w:rPr>
          <w:t>https://doi.org/10.58932/MULE0009</w:t>
        </w:r>
      </w:hyperlink>
      <w:r w:rsidRPr="002A0B7C">
        <w:rPr>
          <w:i/>
          <w:iCs/>
        </w:rPr>
        <w:t xml:space="preserve"> </w:t>
      </w:r>
    </w:p>
    <w:p w14:paraId="34D68B0A" w14:textId="77777777" w:rsidR="00F55C59" w:rsidRPr="002A0B7C" w:rsidRDefault="00F55C59" w:rsidP="00B43312">
      <w:pPr>
        <w:numPr>
          <w:ilvl w:val="0"/>
          <w:numId w:val="27"/>
        </w:numPr>
        <w:jc w:val="both"/>
        <w:rPr>
          <w:i/>
          <w:iCs/>
        </w:rPr>
      </w:pPr>
      <w:r w:rsidRPr="002A0B7C">
        <w:rPr>
          <w:i/>
          <w:iCs/>
        </w:rPr>
        <w:t xml:space="preserve">Oetjen, B., 2023. Why inclusive resources matter—the importance of inclusive internal resources for strain and intended inclusive practices of pre-service teachers. Education Sciences, 13(5), p.523. </w:t>
      </w:r>
      <w:hyperlink r:id="rId54" w:history="1">
        <w:r w:rsidRPr="002A0B7C">
          <w:rPr>
            <w:rStyle w:val="Hyperlink"/>
            <w:i/>
            <w:iCs/>
          </w:rPr>
          <w:t>https://doi.org/10.3390/educsci13050523</w:t>
        </w:r>
      </w:hyperlink>
      <w:r w:rsidRPr="002A0B7C">
        <w:rPr>
          <w:i/>
          <w:iCs/>
        </w:rPr>
        <w:t xml:space="preserve"> </w:t>
      </w:r>
    </w:p>
    <w:p w14:paraId="25A0DB2C" w14:textId="77777777" w:rsidR="00F55C59" w:rsidRPr="002A0B7C" w:rsidRDefault="00F55C59" w:rsidP="00B43312">
      <w:pPr>
        <w:numPr>
          <w:ilvl w:val="0"/>
          <w:numId w:val="27"/>
        </w:numPr>
        <w:jc w:val="both"/>
        <w:rPr>
          <w:i/>
          <w:iCs/>
        </w:rPr>
      </w:pPr>
      <w:r w:rsidRPr="002A0B7C">
        <w:rPr>
          <w:i/>
          <w:iCs/>
        </w:rPr>
        <w:t xml:space="preserve">Okumus, F., Rasoolimanesh, S.M. and Jahani, S. eds., 2022. Contemporary research methods in hospitality and tourism. Emerald Publishing Limited. </w:t>
      </w:r>
    </w:p>
    <w:p w14:paraId="2704E6FA" w14:textId="77777777" w:rsidR="00F55C59" w:rsidRPr="002A0B7C" w:rsidRDefault="00F55C59" w:rsidP="00B43312">
      <w:pPr>
        <w:pStyle w:val="NormalWeb"/>
        <w:numPr>
          <w:ilvl w:val="0"/>
          <w:numId w:val="27"/>
        </w:numPr>
        <w:jc w:val="both"/>
        <w:rPr>
          <w:i/>
          <w:iCs/>
        </w:rPr>
      </w:pPr>
      <w:r w:rsidRPr="002A0B7C">
        <w:rPr>
          <w:rFonts w:eastAsiaTheme="majorEastAsia"/>
          <w:i/>
          <w:iCs/>
        </w:rPr>
        <w:t xml:space="preserve">Peiying, W.U., Yixing, J.I.N. and Yingda, W.A.N.G., 2021. Research on the Work Engagement of Hospitality Industry Staff from the Perspective of Tourism Management Informatization. In E3S Web of Conferences (Vol. 233, p. 01166). EDP Sciences. </w:t>
      </w:r>
      <w:hyperlink r:id="rId55" w:history="1">
        <w:r w:rsidRPr="002A0B7C">
          <w:rPr>
            <w:rStyle w:val="Hyperlink"/>
            <w:rFonts w:eastAsiaTheme="majorEastAsia"/>
            <w:i/>
            <w:iCs/>
          </w:rPr>
          <w:t>https://doi.org/10.1051/e3sconf/202123301166</w:t>
        </w:r>
      </w:hyperlink>
      <w:r w:rsidRPr="002A0B7C">
        <w:rPr>
          <w:rFonts w:eastAsiaTheme="majorEastAsia"/>
          <w:i/>
          <w:iCs/>
        </w:rPr>
        <w:t xml:space="preserve"> </w:t>
      </w:r>
    </w:p>
    <w:p w14:paraId="021DBCF2" w14:textId="77777777" w:rsidR="00F55C59" w:rsidRPr="002A0B7C" w:rsidRDefault="00F55C59" w:rsidP="00B43312">
      <w:pPr>
        <w:numPr>
          <w:ilvl w:val="0"/>
          <w:numId w:val="27"/>
        </w:numPr>
        <w:jc w:val="both"/>
        <w:rPr>
          <w:i/>
          <w:iCs/>
        </w:rPr>
      </w:pPr>
      <w:r w:rsidRPr="002A0B7C">
        <w:rPr>
          <w:i/>
          <w:iCs/>
        </w:rPr>
        <w:t xml:space="preserve">Peltokorpi, V. and Clausen, L., 2011. Linguistic and cultural barriers to intercultural communication in foreign subsidiaries. Asian Business and Management, 10(4), pp.509-528. </w:t>
      </w:r>
      <w:hyperlink r:id="rId56" w:history="1">
        <w:r w:rsidRPr="002A0B7C">
          <w:rPr>
            <w:rStyle w:val="Hyperlink"/>
            <w:i/>
            <w:iCs/>
          </w:rPr>
          <w:t>https://doi.org/10.1057/abm.2011.20</w:t>
        </w:r>
      </w:hyperlink>
      <w:r w:rsidRPr="002A0B7C">
        <w:rPr>
          <w:i/>
          <w:iCs/>
        </w:rPr>
        <w:t xml:space="preserve"> </w:t>
      </w:r>
    </w:p>
    <w:p w14:paraId="49E64543" w14:textId="77777777" w:rsidR="00F55C59" w:rsidRPr="002A0B7C" w:rsidRDefault="00F55C59" w:rsidP="00B43312">
      <w:pPr>
        <w:numPr>
          <w:ilvl w:val="0"/>
          <w:numId w:val="27"/>
        </w:numPr>
        <w:jc w:val="both"/>
        <w:rPr>
          <w:i/>
          <w:iCs/>
        </w:rPr>
      </w:pPr>
      <w:r w:rsidRPr="002A0B7C">
        <w:rPr>
          <w:i/>
          <w:iCs/>
        </w:rPr>
        <w:t xml:space="preserve">Pinto, C.B., 2018. Culturewise Practice: From Managing Diversity to Practicing Inclusion. </w:t>
      </w:r>
    </w:p>
    <w:p w14:paraId="21FC01C5" w14:textId="77777777" w:rsidR="00F55C59" w:rsidRPr="002A0B7C" w:rsidRDefault="00F55C59" w:rsidP="00B43312">
      <w:pPr>
        <w:numPr>
          <w:ilvl w:val="0"/>
          <w:numId w:val="27"/>
        </w:numPr>
        <w:jc w:val="both"/>
        <w:rPr>
          <w:i/>
          <w:iCs/>
        </w:rPr>
      </w:pPr>
      <w:r w:rsidRPr="002A0B7C">
        <w:rPr>
          <w:i/>
          <w:iCs/>
        </w:rPr>
        <w:t>Pompper, D., 2024. DEI and social identity intersectionality in organizational communication. In DEI and Intersectional Social Identities at Work. Routledge.</w:t>
      </w:r>
    </w:p>
    <w:p w14:paraId="5BDCB8A8" w14:textId="77777777" w:rsidR="00F55C59" w:rsidRPr="002A0B7C" w:rsidRDefault="00F55C59" w:rsidP="00B43312">
      <w:pPr>
        <w:numPr>
          <w:ilvl w:val="0"/>
          <w:numId w:val="27"/>
        </w:numPr>
        <w:jc w:val="both"/>
        <w:rPr>
          <w:i/>
          <w:iCs/>
        </w:rPr>
      </w:pPr>
      <w:r w:rsidRPr="002A0B7C">
        <w:rPr>
          <w:i/>
          <w:iCs/>
        </w:rPr>
        <w:t xml:space="preserve">Ponting, S.S.A. and Dillette, A., 2023. Diversity, equity, and inclusion practices: a Delphi study to build a consensus in hospitality and tourism </w:t>
      </w:r>
      <w:r w:rsidRPr="002A0B7C">
        <w:rPr>
          <w:i/>
          <w:iCs/>
        </w:rPr>
        <w:lastRenderedPageBreak/>
        <w:t xml:space="preserve">organizations. International Journal of Contemporary Hospitality Management, 35(11), pp.3764-3786. </w:t>
      </w:r>
      <w:hyperlink r:id="rId57" w:history="1">
        <w:r w:rsidRPr="002A0B7C">
          <w:rPr>
            <w:rStyle w:val="Hyperlink"/>
            <w:i/>
            <w:iCs/>
          </w:rPr>
          <w:t>https://doi.org/10.1108/IJCHM-11-2022-1503</w:t>
        </w:r>
      </w:hyperlink>
      <w:r w:rsidRPr="002A0B7C">
        <w:rPr>
          <w:i/>
          <w:iCs/>
        </w:rPr>
        <w:t xml:space="preserve"> </w:t>
      </w:r>
    </w:p>
    <w:p w14:paraId="3DA4F9EB" w14:textId="77777777" w:rsidR="00F55C59" w:rsidRPr="002A0B7C" w:rsidRDefault="00F55C59" w:rsidP="00B43312">
      <w:pPr>
        <w:numPr>
          <w:ilvl w:val="0"/>
          <w:numId w:val="27"/>
        </w:numPr>
        <w:jc w:val="both"/>
        <w:rPr>
          <w:i/>
          <w:iCs/>
        </w:rPr>
      </w:pPr>
      <w:r w:rsidRPr="002A0B7C">
        <w:rPr>
          <w:i/>
          <w:iCs/>
        </w:rPr>
        <w:t xml:space="preserve">Radhika, J. and Mahalakshmi, 2024. Ubiquity of workplace diversity and inclusion for employee well-being. ISSN: 2347-4378. </w:t>
      </w:r>
      <w:hyperlink r:id="rId58" w:history="1">
        <w:r w:rsidRPr="002A0B7C">
          <w:rPr>
            <w:rStyle w:val="Hyperlink"/>
            <w:i/>
            <w:iCs/>
          </w:rPr>
          <w:t>https://doi.org/10.36713/epra18366</w:t>
        </w:r>
      </w:hyperlink>
      <w:r w:rsidRPr="002A0B7C">
        <w:rPr>
          <w:i/>
          <w:iCs/>
        </w:rPr>
        <w:t xml:space="preserve">   </w:t>
      </w:r>
    </w:p>
    <w:p w14:paraId="7D1493FE" w14:textId="77777777" w:rsidR="00F55C59" w:rsidRPr="002A0B7C" w:rsidRDefault="00F55C59" w:rsidP="00B43312">
      <w:pPr>
        <w:numPr>
          <w:ilvl w:val="0"/>
          <w:numId w:val="27"/>
        </w:numPr>
        <w:jc w:val="both"/>
        <w:rPr>
          <w:i/>
          <w:iCs/>
        </w:rPr>
      </w:pPr>
      <w:r w:rsidRPr="002A0B7C">
        <w:rPr>
          <w:i/>
          <w:iCs/>
        </w:rPr>
        <w:t xml:space="preserve">Rijal, R., 2023. The Impact of Workforce Diversity Management on Organizational Performance: A Study in Nepalese Hospitality Sector. Quest Journal of Management and Social Sciences, 5(2), pp.148-164. </w:t>
      </w:r>
      <w:hyperlink r:id="rId59" w:history="1">
        <w:r w:rsidRPr="002A0B7C">
          <w:rPr>
            <w:rStyle w:val="Hyperlink"/>
            <w:i/>
            <w:iCs/>
          </w:rPr>
          <w:t>https://doi.org/10.3126/qjmss.v5i2.60843</w:t>
        </w:r>
      </w:hyperlink>
      <w:r w:rsidRPr="002A0B7C">
        <w:rPr>
          <w:i/>
          <w:iCs/>
        </w:rPr>
        <w:t xml:space="preserve"> </w:t>
      </w:r>
    </w:p>
    <w:p w14:paraId="197E7F7F" w14:textId="77777777" w:rsidR="00F55C59" w:rsidRPr="002A0B7C" w:rsidRDefault="00F55C59" w:rsidP="00B43312">
      <w:pPr>
        <w:numPr>
          <w:ilvl w:val="0"/>
          <w:numId w:val="27"/>
        </w:numPr>
        <w:jc w:val="both"/>
        <w:rPr>
          <w:i/>
          <w:iCs/>
        </w:rPr>
      </w:pPr>
      <w:r w:rsidRPr="002A0B7C">
        <w:rPr>
          <w:i/>
          <w:iCs/>
        </w:rPr>
        <w:t>Rivera Jr, D. and Lonis-Shumate, S.R., 2014. A preliminary examination of African American and Caucasian hospitality management student perceptions and attitudes toward diversity issues. Journal of Black Studies, 45(5), pp.415-431.</w:t>
      </w:r>
    </w:p>
    <w:p w14:paraId="24EDE74E" w14:textId="77777777" w:rsidR="00F55C59" w:rsidRPr="002A0B7C" w:rsidRDefault="00F55C59" w:rsidP="00B43312">
      <w:pPr>
        <w:numPr>
          <w:ilvl w:val="0"/>
          <w:numId w:val="27"/>
        </w:numPr>
        <w:jc w:val="both"/>
        <w:rPr>
          <w:i/>
          <w:iCs/>
        </w:rPr>
      </w:pPr>
      <w:r w:rsidRPr="002A0B7C">
        <w:rPr>
          <w:i/>
          <w:iCs/>
        </w:rPr>
        <w:t xml:space="preserve">Roberson, Q. and Perry, J.L., 2022. Inclusive leadership in thought and action: A thematic analysis. Group and Organization Management, 47(4), pp.755-778. </w:t>
      </w:r>
      <w:hyperlink r:id="rId60" w:history="1">
        <w:r w:rsidRPr="002A0B7C">
          <w:rPr>
            <w:rStyle w:val="Hyperlink"/>
            <w:i/>
            <w:iCs/>
          </w:rPr>
          <w:t>https://doi.org/10.1177/10596011211013161</w:t>
        </w:r>
      </w:hyperlink>
      <w:r w:rsidRPr="002A0B7C">
        <w:rPr>
          <w:i/>
          <w:iCs/>
        </w:rPr>
        <w:t xml:space="preserve"> </w:t>
      </w:r>
    </w:p>
    <w:p w14:paraId="55CF6FB4" w14:textId="77777777" w:rsidR="00F55C59" w:rsidRPr="002A0B7C" w:rsidRDefault="00F55C59" w:rsidP="00B43312">
      <w:pPr>
        <w:numPr>
          <w:ilvl w:val="0"/>
          <w:numId w:val="27"/>
        </w:numPr>
        <w:jc w:val="both"/>
        <w:rPr>
          <w:i/>
          <w:iCs/>
        </w:rPr>
      </w:pPr>
      <w:r w:rsidRPr="002A0B7C">
        <w:rPr>
          <w:i/>
          <w:iCs/>
          <w:lang w:val="de-DE"/>
        </w:rPr>
        <w:t xml:space="preserve">Ruck, K., Welch, M. and Menara, B., 2017. </w:t>
      </w:r>
      <w:r w:rsidRPr="002A0B7C">
        <w:rPr>
          <w:i/>
          <w:iCs/>
        </w:rPr>
        <w:t xml:space="preserve">Employee voice: an antecedent to organisational engagement?. Public Relations Review, 43(5), pp.904-914. </w:t>
      </w:r>
      <w:hyperlink r:id="rId61" w:history="1">
        <w:r w:rsidRPr="002A0B7C">
          <w:rPr>
            <w:rStyle w:val="Hyperlink"/>
            <w:i/>
            <w:iCs/>
          </w:rPr>
          <w:t>https://doi.org/10.1016/j.pubrev.2017.04.008</w:t>
        </w:r>
      </w:hyperlink>
      <w:r w:rsidRPr="002A0B7C">
        <w:rPr>
          <w:i/>
          <w:iCs/>
        </w:rPr>
        <w:t xml:space="preserve"> </w:t>
      </w:r>
    </w:p>
    <w:p w14:paraId="11FD3A77" w14:textId="77777777" w:rsidR="00F55C59" w:rsidRPr="002A0B7C" w:rsidRDefault="00F55C59" w:rsidP="00B43312">
      <w:pPr>
        <w:numPr>
          <w:ilvl w:val="0"/>
          <w:numId w:val="27"/>
        </w:numPr>
        <w:jc w:val="both"/>
        <w:rPr>
          <w:i/>
          <w:iCs/>
        </w:rPr>
      </w:pPr>
      <w:r w:rsidRPr="002A0B7C">
        <w:rPr>
          <w:i/>
          <w:iCs/>
        </w:rPr>
        <w:t xml:space="preserve">Russen, M. and Dawson, M., 2023. Which should come first? Examining diversity, equity and inclusion. International Journal of Contemporary Hospitality Management, 36(1), pp.25-40. </w:t>
      </w:r>
      <w:hyperlink r:id="rId62" w:history="1">
        <w:r w:rsidRPr="002A0B7C">
          <w:rPr>
            <w:rStyle w:val="Hyperlink"/>
            <w:i/>
            <w:iCs/>
          </w:rPr>
          <w:t>http://doi.org/https://doi.org/10.1108/IJCHM-09-2022-1184?urlappend=%3Futm_source%3Dresearchgate</w:t>
        </w:r>
      </w:hyperlink>
      <w:r w:rsidRPr="002A0B7C">
        <w:rPr>
          <w:i/>
          <w:iCs/>
        </w:rPr>
        <w:t xml:space="preserve"> </w:t>
      </w:r>
    </w:p>
    <w:p w14:paraId="3AB89430" w14:textId="77777777" w:rsidR="00F55C59" w:rsidRPr="002A0B7C" w:rsidRDefault="00F55C59" w:rsidP="00B43312">
      <w:pPr>
        <w:pStyle w:val="NormalWeb"/>
        <w:numPr>
          <w:ilvl w:val="0"/>
          <w:numId w:val="27"/>
        </w:numPr>
        <w:jc w:val="both"/>
        <w:rPr>
          <w:i/>
          <w:iCs/>
        </w:rPr>
      </w:pPr>
      <w:r w:rsidRPr="002A0B7C">
        <w:rPr>
          <w:rFonts w:eastAsiaTheme="majorEastAsia"/>
          <w:i/>
          <w:iCs/>
        </w:rPr>
        <w:t xml:space="preserve">Russen, M., Dawson, M., Madera, J.M., Kitterlin-Lynch, M. and Abbott, J.L., 2023. Leadership inclusion theory: a grounded theory study on hotel executives. International Journal of Contemporary Hospitality Management, 35(11), pp.3825-3843. </w:t>
      </w:r>
      <w:hyperlink r:id="rId63" w:history="1">
        <w:r w:rsidRPr="002A0B7C">
          <w:rPr>
            <w:rStyle w:val="Hyperlink"/>
            <w:rFonts w:eastAsiaTheme="majorEastAsia"/>
            <w:i/>
            <w:iCs/>
          </w:rPr>
          <w:t>https://doi.org/10.1108/IJCHM-10-2022-1252</w:t>
        </w:r>
      </w:hyperlink>
      <w:r w:rsidRPr="002A0B7C">
        <w:rPr>
          <w:rFonts w:eastAsiaTheme="majorEastAsia"/>
          <w:i/>
          <w:iCs/>
        </w:rPr>
        <w:t xml:space="preserve"> </w:t>
      </w:r>
    </w:p>
    <w:p w14:paraId="5619CEAD" w14:textId="77777777" w:rsidR="00F55C59" w:rsidRPr="002A0B7C" w:rsidRDefault="00F55C59" w:rsidP="00B43312">
      <w:pPr>
        <w:numPr>
          <w:ilvl w:val="0"/>
          <w:numId w:val="27"/>
        </w:numPr>
        <w:jc w:val="both"/>
        <w:rPr>
          <w:i/>
          <w:iCs/>
        </w:rPr>
      </w:pPr>
      <w:r w:rsidRPr="002A0B7C">
        <w:rPr>
          <w:i/>
          <w:iCs/>
        </w:rPr>
        <w:t xml:space="preserve">Shrestha, P. and Bhattarai, P.C., 2021. Application of case study methodology in the exploration of inclusion in education. American Journal of Qualitative Research, 6(1), pp.73-84. </w:t>
      </w:r>
      <w:hyperlink r:id="rId64" w:history="1">
        <w:r w:rsidRPr="002A0B7C">
          <w:rPr>
            <w:rStyle w:val="Hyperlink"/>
            <w:i/>
            <w:iCs/>
          </w:rPr>
          <w:t>https://doi.org/10.29333/ajqr/11461</w:t>
        </w:r>
      </w:hyperlink>
      <w:r w:rsidRPr="002A0B7C">
        <w:rPr>
          <w:i/>
          <w:iCs/>
        </w:rPr>
        <w:t xml:space="preserve"> </w:t>
      </w:r>
    </w:p>
    <w:p w14:paraId="371AA980" w14:textId="77777777" w:rsidR="00F55C59" w:rsidRPr="002A0B7C" w:rsidRDefault="00F55C59" w:rsidP="00B43312">
      <w:pPr>
        <w:numPr>
          <w:ilvl w:val="0"/>
          <w:numId w:val="27"/>
        </w:numPr>
        <w:jc w:val="both"/>
        <w:rPr>
          <w:i/>
          <w:iCs/>
        </w:rPr>
      </w:pPr>
      <w:r w:rsidRPr="002A0B7C">
        <w:rPr>
          <w:i/>
          <w:iCs/>
        </w:rPr>
        <w:t xml:space="preserve">Solmaz, C. and Ehtiyar, E., 2025. Why are women underrepresented in senior management? A study in the Turkish hospitality industry. European Journal of Tourism Research, 39, pp.3901-3901. </w:t>
      </w:r>
      <w:hyperlink r:id="rId65" w:history="1">
        <w:r w:rsidRPr="002A0B7C">
          <w:rPr>
            <w:rStyle w:val="Hyperlink"/>
            <w:i/>
            <w:iCs/>
          </w:rPr>
          <w:t>https://doi.org/10.54055/ejtr.v39i.3100</w:t>
        </w:r>
      </w:hyperlink>
      <w:r w:rsidRPr="002A0B7C">
        <w:rPr>
          <w:i/>
          <w:iCs/>
        </w:rPr>
        <w:t xml:space="preserve"> </w:t>
      </w:r>
    </w:p>
    <w:p w14:paraId="14E5677F" w14:textId="77777777" w:rsidR="00F55C59" w:rsidRPr="002A0B7C" w:rsidRDefault="00F55C59" w:rsidP="00B43312">
      <w:pPr>
        <w:numPr>
          <w:ilvl w:val="0"/>
          <w:numId w:val="27"/>
        </w:numPr>
        <w:jc w:val="both"/>
        <w:rPr>
          <w:i/>
          <w:iCs/>
        </w:rPr>
      </w:pPr>
      <w:r w:rsidRPr="002A0B7C">
        <w:rPr>
          <w:i/>
          <w:iCs/>
        </w:rPr>
        <w:t xml:space="preserve">Suarez, E., Susaeta, L., Alcaraz, J.M., Parello, R., Colón, C., Gutiérrez, I., Cunha, R., Idrovo, S., Weisz, N., Correia, M. and Apascaritei, P., 2015. Does CSR Foster Inclusion and Diversity? An Exploratory Study of Ibero-American Countries. </w:t>
      </w:r>
      <w:hyperlink r:id="rId66" w:history="1">
        <w:r w:rsidRPr="002A0B7C">
          <w:rPr>
            <w:rStyle w:val="Hyperlink"/>
            <w:i/>
            <w:iCs/>
          </w:rPr>
          <w:t>https://dx.doi.org/10.2139/ssrn.2598466</w:t>
        </w:r>
      </w:hyperlink>
      <w:r w:rsidRPr="002A0B7C">
        <w:rPr>
          <w:i/>
          <w:iCs/>
        </w:rPr>
        <w:t xml:space="preserve"> </w:t>
      </w:r>
    </w:p>
    <w:p w14:paraId="3FC03E5D" w14:textId="77777777" w:rsidR="00F55C59" w:rsidRPr="002A0B7C" w:rsidRDefault="00F55C59" w:rsidP="00B43312">
      <w:pPr>
        <w:numPr>
          <w:ilvl w:val="0"/>
          <w:numId w:val="27"/>
        </w:numPr>
        <w:jc w:val="both"/>
        <w:rPr>
          <w:i/>
          <w:iCs/>
        </w:rPr>
      </w:pPr>
      <w:r w:rsidRPr="002A0B7C">
        <w:rPr>
          <w:i/>
          <w:iCs/>
        </w:rPr>
        <w:lastRenderedPageBreak/>
        <w:t xml:space="preserve">Taylor, M.M., Fernandez, C.S., Dave, G., Brandert, K., Larkin, S., Mollenkopf, K. and Corbie, G., 2023. Implementing measurable goals for diversity, equity, and inclusion in Clinical and Translational Science Awards leadership. Equity in Education and Society, 2(2), pp.198-205. </w:t>
      </w:r>
      <w:hyperlink r:id="rId67" w:history="1">
        <w:r w:rsidRPr="002A0B7C">
          <w:rPr>
            <w:rStyle w:val="Hyperlink"/>
            <w:i/>
            <w:iCs/>
          </w:rPr>
          <w:t>https://doi.org/10.1177/27526461231159920</w:t>
        </w:r>
      </w:hyperlink>
      <w:r w:rsidRPr="002A0B7C">
        <w:rPr>
          <w:i/>
          <w:iCs/>
        </w:rPr>
        <w:t xml:space="preserve"> </w:t>
      </w:r>
    </w:p>
    <w:p w14:paraId="4D255DB6" w14:textId="77777777" w:rsidR="00F55C59" w:rsidRPr="002A0B7C" w:rsidRDefault="00F55C59" w:rsidP="00B43312">
      <w:pPr>
        <w:numPr>
          <w:ilvl w:val="0"/>
          <w:numId w:val="27"/>
        </w:numPr>
        <w:jc w:val="both"/>
        <w:rPr>
          <w:i/>
          <w:iCs/>
        </w:rPr>
      </w:pPr>
      <w:r w:rsidRPr="002A0B7C">
        <w:rPr>
          <w:i/>
          <w:iCs/>
        </w:rPr>
        <w:t>Tsai, C.H., 2024. The Relationship Between leadership and Organizational</w:t>
      </w:r>
      <w:r w:rsidRPr="002A0B7C">
        <w:rPr>
          <w:i/>
          <w:iCs/>
        </w:rPr>
        <w:tab/>
        <w:t xml:space="preserve">Commitment - Exploring the Mediating Effect of Diversity, Equity, and Inclusion (DEI) Practices. Global Journal of Human Resources Management, 12(6):46-47. </w:t>
      </w:r>
      <w:hyperlink r:id="rId68" w:history="1">
        <w:r w:rsidRPr="002A0B7C">
          <w:rPr>
            <w:rStyle w:val="Hyperlink"/>
            <w:i/>
            <w:iCs/>
          </w:rPr>
          <w:t>https://doi.org/10.37745/gjhrm.2013/vol12n64667</w:t>
        </w:r>
      </w:hyperlink>
      <w:r w:rsidRPr="002A0B7C">
        <w:rPr>
          <w:i/>
          <w:iCs/>
        </w:rPr>
        <w:t xml:space="preserve"> </w:t>
      </w:r>
    </w:p>
    <w:p w14:paraId="2D88E67C" w14:textId="77777777" w:rsidR="00F55C59" w:rsidRPr="002A0B7C" w:rsidRDefault="00F55C59" w:rsidP="00B43312">
      <w:pPr>
        <w:numPr>
          <w:ilvl w:val="0"/>
          <w:numId w:val="27"/>
        </w:numPr>
        <w:jc w:val="both"/>
        <w:rPr>
          <w:i/>
          <w:iCs/>
        </w:rPr>
      </w:pPr>
      <w:r w:rsidRPr="002A0B7C">
        <w:rPr>
          <w:i/>
          <w:iCs/>
        </w:rPr>
        <w:t xml:space="preserve">Tucker, E., 2023. Diversity, equity and inclusion: from aspiration to impact. Strategic HR Review, 22(3), pp.92-97. </w:t>
      </w:r>
      <w:hyperlink r:id="rId69" w:history="1">
        <w:r w:rsidRPr="002A0B7C">
          <w:rPr>
            <w:rStyle w:val="Hyperlink"/>
            <w:i/>
            <w:iCs/>
          </w:rPr>
          <w:t>https://doi.org/10.1108/SHR-03-2023-0015</w:t>
        </w:r>
      </w:hyperlink>
      <w:r w:rsidRPr="002A0B7C">
        <w:rPr>
          <w:i/>
          <w:iCs/>
        </w:rPr>
        <w:t xml:space="preserve"> </w:t>
      </w:r>
    </w:p>
    <w:p w14:paraId="77FEF4F1" w14:textId="77777777" w:rsidR="00F55C59" w:rsidRPr="002A0B7C" w:rsidRDefault="00F55C59" w:rsidP="00B43312">
      <w:pPr>
        <w:numPr>
          <w:ilvl w:val="0"/>
          <w:numId w:val="27"/>
        </w:numPr>
        <w:jc w:val="both"/>
        <w:rPr>
          <w:i/>
          <w:iCs/>
        </w:rPr>
      </w:pPr>
      <w:r w:rsidRPr="002A0B7C">
        <w:rPr>
          <w:i/>
          <w:iCs/>
        </w:rPr>
        <w:t xml:space="preserve">Vashishth, A., Verma, V., Saini, A. and Jhamb, D., 2019. Workforce Diversity-Challenges in Inclusion of People with Disabilities in the Hospitality Industr. Indian Journal of Public Health Research and Development, 10(8). </w:t>
      </w:r>
      <w:hyperlink r:id="rId70" w:history="1">
        <w:r w:rsidRPr="002A0B7C">
          <w:rPr>
            <w:rStyle w:val="Hyperlink"/>
            <w:i/>
            <w:iCs/>
          </w:rPr>
          <w:t>https://doi.org/10.5958/0976-5506.2019.01877.1</w:t>
        </w:r>
      </w:hyperlink>
      <w:r w:rsidRPr="002A0B7C">
        <w:rPr>
          <w:i/>
          <w:iCs/>
        </w:rPr>
        <w:t xml:space="preserve"> </w:t>
      </w:r>
    </w:p>
    <w:p w14:paraId="0B07AFD9" w14:textId="77777777" w:rsidR="00F55C59" w:rsidRPr="002A0B7C" w:rsidRDefault="00F55C59" w:rsidP="00B43312">
      <w:pPr>
        <w:numPr>
          <w:ilvl w:val="0"/>
          <w:numId w:val="27"/>
        </w:numPr>
        <w:jc w:val="both"/>
        <w:rPr>
          <w:i/>
          <w:iCs/>
        </w:rPr>
      </w:pPr>
      <w:r w:rsidRPr="002A0B7C">
        <w:rPr>
          <w:i/>
          <w:iCs/>
        </w:rPr>
        <w:t xml:space="preserve">Vassou, C., Theocharous, A.L. and Zopiatis, A., 2025. Inclusive leadership in hospitality: a driver of social inclusion?. EuroMed Journal of Business, 20(2), pp.415-434. </w:t>
      </w:r>
      <w:hyperlink r:id="rId71" w:history="1">
        <w:r w:rsidRPr="002A0B7C">
          <w:rPr>
            <w:rStyle w:val="Hyperlink"/>
            <w:i/>
            <w:iCs/>
          </w:rPr>
          <w:t>https://doi.org/10.1108/EMJB-08-2023-0208</w:t>
        </w:r>
      </w:hyperlink>
      <w:r w:rsidRPr="002A0B7C">
        <w:rPr>
          <w:i/>
          <w:iCs/>
        </w:rPr>
        <w:t xml:space="preserve"> </w:t>
      </w:r>
    </w:p>
    <w:p w14:paraId="40F1D9B2" w14:textId="77777777" w:rsidR="00F55C59" w:rsidRPr="002A0B7C" w:rsidRDefault="00F55C59" w:rsidP="00B43312">
      <w:pPr>
        <w:numPr>
          <w:ilvl w:val="0"/>
          <w:numId w:val="27"/>
        </w:numPr>
        <w:jc w:val="both"/>
        <w:rPr>
          <w:i/>
          <w:iCs/>
        </w:rPr>
      </w:pPr>
      <w:r w:rsidRPr="002A0B7C">
        <w:rPr>
          <w:i/>
          <w:iCs/>
        </w:rPr>
        <w:t xml:space="preserve">Wickham, M.D., Fiedler, T. and Donnelly, T.I., 2025. Addressing the Diversity Paradox: A Resource‐Based View of DEI Best Practices. Sustainable Development. </w:t>
      </w:r>
      <w:hyperlink r:id="rId72" w:history="1">
        <w:r w:rsidRPr="002A0B7C">
          <w:rPr>
            <w:rStyle w:val="Hyperlink"/>
            <w:i/>
            <w:iCs/>
          </w:rPr>
          <w:t>https://doi.org/10.1002/sd.3467</w:t>
        </w:r>
      </w:hyperlink>
      <w:r w:rsidRPr="002A0B7C">
        <w:rPr>
          <w:i/>
          <w:iCs/>
        </w:rPr>
        <w:t xml:space="preserve"> </w:t>
      </w:r>
    </w:p>
    <w:p w14:paraId="19394E8B" w14:textId="77777777" w:rsidR="00F55C59" w:rsidRPr="002A0B7C" w:rsidRDefault="00F55C59" w:rsidP="00B43312">
      <w:pPr>
        <w:numPr>
          <w:ilvl w:val="0"/>
          <w:numId w:val="27"/>
        </w:numPr>
        <w:jc w:val="both"/>
        <w:rPr>
          <w:i/>
          <w:iCs/>
        </w:rPr>
      </w:pPr>
      <w:r w:rsidRPr="002A0B7C">
        <w:rPr>
          <w:i/>
          <w:iCs/>
        </w:rPr>
        <w:t xml:space="preserve">Williams, N.J. and Cox, J.M., 2022. The new principle-practice gap: The disconnect between diversity beliefs and actions in the workplace. Sociology of Race and Ethnicity, 8(2), pp.301-314. </w:t>
      </w:r>
      <w:hyperlink r:id="rId73" w:history="1">
        <w:r w:rsidRPr="002A0B7C">
          <w:rPr>
            <w:rStyle w:val="Hyperlink"/>
            <w:i/>
            <w:iCs/>
          </w:rPr>
          <w:t>https://doi.org/10.1177/23326492221078293</w:t>
        </w:r>
      </w:hyperlink>
      <w:r w:rsidRPr="002A0B7C">
        <w:rPr>
          <w:i/>
          <w:iCs/>
        </w:rPr>
        <w:t xml:space="preserve"> </w:t>
      </w:r>
    </w:p>
    <w:p w14:paraId="4686EBE9" w14:textId="77777777" w:rsidR="00F55C59" w:rsidRPr="002A0B7C" w:rsidRDefault="00F55C59" w:rsidP="00B43312">
      <w:pPr>
        <w:numPr>
          <w:ilvl w:val="0"/>
          <w:numId w:val="27"/>
        </w:numPr>
        <w:jc w:val="both"/>
        <w:rPr>
          <w:i/>
          <w:iCs/>
          <w:lang w:val="de-DE"/>
        </w:rPr>
      </w:pPr>
      <w:r w:rsidRPr="002A0B7C">
        <w:rPr>
          <w:i/>
          <w:iCs/>
        </w:rPr>
        <w:t>Wiyono, D., Ambiapuri, E., Parwitasari, N. and Tedi, E., 2024. Diversity and Inclusion Policy Strategies to Optimize Leader Support for Enhancing Team Creativity in Starred Hotels in Bandung: The Role of Self-Identification as a Mediator. </w:t>
      </w:r>
      <w:r w:rsidRPr="002A0B7C">
        <w:rPr>
          <w:i/>
          <w:iCs/>
          <w:lang w:val="de-DE"/>
        </w:rPr>
        <w:t xml:space="preserve">Jurnal Manajemen (Edisi Elektronik), 15(2), pp.403-422. </w:t>
      </w:r>
      <w:hyperlink r:id="rId74" w:history="1">
        <w:r w:rsidRPr="002A0B7C">
          <w:rPr>
            <w:rStyle w:val="Hyperlink"/>
            <w:i/>
            <w:iCs/>
            <w:lang w:val="de-DE"/>
          </w:rPr>
          <w:t>https://doi.org/10.32832/jm-uika.v15i2.16343</w:t>
        </w:r>
      </w:hyperlink>
      <w:r w:rsidRPr="002A0B7C">
        <w:rPr>
          <w:i/>
          <w:iCs/>
          <w:lang w:val="de-DE"/>
        </w:rPr>
        <w:t xml:space="preserve"> </w:t>
      </w:r>
    </w:p>
    <w:p w14:paraId="41151313" w14:textId="77777777" w:rsidR="00F55C59" w:rsidRPr="002A0B7C" w:rsidRDefault="00F55C59" w:rsidP="00B43312">
      <w:pPr>
        <w:numPr>
          <w:ilvl w:val="0"/>
          <w:numId w:val="27"/>
        </w:numPr>
        <w:jc w:val="both"/>
        <w:rPr>
          <w:i/>
          <w:iCs/>
        </w:rPr>
      </w:pPr>
      <w:r w:rsidRPr="002A0B7C">
        <w:rPr>
          <w:i/>
          <w:iCs/>
        </w:rPr>
        <w:t xml:space="preserve">Wood, A.J., 2018. Powerful times: Flexible discipline and schedule gifts at work. Work, Employment and Society, 32(6), pp.1061-1077. </w:t>
      </w:r>
      <w:hyperlink r:id="rId75" w:history="1">
        <w:r w:rsidRPr="002A0B7C">
          <w:rPr>
            <w:rStyle w:val="Hyperlink"/>
            <w:i/>
            <w:iCs/>
          </w:rPr>
          <w:t>https://doi.org/10.1177/0950017017719839</w:t>
        </w:r>
      </w:hyperlink>
      <w:r w:rsidRPr="002A0B7C">
        <w:rPr>
          <w:i/>
          <w:iCs/>
        </w:rPr>
        <w:t xml:space="preserve"> </w:t>
      </w:r>
    </w:p>
    <w:p w14:paraId="01641005" w14:textId="309A5FFA" w:rsidR="002033B2" w:rsidRPr="002A0B7C" w:rsidRDefault="00F55C59" w:rsidP="00B43312">
      <w:pPr>
        <w:numPr>
          <w:ilvl w:val="0"/>
          <w:numId w:val="27"/>
        </w:numPr>
        <w:jc w:val="both"/>
        <w:rPr>
          <w:i/>
          <w:iCs/>
        </w:rPr>
      </w:pPr>
      <w:r w:rsidRPr="002A0B7C">
        <w:rPr>
          <w:i/>
          <w:iCs/>
        </w:rPr>
        <w:t>Yin, R.K., 2018. Case study research and applications (Vol. 6). Thousand Oaks, CA: Sage</w:t>
      </w:r>
      <w:r w:rsidR="00242323" w:rsidRPr="002A0B7C">
        <w:rPr>
          <w:i/>
          <w:iCs/>
        </w:rPr>
        <w:t>.</w:t>
      </w:r>
    </w:p>
    <w:sectPr w:rsidR="002033B2" w:rsidRPr="002A0B7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A2FFE" w14:textId="77777777" w:rsidR="00856F6A" w:rsidRDefault="00856F6A" w:rsidP="0061278F">
      <w:pPr>
        <w:spacing w:after="0" w:line="240" w:lineRule="auto"/>
      </w:pPr>
      <w:r>
        <w:separator/>
      </w:r>
    </w:p>
  </w:endnote>
  <w:endnote w:type="continuationSeparator" w:id="0">
    <w:p w14:paraId="4F4227E6" w14:textId="77777777" w:rsidR="00856F6A" w:rsidRDefault="00856F6A" w:rsidP="006127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1683D3" w14:textId="77777777" w:rsidR="00856F6A" w:rsidRDefault="00856F6A" w:rsidP="0061278F">
      <w:pPr>
        <w:spacing w:after="0" w:line="240" w:lineRule="auto"/>
      </w:pPr>
      <w:r>
        <w:separator/>
      </w:r>
    </w:p>
  </w:footnote>
  <w:footnote w:type="continuationSeparator" w:id="0">
    <w:p w14:paraId="09E3FDE0" w14:textId="77777777" w:rsidR="00856F6A" w:rsidRDefault="00856F6A" w:rsidP="006127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E698F"/>
    <w:multiLevelType w:val="hybridMultilevel"/>
    <w:tmpl w:val="A29EF834"/>
    <w:lvl w:ilvl="0" w:tplc="362A3F70">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C46DFA"/>
    <w:multiLevelType w:val="multilevel"/>
    <w:tmpl w:val="BC2C9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9F4863"/>
    <w:multiLevelType w:val="multilevel"/>
    <w:tmpl w:val="887ECB16"/>
    <w:lvl w:ilvl="0">
      <w:start w:val="4"/>
      <w:numFmt w:val="decimal"/>
      <w:lvlText w:val="%1"/>
      <w:lvlJc w:val="left"/>
      <w:pPr>
        <w:ind w:left="360" w:hanging="360"/>
      </w:pPr>
      <w:rPr>
        <w:rFonts w:hint="default"/>
      </w:rPr>
    </w:lvl>
    <w:lvl w:ilvl="1">
      <w:start w:val="1"/>
      <w:numFmt w:val="decimal"/>
      <w:lvlText w:val="%1.%2"/>
      <w:lvlJc w:val="left"/>
      <w:pPr>
        <w:ind w:left="1092" w:hanging="360"/>
      </w:pPr>
      <w:rPr>
        <w:rFonts w:hint="default"/>
      </w:rPr>
    </w:lvl>
    <w:lvl w:ilvl="2">
      <w:start w:val="1"/>
      <w:numFmt w:val="decimal"/>
      <w:lvlText w:val="%1.%2.%3"/>
      <w:lvlJc w:val="left"/>
      <w:pPr>
        <w:ind w:left="2184" w:hanging="720"/>
      </w:pPr>
      <w:rPr>
        <w:rFonts w:hint="default"/>
      </w:rPr>
    </w:lvl>
    <w:lvl w:ilvl="3">
      <w:start w:val="1"/>
      <w:numFmt w:val="decimal"/>
      <w:lvlText w:val="%1.%2.%3.%4"/>
      <w:lvlJc w:val="left"/>
      <w:pPr>
        <w:ind w:left="3276" w:hanging="1080"/>
      </w:pPr>
      <w:rPr>
        <w:rFonts w:hint="default"/>
      </w:rPr>
    </w:lvl>
    <w:lvl w:ilvl="4">
      <w:start w:val="1"/>
      <w:numFmt w:val="decimal"/>
      <w:lvlText w:val="%1.%2.%3.%4.%5"/>
      <w:lvlJc w:val="left"/>
      <w:pPr>
        <w:ind w:left="4008" w:hanging="1080"/>
      </w:pPr>
      <w:rPr>
        <w:rFonts w:hint="default"/>
      </w:rPr>
    </w:lvl>
    <w:lvl w:ilvl="5">
      <w:start w:val="1"/>
      <w:numFmt w:val="decimal"/>
      <w:lvlText w:val="%1.%2.%3.%4.%5.%6"/>
      <w:lvlJc w:val="left"/>
      <w:pPr>
        <w:ind w:left="5100" w:hanging="1440"/>
      </w:pPr>
      <w:rPr>
        <w:rFonts w:hint="default"/>
      </w:rPr>
    </w:lvl>
    <w:lvl w:ilvl="6">
      <w:start w:val="1"/>
      <w:numFmt w:val="decimal"/>
      <w:lvlText w:val="%1.%2.%3.%4.%5.%6.%7"/>
      <w:lvlJc w:val="left"/>
      <w:pPr>
        <w:ind w:left="5832" w:hanging="1440"/>
      </w:pPr>
      <w:rPr>
        <w:rFonts w:hint="default"/>
      </w:rPr>
    </w:lvl>
    <w:lvl w:ilvl="7">
      <w:start w:val="1"/>
      <w:numFmt w:val="decimal"/>
      <w:lvlText w:val="%1.%2.%3.%4.%5.%6.%7.%8"/>
      <w:lvlJc w:val="left"/>
      <w:pPr>
        <w:ind w:left="6924" w:hanging="1800"/>
      </w:pPr>
      <w:rPr>
        <w:rFonts w:hint="default"/>
      </w:rPr>
    </w:lvl>
    <w:lvl w:ilvl="8">
      <w:start w:val="1"/>
      <w:numFmt w:val="decimal"/>
      <w:lvlText w:val="%1.%2.%3.%4.%5.%6.%7.%8.%9"/>
      <w:lvlJc w:val="left"/>
      <w:pPr>
        <w:ind w:left="7656" w:hanging="1800"/>
      </w:pPr>
      <w:rPr>
        <w:rFonts w:hint="default"/>
      </w:rPr>
    </w:lvl>
  </w:abstractNum>
  <w:abstractNum w:abstractNumId="3" w15:restartNumberingAfterBreak="0">
    <w:nsid w:val="1EEA23FB"/>
    <w:multiLevelType w:val="multilevel"/>
    <w:tmpl w:val="32E86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365543"/>
    <w:multiLevelType w:val="hybridMultilevel"/>
    <w:tmpl w:val="0DC804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873D0F"/>
    <w:multiLevelType w:val="hybridMultilevel"/>
    <w:tmpl w:val="07F46E88"/>
    <w:lvl w:ilvl="0" w:tplc="0F267CA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F4612B"/>
    <w:multiLevelType w:val="hybridMultilevel"/>
    <w:tmpl w:val="FC62DDB8"/>
    <w:lvl w:ilvl="0" w:tplc="61FC5946">
      <w:start w:val="1"/>
      <w:numFmt w:val="decimal"/>
      <w:lvlText w:val="%1."/>
      <w:lvlJc w:val="left"/>
      <w:pPr>
        <w:ind w:left="720" w:hanging="360"/>
      </w:pPr>
      <w:rPr>
        <w:rFonts w:ascii="Arial" w:eastAsiaTheme="minorHAnsi"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3F2DC1"/>
    <w:multiLevelType w:val="multilevel"/>
    <w:tmpl w:val="E47CF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264ADC"/>
    <w:multiLevelType w:val="hybridMultilevel"/>
    <w:tmpl w:val="4A88BF8E"/>
    <w:lvl w:ilvl="0" w:tplc="4B50C800">
      <w:start w:val="1"/>
      <w:numFmt w:val="lowerLetter"/>
      <w:lvlText w:val="%1)"/>
      <w:lvlJc w:val="left"/>
      <w:pPr>
        <w:ind w:left="1800" w:hanging="360"/>
      </w:pPr>
      <w:rPr>
        <w:rFonts w:hint="default"/>
        <w:b w:val="0"/>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9" w15:restartNumberingAfterBreak="0">
    <w:nsid w:val="34BD7982"/>
    <w:multiLevelType w:val="multilevel"/>
    <w:tmpl w:val="AA68085C"/>
    <w:lvl w:ilvl="0">
      <w:start w:val="3"/>
      <w:numFmt w:val="decimal"/>
      <w:lvlText w:val="%1"/>
      <w:lvlJc w:val="left"/>
      <w:pPr>
        <w:ind w:left="360" w:hanging="360"/>
      </w:pPr>
      <w:rPr>
        <w:rFonts w:hint="default"/>
        <w:b/>
      </w:rPr>
    </w:lvl>
    <w:lvl w:ilvl="1">
      <w:start w:val="2"/>
      <w:numFmt w:val="decimal"/>
      <w:lvlText w:val="%1.%2"/>
      <w:lvlJc w:val="left"/>
      <w:pPr>
        <w:ind w:left="1092" w:hanging="360"/>
      </w:pPr>
      <w:rPr>
        <w:rFonts w:hint="default"/>
        <w:b/>
      </w:rPr>
    </w:lvl>
    <w:lvl w:ilvl="2">
      <w:start w:val="1"/>
      <w:numFmt w:val="decimal"/>
      <w:lvlText w:val="%1.%2.%3"/>
      <w:lvlJc w:val="left"/>
      <w:pPr>
        <w:ind w:left="2184" w:hanging="720"/>
      </w:pPr>
      <w:rPr>
        <w:rFonts w:hint="default"/>
        <w:b/>
      </w:rPr>
    </w:lvl>
    <w:lvl w:ilvl="3">
      <w:start w:val="1"/>
      <w:numFmt w:val="decimal"/>
      <w:lvlText w:val="%1.%2.%3.%4"/>
      <w:lvlJc w:val="left"/>
      <w:pPr>
        <w:ind w:left="3276" w:hanging="1080"/>
      </w:pPr>
      <w:rPr>
        <w:rFonts w:hint="default"/>
        <w:b/>
      </w:rPr>
    </w:lvl>
    <w:lvl w:ilvl="4">
      <w:start w:val="1"/>
      <w:numFmt w:val="decimal"/>
      <w:lvlText w:val="%1.%2.%3.%4.%5"/>
      <w:lvlJc w:val="left"/>
      <w:pPr>
        <w:ind w:left="4008" w:hanging="1080"/>
      </w:pPr>
      <w:rPr>
        <w:rFonts w:hint="default"/>
        <w:b/>
      </w:rPr>
    </w:lvl>
    <w:lvl w:ilvl="5">
      <w:start w:val="1"/>
      <w:numFmt w:val="decimal"/>
      <w:lvlText w:val="%1.%2.%3.%4.%5.%6"/>
      <w:lvlJc w:val="left"/>
      <w:pPr>
        <w:ind w:left="5100" w:hanging="1440"/>
      </w:pPr>
      <w:rPr>
        <w:rFonts w:hint="default"/>
        <w:b/>
      </w:rPr>
    </w:lvl>
    <w:lvl w:ilvl="6">
      <w:start w:val="1"/>
      <w:numFmt w:val="decimal"/>
      <w:lvlText w:val="%1.%2.%3.%4.%5.%6.%7"/>
      <w:lvlJc w:val="left"/>
      <w:pPr>
        <w:ind w:left="5832" w:hanging="1440"/>
      </w:pPr>
      <w:rPr>
        <w:rFonts w:hint="default"/>
        <w:b/>
      </w:rPr>
    </w:lvl>
    <w:lvl w:ilvl="7">
      <w:start w:val="1"/>
      <w:numFmt w:val="decimal"/>
      <w:lvlText w:val="%1.%2.%3.%4.%5.%6.%7.%8"/>
      <w:lvlJc w:val="left"/>
      <w:pPr>
        <w:ind w:left="6924" w:hanging="1800"/>
      </w:pPr>
      <w:rPr>
        <w:rFonts w:hint="default"/>
        <w:b/>
      </w:rPr>
    </w:lvl>
    <w:lvl w:ilvl="8">
      <w:start w:val="1"/>
      <w:numFmt w:val="decimal"/>
      <w:lvlText w:val="%1.%2.%3.%4.%5.%6.%7.%8.%9"/>
      <w:lvlJc w:val="left"/>
      <w:pPr>
        <w:ind w:left="7656" w:hanging="1800"/>
      </w:pPr>
      <w:rPr>
        <w:rFonts w:hint="default"/>
        <w:b/>
      </w:rPr>
    </w:lvl>
  </w:abstractNum>
  <w:abstractNum w:abstractNumId="10" w15:restartNumberingAfterBreak="0">
    <w:nsid w:val="35757C7F"/>
    <w:multiLevelType w:val="multilevel"/>
    <w:tmpl w:val="E41E1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1E287E"/>
    <w:multiLevelType w:val="multilevel"/>
    <w:tmpl w:val="6A9C8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DF4C0F"/>
    <w:multiLevelType w:val="hybridMultilevel"/>
    <w:tmpl w:val="AE6E567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39F7043"/>
    <w:multiLevelType w:val="multilevel"/>
    <w:tmpl w:val="1F6E4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151DEC"/>
    <w:multiLevelType w:val="multilevel"/>
    <w:tmpl w:val="4A701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552F17"/>
    <w:multiLevelType w:val="hybridMultilevel"/>
    <w:tmpl w:val="939E81A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DB85E77"/>
    <w:multiLevelType w:val="multilevel"/>
    <w:tmpl w:val="6A5CC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333F1B"/>
    <w:multiLevelType w:val="multilevel"/>
    <w:tmpl w:val="620CF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F53841"/>
    <w:multiLevelType w:val="multilevel"/>
    <w:tmpl w:val="BCBE3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0CE264C"/>
    <w:multiLevelType w:val="hybridMultilevel"/>
    <w:tmpl w:val="B216A07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4674AB8"/>
    <w:multiLevelType w:val="multilevel"/>
    <w:tmpl w:val="753AC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2F1C40"/>
    <w:multiLevelType w:val="multilevel"/>
    <w:tmpl w:val="D6BA2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51A5197"/>
    <w:multiLevelType w:val="multilevel"/>
    <w:tmpl w:val="B3181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DBE6980"/>
    <w:multiLevelType w:val="multilevel"/>
    <w:tmpl w:val="4BD47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DD5522A"/>
    <w:multiLevelType w:val="multilevel"/>
    <w:tmpl w:val="B6289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283C43"/>
    <w:multiLevelType w:val="multilevel"/>
    <w:tmpl w:val="475CF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9821B7"/>
    <w:multiLevelType w:val="multilevel"/>
    <w:tmpl w:val="543AB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9839209">
    <w:abstractNumId w:val="6"/>
  </w:num>
  <w:num w:numId="2" w16cid:durableId="2033800840">
    <w:abstractNumId w:val="23"/>
  </w:num>
  <w:num w:numId="3" w16cid:durableId="354770558">
    <w:abstractNumId w:val="15"/>
  </w:num>
  <w:num w:numId="4" w16cid:durableId="291056622">
    <w:abstractNumId w:val="9"/>
  </w:num>
  <w:num w:numId="5" w16cid:durableId="1482846321">
    <w:abstractNumId w:val="2"/>
  </w:num>
  <w:num w:numId="6" w16cid:durableId="522132462">
    <w:abstractNumId w:val="8"/>
  </w:num>
  <w:num w:numId="7" w16cid:durableId="557908113">
    <w:abstractNumId w:val="12"/>
  </w:num>
  <w:num w:numId="8" w16cid:durableId="1075279869">
    <w:abstractNumId w:val="0"/>
  </w:num>
  <w:num w:numId="9" w16cid:durableId="649940536">
    <w:abstractNumId w:val="4"/>
  </w:num>
  <w:num w:numId="10" w16cid:durableId="756901849">
    <w:abstractNumId w:val="16"/>
  </w:num>
  <w:num w:numId="11" w16cid:durableId="934166071">
    <w:abstractNumId w:val="14"/>
  </w:num>
  <w:num w:numId="12" w16cid:durableId="1307589643">
    <w:abstractNumId w:val="18"/>
  </w:num>
  <w:num w:numId="13" w16cid:durableId="186142948">
    <w:abstractNumId w:val="11"/>
  </w:num>
  <w:num w:numId="14" w16cid:durableId="1318998072">
    <w:abstractNumId w:val="1"/>
  </w:num>
  <w:num w:numId="15" w16cid:durableId="479351325">
    <w:abstractNumId w:val="13"/>
  </w:num>
  <w:num w:numId="16" w16cid:durableId="1125654966">
    <w:abstractNumId w:val="21"/>
  </w:num>
  <w:num w:numId="17" w16cid:durableId="992442943">
    <w:abstractNumId w:val="26"/>
  </w:num>
  <w:num w:numId="18" w16cid:durableId="978069498">
    <w:abstractNumId w:val="3"/>
  </w:num>
  <w:num w:numId="19" w16cid:durableId="1905484227">
    <w:abstractNumId w:val="22"/>
  </w:num>
  <w:num w:numId="20" w16cid:durableId="619343344">
    <w:abstractNumId w:val="10"/>
  </w:num>
  <w:num w:numId="21" w16cid:durableId="691079120">
    <w:abstractNumId w:val="20"/>
  </w:num>
  <w:num w:numId="22" w16cid:durableId="1668820894">
    <w:abstractNumId w:val="24"/>
  </w:num>
  <w:num w:numId="23" w16cid:durableId="674305953">
    <w:abstractNumId w:val="25"/>
  </w:num>
  <w:num w:numId="24" w16cid:durableId="274992944">
    <w:abstractNumId w:val="7"/>
  </w:num>
  <w:num w:numId="25" w16cid:durableId="1550142001">
    <w:abstractNumId w:val="17"/>
  </w:num>
  <w:num w:numId="26" w16cid:durableId="745803229">
    <w:abstractNumId w:val="5"/>
  </w:num>
  <w:num w:numId="27" w16cid:durableId="202744435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908"/>
    <w:rsid w:val="000026E6"/>
    <w:rsid w:val="000307B4"/>
    <w:rsid w:val="000328B8"/>
    <w:rsid w:val="00044305"/>
    <w:rsid w:val="00045C45"/>
    <w:rsid w:val="0006278B"/>
    <w:rsid w:val="00063213"/>
    <w:rsid w:val="000653FC"/>
    <w:rsid w:val="00074916"/>
    <w:rsid w:val="000A5E82"/>
    <w:rsid w:val="000C612E"/>
    <w:rsid w:val="000D354B"/>
    <w:rsid w:val="000E0921"/>
    <w:rsid w:val="000E0A6E"/>
    <w:rsid w:val="000F5D22"/>
    <w:rsid w:val="001145AB"/>
    <w:rsid w:val="0012090E"/>
    <w:rsid w:val="001308F5"/>
    <w:rsid w:val="00135227"/>
    <w:rsid w:val="0015569D"/>
    <w:rsid w:val="00157A4B"/>
    <w:rsid w:val="00172837"/>
    <w:rsid w:val="00187935"/>
    <w:rsid w:val="00187CEC"/>
    <w:rsid w:val="001A2FF4"/>
    <w:rsid w:val="001A5A9E"/>
    <w:rsid w:val="002033B2"/>
    <w:rsid w:val="00205908"/>
    <w:rsid w:val="00217FEE"/>
    <w:rsid w:val="00225785"/>
    <w:rsid w:val="00241E66"/>
    <w:rsid w:val="00242323"/>
    <w:rsid w:val="00290CC2"/>
    <w:rsid w:val="002A0B7C"/>
    <w:rsid w:val="002A7076"/>
    <w:rsid w:val="002B64AD"/>
    <w:rsid w:val="002B6FAD"/>
    <w:rsid w:val="002C119C"/>
    <w:rsid w:val="002D60FF"/>
    <w:rsid w:val="002E4C9E"/>
    <w:rsid w:val="002F23EE"/>
    <w:rsid w:val="0032669F"/>
    <w:rsid w:val="0033642A"/>
    <w:rsid w:val="0037674A"/>
    <w:rsid w:val="00380369"/>
    <w:rsid w:val="00387C5F"/>
    <w:rsid w:val="00392152"/>
    <w:rsid w:val="003966DE"/>
    <w:rsid w:val="003C5B80"/>
    <w:rsid w:val="003D3FAD"/>
    <w:rsid w:val="003D5B70"/>
    <w:rsid w:val="003D6389"/>
    <w:rsid w:val="003F4804"/>
    <w:rsid w:val="003F4B49"/>
    <w:rsid w:val="003F6386"/>
    <w:rsid w:val="004124FC"/>
    <w:rsid w:val="0042054D"/>
    <w:rsid w:val="00425AE7"/>
    <w:rsid w:val="0043232D"/>
    <w:rsid w:val="004469C2"/>
    <w:rsid w:val="00447CA6"/>
    <w:rsid w:val="00463C13"/>
    <w:rsid w:val="00463F09"/>
    <w:rsid w:val="00485FBA"/>
    <w:rsid w:val="00487D9B"/>
    <w:rsid w:val="004961B9"/>
    <w:rsid w:val="004B2F16"/>
    <w:rsid w:val="004C1A06"/>
    <w:rsid w:val="004D76F6"/>
    <w:rsid w:val="004F6113"/>
    <w:rsid w:val="00510837"/>
    <w:rsid w:val="005152CE"/>
    <w:rsid w:val="00525211"/>
    <w:rsid w:val="005310DC"/>
    <w:rsid w:val="005948EE"/>
    <w:rsid w:val="005A2A06"/>
    <w:rsid w:val="005A6508"/>
    <w:rsid w:val="005B778E"/>
    <w:rsid w:val="005C2239"/>
    <w:rsid w:val="005D4584"/>
    <w:rsid w:val="005D6A42"/>
    <w:rsid w:val="005E4366"/>
    <w:rsid w:val="0061278F"/>
    <w:rsid w:val="006160AE"/>
    <w:rsid w:val="00616CBC"/>
    <w:rsid w:val="00617F06"/>
    <w:rsid w:val="00640D1C"/>
    <w:rsid w:val="0064240E"/>
    <w:rsid w:val="006428F9"/>
    <w:rsid w:val="00644266"/>
    <w:rsid w:val="0064638E"/>
    <w:rsid w:val="00654E22"/>
    <w:rsid w:val="00654EDE"/>
    <w:rsid w:val="0068200E"/>
    <w:rsid w:val="006823AC"/>
    <w:rsid w:val="006C710F"/>
    <w:rsid w:val="006D2A99"/>
    <w:rsid w:val="006F2738"/>
    <w:rsid w:val="00726794"/>
    <w:rsid w:val="00730821"/>
    <w:rsid w:val="0073145F"/>
    <w:rsid w:val="00742877"/>
    <w:rsid w:val="00742A36"/>
    <w:rsid w:val="00755B4D"/>
    <w:rsid w:val="007709B8"/>
    <w:rsid w:val="007A7374"/>
    <w:rsid w:val="007D0668"/>
    <w:rsid w:val="007E24C6"/>
    <w:rsid w:val="00856F6A"/>
    <w:rsid w:val="008A3D37"/>
    <w:rsid w:val="008B4A94"/>
    <w:rsid w:val="008D39A3"/>
    <w:rsid w:val="008E3E93"/>
    <w:rsid w:val="008E6AFD"/>
    <w:rsid w:val="0090090C"/>
    <w:rsid w:val="00901681"/>
    <w:rsid w:val="0093025E"/>
    <w:rsid w:val="009307B7"/>
    <w:rsid w:val="00942C55"/>
    <w:rsid w:val="00950B1E"/>
    <w:rsid w:val="009722AE"/>
    <w:rsid w:val="00976CDD"/>
    <w:rsid w:val="0098559E"/>
    <w:rsid w:val="009B2751"/>
    <w:rsid w:val="009B55FF"/>
    <w:rsid w:val="009C2693"/>
    <w:rsid w:val="009C595B"/>
    <w:rsid w:val="009F0147"/>
    <w:rsid w:val="009F6B9B"/>
    <w:rsid w:val="00A01F0F"/>
    <w:rsid w:val="00A02515"/>
    <w:rsid w:val="00A053B9"/>
    <w:rsid w:val="00A45ECE"/>
    <w:rsid w:val="00A53776"/>
    <w:rsid w:val="00A80519"/>
    <w:rsid w:val="00A9513D"/>
    <w:rsid w:val="00AA1A70"/>
    <w:rsid w:val="00AA3201"/>
    <w:rsid w:val="00AB375F"/>
    <w:rsid w:val="00AB727E"/>
    <w:rsid w:val="00AE3898"/>
    <w:rsid w:val="00AF32F5"/>
    <w:rsid w:val="00B16495"/>
    <w:rsid w:val="00B229A0"/>
    <w:rsid w:val="00B34549"/>
    <w:rsid w:val="00B4020D"/>
    <w:rsid w:val="00B43312"/>
    <w:rsid w:val="00B61FBC"/>
    <w:rsid w:val="00B744F7"/>
    <w:rsid w:val="00B75920"/>
    <w:rsid w:val="00B85878"/>
    <w:rsid w:val="00BB5C64"/>
    <w:rsid w:val="00BC1769"/>
    <w:rsid w:val="00C0680D"/>
    <w:rsid w:val="00C13C01"/>
    <w:rsid w:val="00C3186B"/>
    <w:rsid w:val="00C846E6"/>
    <w:rsid w:val="00C874B1"/>
    <w:rsid w:val="00C92A65"/>
    <w:rsid w:val="00CA6843"/>
    <w:rsid w:val="00CB5DB1"/>
    <w:rsid w:val="00CC3CA3"/>
    <w:rsid w:val="00CC43F1"/>
    <w:rsid w:val="00CE5721"/>
    <w:rsid w:val="00CF694D"/>
    <w:rsid w:val="00D27585"/>
    <w:rsid w:val="00D40A97"/>
    <w:rsid w:val="00D53F98"/>
    <w:rsid w:val="00D76DBD"/>
    <w:rsid w:val="00D84D68"/>
    <w:rsid w:val="00D90E14"/>
    <w:rsid w:val="00D933E0"/>
    <w:rsid w:val="00DB0725"/>
    <w:rsid w:val="00DC185E"/>
    <w:rsid w:val="00DD24FE"/>
    <w:rsid w:val="00DD7DD6"/>
    <w:rsid w:val="00DE6B3E"/>
    <w:rsid w:val="00E017F6"/>
    <w:rsid w:val="00E03B15"/>
    <w:rsid w:val="00E05C1F"/>
    <w:rsid w:val="00E5300F"/>
    <w:rsid w:val="00E7339E"/>
    <w:rsid w:val="00E90171"/>
    <w:rsid w:val="00E93AEF"/>
    <w:rsid w:val="00EC22DD"/>
    <w:rsid w:val="00EF0632"/>
    <w:rsid w:val="00F10A0D"/>
    <w:rsid w:val="00F27D54"/>
    <w:rsid w:val="00F4099C"/>
    <w:rsid w:val="00F4397B"/>
    <w:rsid w:val="00F45612"/>
    <w:rsid w:val="00F4772A"/>
    <w:rsid w:val="00F55C59"/>
    <w:rsid w:val="00F7031D"/>
    <w:rsid w:val="00F72CBB"/>
    <w:rsid w:val="00F765F7"/>
    <w:rsid w:val="00F81F2C"/>
    <w:rsid w:val="00F82B5B"/>
    <w:rsid w:val="00F9348F"/>
    <w:rsid w:val="00F95E1A"/>
    <w:rsid w:val="00FC72AC"/>
    <w:rsid w:val="00FF2D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AC988"/>
  <w15:chartTrackingRefBased/>
  <w15:docId w15:val="{E4B05761-00A4-48E6-8C04-72AC7213D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171"/>
  </w:style>
  <w:style w:type="paragraph" w:styleId="Heading1">
    <w:name w:val="heading 1"/>
    <w:basedOn w:val="Normal"/>
    <w:next w:val="Normal"/>
    <w:link w:val="Heading1Char"/>
    <w:uiPriority w:val="9"/>
    <w:qFormat/>
    <w:rsid w:val="002059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059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59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59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59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59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59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59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59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59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059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59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59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59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59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59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59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5908"/>
    <w:rPr>
      <w:rFonts w:eastAsiaTheme="majorEastAsia" w:cstheme="majorBidi"/>
      <w:color w:val="272727" w:themeColor="text1" w:themeTint="D8"/>
    </w:rPr>
  </w:style>
  <w:style w:type="paragraph" w:styleId="Title">
    <w:name w:val="Title"/>
    <w:basedOn w:val="Normal"/>
    <w:next w:val="Normal"/>
    <w:link w:val="TitleChar"/>
    <w:uiPriority w:val="10"/>
    <w:qFormat/>
    <w:rsid w:val="002059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59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59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59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5908"/>
    <w:pPr>
      <w:spacing w:before="160"/>
      <w:jc w:val="center"/>
    </w:pPr>
    <w:rPr>
      <w:i/>
      <w:iCs/>
      <w:color w:val="404040" w:themeColor="text1" w:themeTint="BF"/>
    </w:rPr>
  </w:style>
  <w:style w:type="character" w:customStyle="1" w:styleId="QuoteChar">
    <w:name w:val="Quote Char"/>
    <w:basedOn w:val="DefaultParagraphFont"/>
    <w:link w:val="Quote"/>
    <w:uiPriority w:val="29"/>
    <w:rsid w:val="00205908"/>
    <w:rPr>
      <w:i/>
      <w:iCs/>
      <w:color w:val="404040" w:themeColor="text1" w:themeTint="BF"/>
    </w:rPr>
  </w:style>
  <w:style w:type="paragraph" w:styleId="ListParagraph">
    <w:name w:val="List Paragraph"/>
    <w:basedOn w:val="Normal"/>
    <w:uiPriority w:val="34"/>
    <w:qFormat/>
    <w:rsid w:val="00205908"/>
    <w:pPr>
      <w:ind w:left="720"/>
      <w:contextualSpacing/>
    </w:pPr>
  </w:style>
  <w:style w:type="character" w:styleId="IntenseEmphasis">
    <w:name w:val="Intense Emphasis"/>
    <w:basedOn w:val="DefaultParagraphFont"/>
    <w:uiPriority w:val="21"/>
    <w:qFormat/>
    <w:rsid w:val="00205908"/>
    <w:rPr>
      <w:i/>
      <w:iCs/>
      <w:color w:val="0F4761" w:themeColor="accent1" w:themeShade="BF"/>
    </w:rPr>
  </w:style>
  <w:style w:type="paragraph" w:styleId="IntenseQuote">
    <w:name w:val="Intense Quote"/>
    <w:basedOn w:val="Normal"/>
    <w:next w:val="Normal"/>
    <w:link w:val="IntenseQuoteChar"/>
    <w:uiPriority w:val="30"/>
    <w:qFormat/>
    <w:rsid w:val="002059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5908"/>
    <w:rPr>
      <w:i/>
      <w:iCs/>
      <w:color w:val="0F4761" w:themeColor="accent1" w:themeShade="BF"/>
    </w:rPr>
  </w:style>
  <w:style w:type="character" w:styleId="IntenseReference">
    <w:name w:val="Intense Reference"/>
    <w:basedOn w:val="DefaultParagraphFont"/>
    <w:uiPriority w:val="32"/>
    <w:qFormat/>
    <w:rsid w:val="00205908"/>
    <w:rPr>
      <w:b/>
      <w:bCs/>
      <w:smallCaps/>
      <w:color w:val="0F4761" w:themeColor="accent1" w:themeShade="BF"/>
      <w:spacing w:val="5"/>
    </w:rPr>
  </w:style>
  <w:style w:type="character" w:styleId="Hyperlink">
    <w:name w:val="Hyperlink"/>
    <w:basedOn w:val="DefaultParagraphFont"/>
    <w:uiPriority w:val="99"/>
    <w:unhideWhenUsed/>
    <w:rsid w:val="005948EE"/>
    <w:rPr>
      <w:color w:val="467886" w:themeColor="hyperlink"/>
      <w:u w:val="single"/>
    </w:rPr>
  </w:style>
  <w:style w:type="paragraph" w:styleId="Header">
    <w:name w:val="header"/>
    <w:basedOn w:val="Normal"/>
    <w:link w:val="HeaderChar"/>
    <w:uiPriority w:val="99"/>
    <w:unhideWhenUsed/>
    <w:rsid w:val="006127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278F"/>
  </w:style>
  <w:style w:type="paragraph" w:styleId="Footer">
    <w:name w:val="footer"/>
    <w:basedOn w:val="Normal"/>
    <w:link w:val="FooterChar"/>
    <w:uiPriority w:val="99"/>
    <w:unhideWhenUsed/>
    <w:rsid w:val="006127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278F"/>
  </w:style>
  <w:style w:type="paragraph" w:styleId="NormalWeb">
    <w:name w:val="Normal (Web)"/>
    <w:basedOn w:val="Normal"/>
    <w:uiPriority w:val="99"/>
    <w:semiHidden/>
    <w:unhideWhenUsed/>
    <w:rsid w:val="00217FEE"/>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7561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4324/9781315134543" TargetMode="External"/><Relationship Id="rId21" Type="http://schemas.openxmlformats.org/officeDocument/2006/relationships/hyperlink" Target="https://revistapsicologia.org/public/formato/cuali2.pdf" TargetMode="External"/><Relationship Id="rId42" Type="http://schemas.openxmlformats.org/officeDocument/2006/relationships/hyperlink" Target="https://www.legislation.gov.uk/ukpga/2010/15/part/2/chapter/2" TargetMode="External"/><Relationship Id="rId47" Type="http://schemas.openxmlformats.org/officeDocument/2006/relationships/hyperlink" Target="https://doi.org/10.1108/IJCHM-04-2023-0450" TargetMode="External"/><Relationship Id="rId63" Type="http://schemas.openxmlformats.org/officeDocument/2006/relationships/hyperlink" Target="https://doi.org/10.1108/IJCHM-10-2022-1252" TargetMode="External"/><Relationship Id="rId68" Type="http://schemas.openxmlformats.org/officeDocument/2006/relationships/hyperlink" Target="https://doi.org/10.37745/gjhrm.2013/vol12n64667" TargetMode="External"/><Relationship Id="rId16" Type="http://schemas.openxmlformats.org/officeDocument/2006/relationships/hyperlink" Target="https://www.researchgate.net/profile/Benjamin-Tiimub-2/publication/355425953_Triangulation_in_Research/links/616fd0f1b148a924b8013beb/Triangulation-in-Research.pdf" TargetMode="External"/><Relationship Id="rId11" Type="http://schemas.openxmlformats.org/officeDocument/2006/relationships/hyperlink" Target="https://doi.org/10.1177/1742715020976202" TargetMode="External"/><Relationship Id="rId24" Type="http://schemas.openxmlformats.org/officeDocument/2006/relationships/hyperlink" Target="https://doi.org/10.1080/15313220.2011.575025" TargetMode="External"/><Relationship Id="rId32" Type="http://schemas.openxmlformats.org/officeDocument/2006/relationships/hyperlink" Target="https://doi.org/10.1080/15313220.2024.2440316" TargetMode="External"/><Relationship Id="rId37" Type="http://schemas.openxmlformats.org/officeDocument/2006/relationships/hyperlink" Target="https://doi.org/10.1108/IJCHM-03-2021-0323" TargetMode="External"/><Relationship Id="rId40" Type="http://schemas.openxmlformats.org/officeDocument/2006/relationships/hyperlink" Target="https://doi.org/10.1016/j.mnl.2023.11.006" TargetMode="External"/><Relationship Id="rId45" Type="http://schemas.openxmlformats.org/officeDocument/2006/relationships/hyperlink" Target="https://doi.org/10.1108/IJCHM-11-2024-1638" TargetMode="External"/><Relationship Id="rId53" Type="http://schemas.openxmlformats.org/officeDocument/2006/relationships/hyperlink" Target="https://doi.org/10.58932/MULE0009" TargetMode="External"/><Relationship Id="rId58" Type="http://schemas.openxmlformats.org/officeDocument/2006/relationships/hyperlink" Target="https://doi.org/10.36713/epra18366" TargetMode="External"/><Relationship Id="rId66" Type="http://schemas.openxmlformats.org/officeDocument/2006/relationships/hyperlink" Target="https://dx.doi.org/10.2139/ssrn.2598466" TargetMode="External"/><Relationship Id="rId74" Type="http://schemas.openxmlformats.org/officeDocument/2006/relationships/hyperlink" Target="https://doi.org/10.32832/jm-uika.v15i2.16343" TargetMode="External"/><Relationship Id="rId5" Type="http://schemas.openxmlformats.org/officeDocument/2006/relationships/footnotes" Target="footnotes.xml"/><Relationship Id="rId61" Type="http://schemas.openxmlformats.org/officeDocument/2006/relationships/hyperlink" Target="https://doi.org/10.1016/j.pubrev.2017.04.008" TargetMode="External"/><Relationship Id="rId19" Type="http://schemas.openxmlformats.org/officeDocument/2006/relationships/hyperlink" Target="https://doi.org/10.1080/19368623.2025.2449857" TargetMode="External"/><Relationship Id="rId14" Type="http://schemas.openxmlformats.org/officeDocument/2006/relationships/hyperlink" Target="https://doi.org/10.1108/JHTI-09-2024-1026" TargetMode="External"/><Relationship Id="rId22" Type="http://schemas.openxmlformats.org/officeDocument/2006/relationships/hyperlink" Target="https://doi.org/10.4324/9781003413110" TargetMode="External"/><Relationship Id="rId27" Type="http://schemas.openxmlformats.org/officeDocument/2006/relationships/hyperlink" Target="https://api.semanticscholar.org/CorpusID:268579708" TargetMode="External"/><Relationship Id="rId30" Type="http://schemas.openxmlformats.org/officeDocument/2006/relationships/hyperlink" Target="https://researchprofiles.herts.ac.uk/files/12067442/4422_Culture_Diversity_as_a_Competitive_Advantage.pdf" TargetMode="External"/><Relationship Id="rId35" Type="http://schemas.openxmlformats.org/officeDocument/2006/relationships/hyperlink" Target="https://doi.org/10.1002/hrm.22054" TargetMode="External"/><Relationship Id="rId43" Type="http://schemas.openxmlformats.org/officeDocument/2006/relationships/hyperlink" Target="https://dx.doi.org/10.2139/ssrn.4649413" TargetMode="External"/><Relationship Id="rId48" Type="http://schemas.openxmlformats.org/officeDocument/2006/relationships/hyperlink" Target="https://doi.org/10.1108/FS-12-2016-0058" TargetMode="External"/><Relationship Id="rId56" Type="http://schemas.openxmlformats.org/officeDocument/2006/relationships/hyperlink" Target="https://doi.org/10.1057/abm.2011.20" TargetMode="External"/><Relationship Id="rId64" Type="http://schemas.openxmlformats.org/officeDocument/2006/relationships/hyperlink" Target="https://doi.org/10.29333/ajqr/11461" TargetMode="External"/><Relationship Id="rId69" Type="http://schemas.openxmlformats.org/officeDocument/2006/relationships/hyperlink" Target="https://doi.org/10.1108/SHR-03-2023-0015" TargetMode="External"/><Relationship Id="rId77"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hyperlink" Target="https://doi.org/10.1108/EDI-02-2022-0046" TargetMode="External"/><Relationship Id="rId72" Type="http://schemas.openxmlformats.org/officeDocument/2006/relationships/hyperlink" Target="https://doi.org/10.1002/sd.3467" TargetMode="External"/><Relationship Id="rId3" Type="http://schemas.openxmlformats.org/officeDocument/2006/relationships/settings" Target="settings.xml"/><Relationship Id="rId12" Type="http://schemas.openxmlformats.org/officeDocument/2006/relationships/hyperlink" Target="https://doi.org/10.1111/gwao.12454" TargetMode="External"/><Relationship Id="rId17" Type="http://schemas.openxmlformats.org/officeDocument/2006/relationships/hyperlink" Target="https://www.researchgate.net/profile/Albert-Segars/publication/361316113_SUMMER_2022_ISSUE_How_a_Values-_Based_Approach_Advances_DEI_A_new_model_for_developing_diversity_equity_and_inclusion_in_the_organization_can_increase_employee_satisfaction/links/62aa31d6e1193368ba9f0e54/SUMMER-2022-ISSUE-How-a-Values-Based-Approach-Advances-DEI-A-new-model-for-developing-diversity-equity-and-inclusion-in-the-organization-can-increase-employee-satisfaction.pdf" TargetMode="External"/><Relationship Id="rId25" Type="http://schemas.openxmlformats.org/officeDocument/2006/relationships/hyperlink" Target="https://www.academia.edu/download/118014948/19443.pdf" TargetMode="External"/><Relationship Id="rId33" Type="http://schemas.openxmlformats.org/officeDocument/2006/relationships/hyperlink" Target="https://doi.org/10.1080/19368623.2023.2196282" TargetMode="External"/><Relationship Id="rId38" Type="http://schemas.openxmlformats.org/officeDocument/2006/relationships/hyperlink" Target="https://doi.org/10.1177/001088040004100214" TargetMode="External"/><Relationship Id="rId46" Type="http://schemas.openxmlformats.org/officeDocument/2006/relationships/hyperlink" Target="https://doi.org/10.56734/ijbms.v4n7a1" TargetMode="External"/><Relationship Id="rId59" Type="http://schemas.openxmlformats.org/officeDocument/2006/relationships/hyperlink" Target="https://doi.org/10.3126/qjmss.v5i2.60843" TargetMode="External"/><Relationship Id="rId67" Type="http://schemas.openxmlformats.org/officeDocument/2006/relationships/hyperlink" Target="https://doi.org/10.1177/27526461231159920" TargetMode="External"/><Relationship Id="rId20" Type="http://schemas.openxmlformats.org/officeDocument/2006/relationships/hyperlink" Target="https://doi.org/10.1002/jls.21908" TargetMode="External"/><Relationship Id="rId41" Type="http://schemas.openxmlformats.org/officeDocument/2006/relationships/hyperlink" Target="https://doi.org/10.2224/sbp.14102" TargetMode="External"/><Relationship Id="rId54" Type="http://schemas.openxmlformats.org/officeDocument/2006/relationships/hyperlink" Target="https://doi.org/10.3390/educsci13050523" TargetMode="External"/><Relationship Id="rId62" Type="http://schemas.openxmlformats.org/officeDocument/2006/relationships/hyperlink" Target="http://doi.org/https://doi.org/10.1108/IJCHM-09-2022-1184?urlappend=%3Futm_source%3Dresearchgate" TargetMode="External"/><Relationship Id="rId70" Type="http://schemas.openxmlformats.org/officeDocument/2006/relationships/hyperlink" Target="https://doi.org/10.5958/0976-5506.2019.01877.1" TargetMode="External"/><Relationship Id="rId75" Type="http://schemas.openxmlformats.org/officeDocument/2006/relationships/hyperlink" Target="https://doi.org/10.1177/0950017017719839"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061/(ASCE)ME.1943-5479.0000893" TargetMode="External"/><Relationship Id="rId23" Type="http://schemas.openxmlformats.org/officeDocument/2006/relationships/hyperlink" Target="https://doi.org/10.1016/j.ijhm.2010.10.002" TargetMode="External"/><Relationship Id="rId28" Type="http://schemas.openxmlformats.org/officeDocument/2006/relationships/hyperlink" Target="https://doi.org/10.1089/heq.2021.0169" TargetMode="External"/><Relationship Id="rId36" Type="http://schemas.openxmlformats.org/officeDocument/2006/relationships/hyperlink" Target="https://stories.hilton.com/hilton-culture/hiltons-mental-wellbeing-benefits-creating-a-culture-of-care" TargetMode="External"/><Relationship Id="rId49" Type="http://schemas.openxmlformats.org/officeDocument/2006/relationships/hyperlink" Target="https://doi.org/10.32674/j57mcd40" TargetMode="External"/><Relationship Id="rId57" Type="http://schemas.openxmlformats.org/officeDocument/2006/relationships/hyperlink" Target="https://doi.org/10.1108/IJCHM-11-2022-1503" TargetMode="External"/><Relationship Id="rId10" Type="http://schemas.openxmlformats.org/officeDocument/2006/relationships/hyperlink" Target="https://www.iosrjournals.org/iosr-jhss/papers/Vol.29-Issue12/Ser-9/D2912093037.pdf" TargetMode="External"/><Relationship Id="rId31" Type="http://schemas.openxmlformats.org/officeDocument/2006/relationships/hyperlink" Target="https://doi.org/10.3390/su16198428" TargetMode="External"/><Relationship Id="rId44" Type="http://schemas.openxmlformats.org/officeDocument/2006/relationships/hyperlink" Target="https://doi.org/10.1108/IJCHM-11-2022-1441" TargetMode="External"/><Relationship Id="rId52" Type="http://schemas.openxmlformats.org/officeDocument/2006/relationships/hyperlink" Target="https://doi.org/10.1177/10596011211005916" TargetMode="External"/><Relationship Id="rId60" Type="http://schemas.openxmlformats.org/officeDocument/2006/relationships/hyperlink" Target="https://doi.org/10.1177/10596011211013161" TargetMode="External"/><Relationship Id="rId65" Type="http://schemas.openxmlformats.org/officeDocument/2006/relationships/hyperlink" Target="https://doi.org/10.54055/ejtr.v39i.3100" TargetMode="External"/><Relationship Id="rId73" Type="http://schemas.openxmlformats.org/officeDocument/2006/relationships/hyperlink" Target="https://doi.org/10.1177/23326492221078293" TargetMode="External"/><Relationship Id="rId4" Type="http://schemas.openxmlformats.org/officeDocument/2006/relationships/webSettings" Target="webSettings.xml"/><Relationship Id="rId9" Type="http://schemas.openxmlformats.org/officeDocument/2006/relationships/hyperlink" Target="https://group.accor.com/en/group/people-at-our-heart/our-culture-of-inclusion" TargetMode="External"/><Relationship Id="rId13" Type="http://schemas.openxmlformats.org/officeDocument/2006/relationships/hyperlink" Target="https://gpglobalize.in/book/ihm-22.-jan-2025.pdf" TargetMode="External"/><Relationship Id="rId18" Type="http://schemas.openxmlformats.org/officeDocument/2006/relationships/hyperlink" Target="https://doi.org/10.1177/10963480251342899" TargetMode="External"/><Relationship Id="rId39" Type="http://schemas.openxmlformats.org/officeDocument/2006/relationships/hyperlink" Target="https://doi.org/10.1108/IJCHM-09-2015-0470" TargetMode="External"/><Relationship Id="rId34" Type="http://schemas.openxmlformats.org/officeDocument/2006/relationships/hyperlink" Target="https://dx.doi.org/10.2139/ssrn.4663759" TargetMode="External"/><Relationship Id="rId50" Type="http://schemas.openxmlformats.org/officeDocument/2006/relationships/hyperlink" Target="https://www.ojed.org/index.php/jis/index" TargetMode="External"/><Relationship Id="rId55" Type="http://schemas.openxmlformats.org/officeDocument/2006/relationships/hyperlink" Target="https://doi.org/10.1051/e3sconf/202123301166" TargetMode="External"/><Relationship Id="rId76" Type="http://schemas.openxmlformats.org/officeDocument/2006/relationships/fontTable" Target="fontTable.xml"/><Relationship Id="rId7" Type="http://schemas.openxmlformats.org/officeDocument/2006/relationships/image" Target="media/image1.png"/><Relationship Id="rId71" Type="http://schemas.openxmlformats.org/officeDocument/2006/relationships/hyperlink" Target="https://doi.org/10.1108/EMJB-08-2023-0208" TargetMode="External"/><Relationship Id="rId2" Type="http://schemas.openxmlformats.org/officeDocument/2006/relationships/styles" Target="styles.xml"/><Relationship Id="rId29" Type="http://schemas.openxmlformats.org/officeDocument/2006/relationships/hyperlink" Target="https://futouristic.scholasticahq.com/article/12702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291</TotalTime>
  <Pages>32</Pages>
  <Words>9479</Words>
  <Characters>54035</Characters>
  <Application>Microsoft Office Word</Application>
  <DocSecurity>0</DocSecurity>
  <Lines>450</Lines>
  <Paragraphs>126</Paragraphs>
  <ScaleCrop>false</ScaleCrop>
  <Company/>
  <LinksUpToDate>false</LinksUpToDate>
  <CharactersWithSpaces>63388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Oleg Goncear</dc:creator>
  <cp:keywords/>
  <dc:description/>
  <cp:lastModifiedBy>Oleg Goncear</cp:lastModifiedBy>
  <cp:revision>191</cp:revision>
  <dcterms:created xsi:type="dcterms:W3CDTF">2024-11-07T21:22:00Z</dcterms:created>
  <dcterms:modified xsi:type="dcterms:W3CDTF">2025-11-06T22:35:00Z</dcterms:modified>
</cp:coreProperties>
</file>