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29AF" w:rsidRDefault="00A028A2" w:rsidP="00A028A2">
      <w:pPr>
        <w:jc w:val="right"/>
        <w:rPr>
          <w:u w:val="single"/>
        </w:rPr>
      </w:pPr>
      <w:r>
        <w:rPr>
          <w:u w:val="single"/>
        </w:rPr>
        <w:t xml:space="preserve">Laura Jane Evans </w:t>
      </w:r>
    </w:p>
    <w:p w:rsidR="00F91497" w:rsidRDefault="00A028A2" w:rsidP="00C0753A">
      <w:pPr>
        <w:jc w:val="right"/>
        <w:rPr>
          <w:u w:val="single"/>
        </w:rPr>
      </w:pPr>
      <w:r>
        <w:rPr>
          <w:u w:val="single"/>
        </w:rPr>
        <w:t>Medieval Prose in Wales: HPHI5015</w:t>
      </w:r>
    </w:p>
    <w:p w:rsidR="00D36055" w:rsidRDefault="00D36055" w:rsidP="00C0753A">
      <w:pPr>
        <w:jc w:val="right"/>
      </w:pPr>
    </w:p>
    <w:p w:rsidR="00D36055" w:rsidRDefault="00D36055" w:rsidP="00D36055">
      <w:r>
        <w:t xml:space="preserve">Arthur is a popular figure who is still highly debated today. Is he a historical figure that ruled in Britain or he is a creation of the imagination to fill in the blanks left by history? It is difficult to separate the man from the myth, with both aspects of Arthur intimately connected in literature. There is a vast amount of work regarding Arthur, some where he heavily features and </w:t>
      </w:r>
      <w:r w:rsidR="00795659">
        <w:t>others,</w:t>
      </w:r>
      <w:r>
        <w:t xml:space="preserve"> he is mentioned in passing. </w:t>
      </w:r>
      <w:r w:rsidR="00795659">
        <w:t>Each extract should be viewed individually, keeping in mind that its contemporary audience may ha</w:t>
      </w:r>
      <w:r w:rsidR="00BE7A93">
        <w:t>ve</w:t>
      </w:r>
      <w:r w:rsidR="00795659">
        <w:t xml:space="preserve"> knowledge of Arthurs stories. There are themes and literary motifs that may be seen but not necessarily linked in what we could term ‘pantheon’ of Arthurian literature.   </w:t>
      </w:r>
      <w:r>
        <w:t xml:space="preserve"> </w:t>
      </w:r>
    </w:p>
    <w:p w:rsidR="00C0753A" w:rsidRDefault="00C0753A" w:rsidP="00C0753A">
      <w:pPr>
        <w:jc w:val="right"/>
      </w:pPr>
    </w:p>
    <w:p w:rsidR="00C0753A" w:rsidRDefault="00C0753A" w:rsidP="00C0753A">
      <w:r>
        <w:rPr>
          <w:b/>
          <w:i/>
        </w:rPr>
        <w:t xml:space="preserve">Historia </w:t>
      </w:r>
      <w:proofErr w:type="spellStart"/>
      <w:r>
        <w:rPr>
          <w:b/>
          <w:i/>
        </w:rPr>
        <w:t>Brittonum</w:t>
      </w:r>
      <w:proofErr w:type="spellEnd"/>
      <w:r w:rsidR="004F097D">
        <w:rPr>
          <w:b/>
          <w:i/>
        </w:rPr>
        <w:t>.</w:t>
      </w:r>
    </w:p>
    <w:p w:rsidR="00F91497" w:rsidRDefault="00C0753A" w:rsidP="00F91497">
      <w:r>
        <w:tab/>
        <w:t xml:space="preserve">Known as the ‘History of the Britons’, it is attributed to </w:t>
      </w:r>
      <w:proofErr w:type="spellStart"/>
      <w:r>
        <w:t>Nennius</w:t>
      </w:r>
      <w:proofErr w:type="spellEnd"/>
      <w:r>
        <w:t xml:space="preserve"> and can be dated to 829-30.</w:t>
      </w:r>
      <w:r>
        <w:rPr>
          <w:rStyle w:val="FootnoteReference"/>
        </w:rPr>
        <w:footnoteReference w:id="1"/>
      </w:r>
      <w:r w:rsidR="00B848DC">
        <w:t xml:space="preserve"> It is believed to be compiled in North Wales and is the earliest datable Latin text to mention Arthur.</w:t>
      </w:r>
      <w:r w:rsidR="00B848DC">
        <w:rPr>
          <w:rStyle w:val="FootnoteReference"/>
        </w:rPr>
        <w:footnoteReference w:id="2"/>
      </w:r>
      <w:r w:rsidR="00B848DC">
        <w:t xml:space="preserve"> There are two contradicting accounts of Arthur</w:t>
      </w:r>
      <w:r w:rsidR="00B40072">
        <w:t>, the first being a list of battles.</w:t>
      </w:r>
      <w:r w:rsidR="00B40072">
        <w:rPr>
          <w:rStyle w:val="FootnoteReference"/>
        </w:rPr>
        <w:footnoteReference w:id="3"/>
      </w:r>
      <w:r w:rsidR="00B40072">
        <w:t xml:space="preserve"> Here we see Arthur as a military leader of the Britons but is not explicitly called a king. “At that time Arthur fought against them with the kings of the Britons, for he was the leader of battles.”</w:t>
      </w:r>
      <w:r w:rsidR="00B40072">
        <w:rPr>
          <w:rStyle w:val="FootnoteReference"/>
        </w:rPr>
        <w:footnoteReference w:id="4"/>
      </w:r>
      <w:r w:rsidR="00B40072">
        <w:t xml:space="preserve"> </w:t>
      </w:r>
      <w:r w:rsidR="00574213">
        <w:t>Here he is not yet the king we have in mind today. The source also states how Arthur frightened the ‘</w:t>
      </w:r>
      <w:proofErr w:type="gramStart"/>
      <w:r w:rsidR="00574213">
        <w:t>pagans’</w:t>
      </w:r>
      <w:proofErr w:type="gramEnd"/>
      <w:r w:rsidR="009D0FCC">
        <w:t>.</w:t>
      </w:r>
      <w:r w:rsidR="00574213">
        <w:t xml:space="preserve"> “The eighth battle was in the stronghold of </w:t>
      </w:r>
      <w:proofErr w:type="spellStart"/>
      <w:r w:rsidR="00574213">
        <w:t>Guinnion</w:t>
      </w:r>
      <w:proofErr w:type="spellEnd"/>
      <w:r w:rsidR="00574213">
        <w:t>, in which Arthur carried the image of holy Mary, the eternal virgin upon his shoulders and the pagans were turned around into a rout, and there was a great slaughter of them through the might of our Lord Jesus Christ and through the might of holy Mary, the virgin and mother”.</w:t>
      </w:r>
      <w:r w:rsidR="00574213">
        <w:rPr>
          <w:rStyle w:val="FootnoteReference"/>
        </w:rPr>
        <w:footnoteReference w:id="5"/>
      </w:r>
      <w:r w:rsidR="00574213">
        <w:t xml:space="preserve"> Here we are presented the image of a heroic Arthur, slaughtering the ‘pagans’ with the help of the Virgin Mary who he faithfully carries with him.</w:t>
      </w:r>
    </w:p>
    <w:p w:rsidR="00301029" w:rsidRDefault="005D413E" w:rsidP="00F91497">
      <w:r>
        <w:tab/>
        <w:t xml:space="preserve">The second account describes a ‘wonder in the region’, that of a </w:t>
      </w:r>
      <w:r w:rsidR="00200D8E">
        <w:t>dog’s</w:t>
      </w:r>
      <w:r>
        <w:t xml:space="preserve"> footprint that belonged to Arthurs dog. </w:t>
      </w:r>
      <w:r w:rsidR="00200D8E">
        <w:t xml:space="preserve">“When </w:t>
      </w:r>
      <w:proofErr w:type="spellStart"/>
      <w:r w:rsidR="00200D8E">
        <w:t>Cafall</w:t>
      </w:r>
      <w:proofErr w:type="spellEnd"/>
      <w:r w:rsidR="00200D8E">
        <w:t xml:space="preserve">, who was the dog of the soldier Arthur, hunted the pig </w:t>
      </w:r>
      <w:proofErr w:type="spellStart"/>
      <w:r w:rsidR="00200D8E">
        <w:t>Troynt</w:t>
      </w:r>
      <w:proofErr w:type="spellEnd"/>
      <w:r w:rsidR="00200D8E">
        <w:t xml:space="preserve">, he pressed his footprint into a stone, after which Arthur gathered a pile of stones underneath the stone on which was the footprint of the dog, and it was called </w:t>
      </w:r>
      <w:proofErr w:type="spellStart"/>
      <w:r w:rsidR="00200D8E">
        <w:t>Carn</w:t>
      </w:r>
      <w:proofErr w:type="spellEnd"/>
      <w:r w:rsidR="00200D8E">
        <w:t xml:space="preserve"> </w:t>
      </w:r>
      <w:proofErr w:type="spellStart"/>
      <w:r w:rsidR="00200D8E">
        <w:t>Cafall</w:t>
      </w:r>
      <w:proofErr w:type="spellEnd"/>
      <w:r w:rsidR="00200D8E">
        <w:t>”.</w:t>
      </w:r>
      <w:r w:rsidR="00200D8E">
        <w:rPr>
          <w:rStyle w:val="FootnoteReference"/>
        </w:rPr>
        <w:footnoteReference w:id="6"/>
      </w:r>
      <w:r w:rsidR="00200D8E">
        <w:t xml:space="preserve"> Again, Arthur is explicitly labelled a soldier but he is given more features or possessions</w:t>
      </w:r>
      <w:r w:rsidR="009D0FCC">
        <w:t xml:space="preserve"> than before</w:t>
      </w:r>
      <w:r w:rsidR="00200D8E">
        <w:t xml:space="preserve">. He has a dog named </w:t>
      </w:r>
      <w:proofErr w:type="spellStart"/>
      <w:r w:rsidR="00200D8E">
        <w:t>Cafall</w:t>
      </w:r>
      <w:proofErr w:type="spellEnd"/>
      <w:r w:rsidR="00200D8E">
        <w:t xml:space="preserve"> which translates to horse, this can be interpreted as </w:t>
      </w:r>
      <w:proofErr w:type="spellStart"/>
      <w:r w:rsidR="009D0FCC">
        <w:t>Cafall</w:t>
      </w:r>
      <w:proofErr w:type="spellEnd"/>
      <w:r w:rsidR="009D0FCC">
        <w:t xml:space="preserve"> being </w:t>
      </w:r>
      <w:r w:rsidR="00200D8E">
        <w:t>the size of a horse which in turn can be attributed to the idea of Arthur being a giant.</w:t>
      </w:r>
      <w:r w:rsidR="00200D8E">
        <w:rPr>
          <w:rStyle w:val="FootnoteReference"/>
        </w:rPr>
        <w:footnoteReference w:id="7"/>
      </w:r>
      <w:r w:rsidR="00637104">
        <w:t xml:space="preserve"> This is also reinforced with Arthur being described as unusually strong in the list of the battles, “in which nine hundred and sixty men fell from on</w:t>
      </w:r>
      <w:r w:rsidR="009D0FCC">
        <w:t>e</w:t>
      </w:r>
      <w:r w:rsidR="00637104">
        <w:t xml:space="preserve"> rally of Arthur’s; and no one brought them low except he”.</w:t>
      </w:r>
      <w:r w:rsidR="00637104">
        <w:rPr>
          <w:rStyle w:val="FootnoteReference"/>
        </w:rPr>
        <w:footnoteReference w:id="8"/>
      </w:r>
    </w:p>
    <w:p w:rsidR="00200D8E" w:rsidRPr="00301029" w:rsidRDefault="00301029" w:rsidP="00301029">
      <w:pPr>
        <w:ind w:firstLine="720"/>
      </w:pPr>
      <w:r>
        <w:lastRenderedPageBreak/>
        <w:t xml:space="preserve"> The ‘wonder’ that is the grave of Arthurs son also reinforces that Arthur was of unusual size. It claims that Arthur killed Amr and buried him next to a spring called </w:t>
      </w:r>
      <w:proofErr w:type="spellStart"/>
      <w:r>
        <w:rPr>
          <w:i/>
        </w:rPr>
        <w:t>Llygad</w:t>
      </w:r>
      <w:proofErr w:type="spellEnd"/>
      <w:r>
        <w:rPr>
          <w:i/>
        </w:rPr>
        <w:t xml:space="preserve"> Amr</w:t>
      </w:r>
      <w:r>
        <w:t xml:space="preserve"> and no matter how many times it is measured it is always a different length. </w:t>
      </w:r>
      <w:r>
        <w:rPr>
          <w:rStyle w:val="FootnoteReference"/>
        </w:rPr>
        <w:footnoteReference w:id="9"/>
      </w:r>
      <w:r>
        <w:t xml:space="preserve"> Even the author has tested the tomb and claims it is true. “And men come to measure the tomb and it is sometimes six feet long and sometimes nine feet, sometimes twelve, sometimes fifteen. At whatever length you measure it at one time, you will not find it again at the same length and I myself have tested this”.</w:t>
      </w:r>
      <w:r>
        <w:rPr>
          <w:rStyle w:val="FootnoteReference"/>
        </w:rPr>
        <w:footnoteReference w:id="10"/>
      </w:r>
      <w:r>
        <w:t xml:space="preserve"> This reinforces that Arthur had magical qualities, even passing them down his bloodline, making him not only mythical but of flesh and blood too. </w:t>
      </w:r>
    </w:p>
    <w:p w:rsidR="00530BC9" w:rsidRDefault="00530BC9" w:rsidP="00B06761">
      <w:pPr>
        <w:rPr>
          <w:u w:val="single"/>
        </w:rPr>
      </w:pPr>
    </w:p>
    <w:p w:rsidR="00301029" w:rsidRDefault="00301029" w:rsidP="00B06761">
      <w:r>
        <w:rPr>
          <w:b/>
          <w:i/>
        </w:rPr>
        <w:t xml:space="preserve">Annals </w:t>
      </w:r>
      <w:proofErr w:type="spellStart"/>
      <w:r>
        <w:rPr>
          <w:b/>
          <w:i/>
        </w:rPr>
        <w:t>Cambriae</w:t>
      </w:r>
      <w:proofErr w:type="spellEnd"/>
      <w:r w:rsidR="004F097D">
        <w:rPr>
          <w:b/>
          <w:i/>
        </w:rPr>
        <w:t>.</w:t>
      </w:r>
    </w:p>
    <w:p w:rsidR="00301029" w:rsidRDefault="00792511" w:rsidP="00B06761">
      <w:r>
        <w:tab/>
      </w:r>
      <w:r w:rsidR="00532D7C">
        <w:t xml:space="preserve">The </w:t>
      </w:r>
      <w:r w:rsidR="00B35045">
        <w:t>‘Annals of Wales’ were probably written in South Wales during the tenth century.</w:t>
      </w:r>
      <w:r w:rsidR="00B35045">
        <w:rPr>
          <w:rStyle w:val="FootnoteReference"/>
        </w:rPr>
        <w:footnoteReference w:id="11"/>
      </w:r>
      <w:r w:rsidR="00B35045">
        <w:t xml:space="preserve"> It is the oldest surviving</w:t>
      </w:r>
      <w:r w:rsidR="00F055E7">
        <w:t xml:space="preserve"> chronicle of Welsh affairs</w:t>
      </w:r>
      <w:r w:rsidR="00B35045">
        <w:t>. As stated by Kenneth Jackson, the ‘Annals of Wales’ are a ‘sober historical document using good sources, not an annualized fiction’.</w:t>
      </w:r>
      <w:r w:rsidR="00B35045">
        <w:rPr>
          <w:rStyle w:val="FootnoteReference"/>
        </w:rPr>
        <w:footnoteReference w:id="12"/>
      </w:r>
      <w:r w:rsidR="00B35045">
        <w:t xml:space="preserve"> </w:t>
      </w:r>
      <w:r w:rsidR="004A64C3">
        <w:t xml:space="preserve">Although it appears more factual than most, care must be taken when analysing the source. There are two references made to Arthur, one which is </w:t>
      </w:r>
      <w:proofErr w:type="gramStart"/>
      <w:r w:rsidR="004A64C3">
        <w:t>similar to</w:t>
      </w:r>
      <w:proofErr w:type="gramEnd"/>
      <w:r w:rsidR="004A64C3">
        <w:t xml:space="preserve"> the list of battle</w:t>
      </w:r>
      <w:r w:rsidR="009D0FCC">
        <w:t>s</w:t>
      </w:r>
      <w:r w:rsidR="004A64C3">
        <w:t xml:space="preserve"> presented in the </w:t>
      </w:r>
      <w:r w:rsidR="004A64C3">
        <w:rPr>
          <w:i/>
        </w:rPr>
        <w:t>Historia</w:t>
      </w:r>
      <w:r w:rsidR="004A64C3">
        <w:t xml:space="preserve">. </w:t>
      </w:r>
      <w:r w:rsidR="001F6928">
        <w:t>“516.</w:t>
      </w:r>
      <w:r w:rsidR="00414BEC">
        <w:t xml:space="preserve"> </w:t>
      </w:r>
      <w:r w:rsidR="001F6928">
        <w:t xml:space="preserve">The Battle of </w:t>
      </w:r>
      <w:proofErr w:type="spellStart"/>
      <w:r w:rsidR="001F6928">
        <w:t>Badon</w:t>
      </w:r>
      <w:proofErr w:type="spellEnd"/>
      <w:r w:rsidR="001F6928">
        <w:t>, in which Arthur bore the Cross of our Lord Jesus Christ for three days and for three nights on his shoulder, and the Britons were the victors”.</w:t>
      </w:r>
      <w:r w:rsidR="001F6928">
        <w:rPr>
          <w:rStyle w:val="FootnoteReference"/>
        </w:rPr>
        <w:footnoteReference w:id="13"/>
      </w:r>
      <w:r w:rsidR="001F6928">
        <w:t xml:space="preserve"> </w:t>
      </w:r>
      <w:r w:rsidR="00414BEC">
        <w:t>This is the second image of Arthur as a valiant Christian soldier, emphasising that he is</w:t>
      </w:r>
      <w:r w:rsidR="009D0FCC">
        <w:t xml:space="preserve"> righteous</w:t>
      </w:r>
      <w:r w:rsidR="00414BEC">
        <w:t xml:space="preserve"> and that the Britons are victorious with the aid of God. The image we are given is that Arthur is a strong Christian ‘leader’, he has not been given any official title</w:t>
      </w:r>
      <w:r w:rsidR="00637104">
        <w:t xml:space="preserve">. </w:t>
      </w:r>
      <w:r w:rsidR="00414BEC">
        <w:t xml:space="preserve"> </w:t>
      </w:r>
    </w:p>
    <w:p w:rsidR="00F055E7" w:rsidRDefault="00F055E7" w:rsidP="00B06761">
      <w:r>
        <w:tab/>
        <w:t xml:space="preserve">The second mention of Arthur is the earliest reference to </w:t>
      </w:r>
      <w:proofErr w:type="spellStart"/>
      <w:r>
        <w:rPr>
          <w:i/>
        </w:rPr>
        <w:t>Gueith</w:t>
      </w:r>
      <w:proofErr w:type="spellEnd"/>
      <w:r>
        <w:rPr>
          <w:i/>
        </w:rPr>
        <w:t xml:space="preserve"> </w:t>
      </w:r>
      <w:proofErr w:type="spellStart"/>
      <w:r>
        <w:rPr>
          <w:i/>
        </w:rPr>
        <w:t>Camlann</w:t>
      </w:r>
      <w:proofErr w:type="spellEnd"/>
      <w:r>
        <w:rPr>
          <w:i/>
        </w:rPr>
        <w:t>,</w:t>
      </w:r>
      <w:r>
        <w:rPr>
          <w:rStyle w:val="FootnoteReference"/>
          <w:i/>
        </w:rPr>
        <w:footnoteReference w:id="14"/>
      </w:r>
      <w:r>
        <w:rPr>
          <w:i/>
        </w:rPr>
        <w:t xml:space="preserve"> </w:t>
      </w:r>
      <w:r>
        <w:t xml:space="preserve">“537. The Battle of </w:t>
      </w:r>
      <w:proofErr w:type="spellStart"/>
      <w:r>
        <w:t>Camlan</w:t>
      </w:r>
      <w:proofErr w:type="spellEnd"/>
      <w:r>
        <w:t xml:space="preserve">, in which Arthur and </w:t>
      </w:r>
      <w:proofErr w:type="spellStart"/>
      <w:r>
        <w:t>Medrod</w:t>
      </w:r>
      <w:proofErr w:type="spellEnd"/>
      <w:r>
        <w:t xml:space="preserve"> fell; and there was death in Britain and Ireland”.</w:t>
      </w:r>
      <w:r>
        <w:rPr>
          <w:rStyle w:val="FootnoteReference"/>
        </w:rPr>
        <w:footnoteReference w:id="15"/>
      </w:r>
      <w:r>
        <w:t xml:space="preserve"> </w:t>
      </w:r>
      <w:r w:rsidR="001459BE">
        <w:t xml:space="preserve">It is interesting because it does not state which side </w:t>
      </w:r>
      <w:proofErr w:type="spellStart"/>
      <w:r w:rsidR="001459BE">
        <w:t>Medrod</w:t>
      </w:r>
      <w:proofErr w:type="spellEnd"/>
      <w:r w:rsidR="001459BE">
        <w:t xml:space="preserve"> is on and who is responsible for their deaths. It is also emphasis</w:t>
      </w:r>
      <w:r w:rsidR="00A25F7F">
        <w:t>ing</w:t>
      </w:r>
      <w:r w:rsidR="001459BE">
        <w:t xml:space="preserve"> the devastation caused not only to Britain but to Ireland. The loss of Arthur is so great that it causes death in more than one country. This leads us to believe that Arthur was well known at the time and was held in high esteem. It is also interesting to note that a later manuscript has a slightly different version of the entry. “The Battle of </w:t>
      </w:r>
      <w:proofErr w:type="spellStart"/>
      <w:r w:rsidR="001459BE">
        <w:t>Camlan</w:t>
      </w:r>
      <w:proofErr w:type="spellEnd"/>
      <w:r w:rsidR="001459BE">
        <w:t xml:space="preserve">, in which the famous </w:t>
      </w:r>
      <w:bookmarkStart w:id="0" w:name="_Hlk532935612"/>
      <w:r w:rsidR="001459BE">
        <w:t xml:space="preserve">Arthur, king of the Britons, and </w:t>
      </w:r>
      <w:proofErr w:type="spellStart"/>
      <w:r w:rsidR="001459BE">
        <w:t>Modred</w:t>
      </w:r>
      <w:proofErr w:type="spellEnd"/>
      <w:r w:rsidR="001459BE">
        <w:t>, his betrayer, fell by each other’s wounds</w:t>
      </w:r>
      <w:bookmarkEnd w:id="0"/>
      <w:r w:rsidR="001459BE">
        <w:t>”.</w:t>
      </w:r>
      <w:r w:rsidR="001459BE">
        <w:rPr>
          <w:rStyle w:val="FootnoteReference"/>
        </w:rPr>
        <w:footnoteReference w:id="16"/>
      </w:r>
      <w:r w:rsidR="001459BE">
        <w:t xml:space="preserve"> Here it explicitly states that Arthur is king and that </w:t>
      </w:r>
      <w:proofErr w:type="spellStart"/>
      <w:r w:rsidR="001459BE">
        <w:t>Medrod</w:t>
      </w:r>
      <w:proofErr w:type="spellEnd"/>
      <w:r w:rsidR="001459BE">
        <w:t xml:space="preserve"> (later called </w:t>
      </w:r>
      <w:proofErr w:type="spellStart"/>
      <w:r w:rsidR="001459BE">
        <w:t>Modred</w:t>
      </w:r>
      <w:proofErr w:type="spellEnd"/>
      <w:r w:rsidR="001459BE">
        <w:t xml:space="preserve">) is in fact his enemy and not the ‘pagans’. </w:t>
      </w:r>
    </w:p>
    <w:p w:rsidR="004F097D" w:rsidRDefault="004F097D" w:rsidP="00B06761"/>
    <w:p w:rsidR="004F097D" w:rsidRDefault="004F097D" w:rsidP="00B06761">
      <w:r>
        <w:rPr>
          <w:b/>
        </w:rPr>
        <w:t xml:space="preserve">Saints’ Lives. </w:t>
      </w:r>
    </w:p>
    <w:p w:rsidR="004F097D" w:rsidRDefault="004F097D" w:rsidP="00B06761">
      <w:r>
        <w:tab/>
      </w:r>
      <w:r w:rsidR="00C61D32">
        <w:t xml:space="preserve">The use of Arthur in the lives of saints is puzzling. </w:t>
      </w:r>
      <w:r w:rsidR="003B4ACB">
        <w:t xml:space="preserve">Sometimes he is </w:t>
      </w:r>
      <w:r w:rsidR="00C61D32">
        <w:t>not a threat to the saints</w:t>
      </w:r>
      <w:r w:rsidR="003B4ACB">
        <w:t xml:space="preserve"> and others he is labelled a ‘tyr</w:t>
      </w:r>
      <w:r w:rsidR="00A25F7F">
        <w:t>an</w:t>
      </w:r>
      <w:r w:rsidR="003B4ACB">
        <w:t>t’</w:t>
      </w:r>
      <w:r w:rsidR="003B0570">
        <w:t>.</w:t>
      </w:r>
      <w:r w:rsidR="00C61D32">
        <w:t xml:space="preserve"> </w:t>
      </w:r>
      <w:r w:rsidR="003B0570">
        <w:t xml:space="preserve">As described by </w:t>
      </w:r>
      <w:proofErr w:type="spellStart"/>
      <w:r w:rsidR="003B0570">
        <w:t>Henken</w:t>
      </w:r>
      <w:proofErr w:type="spellEnd"/>
      <w:r w:rsidR="003B4ACB">
        <w:t>,</w:t>
      </w:r>
      <w:r w:rsidR="003B0570">
        <w:t xml:space="preserve"> he is “spoiled, demanding what he fancies, but basically well-meaning”.</w:t>
      </w:r>
      <w:r w:rsidR="003B0570">
        <w:rPr>
          <w:rStyle w:val="FootnoteReference"/>
        </w:rPr>
        <w:footnoteReference w:id="17"/>
      </w:r>
      <w:r w:rsidR="003B4ACB">
        <w:t xml:space="preserve"> The lives are problematic in that they are written hundred of </w:t>
      </w:r>
      <w:r w:rsidR="003B4ACB">
        <w:lastRenderedPageBreak/>
        <w:t>years after the saint with authors relying on legends and borrowing from other sources.</w:t>
      </w:r>
      <w:r w:rsidR="003B4ACB">
        <w:rPr>
          <w:rStyle w:val="FootnoteReference"/>
        </w:rPr>
        <w:footnoteReference w:id="18"/>
      </w:r>
      <w:r w:rsidR="003B4ACB">
        <w:t xml:space="preserve"> It is difficult to determine if the image of Arthur is from the time of the saint or the time the saints li</w:t>
      </w:r>
      <w:r w:rsidR="009D0FCC">
        <w:t>f</w:t>
      </w:r>
      <w:r w:rsidR="003B4ACB">
        <w:t xml:space="preserve">e was written. </w:t>
      </w:r>
    </w:p>
    <w:p w:rsidR="00881E5B" w:rsidRDefault="00881E5B" w:rsidP="00B06761">
      <w:r>
        <w:tab/>
        <w:t xml:space="preserve">Arthurs depiction in the </w:t>
      </w:r>
      <w:r w:rsidR="00BA70BA">
        <w:t>‘</w:t>
      </w:r>
      <w:r>
        <w:t xml:space="preserve">Life of </w:t>
      </w:r>
      <w:proofErr w:type="spellStart"/>
      <w:r>
        <w:t>Padarn</w:t>
      </w:r>
      <w:proofErr w:type="spellEnd"/>
      <w:r w:rsidR="00BA70BA">
        <w:t>’</w:t>
      </w:r>
      <w:r>
        <w:t xml:space="preserve">, twelfth or thirteenth </w:t>
      </w:r>
      <w:proofErr w:type="spellStart"/>
      <w:r>
        <w:t>centuy</w:t>
      </w:r>
      <w:proofErr w:type="spellEnd"/>
      <w:r>
        <w:t>, is interesting as he</w:t>
      </w:r>
      <w:r w:rsidR="009D0FCC">
        <w:t xml:space="preserve"> is described as</w:t>
      </w:r>
      <w:r>
        <w:t xml:space="preserve"> a ‘tyrant’ passing through ‘neighbouring regions’.</w:t>
      </w:r>
      <w:r>
        <w:rPr>
          <w:rStyle w:val="FootnoteReference"/>
        </w:rPr>
        <w:footnoteReference w:id="19"/>
      </w:r>
      <w:r>
        <w:t xml:space="preserve"> This suggests that Arthur is not in his lands</w:t>
      </w:r>
      <w:r w:rsidR="009D0FCC">
        <w:t xml:space="preserve"> due to</w:t>
      </w:r>
      <w:r>
        <w:t xml:space="preserve"> more threatening reasons and that is why he is given the title of ‘tyrant’. It is a far more negative view of conqueror. The source of conflict between the two is a tunic gifted to </w:t>
      </w:r>
      <w:proofErr w:type="spellStart"/>
      <w:r>
        <w:t>Padarn</w:t>
      </w:r>
      <w:proofErr w:type="spellEnd"/>
      <w:r>
        <w:t xml:space="preserve"> while on pilgrimage and Arthur means to take it from him with force.</w:t>
      </w:r>
      <w:r w:rsidR="00A73AAC">
        <w:rPr>
          <w:rStyle w:val="FootnoteReference"/>
        </w:rPr>
        <w:footnoteReference w:id="20"/>
      </w:r>
      <w:r>
        <w:t xml:space="preserve"> However, he is swallowed up by the earth until “admitting his guilt, began to praise God and St </w:t>
      </w:r>
      <w:proofErr w:type="spellStart"/>
      <w:r>
        <w:t>Padarn</w:t>
      </w:r>
      <w:proofErr w:type="spellEnd"/>
      <w:r>
        <w:t xml:space="preserve"> equally, until, with him seeking forgiveness, the earth let him go.”</w:t>
      </w:r>
      <w:r>
        <w:rPr>
          <w:rStyle w:val="FootnoteReference"/>
        </w:rPr>
        <w:footnoteReference w:id="21"/>
      </w:r>
      <w:r w:rsidR="00FA6458">
        <w:t xml:space="preserve"> This Arthur contrast with the Christian warrior in earlier texts. Arthur may have been described as a ‘tyrant’ in order to legitimately claim </w:t>
      </w:r>
      <w:proofErr w:type="spellStart"/>
      <w:r w:rsidR="00FA6458">
        <w:t>Padarn</w:t>
      </w:r>
      <w:proofErr w:type="spellEnd"/>
      <w:r w:rsidR="00FA6458">
        <w:t xml:space="preserve"> as his ‘eternal patron’</w:t>
      </w:r>
      <w:r w:rsidR="00A73AAC">
        <w:t xml:space="preserve"> through teaching Arthur the error of his ways.</w:t>
      </w:r>
      <w:r w:rsidR="00A73AAC">
        <w:rPr>
          <w:rStyle w:val="FootnoteReference"/>
        </w:rPr>
        <w:footnoteReference w:id="22"/>
      </w:r>
      <w:r w:rsidR="00A73AAC">
        <w:t xml:space="preserve"> </w:t>
      </w:r>
    </w:p>
    <w:p w:rsidR="009D0FCC" w:rsidRDefault="009D0FCC" w:rsidP="00B06761">
      <w:r>
        <w:tab/>
      </w:r>
      <w:r w:rsidR="00BA70BA">
        <w:t xml:space="preserve">In the ‘Life of </w:t>
      </w:r>
      <w:proofErr w:type="spellStart"/>
      <w:r w:rsidR="00BA70BA">
        <w:t>Carannog</w:t>
      </w:r>
      <w:proofErr w:type="spellEnd"/>
      <w:r w:rsidR="00BA70BA">
        <w:t xml:space="preserve">’, twelfth and thirteenth century, Arthur bargains with </w:t>
      </w:r>
      <w:proofErr w:type="spellStart"/>
      <w:r w:rsidR="00BA70BA">
        <w:t>Carannog</w:t>
      </w:r>
      <w:proofErr w:type="spellEnd"/>
      <w:r w:rsidR="00BA70BA">
        <w:t xml:space="preserve"> to </w:t>
      </w:r>
      <w:r w:rsidR="00953EF8">
        <w:t>draw out a dragon that has been troubling the area in exchange for his altar, which he intended on using as a table.</w:t>
      </w:r>
      <w:r w:rsidR="00953EF8">
        <w:rPr>
          <w:rStyle w:val="FootnoteReference"/>
        </w:rPr>
        <w:footnoteReference w:id="23"/>
      </w:r>
      <w:r w:rsidR="00953EF8">
        <w:t xml:space="preserve"> In the saints life he is give</w:t>
      </w:r>
      <w:r w:rsidR="00A25F7F">
        <w:t>n</w:t>
      </w:r>
      <w:r w:rsidR="00953EF8">
        <w:t xml:space="preserve"> the title of king and even lands that he shared rulership of with </w:t>
      </w:r>
      <w:proofErr w:type="spellStart"/>
      <w:r w:rsidR="00953EF8">
        <w:t>Cadwy</w:t>
      </w:r>
      <w:proofErr w:type="spellEnd"/>
      <w:r w:rsidR="00953EF8">
        <w:t>, he is not a ‘tyrant’ and appears to be a good ruler.</w:t>
      </w:r>
      <w:r w:rsidR="00953EF8">
        <w:rPr>
          <w:rStyle w:val="FootnoteReference"/>
        </w:rPr>
        <w:footnoteReference w:id="24"/>
      </w:r>
      <w:r w:rsidR="00953EF8">
        <w:t xml:space="preserve"> Only </w:t>
      </w:r>
      <w:proofErr w:type="spellStart"/>
      <w:r w:rsidR="00953EF8">
        <w:t>Carannog</w:t>
      </w:r>
      <w:proofErr w:type="spellEnd"/>
      <w:r w:rsidR="00953EF8">
        <w:t xml:space="preserve"> is able to control the dragon and would not allow the others to harm the beast. “And it bowed its head before the servant of God like a slave obeying his lord with shy glances and a meek heart”.</w:t>
      </w:r>
      <w:r w:rsidR="00953EF8">
        <w:rPr>
          <w:rStyle w:val="FootnoteReference"/>
        </w:rPr>
        <w:footnoteReference w:id="25"/>
      </w:r>
      <w:r w:rsidR="00B5377B">
        <w:t xml:space="preserve"> </w:t>
      </w:r>
      <w:proofErr w:type="spellStart"/>
      <w:r w:rsidR="00B5377B">
        <w:t>Carannog</w:t>
      </w:r>
      <w:proofErr w:type="spellEnd"/>
      <w:r w:rsidR="00B5377B">
        <w:t xml:space="preserve"> being the only one capable of controlling the dragon implies that he is spiritually superior to Arthur, that the saint is closer to God and able to turn situations to his advantage by making the dragon “destroy the sinners who were in Carrum”.</w:t>
      </w:r>
      <w:r w:rsidR="00B5377B">
        <w:rPr>
          <w:rStyle w:val="FootnoteReference"/>
        </w:rPr>
        <w:footnoteReference w:id="26"/>
      </w:r>
      <w:r w:rsidR="00B5377B">
        <w:t xml:space="preserve"> </w:t>
      </w:r>
      <w:proofErr w:type="spellStart"/>
      <w:r w:rsidR="00B5377B">
        <w:t>Carannog</w:t>
      </w:r>
      <w:proofErr w:type="spellEnd"/>
      <w:r w:rsidR="00B5377B">
        <w:t xml:space="preserve"> uses Gods help to defuse the situation where as Arthur heads out blindly</w:t>
      </w:r>
      <w:r w:rsidR="009D4D9E">
        <w:t xml:space="preserve">, enhancing the saints prestige. </w:t>
      </w:r>
      <w:r w:rsidR="009D4D9E">
        <w:rPr>
          <w:rStyle w:val="FootnoteReference"/>
        </w:rPr>
        <w:footnoteReference w:id="27"/>
      </w:r>
    </w:p>
    <w:p w:rsidR="00B5377B" w:rsidRDefault="009D4D9E" w:rsidP="00B06761">
      <w:r>
        <w:tab/>
      </w:r>
      <w:r w:rsidR="00B5377B">
        <w:tab/>
      </w:r>
      <w:r w:rsidR="00487717">
        <w:t xml:space="preserve">The ‘Life of Saint </w:t>
      </w:r>
      <w:proofErr w:type="spellStart"/>
      <w:r w:rsidR="00487717">
        <w:t>Cadog</w:t>
      </w:r>
      <w:proofErr w:type="spellEnd"/>
      <w:r w:rsidR="00487717">
        <w:t xml:space="preserve">’ portrays the most conflicting and peculiar Arthur, he does not assist the damsel in distress as we now would imagine. Written by </w:t>
      </w:r>
      <w:proofErr w:type="spellStart"/>
      <w:r w:rsidR="00487717">
        <w:t>Lifris</w:t>
      </w:r>
      <w:proofErr w:type="spellEnd"/>
      <w:r w:rsidR="00487717">
        <w:t xml:space="preserve"> in the early twelfth century, it tells the story of the parentage of </w:t>
      </w:r>
      <w:proofErr w:type="spellStart"/>
      <w:r w:rsidR="00487717">
        <w:t>Cadog</w:t>
      </w:r>
      <w:proofErr w:type="spellEnd"/>
      <w:r w:rsidR="0095247D">
        <w:t xml:space="preserve">. The King </w:t>
      </w:r>
      <w:proofErr w:type="spellStart"/>
      <w:r w:rsidR="0095247D">
        <w:t>Gwynllys</w:t>
      </w:r>
      <w:proofErr w:type="spellEnd"/>
      <w:r w:rsidR="0095247D">
        <w:t xml:space="preserve"> abducts </w:t>
      </w:r>
      <w:proofErr w:type="spellStart"/>
      <w:r w:rsidR="0095247D">
        <w:t>Gwladus</w:t>
      </w:r>
      <w:proofErr w:type="spellEnd"/>
      <w:r w:rsidR="0095247D">
        <w:t xml:space="preserve">, daughter of King </w:t>
      </w:r>
      <w:proofErr w:type="spellStart"/>
      <w:r w:rsidR="0095247D">
        <w:t>Brychan</w:t>
      </w:r>
      <w:proofErr w:type="spellEnd"/>
      <w:r w:rsidR="0095247D">
        <w:t xml:space="preserve"> of </w:t>
      </w:r>
      <w:proofErr w:type="spellStart"/>
      <w:r w:rsidR="0095247D">
        <w:t>Brycheiniog</w:t>
      </w:r>
      <w:proofErr w:type="spellEnd"/>
      <w:r w:rsidR="0095247D">
        <w:t xml:space="preserve">. Safely crossing into his land, King </w:t>
      </w:r>
      <w:proofErr w:type="spellStart"/>
      <w:r w:rsidR="0095247D">
        <w:t>Gwynllys</w:t>
      </w:r>
      <w:proofErr w:type="spellEnd"/>
      <w:r w:rsidR="0095247D">
        <w:t xml:space="preserve"> asks Arthur and his men, Cai and Bedwyr, to fight his pursuers.</w:t>
      </w:r>
      <w:r w:rsidR="0095247D">
        <w:rPr>
          <w:rStyle w:val="FootnoteReference"/>
        </w:rPr>
        <w:footnoteReference w:id="28"/>
      </w:r>
      <w:r w:rsidR="0095247D">
        <w:t xml:space="preserve"> Siding with the abductor does not seem to</w:t>
      </w:r>
      <w:r w:rsidR="00A25F7F">
        <w:t xml:space="preserve"> be</w:t>
      </w:r>
      <w:r w:rsidR="0095247D">
        <w:t xml:space="preserve"> a noble deed and becomes more conflicting when we learn that Arthur lusted after </w:t>
      </w:r>
      <w:proofErr w:type="spellStart"/>
      <w:r w:rsidR="0095247D">
        <w:t>Gwladus</w:t>
      </w:r>
      <w:proofErr w:type="spellEnd"/>
      <w:r w:rsidR="0095247D">
        <w:t xml:space="preserve"> and is stopped by Cai and Bedwyr.</w:t>
      </w:r>
      <w:r w:rsidR="0095247D">
        <w:rPr>
          <w:rStyle w:val="FootnoteReference"/>
        </w:rPr>
        <w:footnoteReference w:id="29"/>
      </w:r>
      <w:r w:rsidR="0095247D">
        <w:t xml:space="preserve"> “Arthur was straightaway greatly inflamed with lust in longing for this girl, so, filled with evil thoughts, he said to his companions, ‘Know that I am greatly burning with passion for the girl</w:t>
      </w:r>
      <w:r w:rsidR="00BC252C">
        <w:t>, w</w:t>
      </w:r>
      <w:r w:rsidR="0095247D">
        <w:t>hom that warrior is carrying away on horseback’”.</w:t>
      </w:r>
      <w:r w:rsidR="0095247D">
        <w:rPr>
          <w:rStyle w:val="FootnoteReference"/>
        </w:rPr>
        <w:footnoteReference w:id="30"/>
      </w:r>
      <w:r w:rsidR="0095247D">
        <w:t xml:space="preserve"> </w:t>
      </w:r>
      <w:r w:rsidR="008173AF">
        <w:t xml:space="preserve">This portrays Arthur in a negative light but could be a technique used by the author to reinforce how no man, even the noble and famous Arthur, could resist the princess. Her beauty is such that it inflames all men around her and it takes </w:t>
      </w:r>
      <w:r w:rsidR="008173AF">
        <w:lastRenderedPageBreak/>
        <w:t>the council of Cai and Bedwyr to remind Arthur that they are to help the ‘penniless and distressed’ before themselves.</w:t>
      </w:r>
      <w:r w:rsidR="008173AF">
        <w:rPr>
          <w:rStyle w:val="FootnoteReference"/>
        </w:rPr>
        <w:footnoteReference w:id="31"/>
      </w:r>
      <w:r w:rsidR="008173AF">
        <w:t xml:space="preserve"> </w:t>
      </w:r>
    </w:p>
    <w:p w:rsidR="00A73AAC" w:rsidRDefault="00A73AAC" w:rsidP="00B06761"/>
    <w:p w:rsidR="00826707" w:rsidRDefault="00826707" w:rsidP="00B06761">
      <w:proofErr w:type="spellStart"/>
      <w:r>
        <w:rPr>
          <w:b/>
          <w:i/>
        </w:rPr>
        <w:t>Culhwch</w:t>
      </w:r>
      <w:proofErr w:type="spellEnd"/>
      <w:r>
        <w:rPr>
          <w:b/>
          <w:i/>
        </w:rPr>
        <w:t xml:space="preserve"> ac Olwen. </w:t>
      </w:r>
    </w:p>
    <w:p w:rsidR="00B36557" w:rsidRDefault="00F36A56" w:rsidP="00B06761">
      <w:r>
        <w:tab/>
      </w:r>
      <w:r w:rsidR="0018622C">
        <w:t xml:space="preserve">The story of how </w:t>
      </w:r>
      <w:proofErr w:type="spellStart"/>
      <w:r w:rsidR="0018622C">
        <w:t>Culhwch</w:t>
      </w:r>
      <w:proofErr w:type="spellEnd"/>
      <w:r w:rsidR="0018622C">
        <w:t xml:space="preserve"> won Olwen is important to understand the image of Arthur because it has links with other Arthurian literature such as the hunting of a boar with his dog </w:t>
      </w:r>
      <w:proofErr w:type="spellStart"/>
      <w:r w:rsidR="0018622C">
        <w:t>Cafall</w:t>
      </w:r>
      <w:proofErr w:type="spellEnd"/>
      <w:r w:rsidR="0018622C">
        <w:t xml:space="preserve">, seen </w:t>
      </w:r>
      <w:r w:rsidR="0018622C">
        <w:rPr>
          <w:i/>
        </w:rPr>
        <w:t xml:space="preserve">Historia </w:t>
      </w:r>
      <w:proofErr w:type="spellStart"/>
      <w:r w:rsidR="0018622C">
        <w:rPr>
          <w:i/>
        </w:rPr>
        <w:t>Brittonum</w:t>
      </w:r>
      <w:proofErr w:type="spellEnd"/>
      <w:r w:rsidR="0018622C">
        <w:rPr>
          <w:i/>
        </w:rPr>
        <w:t xml:space="preserve"> </w:t>
      </w:r>
      <w:r w:rsidR="0018622C">
        <w:t xml:space="preserve">and the scene with </w:t>
      </w:r>
      <w:proofErr w:type="spellStart"/>
      <w:r w:rsidR="0018622C">
        <w:t>Culhwch</w:t>
      </w:r>
      <w:proofErr w:type="spellEnd"/>
      <w:r w:rsidR="0018622C">
        <w:t xml:space="preserve"> and the gate is reflected in poem </w:t>
      </w:r>
      <w:r w:rsidR="0018622C">
        <w:rPr>
          <w:i/>
        </w:rPr>
        <w:t xml:space="preserve">Pa Gur. </w:t>
      </w:r>
      <w:r w:rsidR="0018622C">
        <w:t xml:space="preserve">Found in both the White Book of </w:t>
      </w:r>
      <w:proofErr w:type="spellStart"/>
      <w:r w:rsidR="0018622C">
        <w:t>Rhydderch</w:t>
      </w:r>
      <w:proofErr w:type="spellEnd"/>
      <w:r w:rsidR="0018622C">
        <w:t xml:space="preserve">, fourteenth century, and the Red Book of </w:t>
      </w:r>
      <w:proofErr w:type="spellStart"/>
      <w:r w:rsidR="0018622C">
        <w:t>Hergest</w:t>
      </w:r>
      <w:proofErr w:type="spellEnd"/>
      <w:r w:rsidR="0018622C">
        <w:t>, early thirteenth century.</w:t>
      </w:r>
      <w:r w:rsidR="0018622C">
        <w:rPr>
          <w:rStyle w:val="FootnoteReference"/>
        </w:rPr>
        <w:footnoteReference w:id="32"/>
      </w:r>
      <w:r w:rsidR="0018622C">
        <w:t xml:space="preserve"> With the giant ‘Court List’ we see Arthur as an accomplished warrior and leader and with his various battle with supernatural beast he takes on the role of monster slayer.</w:t>
      </w:r>
      <w:r w:rsidR="0018622C">
        <w:rPr>
          <w:rStyle w:val="FootnoteReference"/>
        </w:rPr>
        <w:footnoteReference w:id="33"/>
      </w:r>
      <w:r w:rsidR="0018622C">
        <w:t xml:space="preserve"> </w:t>
      </w:r>
      <w:r w:rsidR="00BC3CCB">
        <w:t xml:space="preserve">The story gives us insights into materials that are lost and give us a rare glimpse at the vast folklore created around the figure Arthur. </w:t>
      </w:r>
      <w:proofErr w:type="spellStart"/>
      <w:r w:rsidR="00BC3CCB">
        <w:t>Culhwch</w:t>
      </w:r>
      <w:proofErr w:type="spellEnd"/>
      <w:r w:rsidR="00BC3CCB">
        <w:t xml:space="preserve"> invokes the names of his warriors to help him win the hand of Olwen, an impressive 225 men are listed with all their attributes and lineage included.</w:t>
      </w:r>
      <w:r w:rsidR="00BC3CCB">
        <w:rPr>
          <w:rStyle w:val="FootnoteReference"/>
        </w:rPr>
        <w:footnoteReference w:id="34"/>
      </w:r>
      <w:r w:rsidR="00BC3CCB">
        <w:t xml:space="preserve"> It is implied through the speech given by </w:t>
      </w:r>
      <w:proofErr w:type="spellStart"/>
      <w:r w:rsidR="00BC3CCB">
        <w:t>Glewlwyd</w:t>
      </w:r>
      <w:proofErr w:type="spellEnd"/>
      <w:r w:rsidR="00BC3CCB">
        <w:t xml:space="preserve"> that Arthur is a well-travelled warrior, having visited countries such as Scandinavia, Greece and even the continent of Africa.</w:t>
      </w:r>
      <w:r w:rsidR="00BC3CCB">
        <w:rPr>
          <w:rStyle w:val="FootnoteReference"/>
        </w:rPr>
        <w:footnoteReference w:id="35"/>
      </w:r>
      <w:r w:rsidR="00BC3CCB">
        <w:t xml:space="preserve"> </w:t>
      </w:r>
      <w:r w:rsidR="00927D28">
        <w:t>The speech hints at his military exploits and his dominance over other rulers,</w:t>
      </w:r>
      <w:r w:rsidR="00927D28">
        <w:rPr>
          <w:rStyle w:val="FootnoteReference"/>
        </w:rPr>
        <w:footnoteReference w:id="36"/>
      </w:r>
      <w:r w:rsidR="00927D28">
        <w:t xml:space="preserve"> “I was present when you conquered Greece to the East”.</w:t>
      </w:r>
      <w:r w:rsidR="00927D28">
        <w:rPr>
          <w:rStyle w:val="FootnoteReference"/>
        </w:rPr>
        <w:footnoteReference w:id="37"/>
      </w:r>
      <w:r w:rsidR="00B36557">
        <w:t xml:space="preserve"> It is interesting to note that there is no mention of his son Amr and his grave during the listing of his men, perhaps murdering his son is not a topic Arthur should boast about.</w:t>
      </w:r>
      <w:r w:rsidR="00B36557">
        <w:rPr>
          <w:rStyle w:val="FootnoteReference"/>
        </w:rPr>
        <w:footnoteReference w:id="38"/>
      </w:r>
      <w:r w:rsidR="00B36557">
        <w:t xml:space="preserve"> </w:t>
      </w:r>
    </w:p>
    <w:p w:rsidR="00826707" w:rsidRDefault="00B36557" w:rsidP="00B36557">
      <w:pPr>
        <w:ind w:firstLine="720"/>
      </w:pPr>
      <w:r>
        <w:t xml:space="preserve">The whole story has a sense of whimsical humour to it, there are no consequences or responsibilities Arthur and his men have that restrict them from adventuring. The list of impossible tasks, they are to be completed by </w:t>
      </w:r>
      <w:proofErr w:type="spellStart"/>
      <w:proofErr w:type="gramStart"/>
      <w:r>
        <w:t>Culhwch</w:t>
      </w:r>
      <w:proofErr w:type="spellEnd"/>
      <w:proofErr w:type="gramEnd"/>
      <w:r>
        <w:t xml:space="preserve"> but he cannot achieve this without the help of Arthur an his men. Arthur appears to be the actual hero.</w:t>
      </w:r>
      <w:r>
        <w:rPr>
          <w:rStyle w:val="FootnoteReference"/>
        </w:rPr>
        <w:footnoteReference w:id="39"/>
      </w:r>
      <w:r>
        <w:t xml:space="preserve"> It is even acknowledged by </w:t>
      </w:r>
      <w:proofErr w:type="spellStart"/>
      <w:r>
        <w:t>Ysbaddaden</w:t>
      </w:r>
      <w:proofErr w:type="spellEnd"/>
      <w:r>
        <w:t xml:space="preserve"> himself, “And you need not thank me for that, but thank Arthur, the man who arranged it for you”.</w:t>
      </w:r>
      <w:r>
        <w:rPr>
          <w:rStyle w:val="FootnoteReference"/>
        </w:rPr>
        <w:footnoteReference w:id="40"/>
      </w:r>
      <w:r w:rsidR="008C6A25">
        <w:t xml:space="preserve"> </w:t>
      </w:r>
      <w:r w:rsidR="00E557F1">
        <w:t xml:space="preserve">The stories antagonist acknowledges that a normal man would not have succeeded but Arthur is no ordinary man. Arthur is portrayed as an exceptional warrior, he lists his weapons as a kind of display of his prowess. “Except for my ship and my mantle, and </w:t>
      </w:r>
      <w:proofErr w:type="spellStart"/>
      <w:r w:rsidR="00E557F1">
        <w:t>Caledfwch</w:t>
      </w:r>
      <w:proofErr w:type="spellEnd"/>
      <w:r w:rsidR="00E557F1">
        <w:t xml:space="preserve"> [Hard-Cleft] my sword, and </w:t>
      </w:r>
      <w:proofErr w:type="spellStart"/>
      <w:r w:rsidR="00E557F1">
        <w:t>Rhongomyniad</w:t>
      </w:r>
      <w:proofErr w:type="spellEnd"/>
      <w:r w:rsidR="00E557F1">
        <w:t xml:space="preserve"> [Spear-Slayer] my spear, and </w:t>
      </w:r>
      <w:proofErr w:type="spellStart"/>
      <w:r w:rsidR="00E557F1">
        <w:t>Wyneb</w:t>
      </w:r>
      <w:proofErr w:type="spellEnd"/>
      <w:r w:rsidR="00E557F1">
        <w:t xml:space="preserve"> </w:t>
      </w:r>
      <w:proofErr w:type="spellStart"/>
      <w:r w:rsidR="00E557F1">
        <w:t>Gwrthucher</w:t>
      </w:r>
      <w:proofErr w:type="spellEnd"/>
      <w:r w:rsidR="00E557F1">
        <w:t xml:space="preserve"> [Evening-Face] my shield, and </w:t>
      </w:r>
      <w:proofErr w:type="spellStart"/>
      <w:r w:rsidR="00E557F1">
        <w:t>Carnwennan</w:t>
      </w:r>
      <w:proofErr w:type="spellEnd"/>
      <w:r w:rsidR="00E557F1">
        <w:t xml:space="preserve"> [Little White-Hilt] my knife, </w:t>
      </w:r>
      <w:proofErr w:type="spellStart"/>
      <w:r w:rsidR="00E557F1">
        <w:t>Gwenhwyfar</w:t>
      </w:r>
      <w:proofErr w:type="spellEnd"/>
      <w:r w:rsidR="00E557F1">
        <w:t xml:space="preserve"> my wife”.</w:t>
      </w:r>
      <w:r w:rsidR="00E557F1">
        <w:rPr>
          <w:rStyle w:val="FootnoteReference"/>
        </w:rPr>
        <w:footnoteReference w:id="41"/>
      </w:r>
      <w:r w:rsidR="00E557F1">
        <w:t xml:space="preserve"> The list shows what Arthur values </w:t>
      </w:r>
      <w:r w:rsidR="00043906">
        <w:t>above all and a warriors weapons are key to his survival, unsurprisingly his wife is listed last.</w:t>
      </w:r>
      <w:r w:rsidR="00043906">
        <w:rPr>
          <w:rStyle w:val="FootnoteReference"/>
        </w:rPr>
        <w:footnoteReference w:id="42"/>
      </w:r>
    </w:p>
    <w:p w:rsidR="00043906" w:rsidRDefault="00043906" w:rsidP="00B36557">
      <w:pPr>
        <w:ind w:firstLine="720"/>
      </w:pPr>
      <w:r>
        <w:t xml:space="preserve">Arthur and his court appear to be separate from Welsh medieval society. They travel to Ireland and all over Britain without any worry for the court at home. He travels with most of his men, no mention of their responsibilities or if they are inconvenienced by </w:t>
      </w:r>
      <w:proofErr w:type="spellStart"/>
      <w:r>
        <w:t>Culhwch</w:t>
      </w:r>
      <w:proofErr w:type="spellEnd"/>
      <w:r>
        <w:t xml:space="preserve"> request. Arthur chooses the tasks for his men according to their attributes, some do not survive.</w:t>
      </w:r>
      <w:r w:rsidR="000F36C1">
        <w:rPr>
          <w:rStyle w:val="FootnoteReference"/>
        </w:rPr>
        <w:footnoteReference w:id="43"/>
      </w:r>
      <w:r w:rsidR="000F36C1">
        <w:t xml:space="preserve"> Many of his men </w:t>
      </w:r>
      <w:r w:rsidR="000F36C1">
        <w:lastRenderedPageBreak/>
        <w:t>have magical qualities emphasising Arthurs connections to the otherworld and his mythical qualities. The last task can be interpreted as a link to Arthur and the Otherworld. “Yes, the blood of the Very Black Witch, daughter of the Very White Witch from the head of the Valley of Pain in the highlands of Hell”.</w:t>
      </w:r>
      <w:r w:rsidR="000F36C1">
        <w:rPr>
          <w:rStyle w:val="FootnoteReference"/>
        </w:rPr>
        <w:footnoteReference w:id="44"/>
      </w:r>
      <w:r w:rsidR="000F36C1">
        <w:t xml:space="preserve"> We know Arthur is renowned for slaying witches as he boasts in </w:t>
      </w:r>
      <w:r w:rsidR="000F36C1">
        <w:rPr>
          <w:i/>
        </w:rPr>
        <w:t>Pa Gur</w:t>
      </w:r>
      <w:r w:rsidR="000F36C1">
        <w:t xml:space="preserve"> and that he has travelled to the Otherworld by his boat in the poem </w:t>
      </w:r>
      <w:proofErr w:type="spellStart"/>
      <w:r w:rsidR="000F36C1">
        <w:rPr>
          <w:i/>
        </w:rPr>
        <w:t>Preideu</w:t>
      </w:r>
      <w:proofErr w:type="spellEnd"/>
      <w:r w:rsidR="000F36C1">
        <w:rPr>
          <w:i/>
        </w:rPr>
        <w:t xml:space="preserve"> </w:t>
      </w:r>
      <w:proofErr w:type="spellStart"/>
      <w:r w:rsidR="000F36C1">
        <w:rPr>
          <w:i/>
        </w:rPr>
        <w:t>Annwfyn</w:t>
      </w:r>
      <w:proofErr w:type="spellEnd"/>
      <w:r w:rsidR="000F36C1">
        <w:t xml:space="preserve"> and the highlands of hell could be interpreted as another location for the Otherworld.</w:t>
      </w:r>
    </w:p>
    <w:p w:rsidR="000F36C1" w:rsidRDefault="000F36C1" w:rsidP="00B36557">
      <w:pPr>
        <w:ind w:firstLine="720"/>
      </w:pPr>
    </w:p>
    <w:p w:rsidR="000F36C1" w:rsidRDefault="0086033B" w:rsidP="000F36C1">
      <w:proofErr w:type="spellStart"/>
      <w:r>
        <w:rPr>
          <w:b/>
          <w:i/>
        </w:rPr>
        <w:t>Englynion</w:t>
      </w:r>
      <w:proofErr w:type="spellEnd"/>
      <w:r>
        <w:rPr>
          <w:b/>
          <w:i/>
        </w:rPr>
        <w:t xml:space="preserve"> Y </w:t>
      </w:r>
      <w:proofErr w:type="spellStart"/>
      <w:r>
        <w:rPr>
          <w:b/>
          <w:i/>
        </w:rPr>
        <w:t>Beddau</w:t>
      </w:r>
      <w:proofErr w:type="spellEnd"/>
      <w:r>
        <w:rPr>
          <w:b/>
          <w:i/>
        </w:rPr>
        <w:t xml:space="preserve">. </w:t>
      </w:r>
    </w:p>
    <w:p w:rsidR="0086033B" w:rsidRPr="00FB05A3" w:rsidRDefault="0086033B" w:rsidP="000F36C1">
      <w:r>
        <w:tab/>
      </w:r>
      <w:r w:rsidR="00993FBC">
        <w:t xml:space="preserve"> Commonly known as</w:t>
      </w:r>
      <w:r w:rsidR="00F50197">
        <w:t xml:space="preserve"> ‘Stanzas of the Graves’ from the Black Book of Carmarthen but are believed to pre-date the book.</w:t>
      </w:r>
      <w:r w:rsidR="00F50197">
        <w:rPr>
          <w:rStyle w:val="FootnoteReference"/>
        </w:rPr>
        <w:footnoteReference w:id="45"/>
      </w:r>
      <w:r w:rsidR="00F50197">
        <w:t xml:space="preserve"> The poem </w:t>
      </w:r>
      <w:r w:rsidR="00FB05A3">
        <w:t xml:space="preserve">tells us the locations of various heroes such as Owain son </w:t>
      </w:r>
      <w:proofErr w:type="spellStart"/>
      <w:r w:rsidR="00FB05A3">
        <w:t>Urien</w:t>
      </w:r>
      <w:proofErr w:type="spellEnd"/>
      <w:r w:rsidR="00FB05A3">
        <w:t xml:space="preserve"> and implies there was a great interest in the resting places of heroes. There is a sense of nostalgia regarding the individuals and perhaps is reminiscent of a tradition long past.</w:t>
      </w:r>
      <w:r w:rsidR="00FB05A3">
        <w:rPr>
          <w:rStyle w:val="FootnoteReference"/>
        </w:rPr>
        <w:footnoteReference w:id="46"/>
      </w:r>
      <w:r w:rsidR="00FB05A3">
        <w:t xml:space="preserve"> Arthur is mentioned but there is no grave that holds him. “A grave for March, a grave for </w:t>
      </w:r>
      <w:proofErr w:type="spellStart"/>
      <w:r w:rsidR="00FB05A3">
        <w:t>Gwythur</w:t>
      </w:r>
      <w:proofErr w:type="spellEnd"/>
      <w:r w:rsidR="00FB05A3">
        <w:t xml:space="preserve">. A grave for </w:t>
      </w:r>
      <w:proofErr w:type="spellStart"/>
      <w:r w:rsidR="00FB05A3">
        <w:t>Gwgon</w:t>
      </w:r>
      <w:proofErr w:type="spellEnd"/>
      <w:r w:rsidR="00FB05A3">
        <w:t xml:space="preserve"> Red-Sword. The world’s wonder a grave for Arthur.”</w:t>
      </w:r>
      <w:r w:rsidR="00FB05A3">
        <w:rPr>
          <w:rStyle w:val="FootnoteReference"/>
        </w:rPr>
        <w:footnoteReference w:id="47"/>
      </w:r>
      <w:r w:rsidR="00FB05A3">
        <w:t xml:space="preserve">  The last sentence could mean a great deal of things. Welsh tradition states that there are many graves, or that there is no physical grave for Arthur.</w:t>
      </w:r>
      <w:r w:rsidR="00FB05A3">
        <w:rPr>
          <w:rStyle w:val="FootnoteReference"/>
        </w:rPr>
        <w:footnoteReference w:id="48"/>
      </w:r>
      <w:r w:rsidR="00FB05A3">
        <w:t xml:space="preserve"> The word ‘wonder’, </w:t>
      </w:r>
      <w:proofErr w:type="spellStart"/>
      <w:r w:rsidR="00FB05A3">
        <w:rPr>
          <w:i/>
        </w:rPr>
        <w:t>anoeth</w:t>
      </w:r>
      <w:proofErr w:type="spellEnd"/>
      <w:r w:rsidR="00FB05A3">
        <w:t xml:space="preserve">, is ambiguous and up for interpretation. </w:t>
      </w:r>
      <w:proofErr w:type="spellStart"/>
      <w:r w:rsidR="00FB05A3">
        <w:rPr>
          <w:i/>
        </w:rPr>
        <w:t>Anoeth</w:t>
      </w:r>
      <w:proofErr w:type="spellEnd"/>
      <w:r w:rsidR="00FB05A3">
        <w:rPr>
          <w:i/>
        </w:rPr>
        <w:t xml:space="preserve"> </w:t>
      </w:r>
      <w:r w:rsidR="00FB05A3">
        <w:t>could signify something difficult/impossible to achieve and/or obtain</w:t>
      </w:r>
      <w:r w:rsidR="001A49E2">
        <w:t xml:space="preserve"> and is also used to describe the tasks set by </w:t>
      </w:r>
      <w:proofErr w:type="spellStart"/>
      <w:r w:rsidR="001A49E2">
        <w:t>Ysbaddaden</w:t>
      </w:r>
      <w:proofErr w:type="spellEnd"/>
      <w:r w:rsidR="001A49E2">
        <w:t xml:space="preserve"> in </w:t>
      </w:r>
      <w:proofErr w:type="spellStart"/>
      <w:r w:rsidR="001A49E2">
        <w:t>Culhwch</w:t>
      </w:r>
      <w:proofErr w:type="spellEnd"/>
      <w:r w:rsidR="001A49E2">
        <w:t xml:space="preserve"> ac Olwen.</w:t>
      </w:r>
      <w:r w:rsidR="001A49E2">
        <w:rPr>
          <w:rStyle w:val="FootnoteReference"/>
        </w:rPr>
        <w:footnoteReference w:id="49"/>
      </w:r>
      <w:r w:rsidR="001A49E2">
        <w:t xml:space="preserve"> This could imply that it is impossible for Arthur to die and allowing his image to live on. Arthur is now separated from past heroes by the possibility of immortality and strengthening his mythical attributes.</w:t>
      </w:r>
      <w:r w:rsidR="001A49E2">
        <w:rPr>
          <w:rStyle w:val="FootnoteReference"/>
        </w:rPr>
        <w:footnoteReference w:id="50"/>
      </w:r>
      <w:r w:rsidR="001A49E2">
        <w:t xml:space="preserve"> It does not explicitly state if Arthur will return or that he has travelled anywhere to return </w:t>
      </w:r>
      <w:r w:rsidR="005B38FC">
        <w:t>from,</w:t>
      </w:r>
      <w:r w:rsidR="001A49E2">
        <w:t xml:space="preserve"> but that Arthur has omniscient qualities and th</w:t>
      </w:r>
      <w:r w:rsidR="00C21D40">
        <w:t>at</w:t>
      </w:r>
      <w:r w:rsidR="001A49E2">
        <w:t xml:space="preserve"> he </w:t>
      </w:r>
      <w:r w:rsidR="00C21D40">
        <w:t>cannot and</w:t>
      </w:r>
      <w:r w:rsidR="001A49E2">
        <w:t xml:space="preserve"> will not die.</w:t>
      </w:r>
      <w:r w:rsidR="001A49E2">
        <w:rPr>
          <w:rStyle w:val="FootnoteReference"/>
        </w:rPr>
        <w:footnoteReference w:id="51"/>
      </w:r>
    </w:p>
    <w:p w:rsidR="004838AB" w:rsidRDefault="004838AB" w:rsidP="005B38FC"/>
    <w:p w:rsidR="004838AB" w:rsidRDefault="004838AB" w:rsidP="005B38FC">
      <w:proofErr w:type="spellStart"/>
      <w:r>
        <w:rPr>
          <w:b/>
          <w:i/>
        </w:rPr>
        <w:t>Preideu</w:t>
      </w:r>
      <w:proofErr w:type="spellEnd"/>
      <w:r>
        <w:rPr>
          <w:b/>
          <w:i/>
        </w:rPr>
        <w:t xml:space="preserve"> </w:t>
      </w:r>
      <w:proofErr w:type="spellStart"/>
      <w:r>
        <w:rPr>
          <w:b/>
          <w:i/>
        </w:rPr>
        <w:t>Annwfyn</w:t>
      </w:r>
      <w:proofErr w:type="spellEnd"/>
      <w:r>
        <w:rPr>
          <w:b/>
          <w:i/>
        </w:rPr>
        <w:t xml:space="preserve">. </w:t>
      </w:r>
    </w:p>
    <w:p w:rsidR="00043906" w:rsidRDefault="004838AB" w:rsidP="00043906">
      <w:r>
        <w:tab/>
      </w:r>
      <w:r w:rsidR="00194F43">
        <w:t xml:space="preserve">‘The Spoils of </w:t>
      </w:r>
      <w:proofErr w:type="spellStart"/>
      <w:r w:rsidR="00194F43">
        <w:t>Annwn</w:t>
      </w:r>
      <w:proofErr w:type="spellEnd"/>
      <w:r w:rsidR="00194F43">
        <w:t>’ is Poem 30 in the Book of Taliesin and is believed to be composed between the late ninth century and the early twelfth century.</w:t>
      </w:r>
      <w:r w:rsidR="00194F43">
        <w:rPr>
          <w:rStyle w:val="FootnoteReference"/>
        </w:rPr>
        <w:footnoteReference w:id="52"/>
      </w:r>
      <w:r w:rsidR="00194F43">
        <w:t xml:space="preserve"> It is a poem describing an expedition into </w:t>
      </w:r>
      <w:proofErr w:type="spellStart"/>
      <w:r w:rsidR="00194F43">
        <w:t>Annwn</w:t>
      </w:r>
      <w:proofErr w:type="spellEnd"/>
      <w:r w:rsidR="00194F43">
        <w:t xml:space="preserve"> to re</w:t>
      </w:r>
      <w:r w:rsidR="006E10E1">
        <w:t xml:space="preserve">scue </w:t>
      </w:r>
      <w:proofErr w:type="spellStart"/>
      <w:r w:rsidR="006E10E1">
        <w:t>Gweir</w:t>
      </w:r>
      <w:proofErr w:type="spellEnd"/>
      <w:r w:rsidR="006E10E1">
        <w:t xml:space="preserve"> and retrieve a cauldron. </w:t>
      </w:r>
      <w:r w:rsidR="006E10E1">
        <w:rPr>
          <w:rStyle w:val="FootnoteReference"/>
        </w:rPr>
        <w:footnoteReference w:id="53"/>
      </w:r>
      <w:r w:rsidR="000C111F">
        <w:t xml:space="preserve"> The rescue of </w:t>
      </w:r>
      <w:proofErr w:type="spellStart"/>
      <w:r w:rsidR="000C111F">
        <w:t>Gweir</w:t>
      </w:r>
      <w:proofErr w:type="spellEnd"/>
      <w:r w:rsidR="000C111F">
        <w:t xml:space="preserve"> appears to foreshadow later chivalric code of Welsh and other romances </w:t>
      </w:r>
      <w:r w:rsidR="00C21D40">
        <w:t>o</w:t>
      </w:r>
      <w:r w:rsidR="000C111F">
        <w:t>f helping the</w:t>
      </w:r>
      <w:r w:rsidR="00C21D40">
        <w:t>m</w:t>
      </w:r>
      <w:r w:rsidR="000C111F">
        <w:t xml:space="preserve"> in distress. </w:t>
      </w:r>
      <w:r w:rsidR="000C111F">
        <w:rPr>
          <w:rStyle w:val="FootnoteReference"/>
        </w:rPr>
        <w:footnoteReference w:id="54"/>
      </w:r>
      <w:r w:rsidR="000C111F">
        <w:t xml:space="preserve"> It can be seen in </w:t>
      </w:r>
      <w:proofErr w:type="spellStart"/>
      <w:r w:rsidR="000C111F">
        <w:rPr>
          <w:i/>
        </w:rPr>
        <w:t>Ymddiddan</w:t>
      </w:r>
      <w:proofErr w:type="spellEnd"/>
      <w:r w:rsidR="000C111F">
        <w:rPr>
          <w:i/>
        </w:rPr>
        <w:t xml:space="preserve"> Arthur </w:t>
      </w:r>
      <w:proofErr w:type="spellStart"/>
      <w:r w:rsidR="000C111F">
        <w:rPr>
          <w:i/>
        </w:rPr>
        <w:t>a’r</w:t>
      </w:r>
      <w:proofErr w:type="spellEnd"/>
      <w:r w:rsidR="000C111F">
        <w:rPr>
          <w:i/>
        </w:rPr>
        <w:t xml:space="preserve"> </w:t>
      </w:r>
      <w:proofErr w:type="spellStart"/>
      <w:r w:rsidR="000C111F">
        <w:rPr>
          <w:i/>
        </w:rPr>
        <w:t>Eryr</w:t>
      </w:r>
      <w:proofErr w:type="spellEnd"/>
      <w:r w:rsidR="000C111F">
        <w:rPr>
          <w:i/>
        </w:rPr>
        <w:t xml:space="preserve">, </w:t>
      </w:r>
      <w:r w:rsidR="000C111F">
        <w:t xml:space="preserve">(Dialogue of Arthur and the Eagle), in which the eagle is Arthurs nephew </w:t>
      </w:r>
      <w:proofErr w:type="spellStart"/>
      <w:r w:rsidR="000C111F">
        <w:t>Eliw</w:t>
      </w:r>
      <w:r w:rsidR="004F1D93">
        <w:t>lad</w:t>
      </w:r>
      <w:proofErr w:type="spellEnd"/>
      <w:r w:rsidR="004F1D93">
        <w:t xml:space="preserve">, son of </w:t>
      </w:r>
      <w:proofErr w:type="spellStart"/>
      <w:r w:rsidR="004F1D93">
        <w:t>Madog</w:t>
      </w:r>
      <w:proofErr w:type="spellEnd"/>
      <w:r w:rsidR="004F1D93">
        <w:t xml:space="preserve"> son of </w:t>
      </w:r>
      <w:proofErr w:type="spellStart"/>
      <w:r w:rsidR="004F1D93">
        <w:t>Uthr</w:t>
      </w:r>
      <w:proofErr w:type="spellEnd"/>
      <w:r w:rsidR="004F1D93">
        <w:t>.</w:t>
      </w:r>
      <w:r w:rsidR="004F1D93">
        <w:rPr>
          <w:rStyle w:val="FootnoteReference"/>
        </w:rPr>
        <w:footnoteReference w:id="55"/>
      </w:r>
      <w:r w:rsidR="004F1D93">
        <w:t xml:space="preserve"> The line, “could anyone, through battle win you alive again?” </w:t>
      </w:r>
      <w:r w:rsidR="004F1D93">
        <w:lastRenderedPageBreak/>
        <w:t>reflects his bravery and willingness to battle to rescue long lost friends.</w:t>
      </w:r>
      <w:r w:rsidR="004F1D93">
        <w:rPr>
          <w:rStyle w:val="FootnoteReference"/>
        </w:rPr>
        <w:footnoteReference w:id="56"/>
      </w:r>
      <w:r w:rsidR="004F1D93">
        <w:t xml:space="preserve"> The abduction of </w:t>
      </w:r>
      <w:proofErr w:type="spellStart"/>
      <w:r w:rsidR="004F1D93">
        <w:t>Gwladus</w:t>
      </w:r>
      <w:proofErr w:type="spellEnd"/>
      <w:r w:rsidR="004F1D93">
        <w:t xml:space="preserve"> could vaguely be seen as a rescue attempt but not in returning </w:t>
      </w:r>
      <w:proofErr w:type="spellStart"/>
      <w:r w:rsidR="004F1D93">
        <w:t>Gwladus</w:t>
      </w:r>
      <w:proofErr w:type="spellEnd"/>
      <w:r w:rsidR="004F1D93">
        <w:t xml:space="preserve"> to her father. </w:t>
      </w:r>
    </w:p>
    <w:p w:rsidR="004F1D93" w:rsidRDefault="004F1D93" w:rsidP="00043906">
      <w:r>
        <w:tab/>
        <w:t xml:space="preserve">Parallels can be drawn between </w:t>
      </w:r>
      <w:proofErr w:type="spellStart"/>
      <w:r>
        <w:rPr>
          <w:i/>
        </w:rPr>
        <w:t>Preideu</w:t>
      </w:r>
      <w:proofErr w:type="spellEnd"/>
      <w:r>
        <w:rPr>
          <w:i/>
        </w:rPr>
        <w:t xml:space="preserve"> </w:t>
      </w:r>
      <w:proofErr w:type="spellStart"/>
      <w:r>
        <w:rPr>
          <w:i/>
        </w:rPr>
        <w:t>Annwfyn</w:t>
      </w:r>
      <w:proofErr w:type="spellEnd"/>
      <w:r>
        <w:rPr>
          <w:i/>
        </w:rPr>
        <w:t xml:space="preserve"> </w:t>
      </w:r>
      <w:r>
        <w:t xml:space="preserve">and the Second Branch of the </w:t>
      </w:r>
      <w:proofErr w:type="spellStart"/>
      <w:r>
        <w:t>Mabinogion</w:t>
      </w:r>
      <w:proofErr w:type="spellEnd"/>
      <w:r>
        <w:t xml:space="preserve">. Although the Second Branch does not involve Arthur, </w:t>
      </w:r>
      <w:r w:rsidR="00302567">
        <w:t xml:space="preserve">the voyage to Ireland is in order to rescue </w:t>
      </w:r>
      <w:proofErr w:type="spellStart"/>
      <w:r w:rsidR="00302567">
        <w:t>Branwen</w:t>
      </w:r>
      <w:proofErr w:type="spellEnd"/>
      <w:r w:rsidR="00302567">
        <w:t xml:space="preserve">, the cauldron of rebirth is used and only seven men return from Ireland, mirroring the seven who return from </w:t>
      </w:r>
      <w:proofErr w:type="spellStart"/>
      <w:r w:rsidR="00302567">
        <w:t>Annwn</w:t>
      </w:r>
      <w:proofErr w:type="spellEnd"/>
      <w:r w:rsidR="00302567">
        <w:t>.</w:t>
      </w:r>
      <w:r w:rsidR="00302567">
        <w:rPr>
          <w:rStyle w:val="FootnoteReference"/>
        </w:rPr>
        <w:footnoteReference w:id="57"/>
      </w:r>
      <w:r w:rsidR="00302567">
        <w:t xml:space="preserve"> “Three loads for </w:t>
      </w:r>
      <w:proofErr w:type="spellStart"/>
      <w:r w:rsidR="00302567">
        <w:t>Prydwen</w:t>
      </w:r>
      <w:proofErr w:type="spellEnd"/>
      <w:r w:rsidR="00302567">
        <w:t>, we went there, but for seven, none returned from the Otherworld Fort”.</w:t>
      </w:r>
      <w:r w:rsidR="00302567">
        <w:rPr>
          <w:rStyle w:val="FootnoteReference"/>
        </w:rPr>
        <w:footnoteReference w:id="58"/>
      </w:r>
      <w:r w:rsidR="00302567">
        <w:t xml:space="preserve"> Arthurs ship is </w:t>
      </w:r>
      <w:proofErr w:type="spellStart"/>
      <w:r w:rsidR="00302567">
        <w:rPr>
          <w:i/>
        </w:rPr>
        <w:t>Prydwen</w:t>
      </w:r>
      <w:proofErr w:type="spellEnd"/>
      <w:r w:rsidR="00302567">
        <w:rPr>
          <w:i/>
        </w:rPr>
        <w:t xml:space="preserve"> </w:t>
      </w:r>
      <w:r w:rsidR="00302567">
        <w:t xml:space="preserve">meaning white shape, the term </w:t>
      </w:r>
      <w:proofErr w:type="spellStart"/>
      <w:r w:rsidR="00302567">
        <w:rPr>
          <w:i/>
        </w:rPr>
        <w:t>gwen</w:t>
      </w:r>
      <w:proofErr w:type="spellEnd"/>
      <w:r w:rsidR="00302567">
        <w:t xml:space="preserve"> could also signify ‘pure, sacred, holy, </w:t>
      </w:r>
      <w:proofErr w:type="spellStart"/>
      <w:r w:rsidR="00302567">
        <w:t>otherwordly</w:t>
      </w:r>
      <w:proofErr w:type="spellEnd"/>
      <w:r w:rsidR="00302567">
        <w:t xml:space="preserve">’. Ford argues that Arthurs sword </w:t>
      </w:r>
      <w:proofErr w:type="spellStart"/>
      <w:r w:rsidR="00302567" w:rsidRPr="00302567">
        <w:rPr>
          <w:i/>
        </w:rPr>
        <w:t>Carnwennan</w:t>
      </w:r>
      <w:proofErr w:type="spellEnd"/>
      <w:r w:rsidR="00302567">
        <w:t xml:space="preserve"> meaning ‘little white-hilt’ may also symbolise connections to the otherworld.</w:t>
      </w:r>
      <w:r w:rsidR="00302567">
        <w:rPr>
          <w:rStyle w:val="FootnoteReference"/>
        </w:rPr>
        <w:footnoteReference w:id="59"/>
      </w:r>
      <w:r w:rsidR="00302567">
        <w:t xml:space="preserve"> This emphasises A</w:t>
      </w:r>
      <w:r w:rsidR="00996C9A">
        <w:t>rthurs ties with the otherworld, of being immortal and him as a magical warrior.</w:t>
      </w:r>
      <w:r w:rsidR="00996C9A">
        <w:rPr>
          <w:rStyle w:val="FootnoteReference"/>
        </w:rPr>
        <w:footnoteReference w:id="60"/>
      </w:r>
      <w:r w:rsidR="00996C9A">
        <w:t xml:space="preserve"> Sims Williams suggests that connecting the stories is misguided, instead we should understand that there were themes and plots which authors used and adapted for their works.</w:t>
      </w:r>
      <w:r w:rsidR="00996C9A">
        <w:rPr>
          <w:rStyle w:val="FootnoteReference"/>
        </w:rPr>
        <w:footnoteReference w:id="61"/>
      </w:r>
      <w:r w:rsidR="00996C9A">
        <w:t xml:space="preserve"> </w:t>
      </w:r>
      <w:r w:rsidR="003C1D28">
        <w:t xml:space="preserve">Haycock adds that </w:t>
      </w:r>
      <w:proofErr w:type="spellStart"/>
      <w:r w:rsidR="003C1D28">
        <w:rPr>
          <w:i/>
        </w:rPr>
        <w:t>Preideu</w:t>
      </w:r>
      <w:proofErr w:type="spellEnd"/>
      <w:r w:rsidR="003C1D28">
        <w:rPr>
          <w:i/>
        </w:rPr>
        <w:t xml:space="preserve"> </w:t>
      </w:r>
      <w:proofErr w:type="spellStart"/>
      <w:r w:rsidR="003C1D28">
        <w:rPr>
          <w:i/>
        </w:rPr>
        <w:t>Annwfyn</w:t>
      </w:r>
      <w:proofErr w:type="spellEnd"/>
      <w:r w:rsidR="003C1D28">
        <w:rPr>
          <w:i/>
        </w:rPr>
        <w:t xml:space="preserve"> </w:t>
      </w:r>
      <w:r w:rsidR="003C1D28">
        <w:t>is “largely allusive, not explanatory, as though the poetry was designed to lock into a layer of known story material already laid down in the minds of contemporary audiences”.</w:t>
      </w:r>
      <w:r w:rsidR="003C1D28">
        <w:rPr>
          <w:rStyle w:val="FootnoteReference"/>
        </w:rPr>
        <w:footnoteReference w:id="62"/>
      </w:r>
      <w:r w:rsidR="003C1D28">
        <w:t xml:space="preserve"> The over all tone of the piece is mournful. The audience may have been aware of the poem, the struggle of the characters and may even grieve over certain characters. The repetition </w:t>
      </w:r>
      <w:r w:rsidR="000D78FE">
        <w:t xml:space="preserve">“Three loads for </w:t>
      </w:r>
      <w:proofErr w:type="spellStart"/>
      <w:r w:rsidR="000D78FE">
        <w:t>Prydwen</w:t>
      </w:r>
      <w:proofErr w:type="spellEnd"/>
      <w:r w:rsidR="000D78FE">
        <w:t>, we went on sea, but for seven, none returned from the fort of” ending with various descriptions of the fort not only reinforce the danger and loss on the expedition but the vast size and difficulty of the otherworld.</w:t>
      </w:r>
      <w:r w:rsidR="000D78FE">
        <w:rPr>
          <w:rStyle w:val="FootnoteReference"/>
        </w:rPr>
        <w:footnoteReference w:id="63"/>
      </w:r>
      <w:r w:rsidR="000D78FE">
        <w:t xml:space="preserve"> Arthur is portrayed as an adventurer but the tone of the poem is a sobering one, solemn over the loss of Arthurs men and we are not told if they were successful in rescuing </w:t>
      </w:r>
      <w:proofErr w:type="spellStart"/>
      <w:r w:rsidR="000D78FE">
        <w:t>Gweir</w:t>
      </w:r>
      <w:proofErr w:type="spellEnd"/>
      <w:r w:rsidR="000D78FE">
        <w:t>.</w:t>
      </w:r>
      <w:r w:rsidR="000D78FE">
        <w:rPr>
          <w:rStyle w:val="FootnoteReference"/>
        </w:rPr>
        <w:footnoteReference w:id="64"/>
      </w:r>
    </w:p>
    <w:p w:rsidR="00E81436" w:rsidRDefault="00E81436" w:rsidP="00043906"/>
    <w:p w:rsidR="00E81436" w:rsidRDefault="008C5612" w:rsidP="00043906">
      <w:r>
        <w:rPr>
          <w:b/>
          <w:i/>
        </w:rPr>
        <w:t xml:space="preserve">Pa Gur </w:t>
      </w:r>
      <w:proofErr w:type="spellStart"/>
      <w:r>
        <w:rPr>
          <w:b/>
          <w:i/>
        </w:rPr>
        <w:t>Yv</w:t>
      </w:r>
      <w:proofErr w:type="spellEnd"/>
      <w:r>
        <w:rPr>
          <w:b/>
          <w:i/>
        </w:rPr>
        <w:t xml:space="preserve"> Y </w:t>
      </w:r>
      <w:proofErr w:type="spellStart"/>
      <w:r>
        <w:rPr>
          <w:b/>
          <w:i/>
        </w:rPr>
        <w:t>Porthaur</w:t>
      </w:r>
      <w:proofErr w:type="spellEnd"/>
      <w:r>
        <w:rPr>
          <w:b/>
          <w:i/>
        </w:rPr>
        <w:t xml:space="preserve">? </w:t>
      </w:r>
    </w:p>
    <w:p w:rsidR="00E81436" w:rsidRDefault="008C5612" w:rsidP="00043906">
      <w:r>
        <w:tab/>
        <w:t>Found in the Black Book of Carmarthen, it translates to ‘What man is the gatekeeper/porter?’.</w:t>
      </w:r>
      <w:r>
        <w:rPr>
          <w:rStyle w:val="FootnoteReference"/>
        </w:rPr>
        <w:footnoteReference w:id="65"/>
      </w:r>
      <w:r>
        <w:t xml:space="preserve"> </w:t>
      </w:r>
      <w:r w:rsidR="00B90FFB">
        <w:t xml:space="preserve">Dated to the eleventh century, the poem is a dialogue between Arthur and </w:t>
      </w:r>
      <w:proofErr w:type="spellStart"/>
      <w:r w:rsidR="00B90FFB">
        <w:t>Glewlwyd</w:t>
      </w:r>
      <w:proofErr w:type="spellEnd"/>
      <w:r w:rsidR="00B90FFB">
        <w:t xml:space="preserve"> who also makes an appearance as Arthurs gatekeeper in </w:t>
      </w:r>
      <w:proofErr w:type="spellStart"/>
      <w:r w:rsidR="00B90FFB">
        <w:t>Culhwch</w:t>
      </w:r>
      <w:proofErr w:type="spellEnd"/>
      <w:r w:rsidR="00B90FFB">
        <w:t xml:space="preserve"> ac Olwen.</w:t>
      </w:r>
      <w:r w:rsidR="00B90FFB">
        <w:rPr>
          <w:rStyle w:val="FootnoteReference"/>
        </w:rPr>
        <w:footnoteReference w:id="66"/>
      </w:r>
      <w:r w:rsidR="00B90FFB">
        <w:t xml:space="preserve"> It is puzzling to see that now Arthur is asking for entrance into the court, is it Arthurs court ? or is it before Arthur had established his own? Similar techniques are used in both pieces, such as the list of Arthurs men. The dialogue between Arthur and the gatekeeper turns into a long list of Arthurs men and their achievements.</w:t>
      </w:r>
      <w:r w:rsidR="00B90FFB">
        <w:rPr>
          <w:rStyle w:val="FootnoteReference"/>
        </w:rPr>
        <w:footnoteReference w:id="67"/>
      </w:r>
      <w:r w:rsidR="00F22872">
        <w:t xml:space="preserve"> </w:t>
      </w:r>
    </w:p>
    <w:p w:rsidR="00530BC9" w:rsidRDefault="00F12A59" w:rsidP="00B06761">
      <w:r>
        <w:tab/>
        <w:t>His achievements suggest that Arthur is the head of a wandering of folkloric warrior heroes, it does not state his title but some of the poem is missing.</w:t>
      </w:r>
      <w:r>
        <w:rPr>
          <w:rStyle w:val="FootnoteReference"/>
        </w:rPr>
        <w:footnoteReference w:id="68"/>
      </w:r>
      <w:r>
        <w:t xml:space="preserve"> It lists the magical qualities of his men, it references him slaying a witch a repetition of his actions in </w:t>
      </w:r>
      <w:proofErr w:type="spellStart"/>
      <w:r>
        <w:t>Culhwch</w:t>
      </w:r>
      <w:proofErr w:type="spellEnd"/>
      <w:r>
        <w:t xml:space="preserve"> ac Olwen. “Although Arthur was </w:t>
      </w:r>
      <w:r>
        <w:lastRenderedPageBreak/>
        <w:t xml:space="preserve">playing, her blood flowed in the hall of </w:t>
      </w:r>
      <w:proofErr w:type="spellStart"/>
      <w:r>
        <w:t>Afarnach</w:t>
      </w:r>
      <w:proofErr w:type="spellEnd"/>
      <w:r>
        <w:t>- fighting, he and the witch”.</w:t>
      </w:r>
      <w:r>
        <w:rPr>
          <w:rStyle w:val="FootnoteReference"/>
        </w:rPr>
        <w:footnoteReference w:id="69"/>
      </w:r>
      <w:r>
        <w:t xml:space="preserve"> The word ‘playing’ suggests that Arthur finds fighting monsters and witches so easy its entertaining for him. It does echo the joyful tone of </w:t>
      </w:r>
      <w:proofErr w:type="spellStart"/>
      <w:r>
        <w:t>Culhwch</w:t>
      </w:r>
      <w:proofErr w:type="spellEnd"/>
      <w:r>
        <w:t xml:space="preserve"> ac Olwen, </w:t>
      </w:r>
      <w:r w:rsidR="00727033">
        <w:t>again he and his men are not restricted by societies responsibilities.</w:t>
      </w:r>
      <w:r w:rsidR="00727033">
        <w:rPr>
          <w:rStyle w:val="FootnoteReference"/>
        </w:rPr>
        <w:footnoteReference w:id="70"/>
      </w:r>
      <w:r w:rsidR="00727033">
        <w:t xml:space="preserve"> The poem mentions various locations the group have visited such as Edinburgh and Anglesey, giving the impression that Arthur and his men have wandered far and are looking for some refuge.</w:t>
      </w:r>
      <w:r w:rsidR="00727033">
        <w:rPr>
          <w:rStyle w:val="FootnoteReference"/>
        </w:rPr>
        <w:footnoteReference w:id="71"/>
      </w:r>
      <w:r w:rsidR="00727033">
        <w:t xml:space="preserve"> We have already been given the image of Arthur as a monster slayer but here, we find that he enjoys his craft. He plays with his supernatural enemies and the sarcastic tone when addressing the gatekeeper is humorous. </w:t>
      </w:r>
    </w:p>
    <w:p w:rsidR="00193210" w:rsidRDefault="00193210" w:rsidP="00B06761"/>
    <w:p w:rsidR="00193210" w:rsidRDefault="00193210" w:rsidP="00B06761">
      <w:r>
        <w:rPr>
          <w:b/>
          <w:i/>
        </w:rPr>
        <w:t xml:space="preserve">Historia </w:t>
      </w:r>
      <w:proofErr w:type="spellStart"/>
      <w:r>
        <w:rPr>
          <w:b/>
          <w:i/>
        </w:rPr>
        <w:t>Regum</w:t>
      </w:r>
      <w:proofErr w:type="spellEnd"/>
      <w:r>
        <w:rPr>
          <w:b/>
          <w:i/>
        </w:rPr>
        <w:t xml:space="preserve"> Britanniae. </w:t>
      </w:r>
    </w:p>
    <w:p w:rsidR="00193210" w:rsidRDefault="00A358A9" w:rsidP="00B06761">
      <w:r>
        <w:tab/>
      </w:r>
      <w:r w:rsidR="00733CA7">
        <w:t>‘The History of the Kings of Britain’ is dated approximately 1139. It is the first coherent story of the early history of British rule and Geoffrey is most famously known for his contribution to the mythos of Arthur.</w:t>
      </w:r>
      <w:r w:rsidR="00733CA7">
        <w:rPr>
          <w:rStyle w:val="FootnoteReference"/>
        </w:rPr>
        <w:footnoteReference w:id="72"/>
      </w:r>
      <w:r w:rsidR="00733CA7">
        <w:t xml:space="preserve"> </w:t>
      </w:r>
      <w:r w:rsidR="00080101">
        <w:t xml:space="preserve"> </w:t>
      </w:r>
      <w:r w:rsidR="00115D18">
        <w:t xml:space="preserve">Geoffrey relied on a variety of sources, oral or written, in British tradition. </w:t>
      </w:r>
      <w:r w:rsidR="00115D18">
        <w:rPr>
          <w:rStyle w:val="FootnoteReference"/>
        </w:rPr>
        <w:footnoteReference w:id="73"/>
      </w:r>
      <w:r w:rsidR="00115D18">
        <w:t xml:space="preserve"> The impression we have of Arthur from </w:t>
      </w:r>
      <w:proofErr w:type="spellStart"/>
      <w:r w:rsidR="00115D18">
        <w:t>Geoffreys</w:t>
      </w:r>
      <w:proofErr w:type="spellEnd"/>
      <w:r w:rsidR="00115D18">
        <w:t xml:space="preserve"> work is one of ambition, he is a powerful king who conquers various lands such as Ireland, Iceland and even Gaul. Arthur was such a prosperous ruler that Geoffrey wrote, “If I were to describe it all in detail, my history would become too wordy. So noble was Britain then that it surpassed other Kingdoms in its stores of wealth, the ostentation of its dress and the sophistication of its inhabitants”.</w:t>
      </w:r>
      <w:r w:rsidR="00115D18">
        <w:rPr>
          <w:rStyle w:val="FootnoteReference"/>
        </w:rPr>
        <w:footnoteReference w:id="74"/>
      </w:r>
      <w:r w:rsidR="00115D18">
        <w:t xml:space="preserve"> </w:t>
      </w:r>
      <w:r w:rsidR="00DE6679">
        <w:t xml:space="preserve">An impressive description of Arthurs world, reminding us of kingdoms such as the Norman kingdom Sicily under King Roger II in the twelfth century. </w:t>
      </w:r>
    </w:p>
    <w:p w:rsidR="00530BC9" w:rsidRDefault="00DE6679" w:rsidP="00B06761">
      <w:r>
        <w:tab/>
      </w:r>
      <w:proofErr w:type="spellStart"/>
      <w:r w:rsidR="00FB5046">
        <w:t>Geoffreys</w:t>
      </w:r>
      <w:proofErr w:type="spellEnd"/>
      <w:r w:rsidR="00FB5046">
        <w:t xml:space="preserve"> account brings us back full circle to ‘Welsh Annals’ mentioned earlier. He features characters such </w:t>
      </w:r>
      <w:proofErr w:type="spellStart"/>
      <w:r w:rsidR="00FB5046">
        <w:t>Modred</w:t>
      </w:r>
      <w:proofErr w:type="spellEnd"/>
      <w:r w:rsidR="00FB5046">
        <w:t xml:space="preserve"> who usurps Arthurs crown after having had an affair with his wife </w:t>
      </w:r>
      <w:proofErr w:type="spellStart"/>
      <w:r w:rsidR="00FB5046">
        <w:t>Guinever</w:t>
      </w:r>
      <w:proofErr w:type="spellEnd"/>
      <w:r w:rsidR="00FB5046">
        <w:t>.</w:t>
      </w:r>
      <w:r w:rsidR="00FB5046">
        <w:rPr>
          <w:rStyle w:val="FootnoteReference"/>
        </w:rPr>
        <w:footnoteReference w:id="75"/>
      </w:r>
      <w:r w:rsidR="00FB5046">
        <w:t xml:space="preserve"> They meat at the River </w:t>
      </w:r>
      <w:proofErr w:type="spellStart"/>
      <w:r w:rsidR="00FB5046">
        <w:t>Camblan</w:t>
      </w:r>
      <w:proofErr w:type="spellEnd"/>
      <w:r w:rsidR="00FB5046">
        <w:t xml:space="preserve"> in Cornwall, where </w:t>
      </w:r>
      <w:proofErr w:type="spellStart"/>
      <w:r w:rsidR="00FB5046">
        <w:t>Modred</w:t>
      </w:r>
      <w:proofErr w:type="spellEnd"/>
      <w:r w:rsidR="00FB5046">
        <w:t xml:space="preserve"> fell and Arthur was fatally wounded, he is later taken to Avalon to have his wounds seen too. </w:t>
      </w:r>
      <w:r w:rsidR="00FB5046">
        <w:rPr>
          <w:rStyle w:val="FootnoteReference"/>
        </w:rPr>
        <w:footnoteReference w:id="76"/>
      </w:r>
      <w:r w:rsidR="001817D4">
        <w:t xml:space="preserve"> Unlike the later manuscript that describes, “</w:t>
      </w:r>
      <w:r w:rsidR="001817D4" w:rsidRPr="001817D4">
        <w:t xml:space="preserve">Arthur, king of the Britons, and </w:t>
      </w:r>
      <w:proofErr w:type="spellStart"/>
      <w:r w:rsidR="001817D4" w:rsidRPr="001817D4">
        <w:t>Modred</w:t>
      </w:r>
      <w:proofErr w:type="spellEnd"/>
      <w:r w:rsidR="001817D4" w:rsidRPr="001817D4">
        <w:t>, his betrayer, fell by each other’s wounds</w:t>
      </w:r>
      <w:r w:rsidR="001817D4">
        <w:t xml:space="preserve">”, Arthur is fatally wounded but not dead yet. This leaves the reader with hope that Arthur is alive, he is being tended to and therefore will pull through. </w:t>
      </w:r>
      <w:r w:rsidR="00D76201">
        <w:t xml:space="preserve">Arthur is not defeated by outside forces but from within, suggesting that no outside influence could match the strength and courage of Arthur. </w:t>
      </w:r>
      <w:r w:rsidR="00652834">
        <w:t>O</w:t>
      </w:r>
      <w:r w:rsidR="00D76201">
        <w:t>nly through treachery and deceit is Arthur wounded, not even killed.</w:t>
      </w:r>
      <w:r w:rsidR="00D76201">
        <w:rPr>
          <w:rStyle w:val="FootnoteReference"/>
        </w:rPr>
        <w:footnoteReference w:id="77"/>
      </w:r>
    </w:p>
    <w:p w:rsidR="00D76201" w:rsidRDefault="00D76201" w:rsidP="00B06761">
      <w:r>
        <w:tab/>
        <w:t xml:space="preserve">Does this mean Arthur will return? Is his recovery definite? If we are to believe Arthur is the prophesised ‘Boar of Cornwall’ then yes. His return is discussed between Merlin and another character called </w:t>
      </w:r>
      <w:proofErr w:type="spellStart"/>
      <w:r>
        <w:t>Telgesinus</w:t>
      </w:r>
      <w:proofErr w:type="spellEnd"/>
      <w:r>
        <w:t xml:space="preserve"> (</w:t>
      </w:r>
      <w:proofErr w:type="spellStart"/>
      <w:r>
        <w:t>Geoffreys</w:t>
      </w:r>
      <w:proofErr w:type="spellEnd"/>
      <w:r>
        <w:t xml:space="preserve"> version of Taliesin), who says he took Arthur to the ‘Island of Apples’ where Morgen promised to heal him although it would take time.</w:t>
      </w:r>
      <w:r>
        <w:rPr>
          <w:rStyle w:val="FootnoteReference"/>
        </w:rPr>
        <w:footnoteReference w:id="78"/>
      </w:r>
      <w:r>
        <w:t xml:space="preserve"> </w:t>
      </w:r>
      <w:r w:rsidR="00557598">
        <w:t xml:space="preserve">Arthurs reputation as a prophesised ruler is reinforced by the absence of his grave, which was soon seen to. Almost 50 years after Geoffrey, in 1191, Arthurs body is ‘discovered’ at Glastonbury Abbey. This is viewed as an attempt to end the belief that Arthur would return and as an illustration of the strength and </w:t>
      </w:r>
      <w:r w:rsidR="00557598">
        <w:lastRenderedPageBreak/>
        <w:t xml:space="preserve">legitimacy of Angevin rule over Wales. </w:t>
      </w:r>
      <w:r w:rsidR="00FA3C9A">
        <w:t>Thus,</w:t>
      </w:r>
      <w:r w:rsidR="00557598">
        <w:t xml:space="preserve"> proving that Arthur is dead while also </w:t>
      </w:r>
      <w:r w:rsidR="00FA3C9A">
        <w:t>associating his remains with current kings of England.</w:t>
      </w:r>
      <w:r w:rsidR="00FA3C9A">
        <w:rPr>
          <w:rStyle w:val="FootnoteReference"/>
        </w:rPr>
        <w:footnoteReference w:id="79"/>
      </w:r>
    </w:p>
    <w:p w:rsidR="00FA3C9A" w:rsidRDefault="00FA3C9A" w:rsidP="00B06761"/>
    <w:p w:rsidR="00795659" w:rsidRDefault="00FA3C9A" w:rsidP="00B06761">
      <w:r>
        <w:tab/>
        <w:t>Arthur has fulfilled many roles in time and literature. He has been a courageous warrior, adventure seeker and conqueror of foreign lands far beyond the reach of every day folk. He is mythical as well as physical. Arthur has been seen to enter the Otherworld where ordinary men perish but he walks away unharmed. He is immortal and a ‘wonder’. Arthur as king has been used to set examples for future rulers and perhaps legitimise the actions of some, even saints. His magical qualities ha</w:t>
      </w:r>
      <w:r w:rsidR="00652834">
        <w:t>ve</w:t>
      </w:r>
      <w:r>
        <w:t xml:space="preserve"> been a popular characteristic that has withstood the test of time. Even today, Arthur is portrayed in movies and literature and is still popular in modern culture. </w:t>
      </w:r>
      <w:r w:rsidR="00795659">
        <w:t xml:space="preserve">There is no doubt that the myth of Arthur will continue to inspire others to study his literature. </w:t>
      </w:r>
      <w:bookmarkStart w:id="1" w:name="_GoBack"/>
      <w:bookmarkEnd w:id="1"/>
    </w:p>
    <w:p w:rsidR="00795659" w:rsidRDefault="00795659" w:rsidP="00B06761">
      <w:pPr>
        <w:rPr>
          <w:u w:val="single"/>
        </w:rPr>
      </w:pPr>
    </w:p>
    <w:p w:rsidR="00795659" w:rsidRDefault="00795659" w:rsidP="00B06761">
      <w:pPr>
        <w:rPr>
          <w:u w:val="single"/>
        </w:rPr>
      </w:pPr>
    </w:p>
    <w:p w:rsidR="00795659" w:rsidRDefault="00530BC9" w:rsidP="00B06761">
      <w:r>
        <w:rPr>
          <w:u w:val="single"/>
        </w:rPr>
        <w:t>Bibliography</w:t>
      </w:r>
      <w:r w:rsidR="00795659">
        <w:t xml:space="preserve"> </w:t>
      </w:r>
    </w:p>
    <w:p w:rsidR="00795659" w:rsidRDefault="00795659" w:rsidP="00B06761"/>
    <w:p w:rsidR="00795659" w:rsidRDefault="00795659" w:rsidP="00B06761">
      <w:r>
        <w:t xml:space="preserve">Adderley, M. ‘Singing </w:t>
      </w:r>
      <w:proofErr w:type="gramStart"/>
      <w:r>
        <w:t>To</w:t>
      </w:r>
      <w:proofErr w:type="gramEnd"/>
      <w:r>
        <w:t xml:space="preserve"> The Silent: ‘</w:t>
      </w:r>
      <w:proofErr w:type="spellStart"/>
      <w:r>
        <w:t>Preiddu</w:t>
      </w:r>
      <w:proofErr w:type="spellEnd"/>
      <w:r>
        <w:t xml:space="preserve"> </w:t>
      </w:r>
      <w:proofErr w:type="spellStart"/>
      <w:r>
        <w:t>Annwn</w:t>
      </w:r>
      <w:proofErr w:type="spellEnd"/>
      <w:r>
        <w:t xml:space="preserve">’ And The Oral Tradition’, </w:t>
      </w:r>
      <w:r>
        <w:rPr>
          <w:i/>
        </w:rPr>
        <w:t xml:space="preserve">The Review Of English Studies, </w:t>
      </w:r>
      <w:r>
        <w:t>60(244) (2009), pp. 175-193.</w:t>
      </w:r>
    </w:p>
    <w:p w:rsidR="00795659" w:rsidRDefault="00795659" w:rsidP="00B06761">
      <w:r>
        <w:t xml:space="preserve">Coe, Jon B. and Young, S. </w:t>
      </w:r>
      <w:r>
        <w:rPr>
          <w:i/>
        </w:rPr>
        <w:t xml:space="preserve">The Celtic Sources </w:t>
      </w:r>
      <w:proofErr w:type="gramStart"/>
      <w:r>
        <w:rPr>
          <w:i/>
        </w:rPr>
        <w:t>For</w:t>
      </w:r>
      <w:proofErr w:type="gramEnd"/>
      <w:r>
        <w:rPr>
          <w:i/>
        </w:rPr>
        <w:t xml:space="preserve"> The Arthurian Legend. </w:t>
      </w:r>
      <w:proofErr w:type="spellStart"/>
      <w:r>
        <w:t>Llanerch</w:t>
      </w:r>
      <w:proofErr w:type="spellEnd"/>
      <w:r>
        <w:t xml:space="preserve">: </w:t>
      </w:r>
      <w:proofErr w:type="spellStart"/>
      <w:r>
        <w:t>Llanerch</w:t>
      </w:r>
      <w:proofErr w:type="spellEnd"/>
      <w:r>
        <w:t xml:space="preserve"> Publishers, 1995.</w:t>
      </w:r>
    </w:p>
    <w:p w:rsidR="00795659" w:rsidRPr="00795659" w:rsidRDefault="00795659" w:rsidP="00B06761">
      <w:r>
        <w:t xml:space="preserve">Davies, S. </w:t>
      </w:r>
      <w:r>
        <w:rPr>
          <w:i/>
        </w:rPr>
        <w:t xml:space="preserve">The </w:t>
      </w:r>
      <w:proofErr w:type="spellStart"/>
      <w:r>
        <w:rPr>
          <w:i/>
        </w:rPr>
        <w:t>Mabinogion</w:t>
      </w:r>
      <w:proofErr w:type="spellEnd"/>
      <w:r>
        <w:rPr>
          <w:i/>
        </w:rPr>
        <w:t xml:space="preserve">. </w:t>
      </w:r>
      <w:r>
        <w:t>Oxford</w:t>
      </w:r>
      <w:r w:rsidR="007102AD">
        <w:t>: Oxford University Press, 2007.</w:t>
      </w:r>
    </w:p>
    <w:p w:rsidR="00795659" w:rsidRDefault="00795659" w:rsidP="00B06761">
      <w:r>
        <w:t xml:space="preserve">Green, T. </w:t>
      </w:r>
      <w:r>
        <w:rPr>
          <w:i/>
        </w:rPr>
        <w:t xml:space="preserve">Concepts </w:t>
      </w:r>
      <w:proofErr w:type="gramStart"/>
      <w:r>
        <w:rPr>
          <w:i/>
        </w:rPr>
        <w:t>Of</w:t>
      </w:r>
      <w:proofErr w:type="gramEnd"/>
      <w:r>
        <w:rPr>
          <w:i/>
        </w:rPr>
        <w:t xml:space="preserve"> Arthur. </w:t>
      </w:r>
      <w:r>
        <w:t xml:space="preserve">Gloucestershire: Tempus, 2007. </w:t>
      </w:r>
    </w:p>
    <w:p w:rsidR="00795659" w:rsidRDefault="00795659" w:rsidP="00B06761">
      <w:proofErr w:type="spellStart"/>
      <w:r>
        <w:t>Jankulak</w:t>
      </w:r>
      <w:proofErr w:type="spellEnd"/>
      <w:r>
        <w:t xml:space="preserve">, K. </w:t>
      </w:r>
      <w:r>
        <w:rPr>
          <w:i/>
        </w:rPr>
        <w:t xml:space="preserve">Geoffrey Of Monmouth: Writers </w:t>
      </w:r>
      <w:proofErr w:type="gramStart"/>
      <w:r>
        <w:rPr>
          <w:i/>
        </w:rPr>
        <w:t>Of</w:t>
      </w:r>
      <w:proofErr w:type="gramEnd"/>
      <w:r>
        <w:rPr>
          <w:i/>
        </w:rPr>
        <w:t xml:space="preserve"> Wales. </w:t>
      </w:r>
      <w:r>
        <w:t xml:space="preserve">Cardiff: University </w:t>
      </w:r>
      <w:proofErr w:type="gramStart"/>
      <w:r>
        <w:t>Of</w:t>
      </w:r>
      <w:proofErr w:type="gramEnd"/>
      <w:r>
        <w:t xml:space="preserve"> Wales Press, 2010.</w:t>
      </w:r>
    </w:p>
    <w:p w:rsidR="00795659" w:rsidRPr="00795659" w:rsidRDefault="00795659" w:rsidP="00B06761">
      <w:proofErr w:type="spellStart"/>
      <w:r>
        <w:t>Padel</w:t>
      </w:r>
      <w:proofErr w:type="spellEnd"/>
      <w:r>
        <w:t xml:space="preserve">, O. </w:t>
      </w:r>
      <w:r>
        <w:rPr>
          <w:i/>
        </w:rPr>
        <w:t xml:space="preserve">Arthur In Medieval Welsh Literature: Writer </w:t>
      </w:r>
      <w:proofErr w:type="gramStart"/>
      <w:r>
        <w:rPr>
          <w:i/>
        </w:rPr>
        <w:t>Of</w:t>
      </w:r>
      <w:proofErr w:type="gramEnd"/>
      <w:r>
        <w:rPr>
          <w:i/>
        </w:rPr>
        <w:t xml:space="preserve"> Wales. </w:t>
      </w:r>
      <w:r>
        <w:t xml:space="preserve">Cardiff: University </w:t>
      </w:r>
      <w:proofErr w:type="gramStart"/>
      <w:r>
        <w:t>Of</w:t>
      </w:r>
      <w:proofErr w:type="gramEnd"/>
      <w:r>
        <w:t xml:space="preserve"> Wales Press, 2013.</w:t>
      </w:r>
    </w:p>
    <w:p w:rsidR="00795659" w:rsidRPr="00795659" w:rsidRDefault="00795659" w:rsidP="00B06761"/>
    <w:sectPr w:rsidR="00795659" w:rsidRPr="007956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592F" w:rsidRDefault="00A9592F" w:rsidP="00C0753A">
      <w:pPr>
        <w:spacing w:after="0" w:line="240" w:lineRule="auto"/>
      </w:pPr>
      <w:r>
        <w:separator/>
      </w:r>
    </w:p>
  </w:endnote>
  <w:endnote w:type="continuationSeparator" w:id="0">
    <w:p w:rsidR="00A9592F" w:rsidRDefault="00A9592F" w:rsidP="00C07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592F" w:rsidRDefault="00A9592F" w:rsidP="00C0753A">
      <w:pPr>
        <w:spacing w:after="0" w:line="240" w:lineRule="auto"/>
      </w:pPr>
      <w:r>
        <w:separator/>
      </w:r>
    </w:p>
  </w:footnote>
  <w:footnote w:type="continuationSeparator" w:id="0">
    <w:p w:rsidR="00A9592F" w:rsidRDefault="00A9592F" w:rsidP="00C0753A">
      <w:pPr>
        <w:spacing w:after="0" w:line="240" w:lineRule="auto"/>
      </w:pPr>
      <w:r>
        <w:continuationSeparator/>
      </w:r>
    </w:p>
  </w:footnote>
  <w:footnote w:id="1">
    <w:p w:rsidR="00727033" w:rsidRPr="00120B10" w:rsidRDefault="00727033">
      <w:pPr>
        <w:pStyle w:val="FootnoteText"/>
      </w:pPr>
      <w:r>
        <w:rPr>
          <w:rStyle w:val="FootnoteReference"/>
        </w:rPr>
        <w:footnoteRef/>
      </w:r>
      <w:r>
        <w:t xml:space="preserve"> Jon B. Coe and Simon Young, </w:t>
      </w:r>
      <w:r>
        <w:rPr>
          <w:i/>
        </w:rPr>
        <w:t xml:space="preserve">The Celtic Sources </w:t>
      </w:r>
      <w:proofErr w:type="gramStart"/>
      <w:r>
        <w:rPr>
          <w:i/>
        </w:rPr>
        <w:t>For</w:t>
      </w:r>
      <w:proofErr w:type="gramEnd"/>
      <w:r>
        <w:rPr>
          <w:i/>
        </w:rPr>
        <w:t xml:space="preserve"> The Arthurian Legend, </w:t>
      </w:r>
      <w:r>
        <w:t>(Cardiff: University Of Wales Press, 2010) p. 6.</w:t>
      </w:r>
    </w:p>
  </w:footnote>
  <w:footnote w:id="2">
    <w:p w:rsidR="00727033" w:rsidRPr="00B848DC" w:rsidRDefault="00727033">
      <w:pPr>
        <w:pStyle w:val="FootnoteText"/>
      </w:pPr>
      <w:r>
        <w:rPr>
          <w:rStyle w:val="FootnoteReference"/>
        </w:rPr>
        <w:footnoteRef/>
      </w:r>
      <w:r>
        <w:t xml:space="preserve"> O. </w:t>
      </w:r>
      <w:proofErr w:type="spellStart"/>
      <w:r>
        <w:t>Padel</w:t>
      </w:r>
      <w:proofErr w:type="spellEnd"/>
      <w:r>
        <w:t xml:space="preserve">, </w:t>
      </w:r>
      <w:r>
        <w:rPr>
          <w:i/>
        </w:rPr>
        <w:t xml:space="preserve">Arthur In Medieval Welsh Literature: Writers </w:t>
      </w:r>
      <w:proofErr w:type="gramStart"/>
      <w:r>
        <w:rPr>
          <w:i/>
        </w:rPr>
        <w:t>Of</w:t>
      </w:r>
      <w:proofErr w:type="gramEnd"/>
      <w:r>
        <w:rPr>
          <w:i/>
        </w:rPr>
        <w:t xml:space="preserve"> Wales, </w:t>
      </w:r>
      <w:r>
        <w:t>(Cardiff: University Of Wales Press, 2013) p. 3.</w:t>
      </w:r>
    </w:p>
  </w:footnote>
  <w:footnote w:id="3">
    <w:p w:rsidR="00727033" w:rsidRPr="00B40072" w:rsidRDefault="00727033">
      <w:pPr>
        <w:pStyle w:val="FootnoteText"/>
      </w:pPr>
      <w:r>
        <w:rPr>
          <w:rStyle w:val="FootnoteReference"/>
        </w:rPr>
        <w:footnoteRef/>
      </w:r>
      <w:r>
        <w:t xml:space="preserve"> </w:t>
      </w:r>
      <w:proofErr w:type="spellStart"/>
      <w:r>
        <w:t>Padel</w:t>
      </w:r>
      <w:proofErr w:type="spellEnd"/>
      <w:r>
        <w:t xml:space="preserve">, </w:t>
      </w:r>
      <w:r>
        <w:rPr>
          <w:i/>
        </w:rPr>
        <w:t xml:space="preserve">Arthur In Medieval </w:t>
      </w:r>
      <w:r>
        <w:t>p. 3.</w:t>
      </w:r>
    </w:p>
  </w:footnote>
  <w:footnote w:id="4">
    <w:p w:rsidR="00727033" w:rsidRPr="00B40072" w:rsidRDefault="00727033">
      <w:pPr>
        <w:pStyle w:val="FootnoteText"/>
      </w:pPr>
      <w:r>
        <w:rPr>
          <w:rStyle w:val="FootnoteReference"/>
        </w:rPr>
        <w:footnoteRef/>
      </w:r>
      <w:r>
        <w:t xml:space="preserve"> Coe and Young, </w:t>
      </w:r>
      <w:r>
        <w:rPr>
          <w:i/>
        </w:rPr>
        <w:t xml:space="preserve">The Celtic Sources </w:t>
      </w:r>
      <w:r>
        <w:t>p. 9.</w:t>
      </w:r>
    </w:p>
  </w:footnote>
  <w:footnote w:id="5">
    <w:p w:rsidR="00727033" w:rsidRDefault="00727033">
      <w:pPr>
        <w:pStyle w:val="FootnoteText"/>
      </w:pPr>
      <w:r>
        <w:rPr>
          <w:rStyle w:val="FootnoteReference"/>
        </w:rPr>
        <w:footnoteRef/>
      </w:r>
      <w:r>
        <w:t xml:space="preserve"> Ibid. </w:t>
      </w:r>
    </w:p>
  </w:footnote>
  <w:footnote w:id="6">
    <w:p w:rsidR="00727033" w:rsidRDefault="00727033">
      <w:pPr>
        <w:pStyle w:val="FootnoteText"/>
      </w:pPr>
      <w:r>
        <w:rPr>
          <w:rStyle w:val="FootnoteReference"/>
        </w:rPr>
        <w:footnoteRef/>
      </w:r>
      <w:r>
        <w:t xml:space="preserve"> Ibid p. 11.</w:t>
      </w:r>
    </w:p>
  </w:footnote>
  <w:footnote w:id="7">
    <w:p w:rsidR="00727033" w:rsidRPr="00200D8E" w:rsidRDefault="00727033">
      <w:pPr>
        <w:pStyle w:val="FootnoteText"/>
      </w:pPr>
      <w:r>
        <w:rPr>
          <w:rStyle w:val="FootnoteReference"/>
        </w:rPr>
        <w:footnoteRef/>
      </w:r>
      <w:r>
        <w:t xml:space="preserve"> Thomas Green, </w:t>
      </w:r>
      <w:r>
        <w:rPr>
          <w:i/>
        </w:rPr>
        <w:t xml:space="preserve">Concepts </w:t>
      </w:r>
      <w:proofErr w:type="gramStart"/>
      <w:r>
        <w:rPr>
          <w:i/>
        </w:rPr>
        <w:t>Of</w:t>
      </w:r>
      <w:proofErr w:type="gramEnd"/>
      <w:r>
        <w:rPr>
          <w:i/>
        </w:rPr>
        <w:t xml:space="preserve"> Arthur, </w:t>
      </w:r>
      <w:r>
        <w:t>(Gloucest</w:t>
      </w:r>
      <w:r w:rsidR="00795659">
        <w:t>er</w:t>
      </w:r>
      <w:r>
        <w:t>shire: Tempus, 2007) p. 70.</w:t>
      </w:r>
    </w:p>
  </w:footnote>
  <w:footnote w:id="8">
    <w:p w:rsidR="00727033" w:rsidRPr="00637104" w:rsidRDefault="00727033">
      <w:pPr>
        <w:pStyle w:val="FootnoteText"/>
      </w:pPr>
      <w:r>
        <w:rPr>
          <w:rStyle w:val="FootnoteReference"/>
        </w:rPr>
        <w:footnoteRef/>
      </w:r>
      <w:r>
        <w:t xml:space="preserve"> Coe and Young, </w:t>
      </w:r>
      <w:r>
        <w:rPr>
          <w:i/>
        </w:rPr>
        <w:t xml:space="preserve">The Celtic Sources </w:t>
      </w:r>
      <w:r>
        <w:t>p. 9.</w:t>
      </w:r>
    </w:p>
  </w:footnote>
  <w:footnote w:id="9">
    <w:p w:rsidR="00727033" w:rsidRPr="00301029" w:rsidRDefault="00727033">
      <w:pPr>
        <w:pStyle w:val="FootnoteText"/>
      </w:pPr>
      <w:r>
        <w:rPr>
          <w:rStyle w:val="FootnoteReference"/>
        </w:rPr>
        <w:footnoteRef/>
      </w:r>
      <w:r>
        <w:t xml:space="preserve"> Green, </w:t>
      </w:r>
      <w:r>
        <w:rPr>
          <w:i/>
        </w:rPr>
        <w:t xml:space="preserve">Concepts </w:t>
      </w:r>
      <w:proofErr w:type="gramStart"/>
      <w:r>
        <w:rPr>
          <w:i/>
        </w:rPr>
        <w:t>Of</w:t>
      </w:r>
      <w:proofErr w:type="gramEnd"/>
      <w:r>
        <w:rPr>
          <w:i/>
        </w:rPr>
        <w:t xml:space="preserve"> Arthur </w:t>
      </w:r>
      <w:r>
        <w:t>p. 71.</w:t>
      </w:r>
    </w:p>
  </w:footnote>
  <w:footnote w:id="10">
    <w:p w:rsidR="00727033" w:rsidRPr="00301029" w:rsidRDefault="00727033">
      <w:pPr>
        <w:pStyle w:val="FootnoteText"/>
      </w:pPr>
      <w:r>
        <w:rPr>
          <w:rStyle w:val="FootnoteReference"/>
        </w:rPr>
        <w:footnoteRef/>
      </w:r>
      <w:r>
        <w:t xml:space="preserve"> Coe and Young, </w:t>
      </w:r>
      <w:r>
        <w:rPr>
          <w:i/>
        </w:rPr>
        <w:t xml:space="preserve">The Celtic Sources </w:t>
      </w:r>
      <w:r>
        <w:t>p. 11.</w:t>
      </w:r>
    </w:p>
  </w:footnote>
  <w:footnote w:id="11">
    <w:p w:rsidR="00727033" w:rsidRPr="00B35045" w:rsidRDefault="00727033">
      <w:pPr>
        <w:pStyle w:val="FootnoteText"/>
      </w:pPr>
      <w:r>
        <w:rPr>
          <w:rStyle w:val="FootnoteReference"/>
        </w:rPr>
        <w:footnoteRef/>
      </w:r>
      <w:r>
        <w:t xml:space="preserve"> </w:t>
      </w:r>
      <w:proofErr w:type="spellStart"/>
      <w:r>
        <w:t>Padel</w:t>
      </w:r>
      <w:proofErr w:type="spellEnd"/>
      <w:r>
        <w:t xml:space="preserve">, </w:t>
      </w:r>
      <w:r>
        <w:rPr>
          <w:i/>
        </w:rPr>
        <w:t xml:space="preserve">Arthur In Medieval </w:t>
      </w:r>
      <w:r>
        <w:t>p. 8.</w:t>
      </w:r>
    </w:p>
  </w:footnote>
  <w:footnote w:id="12">
    <w:p w:rsidR="00727033" w:rsidRPr="00B35045" w:rsidRDefault="00727033">
      <w:pPr>
        <w:pStyle w:val="FootnoteText"/>
      </w:pPr>
      <w:r>
        <w:rPr>
          <w:rStyle w:val="FootnoteReference"/>
        </w:rPr>
        <w:footnoteRef/>
      </w:r>
      <w:r>
        <w:t xml:space="preserve"> Coe and Young, </w:t>
      </w:r>
      <w:r>
        <w:rPr>
          <w:i/>
        </w:rPr>
        <w:t xml:space="preserve">The Celtic Sources </w:t>
      </w:r>
      <w:r>
        <w:t>p. 12.</w:t>
      </w:r>
    </w:p>
  </w:footnote>
  <w:footnote w:id="13">
    <w:p w:rsidR="00727033" w:rsidRDefault="00727033">
      <w:pPr>
        <w:pStyle w:val="FootnoteText"/>
      </w:pPr>
      <w:r>
        <w:rPr>
          <w:rStyle w:val="FootnoteReference"/>
        </w:rPr>
        <w:footnoteRef/>
      </w:r>
      <w:r>
        <w:t xml:space="preserve"> Ibid p. 13.</w:t>
      </w:r>
    </w:p>
  </w:footnote>
  <w:footnote w:id="14">
    <w:p w:rsidR="00727033" w:rsidRPr="00F055E7" w:rsidRDefault="00727033">
      <w:pPr>
        <w:pStyle w:val="FootnoteText"/>
      </w:pPr>
      <w:r>
        <w:rPr>
          <w:rStyle w:val="FootnoteReference"/>
        </w:rPr>
        <w:footnoteRef/>
      </w:r>
      <w:r>
        <w:t xml:space="preserve"> </w:t>
      </w:r>
      <w:proofErr w:type="spellStart"/>
      <w:r>
        <w:t>Padel</w:t>
      </w:r>
      <w:proofErr w:type="spellEnd"/>
      <w:r>
        <w:t xml:space="preserve">, </w:t>
      </w:r>
      <w:r>
        <w:rPr>
          <w:i/>
        </w:rPr>
        <w:t xml:space="preserve">Arthur In Medieval </w:t>
      </w:r>
      <w:r>
        <w:t>p. 8.</w:t>
      </w:r>
    </w:p>
  </w:footnote>
  <w:footnote w:id="15">
    <w:p w:rsidR="00727033" w:rsidRPr="00F055E7" w:rsidRDefault="00727033">
      <w:pPr>
        <w:pStyle w:val="FootnoteText"/>
      </w:pPr>
      <w:r>
        <w:rPr>
          <w:rStyle w:val="FootnoteReference"/>
        </w:rPr>
        <w:footnoteRef/>
      </w:r>
      <w:r>
        <w:t xml:space="preserve"> Coe and Young, </w:t>
      </w:r>
      <w:r>
        <w:rPr>
          <w:i/>
        </w:rPr>
        <w:t xml:space="preserve">The Celtic Sources </w:t>
      </w:r>
      <w:r>
        <w:t>p. 13.</w:t>
      </w:r>
    </w:p>
  </w:footnote>
  <w:footnote w:id="16">
    <w:p w:rsidR="00727033" w:rsidRDefault="00727033">
      <w:pPr>
        <w:pStyle w:val="FootnoteText"/>
      </w:pPr>
      <w:r>
        <w:rPr>
          <w:rStyle w:val="FootnoteReference"/>
        </w:rPr>
        <w:footnoteRef/>
      </w:r>
      <w:r>
        <w:t xml:space="preserve"> Ibid.</w:t>
      </w:r>
    </w:p>
  </w:footnote>
  <w:footnote w:id="17">
    <w:p w:rsidR="00727033" w:rsidRPr="00881E5B" w:rsidRDefault="00727033">
      <w:pPr>
        <w:pStyle w:val="FootnoteText"/>
      </w:pPr>
      <w:r>
        <w:rPr>
          <w:rStyle w:val="FootnoteReference"/>
        </w:rPr>
        <w:footnoteRef/>
      </w:r>
      <w:r>
        <w:t xml:space="preserve"> </w:t>
      </w:r>
      <w:proofErr w:type="spellStart"/>
      <w:r>
        <w:t>Padel</w:t>
      </w:r>
      <w:proofErr w:type="spellEnd"/>
      <w:r>
        <w:t xml:space="preserve">, </w:t>
      </w:r>
      <w:r>
        <w:rPr>
          <w:i/>
        </w:rPr>
        <w:t xml:space="preserve">Arthur In Medieval </w:t>
      </w:r>
      <w:r>
        <w:t>p. 35.</w:t>
      </w:r>
    </w:p>
  </w:footnote>
  <w:footnote w:id="18">
    <w:p w:rsidR="00727033" w:rsidRDefault="00727033">
      <w:pPr>
        <w:pStyle w:val="FootnoteText"/>
      </w:pPr>
      <w:r>
        <w:rPr>
          <w:rStyle w:val="FootnoteReference"/>
        </w:rPr>
        <w:footnoteRef/>
      </w:r>
      <w:r>
        <w:t xml:space="preserve"> Ibid p. 28.</w:t>
      </w:r>
    </w:p>
  </w:footnote>
  <w:footnote w:id="19">
    <w:p w:rsidR="00727033" w:rsidRPr="00881E5B" w:rsidRDefault="00727033">
      <w:pPr>
        <w:pStyle w:val="FootnoteText"/>
      </w:pPr>
      <w:r>
        <w:rPr>
          <w:rStyle w:val="FootnoteReference"/>
        </w:rPr>
        <w:footnoteRef/>
      </w:r>
      <w:r>
        <w:t xml:space="preserve"> Coe and Young, </w:t>
      </w:r>
      <w:r>
        <w:rPr>
          <w:i/>
        </w:rPr>
        <w:t xml:space="preserve">The Celtic Sources </w:t>
      </w:r>
      <w:r>
        <w:t>p. 17.</w:t>
      </w:r>
    </w:p>
  </w:footnote>
  <w:footnote w:id="20">
    <w:p w:rsidR="00727033" w:rsidRPr="00A73AAC" w:rsidRDefault="00727033">
      <w:pPr>
        <w:pStyle w:val="FootnoteText"/>
      </w:pPr>
      <w:r>
        <w:rPr>
          <w:rStyle w:val="FootnoteReference"/>
        </w:rPr>
        <w:footnoteRef/>
      </w:r>
      <w:r>
        <w:t xml:space="preserve"> </w:t>
      </w:r>
      <w:proofErr w:type="spellStart"/>
      <w:r>
        <w:t>Padel</w:t>
      </w:r>
      <w:proofErr w:type="spellEnd"/>
      <w:r>
        <w:t xml:space="preserve">, </w:t>
      </w:r>
      <w:r>
        <w:rPr>
          <w:i/>
        </w:rPr>
        <w:t xml:space="preserve">Arthur In Medieval </w:t>
      </w:r>
      <w:r>
        <w:t>p. 33.</w:t>
      </w:r>
    </w:p>
  </w:footnote>
  <w:footnote w:id="21">
    <w:p w:rsidR="00727033" w:rsidRDefault="00727033">
      <w:pPr>
        <w:pStyle w:val="FootnoteText"/>
      </w:pPr>
      <w:r>
        <w:rPr>
          <w:rStyle w:val="FootnoteReference"/>
        </w:rPr>
        <w:footnoteRef/>
      </w:r>
      <w:r>
        <w:t xml:space="preserve"> Coe and Young, </w:t>
      </w:r>
      <w:r>
        <w:rPr>
          <w:i/>
        </w:rPr>
        <w:t xml:space="preserve">The Celtic Sources </w:t>
      </w:r>
      <w:r>
        <w:t>p. 19.</w:t>
      </w:r>
    </w:p>
  </w:footnote>
  <w:footnote w:id="22">
    <w:p w:rsidR="00727033" w:rsidRDefault="00727033">
      <w:pPr>
        <w:pStyle w:val="FootnoteText"/>
      </w:pPr>
      <w:r>
        <w:rPr>
          <w:rStyle w:val="FootnoteReference"/>
        </w:rPr>
        <w:footnoteRef/>
      </w:r>
      <w:r>
        <w:t xml:space="preserve"> Ibid.</w:t>
      </w:r>
    </w:p>
  </w:footnote>
  <w:footnote w:id="23">
    <w:p w:rsidR="00727033" w:rsidRPr="00953EF8" w:rsidRDefault="00727033">
      <w:pPr>
        <w:pStyle w:val="FootnoteText"/>
      </w:pPr>
      <w:r>
        <w:rPr>
          <w:rStyle w:val="FootnoteReference"/>
        </w:rPr>
        <w:footnoteRef/>
      </w:r>
      <w:r>
        <w:t xml:space="preserve"> </w:t>
      </w:r>
      <w:proofErr w:type="spellStart"/>
      <w:r>
        <w:t>Padel</w:t>
      </w:r>
      <w:proofErr w:type="spellEnd"/>
      <w:r>
        <w:t xml:space="preserve">, </w:t>
      </w:r>
      <w:r>
        <w:rPr>
          <w:i/>
        </w:rPr>
        <w:t xml:space="preserve">Arthur In Medieval </w:t>
      </w:r>
      <w:r>
        <w:t>p. 32.</w:t>
      </w:r>
    </w:p>
  </w:footnote>
  <w:footnote w:id="24">
    <w:p w:rsidR="00727033" w:rsidRPr="00953EF8" w:rsidRDefault="00727033">
      <w:pPr>
        <w:pStyle w:val="FootnoteText"/>
      </w:pPr>
      <w:r>
        <w:rPr>
          <w:rStyle w:val="FootnoteReference"/>
        </w:rPr>
        <w:footnoteRef/>
      </w:r>
      <w:r>
        <w:t xml:space="preserve"> Coe and Young, </w:t>
      </w:r>
      <w:r>
        <w:rPr>
          <w:i/>
        </w:rPr>
        <w:t xml:space="preserve">The Celtic Sources </w:t>
      </w:r>
      <w:r>
        <w:t>p. 19.</w:t>
      </w:r>
    </w:p>
  </w:footnote>
  <w:footnote w:id="25">
    <w:p w:rsidR="00727033" w:rsidRDefault="00727033">
      <w:pPr>
        <w:pStyle w:val="FootnoteText"/>
      </w:pPr>
      <w:r>
        <w:rPr>
          <w:rStyle w:val="FootnoteReference"/>
        </w:rPr>
        <w:footnoteRef/>
      </w:r>
      <w:r>
        <w:t xml:space="preserve"> Ibid.</w:t>
      </w:r>
    </w:p>
  </w:footnote>
  <w:footnote w:id="26">
    <w:p w:rsidR="00727033" w:rsidRDefault="00727033">
      <w:pPr>
        <w:pStyle w:val="FootnoteText"/>
      </w:pPr>
      <w:r>
        <w:rPr>
          <w:rStyle w:val="FootnoteReference"/>
        </w:rPr>
        <w:footnoteRef/>
      </w:r>
      <w:r>
        <w:t xml:space="preserve"> Ibid.</w:t>
      </w:r>
    </w:p>
  </w:footnote>
  <w:footnote w:id="27">
    <w:p w:rsidR="00727033" w:rsidRPr="009D4D9E" w:rsidRDefault="00727033">
      <w:pPr>
        <w:pStyle w:val="FootnoteText"/>
      </w:pPr>
      <w:r>
        <w:rPr>
          <w:rStyle w:val="FootnoteReference"/>
        </w:rPr>
        <w:footnoteRef/>
      </w:r>
      <w:r>
        <w:t xml:space="preserve"> </w:t>
      </w:r>
      <w:proofErr w:type="spellStart"/>
      <w:r>
        <w:t>Padel</w:t>
      </w:r>
      <w:proofErr w:type="spellEnd"/>
      <w:r>
        <w:t xml:space="preserve">, </w:t>
      </w:r>
      <w:r>
        <w:rPr>
          <w:i/>
        </w:rPr>
        <w:t xml:space="preserve">Arthur In Medieval </w:t>
      </w:r>
      <w:r>
        <w:t>p. 32.</w:t>
      </w:r>
    </w:p>
  </w:footnote>
  <w:footnote w:id="28">
    <w:p w:rsidR="00727033" w:rsidRDefault="00727033">
      <w:pPr>
        <w:pStyle w:val="FootnoteText"/>
      </w:pPr>
      <w:r>
        <w:rPr>
          <w:rStyle w:val="FootnoteReference"/>
        </w:rPr>
        <w:footnoteRef/>
      </w:r>
      <w:r>
        <w:t xml:space="preserve"> Ibid pp. 29-30.</w:t>
      </w:r>
    </w:p>
  </w:footnote>
  <w:footnote w:id="29">
    <w:p w:rsidR="00727033" w:rsidRDefault="00727033">
      <w:pPr>
        <w:pStyle w:val="FootnoteText"/>
      </w:pPr>
      <w:r>
        <w:rPr>
          <w:rStyle w:val="FootnoteReference"/>
        </w:rPr>
        <w:footnoteRef/>
      </w:r>
      <w:r>
        <w:t xml:space="preserve"> Ibid p. 30.</w:t>
      </w:r>
    </w:p>
  </w:footnote>
  <w:footnote w:id="30">
    <w:p w:rsidR="00727033" w:rsidRPr="0095247D" w:rsidRDefault="00727033">
      <w:pPr>
        <w:pStyle w:val="FootnoteText"/>
      </w:pPr>
      <w:r>
        <w:rPr>
          <w:rStyle w:val="FootnoteReference"/>
        </w:rPr>
        <w:footnoteRef/>
      </w:r>
      <w:r>
        <w:t xml:space="preserve"> Coe and Young, </w:t>
      </w:r>
      <w:r>
        <w:rPr>
          <w:i/>
        </w:rPr>
        <w:t xml:space="preserve">The Celtic Sources </w:t>
      </w:r>
      <w:r>
        <w:t>p. 29.</w:t>
      </w:r>
    </w:p>
  </w:footnote>
  <w:footnote w:id="31">
    <w:p w:rsidR="00727033" w:rsidRPr="008173AF" w:rsidRDefault="00727033">
      <w:pPr>
        <w:pStyle w:val="FootnoteText"/>
      </w:pPr>
      <w:r>
        <w:rPr>
          <w:rStyle w:val="FootnoteReference"/>
        </w:rPr>
        <w:footnoteRef/>
      </w:r>
      <w:r>
        <w:t xml:space="preserve"> </w:t>
      </w:r>
      <w:proofErr w:type="spellStart"/>
      <w:r>
        <w:t>Padel</w:t>
      </w:r>
      <w:proofErr w:type="spellEnd"/>
      <w:r>
        <w:t xml:space="preserve">, </w:t>
      </w:r>
      <w:r>
        <w:rPr>
          <w:i/>
        </w:rPr>
        <w:t xml:space="preserve">Arthur In Medieval </w:t>
      </w:r>
      <w:r>
        <w:t>p. 30.</w:t>
      </w:r>
    </w:p>
  </w:footnote>
  <w:footnote w:id="32">
    <w:p w:rsidR="00727033" w:rsidRDefault="00727033">
      <w:pPr>
        <w:pStyle w:val="FootnoteText"/>
      </w:pPr>
      <w:r>
        <w:rPr>
          <w:rStyle w:val="FootnoteReference"/>
        </w:rPr>
        <w:footnoteRef/>
      </w:r>
      <w:r>
        <w:t xml:space="preserve"> Ibid p. 11.</w:t>
      </w:r>
    </w:p>
  </w:footnote>
  <w:footnote w:id="33">
    <w:p w:rsidR="00727033" w:rsidRPr="0018622C" w:rsidRDefault="00727033">
      <w:pPr>
        <w:pStyle w:val="FootnoteText"/>
      </w:pPr>
      <w:r>
        <w:rPr>
          <w:rStyle w:val="FootnoteReference"/>
        </w:rPr>
        <w:footnoteRef/>
      </w:r>
      <w:r>
        <w:t xml:space="preserve"> Coe and Young, </w:t>
      </w:r>
      <w:r>
        <w:rPr>
          <w:i/>
        </w:rPr>
        <w:t xml:space="preserve">The Celtic Sources </w:t>
      </w:r>
      <w:r>
        <w:t>p. 57.</w:t>
      </w:r>
    </w:p>
  </w:footnote>
  <w:footnote w:id="34">
    <w:p w:rsidR="00727033" w:rsidRPr="00BC3CCB" w:rsidRDefault="00727033">
      <w:pPr>
        <w:pStyle w:val="FootnoteText"/>
      </w:pPr>
      <w:r>
        <w:rPr>
          <w:rStyle w:val="FootnoteReference"/>
        </w:rPr>
        <w:footnoteRef/>
      </w:r>
      <w:r>
        <w:t xml:space="preserve"> </w:t>
      </w:r>
      <w:proofErr w:type="spellStart"/>
      <w:r>
        <w:t>Padel</w:t>
      </w:r>
      <w:proofErr w:type="spellEnd"/>
      <w:r>
        <w:t xml:space="preserve">, </w:t>
      </w:r>
      <w:r>
        <w:rPr>
          <w:i/>
        </w:rPr>
        <w:t xml:space="preserve">Arthur In Medieval </w:t>
      </w:r>
      <w:r>
        <w:t>p. 13.</w:t>
      </w:r>
    </w:p>
  </w:footnote>
  <w:footnote w:id="35">
    <w:p w:rsidR="00727033" w:rsidRPr="00BC3CCB" w:rsidRDefault="00727033">
      <w:pPr>
        <w:pStyle w:val="FootnoteText"/>
      </w:pPr>
      <w:r>
        <w:rPr>
          <w:rStyle w:val="FootnoteReference"/>
        </w:rPr>
        <w:footnoteRef/>
      </w:r>
      <w:r>
        <w:t xml:space="preserve"> Coe and Young, </w:t>
      </w:r>
      <w:r>
        <w:rPr>
          <w:i/>
        </w:rPr>
        <w:t xml:space="preserve">The Celtic Sources </w:t>
      </w:r>
      <w:r>
        <w:t>p.59.</w:t>
      </w:r>
    </w:p>
  </w:footnote>
  <w:footnote w:id="36">
    <w:p w:rsidR="00727033" w:rsidRPr="00927D28" w:rsidRDefault="00727033">
      <w:pPr>
        <w:pStyle w:val="FootnoteText"/>
      </w:pPr>
      <w:r>
        <w:rPr>
          <w:rStyle w:val="FootnoteReference"/>
        </w:rPr>
        <w:footnoteRef/>
      </w:r>
      <w:r>
        <w:t xml:space="preserve"> </w:t>
      </w:r>
      <w:proofErr w:type="spellStart"/>
      <w:r>
        <w:t>Padel</w:t>
      </w:r>
      <w:proofErr w:type="spellEnd"/>
      <w:r>
        <w:t xml:space="preserve">, </w:t>
      </w:r>
      <w:r>
        <w:rPr>
          <w:i/>
        </w:rPr>
        <w:t xml:space="preserve">Arthur In Medieval </w:t>
      </w:r>
      <w:r>
        <w:t>p. 13.</w:t>
      </w:r>
    </w:p>
  </w:footnote>
  <w:footnote w:id="37">
    <w:p w:rsidR="00727033" w:rsidRPr="00B36557" w:rsidRDefault="00727033">
      <w:pPr>
        <w:pStyle w:val="FootnoteText"/>
      </w:pPr>
      <w:r>
        <w:rPr>
          <w:rStyle w:val="FootnoteReference"/>
        </w:rPr>
        <w:footnoteRef/>
      </w:r>
      <w:r>
        <w:t xml:space="preserve"> Coe and Young, </w:t>
      </w:r>
      <w:r>
        <w:rPr>
          <w:i/>
        </w:rPr>
        <w:t xml:space="preserve">The Celtic Sources </w:t>
      </w:r>
      <w:r>
        <w:t>p. 59.</w:t>
      </w:r>
    </w:p>
  </w:footnote>
  <w:footnote w:id="38">
    <w:p w:rsidR="00727033" w:rsidRPr="00B36557" w:rsidRDefault="00727033">
      <w:pPr>
        <w:pStyle w:val="FootnoteText"/>
      </w:pPr>
      <w:r>
        <w:rPr>
          <w:rStyle w:val="FootnoteReference"/>
        </w:rPr>
        <w:footnoteRef/>
      </w:r>
      <w:r>
        <w:t xml:space="preserve"> </w:t>
      </w:r>
      <w:proofErr w:type="spellStart"/>
      <w:r>
        <w:t>Padel</w:t>
      </w:r>
      <w:proofErr w:type="spellEnd"/>
      <w:r>
        <w:t xml:space="preserve">, </w:t>
      </w:r>
      <w:r>
        <w:rPr>
          <w:i/>
        </w:rPr>
        <w:t xml:space="preserve">Arthur In Medieval </w:t>
      </w:r>
      <w:r>
        <w:t>p. 13.</w:t>
      </w:r>
    </w:p>
  </w:footnote>
  <w:footnote w:id="39">
    <w:p w:rsidR="00727033" w:rsidRDefault="00727033">
      <w:pPr>
        <w:pStyle w:val="FootnoteText"/>
      </w:pPr>
      <w:r>
        <w:rPr>
          <w:rStyle w:val="FootnoteReference"/>
        </w:rPr>
        <w:footnoteRef/>
      </w:r>
      <w:r>
        <w:t xml:space="preserve"> Ibid p. 16.</w:t>
      </w:r>
    </w:p>
  </w:footnote>
  <w:footnote w:id="40">
    <w:p w:rsidR="00727033" w:rsidRPr="00B36557" w:rsidRDefault="00727033">
      <w:pPr>
        <w:pStyle w:val="FootnoteText"/>
      </w:pPr>
      <w:r>
        <w:rPr>
          <w:rStyle w:val="FootnoteReference"/>
        </w:rPr>
        <w:footnoteRef/>
      </w:r>
      <w:r>
        <w:t xml:space="preserve"> </w:t>
      </w:r>
      <w:proofErr w:type="spellStart"/>
      <w:r>
        <w:t>Sioned</w:t>
      </w:r>
      <w:proofErr w:type="spellEnd"/>
      <w:r>
        <w:t xml:space="preserve"> Davies, </w:t>
      </w:r>
      <w:r>
        <w:rPr>
          <w:i/>
        </w:rPr>
        <w:t xml:space="preserve">The </w:t>
      </w:r>
      <w:proofErr w:type="spellStart"/>
      <w:r>
        <w:rPr>
          <w:i/>
        </w:rPr>
        <w:t>Mabinogion</w:t>
      </w:r>
      <w:proofErr w:type="spellEnd"/>
      <w:r>
        <w:rPr>
          <w:i/>
        </w:rPr>
        <w:t xml:space="preserve">, </w:t>
      </w:r>
      <w:r>
        <w:t>(Oxford: Oxford University Press, 2007) p. 213.</w:t>
      </w:r>
    </w:p>
  </w:footnote>
  <w:footnote w:id="41">
    <w:p w:rsidR="00727033" w:rsidRPr="00E557F1" w:rsidRDefault="00727033">
      <w:pPr>
        <w:pStyle w:val="FootnoteText"/>
      </w:pPr>
      <w:r>
        <w:rPr>
          <w:rStyle w:val="FootnoteReference"/>
        </w:rPr>
        <w:footnoteRef/>
      </w:r>
      <w:r>
        <w:t xml:space="preserve"> Coe and Young, </w:t>
      </w:r>
      <w:r>
        <w:rPr>
          <w:i/>
        </w:rPr>
        <w:t xml:space="preserve">The Celtic Sources </w:t>
      </w:r>
      <w:r>
        <w:t>p. 61.</w:t>
      </w:r>
    </w:p>
  </w:footnote>
  <w:footnote w:id="42">
    <w:p w:rsidR="00727033" w:rsidRPr="00043906" w:rsidRDefault="00727033">
      <w:pPr>
        <w:pStyle w:val="FootnoteText"/>
        <w:rPr>
          <w:i/>
        </w:rPr>
      </w:pPr>
      <w:r>
        <w:rPr>
          <w:rStyle w:val="FootnoteReference"/>
        </w:rPr>
        <w:footnoteRef/>
      </w:r>
      <w:r>
        <w:t xml:space="preserve"> </w:t>
      </w:r>
      <w:proofErr w:type="spellStart"/>
      <w:r>
        <w:t>Padel</w:t>
      </w:r>
      <w:proofErr w:type="spellEnd"/>
      <w:r>
        <w:t xml:space="preserve">, </w:t>
      </w:r>
      <w:r>
        <w:rPr>
          <w:i/>
        </w:rPr>
        <w:t xml:space="preserve">Arthur In Medieval </w:t>
      </w:r>
      <w:r>
        <w:t>p. 19.</w:t>
      </w:r>
      <w:r>
        <w:rPr>
          <w:i/>
        </w:rPr>
        <w:t xml:space="preserve"> </w:t>
      </w:r>
    </w:p>
  </w:footnote>
  <w:footnote w:id="43">
    <w:p w:rsidR="00727033" w:rsidRDefault="00727033">
      <w:pPr>
        <w:pStyle w:val="FootnoteText"/>
      </w:pPr>
      <w:r>
        <w:rPr>
          <w:rStyle w:val="FootnoteReference"/>
        </w:rPr>
        <w:footnoteRef/>
      </w:r>
      <w:r>
        <w:t xml:space="preserve"> Ibid p. 18.</w:t>
      </w:r>
    </w:p>
  </w:footnote>
  <w:footnote w:id="44">
    <w:p w:rsidR="00727033" w:rsidRPr="000F36C1" w:rsidRDefault="00727033">
      <w:pPr>
        <w:pStyle w:val="FootnoteText"/>
      </w:pPr>
      <w:r>
        <w:rPr>
          <w:rStyle w:val="FootnoteReference"/>
        </w:rPr>
        <w:footnoteRef/>
      </w:r>
      <w:r>
        <w:t xml:space="preserve"> Coe and Young, </w:t>
      </w:r>
      <w:r>
        <w:rPr>
          <w:i/>
        </w:rPr>
        <w:t xml:space="preserve">The Celtic Sources </w:t>
      </w:r>
      <w:r>
        <w:t>p.71.</w:t>
      </w:r>
    </w:p>
  </w:footnote>
  <w:footnote w:id="45">
    <w:p w:rsidR="00727033" w:rsidRPr="00F50197" w:rsidRDefault="00727033">
      <w:pPr>
        <w:pStyle w:val="FootnoteText"/>
      </w:pPr>
      <w:r>
        <w:rPr>
          <w:rStyle w:val="FootnoteReference"/>
        </w:rPr>
        <w:footnoteRef/>
      </w:r>
      <w:r>
        <w:t xml:space="preserve"> Coe and Young, </w:t>
      </w:r>
      <w:r>
        <w:rPr>
          <w:i/>
        </w:rPr>
        <w:t xml:space="preserve">The Celtic Sources </w:t>
      </w:r>
      <w:r>
        <w:t>p. 99.</w:t>
      </w:r>
    </w:p>
  </w:footnote>
  <w:footnote w:id="46">
    <w:p w:rsidR="00727033" w:rsidRDefault="00727033">
      <w:pPr>
        <w:pStyle w:val="FootnoteText"/>
      </w:pPr>
      <w:r>
        <w:rPr>
          <w:rStyle w:val="FootnoteReference"/>
        </w:rPr>
        <w:footnoteRef/>
      </w:r>
      <w:r>
        <w:t xml:space="preserve"> Ibid.</w:t>
      </w:r>
    </w:p>
  </w:footnote>
  <w:footnote w:id="47">
    <w:p w:rsidR="00727033" w:rsidRDefault="00727033">
      <w:pPr>
        <w:pStyle w:val="FootnoteText"/>
      </w:pPr>
      <w:r>
        <w:rPr>
          <w:rStyle w:val="FootnoteReference"/>
        </w:rPr>
        <w:footnoteRef/>
      </w:r>
      <w:r>
        <w:t xml:space="preserve"> Ibid p. 101.</w:t>
      </w:r>
    </w:p>
  </w:footnote>
  <w:footnote w:id="48">
    <w:p w:rsidR="00727033" w:rsidRDefault="00727033">
      <w:pPr>
        <w:pStyle w:val="FootnoteText"/>
      </w:pPr>
      <w:r>
        <w:rPr>
          <w:rStyle w:val="FootnoteReference"/>
        </w:rPr>
        <w:footnoteRef/>
      </w:r>
      <w:r>
        <w:t xml:space="preserve"> Ibid p. 99.</w:t>
      </w:r>
    </w:p>
  </w:footnote>
  <w:footnote w:id="49">
    <w:p w:rsidR="00727033" w:rsidRPr="001A49E2" w:rsidRDefault="00727033">
      <w:pPr>
        <w:pStyle w:val="FootnoteText"/>
      </w:pPr>
      <w:r>
        <w:rPr>
          <w:rStyle w:val="FootnoteReference"/>
        </w:rPr>
        <w:footnoteRef/>
      </w:r>
      <w:r>
        <w:t xml:space="preserve"> Green, </w:t>
      </w:r>
      <w:r>
        <w:rPr>
          <w:i/>
        </w:rPr>
        <w:t xml:space="preserve">Concepts </w:t>
      </w:r>
      <w:proofErr w:type="gramStart"/>
      <w:r>
        <w:rPr>
          <w:i/>
        </w:rPr>
        <w:t>Of</w:t>
      </w:r>
      <w:proofErr w:type="gramEnd"/>
      <w:r>
        <w:rPr>
          <w:i/>
        </w:rPr>
        <w:t xml:space="preserve"> Arthur</w:t>
      </w:r>
      <w:r>
        <w:t xml:space="preserve"> p. 72.</w:t>
      </w:r>
    </w:p>
  </w:footnote>
  <w:footnote w:id="50">
    <w:p w:rsidR="00727033" w:rsidRDefault="00727033">
      <w:pPr>
        <w:pStyle w:val="FootnoteText"/>
      </w:pPr>
      <w:r>
        <w:rPr>
          <w:rStyle w:val="FootnoteReference"/>
        </w:rPr>
        <w:footnoteRef/>
      </w:r>
      <w:r>
        <w:t xml:space="preserve"> Ibid p. 73.</w:t>
      </w:r>
    </w:p>
  </w:footnote>
  <w:footnote w:id="51">
    <w:p w:rsidR="00727033" w:rsidRDefault="00727033">
      <w:pPr>
        <w:pStyle w:val="FootnoteText"/>
      </w:pPr>
      <w:r>
        <w:rPr>
          <w:rStyle w:val="FootnoteReference"/>
        </w:rPr>
        <w:footnoteRef/>
      </w:r>
      <w:r>
        <w:t xml:space="preserve"> Ibid p. 74.</w:t>
      </w:r>
    </w:p>
  </w:footnote>
  <w:footnote w:id="52">
    <w:p w:rsidR="00727033" w:rsidRPr="00194F43" w:rsidRDefault="00727033">
      <w:pPr>
        <w:pStyle w:val="FootnoteText"/>
      </w:pPr>
      <w:r>
        <w:rPr>
          <w:rStyle w:val="FootnoteReference"/>
        </w:rPr>
        <w:footnoteRef/>
      </w:r>
      <w:r>
        <w:t xml:space="preserve"> Coe and Young, </w:t>
      </w:r>
      <w:r>
        <w:rPr>
          <w:i/>
        </w:rPr>
        <w:t xml:space="preserve">The Celtic Sources </w:t>
      </w:r>
      <w:r>
        <w:t>p. 135.</w:t>
      </w:r>
    </w:p>
  </w:footnote>
  <w:footnote w:id="53">
    <w:p w:rsidR="00727033" w:rsidRPr="006E10E1" w:rsidRDefault="00727033">
      <w:pPr>
        <w:pStyle w:val="FootnoteText"/>
      </w:pPr>
      <w:r>
        <w:rPr>
          <w:rStyle w:val="FootnoteReference"/>
        </w:rPr>
        <w:footnoteRef/>
      </w:r>
      <w:r>
        <w:t xml:space="preserve"> Mark Adderley, ‘Singing </w:t>
      </w:r>
      <w:proofErr w:type="gramStart"/>
      <w:r>
        <w:t>To</w:t>
      </w:r>
      <w:proofErr w:type="gramEnd"/>
      <w:r>
        <w:t xml:space="preserve"> The Silent Sentinel: ‘</w:t>
      </w:r>
      <w:proofErr w:type="spellStart"/>
      <w:r>
        <w:t>Preiddeu</w:t>
      </w:r>
      <w:proofErr w:type="spellEnd"/>
      <w:r>
        <w:t xml:space="preserve"> </w:t>
      </w:r>
      <w:proofErr w:type="spellStart"/>
      <w:r>
        <w:t>Annwn</w:t>
      </w:r>
      <w:proofErr w:type="spellEnd"/>
      <w:r>
        <w:t xml:space="preserve">’ And The Oral Tradition’, </w:t>
      </w:r>
      <w:r>
        <w:rPr>
          <w:i/>
        </w:rPr>
        <w:t xml:space="preserve">The Review Of English Studies, </w:t>
      </w:r>
      <w:r>
        <w:t xml:space="preserve">60(244) (2009). 175-193 (p. 176). </w:t>
      </w:r>
    </w:p>
  </w:footnote>
  <w:footnote w:id="54">
    <w:p w:rsidR="00727033" w:rsidRDefault="00727033">
      <w:pPr>
        <w:pStyle w:val="FootnoteText"/>
      </w:pPr>
      <w:r>
        <w:rPr>
          <w:rStyle w:val="FootnoteReference"/>
        </w:rPr>
        <w:footnoteRef/>
      </w:r>
      <w:r>
        <w:t xml:space="preserve"> </w:t>
      </w:r>
      <w:proofErr w:type="spellStart"/>
      <w:r>
        <w:t>Padel</w:t>
      </w:r>
      <w:proofErr w:type="spellEnd"/>
      <w:r>
        <w:t xml:space="preserve">, </w:t>
      </w:r>
      <w:r>
        <w:rPr>
          <w:i/>
        </w:rPr>
        <w:t xml:space="preserve">Arthur In Medieval </w:t>
      </w:r>
      <w:r>
        <w:t xml:space="preserve">p. 27. </w:t>
      </w:r>
    </w:p>
  </w:footnote>
  <w:footnote w:id="55">
    <w:p w:rsidR="00727033" w:rsidRDefault="00727033">
      <w:pPr>
        <w:pStyle w:val="FootnoteText"/>
      </w:pPr>
      <w:r>
        <w:rPr>
          <w:rStyle w:val="FootnoteReference"/>
        </w:rPr>
        <w:footnoteRef/>
      </w:r>
      <w:r>
        <w:t xml:space="preserve"> Ibid p. 49.</w:t>
      </w:r>
    </w:p>
  </w:footnote>
  <w:footnote w:id="56">
    <w:p w:rsidR="00727033" w:rsidRDefault="00727033">
      <w:pPr>
        <w:pStyle w:val="FootnoteText"/>
      </w:pPr>
      <w:r>
        <w:rPr>
          <w:rStyle w:val="FootnoteReference"/>
        </w:rPr>
        <w:footnoteRef/>
      </w:r>
      <w:r>
        <w:t xml:space="preserve"> Ibid p. 50.</w:t>
      </w:r>
    </w:p>
  </w:footnote>
  <w:footnote w:id="57">
    <w:p w:rsidR="00727033" w:rsidRPr="00302567" w:rsidRDefault="00727033">
      <w:pPr>
        <w:pStyle w:val="FootnoteText"/>
      </w:pPr>
      <w:r>
        <w:rPr>
          <w:rStyle w:val="FootnoteReference"/>
        </w:rPr>
        <w:footnoteRef/>
      </w:r>
      <w:r>
        <w:t xml:space="preserve"> Davies, </w:t>
      </w:r>
      <w:r>
        <w:rPr>
          <w:i/>
        </w:rPr>
        <w:t xml:space="preserve">The </w:t>
      </w:r>
      <w:proofErr w:type="spellStart"/>
      <w:r>
        <w:rPr>
          <w:i/>
        </w:rPr>
        <w:t>Mabinogion</w:t>
      </w:r>
      <w:proofErr w:type="spellEnd"/>
      <w:r>
        <w:rPr>
          <w:i/>
        </w:rPr>
        <w:t xml:space="preserve"> </w:t>
      </w:r>
      <w:r>
        <w:t>pp. 22-34.</w:t>
      </w:r>
    </w:p>
  </w:footnote>
  <w:footnote w:id="58">
    <w:p w:rsidR="00727033" w:rsidRPr="00302567" w:rsidRDefault="00727033">
      <w:pPr>
        <w:pStyle w:val="FootnoteText"/>
      </w:pPr>
      <w:r>
        <w:rPr>
          <w:rStyle w:val="FootnoteReference"/>
        </w:rPr>
        <w:footnoteRef/>
      </w:r>
      <w:r>
        <w:t xml:space="preserve"> Coe and Young, </w:t>
      </w:r>
      <w:r>
        <w:rPr>
          <w:i/>
        </w:rPr>
        <w:t xml:space="preserve">The Celtic Sources </w:t>
      </w:r>
      <w:r>
        <w:t>p. 137.</w:t>
      </w:r>
    </w:p>
  </w:footnote>
  <w:footnote w:id="59">
    <w:p w:rsidR="00727033" w:rsidRPr="00302567" w:rsidRDefault="00727033">
      <w:pPr>
        <w:pStyle w:val="FootnoteText"/>
      </w:pPr>
      <w:r>
        <w:rPr>
          <w:rStyle w:val="FootnoteReference"/>
        </w:rPr>
        <w:footnoteRef/>
      </w:r>
      <w:r>
        <w:t xml:space="preserve"> Green, </w:t>
      </w:r>
      <w:r>
        <w:rPr>
          <w:i/>
        </w:rPr>
        <w:t xml:space="preserve">Concepts </w:t>
      </w:r>
      <w:proofErr w:type="gramStart"/>
      <w:r>
        <w:rPr>
          <w:i/>
        </w:rPr>
        <w:t>Of</w:t>
      </w:r>
      <w:proofErr w:type="gramEnd"/>
      <w:r>
        <w:rPr>
          <w:i/>
        </w:rPr>
        <w:t xml:space="preserve"> Arthur </w:t>
      </w:r>
      <w:r>
        <w:t>p. 57.</w:t>
      </w:r>
    </w:p>
  </w:footnote>
  <w:footnote w:id="60">
    <w:p w:rsidR="00727033" w:rsidRDefault="00727033">
      <w:pPr>
        <w:pStyle w:val="FootnoteText"/>
      </w:pPr>
      <w:r>
        <w:rPr>
          <w:rStyle w:val="FootnoteReference"/>
        </w:rPr>
        <w:footnoteRef/>
      </w:r>
      <w:r>
        <w:t xml:space="preserve"> Ibid p. 62.</w:t>
      </w:r>
    </w:p>
  </w:footnote>
  <w:footnote w:id="61">
    <w:p w:rsidR="00727033" w:rsidRPr="00996C9A" w:rsidRDefault="00727033">
      <w:pPr>
        <w:pStyle w:val="FootnoteText"/>
      </w:pPr>
      <w:r>
        <w:rPr>
          <w:rStyle w:val="FootnoteReference"/>
        </w:rPr>
        <w:footnoteRef/>
      </w:r>
      <w:r>
        <w:t xml:space="preserve"> </w:t>
      </w:r>
      <w:proofErr w:type="spellStart"/>
      <w:r>
        <w:t>Padel</w:t>
      </w:r>
      <w:proofErr w:type="spellEnd"/>
      <w:r>
        <w:t xml:space="preserve">, </w:t>
      </w:r>
      <w:r>
        <w:rPr>
          <w:i/>
        </w:rPr>
        <w:t xml:space="preserve">Arthur In Medieval </w:t>
      </w:r>
      <w:r>
        <w:t>pp. 27-28.</w:t>
      </w:r>
    </w:p>
  </w:footnote>
  <w:footnote w:id="62">
    <w:p w:rsidR="00727033" w:rsidRDefault="00727033">
      <w:pPr>
        <w:pStyle w:val="FootnoteText"/>
      </w:pPr>
      <w:r>
        <w:rPr>
          <w:rStyle w:val="FootnoteReference"/>
        </w:rPr>
        <w:footnoteRef/>
      </w:r>
      <w:r>
        <w:t xml:space="preserve"> Adderley, ‘Singing to </w:t>
      </w:r>
      <w:proofErr w:type="gramStart"/>
      <w:r>
        <w:t>The</w:t>
      </w:r>
      <w:proofErr w:type="gramEnd"/>
      <w:r>
        <w:t>’, p. 189.</w:t>
      </w:r>
    </w:p>
  </w:footnote>
  <w:footnote w:id="63">
    <w:p w:rsidR="00727033" w:rsidRPr="000D78FE" w:rsidRDefault="00727033">
      <w:pPr>
        <w:pStyle w:val="FootnoteText"/>
      </w:pPr>
      <w:r>
        <w:rPr>
          <w:rStyle w:val="FootnoteReference"/>
        </w:rPr>
        <w:footnoteRef/>
      </w:r>
      <w:r>
        <w:t xml:space="preserve"> Coe and Young, </w:t>
      </w:r>
      <w:r>
        <w:rPr>
          <w:i/>
        </w:rPr>
        <w:t xml:space="preserve">The Celtic Sources </w:t>
      </w:r>
      <w:r>
        <w:t>p. 137.</w:t>
      </w:r>
    </w:p>
  </w:footnote>
  <w:footnote w:id="64">
    <w:p w:rsidR="00727033" w:rsidRPr="000D78FE" w:rsidRDefault="00727033">
      <w:pPr>
        <w:pStyle w:val="FootnoteText"/>
      </w:pPr>
      <w:r>
        <w:rPr>
          <w:rStyle w:val="FootnoteReference"/>
        </w:rPr>
        <w:footnoteRef/>
      </w:r>
      <w:r>
        <w:t xml:space="preserve"> </w:t>
      </w:r>
      <w:proofErr w:type="spellStart"/>
      <w:r>
        <w:t>Padel</w:t>
      </w:r>
      <w:proofErr w:type="spellEnd"/>
      <w:r>
        <w:t xml:space="preserve">, </w:t>
      </w:r>
      <w:r>
        <w:rPr>
          <w:i/>
        </w:rPr>
        <w:t xml:space="preserve">Arthur In Medieval </w:t>
      </w:r>
      <w:r>
        <w:t>p. 28.</w:t>
      </w:r>
    </w:p>
  </w:footnote>
  <w:footnote w:id="65">
    <w:p w:rsidR="00727033" w:rsidRPr="008C5612" w:rsidRDefault="00727033">
      <w:pPr>
        <w:pStyle w:val="FootnoteText"/>
      </w:pPr>
      <w:r>
        <w:rPr>
          <w:rStyle w:val="FootnoteReference"/>
        </w:rPr>
        <w:footnoteRef/>
      </w:r>
      <w:r>
        <w:t xml:space="preserve"> Green, </w:t>
      </w:r>
      <w:r>
        <w:rPr>
          <w:i/>
        </w:rPr>
        <w:t xml:space="preserve">Concepts </w:t>
      </w:r>
      <w:proofErr w:type="gramStart"/>
      <w:r>
        <w:rPr>
          <w:i/>
        </w:rPr>
        <w:t>Of</w:t>
      </w:r>
      <w:proofErr w:type="gramEnd"/>
      <w:r>
        <w:rPr>
          <w:i/>
        </w:rPr>
        <w:t xml:space="preserve"> Arthur </w:t>
      </w:r>
      <w:r>
        <w:t>p. 72.</w:t>
      </w:r>
    </w:p>
  </w:footnote>
  <w:footnote w:id="66">
    <w:p w:rsidR="00727033" w:rsidRPr="00B90FFB" w:rsidRDefault="00727033">
      <w:pPr>
        <w:pStyle w:val="FootnoteText"/>
      </w:pPr>
      <w:r>
        <w:rPr>
          <w:rStyle w:val="FootnoteReference"/>
        </w:rPr>
        <w:footnoteRef/>
      </w:r>
      <w:r>
        <w:t xml:space="preserve"> Coe and Young, </w:t>
      </w:r>
      <w:r>
        <w:rPr>
          <w:i/>
        </w:rPr>
        <w:t xml:space="preserve">The Celtic Sources </w:t>
      </w:r>
      <w:r>
        <w:t>p. 127.</w:t>
      </w:r>
    </w:p>
  </w:footnote>
  <w:footnote w:id="67">
    <w:p w:rsidR="00727033" w:rsidRDefault="00727033">
      <w:pPr>
        <w:pStyle w:val="FootnoteText"/>
      </w:pPr>
      <w:r>
        <w:rPr>
          <w:rStyle w:val="FootnoteReference"/>
        </w:rPr>
        <w:footnoteRef/>
      </w:r>
      <w:r>
        <w:t xml:space="preserve"> Ibid. </w:t>
      </w:r>
    </w:p>
  </w:footnote>
  <w:footnote w:id="68">
    <w:p w:rsidR="00727033" w:rsidRPr="00F12A59" w:rsidRDefault="00727033">
      <w:pPr>
        <w:pStyle w:val="FootnoteText"/>
      </w:pPr>
      <w:r>
        <w:rPr>
          <w:rStyle w:val="FootnoteReference"/>
        </w:rPr>
        <w:footnoteRef/>
      </w:r>
      <w:r>
        <w:t xml:space="preserve"> Green, </w:t>
      </w:r>
      <w:r>
        <w:rPr>
          <w:i/>
        </w:rPr>
        <w:t xml:space="preserve">Concepts </w:t>
      </w:r>
      <w:proofErr w:type="gramStart"/>
      <w:r>
        <w:rPr>
          <w:i/>
        </w:rPr>
        <w:t>Of</w:t>
      </w:r>
      <w:proofErr w:type="gramEnd"/>
      <w:r>
        <w:rPr>
          <w:i/>
        </w:rPr>
        <w:t xml:space="preserve"> Arthur </w:t>
      </w:r>
      <w:r>
        <w:t>p. 80.</w:t>
      </w:r>
    </w:p>
  </w:footnote>
  <w:footnote w:id="69">
    <w:p w:rsidR="00727033" w:rsidRPr="00F12A59" w:rsidRDefault="00727033">
      <w:pPr>
        <w:pStyle w:val="FootnoteText"/>
      </w:pPr>
      <w:r>
        <w:rPr>
          <w:rStyle w:val="FootnoteReference"/>
        </w:rPr>
        <w:footnoteRef/>
      </w:r>
      <w:r>
        <w:t xml:space="preserve"> Coe and Young, </w:t>
      </w:r>
      <w:r>
        <w:rPr>
          <w:i/>
        </w:rPr>
        <w:t xml:space="preserve">The Celtic Sources </w:t>
      </w:r>
      <w:r>
        <w:t>p. 131.</w:t>
      </w:r>
    </w:p>
  </w:footnote>
  <w:footnote w:id="70">
    <w:p w:rsidR="00727033" w:rsidRPr="00727033" w:rsidRDefault="00727033">
      <w:pPr>
        <w:pStyle w:val="FootnoteText"/>
      </w:pPr>
      <w:r>
        <w:rPr>
          <w:rStyle w:val="FootnoteReference"/>
        </w:rPr>
        <w:footnoteRef/>
      </w:r>
      <w:r>
        <w:t xml:space="preserve"> </w:t>
      </w:r>
      <w:proofErr w:type="spellStart"/>
      <w:r>
        <w:t>Padel</w:t>
      </w:r>
      <w:proofErr w:type="spellEnd"/>
      <w:r>
        <w:t xml:space="preserve">, </w:t>
      </w:r>
      <w:proofErr w:type="spellStart"/>
      <w:r>
        <w:rPr>
          <w:i/>
        </w:rPr>
        <w:t>Athur</w:t>
      </w:r>
      <w:proofErr w:type="spellEnd"/>
      <w:r>
        <w:rPr>
          <w:i/>
        </w:rPr>
        <w:t xml:space="preserve"> In Medieval </w:t>
      </w:r>
      <w:r>
        <w:t>p. 22.</w:t>
      </w:r>
    </w:p>
  </w:footnote>
  <w:footnote w:id="71">
    <w:p w:rsidR="00727033" w:rsidRDefault="00727033">
      <w:pPr>
        <w:pStyle w:val="FootnoteText"/>
      </w:pPr>
      <w:r>
        <w:rPr>
          <w:rStyle w:val="FootnoteReference"/>
        </w:rPr>
        <w:footnoteRef/>
      </w:r>
      <w:r>
        <w:t xml:space="preserve"> Ibid p. 20.</w:t>
      </w:r>
    </w:p>
  </w:footnote>
  <w:footnote w:id="72">
    <w:p w:rsidR="00733CA7" w:rsidRPr="00733CA7" w:rsidRDefault="00733CA7">
      <w:pPr>
        <w:pStyle w:val="FootnoteText"/>
      </w:pPr>
      <w:r>
        <w:rPr>
          <w:rStyle w:val="FootnoteReference"/>
        </w:rPr>
        <w:footnoteRef/>
      </w:r>
      <w:r>
        <w:t xml:space="preserve"> Karen </w:t>
      </w:r>
      <w:proofErr w:type="spellStart"/>
      <w:r>
        <w:t>Jankulak</w:t>
      </w:r>
      <w:proofErr w:type="spellEnd"/>
      <w:r>
        <w:t xml:space="preserve">, </w:t>
      </w:r>
      <w:r>
        <w:rPr>
          <w:i/>
        </w:rPr>
        <w:t xml:space="preserve">Geoffrey Of Monmouth: Writers </w:t>
      </w:r>
      <w:proofErr w:type="gramStart"/>
      <w:r>
        <w:rPr>
          <w:i/>
        </w:rPr>
        <w:t>Of</w:t>
      </w:r>
      <w:proofErr w:type="gramEnd"/>
      <w:r>
        <w:rPr>
          <w:i/>
        </w:rPr>
        <w:t xml:space="preserve"> Wales, </w:t>
      </w:r>
      <w:r>
        <w:t>(Cardiff: University Of Wales Press</w:t>
      </w:r>
      <w:r w:rsidR="00115D18">
        <w:t>, 2010) p. 1.</w:t>
      </w:r>
    </w:p>
  </w:footnote>
  <w:footnote w:id="73">
    <w:p w:rsidR="00115D18" w:rsidRPr="00115D18" w:rsidRDefault="00115D18">
      <w:pPr>
        <w:pStyle w:val="FootnoteText"/>
      </w:pPr>
      <w:r>
        <w:rPr>
          <w:rStyle w:val="FootnoteReference"/>
        </w:rPr>
        <w:footnoteRef/>
      </w:r>
      <w:r>
        <w:t xml:space="preserve"> </w:t>
      </w:r>
      <w:proofErr w:type="spellStart"/>
      <w:r>
        <w:t>Jankulak</w:t>
      </w:r>
      <w:proofErr w:type="spellEnd"/>
      <w:r>
        <w:t xml:space="preserve">, </w:t>
      </w:r>
      <w:r>
        <w:rPr>
          <w:i/>
        </w:rPr>
        <w:t xml:space="preserve">Geoffrey Of Monmouth </w:t>
      </w:r>
      <w:r>
        <w:t>p. 14.</w:t>
      </w:r>
    </w:p>
  </w:footnote>
  <w:footnote w:id="74">
    <w:p w:rsidR="00115D18" w:rsidRDefault="00115D18">
      <w:pPr>
        <w:pStyle w:val="FootnoteText"/>
      </w:pPr>
      <w:r>
        <w:rPr>
          <w:rStyle w:val="FootnoteReference"/>
        </w:rPr>
        <w:footnoteRef/>
      </w:r>
      <w:r>
        <w:t xml:space="preserve"> Ibid p. 70.</w:t>
      </w:r>
    </w:p>
  </w:footnote>
  <w:footnote w:id="75">
    <w:p w:rsidR="00FB5046" w:rsidRDefault="00FB5046">
      <w:pPr>
        <w:pStyle w:val="FootnoteText"/>
      </w:pPr>
      <w:r>
        <w:rPr>
          <w:rStyle w:val="FootnoteReference"/>
        </w:rPr>
        <w:footnoteRef/>
      </w:r>
      <w:r>
        <w:t xml:space="preserve"> Ibid p. 72.</w:t>
      </w:r>
    </w:p>
  </w:footnote>
  <w:footnote w:id="76">
    <w:p w:rsidR="00FB5046" w:rsidRDefault="00FB5046">
      <w:pPr>
        <w:pStyle w:val="FootnoteText"/>
      </w:pPr>
      <w:r>
        <w:rPr>
          <w:rStyle w:val="FootnoteReference"/>
        </w:rPr>
        <w:footnoteRef/>
      </w:r>
      <w:r>
        <w:t xml:space="preserve"> Ibid.</w:t>
      </w:r>
    </w:p>
  </w:footnote>
  <w:footnote w:id="77">
    <w:p w:rsidR="00D76201" w:rsidRDefault="00D76201">
      <w:pPr>
        <w:pStyle w:val="FootnoteText"/>
      </w:pPr>
      <w:r>
        <w:rPr>
          <w:rStyle w:val="FootnoteReference"/>
        </w:rPr>
        <w:footnoteRef/>
      </w:r>
      <w:r>
        <w:t xml:space="preserve"> Ibid p. 74.</w:t>
      </w:r>
    </w:p>
  </w:footnote>
  <w:footnote w:id="78">
    <w:p w:rsidR="00D76201" w:rsidRDefault="00D76201">
      <w:pPr>
        <w:pStyle w:val="FootnoteText"/>
      </w:pPr>
      <w:r>
        <w:rPr>
          <w:rStyle w:val="FootnoteReference"/>
        </w:rPr>
        <w:footnoteRef/>
      </w:r>
      <w:r>
        <w:t xml:space="preserve"> Ibid p. 75.</w:t>
      </w:r>
    </w:p>
  </w:footnote>
  <w:footnote w:id="79">
    <w:p w:rsidR="00FA3C9A" w:rsidRDefault="00FA3C9A">
      <w:pPr>
        <w:pStyle w:val="FootnoteText"/>
      </w:pPr>
      <w:r>
        <w:rPr>
          <w:rStyle w:val="FootnoteReference"/>
        </w:rPr>
        <w:footnoteRef/>
      </w:r>
      <w:r>
        <w:t xml:space="preserve"> Ibid 76.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8A2"/>
    <w:rsid w:val="00043906"/>
    <w:rsid w:val="00080101"/>
    <w:rsid w:val="000C111F"/>
    <w:rsid w:val="000D78FE"/>
    <w:rsid w:val="000F36C1"/>
    <w:rsid w:val="00115D18"/>
    <w:rsid w:val="00120B10"/>
    <w:rsid w:val="001459BE"/>
    <w:rsid w:val="001817D4"/>
    <w:rsid w:val="0018622C"/>
    <w:rsid w:val="00193210"/>
    <w:rsid w:val="00194F43"/>
    <w:rsid w:val="001A49E2"/>
    <w:rsid w:val="001F6928"/>
    <w:rsid w:val="00200D8E"/>
    <w:rsid w:val="00301029"/>
    <w:rsid w:val="00302567"/>
    <w:rsid w:val="003B0570"/>
    <w:rsid w:val="003B4ACB"/>
    <w:rsid w:val="003C1D28"/>
    <w:rsid w:val="00414BEC"/>
    <w:rsid w:val="004838AB"/>
    <w:rsid w:val="00487717"/>
    <w:rsid w:val="004A64C3"/>
    <w:rsid w:val="004F097D"/>
    <w:rsid w:val="004F1D93"/>
    <w:rsid w:val="00530BC9"/>
    <w:rsid w:val="00532D7C"/>
    <w:rsid w:val="00557598"/>
    <w:rsid w:val="00574213"/>
    <w:rsid w:val="005B38FC"/>
    <w:rsid w:val="005D413E"/>
    <w:rsid w:val="00637104"/>
    <w:rsid w:val="00652834"/>
    <w:rsid w:val="006E10E1"/>
    <w:rsid w:val="007102AD"/>
    <w:rsid w:val="00727033"/>
    <w:rsid w:val="00733CA7"/>
    <w:rsid w:val="00792511"/>
    <w:rsid w:val="00795659"/>
    <w:rsid w:val="008173AF"/>
    <w:rsid w:val="00826707"/>
    <w:rsid w:val="0086033B"/>
    <w:rsid w:val="00866E78"/>
    <w:rsid w:val="00881E5B"/>
    <w:rsid w:val="008C5612"/>
    <w:rsid w:val="008C6A25"/>
    <w:rsid w:val="00927D28"/>
    <w:rsid w:val="0095247D"/>
    <w:rsid w:val="00953EF8"/>
    <w:rsid w:val="00993FBC"/>
    <w:rsid w:val="00996C9A"/>
    <w:rsid w:val="009D0FCC"/>
    <w:rsid w:val="009D4D9E"/>
    <w:rsid w:val="00A028A2"/>
    <w:rsid w:val="00A25F7F"/>
    <w:rsid w:val="00A358A9"/>
    <w:rsid w:val="00A557C7"/>
    <w:rsid w:val="00A73AAC"/>
    <w:rsid w:val="00A761FD"/>
    <w:rsid w:val="00A9592F"/>
    <w:rsid w:val="00B06761"/>
    <w:rsid w:val="00B35045"/>
    <w:rsid w:val="00B36557"/>
    <w:rsid w:val="00B40072"/>
    <w:rsid w:val="00B5377B"/>
    <w:rsid w:val="00B62FA2"/>
    <w:rsid w:val="00B63175"/>
    <w:rsid w:val="00B644FC"/>
    <w:rsid w:val="00B848DC"/>
    <w:rsid w:val="00B90FFB"/>
    <w:rsid w:val="00BA70BA"/>
    <w:rsid w:val="00BC252C"/>
    <w:rsid w:val="00BC3CCB"/>
    <w:rsid w:val="00BE7A93"/>
    <w:rsid w:val="00C0753A"/>
    <w:rsid w:val="00C21D40"/>
    <w:rsid w:val="00C61D32"/>
    <w:rsid w:val="00D36055"/>
    <w:rsid w:val="00D76201"/>
    <w:rsid w:val="00DA29AF"/>
    <w:rsid w:val="00DE6679"/>
    <w:rsid w:val="00E557F1"/>
    <w:rsid w:val="00E81436"/>
    <w:rsid w:val="00F055E7"/>
    <w:rsid w:val="00F12A59"/>
    <w:rsid w:val="00F22872"/>
    <w:rsid w:val="00F36A56"/>
    <w:rsid w:val="00F50197"/>
    <w:rsid w:val="00F91497"/>
    <w:rsid w:val="00FA3C9A"/>
    <w:rsid w:val="00FA6458"/>
    <w:rsid w:val="00FB05A3"/>
    <w:rsid w:val="00FB50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EBD756"/>
  <w15:chartTrackingRefBased/>
  <w15:docId w15:val="{BFA7EF08-D0D8-483F-A9AD-85B13EB44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0753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0753A"/>
    <w:rPr>
      <w:sz w:val="20"/>
      <w:szCs w:val="20"/>
    </w:rPr>
  </w:style>
  <w:style w:type="character" w:styleId="FootnoteReference">
    <w:name w:val="footnote reference"/>
    <w:basedOn w:val="DefaultParagraphFont"/>
    <w:uiPriority w:val="99"/>
    <w:semiHidden/>
    <w:unhideWhenUsed/>
    <w:rsid w:val="00C0753A"/>
    <w:rPr>
      <w:vertAlign w:val="superscript"/>
    </w:rPr>
  </w:style>
  <w:style w:type="paragraph" w:styleId="EndnoteText">
    <w:name w:val="endnote text"/>
    <w:basedOn w:val="Normal"/>
    <w:link w:val="EndnoteTextChar"/>
    <w:uiPriority w:val="99"/>
    <w:semiHidden/>
    <w:unhideWhenUsed/>
    <w:rsid w:val="00B4007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0072"/>
    <w:rPr>
      <w:sz w:val="20"/>
      <w:szCs w:val="20"/>
    </w:rPr>
  </w:style>
  <w:style w:type="character" w:styleId="EndnoteReference">
    <w:name w:val="endnote reference"/>
    <w:basedOn w:val="DefaultParagraphFont"/>
    <w:uiPriority w:val="99"/>
    <w:semiHidden/>
    <w:unhideWhenUsed/>
    <w:rsid w:val="00B4007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C5382-E866-47EC-A215-6E23FB1C2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1569</TotalTime>
  <Pages>8</Pages>
  <Words>3860</Words>
  <Characters>17761</Characters>
  <Application>Microsoft Office Word</Application>
  <DocSecurity>0</DocSecurity>
  <Lines>362</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29</cp:revision>
  <dcterms:created xsi:type="dcterms:W3CDTF">2018-12-14T20:02:00Z</dcterms:created>
  <dcterms:modified xsi:type="dcterms:W3CDTF">2018-12-18T23:39:00Z</dcterms:modified>
</cp:coreProperties>
</file>