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8B146" w14:textId="000F9C47" w:rsidR="00D13E56" w:rsidRDefault="00D13E56" w:rsidP="00CE5A4E">
      <w:pPr>
        <w:spacing w:line="360" w:lineRule="auto"/>
        <w:jc w:val="center"/>
        <w:rPr>
          <w:rFonts w:ascii="Arial" w:hAnsi="Arial" w:cs="Arial"/>
          <w:b/>
          <w:bCs/>
          <w:u w:val="single"/>
        </w:rPr>
      </w:pPr>
      <w:r w:rsidRPr="00D13E56">
        <w:rPr>
          <w:rFonts w:ascii="Arial" w:hAnsi="Arial" w:cs="Arial"/>
          <w:b/>
          <w:bCs/>
          <w:u w:val="single"/>
        </w:rPr>
        <w:t>ECAD7004 Assignment 2023/24 (essay: 4500 words by 7</w:t>
      </w:r>
      <w:r w:rsidRPr="00D13E56">
        <w:rPr>
          <w:rFonts w:ascii="Arial" w:hAnsi="Arial" w:cs="Arial"/>
          <w:b/>
          <w:bCs/>
          <w:u w:val="single"/>
          <w:vertAlign w:val="superscript"/>
        </w:rPr>
        <w:t>th</w:t>
      </w:r>
      <w:r w:rsidRPr="00D13E56">
        <w:rPr>
          <w:rFonts w:ascii="Arial" w:hAnsi="Arial" w:cs="Arial"/>
          <w:b/>
          <w:bCs/>
          <w:u w:val="single"/>
        </w:rPr>
        <w:t xml:space="preserve"> May)</w:t>
      </w:r>
    </w:p>
    <w:p w14:paraId="5E932F21" w14:textId="7E9A44F8" w:rsidR="00D13E56" w:rsidRDefault="00D13E56" w:rsidP="00CE5A4E">
      <w:pPr>
        <w:spacing w:line="360" w:lineRule="auto"/>
        <w:jc w:val="center"/>
        <w:rPr>
          <w:rFonts w:ascii="Arial" w:hAnsi="Arial" w:cs="Arial"/>
          <w:b/>
          <w:bCs/>
        </w:rPr>
      </w:pPr>
      <w:r>
        <w:rPr>
          <w:rFonts w:ascii="Arial" w:hAnsi="Arial" w:cs="Arial"/>
          <w:b/>
          <w:bCs/>
        </w:rPr>
        <w:t xml:space="preserve">An exploratory case study on how Reception pupils and teachers perceive the effectiveness of positive school play on pupil </w:t>
      </w:r>
      <w:proofErr w:type="gramStart"/>
      <w:r w:rsidR="00CC1F40">
        <w:rPr>
          <w:rFonts w:ascii="Arial" w:hAnsi="Arial" w:cs="Arial"/>
          <w:b/>
          <w:bCs/>
        </w:rPr>
        <w:t>well-being</w:t>
      </w:r>
      <w:proofErr w:type="gramEnd"/>
    </w:p>
    <w:p w14:paraId="0EADFCBF" w14:textId="77777777" w:rsidR="00DF4347" w:rsidRPr="00DF4347" w:rsidRDefault="00DF4347" w:rsidP="00DF4347">
      <w:pPr>
        <w:rPr>
          <w:rFonts w:ascii="Arial" w:hAnsi="Arial" w:cs="Arial"/>
        </w:rPr>
      </w:pPr>
      <w:proofErr w:type="spellStart"/>
      <w:r w:rsidRPr="00DF4347">
        <w:rPr>
          <w:rFonts w:ascii="Arial" w:hAnsi="Arial" w:cs="Arial"/>
        </w:rPr>
        <w:t>Targedu</w:t>
      </w:r>
      <w:proofErr w:type="spellEnd"/>
      <w:r w:rsidRPr="00DF4347">
        <w:rPr>
          <w:rFonts w:ascii="Arial" w:hAnsi="Arial" w:cs="Arial"/>
        </w:rPr>
        <w:t xml:space="preserve"> / Targets</w:t>
      </w:r>
    </w:p>
    <w:p w14:paraId="43C5EED3" w14:textId="77777777" w:rsidR="00DF4347" w:rsidRDefault="00DF4347" w:rsidP="00DF4347"/>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DF4347" w:rsidRPr="00BD1BDB" w14:paraId="3F841E8C" w14:textId="77777777" w:rsidTr="007C67DF">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B67DA6A" w14:textId="77777777" w:rsidR="00DF4347" w:rsidRPr="00BD1BDB" w:rsidRDefault="00DF4347" w:rsidP="007C67DF">
            <w:pPr>
              <w:spacing w:line="360" w:lineRule="auto"/>
              <w:rPr>
                <w:rFonts w:ascii="Arial" w:hAnsi="Arial" w:cs="Arial"/>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A32CC1A" w14:textId="77777777" w:rsidR="00DF4347" w:rsidRPr="00BD1BDB" w:rsidRDefault="00DF4347" w:rsidP="007C67DF">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9CCF91C" w14:textId="77777777" w:rsidR="00DF4347" w:rsidRPr="00BD1BDB" w:rsidRDefault="00DF4347" w:rsidP="007C67DF">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Yr</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hyn</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yr</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wyf</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wedi’i</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wneud</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yn</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yr</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aseiniad</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hwn</w:t>
            </w:r>
            <w:proofErr w:type="spellEnd"/>
            <w:r w:rsidRPr="00BD1BDB">
              <w:rPr>
                <w:rFonts w:ascii="Arial" w:eastAsia="Arial Unicode MS" w:hAnsi="Arial" w:cs="Arial"/>
                <w:color w:val="000000"/>
                <w14:textOutline w14:w="12700" w14:cap="flat" w14:cmpd="sng" w14:algn="ctr">
                  <w14:noFill/>
                  <w14:prstDash w14:val="solid"/>
                  <w14:miter w14:lim="400000"/>
                </w14:textOutline>
              </w:rPr>
              <w:t>….</w:t>
            </w:r>
          </w:p>
          <w:p w14:paraId="177D5DCC" w14:textId="77777777" w:rsidR="00DF4347" w:rsidRPr="00BD1BDB" w:rsidRDefault="00DF4347" w:rsidP="007C67DF">
            <w:pPr>
              <w:tabs>
                <w:tab w:val="left" w:pos="1440"/>
                <w:tab w:val="left" w:pos="2880"/>
              </w:tabs>
              <w:suppressAutoHyphens/>
              <w:spacing w:line="360" w:lineRule="auto"/>
              <w:outlineLvl w:val="0"/>
              <w:rPr>
                <w:rFonts w:ascii="Arial" w:hAnsi="Arial" w:cs="Arial"/>
              </w:rPr>
            </w:pPr>
            <w:r w:rsidRPr="00BD1BDB">
              <w:rPr>
                <w:rFonts w:ascii="Arial" w:eastAsia="Arial Unicode MS" w:hAnsi="Arial" w:cs="Arial"/>
                <w:color w:val="000000"/>
                <w14:textOutline w14:w="12700" w14:cap="flat" w14:cmpd="sng" w14:algn="ctr">
                  <w14:noFill/>
                  <w14:prstDash w14:val="solid"/>
                  <w14:miter w14:lim="400000"/>
                </w14:textOutline>
              </w:rPr>
              <w:t>What I have done in this assignment….</w:t>
            </w:r>
          </w:p>
        </w:tc>
      </w:tr>
      <w:tr w:rsidR="00DF4347" w:rsidRPr="00BD1BDB" w14:paraId="4E95C2C1" w14:textId="77777777" w:rsidTr="007C67D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A94A69E" w14:textId="77777777" w:rsidR="00DF4347" w:rsidRPr="00BD1BDB" w:rsidRDefault="00DF4347" w:rsidP="007C67DF">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3C8D95C" w14:textId="37F6C287" w:rsidR="00DF4347" w:rsidRPr="00BD1BDB" w:rsidRDefault="00DF4347" w:rsidP="007C67DF">
            <w:pPr>
              <w:spacing w:line="360" w:lineRule="auto"/>
              <w:rPr>
                <w:rFonts w:ascii="Arial" w:hAnsi="Arial" w:cs="Arial"/>
              </w:rPr>
            </w:pPr>
            <w:r>
              <w:rPr>
                <w:rFonts w:ascii="Arial" w:hAnsi="Arial" w:cs="Arial"/>
              </w:rPr>
              <w:t>Check references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B476FB9" w14:textId="57CD3DE9" w:rsidR="00DF4347" w:rsidRPr="00BD1BDB" w:rsidRDefault="00DF4347" w:rsidP="007C67DF">
            <w:pPr>
              <w:spacing w:line="360" w:lineRule="auto"/>
              <w:rPr>
                <w:rFonts w:ascii="Arial" w:hAnsi="Arial" w:cs="Arial"/>
              </w:rPr>
            </w:pPr>
            <w:r>
              <w:rPr>
                <w:rFonts w:ascii="Arial" w:hAnsi="Arial" w:cs="Arial"/>
              </w:rPr>
              <w:t xml:space="preserve">I used the </w:t>
            </w:r>
            <w:proofErr w:type="spellStart"/>
            <w:r>
              <w:rPr>
                <w:rFonts w:ascii="Arial" w:hAnsi="Arial" w:cs="Arial"/>
              </w:rPr>
              <w:t>havard</w:t>
            </w:r>
            <w:proofErr w:type="spellEnd"/>
            <w:r>
              <w:rPr>
                <w:rFonts w:ascii="Arial" w:hAnsi="Arial" w:cs="Arial"/>
              </w:rPr>
              <w:t xml:space="preserve"> referencing guide to help me out as much as I can in this assignment.</w:t>
            </w:r>
          </w:p>
        </w:tc>
      </w:tr>
      <w:tr w:rsidR="00DF4347" w:rsidRPr="00BD1BDB" w14:paraId="4DD7B3B2" w14:textId="77777777" w:rsidTr="007C67D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25D48F1" w14:textId="77777777" w:rsidR="00DF4347" w:rsidRPr="00BD1BDB" w:rsidRDefault="00DF4347" w:rsidP="007C67DF">
            <w:pPr>
              <w:spacing w:line="360" w:lineRule="auto"/>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FC435CB" w14:textId="00DDCB3A" w:rsidR="00DF4347" w:rsidRPr="00DF4347" w:rsidRDefault="00DF4347" w:rsidP="007C67DF">
            <w:pPr>
              <w:spacing w:line="360" w:lineRule="auto"/>
              <w:rPr>
                <w:rFonts w:ascii="Arial" w:hAnsi="Arial" w:cs="Arial"/>
              </w:rPr>
            </w:pPr>
            <w:r w:rsidRPr="00DF4347">
              <w:rPr>
                <w:rFonts w:ascii="Arial" w:hAnsi="Arial" w:cs="Arial"/>
                <w:color w:val="283041"/>
                <w:shd w:val="clear" w:color="auto" w:fill="FFFFFF"/>
              </w:rPr>
              <w:t>Ensure that explicit links between theory and practice are consistent throughout</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5508A56" w14:textId="5791FA51" w:rsidR="00DF4347" w:rsidRPr="00BD1BDB" w:rsidRDefault="00DF4347" w:rsidP="007C67DF">
            <w:pPr>
              <w:spacing w:line="360" w:lineRule="auto"/>
              <w:rPr>
                <w:rFonts w:ascii="Arial" w:hAnsi="Arial" w:cs="Arial"/>
              </w:rPr>
            </w:pPr>
            <w:r>
              <w:rPr>
                <w:rFonts w:ascii="Arial" w:hAnsi="Arial" w:cs="Arial"/>
              </w:rPr>
              <w:t>I have used different literature to link to different practices throughout the assignment and critically reflected.</w:t>
            </w:r>
          </w:p>
        </w:tc>
      </w:tr>
      <w:tr w:rsidR="00DF4347" w:rsidRPr="00BD1BDB" w14:paraId="6FABC731" w14:textId="77777777" w:rsidTr="007C67D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715A52E" w14:textId="77777777" w:rsidR="00DF4347" w:rsidRPr="00BD1BDB" w:rsidRDefault="00DF4347" w:rsidP="007C67DF">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46EB6AB" w14:textId="21C5962B" w:rsidR="00DF4347" w:rsidRPr="00DF4347" w:rsidRDefault="00DF4347" w:rsidP="007C67DF">
            <w:pPr>
              <w:spacing w:line="360" w:lineRule="auto"/>
              <w:rPr>
                <w:rFonts w:ascii="Arial" w:hAnsi="Arial" w:cs="Arial"/>
              </w:rPr>
            </w:pPr>
            <w:r w:rsidRPr="00DF4347">
              <w:rPr>
                <w:rFonts w:ascii="Arial" w:hAnsi="Arial" w:cs="Arial"/>
                <w:color w:val="283041"/>
                <w:shd w:val="clear" w:color="auto" w:fill="FFFFFF"/>
              </w:rPr>
              <w:t>In terms of your professional development and the teaching standards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662999B" w14:textId="730C6F40" w:rsidR="00DF4347" w:rsidRPr="00BD1BDB" w:rsidRDefault="00DF4347" w:rsidP="007C67DF">
            <w:pPr>
              <w:spacing w:line="360" w:lineRule="auto"/>
              <w:rPr>
                <w:rFonts w:ascii="Arial" w:hAnsi="Arial" w:cs="Arial"/>
              </w:rPr>
            </w:pPr>
            <w:r>
              <w:rPr>
                <w:rFonts w:ascii="Arial" w:hAnsi="Arial" w:cs="Arial"/>
              </w:rPr>
              <w:t>Throughout this assignment it made me think and understand the teaching standards and how other schools see their vision for play in the classroom.</w:t>
            </w:r>
          </w:p>
        </w:tc>
      </w:tr>
    </w:tbl>
    <w:p w14:paraId="2C05949E" w14:textId="77777777" w:rsidR="00DF4347" w:rsidRDefault="00DF4347" w:rsidP="00DF4347"/>
    <w:p w14:paraId="111FDEAB" w14:textId="77777777" w:rsidR="00DF4347" w:rsidRPr="00D13E56" w:rsidRDefault="00DF4347" w:rsidP="00DF4347">
      <w:pPr>
        <w:spacing w:line="360" w:lineRule="auto"/>
        <w:rPr>
          <w:rFonts w:ascii="Arial" w:hAnsi="Arial" w:cs="Arial"/>
          <w:b/>
          <w:bCs/>
        </w:rPr>
      </w:pPr>
    </w:p>
    <w:p w14:paraId="1762656F" w14:textId="021E859E" w:rsidR="00EA081F" w:rsidRPr="00CB424A" w:rsidRDefault="00EA081F" w:rsidP="00CE5A4E">
      <w:pPr>
        <w:spacing w:line="360" w:lineRule="auto"/>
        <w:rPr>
          <w:rFonts w:ascii="Arial" w:hAnsi="Arial" w:cs="Arial"/>
          <w:b/>
          <w:bCs/>
        </w:rPr>
      </w:pPr>
      <w:r w:rsidRPr="00CB424A">
        <w:rPr>
          <w:rFonts w:ascii="Arial" w:hAnsi="Arial" w:cs="Arial"/>
          <w:b/>
          <w:bCs/>
        </w:rPr>
        <w:t>Introduction</w:t>
      </w:r>
    </w:p>
    <w:p w14:paraId="4F3E3550" w14:textId="147C72F1" w:rsidR="0039056C" w:rsidRDefault="0039056C" w:rsidP="00783CDA">
      <w:pPr>
        <w:spacing w:line="360" w:lineRule="auto"/>
        <w:ind w:firstLine="720"/>
        <w:rPr>
          <w:rFonts w:ascii="Arial" w:hAnsi="Arial" w:cs="Arial"/>
          <w:shd w:val="clear" w:color="auto" w:fill="FFFFFF"/>
        </w:rPr>
      </w:pPr>
      <w:r>
        <w:rPr>
          <w:rFonts w:ascii="Arial" w:hAnsi="Arial" w:cs="Arial"/>
          <w:shd w:val="clear" w:color="auto" w:fill="FFFFFF"/>
        </w:rPr>
        <w:t xml:space="preserve">The aim of this study is to explore the wellbeing of pupils in a reception class before and after positive play in the classroom and how teacher perceive this. Being interested in how learning through positive play and how it affects the </w:t>
      </w:r>
      <w:r w:rsidR="00C11785">
        <w:rPr>
          <w:rFonts w:ascii="Arial" w:hAnsi="Arial" w:cs="Arial"/>
          <w:shd w:val="clear" w:color="auto" w:fill="FFFFFF"/>
        </w:rPr>
        <w:t>pupil’s</w:t>
      </w:r>
      <w:r>
        <w:rPr>
          <w:rFonts w:ascii="Arial" w:hAnsi="Arial" w:cs="Arial"/>
          <w:shd w:val="clear" w:color="auto" w:fill="FFFFFF"/>
        </w:rPr>
        <w:t xml:space="preserve"> wellbeing has been an interest of mine. Parker, </w:t>
      </w:r>
      <w:proofErr w:type="gramStart"/>
      <w:r>
        <w:rPr>
          <w:rFonts w:ascii="Arial" w:hAnsi="Arial" w:cs="Arial"/>
          <w:shd w:val="clear" w:color="auto" w:fill="FFFFFF"/>
        </w:rPr>
        <w:t>Thomsen</w:t>
      </w:r>
      <w:proofErr w:type="gramEnd"/>
      <w:r>
        <w:rPr>
          <w:rFonts w:ascii="Arial" w:hAnsi="Arial" w:cs="Arial"/>
          <w:shd w:val="clear" w:color="auto" w:fill="FFFFFF"/>
        </w:rPr>
        <w:t xml:space="preserve"> and Berry (2022) noted</w:t>
      </w:r>
      <w:r w:rsidRPr="0039056C">
        <w:rPr>
          <w:rFonts w:ascii="Arial" w:hAnsi="Arial" w:cs="Arial"/>
          <w:shd w:val="clear" w:color="auto" w:fill="FFFFFF"/>
        </w:rPr>
        <w:t xml:space="preserve"> the benefits of play-based learning are widely acknowledged, there remains a notable gap in both empirical evidence and actionable guidance regarding its effective implementation within formal educational settings. Despite its proven efficacy in fostering student engagement, promoting inclusivity, </w:t>
      </w:r>
      <w:r w:rsidRPr="0039056C">
        <w:rPr>
          <w:rFonts w:ascii="Arial" w:hAnsi="Arial" w:cs="Arial"/>
          <w:shd w:val="clear" w:color="auto" w:fill="FFFFFF"/>
        </w:rPr>
        <w:lastRenderedPageBreak/>
        <w:t>and facilitating holistic skill development, there is a lack of comprehensive research and practical frameworks to support educators in leveraging play-based approaches in the classroom. Consequently, understanding the conditions necessary for the successful integration of play-based learning within formal schooling environments remains a critical area requiring further exploration and development</w:t>
      </w:r>
      <w:r>
        <w:rPr>
          <w:rFonts w:ascii="Arial" w:hAnsi="Arial" w:cs="Arial"/>
          <w:shd w:val="clear" w:color="auto" w:fill="FFFFFF"/>
        </w:rPr>
        <w:t xml:space="preserve"> (Parker, </w:t>
      </w:r>
      <w:proofErr w:type="gramStart"/>
      <w:r>
        <w:rPr>
          <w:rFonts w:ascii="Arial" w:hAnsi="Arial" w:cs="Arial"/>
          <w:shd w:val="clear" w:color="auto" w:fill="FFFFFF"/>
        </w:rPr>
        <w:t>Thomsen</w:t>
      </w:r>
      <w:proofErr w:type="gramEnd"/>
      <w:r>
        <w:rPr>
          <w:rFonts w:ascii="Arial" w:hAnsi="Arial" w:cs="Arial"/>
          <w:shd w:val="clear" w:color="auto" w:fill="FFFFFF"/>
        </w:rPr>
        <w:t xml:space="preserve"> and Berry, 2022). </w:t>
      </w:r>
    </w:p>
    <w:p w14:paraId="38314E79" w14:textId="7D10021A" w:rsidR="00C11785" w:rsidRDefault="00C11785" w:rsidP="00783CDA">
      <w:pPr>
        <w:spacing w:line="360" w:lineRule="auto"/>
        <w:ind w:firstLine="720"/>
        <w:rPr>
          <w:rFonts w:ascii="Arial" w:hAnsi="Arial" w:cs="Arial"/>
          <w:shd w:val="clear" w:color="auto" w:fill="FFFFFF"/>
        </w:rPr>
      </w:pPr>
      <w:r>
        <w:rPr>
          <w:rFonts w:ascii="Arial" w:hAnsi="Arial" w:cs="Arial"/>
          <w:shd w:val="clear" w:color="auto" w:fill="FFFFFF"/>
        </w:rPr>
        <w:t>School X has 389 pupils and roll and 359 of them are statutory school age, in their recent Estyn report it was stated that t</w:t>
      </w:r>
      <w:r w:rsidRPr="00C11785">
        <w:rPr>
          <w:rFonts w:ascii="Arial" w:hAnsi="Arial" w:cs="Arial"/>
          <w:shd w:val="clear" w:color="auto" w:fill="FFFFFF"/>
        </w:rPr>
        <w:t>he school places paramount importance on the well-being of every pupil, ensuring that all members of the community feel valued and included. A culture of inclusivity is fostered, characteri</w:t>
      </w:r>
      <w:r w:rsidR="00FA5D43">
        <w:rPr>
          <w:rFonts w:ascii="Arial" w:hAnsi="Arial" w:cs="Arial"/>
          <w:shd w:val="clear" w:color="auto" w:fill="FFFFFF"/>
        </w:rPr>
        <w:t>s</w:t>
      </w:r>
      <w:r w:rsidRPr="00C11785">
        <w:rPr>
          <w:rFonts w:ascii="Arial" w:hAnsi="Arial" w:cs="Arial"/>
          <w:shd w:val="clear" w:color="auto" w:fill="FFFFFF"/>
        </w:rPr>
        <w:t>ed by strong, positive relationships among staff, students, and their families. Whether in the mainstream school or the Specialist Learning Centre, staff consistently deliver exceptional levels of care, support, and guidance, enabling students to thrive academically and emotionally, and actively engage in their learning journey</w:t>
      </w:r>
      <w:r>
        <w:rPr>
          <w:rFonts w:ascii="Arial" w:hAnsi="Arial" w:cs="Arial"/>
          <w:shd w:val="clear" w:color="auto" w:fill="FFFFFF"/>
        </w:rPr>
        <w:t xml:space="preserve"> (Estyn report, 2023). </w:t>
      </w:r>
    </w:p>
    <w:p w14:paraId="07E4DE69" w14:textId="52F5CCD3" w:rsidR="00C11785" w:rsidRDefault="00D13E56" w:rsidP="00783CDA">
      <w:pPr>
        <w:spacing w:line="360" w:lineRule="auto"/>
        <w:ind w:firstLine="720"/>
        <w:rPr>
          <w:rFonts w:ascii="Arial" w:hAnsi="Arial" w:cs="Arial"/>
          <w:shd w:val="clear" w:color="auto" w:fill="FFFFFF"/>
        </w:rPr>
      </w:pPr>
      <w:r>
        <w:rPr>
          <w:rFonts w:ascii="Arial" w:hAnsi="Arial" w:cs="Arial"/>
          <w:shd w:val="clear" w:color="auto" w:fill="FFFFFF"/>
        </w:rPr>
        <w:t xml:space="preserve">My research question is </w:t>
      </w:r>
      <w:r w:rsidR="00CC1F40">
        <w:rPr>
          <w:rFonts w:ascii="Arial" w:hAnsi="Arial" w:cs="Arial"/>
          <w:shd w:val="clear" w:color="auto" w:fill="FFFFFF"/>
        </w:rPr>
        <w:t xml:space="preserve">how </w:t>
      </w:r>
      <w:r w:rsidR="00F650F3">
        <w:rPr>
          <w:rFonts w:ascii="Arial" w:hAnsi="Arial" w:cs="Arial"/>
          <w:shd w:val="clear" w:color="auto" w:fill="FFFFFF"/>
        </w:rPr>
        <w:t>Reception pupils and teachers perceive</w:t>
      </w:r>
      <w:r w:rsidR="00CC1F40">
        <w:rPr>
          <w:rFonts w:ascii="Arial" w:hAnsi="Arial" w:cs="Arial"/>
          <w:shd w:val="clear" w:color="auto" w:fill="FFFFFF"/>
        </w:rPr>
        <w:t xml:space="preserve"> the effectiveness of positive school play on pupil well-being.</w:t>
      </w:r>
    </w:p>
    <w:p w14:paraId="46F12687" w14:textId="77777777" w:rsidR="00783CDA" w:rsidRDefault="00CA24F6" w:rsidP="00DB55A5">
      <w:pPr>
        <w:spacing w:line="360" w:lineRule="auto"/>
        <w:rPr>
          <w:rFonts w:ascii="Arial" w:hAnsi="Arial" w:cs="Arial"/>
          <w:b/>
          <w:bCs/>
          <w:shd w:val="clear" w:color="auto" w:fill="FFFFFF"/>
        </w:rPr>
      </w:pPr>
      <w:r w:rsidRPr="001638F7">
        <w:rPr>
          <w:rFonts w:ascii="Arial" w:hAnsi="Arial" w:cs="Arial"/>
          <w:b/>
          <w:bCs/>
          <w:shd w:val="clear" w:color="auto" w:fill="FFFFFF"/>
        </w:rPr>
        <w:t>Literature review</w:t>
      </w:r>
    </w:p>
    <w:p w14:paraId="35244B29" w14:textId="01B990B5" w:rsidR="001638F7" w:rsidRPr="00783CDA" w:rsidRDefault="00600836" w:rsidP="00783CDA">
      <w:pPr>
        <w:spacing w:line="360" w:lineRule="auto"/>
        <w:ind w:firstLine="720"/>
        <w:rPr>
          <w:rFonts w:ascii="Arial" w:hAnsi="Arial" w:cs="Arial"/>
          <w:b/>
          <w:bCs/>
          <w:shd w:val="clear" w:color="auto" w:fill="FFFFFF"/>
        </w:rPr>
      </w:pPr>
      <w:r w:rsidRPr="001638F7">
        <w:rPr>
          <w:rFonts w:ascii="Arial" w:hAnsi="Arial" w:cs="Arial"/>
          <w:shd w:val="clear" w:color="auto" w:fill="FFFFFF"/>
        </w:rPr>
        <w:t xml:space="preserve">Play serves as a cornerstone in nurturing the well-being of children and young people, offering a vital avenue for cultivating a positive sense of self, fostering resilience, and promoting emotional expression. By engaging in playful interactions, children lay the groundwork for meaningful relationships, fostering social development and contributing to their overall well-being (WJEC, 2024). </w:t>
      </w:r>
      <w:r w:rsidR="001638F7" w:rsidRPr="001638F7">
        <w:rPr>
          <w:rFonts w:ascii="Arial" w:eastAsia="Times New Roman" w:hAnsi="Arial" w:cs="Arial"/>
          <w:kern w:val="0"/>
          <w:lang w:eastAsia="en-GB"/>
          <w14:ligatures w14:val="none"/>
        </w:rPr>
        <w:t>According to Bucholz and Sheffler (2009), classroom wellness promotes emotional security and fosters a positive learning environment.</w:t>
      </w:r>
    </w:p>
    <w:p w14:paraId="6A9AB8A0" w14:textId="7639EFC1" w:rsidR="00600836" w:rsidRDefault="00600836" w:rsidP="00783CDA">
      <w:pPr>
        <w:spacing w:line="360" w:lineRule="auto"/>
        <w:ind w:firstLine="720"/>
        <w:rPr>
          <w:rFonts w:ascii="Arial" w:hAnsi="Arial" w:cs="Arial"/>
          <w:shd w:val="clear" w:color="auto" w:fill="FFFFFF"/>
        </w:rPr>
      </w:pPr>
      <w:r w:rsidRPr="00600836">
        <w:rPr>
          <w:rFonts w:ascii="Arial" w:hAnsi="Arial" w:cs="Arial"/>
          <w:shd w:val="clear" w:color="auto" w:fill="FFFFFF"/>
        </w:rPr>
        <w:t>Emphasi</w:t>
      </w:r>
      <w:r>
        <w:rPr>
          <w:rFonts w:ascii="Arial" w:hAnsi="Arial" w:cs="Arial"/>
          <w:shd w:val="clear" w:color="auto" w:fill="FFFFFF"/>
        </w:rPr>
        <w:t>s</w:t>
      </w:r>
      <w:r w:rsidRPr="00600836">
        <w:rPr>
          <w:rFonts w:ascii="Arial" w:hAnsi="Arial" w:cs="Arial"/>
          <w:shd w:val="clear" w:color="auto" w:fill="FFFFFF"/>
        </w:rPr>
        <w:t>ing the significance of play</w:t>
      </w:r>
      <w:r w:rsidR="005575FB">
        <w:rPr>
          <w:rFonts w:ascii="Arial" w:hAnsi="Arial" w:cs="Arial"/>
          <w:shd w:val="clear" w:color="auto" w:fill="FFFFFF"/>
        </w:rPr>
        <w:t xml:space="preserve"> and well-being</w:t>
      </w:r>
      <w:r w:rsidRPr="00600836">
        <w:rPr>
          <w:rFonts w:ascii="Arial" w:hAnsi="Arial" w:cs="Arial"/>
          <w:shd w:val="clear" w:color="auto" w:fill="FFFFFF"/>
        </w:rPr>
        <w:t>, Article 31 of the United Nations Convention on the Rights of the Child asserts children's inherent right to engage in play as a fundamental aspect of their development and well-being</w:t>
      </w:r>
      <w:r w:rsidR="005575FB">
        <w:rPr>
          <w:rFonts w:ascii="Arial" w:hAnsi="Arial" w:cs="Arial"/>
          <w:shd w:val="clear" w:color="auto" w:fill="FFFFFF"/>
        </w:rPr>
        <w:t xml:space="preserve"> (UNCRC, 2018)</w:t>
      </w:r>
      <w:r w:rsidRPr="00600836">
        <w:rPr>
          <w:rFonts w:ascii="Arial" w:hAnsi="Arial" w:cs="Arial"/>
          <w:shd w:val="clear" w:color="auto" w:fill="FFFFFF"/>
        </w:rPr>
        <w:t>.</w:t>
      </w:r>
      <w:r>
        <w:rPr>
          <w:rFonts w:ascii="Arial" w:hAnsi="Arial" w:cs="Arial"/>
          <w:shd w:val="clear" w:color="auto" w:fill="FFFFFF"/>
        </w:rPr>
        <w:t xml:space="preserve"> </w:t>
      </w:r>
      <w:r w:rsidRPr="00600836">
        <w:rPr>
          <w:rFonts w:ascii="Arial" w:hAnsi="Arial" w:cs="Arial"/>
          <w:shd w:val="clear" w:color="auto" w:fill="FFFFFF"/>
        </w:rPr>
        <w:t>“The right to play is a child’s first claim on the community. Play is nature’s training for life. No community can infringe that right without doing deep and enduring harm to the minds and beliefs of its citi</w:t>
      </w:r>
      <w:r w:rsidR="00FA5D43">
        <w:rPr>
          <w:rFonts w:ascii="Arial" w:hAnsi="Arial" w:cs="Arial"/>
          <w:shd w:val="clear" w:color="auto" w:fill="FFFFFF"/>
        </w:rPr>
        <w:t>z</w:t>
      </w:r>
      <w:r w:rsidRPr="00600836">
        <w:rPr>
          <w:rFonts w:ascii="Arial" w:hAnsi="Arial" w:cs="Arial"/>
          <w:shd w:val="clear" w:color="auto" w:fill="FFFFFF"/>
        </w:rPr>
        <w:t>ens</w:t>
      </w:r>
      <w:r>
        <w:rPr>
          <w:rFonts w:ascii="Arial" w:hAnsi="Arial" w:cs="Arial"/>
          <w:shd w:val="clear" w:color="auto" w:fill="FFFFFF"/>
        </w:rPr>
        <w:t xml:space="preserve">” </w:t>
      </w:r>
      <w:r w:rsidR="004F56F1">
        <w:rPr>
          <w:rFonts w:ascii="Arial" w:hAnsi="Arial" w:cs="Arial"/>
          <w:shd w:val="clear" w:color="auto" w:fill="FFFFFF"/>
        </w:rPr>
        <w:t xml:space="preserve">stated by George in 1925 (GOV, 2016). Relating to George </w:t>
      </w:r>
      <w:r w:rsidR="00DB55A5">
        <w:rPr>
          <w:rFonts w:ascii="Arial" w:hAnsi="Arial" w:cs="Arial"/>
          <w:shd w:val="clear" w:color="auto" w:fill="FFFFFF"/>
        </w:rPr>
        <w:t xml:space="preserve">(1925) </w:t>
      </w:r>
      <w:r w:rsidR="004F56F1">
        <w:rPr>
          <w:rFonts w:ascii="Arial" w:hAnsi="Arial" w:cs="Arial"/>
          <w:shd w:val="clear" w:color="auto" w:fill="FFFFFF"/>
        </w:rPr>
        <w:t>statement the Welsh Government have a very similar outlook on play and mentioned that r</w:t>
      </w:r>
      <w:r w:rsidR="004F56F1" w:rsidRPr="004F56F1">
        <w:rPr>
          <w:rFonts w:ascii="Arial" w:hAnsi="Arial" w:cs="Arial"/>
          <w:shd w:val="clear" w:color="auto" w:fill="FFFFFF"/>
        </w:rPr>
        <w:t>ecogni</w:t>
      </w:r>
      <w:r w:rsidR="004F56F1">
        <w:rPr>
          <w:rFonts w:ascii="Arial" w:hAnsi="Arial" w:cs="Arial"/>
          <w:shd w:val="clear" w:color="auto" w:fill="FFFFFF"/>
        </w:rPr>
        <w:t>s</w:t>
      </w:r>
      <w:r w:rsidR="004F56F1" w:rsidRPr="004F56F1">
        <w:rPr>
          <w:rFonts w:ascii="Arial" w:hAnsi="Arial" w:cs="Arial"/>
          <w:shd w:val="clear" w:color="auto" w:fill="FFFFFF"/>
        </w:rPr>
        <w:t>ing the multifaceted benefits of play in children's development, it is imperative for society to prioriti</w:t>
      </w:r>
      <w:r w:rsidR="00FA5D43">
        <w:rPr>
          <w:rFonts w:ascii="Arial" w:hAnsi="Arial" w:cs="Arial"/>
          <w:shd w:val="clear" w:color="auto" w:fill="FFFFFF"/>
        </w:rPr>
        <w:t>s</w:t>
      </w:r>
      <w:r w:rsidR="004F56F1" w:rsidRPr="004F56F1">
        <w:rPr>
          <w:rFonts w:ascii="Arial" w:hAnsi="Arial" w:cs="Arial"/>
          <w:shd w:val="clear" w:color="auto" w:fill="FFFFFF"/>
        </w:rPr>
        <w:t xml:space="preserve">e and support opportunities for play in all aspects of children's lives. Decision-making processes at every level of government should consider the impact of policies and initiatives on children's access to play. By creating environments that foster and encourage play, society can promote the holistic development of children's physical, social, mental, </w:t>
      </w:r>
      <w:r w:rsidR="004F56F1" w:rsidRPr="004F56F1">
        <w:rPr>
          <w:rFonts w:ascii="Arial" w:hAnsi="Arial" w:cs="Arial"/>
          <w:shd w:val="clear" w:color="auto" w:fill="FFFFFF"/>
        </w:rPr>
        <w:lastRenderedPageBreak/>
        <w:t>emotional, and creative skills, laying the foundation for a healthier and more vibrant future generation</w:t>
      </w:r>
      <w:r w:rsidR="004F56F1">
        <w:rPr>
          <w:rFonts w:ascii="Arial" w:hAnsi="Arial" w:cs="Arial"/>
          <w:shd w:val="clear" w:color="auto" w:fill="FFFFFF"/>
        </w:rPr>
        <w:t xml:space="preserve"> (GOV, 2014).</w:t>
      </w:r>
    </w:p>
    <w:p w14:paraId="7AEDB279" w14:textId="4195E179" w:rsidR="003239E9" w:rsidRPr="003239E9" w:rsidRDefault="00CA24F6" w:rsidP="00783CDA">
      <w:pPr>
        <w:spacing w:line="360" w:lineRule="auto"/>
        <w:ind w:firstLine="720"/>
        <w:rPr>
          <w:rFonts w:ascii="Arial" w:eastAsia="Times New Roman" w:hAnsi="Arial" w:cs="Arial"/>
          <w:kern w:val="0"/>
          <w:lang w:eastAsia="en-GB"/>
          <w14:ligatures w14:val="none"/>
        </w:rPr>
      </w:pPr>
      <w:r w:rsidRPr="003239E9">
        <w:rPr>
          <w:rFonts w:ascii="Arial" w:hAnsi="Arial" w:cs="Arial"/>
          <w:shd w:val="clear" w:color="auto" w:fill="FFFFFF"/>
        </w:rPr>
        <w:t xml:space="preserve">In an article by </w:t>
      </w:r>
      <w:proofErr w:type="gramStart"/>
      <w:r w:rsidRPr="003239E9">
        <w:rPr>
          <w:rFonts w:ascii="Arial" w:hAnsi="Arial" w:cs="Arial"/>
          <w:shd w:val="clear" w:color="auto" w:fill="FFFFFF"/>
        </w:rPr>
        <w:t>UNICEF</w:t>
      </w:r>
      <w:proofErr w:type="gramEnd"/>
      <w:r w:rsidRPr="003239E9">
        <w:rPr>
          <w:rFonts w:ascii="Arial" w:hAnsi="Arial" w:cs="Arial"/>
          <w:shd w:val="clear" w:color="auto" w:fill="FFFFFF"/>
        </w:rPr>
        <w:t xml:space="preserve"> it was reflected on that </w:t>
      </w:r>
      <w:r w:rsidRPr="003239E9">
        <w:rPr>
          <w:rFonts w:ascii="Arial" w:hAnsi="Arial" w:cs="Arial"/>
          <w:color w:val="0D0D0D"/>
          <w:shd w:val="clear" w:color="auto" w:fill="FFFFFF"/>
        </w:rPr>
        <w:t xml:space="preserve">play serves as the primary mode through which young children absorb knowledge and understand their surroundings. </w:t>
      </w:r>
      <w:r w:rsidR="00F650F3" w:rsidRPr="003239E9">
        <w:rPr>
          <w:rFonts w:ascii="Arial" w:hAnsi="Arial" w:cs="Arial"/>
          <w:color w:val="0D0D0D"/>
          <w:shd w:val="clear" w:color="auto" w:fill="FFFFFF"/>
        </w:rPr>
        <w:t>During</w:t>
      </w:r>
      <w:r w:rsidRPr="003239E9">
        <w:rPr>
          <w:rFonts w:ascii="Arial" w:hAnsi="Arial" w:cs="Arial"/>
          <w:color w:val="0D0D0D"/>
          <w:shd w:val="clear" w:color="auto" w:fill="FFFFFF"/>
        </w:rPr>
        <w:t xml:space="preserve"> enjoyment, they actively develop essential motor, cognitive, social, and emotional skills. However, the impact of play goes beyond early learning; it is also a critical factor in fostering children's mental well-being, shaping their resilience and emotional stability for the future (UNICEF, </w:t>
      </w:r>
      <w:r w:rsidR="00F650F3" w:rsidRPr="003239E9">
        <w:rPr>
          <w:rFonts w:ascii="Arial" w:hAnsi="Arial" w:cs="Arial"/>
          <w:color w:val="0D0D0D"/>
          <w:shd w:val="clear" w:color="auto" w:fill="FFFFFF"/>
        </w:rPr>
        <w:t xml:space="preserve">2024). Vygotsky (1978) recognised for its profound impact on child development, play serves as a catalyst for fostering language acquisition, cognitive growth, self-awareness, and emotional regulation. </w:t>
      </w:r>
      <w:r w:rsidR="003239E9">
        <w:rPr>
          <w:rFonts w:ascii="Arial" w:hAnsi="Arial" w:cs="Arial"/>
          <w:color w:val="0D0D0D"/>
          <w:shd w:val="clear" w:color="auto" w:fill="FFFFFF"/>
        </w:rPr>
        <w:t xml:space="preserve">In a journal created by </w:t>
      </w:r>
      <w:proofErr w:type="spellStart"/>
      <w:r w:rsidR="003239E9">
        <w:rPr>
          <w:rFonts w:ascii="Arial" w:hAnsi="Arial" w:cs="Arial"/>
          <w:color w:val="0D0D0D"/>
          <w:shd w:val="clear" w:color="auto" w:fill="FFFFFF"/>
        </w:rPr>
        <w:t>Bodrova</w:t>
      </w:r>
      <w:proofErr w:type="spellEnd"/>
      <w:r w:rsidR="003239E9">
        <w:rPr>
          <w:rFonts w:ascii="Arial" w:hAnsi="Arial" w:cs="Arial"/>
          <w:color w:val="0D0D0D"/>
          <w:shd w:val="clear" w:color="auto" w:fill="FFFFFF"/>
        </w:rPr>
        <w:t xml:space="preserve"> and Leong (2015) they found that </w:t>
      </w:r>
      <w:r w:rsidR="003239E9">
        <w:rPr>
          <w:rFonts w:ascii="Arial" w:eastAsia="Times New Roman" w:hAnsi="Arial" w:cs="Arial"/>
          <w:kern w:val="0"/>
          <w:lang w:eastAsia="en-GB"/>
          <w14:ligatures w14:val="none"/>
        </w:rPr>
        <w:t>w</w:t>
      </w:r>
      <w:r w:rsidR="003239E9" w:rsidRPr="003239E9">
        <w:rPr>
          <w:rFonts w:ascii="Arial" w:eastAsia="Times New Roman" w:hAnsi="Arial" w:cs="Arial"/>
          <w:kern w:val="0"/>
          <w:lang w:eastAsia="en-GB"/>
          <w14:ligatures w14:val="none"/>
        </w:rPr>
        <w:t>hile Vygotsky's theory provides a theoretical framework for understanding the role of play in learning, there is no empirical evidence tying play to specific outcomes related to students' well-being. Studies on the association between play and well-being frequently rely on correlational or observational data, making it difficult to demonstrate causality</w:t>
      </w:r>
      <w:r w:rsidR="003239E9">
        <w:rPr>
          <w:rFonts w:ascii="Arial" w:eastAsia="Times New Roman" w:hAnsi="Arial" w:cs="Arial"/>
          <w:kern w:val="0"/>
          <w:lang w:eastAsia="en-GB"/>
          <w14:ligatures w14:val="none"/>
        </w:rPr>
        <w:t xml:space="preserve"> (</w:t>
      </w:r>
      <w:proofErr w:type="spellStart"/>
      <w:r w:rsidR="003239E9">
        <w:rPr>
          <w:rFonts w:ascii="Arial" w:eastAsia="Times New Roman" w:hAnsi="Arial" w:cs="Arial"/>
          <w:kern w:val="0"/>
          <w:lang w:eastAsia="en-GB"/>
          <w14:ligatures w14:val="none"/>
        </w:rPr>
        <w:t>Bodrova</w:t>
      </w:r>
      <w:proofErr w:type="spellEnd"/>
      <w:r w:rsidR="003239E9">
        <w:rPr>
          <w:rFonts w:ascii="Arial" w:eastAsia="Times New Roman" w:hAnsi="Arial" w:cs="Arial"/>
          <w:kern w:val="0"/>
          <w:lang w:eastAsia="en-GB"/>
          <w14:ligatures w14:val="none"/>
        </w:rPr>
        <w:t xml:space="preserve"> and Leong, 2015).</w:t>
      </w:r>
    </w:p>
    <w:p w14:paraId="0D7A503B" w14:textId="69FEE8C0" w:rsidR="00CA24F6" w:rsidRDefault="00F650F3" w:rsidP="00783CDA">
      <w:pPr>
        <w:spacing w:line="360" w:lineRule="auto"/>
        <w:ind w:firstLine="720"/>
        <w:rPr>
          <w:rFonts w:ascii="Arial" w:hAnsi="Arial" w:cs="Arial"/>
          <w:color w:val="0D0D0D"/>
          <w:shd w:val="clear" w:color="auto" w:fill="FFFFFF"/>
        </w:rPr>
      </w:pPr>
      <w:r w:rsidRPr="00F650F3">
        <w:rPr>
          <w:rFonts w:ascii="Arial" w:hAnsi="Arial" w:cs="Arial"/>
          <w:color w:val="0D0D0D"/>
          <w:shd w:val="clear" w:color="auto" w:fill="FFFFFF"/>
        </w:rPr>
        <w:t xml:space="preserve">Considering </w:t>
      </w:r>
      <w:r w:rsidR="00CE5A4E">
        <w:rPr>
          <w:rFonts w:ascii="Arial" w:hAnsi="Arial" w:cs="Arial"/>
          <w:color w:val="0D0D0D"/>
          <w:shd w:val="clear" w:color="auto" w:fill="FFFFFF"/>
        </w:rPr>
        <w:t>neurological research</w:t>
      </w:r>
      <w:r w:rsidRPr="00F650F3">
        <w:rPr>
          <w:rFonts w:ascii="Arial" w:hAnsi="Arial" w:cs="Arial"/>
          <w:color w:val="0D0D0D"/>
          <w:shd w:val="clear" w:color="auto" w:fill="FFFFFF"/>
        </w:rPr>
        <w:t>, it has been revealed that play exerts a significant influence on the development of the prefrontal cortex, a region of the brain associated with higher-order cognitive functions. Moreover, play has been shown to enhance the production of a key protein responsible for fostering the formation of new neurons and synapses, thereby facilitating neural growth and connectivity</w:t>
      </w:r>
      <w:r>
        <w:rPr>
          <w:rFonts w:ascii="Arial" w:hAnsi="Arial" w:cs="Arial"/>
          <w:color w:val="0D0D0D"/>
          <w:shd w:val="clear" w:color="auto" w:fill="FFFFFF"/>
        </w:rPr>
        <w:t xml:space="preserve"> (Gorden </w:t>
      </w:r>
      <w:r>
        <w:rPr>
          <w:rFonts w:ascii="Arial" w:hAnsi="Arial" w:cs="Arial"/>
          <w:i/>
          <w:iCs/>
          <w:color w:val="0D0D0D"/>
          <w:shd w:val="clear" w:color="auto" w:fill="FFFFFF"/>
        </w:rPr>
        <w:t xml:space="preserve">et al., </w:t>
      </w:r>
      <w:r>
        <w:rPr>
          <w:rFonts w:ascii="Arial" w:hAnsi="Arial" w:cs="Arial"/>
          <w:color w:val="0D0D0D"/>
          <w:shd w:val="clear" w:color="auto" w:fill="FFFFFF"/>
        </w:rPr>
        <w:t>2003)</w:t>
      </w:r>
      <w:r w:rsidRPr="00F650F3">
        <w:rPr>
          <w:rFonts w:ascii="Arial" w:hAnsi="Arial" w:cs="Arial"/>
          <w:color w:val="0D0D0D"/>
          <w:shd w:val="clear" w:color="auto" w:fill="FFFFFF"/>
        </w:rPr>
        <w:t>. This aligns with the sociocultural theory proposed by Vygotsky, which emphasi</w:t>
      </w:r>
      <w:r w:rsidR="00FA5D43">
        <w:rPr>
          <w:rFonts w:ascii="Arial" w:hAnsi="Arial" w:cs="Arial"/>
          <w:color w:val="0D0D0D"/>
          <w:shd w:val="clear" w:color="auto" w:fill="FFFFFF"/>
        </w:rPr>
        <w:t>s</w:t>
      </w:r>
      <w:r w:rsidRPr="00F650F3">
        <w:rPr>
          <w:rFonts w:ascii="Arial" w:hAnsi="Arial" w:cs="Arial"/>
          <w:color w:val="0D0D0D"/>
          <w:shd w:val="clear" w:color="auto" w:fill="FFFFFF"/>
        </w:rPr>
        <w:t>es the role of social interactions and cultural influences in shaping cognitive development. Vygotsky posited that play serves as a zone of proximal development, where children engage in activities that are just beyond their current level of competence with the support of more knowledgeable peers or adults. Similarly, the neurological findings underscore the notion that play provides a fertile ground for brain plasticity, allowing children to explore and expand their cognitive abilities through meaningful and stimulating experiences</w:t>
      </w:r>
      <w:r>
        <w:rPr>
          <w:rFonts w:ascii="Arial" w:hAnsi="Arial" w:cs="Arial"/>
          <w:color w:val="0D0D0D"/>
          <w:shd w:val="clear" w:color="auto" w:fill="FFFFFF"/>
        </w:rPr>
        <w:t xml:space="preserve"> (Vygotsky, 1978).</w:t>
      </w:r>
    </w:p>
    <w:p w14:paraId="4EB55F7A" w14:textId="0A56D5A6" w:rsidR="00CE5A4E" w:rsidRPr="00027062" w:rsidRDefault="00CE5A4E" w:rsidP="00783CDA">
      <w:pPr>
        <w:spacing w:line="360" w:lineRule="auto"/>
        <w:ind w:firstLine="720"/>
        <w:rPr>
          <w:rFonts w:ascii="Arial" w:hAnsi="Arial" w:cs="Arial"/>
          <w:color w:val="0D0D0D"/>
          <w:shd w:val="clear" w:color="auto" w:fill="FFFFFF"/>
        </w:rPr>
      </w:pPr>
      <w:r w:rsidRPr="00CE5A4E">
        <w:rPr>
          <w:rFonts w:ascii="Arial" w:hAnsi="Arial" w:cs="Arial"/>
          <w:color w:val="0D0D0D"/>
          <w:shd w:val="clear" w:color="auto" w:fill="FFFFFF"/>
        </w:rPr>
        <w:t>Both UNICEF</w:t>
      </w:r>
      <w:r>
        <w:rPr>
          <w:rFonts w:ascii="Arial" w:hAnsi="Arial" w:cs="Arial"/>
          <w:color w:val="0D0D0D"/>
          <w:shd w:val="clear" w:color="auto" w:fill="FFFFFF"/>
        </w:rPr>
        <w:t xml:space="preserve"> (2024)</w:t>
      </w:r>
      <w:r w:rsidRPr="00CE5A4E">
        <w:rPr>
          <w:rFonts w:ascii="Arial" w:hAnsi="Arial" w:cs="Arial"/>
          <w:color w:val="0D0D0D"/>
          <w:shd w:val="clear" w:color="auto" w:fill="FFFFFF"/>
        </w:rPr>
        <w:t xml:space="preserve"> and Vygotsky </w:t>
      </w:r>
      <w:r>
        <w:rPr>
          <w:rFonts w:ascii="Arial" w:hAnsi="Arial" w:cs="Arial"/>
          <w:color w:val="0D0D0D"/>
          <w:shd w:val="clear" w:color="auto" w:fill="FFFFFF"/>
        </w:rPr>
        <w:t xml:space="preserve">(1978) </w:t>
      </w:r>
      <w:r w:rsidRPr="00CE5A4E">
        <w:rPr>
          <w:rFonts w:ascii="Arial" w:hAnsi="Arial" w:cs="Arial"/>
          <w:color w:val="0D0D0D"/>
          <w:shd w:val="clear" w:color="auto" w:fill="FFFFFF"/>
        </w:rPr>
        <w:t>underscore the critical link between positive play and children's overall well-being. UNICEF's emphasis on the neurological and mental health benefits of play aligns with the notion that positive play experiences contribute significantly to fostering children's resilience and emotional well-being. By engaging in enjoyable and stimulating play activities, children develop coping mechanisms, build confidence, and learn to regulate their emotions effectively, thereby enhancing their overall sense of well-being. Vygotsky's</w:t>
      </w:r>
      <w:r>
        <w:rPr>
          <w:rFonts w:ascii="Arial" w:hAnsi="Arial" w:cs="Arial"/>
          <w:color w:val="0D0D0D"/>
          <w:shd w:val="clear" w:color="auto" w:fill="FFFFFF"/>
        </w:rPr>
        <w:t xml:space="preserve"> (1978)</w:t>
      </w:r>
      <w:r w:rsidRPr="00CE5A4E">
        <w:rPr>
          <w:rFonts w:ascii="Arial" w:hAnsi="Arial" w:cs="Arial"/>
          <w:color w:val="0D0D0D"/>
          <w:shd w:val="clear" w:color="auto" w:fill="FFFFFF"/>
        </w:rPr>
        <w:t xml:space="preserve"> sociocultural perspective further emphasi</w:t>
      </w:r>
      <w:r w:rsidR="00FA5D43">
        <w:rPr>
          <w:rFonts w:ascii="Arial" w:hAnsi="Arial" w:cs="Arial"/>
          <w:color w:val="0D0D0D"/>
          <w:shd w:val="clear" w:color="auto" w:fill="FFFFFF"/>
        </w:rPr>
        <w:t>s</w:t>
      </w:r>
      <w:r w:rsidRPr="00CE5A4E">
        <w:rPr>
          <w:rFonts w:ascii="Arial" w:hAnsi="Arial" w:cs="Arial"/>
          <w:color w:val="0D0D0D"/>
          <w:shd w:val="clear" w:color="auto" w:fill="FFFFFF"/>
        </w:rPr>
        <w:t xml:space="preserve">es the role of play in scaffolding learning through social interactions and cultural influences. Positive </w:t>
      </w:r>
      <w:r w:rsidRPr="00CE5A4E">
        <w:rPr>
          <w:rFonts w:ascii="Arial" w:hAnsi="Arial" w:cs="Arial"/>
          <w:color w:val="0D0D0D"/>
          <w:shd w:val="clear" w:color="auto" w:fill="FFFFFF"/>
        </w:rPr>
        <w:lastRenderedPageBreak/>
        <w:t xml:space="preserve">play experiences not only promote cognitive growth but also foster social skills, empathy, and a sense of belonging, all of which are essential components of well-being. Additionally, the inclusion </w:t>
      </w:r>
      <w:r w:rsidR="00027062" w:rsidRPr="00CE5A4E">
        <w:rPr>
          <w:rFonts w:ascii="Arial" w:hAnsi="Arial" w:cs="Arial"/>
          <w:color w:val="0D0D0D"/>
          <w:shd w:val="clear" w:color="auto" w:fill="FFFFFF"/>
        </w:rPr>
        <w:t>of George</w:t>
      </w:r>
      <w:r>
        <w:rPr>
          <w:rFonts w:ascii="Arial" w:hAnsi="Arial" w:cs="Arial"/>
          <w:color w:val="0D0D0D"/>
          <w:shd w:val="clear" w:color="auto" w:fill="FFFFFF"/>
        </w:rPr>
        <w:t xml:space="preserve"> (1925)</w:t>
      </w:r>
      <w:r w:rsidRPr="00CE5A4E">
        <w:rPr>
          <w:rFonts w:ascii="Arial" w:hAnsi="Arial" w:cs="Arial"/>
          <w:color w:val="0D0D0D"/>
          <w:shd w:val="clear" w:color="auto" w:fill="FFFFFF"/>
        </w:rPr>
        <w:t xml:space="preserve"> statement and the Welsh Government</w:t>
      </w:r>
      <w:r>
        <w:rPr>
          <w:rFonts w:ascii="Arial" w:hAnsi="Arial" w:cs="Arial"/>
          <w:color w:val="0D0D0D"/>
          <w:shd w:val="clear" w:color="auto" w:fill="FFFFFF"/>
        </w:rPr>
        <w:t xml:space="preserve"> (2014) </w:t>
      </w:r>
      <w:r w:rsidRPr="00CE5A4E">
        <w:rPr>
          <w:rFonts w:ascii="Arial" w:hAnsi="Arial" w:cs="Arial"/>
          <w:color w:val="0D0D0D"/>
          <w:shd w:val="clear" w:color="auto" w:fill="FFFFFF"/>
        </w:rPr>
        <w:t>advocacy for prioriti</w:t>
      </w:r>
      <w:r w:rsidR="00FA5D43">
        <w:rPr>
          <w:rFonts w:ascii="Arial" w:hAnsi="Arial" w:cs="Arial"/>
          <w:color w:val="0D0D0D"/>
          <w:shd w:val="clear" w:color="auto" w:fill="FFFFFF"/>
        </w:rPr>
        <w:t>s</w:t>
      </w:r>
      <w:r w:rsidRPr="00CE5A4E">
        <w:rPr>
          <w:rFonts w:ascii="Arial" w:hAnsi="Arial" w:cs="Arial"/>
          <w:color w:val="0D0D0D"/>
          <w:shd w:val="clear" w:color="auto" w:fill="FFFFFF"/>
        </w:rPr>
        <w:t>ing play highlight the societal recognition of play as a fundamental aspect of children's well-being. In essence, the collective evidence suggests that positive play experiences play a vital role in promoting pupils' well-being by nurturing their physical, social, emotional, and cognitive development</w:t>
      </w:r>
      <w:r w:rsidR="00027062">
        <w:rPr>
          <w:rFonts w:ascii="Arial" w:hAnsi="Arial" w:cs="Arial"/>
          <w:color w:val="0D0D0D"/>
          <w:shd w:val="clear" w:color="auto" w:fill="FFFFFF"/>
        </w:rPr>
        <w:t xml:space="preserve"> (Vygotsky, 1978; GOV, 2014; George, 1925; and Gorden </w:t>
      </w:r>
      <w:r w:rsidR="00027062">
        <w:rPr>
          <w:rFonts w:ascii="Arial" w:hAnsi="Arial" w:cs="Arial"/>
          <w:i/>
          <w:iCs/>
          <w:color w:val="0D0D0D"/>
          <w:shd w:val="clear" w:color="auto" w:fill="FFFFFF"/>
        </w:rPr>
        <w:t xml:space="preserve">et al, </w:t>
      </w:r>
      <w:r w:rsidR="00027062">
        <w:rPr>
          <w:rFonts w:ascii="Arial" w:hAnsi="Arial" w:cs="Arial"/>
          <w:color w:val="0D0D0D"/>
          <w:shd w:val="clear" w:color="auto" w:fill="FFFFFF"/>
        </w:rPr>
        <w:t>2003).</w:t>
      </w:r>
    </w:p>
    <w:p w14:paraId="346116D7" w14:textId="20A66624" w:rsidR="00A908E5" w:rsidRPr="00F37A1C" w:rsidRDefault="00A908E5" w:rsidP="00DB55A5">
      <w:pPr>
        <w:spacing w:line="360" w:lineRule="auto"/>
        <w:rPr>
          <w:rFonts w:ascii="Arial" w:hAnsi="Arial" w:cs="Arial"/>
          <w:b/>
          <w:bCs/>
          <w:color w:val="0D0D0D"/>
          <w:shd w:val="clear" w:color="auto" w:fill="FFFFFF"/>
        </w:rPr>
      </w:pPr>
      <w:r w:rsidRPr="00F37A1C">
        <w:rPr>
          <w:rFonts w:ascii="Arial" w:hAnsi="Arial" w:cs="Arial"/>
          <w:b/>
          <w:bCs/>
          <w:color w:val="0D0D0D"/>
          <w:shd w:val="clear" w:color="auto" w:fill="FFFFFF"/>
        </w:rPr>
        <w:t>Case study</w:t>
      </w:r>
    </w:p>
    <w:p w14:paraId="0E5A7A47" w14:textId="0659D1FB" w:rsidR="00A908E5" w:rsidRDefault="00A908E5" w:rsidP="00783CDA">
      <w:pPr>
        <w:spacing w:line="360" w:lineRule="auto"/>
        <w:ind w:firstLine="720"/>
        <w:rPr>
          <w:rFonts w:ascii="Arial" w:eastAsia="Times New Roman" w:hAnsi="Arial" w:cs="Arial"/>
          <w:kern w:val="0"/>
          <w:lang w:eastAsia="en-GB"/>
          <w14:ligatures w14:val="none"/>
        </w:rPr>
      </w:pPr>
      <w:r w:rsidRPr="00A908E5">
        <w:rPr>
          <w:rFonts w:ascii="Arial" w:hAnsi="Arial" w:cs="Arial"/>
          <w:color w:val="0D0D0D"/>
          <w:shd w:val="clear" w:color="auto" w:fill="FFFFFF"/>
        </w:rPr>
        <w:t xml:space="preserve">According to Cherry (2024) and Raiker (2024) </w:t>
      </w:r>
      <w:r w:rsidR="00522CC0">
        <w:rPr>
          <w:rFonts w:ascii="Arial" w:eastAsia="Times New Roman" w:hAnsi="Arial" w:cs="Arial"/>
          <w:kern w:val="0"/>
          <w:lang w:eastAsia="en-GB"/>
          <w14:ligatures w14:val="none"/>
        </w:rPr>
        <w:t xml:space="preserve">a </w:t>
      </w:r>
      <w:r w:rsidRPr="00A908E5">
        <w:rPr>
          <w:rFonts w:ascii="Arial" w:eastAsia="Times New Roman" w:hAnsi="Arial" w:cs="Arial"/>
          <w:kern w:val="0"/>
          <w:lang w:eastAsia="en-GB"/>
          <w14:ligatures w14:val="none"/>
        </w:rPr>
        <w:t>case study is a research method that delves deeply into one individual, group, or phenomenon. It entails a thorough investigation of a specific case or example in its real-world setting to acquire insights into underlying concepts, processes, or behaviours. Case studies frequently entail the collection and analysis of a variety of data, such as interviews, observations, documents, and artefacts. They are widely used in psychology, sociology, education, business, and medicine to investigate complicated situations, produce hypotheses, and guide theory development. Case studies can provide rich, thorough descriptions while also providing useful insights into the intricacies of real-world situations, making them an effective tool for both research and practical applications.</w:t>
      </w:r>
    </w:p>
    <w:p w14:paraId="749631EB" w14:textId="1D0FB509" w:rsidR="00B073E6" w:rsidRDefault="00522CC0" w:rsidP="00783CDA">
      <w:pPr>
        <w:spacing w:line="360" w:lineRule="auto"/>
        <w:ind w:firstLine="720"/>
        <w:rPr>
          <w:rFonts w:ascii="Arial" w:eastAsia="Times New Roman" w:hAnsi="Arial" w:cs="Arial"/>
          <w:kern w:val="0"/>
          <w:lang w:eastAsia="en-GB"/>
          <w14:ligatures w14:val="none"/>
        </w:rPr>
      </w:pPr>
      <w:r w:rsidRPr="00B073E6">
        <w:rPr>
          <w:rFonts w:ascii="Arial" w:eastAsia="Times New Roman" w:hAnsi="Arial" w:cs="Arial"/>
          <w:kern w:val="0"/>
          <w:lang w:eastAsia="en-GB"/>
          <w14:ligatures w14:val="none"/>
        </w:rPr>
        <w:t xml:space="preserve">This research project is an exploratory case study, </w:t>
      </w:r>
      <w:r w:rsidR="00B073E6" w:rsidRPr="00B073E6">
        <w:rPr>
          <w:rFonts w:ascii="Arial" w:eastAsia="Times New Roman" w:hAnsi="Arial" w:cs="Arial"/>
          <w:kern w:val="0"/>
          <w:lang w:eastAsia="en-GB"/>
          <w14:ligatures w14:val="none"/>
        </w:rPr>
        <w:t xml:space="preserve">Yin (2013) explained that </w:t>
      </w:r>
      <w:r w:rsidR="00B073E6">
        <w:rPr>
          <w:rFonts w:ascii="Arial" w:eastAsia="Times New Roman" w:hAnsi="Arial" w:cs="Arial"/>
          <w:kern w:val="0"/>
          <w:lang w:eastAsia="en-GB"/>
          <w14:ligatures w14:val="none"/>
        </w:rPr>
        <w:t>e</w:t>
      </w:r>
      <w:r w:rsidR="00B073E6" w:rsidRPr="00B073E6">
        <w:rPr>
          <w:rFonts w:ascii="Arial" w:eastAsia="Times New Roman" w:hAnsi="Arial" w:cs="Arial"/>
          <w:kern w:val="0"/>
          <w:lang w:eastAsia="en-GB"/>
          <w14:ligatures w14:val="none"/>
        </w:rPr>
        <w:t>xploratory case studies are especially beneficial when the intervention being examined lacks a specified or well-defined set of outcomes. Instead, they enable researchers to investigate complex scenarios in which several variables and factors interact, influencing outcomes in a variety of ways. Researchers can collect rich qualitative data by performing exploratory case studies, which reveal nuances and trends that were previously unknown. This technique allows for a more in-depth understanding of the intervention's effects and the underlying mechanisms at work, resulting in better informed decision-making and the refining of future interventions or policie</w:t>
      </w:r>
      <w:r w:rsidR="005834FE">
        <w:rPr>
          <w:rFonts w:ascii="Arial" w:eastAsia="Times New Roman" w:hAnsi="Arial" w:cs="Arial"/>
          <w:kern w:val="0"/>
          <w:lang w:eastAsia="en-GB"/>
          <w14:ligatures w14:val="none"/>
        </w:rPr>
        <w:t xml:space="preserve">s (Yin, 2013). </w:t>
      </w:r>
    </w:p>
    <w:p w14:paraId="7DF5BC88" w14:textId="224C2A08" w:rsidR="005834FE" w:rsidRDefault="009F1603" w:rsidP="00783CDA">
      <w:pPr>
        <w:spacing w:line="360" w:lineRule="auto"/>
        <w:ind w:firstLine="720"/>
        <w:rPr>
          <w:rFonts w:ascii="Arial" w:hAnsi="Arial" w:cs="Arial"/>
          <w:shd w:val="clear" w:color="auto" w:fill="FFFFFF"/>
        </w:rPr>
      </w:pPr>
      <w:r w:rsidRPr="009F1603">
        <w:rPr>
          <w:rFonts w:ascii="Arial" w:eastAsia="Times New Roman" w:hAnsi="Arial" w:cs="Arial"/>
          <w:kern w:val="0"/>
          <w:lang w:eastAsia="en-GB"/>
          <w14:ligatures w14:val="none"/>
        </w:rPr>
        <w:t xml:space="preserve">There are both strengths and limitations with a case study, a strength stated by </w:t>
      </w:r>
      <w:r w:rsidRPr="009F1603">
        <w:rPr>
          <w:rFonts w:ascii="Arial" w:hAnsi="Arial" w:cs="Arial"/>
          <w:shd w:val="clear" w:color="auto" w:fill="FFFFFF"/>
        </w:rPr>
        <w:t xml:space="preserve">Franz, Worrell and </w:t>
      </w:r>
      <w:proofErr w:type="spellStart"/>
      <w:r w:rsidRPr="009F1603">
        <w:rPr>
          <w:rFonts w:ascii="Arial" w:hAnsi="Arial" w:cs="Arial"/>
          <w:shd w:val="clear" w:color="auto" w:fill="FFFFFF"/>
        </w:rPr>
        <w:t>Vögele</w:t>
      </w:r>
      <w:proofErr w:type="spellEnd"/>
      <w:r w:rsidRPr="009F1603">
        <w:rPr>
          <w:rFonts w:ascii="Arial" w:hAnsi="Arial" w:cs="Arial"/>
          <w:shd w:val="clear" w:color="auto" w:fill="FFFFFF"/>
        </w:rPr>
        <w:t xml:space="preserve"> (2013</w:t>
      </w:r>
      <w:r>
        <w:rPr>
          <w:rFonts w:ascii="Segoe UI" w:hAnsi="Segoe UI" w:cs="Segoe UI"/>
          <w:color w:val="0D0D0D"/>
          <w:shd w:val="clear" w:color="auto" w:fill="FFFFFF"/>
        </w:rPr>
        <w:t xml:space="preserve">) is that </w:t>
      </w:r>
      <w:r>
        <w:rPr>
          <w:rFonts w:ascii="Arial" w:eastAsia="Times New Roman" w:hAnsi="Arial" w:cs="Arial"/>
          <w:kern w:val="0"/>
          <w:lang w:eastAsia="en-GB"/>
          <w14:ligatures w14:val="none"/>
        </w:rPr>
        <w:t>c</w:t>
      </w:r>
      <w:r w:rsidRPr="009F1603">
        <w:rPr>
          <w:rFonts w:ascii="Arial" w:eastAsia="Times New Roman" w:hAnsi="Arial" w:cs="Arial"/>
          <w:kern w:val="0"/>
          <w:lang w:eastAsia="en-GB"/>
          <w14:ligatures w14:val="none"/>
        </w:rPr>
        <w:t>ase studies offer researchers the opportunity to explore intricate and multifaceted experiences and situations that may lack a straightforward or singular outcome. Furthermore, the rising popularity of mixed method research underscores the versatility and value of case studies in generating rich, multi-dimensional datasets. This approach allows researchers to integrate qualitative and quantitative methods, providing a comprehensive understanding of the phenomenon under investigatio</w:t>
      </w:r>
      <w:r>
        <w:rPr>
          <w:rFonts w:ascii="Arial" w:eastAsia="Times New Roman" w:hAnsi="Arial" w:cs="Arial"/>
          <w:kern w:val="0"/>
          <w:lang w:eastAsia="en-GB"/>
          <w14:ligatures w14:val="none"/>
        </w:rPr>
        <w:t xml:space="preserve">ns </w:t>
      </w:r>
      <w:r w:rsidRPr="009F1603">
        <w:rPr>
          <w:rFonts w:ascii="Arial" w:eastAsia="Times New Roman" w:hAnsi="Arial" w:cs="Arial"/>
          <w:kern w:val="0"/>
          <w:lang w:eastAsia="en-GB"/>
          <w14:ligatures w14:val="none"/>
        </w:rPr>
        <w:lastRenderedPageBreak/>
        <w:t>(</w:t>
      </w:r>
      <w:r w:rsidRPr="009F1603">
        <w:rPr>
          <w:rFonts w:ascii="Arial" w:hAnsi="Arial" w:cs="Arial"/>
          <w:shd w:val="clear" w:color="auto" w:fill="FFFFFF"/>
        </w:rPr>
        <w:t>Franz, Worrell,</w:t>
      </w:r>
      <w:r>
        <w:rPr>
          <w:rFonts w:ascii="Arial" w:hAnsi="Arial" w:cs="Arial"/>
          <w:shd w:val="clear" w:color="auto" w:fill="FFFFFF"/>
        </w:rPr>
        <w:t xml:space="preserve"> and </w:t>
      </w:r>
      <w:proofErr w:type="spellStart"/>
      <w:r w:rsidRPr="009F1603">
        <w:rPr>
          <w:rFonts w:ascii="Arial" w:hAnsi="Arial" w:cs="Arial"/>
          <w:shd w:val="clear" w:color="auto" w:fill="FFFFFF"/>
        </w:rPr>
        <w:t>Vögele</w:t>
      </w:r>
      <w:proofErr w:type="spellEnd"/>
      <w:r w:rsidRPr="009F1603">
        <w:rPr>
          <w:rFonts w:ascii="Arial" w:hAnsi="Arial" w:cs="Arial"/>
          <w:shd w:val="clear" w:color="auto" w:fill="FFFFFF"/>
        </w:rPr>
        <w:t>, 2013).</w:t>
      </w:r>
      <w:r>
        <w:rPr>
          <w:rFonts w:ascii="Arial" w:hAnsi="Arial" w:cs="Arial"/>
          <w:shd w:val="clear" w:color="auto" w:fill="FFFFFF"/>
        </w:rPr>
        <w:t xml:space="preserve"> Despite strengths there are some limitations, o</w:t>
      </w:r>
      <w:r w:rsidRPr="009F1603">
        <w:rPr>
          <w:rFonts w:ascii="Arial" w:hAnsi="Arial" w:cs="Arial"/>
          <w:shd w:val="clear" w:color="auto" w:fill="FFFFFF"/>
        </w:rPr>
        <w:t>ne commonly cited limitation of case study research is the challenge of generali</w:t>
      </w:r>
      <w:r w:rsidR="00C86D73">
        <w:rPr>
          <w:rFonts w:ascii="Arial" w:hAnsi="Arial" w:cs="Arial"/>
          <w:shd w:val="clear" w:color="auto" w:fill="FFFFFF"/>
        </w:rPr>
        <w:t>s</w:t>
      </w:r>
      <w:r w:rsidRPr="009F1603">
        <w:rPr>
          <w:rFonts w:ascii="Arial" w:hAnsi="Arial" w:cs="Arial"/>
          <w:shd w:val="clear" w:color="auto" w:fill="FFFFFF"/>
        </w:rPr>
        <w:t>ability, particularly the difficulty in making valid inferences beyond the specific cases studied (Miles, 2015; Thomas, 2011). Given the unique nature of each case, the absence of a standardi</w:t>
      </w:r>
      <w:r w:rsidR="00DA60D9">
        <w:rPr>
          <w:rFonts w:ascii="Arial" w:hAnsi="Arial" w:cs="Arial"/>
          <w:shd w:val="clear" w:color="auto" w:fill="FFFFFF"/>
        </w:rPr>
        <w:t>s</w:t>
      </w:r>
      <w:r w:rsidRPr="009F1603">
        <w:rPr>
          <w:rFonts w:ascii="Arial" w:hAnsi="Arial" w:cs="Arial"/>
          <w:shd w:val="clear" w:color="auto" w:fill="FFFFFF"/>
        </w:rPr>
        <w:t>ed research question becomes a significant factor to consider.</w:t>
      </w:r>
      <w:r>
        <w:rPr>
          <w:rFonts w:ascii="Arial" w:hAnsi="Arial" w:cs="Arial"/>
          <w:shd w:val="clear" w:color="auto" w:fill="FFFFFF"/>
        </w:rPr>
        <w:t xml:space="preserve"> </w:t>
      </w:r>
      <w:r w:rsidR="005A49A1" w:rsidRPr="005A49A1">
        <w:rPr>
          <w:rFonts w:ascii="Arial" w:hAnsi="Arial" w:cs="Arial"/>
          <w:shd w:val="clear" w:color="auto" w:fill="FFFFFF"/>
        </w:rPr>
        <w:t>Additionally, it's important to recogni</w:t>
      </w:r>
      <w:r w:rsidR="00DA60D9">
        <w:rPr>
          <w:rFonts w:ascii="Arial" w:hAnsi="Arial" w:cs="Arial"/>
          <w:shd w:val="clear" w:color="auto" w:fill="FFFFFF"/>
        </w:rPr>
        <w:t>s</w:t>
      </w:r>
      <w:r w:rsidR="005A49A1" w:rsidRPr="005A49A1">
        <w:rPr>
          <w:rFonts w:ascii="Arial" w:hAnsi="Arial" w:cs="Arial"/>
          <w:shd w:val="clear" w:color="auto" w:fill="FFFFFF"/>
        </w:rPr>
        <w:t>e the broader debate surrounding generali</w:t>
      </w:r>
      <w:r w:rsidR="005A49A1">
        <w:rPr>
          <w:rFonts w:ascii="Arial" w:hAnsi="Arial" w:cs="Arial"/>
          <w:shd w:val="clear" w:color="auto" w:fill="FFFFFF"/>
        </w:rPr>
        <w:t>s</w:t>
      </w:r>
      <w:r w:rsidR="005A49A1" w:rsidRPr="005A49A1">
        <w:rPr>
          <w:rFonts w:ascii="Arial" w:hAnsi="Arial" w:cs="Arial"/>
          <w:shd w:val="clear" w:color="auto" w:fill="FFFFFF"/>
        </w:rPr>
        <w:t>ability within the realms of education and social science research. This discussion extends beyond the limitations of case study methodology, encompassing broader questions about the applicability of research findings to diverse contexts and populations. Scholars have highlighted the complexities of generali</w:t>
      </w:r>
      <w:r w:rsidR="005A49A1">
        <w:rPr>
          <w:rFonts w:ascii="Arial" w:hAnsi="Arial" w:cs="Arial"/>
          <w:shd w:val="clear" w:color="auto" w:fill="FFFFFF"/>
        </w:rPr>
        <w:t>s</w:t>
      </w:r>
      <w:r w:rsidR="005A49A1" w:rsidRPr="005A49A1">
        <w:rPr>
          <w:rFonts w:ascii="Arial" w:hAnsi="Arial" w:cs="Arial"/>
          <w:shd w:val="clear" w:color="auto" w:fill="FFFFFF"/>
        </w:rPr>
        <w:t>ing research findings, acknowledging the nuanced interactions between variables and the unique socio-cultural contexts in which education and social phenomena occur (Thomas, 2011).</w:t>
      </w:r>
    </w:p>
    <w:p w14:paraId="57A92347" w14:textId="1CCCB248" w:rsidR="00CD1EB9" w:rsidRDefault="00DA60D9" w:rsidP="00783CDA">
      <w:pPr>
        <w:spacing w:line="360" w:lineRule="auto"/>
        <w:ind w:firstLine="720"/>
        <w:rPr>
          <w:rFonts w:ascii="Arial" w:hAnsi="Arial" w:cs="Arial"/>
          <w:shd w:val="clear" w:color="auto" w:fill="FFFFFF"/>
        </w:rPr>
      </w:pPr>
      <w:r w:rsidRPr="00CD1EB9">
        <w:rPr>
          <w:rFonts w:ascii="Arial" w:hAnsi="Arial" w:cs="Arial"/>
          <w:shd w:val="clear" w:color="auto" w:fill="FFFFFF"/>
        </w:rPr>
        <w:t xml:space="preserve">Following up with strengths, </w:t>
      </w:r>
      <w:r w:rsidR="00C25991">
        <w:rPr>
          <w:rFonts w:ascii="Arial" w:eastAsia="Times New Roman" w:hAnsi="Arial" w:cs="Arial"/>
          <w:kern w:val="0"/>
          <w:lang w:eastAsia="en-GB"/>
          <w14:ligatures w14:val="none"/>
        </w:rPr>
        <w:t>c</w:t>
      </w:r>
      <w:r w:rsidRPr="00CD1EB9">
        <w:rPr>
          <w:rFonts w:ascii="Arial" w:eastAsia="Times New Roman" w:hAnsi="Arial" w:cs="Arial"/>
          <w:kern w:val="0"/>
          <w:lang w:eastAsia="en-GB"/>
          <w14:ligatures w14:val="none"/>
        </w:rPr>
        <w:t xml:space="preserve">ase studies provide researchers with a unique opportunity to delve into the complexities of real-life events, allowing for a thorough investigation that </w:t>
      </w:r>
      <w:proofErr w:type="gramStart"/>
      <w:r w:rsidRPr="00CD1EB9">
        <w:rPr>
          <w:rFonts w:ascii="Arial" w:eastAsia="Times New Roman" w:hAnsi="Arial" w:cs="Arial"/>
          <w:kern w:val="0"/>
          <w:lang w:eastAsia="en-GB"/>
          <w14:ligatures w14:val="none"/>
        </w:rPr>
        <w:t>takes into account</w:t>
      </w:r>
      <w:proofErr w:type="gramEnd"/>
      <w:r w:rsidRPr="00CD1EB9">
        <w:rPr>
          <w:rFonts w:ascii="Arial" w:eastAsia="Times New Roman" w:hAnsi="Arial" w:cs="Arial"/>
          <w:kern w:val="0"/>
          <w:lang w:eastAsia="en-GB"/>
          <w14:ligatures w14:val="none"/>
        </w:rPr>
        <w:t xml:space="preserve"> a wide range of elements and perspectives. This holistic approach is especially useful in disciplines where occurrences are naturally diverse and influenced by a variety of interrelated causes. By thoroughly investigating a case, researchers can reveal the complicated relationships between many elements, gaining a complete grasp of the dynamics at work (</w:t>
      </w:r>
      <w:proofErr w:type="spellStart"/>
      <w:r w:rsidRPr="00CD1EB9">
        <w:rPr>
          <w:rFonts w:ascii="Arial" w:eastAsia="Times New Roman" w:hAnsi="Arial" w:cs="Arial"/>
          <w:kern w:val="0"/>
          <w:lang w:eastAsia="en-GB"/>
          <w14:ligatures w14:val="none"/>
        </w:rPr>
        <w:t>Channaveer</w:t>
      </w:r>
      <w:proofErr w:type="spellEnd"/>
      <w:r w:rsidRPr="00CD1EB9">
        <w:rPr>
          <w:rFonts w:ascii="Arial" w:eastAsia="Times New Roman" w:hAnsi="Arial" w:cs="Arial"/>
          <w:kern w:val="0"/>
          <w:lang w:eastAsia="en-GB"/>
          <w14:ligatures w14:val="none"/>
        </w:rPr>
        <w:t xml:space="preserve"> and </w:t>
      </w:r>
      <w:proofErr w:type="spellStart"/>
      <w:r w:rsidRPr="00CD1EB9">
        <w:rPr>
          <w:rFonts w:ascii="Arial" w:eastAsia="Times New Roman" w:hAnsi="Arial" w:cs="Arial"/>
          <w:kern w:val="0"/>
          <w:lang w:eastAsia="en-GB"/>
          <w14:ligatures w14:val="none"/>
        </w:rPr>
        <w:t>Baikady</w:t>
      </w:r>
      <w:proofErr w:type="spellEnd"/>
      <w:r w:rsidRPr="00CD1EB9">
        <w:rPr>
          <w:rFonts w:ascii="Arial" w:eastAsia="Times New Roman" w:hAnsi="Arial" w:cs="Arial"/>
          <w:kern w:val="0"/>
          <w:lang w:eastAsia="en-GB"/>
          <w14:ligatures w14:val="none"/>
        </w:rPr>
        <w:t xml:space="preserve">, 2022). Even though a case study can have </w:t>
      </w:r>
      <w:r w:rsidR="00DB55A5" w:rsidRPr="00CD1EB9">
        <w:rPr>
          <w:rFonts w:ascii="Arial" w:eastAsia="Times New Roman" w:hAnsi="Arial" w:cs="Arial"/>
          <w:kern w:val="0"/>
          <w:lang w:eastAsia="en-GB"/>
          <w14:ligatures w14:val="none"/>
        </w:rPr>
        <w:t>a</w:t>
      </w:r>
      <w:r w:rsidRPr="00CD1EB9">
        <w:rPr>
          <w:rFonts w:ascii="Arial" w:eastAsia="Times New Roman" w:hAnsi="Arial" w:cs="Arial"/>
          <w:kern w:val="0"/>
          <w:lang w:eastAsia="en-GB"/>
          <w14:ligatures w14:val="none"/>
        </w:rPr>
        <w:t xml:space="preserve"> </w:t>
      </w:r>
      <w:r w:rsidR="0019709D" w:rsidRPr="00CD1EB9">
        <w:rPr>
          <w:rFonts w:ascii="Arial" w:eastAsia="Times New Roman" w:hAnsi="Arial" w:cs="Arial"/>
          <w:kern w:val="0"/>
          <w:lang w:eastAsia="en-GB"/>
          <w14:ligatures w14:val="none"/>
        </w:rPr>
        <w:t>holistic</w:t>
      </w:r>
      <w:r w:rsidR="00CD1EB9" w:rsidRPr="00CD1EB9">
        <w:rPr>
          <w:rFonts w:ascii="Arial" w:eastAsia="Times New Roman" w:hAnsi="Arial" w:cs="Arial"/>
          <w:kern w:val="0"/>
          <w:lang w:eastAsia="en-GB"/>
          <w14:ligatures w14:val="none"/>
        </w:rPr>
        <w:t xml:space="preserve"> approach, </w:t>
      </w:r>
      <w:r w:rsidR="00CD1EB9">
        <w:rPr>
          <w:rFonts w:ascii="Arial" w:eastAsia="Times New Roman" w:hAnsi="Arial" w:cs="Arial"/>
          <w:kern w:val="0"/>
          <w:lang w:eastAsia="en-GB"/>
          <w14:ligatures w14:val="none"/>
        </w:rPr>
        <w:t>a</w:t>
      </w:r>
      <w:r w:rsidR="00CD1EB9" w:rsidRPr="00CD1EB9">
        <w:rPr>
          <w:rFonts w:ascii="Arial" w:eastAsia="Times New Roman" w:hAnsi="Arial" w:cs="Arial"/>
          <w:kern w:val="0"/>
          <w:lang w:eastAsia="en-GB"/>
          <w14:ligatures w14:val="none"/>
        </w:rPr>
        <w:t xml:space="preserve">nother disadvantage of case studies is the possibility of researcher bias or subjectivity in data collection, processing, and interpretation. </w:t>
      </w:r>
      <w:r w:rsidR="00CD1EB9">
        <w:rPr>
          <w:rFonts w:ascii="Arial" w:eastAsia="Times New Roman" w:hAnsi="Arial" w:cs="Arial"/>
          <w:kern w:val="0"/>
          <w:lang w:eastAsia="en-GB"/>
          <w14:ligatures w14:val="none"/>
        </w:rPr>
        <w:t>C</w:t>
      </w:r>
      <w:r w:rsidR="00CD1EB9" w:rsidRPr="00CD1EB9">
        <w:rPr>
          <w:rFonts w:ascii="Arial" w:eastAsia="Times New Roman" w:hAnsi="Arial" w:cs="Arial"/>
          <w:kern w:val="0"/>
          <w:lang w:eastAsia="en-GB"/>
          <w14:ligatures w14:val="none"/>
        </w:rPr>
        <w:t>ase studies frequently include significant qualitative data gathering methods such as interviews, observations, and document analysis, researchers' subjective perspectives and preconceived conceptions might impact the study process. This bias may reveal itself in case selection, study question framing, data interpretation, and findings presentation</w:t>
      </w:r>
      <w:r w:rsidR="00CD1EB9">
        <w:rPr>
          <w:rFonts w:ascii="Arial" w:eastAsia="Times New Roman" w:hAnsi="Arial" w:cs="Arial"/>
          <w:kern w:val="0"/>
          <w:lang w:eastAsia="en-GB"/>
          <w14:ligatures w14:val="none"/>
        </w:rPr>
        <w:t xml:space="preserve"> (</w:t>
      </w:r>
      <w:proofErr w:type="spellStart"/>
      <w:r w:rsidR="00CD1EB9" w:rsidRPr="00CD1EB9">
        <w:rPr>
          <w:rFonts w:ascii="Arial" w:hAnsi="Arial" w:cs="Arial"/>
          <w:shd w:val="clear" w:color="auto" w:fill="FFFFFF"/>
        </w:rPr>
        <w:t>Simundić</w:t>
      </w:r>
      <w:proofErr w:type="spellEnd"/>
      <w:r w:rsidR="00CD1EB9">
        <w:rPr>
          <w:rFonts w:ascii="Arial" w:hAnsi="Arial" w:cs="Arial"/>
          <w:shd w:val="clear" w:color="auto" w:fill="FFFFFF"/>
        </w:rPr>
        <w:t>, 2013).</w:t>
      </w:r>
    </w:p>
    <w:p w14:paraId="0FFED5D6" w14:textId="75449983" w:rsidR="005834FE" w:rsidRDefault="00CD1EB9" w:rsidP="00783CDA">
      <w:pPr>
        <w:spacing w:after="0" w:line="360" w:lineRule="auto"/>
        <w:ind w:firstLine="720"/>
        <w:rPr>
          <w:rFonts w:ascii="Arial" w:eastAsia="Times New Roman" w:hAnsi="Arial" w:cs="Arial"/>
          <w:kern w:val="0"/>
          <w:lang w:eastAsia="en-GB"/>
          <w14:ligatures w14:val="none"/>
        </w:rPr>
      </w:pPr>
      <w:r w:rsidRPr="00CD1EB9">
        <w:rPr>
          <w:rFonts w:ascii="Arial" w:eastAsia="Times New Roman" w:hAnsi="Arial" w:cs="Arial"/>
          <w:kern w:val="0"/>
          <w:lang w:eastAsia="en-GB"/>
          <w14:ligatures w14:val="none"/>
        </w:rPr>
        <w:t xml:space="preserve">The future research project will include an intervention designed to get a more nuanced knowledge of students' well-being in real-life settings. Drawing on insights from the strengths and limitations of case study methodology, the project aims to provide an intervention with maximum impact and effectiveness. Using the breadth and diversity of case study research, the intervention will seek to reveal intricate insights into the factors influencing students' well-being. Furthermore, thorough evaluation of the methodological constraints and opportunities inherent in case studies will guide the intervention's design and implementation, ensuring that the findings are relevant and useful. </w:t>
      </w:r>
    </w:p>
    <w:p w14:paraId="68B5DF01" w14:textId="77777777" w:rsidR="00783CDA" w:rsidRDefault="00783CDA" w:rsidP="00783CDA">
      <w:pPr>
        <w:spacing w:after="0" w:line="360" w:lineRule="auto"/>
        <w:rPr>
          <w:rFonts w:ascii="Arial" w:eastAsia="Times New Roman" w:hAnsi="Arial" w:cs="Arial"/>
          <w:kern w:val="0"/>
          <w:lang w:eastAsia="en-GB"/>
          <w14:ligatures w14:val="none"/>
        </w:rPr>
      </w:pPr>
    </w:p>
    <w:p w14:paraId="7BB2F16E" w14:textId="2606AA09" w:rsidR="007F7EC7" w:rsidRDefault="007F7EC7" w:rsidP="00783CDA">
      <w:pPr>
        <w:spacing w:after="0" w:line="360" w:lineRule="auto"/>
        <w:rPr>
          <w:rFonts w:ascii="Arial" w:eastAsia="Times New Roman" w:hAnsi="Arial" w:cs="Arial"/>
          <w:b/>
          <w:bCs/>
          <w:kern w:val="0"/>
          <w:lang w:eastAsia="en-GB"/>
          <w14:ligatures w14:val="none"/>
        </w:rPr>
      </w:pPr>
      <w:r w:rsidRPr="00F37A1C">
        <w:rPr>
          <w:rFonts w:ascii="Arial" w:eastAsia="Times New Roman" w:hAnsi="Arial" w:cs="Arial"/>
          <w:b/>
          <w:bCs/>
          <w:kern w:val="0"/>
          <w:lang w:eastAsia="en-GB"/>
          <w14:ligatures w14:val="none"/>
        </w:rPr>
        <w:t xml:space="preserve">Research </w:t>
      </w:r>
      <w:proofErr w:type="gramStart"/>
      <w:r w:rsidRPr="00F37A1C">
        <w:rPr>
          <w:rFonts w:ascii="Arial" w:eastAsia="Times New Roman" w:hAnsi="Arial" w:cs="Arial"/>
          <w:b/>
          <w:bCs/>
          <w:kern w:val="0"/>
          <w:lang w:eastAsia="en-GB"/>
          <w14:ligatures w14:val="none"/>
        </w:rPr>
        <w:t>methods</w:t>
      </w:r>
      <w:proofErr w:type="gramEnd"/>
    </w:p>
    <w:p w14:paraId="4206038B" w14:textId="7B662E3D" w:rsidR="007F7EC7" w:rsidRDefault="007F7EC7" w:rsidP="00783CDA">
      <w:pPr>
        <w:spacing w:line="360" w:lineRule="auto"/>
        <w:ind w:firstLine="720"/>
        <w:rPr>
          <w:rFonts w:ascii="Arial" w:hAnsi="Arial" w:cs="Arial"/>
          <w:shd w:val="clear" w:color="auto" w:fill="FFFFFF"/>
        </w:rPr>
      </w:pPr>
      <w:r>
        <w:rPr>
          <w:rFonts w:ascii="Arial" w:eastAsia="Times New Roman" w:hAnsi="Arial" w:cs="Arial"/>
          <w:kern w:val="0"/>
          <w:lang w:eastAsia="en-GB"/>
          <w14:ligatures w14:val="none"/>
        </w:rPr>
        <w:lastRenderedPageBreak/>
        <w:t>The research methods I used was a questionnaire and a well-being check in intervention</w:t>
      </w:r>
      <w:r w:rsidR="00F37A1C">
        <w:rPr>
          <w:rFonts w:ascii="Arial" w:eastAsia="Times New Roman" w:hAnsi="Arial" w:cs="Arial"/>
          <w:kern w:val="0"/>
          <w:lang w:eastAsia="en-GB"/>
          <w14:ligatures w14:val="none"/>
        </w:rPr>
        <w:t xml:space="preserve"> which was a semi-structured interview</w:t>
      </w:r>
      <w:r>
        <w:rPr>
          <w:rFonts w:ascii="Arial" w:eastAsia="Times New Roman" w:hAnsi="Arial" w:cs="Arial"/>
          <w:kern w:val="0"/>
          <w:lang w:eastAsia="en-GB"/>
          <w14:ligatures w14:val="none"/>
        </w:rPr>
        <w:t xml:space="preserve"> to gain knowledge and understanding of </w:t>
      </w:r>
      <w:r>
        <w:rPr>
          <w:rFonts w:ascii="Arial" w:hAnsi="Arial" w:cs="Arial"/>
          <w:shd w:val="clear" w:color="auto" w:fill="FFFFFF"/>
        </w:rPr>
        <w:t>how Reception pupils and teachers perceive the effectiveness of positive school play on pupil well-being.</w:t>
      </w:r>
    </w:p>
    <w:p w14:paraId="3ED31D43" w14:textId="0687CCE8" w:rsidR="007F7EC7" w:rsidRDefault="007F7EC7" w:rsidP="00783CDA">
      <w:pPr>
        <w:spacing w:line="360" w:lineRule="auto"/>
        <w:ind w:firstLine="720"/>
        <w:rPr>
          <w:rFonts w:ascii="Arial" w:hAnsi="Arial" w:cs="Arial"/>
          <w:shd w:val="clear" w:color="auto" w:fill="FFFFFF"/>
        </w:rPr>
      </w:pPr>
      <w:r w:rsidRPr="007F7EC7">
        <w:rPr>
          <w:rFonts w:ascii="Arial" w:hAnsi="Arial" w:cs="Arial"/>
          <w:shd w:val="clear" w:color="auto" w:fill="FFFFFF"/>
        </w:rPr>
        <w:t>A questionnaire serves as a valuable research tool, comprising a structured set of inquiries designed to elicit specific information from respondents. Functioning akin to a written interview, questionnaires offer a methodical approach to gathering data, allowing for standardi</w:t>
      </w:r>
      <w:r>
        <w:rPr>
          <w:rFonts w:ascii="Arial" w:hAnsi="Arial" w:cs="Arial"/>
          <w:shd w:val="clear" w:color="auto" w:fill="FFFFFF"/>
        </w:rPr>
        <w:t>s</w:t>
      </w:r>
      <w:r w:rsidRPr="007F7EC7">
        <w:rPr>
          <w:rFonts w:ascii="Arial" w:hAnsi="Arial" w:cs="Arial"/>
          <w:shd w:val="clear" w:color="auto" w:fill="FFFFFF"/>
        </w:rPr>
        <w:t>ed data collection across diverse settings. This versatile instrument can be administered through various mediums, including face-to-face interactions, telephone calls, online platforms, or traditional mail services. With its adaptable nature, questionnaires provide researchers with a convenient means of accessing insights from respondents, facilitating comprehensive data collection for analysis and interpretation</w:t>
      </w:r>
      <w:r>
        <w:rPr>
          <w:rFonts w:ascii="Arial" w:hAnsi="Arial" w:cs="Arial"/>
          <w:shd w:val="clear" w:color="auto" w:fill="FFFFFF"/>
        </w:rPr>
        <w:t xml:space="preserve"> (</w:t>
      </w:r>
      <w:proofErr w:type="spellStart"/>
      <w:r>
        <w:rPr>
          <w:rFonts w:ascii="Arial" w:hAnsi="Arial" w:cs="Arial"/>
          <w:shd w:val="clear" w:color="auto" w:fill="FFFFFF"/>
        </w:rPr>
        <w:t>Mcleod</w:t>
      </w:r>
      <w:proofErr w:type="spellEnd"/>
      <w:r>
        <w:rPr>
          <w:rFonts w:ascii="Arial" w:hAnsi="Arial" w:cs="Arial"/>
          <w:shd w:val="clear" w:color="auto" w:fill="FFFFFF"/>
        </w:rPr>
        <w:t>, 2023). In this research project I used an online questionnaire for teachers and a fac</w:t>
      </w:r>
      <w:r w:rsidR="006171FD">
        <w:rPr>
          <w:rFonts w:ascii="Arial" w:hAnsi="Arial" w:cs="Arial"/>
          <w:shd w:val="clear" w:color="auto" w:fill="FFFFFF"/>
        </w:rPr>
        <w:t>e-to-face</w:t>
      </w:r>
      <w:r w:rsidR="00D1307E">
        <w:rPr>
          <w:rFonts w:ascii="Arial" w:hAnsi="Arial" w:cs="Arial"/>
          <w:shd w:val="clear" w:color="auto" w:fill="FFFFFF"/>
        </w:rPr>
        <w:t xml:space="preserve"> semi-structured interview</w:t>
      </w:r>
      <w:r w:rsidR="006171FD">
        <w:rPr>
          <w:rFonts w:ascii="Arial" w:hAnsi="Arial" w:cs="Arial"/>
          <w:shd w:val="clear" w:color="auto" w:fill="FFFFFF"/>
        </w:rPr>
        <w:t xml:space="preserve"> questions suitable for the </w:t>
      </w:r>
      <w:r w:rsidR="00D1307E">
        <w:rPr>
          <w:rFonts w:ascii="Arial" w:hAnsi="Arial" w:cs="Arial"/>
          <w:shd w:val="clear" w:color="auto" w:fill="FFFFFF"/>
        </w:rPr>
        <w:t>pupil’s</w:t>
      </w:r>
      <w:r w:rsidR="006171FD">
        <w:rPr>
          <w:rFonts w:ascii="Arial" w:hAnsi="Arial" w:cs="Arial"/>
          <w:shd w:val="clear" w:color="auto" w:fill="FFFFFF"/>
        </w:rPr>
        <w:t xml:space="preserve"> abilities. </w:t>
      </w:r>
    </w:p>
    <w:p w14:paraId="2787FC9B" w14:textId="5C2BAA25" w:rsidR="004F6A74" w:rsidRPr="004F6A74" w:rsidRDefault="00D1307E" w:rsidP="00783CDA">
      <w:pPr>
        <w:spacing w:line="360" w:lineRule="auto"/>
        <w:ind w:firstLine="720"/>
        <w:rPr>
          <w:rFonts w:ascii="Arial" w:eastAsia="Times New Roman" w:hAnsi="Arial" w:cs="Arial"/>
          <w:kern w:val="0"/>
          <w:lang w:eastAsia="en-GB"/>
          <w14:ligatures w14:val="none"/>
        </w:rPr>
      </w:pPr>
      <w:proofErr w:type="spellStart"/>
      <w:r w:rsidRPr="004F6A74">
        <w:rPr>
          <w:rFonts w:ascii="Arial" w:eastAsia="Times New Roman" w:hAnsi="Arial" w:cs="Arial"/>
          <w:kern w:val="0"/>
          <w:lang w:eastAsia="en-GB"/>
          <w14:ligatures w14:val="none"/>
        </w:rPr>
        <w:t>Dicicco</w:t>
      </w:r>
      <w:proofErr w:type="spellEnd"/>
      <w:r w:rsidRPr="004F6A74">
        <w:rPr>
          <w:rFonts w:ascii="Arial" w:eastAsia="Times New Roman" w:hAnsi="Arial" w:cs="Arial"/>
          <w:kern w:val="0"/>
          <w:lang w:eastAsia="en-GB"/>
          <w14:ligatures w14:val="none"/>
        </w:rPr>
        <w:t xml:space="preserve"> and Crabtree (2006) mentioned that a</w:t>
      </w:r>
      <w:r w:rsidRPr="00D1307E">
        <w:rPr>
          <w:rFonts w:ascii="Arial" w:eastAsia="Times New Roman" w:hAnsi="Arial" w:cs="Arial"/>
          <w:kern w:val="0"/>
          <w:lang w:eastAsia="en-GB"/>
          <w14:ligatures w14:val="none"/>
        </w:rPr>
        <w:t xml:space="preserve"> semi-structured interview is a qualitative research method that incorporates aspects of both organised and unstructured interviews. In a semi-structured interview, the interviewer has a planned set of questions or subjects to steer the conversation, but there is also room to delve into new areas of interest or follow up on comments as they occur.</w:t>
      </w:r>
      <w:r w:rsidRPr="004F6A74">
        <w:rPr>
          <w:rFonts w:ascii="Arial" w:eastAsia="Times New Roman" w:hAnsi="Arial" w:cs="Arial"/>
          <w:kern w:val="0"/>
          <w:lang w:eastAsia="en-GB"/>
          <w14:ligatures w14:val="none"/>
        </w:rPr>
        <w:t xml:space="preserve"> Corbin and Morse (2003) spoke in a similar context as </w:t>
      </w:r>
      <w:proofErr w:type="spellStart"/>
      <w:r w:rsidRPr="004F6A74">
        <w:rPr>
          <w:rFonts w:ascii="Arial" w:eastAsia="Times New Roman" w:hAnsi="Arial" w:cs="Arial"/>
          <w:kern w:val="0"/>
          <w:lang w:eastAsia="en-GB"/>
          <w14:ligatures w14:val="none"/>
        </w:rPr>
        <w:t>Dicicco</w:t>
      </w:r>
      <w:proofErr w:type="spellEnd"/>
      <w:r w:rsidRPr="004F6A74">
        <w:rPr>
          <w:rFonts w:ascii="Arial" w:eastAsia="Times New Roman" w:hAnsi="Arial" w:cs="Arial"/>
          <w:kern w:val="0"/>
          <w:lang w:eastAsia="en-GB"/>
          <w14:ligatures w14:val="none"/>
        </w:rPr>
        <w:t xml:space="preserve"> and </w:t>
      </w:r>
      <w:proofErr w:type="spellStart"/>
      <w:r w:rsidRPr="004F6A74">
        <w:rPr>
          <w:rFonts w:ascii="Arial" w:eastAsia="Times New Roman" w:hAnsi="Arial" w:cs="Arial"/>
          <w:kern w:val="0"/>
          <w:lang w:eastAsia="en-GB"/>
          <w14:ligatures w14:val="none"/>
        </w:rPr>
        <w:t>Crabtreee</w:t>
      </w:r>
      <w:proofErr w:type="spellEnd"/>
      <w:r w:rsidRPr="004F6A74">
        <w:rPr>
          <w:rFonts w:ascii="Arial" w:eastAsia="Times New Roman" w:hAnsi="Arial" w:cs="Arial"/>
          <w:kern w:val="0"/>
          <w:lang w:eastAsia="en-GB"/>
          <w14:ligatures w14:val="none"/>
        </w:rPr>
        <w:t xml:space="preserve"> (2006) </w:t>
      </w:r>
      <w:r w:rsidR="004F6A74" w:rsidRPr="004F6A74">
        <w:rPr>
          <w:rFonts w:ascii="Arial" w:eastAsia="Times New Roman" w:hAnsi="Arial" w:cs="Arial"/>
          <w:kern w:val="0"/>
          <w:lang w:eastAsia="en-GB"/>
          <w14:ligatures w14:val="none"/>
        </w:rPr>
        <w:t>by articulating a point that Semi-structured interviews are a common interviewing technique that can be used in both individual and group situations. In these interviews, the interviewer uses a planned list of questions or topics to steer the conversation, providing a structured framework but still allowing for flexibility and adaptability based on the context and responses. This method encourages open discourse and the exploration of varied perspectives, making semi-structured interviews ideal instruments for collecting rich qualitative data. Semi-structured interviews, whether performed one-on-one or in groups, allow researchers to delve into complicated topics, unearth nuanced insights, and capture the vast spectrum of experiences and opinions shared by participants</w:t>
      </w:r>
      <w:r w:rsidR="004F6A74">
        <w:rPr>
          <w:rFonts w:ascii="Arial" w:eastAsia="Times New Roman" w:hAnsi="Arial" w:cs="Arial"/>
          <w:kern w:val="0"/>
          <w:lang w:eastAsia="en-GB"/>
          <w14:ligatures w14:val="none"/>
        </w:rPr>
        <w:t xml:space="preserve"> (Corbin and Morse, 2003; </w:t>
      </w:r>
      <w:proofErr w:type="spellStart"/>
      <w:r w:rsidR="004F6A74">
        <w:rPr>
          <w:rFonts w:ascii="Arial" w:eastAsia="Times New Roman" w:hAnsi="Arial" w:cs="Arial"/>
          <w:kern w:val="0"/>
          <w:lang w:eastAsia="en-GB"/>
          <w14:ligatures w14:val="none"/>
        </w:rPr>
        <w:t>Dicicco</w:t>
      </w:r>
      <w:proofErr w:type="spellEnd"/>
      <w:r w:rsidR="004F6A74">
        <w:rPr>
          <w:rFonts w:ascii="Arial" w:eastAsia="Times New Roman" w:hAnsi="Arial" w:cs="Arial"/>
          <w:kern w:val="0"/>
          <w:lang w:eastAsia="en-GB"/>
          <w14:ligatures w14:val="none"/>
        </w:rPr>
        <w:t xml:space="preserve"> and Crabtree, 2006).</w:t>
      </w:r>
    </w:p>
    <w:p w14:paraId="120609E3" w14:textId="4EF18D60" w:rsidR="003A18B5" w:rsidRDefault="006B33AE" w:rsidP="00783CDA">
      <w:pPr>
        <w:spacing w:line="360" w:lineRule="auto"/>
        <w:ind w:firstLine="720"/>
        <w:rPr>
          <w:rFonts w:ascii="Arial" w:eastAsia="Times New Roman" w:hAnsi="Arial" w:cs="Arial"/>
          <w:kern w:val="0"/>
          <w:lang w:eastAsia="en-GB"/>
          <w14:ligatures w14:val="none"/>
        </w:rPr>
      </w:pPr>
      <w:r w:rsidRPr="003A18B5">
        <w:rPr>
          <w:rFonts w:ascii="Arial" w:eastAsia="Times New Roman" w:hAnsi="Arial" w:cs="Arial"/>
          <w:kern w:val="0"/>
          <w:lang w:eastAsia="en-GB"/>
          <w14:ligatures w14:val="none"/>
        </w:rPr>
        <w:t>Throughout the intervention with the participants, I asked them</w:t>
      </w:r>
      <w:r w:rsidR="003A18B5">
        <w:rPr>
          <w:rFonts w:ascii="Arial" w:eastAsia="Times New Roman" w:hAnsi="Arial" w:cs="Arial"/>
          <w:kern w:val="0"/>
          <w:lang w:eastAsia="en-GB"/>
          <w14:ligatures w14:val="none"/>
        </w:rPr>
        <w:t xml:space="preserve"> verbally if they were happy to participate and stated they can leave at any point, I asked them</w:t>
      </w:r>
      <w:r w:rsidRPr="003A18B5">
        <w:rPr>
          <w:rFonts w:ascii="Arial" w:eastAsia="Times New Roman" w:hAnsi="Arial" w:cs="Arial"/>
          <w:kern w:val="0"/>
          <w:lang w:eastAsia="en-GB"/>
          <w14:ligatures w14:val="none"/>
        </w:rPr>
        <w:t xml:space="preserve"> open-ended questions</w:t>
      </w:r>
      <w:r w:rsidR="003A18B5">
        <w:rPr>
          <w:rFonts w:ascii="Arial" w:eastAsia="Times New Roman" w:hAnsi="Arial" w:cs="Arial"/>
          <w:kern w:val="0"/>
          <w:lang w:eastAsia="en-GB"/>
          <w14:ligatures w14:val="none"/>
        </w:rPr>
        <w:t xml:space="preserve"> relating to their well-being when participating in classroom play in different areas.</w:t>
      </w:r>
      <w:r w:rsidRPr="003A18B5">
        <w:rPr>
          <w:rFonts w:ascii="Arial" w:eastAsia="Times New Roman" w:hAnsi="Arial" w:cs="Arial"/>
          <w:kern w:val="0"/>
          <w:lang w:eastAsia="en-GB"/>
          <w14:ligatures w14:val="none"/>
        </w:rPr>
        <w:t xml:space="preserve"> Open-ended questions encourage deeper examination of a topic by allowing participants to share their ideas and experiences in their own words. Unlike closed-ended questions, which require simple yes or no answers, open-ended questions invite respondents to make </w:t>
      </w:r>
      <w:r w:rsidRPr="003A18B5">
        <w:rPr>
          <w:rFonts w:ascii="Arial" w:eastAsia="Times New Roman" w:hAnsi="Arial" w:cs="Arial"/>
          <w:kern w:val="0"/>
          <w:lang w:eastAsia="en-GB"/>
          <w14:ligatures w14:val="none"/>
        </w:rPr>
        <w:lastRenderedPageBreak/>
        <w:t>thorough and complex comments, providing insights into their viewpoints, ideas, and reasoning. Open-ended questions help researchers acquire a more complete grasp of participants' perspectives and experiences by generating thoughtful and introspective responses. This technique encourages engagement and collaboration by allowing participants to contribute their views in a way that is important and true to them. Finally, open-ended questions allow for a more thorough study of the topic at hand, resulting in important qualitative data for analysis and interpretation (Rosala, 2024).</w:t>
      </w:r>
      <w:r w:rsidR="003A18B5" w:rsidRPr="003A18B5">
        <w:rPr>
          <w:rFonts w:ascii="Arial" w:eastAsia="Times New Roman" w:hAnsi="Arial" w:cs="Arial"/>
          <w:kern w:val="0"/>
          <w:lang w:eastAsia="en-GB"/>
          <w14:ligatures w14:val="none"/>
        </w:rPr>
        <w:t xml:space="preserve"> Similarly, when giving an online questionnaire to teachers, I used open-ended questions to allow meaningful expression of their thoughts and observations. This approach allowed teachers to submit extensive comments that provided unique viewpoints while also proving the relevancy and effectiveness of the questions addressed. By allowing teachers to express their ideas fully, I received valuable comments that improved the clarity and depth of the questionnaire responses.</w:t>
      </w:r>
    </w:p>
    <w:p w14:paraId="628F44A6" w14:textId="17D7166E" w:rsidR="006171FD" w:rsidRDefault="003A18B5" w:rsidP="00783CDA">
      <w:pPr>
        <w:spacing w:line="360" w:lineRule="auto"/>
        <w:ind w:firstLine="720"/>
        <w:rPr>
          <w:rFonts w:ascii="Arial" w:eastAsia="Times New Roman" w:hAnsi="Arial" w:cs="Arial"/>
          <w:kern w:val="0"/>
          <w:lang w:eastAsia="en-GB"/>
          <w14:ligatures w14:val="none"/>
        </w:rPr>
      </w:pPr>
      <w:r w:rsidRPr="006171FD">
        <w:rPr>
          <w:rFonts w:ascii="Arial" w:eastAsia="Times New Roman" w:hAnsi="Arial" w:cs="Arial"/>
          <w:kern w:val="0"/>
          <w:lang w:eastAsia="en-GB"/>
          <w14:ligatures w14:val="none"/>
        </w:rPr>
        <w:t>To create a familiar and welcoming environment for the students throughout the intervention, I used four separate cups, each representing a different zone of emotional control. The cups' colours were aligned with the correct emotions, and matching lollipop sticks were used to allow smooth communication and emotional expression. By keeping consistency in color-coding across resources, I guaranteed that the students could easily identify and explain their feelings in answer to the questions posed. This structured approach helped to create a sense of ease, comfort, and satisfaction among the students, which increased their involvement and participation in the intervention (</w:t>
      </w:r>
      <w:proofErr w:type="spellStart"/>
      <w:r w:rsidRPr="006171FD">
        <w:rPr>
          <w:rFonts w:ascii="Arial" w:hAnsi="Arial" w:cs="Arial"/>
          <w:color w:val="212121"/>
          <w:shd w:val="clear" w:color="auto" w:fill="FFFFFF"/>
        </w:rPr>
        <w:t>Kubzansky</w:t>
      </w:r>
      <w:proofErr w:type="spellEnd"/>
      <w:r w:rsidRPr="006171FD">
        <w:rPr>
          <w:rFonts w:ascii="Arial" w:hAnsi="Arial" w:cs="Arial"/>
          <w:color w:val="212121"/>
          <w:shd w:val="clear" w:color="auto" w:fill="FFFFFF"/>
        </w:rPr>
        <w:t xml:space="preserve"> </w:t>
      </w:r>
      <w:r w:rsidRPr="006171FD">
        <w:rPr>
          <w:rFonts w:ascii="Arial" w:hAnsi="Arial" w:cs="Arial"/>
          <w:i/>
          <w:iCs/>
          <w:color w:val="212121"/>
          <w:shd w:val="clear" w:color="auto" w:fill="FFFFFF"/>
        </w:rPr>
        <w:t xml:space="preserve">et al, </w:t>
      </w:r>
      <w:r w:rsidRPr="006171FD">
        <w:rPr>
          <w:rFonts w:ascii="Arial" w:hAnsi="Arial" w:cs="Arial"/>
          <w:color w:val="212121"/>
          <w:shd w:val="clear" w:color="auto" w:fill="FFFFFF"/>
        </w:rPr>
        <w:t>2023</w:t>
      </w:r>
      <w:r w:rsidRPr="004F6A74">
        <w:rPr>
          <w:rFonts w:ascii="Arial" w:hAnsi="Arial" w:cs="Arial"/>
          <w:shd w:val="clear" w:color="auto" w:fill="FFFFFF"/>
        </w:rPr>
        <w:t>).</w:t>
      </w:r>
      <w:r w:rsidR="00027A14" w:rsidRPr="004F6A74">
        <w:rPr>
          <w:rFonts w:ascii="Arial" w:hAnsi="Arial" w:cs="Arial"/>
          <w:shd w:val="clear" w:color="auto" w:fill="FFFFFF"/>
        </w:rPr>
        <w:t xml:space="preserve"> I had the same structure questions over the course of a few days, with the same four pupils who participated in this intervention. By using the same questions consistently, I could ensure reliability in data collection. This consistency allows for the comparison of responses over time, helping to identify patterns, changes, or trends in the pupils' experiences or perceptions (Nowell </w:t>
      </w:r>
      <w:r w:rsidR="00027A14" w:rsidRPr="004F6A74">
        <w:rPr>
          <w:rFonts w:ascii="Arial" w:hAnsi="Arial" w:cs="Arial"/>
          <w:i/>
          <w:iCs/>
          <w:shd w:val="clear" w:color="auto" w:fill="FFFFFF"/>
        </w:rPr>
        <w:t xml:space="preserve">et al, </w:t>
      </w:r>
      <w:r w:rsidR="00027A14" w:rsidRPr="004F6A74">
        <w:rPr>
          <w:rFonts w:ascii="Arial" w:hAnsi="Arial" w:cs="Arial"/>
          <w:shd w:val="clear" w:color="auto" w:fill="FFFFFF"/>
        </w:rPr>
        <w:t>2017).</w:t>
      </w:r>
      <w:r w:rsidR="006171FD" w:rsidRPr="004F6A74">
        <w:rPr>
          <w:rFonts w:ascii="Arial" w:hAnsi="Arial" w:cs="Arial"/>
          <w:shd w:val="clear" w:color="auto" w:fill="FFFFFF"/>
        </w:rPr>
        <w:t xml:space="preserve"> According to Bergelson </w:t>
      </w:r>
      <w:r w:rsidR="006171FD" w:rsidRPr="004F6A74">
        <w:rPr>
          <w:rFonts w:ascii="Arial" w:hAnsi="Arial" w:cs="Arial"/>
          <w:i/>
          <w:iCs/>
          <w:shd w:val="clear" w:color="auto" w:fill="FFFFFF"/>
        </w:rPr>
        <w:t xml:space="preserve">et al </w:t>
      </w:r>
      <w:r w:rsidR="006171FD" w:rsidRPr="004F6A74">
        <w:rPr>
          <w:rFonts w:ascii="Arial" w:hAnsi="Arial" w:cs="Arial"/>
          <w:shd w:val="clear" w:color="auto" w:fill="FFFFFF"/>
        </w:rPr>
        <w:t xml:space="preserve">(2022) one of the possible limitations for consistent questions could be response bias, </w:t>
      </w:r>
      <w:r w:rsidR="006171FD" w:rsidRPr="004F6A74">
        <w:rPr>
          <w:rFonts w:ascii="Arial" w:eastAsia="Times New Roman" w:hAnsi="Arial" w:cs="Arial"/>
          <w:kern w:val="0"/>
          <w:lang w:eastAsia="en-GB"/>
          <w14:ligatures w14:val="none"/>
        </w:rPr>
        <w:t xml:space="preserve">Pupils may become habituated to the questions and predict the expected responses, resulting in response bias. This can lead to individuals producing replies that they consider to be favourable or consistent with earlier responses, rather than true reflections or shifts in perceptions (Bergelson </w:t>
      </w:r>
      <w:r w:rsidR="006171FD" w:rsidRPr="004F6A74">
        <w:rPr>
          <w:rFonts w:ascii="Arial" w:eastAsia="Times New Roman" w:hAnsi="Arial" w:cs="Arial"/>
          <w:i/>
          <w:iCs/>
          <w:kern w:val="0"/>
          <w:lang w:eastAsia="en-GB"/>
          <w14:ligatures w14:val="none"/>
        </w:rPr>
        <w:t xml:space="preserve">et al, </w:t>
      </w:r>
      <w:r w:rsidR="006171FD" w:rsidRPr="004F6A74">
        <w:rPr>
          <w:rFonts w:ascii="Arial" w:eastAsia="Times New Roman" w:hAnsi="Arial" w:cs="Arial"/>
          <w:kern w:val="0"/>
          <w:lang w:eastAsia="en-GB"/>
          <w14:ligatures w14:val="none"/>
        </w:rPr>
        <w:t>2022).</w:t>
      </w:r>
    </w:p>
    <w:p w14:paraId="17E7DA40" w14:textId="12EAAC4A" w:rsidR="004F6A74" w:rsidRDefault="004F6A74" w:rsidP="00783CDA">
      <w:pPr>
        <w:spacing w:line="360" w:lineRule="auto"/>
        <w:ind w:firstLine="720"/>
        <w:rPr>
          <w:rFonts w:ascii="Arial" w:eastAsia="Times New Roman" w:hAnsi="Arial" w:cs="Arial"/>
          <w:kern w:val="0"/>
          <w:lang w:eastAsia="en-GB"/>
          <w14:ligatures w14:val="none"/>
        </w:rPr>
      </w:pPr>
      <w:r w:rsidRPr="004F6A74">
        <w:rPr>
          <w:rFonts w:ascii="Arial" w:eastAsia="Times New Roman" w:hAnsi="Arial" w:cs="Arial"/>
          <w:kern w:val="0"/>
          <w:lang w:eastAsia="en-GB"/>
          <w14:ligatures w14:val="none"/>
        </w:rPr>
        <w:t xml:space="preserve">Establishing a positive rapport with the students has a significant impact on my study </w:t>
      </w:r>
      <w:r w:rsidRPr="00CB424A">
        <w:rPr>
          <w:rFonts w:ascii="Arial" w:eastAsia="Times New Roman" w:hAnsi="Arial" w:cs="Arial"/>
          <w:kern w:val="0"/>
          <w:lang w:eastAsia="en-GB"/>
          <w14:ligatures w14:val="none"/>
        </w:rPr>
        <w:t xml:space="preserve">methodology. When students feel comfortable and respected during interviews, they are more likely to engage actively and fully in the talks. This increased interaction not only facilitates richer data collecting, but also allows for the sharing of a broader range of opinions, ultimately improving the depth and breadth of the research findings (Horsfall </w:t>
      </w:r>
      <w:r w:rsidRPr="00CB424A">
        <w:rPr>
          <w:rFonts w:ascii="Arial" w:eastAsia="Times New Roman" w:hAnsi="Arial" w:cs="Arial"/>
          <w:i/>
          <w:iCs/>
          <w:kern w:val="0"/>
          <w:lang w:eastAsia="en-GB"/>
          <w14:ligatures w14:val="none"/>
        </w:rPr>
        <w:t xml:space="preserve">et al, </w:t>
      </w:r>
      <w:r w:rsidRPr="00CB424A">
        <w:rPr>
          <w:rFonts w:ascii="Arial" w:eastAsia="Times New Roman" w:hAnsi="Arial" w:cs="Arial"/>
          <w:kern w:val="0"/>
          <w:lang w:eastAsia="en-GB"/>
          <w14:ligatures w14:val="none"/>
        </w:rPr>
        <w:t>2021).</w:t>
      </w:r>
      <w:r w:rsidR="00CB424A" w:rsidRPr="00CB424A">
        <w:rPr>
          <w:rFonts w:ascii="Arial" w:eastAsia="Times New Roman" w:hAnsi="Arial" w:cs="Arial"/>
          <w:kern w:val="0"/>
          <w:lang w:eastAsia="en-GB"/>
          <w14:ligatures w14:val="none"/>
        </w:rPr>
        <w:t xml:space="preserve"> Even though I have a strong rapport with the pupils, Validity can be difficult to </w:t>
      </w:r>
      <w:r w:rsidR="00CB424A" w:rsidRPr="00CB424A">
        <w:rPr>
          <w:rFonts w:ascii="Arial" w:eastAsia="Times New Roman" w:hAnsi="Arial" w:cs="Arial"/>
          <w:kern w:val="0"/>
          <w:lang w:eastAsia="en-GB"/>
          <w14:ligatures w14:val="none"/>
        </w:rPr>
        <w:lastRenderedPageBreak/>
        <w:t>achieve, especially when conducting research with young people such as students. Developmental disparities, language comprehension levels, and cognitive abilities among children of varied ages can all impair the ability to effectively analyse and evaluate data. This raises issues regarding the findings' validity and how exactly they reflect the participants' genuine experiences, attitudes, or behaviours</w:t>
      </w:r>
      <w:r w:rsidR="00CB424A">
        <w:rPr>
          <w:rFonts w:ascii="Arial" w:eastAsia="Times New Roman" w:hAnsi="Arial" w:cs="Arial"/>
          <w:kern w:val="0"/>
          <w:lang w:eastAsia="en-GB"/>
          <w14:ligatures w14:val="none"/>
        </w:rPr>
        <w:t xml:space="preserve"> (Padilla and Mino, 2022).</w:t>
      </w:r>
    </w:p>
    <w:p w14:paraId="5F522341" w14:textId="5A9BB449" w:rsidR="00F37A1C" w:rsidRDefault="00F37A1C" w:rsidP="00783CDA">
      <w:pPr>
        <w:spacing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Data Presentation and Analysis Method</w:t>
      </w:r>
    </w:p>
    <w:p w14:paraId="11081FB3" w14:textId="5B460544" w:rsidR="002A6F6E" w:rsidRDefault="002A6F6E" w:rsidP="00783CDA">
      <w:pPr>
        <w:spacing w:after="0" w:line="360" w:lineRule="auto"/>
        <w:ind w:firstLine="720"/>
        <w:rPr>
          <w:rFonts w:ascii="Arial" w:eastAsia="Times New Roman" w:hAnsi="Arial" w:cs="Arial"/>
          <w:kern w:val="0"/>
          <w:lang w:eastAsia="en-GB"/>
          <w14:ligatures w14:val="none"/>
        </w:rPr>
      </w:pPr>
      <w:r w:rsidRPr="002A6F6E">
        <w:rPr>
          <w:rFonts w:ascii="Arial" w:eastAsia="Times New Roman" w:hAnsi="Arial" w:cs="Arial"/>
          <w:kern w:val="0"/>
          <w:lang w:eastAsia="en-GB"/>
          <w14:ligatures w14:val="none"/>
        </w:rPr>
        <w:t>As audio recordings were not possible for the semi-structured well-being interviews, thorough notes were recorded during each session with the four students in the focus group. To ensure ethical standards and participant confidentiality, parents and students provided consent ahead of time</w:t>
      </w:r>
      <w:r w:rsidR="009732EA">
        <w:rPr>
          <w:rFonts w:ascii="Arial" w:eastAsia="Times New Roman" w:hAnsi="Arial" w:cs="Arial"/>
          <w:kern w:val="0"/>
          <w:lang w:eastAsia="en-GB"/>
          <w14:ligatures w14:val="none"/>
        </w:rPr>
        <w:t xml:space="preserve"> (refer to Appendix C for consent form)</w:t>
      </w:r>
      <w:r w:rsidRPr="002A6F6E">
        <w:rPr>
          <w:rFonts w:ascii="Arial" w:eastAsia="Times New Roman" w:hAnsi="Arial" w:cs="Arial"/>
          <w:kern w:val="0"/>
          <w:lang w:eastAsia="en-GB"/>
          <w14:ligatures w14:val="none"/>
        </w:rPr>
        <w:t>. Each student was asked the identical set of questions over a five-day period to monitor any changes in their well-being assessments</w:t>
      </w:r>
      <w:r w:rsidR="009732EA">
        <w:rPr>
          <w:rFonts w:ascii="Arial" w:eastAsia="Times New Roman" w:hAnsi="Arial" w:cs="Arial"/>
          <w:kern w:val="0"/>
          <w:lang w:eastAsia="en-GB"/>
          <w14:ligatures w14:val="none"/>
        </w:rPr>
        <w:t xml:space="preserve"> (refer to Appendix D for questions)</w:t>
      </w:r>
      <w:r w:rsidRPr="002A6F6E">
        <w:rPr>
          <w:rFonts w:ascii="Arial" w:eastAsia="Times New Roman" w:hAnsi="Arial" w:cs="Arial"/>
          <w:kern w:val="0"/>
          <w:lang w:eastAsia="en-GB"/>
          <w14:ligatures w14:val="none"/>
        </w:rPr>
        <w:t>. By maintaining consistency in questioning and comprehensive documentation, the data will be processed for qualitative analysis to discover emergent themes and insights into the students' well-being experiences. This analysis will help to shape the subsequent report of findings.</w:t>
      </w:r>
    </w:p>
    <w:p w14:paraId="7C9B35CA" w14:textId="1B77AD09" w:rsidR="00460CCE" w:rsidRDefault="00460CCE" w:rsidP="00783CDA">
      <w:pPr>
        <w:spacing w:after="0" w:line="360" w:lineRule="auto"/>
        <w:ind w:firstLine="720"/>
        <w:rPr>
          <w:rFonts w:ascii="Arial" w:eastAsia="Times New Roman" w:hAnsi="Arial" w:cs="Arial"/>
          <w:kern w:val="0"/>
          <w:lang w:eastAsia="en-GB"/>
          <w14:ligatures w14:val="none"/>
        </w:rPr>
      </w:pPr>
      <w:r w:rsidRPr="00460CCE">
        <w:rPr>
          <w:rFonts w:ascii="Arial" w:eastAsia="Times New Roman" w:hAnsi="Arial" w:cs="Arial"/>
          <w:kern w:val="0"/>
          <w:lang w:eastAsia="en-GB"/>
          <w14:ligatures w14:val="none"/>
        </w:rPr>
        <w:t>The questionnaire used a targeted approach, with a limited set of five people chosen as possible respondents. Despite efforts to contact this organisation, only two responses were received, indicating a low response rate. While the reasons for the low participation and lack of returns were not specifically stated, various variables could have contributed to this conclusion. These could include time limits, conflicting priorities, or the intended receivers' apparent lack of relevance or interest in the questionnaire topic.</w:t>
      </w:r>
      <w:r>
        <w:rPr>
          <w:rFonts w:ascii="Arial" w:eastAsia="Times New Roman" w:hAnsi="Arial" w:cs="Arial"/>
          <w:kern w:val="0"/>
          <w:lang w:eastAsia="en-GB"/>
          <w14:ligatures w14:val="none"/>
        </w:rPr>
        <w:t xml:space="preserve"> </w:t>
      </w:r>
      <w:r w:rsidRPr="00460CCE">
        <w:rPr>
          <w:rFonts w:ascii="Arial" w:eastAsia="Times New Roman" w:hAnsi="Arial" w:cs="Arial"/>
          <w:kern w:val="0"/>
          <w:lang w:eastAsia="en-GB"/>
          <w14:ligatures w14:val="none"/>
        </w:rPr>
        <w:t xml:space="preserve">Despite the </w:t>
      </w:r>
      <w:r>
        <w:rPr>
          <w:rFonts w:ascii="Arial" w:eastAsia="Times New Roman" w:hAnsi="Arial" w:cs="Arial"/>
          <w:kern w:val="0"/>
          <w:lang w:eastAsia="en-GB"/>
          <w14:ligatures w14:val="none"/>
        </w:rPr>
        <w:t>small</w:t>
      </w:r>
      <w:r w:rsidRPr="00460CCE">
        <w:rPr>
          <w:rFonts w:ascii="Arial" w:eastAsia="Times New Roman" w:hAnsi="Arial" w:cs="Arial"/>
          <w:kern w:val="0"/>
          <w:lang w:eastAsia="en-GB"/>
          <w14:ligatures w14:val="none"/>
        </w:rPr>
        <w:t xml:space="preserve"> sample size, the responses will be useful in offering insights into the research issue, albeit within the limits of the available data. </w:t>
      </w:r>
    </w:p>
    <w:p w14:paraId="73AD74B4" w14:textId="77777777" w:rsidR="00783CDA" w:rsidRDefault="00783CDA" w:rsidP="00783CDA">
      <w:pPr>
        <w:spacing w:after="0" w:line="360" w:lineRule="auto"/>
        <w:ind w:firstLine="720"/>
        <w:rPr>
          <w:rFonts w:ascii="Arial" w:eastAsia="Times New Roman" w:hAnsi="Arial" w:cs="Arial"/>
          <w:kern w:val="0"/>
          <w:lang w:eastAsia="en-GB"/>
          <w14:ligatures w14:val="none"/>
        </w:rPr>
      </w:pPr>
    </w:p>
    <w:p w14:paraId="1E4BEC29" w14:textId="131807B8" w:rsidR="005F0965" w:rsidRPr="00FD0B0B" w:rsidRDefault="002A6F6E" w:rsidP="00783CDA">
      <w:pPr>
        <w:spacing w:line="360" w:lineRule="auto"/>
        <w:ind w:firstLine="720"/>
        <w:rPr>
          <w:rFonts w:ascii="Arial" w:eastAsia="Times New Roman" w:hAnsi="Arial" w:cs="Arial"/>
          <w:kern w:val="0"/>
          <w:lang w:eastAsia="en-GB"/>
          <w14:ligatures w14:val="none"/>
        </w:rPr>
      </w:pPr>
      <w:r w:rsidRPr="002A6F6E">
        <w:rPr>
          <w:rFonts w:ascii="Arial" w:eastAsia="Times New Roman" w:hAnsi="Arial" w:cs="Arial"/>
          <w:kern w:val="0"/>
          <w:lang w:eastAsia="en-GB"/>
          <w14:ligatures w14:val="none"/>
        </w:rPr>
        <w:t xml:space="preserve">The type of analysis I will be using will be thematic analysis. </w:t>
      </w:r>
      <w:r>
        <w:rPr>
          <w:rFonts w:ascii="Arial" w:eastAsia="Times New Roman" w:hAnsi="Arial" w:cs="Arial"/>
          <w:kern w:val="0"/>
          <w:lang w:eastAsia="en-GB"/>
          <w14:ligatures w14:val="none"/>
        </w:rPr>
        <w:t>Braun and Clarke (2006) recorded that t</w:t>
      </w:r>
      <w:r w:rsidRPr="002A6F6E">
        <w:rPr>
          <w:rFonts w:ascii="Arial" w:eastAsia="Times New Roman" w:hAnsi="Arial" w:cs="Arial"/>
          <w:kern w:val="0"/>
          <w:lang w:eastAsia="en-GB"/>
          <w14:ligatures w14:val="none"/>
        </w:rPr>
        <w:t xml:space="preserve">hematic analysis is a qualitative research approach for identifying, analysing, and reporting patterns or themes in a dataset. It entails carefully organising and interpreting qualitative data, such as interview transcripts, focus group discussions, or open-ended survey results, </w:t>
      </w:r>
      <w:r w:rsidR="00783CDA" w:rsidRPr="002A6F6E">
        <w:rPr>
          <w:rFonts w:ascii="Arial" w:eastAsia="Times New Roman" w:hAnsi="Arial" w:cs="Arial"/>
          <w:kern w:val="0"/>
          <w:lang w:eastAsia="en-GB"/>
          <w14:ligatures w14:val="none"/>
        </w:rPr>
        <w:t>to</w:t>
      </w:r>
      <w:r w:rsidRPr="002A6F6E">
        <w:rPr>
          <w:rFonts w:ascii="Arial" w:eastAsia="Times New Roman" w:hAnsi="Arial" w:cs="Arial"/>
          <w:kern w:val="0"/>
          <w:lang w:eastAsia="en-GB"/>
          <w14:ligatures w14:val="none"/>
        </w:rPr>
        <w:t xml:space="preserve"> identify meaningful patterns, insights, or recurring concepts relevant to the research question or topic of interes</w:t>
      </w:r>
      <w:r>
        <w:rPr>
          <w:rFonts w:ascii="Arial" w:eastAsia="Times New Roman" w:hAnsi="Arial" w:cs="Arial"/>
          <w:kern w:val="0"/>
          <w:lang w:eastAsia="en-GB"/>
          <w14:ligatures w14:val="none"/>
        </w:rPr>
        <w:t>t (Braun and Clarke, 2006).</w:t>
      </w:r>
      <w:r w:rsidR="005F0965">
        <w:rPr>
          <w:rFonts w:ascii="Arial" w:eastAsia="Times New Roman" w:hAnsi="Arial" w:cs="Arial"/>
          <w:kern w:val="0"/>
          <w:lang w:eastAsia="en-GB"/>
          <w14:ligatures w14:val="none"/>
        </w:rPr>
        <w:t xml:space="preserve"> </w:t>
      </w:r>
      <w:r w:rsidR="005F0965" w:rsidRPr="005F0965">
        <w:rPr>
          <w:rFonts w:ascii="Arial" w:eastAsia="Times New Roman" w:hAnsi="Arial" w:cs="Arial"/>
          <w:kern w:val="0"/>
          <w:lang w:eastAsia="en-GB"/>
          <w14:ligatures w14:val="none"/>
        </w:rPr>
        <w:t>Thematic analysis is versatile in its use, making it appropriate for a wide range of study topics and datasets. Researchers can adjust the analytic procedure to their study's specific needs and aims, such as investigating participants' experiences, attitudes, beliefs, or behaviours. This adaptability enables the examination of a wide range of research questions, as well as the identification of relevant patterns or themes within qualitative data</w:t>
      </w:r>
      <w:r w:rsidR="005F0965">
        <w:rPr>
          <w:rFonts w:ascii="Arial" w:eastAsia="Times New Roman" w:hAnsi="Arial" w:cs="Arial"/>
          <w:kern w:val="0"/>
          <w:lang w:eastAsia="en-GB"/>
          <w14:ligatures w14:val="none"/>
        </w:rPr>
        <w:t xml:space="preserve">, but the limitation of this is </w:t>
      </w:r>
      <w:r w:rsidR="005F0965" w:rsidRPr="00FD0B0B">
        <w:rPr>
          <w:rFonts w:ascii="Arial" w:eastAsia="Times New Roman" w:hAnsi="Arial" w:cs="Arial"/>
          <w:kern w:val="0"/>
          <w:lang w:eastAsia="en-GB"/>
          <w14:ligatures w14:val="none"/>
        </w:rPr>
        <w:t>that it can be very time consuming (Holloway and Todres, 2003).</w:t>
      </w:r>
    </w:p>
    <w:p w14:paraId="4F3096D5" w14:textId="75749B90" w:rsidR="00FD0B0B" w:rsidRDefault="00FD0B0B" w:rsidP="00783CDA">
      <w:pPr>
        <w:spacing w:after="0" w:line="360" w:lineRule="auto"/>
        <w:ind w:firstLine="720"/>
        <w:rPr>
          <w:rFonts w:ascii="Arial" w:eastAsia="Times New Roman" w:hAnsi="Arial" w:cs="Arial"/>
          <w:kern w:val="0"/>
          <w:lang w:eastAsia="en-GB"/>
          <w14:ligatures w14:val="none"/>
        </w:rPr>
      </w:pPr>
      <w:r w:rsidRPr="00FD0B0B">
        <w:rPr>
          <w:rFonts w:ascii="Arial" w:eastAsia="Times New Roman" w:hAnsi="Arial" w:cs="Arial"/>
          <w:kern w:val="0"/>
          <w:lang w:eastAsia="en-GB"/>
          <w14:ligatures w14:val="none"/>
        </w:rPr>
        <w:lastRenderedPageBreak/>
        <w:t xml:space="preserve">Before analysing the interview transcripts and questionnaire replies, I familiarised myself with the data by thoroughly studying each transcript and response. Next, I created preliminary programmes to capture key concepts, themes, and patterns found in the data. These codes were applied systematically to all transcripts and replies to find similarities and differences. I then organised the coded data into overarching themes, grouping related codes to discover noteworthy patterns or topics. I then examined and revised these topics to ensure that they were coherent and relevant to the study objectives. Finally, I analysed the findings </w:t>
      </w:r>
      <w:proofErr w:type="gramStart"/>
      <w:r w:rsidRPr="00FD0B0B">
        <w:rPr>
          <w:rFonts w:ascii="Arial" w:eastAsia="Times New Roman" w:hAnsi="Arial" w:cs="Arial"/>
          <w:kern w:val="0"/>
          <w:lang w:eastAsia="en-GB"/>
          <w14:ligatures w14:val="none"/>
        </w:rPr>
        <w:t>in light of</w:t>
      </w:r>
      <w:proofErr w:type="gramEnd"/>
      <w:r w:rsidRPr="00FD0B0B">
        <w:rPr>
          <w:rFonts w:ascii="Arial" w:eastAsia="Times New Roman" w:hAnsi="Arial" w:cs="Arial"/>
          <w:kern w:val="0"/>
          <w:lang w:eastAsia="en-GB"/>
          <w14:ligatures w14:val="none"/>
        </w:rPr>
        <w:t xml:space="preserve"> the study question, offering inferences and insights based on the themes and patterns discovered in the data</w:t>
      </w:r>
      <w:r>
        <w:rPr>
          <w:rFonts w:ascii="Arial" w:eastAsia="Times New Roman" w:hAnsi="Arial" w:cs="Arial"/>
          <w:kern w:val="0"/>
          <w:lang w:eastAsia="en-GB"/>
          <w14:ligatures w14:val="none"/>
        </w:rPr>
        <w:t xml:space="preserve"> (Lester, Cho and </w:t>
      </w:r>
      <w:proofErr w:type="spellStart"/>
      <w:r>
        <w:rPr>
          <w:rFonts w:ascii="Arial" w:eastAsia="Times New Roman" w:hAnsi="Arial" w:cs="Arial"/>
          <w:kern w:val="0"/>
          <w:lang w:eastAsia="en-GB"/>
          <w14:ligatures w14:val="none"/>
        </w:rPr>
        <w:t>Lochmiller</w:t>
      </w:r>
      <w:proofErr w:type="spellEnd"/>
      <w:r>
        <w:rPr>
          <w:rFonts w:ascii="Arial" w:eastAsia="Times New Roman" w:hAnsi="Arial" w:cs="Arial"/>
          <w:kern w:val="0"/>
          <w:lang w:eastAsia="en-GB"/>
          <w14:ligatures w14:val="none"/>
        </w:rPr>
        <w:t>, 2020).</w:t>
      </w:r>
    </w:p>
    <w:p w14:paraId="53DCAE69" w14:textId="77777777" w:rsidR="00FD0B0B" w:rsidRDefault="00FD0B0B" w:rsidP="00783CDA">
      <w:pPr>
        <w:spacing w:after="0" w:line="360" w:lineRule="auto"/>
        <w:ind w:firstLine="720"/>
        <w:rPr>
          <w:rFonts w:ascii="Arial" w:eastAsia="Times New Roman" w:hAnsi="Arial" w:cs="Arial"/>
          <w:kern w:val="0"/>
          <w:lang w:eastAsia="en-GB"/>
          <w14:ligatures w14:val="none"/>
        </w:rPr>
      </w:pPr>
      <w:r w:rsidRPr="00FD0B0B">
        <w:rPr>
          <w:rFonts w:ascii="Arial" w:eastAsia="Times New Roman" w:hAnsi="Arial" w:cs="Arial"/>
          <w:kern w:val="0"/>
          <w:lang w:eastAsia="en-GB"/>
          <w14:ligatures w14:val="none"/>
        </w:rPr>
        <w:t>To verify trustworthiness, extensive notes were collected throughout encounters, parental and student agreement was sought, and the same questions were asked repeatedly over a five-day period. Thematic analysis was utilised to conduct thorough data analysis, increasing credibility.</w:t>
      </w:r>
    </w:p>
    <w:p w14:paraId="6B2EFA08" w14:textId="77777777" w:rsidR="00783CDA" w:rsidRDefault="00783CDA" w:rsidP="00783CDA">
      <w:pPr>
        <w:spacing w:after="0" w:line="360" w:lineRule="auto"/>
        <w:ind w:firstLine="720"/>
        <w:rPr>
          <w:rFonts w:ascii="Arial" w:eastAsia="Times New Roman" w:hAnsi="Arial" w:cs="Arial"/>
          <w:kern w:val="0"/>
          <w:lang w:eastAsia="en-GB"/>
          <w14:ligatures w14:val="none"/>
        </w:rPr>
      </w:pPr>
    </w:p>
    <w:p w14:paraId="63EFDAFE" w14:textId="03B1361E" w:rsidR="00783CDA" w:rsidRDefault="00FD0B0B" w:rsidP="00783CDA">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Ethical considerations</w:t>
      </w:r>
    </w:p>
    <w:p w14:paraId="7FEBFA8F" w14:textId="6CA700F0" w:rsidR="002631A7" w:rsidRPr="00473724" w:rsidRDefault="002631A7" w:rsidP="00783CDA">
      <w:pPr>
        <w:spacing w:after="0" w:line="360" w:lineRule="auto"/>
        <w:ind w:firstLine="720"/>
        <w:rPr>
          <w:rFonts w:ascii="Arial" w:eastAsia="Times New Roman" w:hAnsi="Arial" w:cs="Arial"/>
          <w:kern w:val="0"/>
          <w:lang w:eastAsia="en-GB"/>
          <w14:ligatures w14:val="none"/>
        </w:rPr>
      </w:pPr>
      <w:r w:rsidRPr="002631A7">
        <w:rPr>
          <w:rFonts w:ascii="Arial" w:eastAsia="Times New Roman" w:hAnsi="Arial" w:cs="Arial"/>
          <w:kern w:val="0"/>
          <w:lang w:eastAsia="en-GB"/>
          <w14:ligatures w14:val="none"/>
        </w:rPr>
        <w:t xml:space="preserve">Ethical issues are critical in any study or intervention involving human participants, particularly when working with vulnerable groups like children (Yip, Han and </w:t>
      </w:r>
      <w:proofErr w:type="spellStart"/>
      <w:r w:rsidRPr="002631A7">
        <w:rPr>
          <w:rFonts w:ascii="Arial" w:eastAsia="Times New Roman" w:hAnsi="Arial" w:cs="Arial"/>
          <w:kern w:val="0"/>
          <w:lang w:eastAsia="en-GB"/>
          <w14:ligatures w14:val="none"/>
        </w:rPr>
        <w:t>Sng</w:t>
      </w:r>
      <w:proofErr w:type="spellEnd"/>
      <w:r w:rsidRPr="002631A7">
        <w:rPr>
          <w:rFonts w:ascii="Arial" w:eastAsia="Times New Roman" w:hAnsi="Arial" w:cs="Arial"/>
          <w:kern w:val="0"/>
          <w:lang w:eastAsia="en-GB"/>
          <w14:ligatures w14:val="none"/>
        </w:rPr>
        <w:t>, 2016). In performing my study on well-being intervention with students, I used many ethical measures to secure the participants' safety and rights.</w:t>
      </w:r>
      <w:r w:rsidR="00473724">
        <w:rPr>
          <w:rFonts w:ascii="Arial" w:eastAsia="Times New Roman" w:hAnsi="Arial" w:cs="Arial"/>
          <w:kern w:val="0"/>
          <w:lang w:eastAsia="en-GB"/>
          <w14:ligatures w14:val="none"/>
        </w:rPr>
        <w:t xml:space="preserve"> Refer to Appendix A to see the ethics form.</w:t>
      </w:r>
    </w:p>
    <w:p w14:paraId="1ACC8E42" w14:textId="62ED2BBE" w:rsidR="002631A7" w:rsidRPr="002631A7" w:rsidRDefault="002631A7" w:rsidP="00783CDA">
      <w:pPr>
        <w:spacing w:after="0" w:line="360" w:lineRule="auto"/>
        <w:ind w:firstLine="720"/>
        <w:rPr>
          <w:rFonts w:ascii="Arial" w:eastAsia="Times New Roman" w:hAnsi="Arial" w:cs="Arial"/>
          <w:kern w:val="0"/>
          <w:lang w:eastAsia="en-GB"/>
          <w14:ligatures w14:val="none"/>
        </w:rPr>
      </w:pPr>
      <w:r>
        <w:rPr>
          <w:rFonts w:ascii="Arial" w:eastAsia="Times New Roman" w:hAnsi="Arial" w:cs="Arial"/>
          <w:kern w:val="0"/>
          <w:lang w:eastAsia="en-GB"/>
          <w14:ligatures w14:val="none"/>
        </w:rPr>
        <w:t>Kadam (2017) explained th</w:t>
      </w:r>
      <w:r w:rsidR="00643E48">
        <w:rPr>
          <w:rFonts w:ascii="Arial" w:eastAsia="Times New Roman" w:hAnsi="Arial" w:cs="Arial"/>
          <w:kern w:val="0"/>
          <w:lang w:eastAsia="en-GB"/>
          <w14:ligatures w14:val="none"/>
        </w:rPr>
        <w:t xml:space="preserve">at informed consent is important and to make sure the consent is communicated effectively. </w:t>
      </w:r>
      <w:r w:rsidRPr="002631A7">
        <w:rPr>
          <w:rFonts w:ascii="Arial" w:eastAsia="Times New Roman" w:hAnsi="Arial" w:cs="Arial"/>
          <w:kern w:val="0"/>
          <w:lang w:eastAsia="en-GB"/>
          <w14:ligatures w14:val="none"/>
        </w:rPr>
        <w:t>Before beginning the intervention and interviews, a full informed consent process was followed. Consent forms were sent to the pupils' parents or legal guardians, detailing the study's goal, methods, potential hazards, and benefits. Parents were given plenty of time to evaluate the facts and make an informed decision about their child's participation. The emphasis was on voluntary participation, and parents were told that their child's comments would be kept personal and anonymous</w:t>
      </w:r>
      <w:r>
        <w:rPr>
          <w:rFonts w:ascii="Arial" w:eastAsia="Times New Roman" w:hAnsi="Arial" w:cs="Arial"/>
          <w:kern w:val="0"/>
          <w:lang w:eastAsia="en-GB"/>
          <w14:ligatures w14:val="none"/>
        </w:rPr>
        <w:t xml:space="preserve">. </w:t>
      </w:r>
    </w:p>
    <w:p w14:paraId="6EB087ED" w14:textId="1EA30435" w:rsidR="002631A7" w:rsidRDefault="00643E48" w:rsidP="00783CDA">
      <w:pPr>
        <w:spacing w:after="0" w:line="360" w:lineRule="auto"/>
        <w:ind w:firstLine="720"/>
        <w:rPr>
          <w:rFonts w:ascii="Arial" w:eastAsia="Times New Roman" w:hAnsi="Arial" w:cs="Arial"/>
          <w:kern w:val="0"/>
          <w:lang w:eastAsia="en-GB"/>
          <w14:ligatures w14:val="none"/>
        </w:rPr>
      </w:pPr>
      <w:r w:rsidRPr="00643E48">
        <w:rPr>
          <w:rFonts w:ascii="Arial" w:eastAsia="Times New Roman" w:hAnsi="Arial" w:cs="Arial"/>
          <w:kern w:val="0"/>
          <w:lang w:eastAsia="en-GB"/>
          <w14:ligatures w14:val="none"/>
        </w:rPr>
        <w:t xml:space="preserve">Johnson, Hart, and Colwell (2014) emphasised the necessity of using visual aids to assist young learners and making participants feel empowered by giving them the option to engage or not participate. </w:t>
      </w:r>
      <w:r w:rsidR="002631A7" w:rsidRPr="002631A7">
        <w:rPr>
          <w:rFonts w:ascii="Arial" w:eastAsia="Times New Roman" w:hAnsi="Arial" w:cs="Arial"/>
          <w:kern w:val="0"/>
          <w:lang w:eastAsia="en-GB"/>
          <w14:ligatures w14:val="none"/>
        </w:rPr>
        <w:t>Additionally, steps were taken to seek consent from the students themselves. Recognising the necessity of assuring children's comprehension and willingness to engage, I created a visual assent technique with stickers. Pupils were given stickers that indicated their desire to engage in the intervention or interview. If students felt comfortable participating, they selected a sticker and placed it to their jumper. If they were uncomfortable, they avoided selecting a sticker. This visual cue provided a clear indicator of each student's willingness to participate in the study while maintaining their autonomy and preferences</w:t>
      </w:r>
      <w:r w:rsidRPr="00643E48">
        <w:rPr>
          <w:rFonts w:ascii="Arial" w:eastAsia="Times New Roman" w:hAnsi="Arial" w:cs="Arial"/>
          <w:kern w:val="0"/>
          <w:lang w:eastAsia="en-GB"/>
          <w14:ligatures w14:val="none"/>
        </w:rPr>
        <w:t xml:space="preserve">. </w:t>
      </w:r>
    </w:p>
    <w:p w14:paraId="41A5A167" w14:textId="0A2DD492" w:rsidR="00C25991" w:rsidRDefault="002631A7" w:rsidP="00783CDA">
      <w:pPr>
        <w:spacing w:after="0" w:line="360" w:lineRule="auto"/>
        <w:ind w:firstLine="720"/>
        <w:rPr>
          <w:rFonts w:ascii="Arial" w:eastAsia="Times New Roman" w:hAnsi="Arial" w:cs="Arial"/>
          <w:kern w:val="0"/>
          <w:lang w:eastAsia="en-GB"/>
          <w14:ligatures w14:val="none"/>
        </w:rPr>
      </w:pPr>
      <w:r w:rsidRPr="002631A7">
        <w:rPr>
          <w:rFonts w:ascii="Arial" w:eastAsia="Times New Roman" w:hAnsi="Arial" w:cs="Arial"/>
          <w:kern w:val="0"/>
          <w:lang w:eastAsia="en-GB"/>
          <w14:ligatures w14:val="none"/>
        </w:rPr>
        <w:lastRenderedPageBreak/>
        <w:t>Throughout the intervention and interview sessions, all interactions were sensitive and respectful of the students' feelings and boundaries. Open communication lines were maintained, allowing students to report any problems or discomfort they had encountered. Any questions or concerns made by students were answered swiftly and transparently, promoting a trusting and supportive environment</w:t>
      </w:r>
      <w:r w:rsidR="00643E48">
        <w:rPr>
          <w:rFonts w:ascii="Arial" w:eastAsia="Times New Roman" w:hAnsi="Arial" w:cs="Arial"/>
          <w:kern w:val="0"/>
          <w:lang w:eastAsia="en-GB"/>
          <w14:ligatures w14:val="none"/>
        </w:rPr>
        <w:t>.</w:t>
      </w:r>
    </w:p>
    <w:p w14:paraId="27AA8E48" w14:textId="01D171D6" w:rsidR="00FD0B0B" w:rsidRDefault="002631A7" w:rsidP="00783CDA">
      <w:pPr>
        <w:spacing w:after="0" w:line="360" w:lineRule="auto"/>
        <w:ind w:firstLine="720"/>
        <w:rPr>
          <w:rFonts w:ascii="Arial" w:hAnsi="Arial" w:cs="Arial"/>
          <w:color w:val="0D0D0D"/>
          <w:shd w:val="clear" w:color="auto" w:fill="FFFFFF"/>
        </w:rPr>
      </w:pPr>
      <w:r w:rsidRPr="002631A7">
        <w:rPr>
          <w:rFonts w:ascii="Arial" w:hAnsi="Arial" w:cs="Arial"/>
          <w:color w:val="0D0D0D"/>
          <w:shd w:val="clear" w:color="auto" w:fill="FFFFFF"/>
        </w:rPr>
        <w:t>By adhering to these ethical guidelines and procedures, I aimed to uphold the principles of respect, beneficence, and justice in my research and intervention activities, prioritizing the well-being and rights of the participating pupils.</w:t>
      </w:r>
      <w:r>
        <w:rPr>
          <w:rFonts w:ascii="Arial" w:hAnsi="Arial" w:cs="Arial"/>
          <w:color w:val="0D0D0D"/>
          <w:shd w:val="clear" w:color="auto" w:fill="FFFFFF"/>
        </w:rPr>
        <w:t xml:space="preserve"> Using the BERA (2018) to make sure my procedures were ethical. </w:t>
      </w:r>
    </w:p>
    <w:p w14:paraId="0F614A6B" w14:textId="77777777" w:rsidR="00783CDA" w:rsidRDefault="00783CDA" w:rsidP="00783CDA">
      <w:pPr>
        <w:spacing w:after="0" w:line="360" w:lineRule="auto"/>
        <w:rPr>
          <w:rFonts w:ascii="Arial" w:hAnsi="Arial" w:cs="Arial"/>
          <w:color w:val="0D0D0D"/>
          <w:shd w:val="clear" w:color="auto" w:fill="FFFFFF"/>
        </w:rPr>
      </w:pPr>
    </w:p>
    <w:p w14:paraId="56225D87" w14:textId="35015687" w:rsidR="00473724" w:rsidRDefault="00473724" w:rsidP="00783CDA">
      <w:pPr>
        <w:spacing w:after="0" w:line="360" w:lineRule="auto"/>
        <w:rPr>
          <w:rFonts w:ascii="Arial" w:hAnsi="Arial" w:cs="Arial"/>
          <w:b/>
          <w:bCs/>
          <w:color w:val="0D0D0D"/>
          <w:shd w:val="clear" w:color="auto" w:fill="FFFFFF"/>
        </w:rPr>
      </w:pPr>
      <w:r>
        <w:rPr>
          <w:rFonts w:ascii="Arial" w:hAnsi="Arial" w:cs="Arial"/>
          <w:b/>
          <w:bCs/>
          <w:color w:val="0D0D0D"/>
          <w:shd w:val="clear" w:color="auto" w:fill="FFFFFF"/>
        </w:rPr>
        <w:t>Results/Analysis of results/Discussion</w:t>
      </w:r>
    </w:p>
    <w:p w14:paraId="57AAF069" w14:textId="6DC6CA83" w:rsidR="005F0965" w:rsidRPr="00185A56" w:rsidRDefault="00211D90" w:rsidP="00783CDA">
      <w:pPr>
        <w:spacing w:line="360" w:lineRule="auto"/>
        <w:ind w:firstLine="720"/>
        <w:rPr>
          <w:rFonts w:ascii="Arial" w:eastAsia="Times New Roman" w:hAnsi="Arial" w:cs="Arial"/>
          <w:kern w:val="0"/>
          <w:lang w:eastAsia="en-GB"/>
          <w14:ligatures w14:val="none"/>
        </w:rPr>
      </w:pPr>
      <w:r w:rsidRPr="00185A56">
        <w:rPr>
          <w:rFonts w:ascii="Arial" w:eastAsia="Times New Roman" w:hAnsi="Arial" w:cs="Arial"/>
          <w:kern w:val="0"/>
          <w:lang w:eastAsia="en-GB"/>
          <w14:ligatures w14:val="none"/>
        </w:rPr>
        <w:t>The findings from the research project revealed a consistent trend among pupils expressing their fondness for classroom play and its positive impact on their emotional well-being. Notably, student X conveyed a sense of excitement associated with engaging in classroom games, highlighting the joy and enthusiasm elicited by such activities. Additionally, another student articulated feeling relaxed and less stressed during playtime, indicating a potential stress-relief function of classroom play. Aligning with these pupil perspectives, teachers responded on the questionnaire the sentiment on the importance of play for student well-bein</w:t>
      </w:r>
      <w:r w:rsidR="00FA35D7" w:rsidRPr="00185A56">
        <w:rPr>
          <w:rFonts w:ascii="Arial" w:eastAsia="Times New Roman" w:hAnsi="Arial" w:cs="Arial"/>
          <w:kern w:val="0"/>
          <w:lang w:eastAsia="en-GB"/>
          <w14:ligatures w14:val="none"/>
        </w:rPr>
        <w:t>g (Refer to Appendix B for the questions on the questionnaire).</w:t>
      </w:r>
      <w:r w:rsidRPr="00185A56">
        <w:rPr>
          <w:rFonts w:ascii="Arial" w:eastAsia="Times New Roman" w:hAnsi="Arial" w:cs="Arial"/>
          <w:kern w:val="0"/>
          <w:lang w:eastAsia="en-GB"/>
          <w14:ligatures w14:val="none"/>
        </w:rPr>
        <w:t xml:space="preserve"> One other response noted heightened student engagement and focus following play breaks, suggesting a positive influence on academic performance. Similarly, another response highlighted the noticeable enhancement in students' social skills attributed to collaborative play experiences. These collective responses from both pupils and teachers underscore the significant role of classroom play in fostering a positive learning environment and enhancing student well-being.</w:t>
      </w:r>
    </w:p>
    <w:p w14:paraId="27FB4F61" w14:textId="0F36199B" w:rsidR="00DD6CE6" w:rsidRPr="00185A56" w:rsidRDefault="00DD6CE6" w:rsidP="00783CDA">
      <w:pPr>
        <w:spacing w:line="360" w:lineRule="auto"/>
        <w:ind w:firstLine="720"/>
        <w:rPr>
          <w:rFonts w:ascii="Arial" w:eastAsia="Times New Roman" w:hAnsi="Arial" w:cs="Arial"/>
          <w:kern w:val="0"/>
          <w:lang w:eastAsia="en-GB"/>
          <w14:ligatures w14:val="none"/>
        </w:rPr>
      </w:pPr>
      <w:r w:rsidRPr="00185A56">
        <w:rPr>
          <w:rFonts w:ascii="Arial" w:eastAsia="Times New Roman" w:hAnsi="Arial" w:cs="Arial"/>
          <w:kern w:val="0"/>
          <w:lang w:eastAsia="en-GB"/>
          <w14:ligatures w14:val="none"/>
        </w:rPr>
        <w:t xml:space="preserve">The outcomes of the study endeavour support current literature emphasising the positive impact of classroom play on student wellbeing. Our findings are consistent with previous research (Bruner, J. S., 1972; Becker </w:t>
      </w:r>
      <w:r w:rsidRPr="00185A56">
        <w:rPr>
          <w:rFonts w:ascii="Arial" w:eastAsia="Times New Roman" w:hAnsi="Arial" w:cs="Arial"/>
          <w:i/>
          <w:iCs/>
          <w:kern w:val="0"/>
          <w:lang w:eastAsia="en-GB"/>
          <w14:ligatures w14:val="none"/>
        </w:rPr>
        <w:t xml:space="preserve">et al, </w:t>
      </w:r>
      <w:r w:rsidRPr="00185A56">
        <w:rPr>
          <w:rFonts w:ascii="Arial" w:eastAsia="Times New Roman" w:hAnsi="Arial" w:cs="Arial"/>
          <w:kern w:val="0"/>
          <w:lang w:eastAsia="en-GB"/>
          <w14:ligatures w14:val="none"/>
        </w:rPr>
        <w:t>2014), highlighting the significance of play in fostering emotional involvement and stress reduction among students. The students' expressions of enthusiasm and relaxation are consistent with literature indicating that play activities promote pleasant emotions and reduce academic stress (</w:t>
      </w:r>
      <w:r w:rsidRPr="00185A56">
        <w:rPr>
          <w:rFonts w:ascii="Arial" w:hAnsi="Arial" w:cs="Arial"/>
        </w:rPr>
        <w:t xml:space="preserve">Bjorklund, 1998). </w:t>
      </w:r>
      <w:r w:rsidRPr="00185A56">
        <w:rPr>
          <w:rFonts w:ascii="Arial" w:eastAsia="Times New Roman" w:hAnsi="Arial" w:cs="Arial"/>
          <w:kern w:val="0"/>
          <w:lang w:eastAsia="en-GB"/>
          <w14:ligatures w14:val="none"/>
        </w:rPr>
        <w:t xml:space="preserve">Furthermore, instructors' observations of increased student involvement and improved social skills following play sessions support prior research suggesting play's multidimensional benefits in aiding cognitive and social development (Dansky, 1980; </w:t>
      </w:r>
      <w:proofErr w:type="spellStart"/>
      <w:r w:rsidRPr="00185A56">
        <w:rPr>
          <w:rFonts w:ascii="Arial" w:eastAsia="Times New Roman" w:hAnsi="Arial" w:cs="Arial"/>
          <w:kern w:val="0"/>
          <w:lang w:eastAsia="en-GB"/>
          <w14:ligatures w14:val="none"/>
        </w:rPr>
        <w:t>Bodrova</w:t>
      </w:r>
      <w:proofErr w:type="spellEnd"/>
      <w:r w:rsidRPr="00185A56">
        <w:rPr>
          <w:rFonts w:ascii="Arial" w:eastAsia="Times New Roman" w:hAnsi="Arial" w:cs="Arial"/>
          <w:kern w:val="0"/>
          <w:lang w:eastAsia="en-GB"/>
          <w14:ligatures w14:val="none"/>
        </w:rPr>
        <w:t xml:space="preserve"> </w:t>
      </w:r>
      <w:r w:rsidRPr="00185A56">
        <w:rPr>
          <w:rFonts w:ascii="Arial" w:eastAsia="Times New Roman" w:hAnsi="Arial" w:cs="Arial"/>
          <w:i/>
          <w:iCs/>
          <w:kern w:val="0"/>
          <w:lang w:eastAsia="en-GB"/>
          <w14:ligatures w14:val="none"/>
        </w:rPr>
        <w:t xml:space="preserve">et al, </w:t>
      </w:r>
      <w:r w:rsidRPr="00185A56">
        <w:rPr>
          <w:rFonts w:ascii="Arial" w:eastAsia="Times New Roman" w:hAnsi="Arial" w:cs="Arial"/>
          <w:kern w:val="0"/>
          <w:lang w:eastAsia="en-GB"/>
          <w14:ligatures w14:val="none"/>
        </w:rPr>
        <w:t>2013). Overall, our findings add to the expanding body of evidence that supports the use of play-</w:t>
      </w:r>
      <w:r w:rsidRPr="00185A56">
        <w:rPr>
          <w:rFonts w:ascii="Arial" w:eastAsia="Times New Roman" w:hAnsi="Arial" w:cs="Arial"/>
          <w:kern w:val="0"/>
          <w:lang w:eastAsia="en-GB"/>
          <w14:ligatures w14:val="none"/>
        </w:rPr>
        <w:lastRenderedPageBreak/>
        <w:t>based techniques in educational settings to promote student well-being and holistic development.</w:t>
      </w:r>
    </w:p>
    <w:p w14:paraId="7C9352AF" w14:textId="40117BDE" w:rsidR="00375A6E" w:rsidRDefault="00185A56" w:rsidP="00783CDA">
      <w:pPr>
        <w:spacing w:line="360" w:lineRule="auto"/>
        <w:ind w:firstLine="720"/>
        <w:rPr>
          <w:rFonts w:ascii="Arial" w:eastAsia="Times New Roman" w:hAnsi="Arial" w:cs="Arial"/>
          <w:kern w:val="0"/>
          <w:lang w:eastAsia="en-GB"/>
          <w14:ligatures w14:val="none"/>
        </w:rPr>
      </w:pPr>
      <w:r w:rsidRPr="00185A56">
        <w:rPr>
          <w:rFonts w:ascii="Arial" w:eastAsia="Times New Roman" w:hAnsi="Arial" w:cs="Arial"/>
          <w:kern w:val="0"/>
          <w:lang w:eastAsia="en-GB"/>
          <w14:ligatures w14:val="none"/>
        </w:rPr>
        <w:t>However, w</w:t>
      </w:r>
      <w:r w:rsidR="00375A6E" w:rsidRPr="00185A56">
        <w:rPr>
          <w:rFonts w:ascii="Arial" w:eastAsia="Times New Roman" w:hAnsi="Arial" w:cs="Arial"/>
          <w:kern w:val="0"/>
          <w:lang w:eastAsia="en-GB"/>
          <w14:ligatures w14:val="none"/>
        </w:rPr>
        <w:t xml:space="preserve">hile there is a large body of data showing the benefits of classroom play on student well-being, some argue that it is ineffective or advocate for alternative approaches to boosting student welfare. Rogers (2010) articulates one such position in his critique of play-based learning. They claim that an overemphasis on play in the classroom can detract from academic rigour and impede the development of critical cognitive abilities. </w:t>
      </w:r>
    </w:p>
    <w:p w14:paraId="1B204F44" w14:textId="646A4380" w:rsidR="00185A56" w:rsidRPr="0005025D" w:rsidRDefault="00185A56" w:rsidP="0005025D">
      <w:pPr>
        <w:spacing w:line="360" w:lineRule="auto"/>
        <w:rPr>
          <w:rFonts w:ascii="Arial" w:eastAsia="Times New Roman" w:hAnsi="Arial" w:cs="Arial"/>
          <w:b/>
          <w:bCs/>
          <w:kern w:val="0"/>
          <w:lang w:eastAsia="en-GB"/>
          <w14:ligatures w14:val="none"/>
        </w:rPr>
      </w:pPr>
      <w:r w:rsidRPr="0005025D">
        <w:rPr>
          <w:rFonts w:ascii="Arial" w:eastAsia="Times New Roman" w:hAnsi="Arial" w:cs="Arial"/>
          <w:b/>
          <w:bCs/>
          <w:kern w:val="0"/>
          <w:lang w:eastAsia="en-GB"/>
          <w14:ligatures w14:val="none"/>
        </w:rPr>
        <w:t>Questionnaire responses</w:t>
      </w:r>
    </w:p>
    <w:p w14:paraId="03336BD8" w14:textId="5B9ADB78" w:rsidR="00185A56" w:rsidRDefault="00185A56" w:rsidP="00783CDA">
      <w:pPr>
        <w:spacing w:line="360" w:lineRule="auto"/>
        <w:ind w:firstLine="720"/>
        <w:rPr>
          <w:rFonts w:ascii="Arial" w:eastAsia="Times New Roman" w:hAnsi="Arial" w:cs="Arial"/>
          <w:kern w:val="0"/>
          <w:lang w:eastAsia="en-GB"/>
          <w14:ligatures w14:val="none"/>
        </w:rPr>
      </w:pPr>
      <w:r>
        <w:rPr>
          <w:noProof/>
        </w:rPr>
        <w:drawing>
          <wp:inline distT="0" distB="0" distL="0" distR="0" wp14:anchorId="448B7D93" wp14:editId="2E93E4B5">
            <wp:extent cx="5731510" cy="2721610"/>
            <wp:effectExtent l="0" t="0" r="2540" b="2540"/>
            <wp:docPr id="834414317" name="Picture 1" descr="Forms response chart. Question title: How important do you think it is to integrate play into the curriculum for promoting pupil well-being?&#10;. Number of responses: 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important do you think it is to integrate play into the curriculum for promoting pupil well-being?&#10;. Number of responses: 2 respon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721610"/>
                    </a:xfrm>
                    <a:prstGeom prst="rect">
                      <a:avLst/>
                    </a:prstGeom>
                    <a:noFill/>
                    <a:ln>
                      <a:noFill/>
                    </a:ln>
                  </pic:spPr>
                </pic:pic>
              </a:graphicData>
            </a:graphic>
          </wp:inline>
        </w:drawing>
      </w:r>
    </w:p>
    <w:p w14:paraId="00BF0686" w14:textId="762BA264" w:rsidR="002F29D7" w:rsidRDefault="00185A56" w:rsidP="00783CDA">
      <w:pPr>
        <w:spacing w:line="360" w:lineRule="auto"/>
        <w:ind w:firstLine="720"/>
        <w:rPr>
          <w:rFonts w:ascii="Arial" w:eastAsia="Times New Roman" w:hAnsi="Arial" w:cs="Arial"/>
          <w:kern w:val="0"/>
          <w:lang w:eastAsia="en-GB"/>
          <w14:ligatures w14:val="none"/>
        </w:rPr>
      </w:pPr>
      <w:r w:rsidRPr="002F29D7">
        <w:rPr>
          <w:rFonts w:ascii="Arial" w:eastAsia="Times New Roman" w:hAnsi="Arial" w:cs="Arial"/>
          <w:kern w:val="0"/>
          <w:lang w:eastAsia="en-GB"/>
          <w14:ligatures w14:val="none"/>
        </w:rPr>
        <w:t xml:space="preserve">Both respondents who completed my questionnaire provided positive feedback, indicating that they believe play plays a significant role in promoting pupil well-being, particularly within the curriculum. </w:t>
      </w:r>
      <w:r w:rsidR="002F29D7" w:rsidRPr="002F29D7">
        <w:rPr>
          <w:rFonts w:ascii="Arial" w:eastAsia="Times New Roman" w:hAnsi="Arial" w:cs="Arial"/>
          <w:kern w:val="0"/>
          <w:lang w:eastAsia="en-GB"/>
          <w14:ligatures w14:val="none"/>
        </w:rPr>
        <w:t>In the Health and Well-being sector of the New Curriculum for Wales, respondents' selections about the positive influence of play on pupil well-being closely match the learning objectives listed in this area. Recognising the role of play in improving emotional intelligence and mental health, the respondents emphasise the need of giving pupils opportunity to develop emotional awareness, control, and expression. Their awareness of play as a tool for managing experiences and cultivating empathy, compassion, and kindness is consistent with the goals of this learning area, emphasising the importance of emotional well-being in learners' overall growth and advancement</w:t>
      </w:r>
      <w:r w:rsidR="002F29D7">
        <w:rPr>
          <w:rFonts w:ascii="Arial" w:eastAsia="Times New Roman" w:hAnsi="Arial" w:cs="Arial"/>
          <w:kern w:val="0"/>
          <w:lang w:eastAsia="en-GB"/>
          <w14:ligatures w14:val="none"/>
        </w:rPr>
        <w:t xml:space="preserve"> (GOV, 2024).</w:t>
      </w:r>
    </w:p>
    <w:p w14:paraId="6FCF9F87" w14:textId="7A7AF04F" w:rsidR="002F29D7" w:rsidRDefault="002F29D7" w:rsidP="00783CDA">
      <w:pPr>
        <w:spacing w:line="360" w:lineRule="auto"/>
        <w:ind w:firstLine="720"/>
        <w:rPr>
          <w:rFonts w:ascii="Arial" w:eastAsia="Times New Roman" w:hAnsi="Arial" w:cs="Arial"/>
          <w:kern w:val="0"/>
          <w:lang w:eastAsia="en-GB"/>
          <w14:ligatures w14:val="none"/>
        </w:rPr>
      </w:pPr>
      <w:r>
        <w:rPr>
          <w:noProof/>
        </w:rPr>
        <w:lastRenderedPageBreak/>
        <w:drawing>
          <wp:inline distT="0" distB="0" distL="0" distR="0" wp14:anchorId="43472408" wp14:editId="1E37AA36">
            <wp:extent cx="5731510" cy="2596515"/>
            <wp:effectExtent l="0" t="0" r="2540" b="0"/>
            <wp:docPr id="3780395" name="Picture 2" descr="Forms response chart. Question title: Have you observed any noticeable improvements in pupil well-being since incorporating positive classroom play?&#10;. Number of responses: 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ave you observed any noticeable improvements in pupil well-being since incorporating positive classroom play?&#10;. Number of responses: 2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inline>
        </w:drawing>
      </w:r>
    </w:p>
    <w:p w14:paraId="23C36826" w14:textId="3FF6809E" w:rsidR="001638F7" w:rsidRDefault="001638F7" w:rsidP="00783CDA">
      <w:pPr>
        <w:spacing w:after="0" w:line="360" w:lineRule="auto"/>
        <w:ind w:firstLine="720"/>
        <w:rPr>
          <w:rFonts w:ascii="Arial" w:eastAsia="Times New Roman" w:hAnsi="Arial" w:cs="Arial"/>
          <w:kern w:val="0"/>
          <w:lang w:eastAsia="en-GB"/>
          <w14:ligatures w14:val="none"/>
        </w:rPr>
      </w:pPr>
      <w:r w:rsidRPr="001638F7">
        <w:rPr>
          <w:rFonts w:ascii="Arial" w:eastAsia="Times New Roman" w:hAnsi="Arial" w:cs="Arial"/>
          <w:kern w:val="0"/>
          <w:lang w:eastAsia="en-GB"/>
          <w14:ligatures w14:val="none"/>
        </w:rPr>
        <w:t xml:space="preserve">Both respondents indicated optimism, with one citing observable improvements in student well-being and the other emphasising considerable gains. These comments demonstrate the benefits of incorporating classroom play into daily learning activities for kids' general well-being and mental health. However, notwithstanding the respondents' findings, other research, such as that conducted by Lee </w:t>
      </w:r>
      <w:r w:rsidRPr="001638F7">
        <w:rPr>
          <w:rFonts w:ascii="Arial" w:eastAsia="Times New Roman" w:hAnsi="Arial" w:cs="Arial"/>
          <w:i/>
          <w:iCs/>
          <w:kern w:val="0"/>
          <w:lang w:eastAsia="en-GB"/>
          <w14:ligatures w14:val="none"/>
        </w:rPr>
        <w:t xml:space="preserve">et al </w:t>
      </w:r>
      <w:r w:rsidRPr="001638F7">
        <w:rPr>
          <w:rFonts w:ascii="Arial" w:eastAsia="Times New Roman" w:hAnsi="Arial" w:cs="Arial"/>
          <w:kern w:val="0"/>
          <w:lang w:eastAsia="en-GB"/>
          <w14:ligatures w14:val="none"/>
        </w:rPr>
        <w:t xml:space="preserve">(2020), call into question the relationship between classroom </w:t>
      </w:r>
      <w:r w:rsidR="00C0370C" w:rsidRPr="001638F7">
        <w:rPr>
          <w:rFonts w:ascii="Arial" w:eastAsia="Times New Roman" w:hAnsi="Arial" w:cs="Arial"/>
          <w:kern w:val="0"/>
          <w:lang w:eastAsia="en-GB"/>
          <w14:ligatures w14:val="none"/>
        </w:rPr>
        <w:t>plays</w:t>
      </w:r>
      <w:r w:rsidRPr="001638F7">
        <w:rPr>
          <w:rFonts w:ascii="Arial" w:eastAsia="Times New Roman" w:hAnsi="Arial" w:cs="Arial"/>
          <w:kern w:val="0"/>
          <w:lang w:eastAsia="en-GB"/>
          <w14:ligatures w14:val="none"/>
        </w:rPr>
        <w:t xml:space="preserve"> and student well-being. They believe that there is inadequate data to support the claim that incorporating play into early learning contexts improves student well-being.</w:t>
      </w:r>
      <w:r w:rsidR="00C0370C">
        <w:rPr>
          <w:rFonts w:ascii="Arial" w:eastAsia="Times New Roman" w:hAnsi="Arial" w:cs="Arial"/>
          <w:kern w:val="0"/>
          <w:lang w:eastAsia="en-GB"/>
          <w14:ligatures w14:val="none"/>
        </w:rPr>
        <w:t xml:space="preserve"> </w:t>
      </w:r>
      <w:r w:rsidR="00C0370C" w:rsidRPr="00C0370C">
        <w:rPr>
          <w:rFonts w:ascii="Arial" w:eastAsia="Times New Roman" w:hAnsi="Arial" w:cs="Arial"/>
          <w:kern w:val="0"/>
          <w:lang w:eastAsia="en-GB"/>
          <w14:ligatures w14:val="none"/>
        </w:rPr>
        <w:t xml:space="preserve">By gathering responses from teachers who had witnessed noticeable improvements in student well-being through the incorporation of classroom play, our research provided a critique of Lee </w:t>
      </w:r>
      <w:r w:rsidR="00C0370C" w:rsidRPr="00C0370C">
        <w:rPr>
          <w:rFonts w:ascii="Arial" w:eastAsia="Times New Roman" w:hAnsi="Arial" w:cs="Arial"/>
          <w:i/>
          <w:iCs/>
          <w:kern w:val="0"/>
          <w:lang w:eastAsia="en-GB"/>
          <w14:ligatures w14:val="none"/>
        </w:rPr>
        <w:t>et al</w:t>
      </w:r>
      <w:r w:rsidR="00C0370C" w:rsidRPr="00C0370C">
        <w:rPr>
          <w:rFonts w:ascii="Arial" w:eastAsia="Times New Roman" w:hAnsi="Arial" w:cs="Arial"/>
          <w:kern w:val="0"/>
          <w:lang w:eastAsia="en-GB"/>
          <w14:ligatures w14:val="none"/>
        </w:rPr>
        <w:t xml:space="preserve"> (2020) opinion. While Lee </w:t>
      </w:r>
      <w:r w:rsidR="00C0370C" w:rsidRPr="00C0370C">
        <w:rPr>
          <w:rFonts w:ascii="Arial" w:eastAsia="Times New Roman" w:hAnsi="Arial" w:cs="Arial"/>
          <w:i/>
          <w:iCs/>
          <w:kern w:val="0"/>
          <w:lang w:eastAsia="en-GB"/>
          <w14:ligatures w14:val="none"/>
        </w:rPr>
        <w:t>et al</w:t>
      </w:r>
      <w:r w:rsidR="00C0370C">
        <w:rPr>
          <w:rFonts w:ascii="Arial" w:eastAsia="Times New Roman" w:hAnsi="Arial" w:cs="Arial"/>
          <w:i/>
          <w:iCs/>
          <w:kern w:val="0"/>
          <w:lang w:eastAsia="en-GB"/>
          <w14:ligatures w14:val="none"/>
        </w:rPr>
        <w:t xml:space="preserve"> </w:t>
      </w:r>
      <w:r w:rsidR="00C0370C" w:rsidRPr="00C0370C">
        <w:rPr>
          <w:rFonts w:ascii="Arial" w:eastAsia="Times New Roman" w:hAnsi="Arial" w:cs="Arial"/>
          <w:kern w:val="0"/>
          <w:lang w:eastAsia="en-GB"/>
          <w14:ligatures w14:val="none"/>
        </w:rPr>
        <w:t>(2020)</w:t>
      </w:r>
      <w:r w:rsidR="00C0370C">
        <w:rPr>
          <w:rFonts w:ascii="Arial" w:eastAsia="Times New Roman" w:hAnsi="Arial" w:cs="Arial"/>
          <w:i/>
          <w:iCs/>
          <w:kern w:val="0"/>
          <w:lang w:eastAsia="en-GB"/>
          <w14:ligatures w14:val="none"/>
        </w:rPr>
        <w:t xml:space="preserve"> </w:t>
      </w:r>
      <w:r w:rsidR="00C0370C" w:rsidRPr="00C0370C">
        <w:rPr>
          <w:rFonts w:ascii="Arial" w:eastAsia="Times New Roman" w:hAnsi="Arial" w:cs="Arial"/>
          <w:kern w:val="0"/>
          <w:lang w:eastAsia="en-GB"/>
          <w14:ligatures w14:val="none"/>
        </w:rPr>
        <w:t>questioned the effectiveness of classroom play in promoting student well-being due to a lack of convincing evidence, our findings offered firsthand accounts from educators who had observed positive outcomes in their own classrooms. This discrepancy highlighted the importance of considering real-world experiences and perspectives alongside empirical research when evaluating the impact of educational practices on student well-being.</w:t>
      </w:r>
    </w:p>
    <w:p w14:paraId="5AEAEE7F" w14:textId="77777777" w:rsidR="00C25991" w:rsidRPr="00C25991" w:rsidRDefault="00C25991" w:rsidP="00783CDA">
      <w:pPr>
        <w:spacing w:after="0" w:line="360" w:lineRule="auto"/>
        <w:ind w:firstLine="720"/>
        <w:rPr>
          <w:rFonts w:ascii="Arial" w:eastAsia="Times New Roman" w:hAnsi="Arial" w:cs="Arial"/>
          <w:kern w:val="0"/>
          <w:lang w:eastAsia="en-GB"/>
          <w14:ligatures w14:val="none"/>
        </w:rPr>
      </w:pPr>
      <w:r w:rsidRPr="00C25991">
        <w:rPr>
          <w:rFonts w:ascii="Arial" w:eastAsia="Times New Roman" w:hAnsi="Arial" w:cs="Arial"/>
          <w:kern w:val="0"/>
          <w:lang w:eastAsia="en-GB"/>
          <w14:ligatures w14:val="none"/>
        </w:rPr>
        <w:t>Data refers to the information gathered and analysed during a research investigation. In this case, the data gathered from questionnaire responses and semi-structured interviews revealed insights into both instructors' and students' opinions and experiences with the impact of classroom play on student well-being.</w:t>
      </w:r>
    </w:p>
    <w:p w14:paraId="2763A583" w14:textId="77777777" w:rsidR="00C25991" w:rsidRDefault="00C25991" w:rsidP="00783CDA">
      <w:pPr>
        <w:spacing w:after="0" w:line="360" w:lineRule="auto"/>
        <w:ind w:firstLine="720"/>
        <w:rPr>
          <w:rFonts w:ascii="Arial" w:eastAsia="Times New Roman" w:hAnsi="Arial" w:cs="Arial"/>
          <w:kern w:val="0"/>
          <w:lang w:eastAsia="en-GB"/>
          <w14:ligatures w14:val="none"/>
        </w:rPr>
      </w:pPr>
      <w:r w:rsidRPr="00C25991">
        <w:rPr>
          <w:rFonts w:ascii="Arial" w:eastAsia="Times New Roman" w:hAnsi="Arial" w:cs="Arial"/>
          <w:kern w:val="0"/>
          <w:lang w:eastAsia="en-GB"/>
          <w14:ligatures w14:val="none"/>
        </w:rPr>
        <w:t>According to the collected data, both teachers and students perceived classroom play to have a beneficial impact on student well-being. Teachers reported improved student involvement, attentiveness, and social skills after adding play into their classes. Students exhibited enthusiasm, relaxation, and satisfaction when participating in class play activities.</w:t>
      </w:r>
    </w:p>
    <w:p w14:paraId="3EA38152" w14:textId="77777777" w:rsidR="00783CDA" w:rsidRDefault="00C25991" w:rsidP="00783CDA">
      <w:pPr>
        <w:spacing w:after="240" w:line="360" w:lineRule="auto"/>
        <w:ind w:firstLine="720"/>
        <w:rPr>
          <w:rFonts w:ascii="Arial" w:eastAsia="Times New Roman" w:hAnsi="Arial" w:cs="Arial"/>
          <w:kern w:val="0"/>
          <w:lang w:eastAsia="en-GB"/>
          <w14:ligatures w14:val="none"/>
        </w:rPr>
      </w:pPr>
      <w:r w:rsidRPr="00C25991">
        <w:rPr>
          <w:rFonts w:ascii="Arial" w:eastAsia="Times New Roman" w:hAnsi="Arial" w:cs="Arial"/>
          <w:kern w:val="0"/>
          <w:lang w:eastAsia="en-GB"/>
          <w14:ligatures w14:val="none"/>
        </w:rPr>
        <w:t xml:space="preserve">For the class and study participants, these findings indicate that incorporating play into the learning environment can help to create a more positive and conducive learning </w:t>
      </w:r>
      <w:r w:rsidRPr="00C25991">
        <w:rPr>
          <w:rFonts w:ascii="Arial" w:eastAsia="Times New Roman" w:hAnsi="Arial" w:cs="Arial"/>
          <w:kern w:val="0"/>
          <w:lang w:eastAsia="en-GB"/>
          <w14:ligatures w14:val="none"/>
        </w:rPr>
        <w:lastRenderedPageBreak/>
        <w:t xml:space="preserve">environment. Teachers that incorporate play-based activities into their teaching techniques </w:t>
      </w:r>
      <w:proofErr w:type="gramStart"/>
      <w:r w:rsidRPr="00C25991">
        <w:rPr>
          <w:rFonts w:ascii="Arial" w:eastAsia="Times New Roman" w:hAnsi="Arial" w:cs="Arial"/>
          <w:kern w:val="0"/>
          <w:lang w:eastAsia="en-GB"/>
          <w14:ligatures w14:val="none"/>
        </w:rPr>
        <w:t>have the ability to</w:t>
      </w:r>
      <w:proofErr w:type="gramEnd"/>
      <w:r w:rsidRPr="00C25991">
        <w:rPr>
          <w:rFonts w:ascii="Arial" w:eastAsia="Times New Roman" w:hAnsi="Arial" w:cs="Arial"/>
          <w:kern w:val="0"/>
          <w:lang w:eastAsia="en-GB"/>
          <w14:ligatures w14:val="none"/>
        </w:rPr>
        <w:t xml:space="preserve"> increase student engagement, encourage social interaction, and provide their students with a more enjoyable learning experience.</w:t>
      </w:r>
    </w:p>
    <w:p w14:paraId="7790DC6A" w14:textId="58B1F8D2" w:rsidR="00C25991" w:rsidRDefault="00C25991" w:rsidP="00783CDA">
      <w:pPr>
        <w:spacing w:after="240" w:line="360" w:lineRule="auto"/>
        <w:ind w:firstLine="720"/>
        <w:rPr>
          <w:rFonts w:ascii="Arial" w:eastAsia="Times New Roman" w:hAnsi="Arial" w:cs="Arial"/>
          <w:kern w:val="0"/>
          <w:lang w:eastAsia="en-GB"/>
          <w14:ligatures w14:val="none"/>
        </w:rPr>
      </w:pPr>
      <w:r w:rsidRPr="00C25991">
        <w:rPr>
          <w:rFonts w:ascii="Arial" w:eastAsia="Times New Roman" w:hAnsi="Arial" w:cs="Arial"/>
          <w:kern w:val="0"/>
          <w:lang w:eastAsia="en-GB"/>
          <w14:ligatures w14:val="none"/>
        </w:rPr>
        <w:t>These results are consistent with previous research on the benefits of classroom play for student well-being. Bruner (1972) and Becker et al. (2014) found that play had a good impact on students' emotional involvement and stress reduction. Furthermore, Bjorklund (1998) and Dansky (1980) have emphasised the importance of play in generating positive emotions as well as cognitive and social development. Overall, the study's findings add to the expanding body of research supporting the use of play-based strategies in educational settings to improve student well-being and overall development.</w:t>
      </w:r>
    </w:p>
    <w:p w14:paraId="5EB28AC1" w14:textId="610B17A4" w:rsidR="0019709D" w:rsidRPr="0019709D" w:rsidRDefault="0019709D" w:rsidP="00783CDA">
      <w:pPr>
        <w:spacing w:after="0" w:line="360" w:lineRule="auto"/>
        <w:rPr>
          <w:rFonts w:ascii="Arial" w:eastAsia="Times New Roman" w:hAnsi="Arial" w:cs="Arial"/>
          <w:b/>
          <w:bCs/>
          <w:kern w:val="0"/>
          <w:lang w:eastAsia="en-GB"/>
          <w14:ligatures w14:val="none"/>
        </w:rPr>
      </w:pPr>
      <w:r w:rsidRPr="0019709D">
        <w:rPr>
          <w:rFonts w:ascii="Arial" w:eastAsia="Times New Roman" w:hAnsi="Arial" w:cs="Arial"/>
          <w:b/>
          <w:bCs/>
          <w:kern w:val="0"/>
          <w:lang w:eastAsia="en-GB"/>
          <w14:ligatures w14:val="none"/>
        </w:rPr>
        <w:t>Conclusion</w:t>
      </w:r>
      <w:r w:rsidR="00783CDA">
        <w:rPr>
          <w:rFonts w:ascii="Arial" w:eastAsia="Times New Roman" w:hAnsi="Arial" w:cs="Arial"/>
          <w:b/>
          <w:bCs/>
          <w:kern w:val="0"/>
          <w:lang w:eastAsia="en-GB"/>
          <w14:ligatures w14:val="none"/>
        </w:rPr>
        <w:t>/Recommendations</w:t>
      </w:r>
    </w:p>
    <w:p w14:paraId="11DA90B2" w14:textId="77777777" w:rsidR="0019709D" w:rsidRPr="0019709D" w:rsidRDefault="0019709D" w:rsidP="00783CDA">
      <w:pPr>
        <w:spacing w:after="0" w:line="360" w:lineRule="auto"/>
        <w:ind w:firstLine="720"/>
        <w:rPr>
          <w:rFonts w:ascii="Arial" w:eastAsia="Times New Roman" w:hAnsi="Arial" w:cs="Arial"/>
          <w:kern w:val="0"/>
          <w:lang w:eastAsia="en-GB"/>
          <w14:ligatures w14:val="none"/>
        </w:rPr>
      </w:pPr>
      <w:r w:rsidRPr="0019709D">
        <w:rPr>
          <w:rFonts w:ascii="Arial" w:eastAsia="Times New Roman" w:hAnsi="Arial" w:cs="Arial"/>
          <w:kern w:val="0"/>
          <w:lang w:eastAsia="en-GB"/>
          <w14:ligatures w14:val="none"/>
        </w:rPr>
        <w:t>To summarise, this research effort shed light on the important impact of classroom play on student well-being, as experienced by both instructors and students. The findings are consistent with previous research, emphasising the multidimensional benefits of play-based learning in promoting emotional, social, and cognitive development in students. Despite some criticisms of classroom play's effectiveness, our study includes firsthand stories from educators who have seen good results in their classrooms, providing a valuable assessment of competing opinions.</w:t>
      </w:r>
    </w:p>
    <w:p w14:paraId="04F35BCD" w14:textId="28F2DA5A" w:rsidR="0019709D" w:rsidRPr="0019709D" w:rsidRDefault="0019709D" w:rsidP="00783CDA">
      <w:pPr>
        <w:spacing w:after="0" w:line="360" w:lineRule="auto"/>
        <w:ind w:firstLine="720"/>
        <w:rPr>
          <w:rFonts w:ascii="Arial" w:eastAsia="Times New Roman" w:hAnsi="Arial" w:cs="Arial"/>
          <w:kern w:val="0"/>
          <w:lang w:eastAsia="en-GB"/>
          <w14:ligatures w14:val="none"/>
        </w:rPr>
      </w:pPr>
      <w:r w:rsidRPr="0019709D">
        <w:rPr>
          <w:rFonts w:ascii="Arial" w:eastAsia="Times New Roman" w:hAnsi="Arial" w:cs="Arial"/>
          <w:kern w:val="0"/>
          <w:lang w:eastAsia="en-GB"/>
          <w14:ligatures w14:val="none"/>
        </w:rPr>
        <w:t>However, certain limitations and constraints must be recognised. The small number of questionnaire respondents restricts the generali</w:t>
      </w:r>
      <w:r w:rsidR="0005025D">
        <w:rPr>
          <w:rFonts w:ascii="Arial" w:eastAsia="Times New Roman" w:hAnsi="Arial" w:cs="Arial"/>
          <w:kern w:val="0"/>
          <w:lang w:eastAsia="en-GB"/>
          <w14:ligatures w14:val="none"/>
        </w:rPr>
        <w:t>s</w:t>
      </w:r>
      <w:r w:rsidRPr="0019709D">
        <w:rPr>
          <w:rFonts w:ascii="Arial" w:eastAsia="Times New Roman" w:hAnsi="Arial" w:cs="Arial"/>
          <w:kern w:val="0"/>
          <w:lang w:eastAsia="en-GB"/>
          <w14:ligatures w14:val="none"/>
        </w:rPr>
        <w:t>ability of the findings. Furthermore, while attempts were made to maintain ethical standards and participant confidentiality, the possibility of researcher bias in data collection and interpretation must be considered. Furthermore, the inclusion of open-ended questions may have influenced replies and added subjectivity.</w:t>
      </w:r>
    </w:p>
    <w:p w14:paraId="7D176A78" w14:textId="77777777" w:rsidR="0019709D" w:rsidRDefault="0019709D" w:rsidP="00783CDA">
      <w:pPr>
        <w:spacing w:after="0" w:line="360" w:lineRule="auto"/>
        <w:ind w:firstLine="720"/>
        <w:rPr>
          <w:rFonts w:ascii="Arial" w:eastAsia="Times New Roman" w:hAnsi="Arial" w:cs="Arial"/>
          <w:kern w:val="0"/>
          <w:lang w:eastAsia="en-GB"/>
          <w14:ligatures w14:val="none"/>
        </w:rPr>
      </w:pPr>
      <w:r w:rsidRPr="0019709D">
        <w:rPr>
          <w:rFonts w:ascii="Arial" w:eastAsia="Times New Roman" w:hAnsi="Arial" w:cs="Arial"/>
          <w:kern w:val="0"/>
          <w:lang w:eastAsia="en-GB"/>
          <w14:ligatures w14:val="none"/>
        </w:rPr>
        <w:t>Moving forward, further research could address these constraints by using larger sample sizes and a variety of data gathering methods to improve the findings' reliability and validity. Additionally, longitudinal studies could shed light on the long-term impacts of classroom play on student well-being. Furthermore, tying this research to professional standards established by educational governing organisations could help to confirm the value of play-based learning in educational contexts, informing policy and practice.</w:t>
      </w:r>
    </w:p>
    <w:p w14:paraId="43EFD8B9" w14:textId="77777777" w:rsidR="009F1133" w:rsidRPr="009F1133" w:rsidRDefault="009F1133" w:rsidP="009F1133">
      <w:pPr>
        <w:spacing w:after="0" w:line="360" w:lineRule="auto"/>
        <w:ind w:firstLine="720"/>
        <w:rPr>
          <w:rFonts w:ascii="Arial" w:eastAsia="Times New Roman" w:hAnsi="Arial" w:cs="Arial"/>
          <w:kern w:val="0"/>
          <w:lang w:eastAsia="en-GB"/>
          <w14:ligatures w14:val="none"/>
        </w:rPr>
      </w:pPr>
      <w:r w:rsidRPr="009F1133">
        <w:rPr>
          <w:rFonts w:ascii="Arial" w:eastAsia="Times New Roman" w:hAnsi="Arial" w:cs="Arial"/>
          <w:kern w:val="0"/>
          <w:lang w:eastAsia="en-GB"/>
          <w14:ligatures w14:val="none"/>
        </w:rPr>
        <w:t>Overall, while this study adds to our understanding of the relationship between classroom play and student well-being, more research is needed to fully investigate the complexity of this dynamic interaction and the consequences for educational practice.</w:t>
      </w:r>
    </w:p>
    <w:p w14:paraId="257DA22F" w14:textId="77777777" w:rsidR="009F1133" w:rsidRPr="0019709D" w:rsidRDefault="009F1133" w:rsidP="00783CDA">
      <w:pPr>
        <w:spacing w:after="0" w:line="360" w:lineRule="auto"/>
        <w:ind w:firstLine="720"/>
        <w:rPr>
          <w:rFonts w:ascii="Arial" w:eastAsia="Times New Roman" w:hAnsi="Arial" w:cs="Arial"/>
          <w:kern w:val="0"/>
          <w:lang w:eastAsia="en-GB"/>
          <w14:ligatures w14:val="none"/>
        </w:rPr>
      </w:pPr>
    </w:p>
    <w:p w14:paraId="05C28A32" w14:textId="77777777" w:rsidR="0019709D" w:rsidRPr="00C25991" w:rsidRDefault="0019709D" w:rsidP="00C25991">
      <w:pPr>
        <w:spacing w:after="0" w:line="360" w:lineRule="auto"/>
        <w:rPr>
          <w:rFonts w:ascii="Arial" w:eastAsia="Times New Roman" w:hAnsi="Arial" w:cs="Arial"/>
          <w:kern w:val="0"/>
          <w:lang w:eastAsia="en-GB"/>
          <w14:ligatures w14:val="none"/>
        </w:rPr>
      </w:pPr>
    </w:p>
    <w:p w14:paraId="4162BD5A" w14:textId="77777777" w:rsidR="00C25991" w:rsidRPr="00C25991" w:rsidRDefault="00C25991" w:rsidP="00C25991">
      <w:pPr>
        <w:spacing w:after="240" w:line="240" w:lineRule="auto"/>
        <w:rPr>
          <w:rFonts w:ascii="Times New Roman" w:eastAsia="Times New Roman" w:hAnsi="Times New Roman" w:cs="Times New Roman"/>
          <w:kern w:val="0"/>
          <w:sz w:val="24"/>
          <w:szCs w:val="24"/>
          <w:lang w:eastAsia="en-GB"/>
          <w14:ligatures w14:val="none"/>
        </w:rPr>
      </w:pPr>
    </w:p>
    <w:p w14:paraId="7A519D82" w14:textId="4ED1F6D8" w:rsidR="00C11785" w:rsidRPr="00C836BA" w:rsidRDefault="00C11785" w:rsidP="00C836BA">
      <w:pPr>
        <w:spacing w:line="360" w:lineRule="auto"/>
        <w:rPr>
          <w:rFonts w:ascii="Arial" w:eastAsia="Times New Roman" w:hAnsi="Arial" w:cs="Arial"/>
          <w:kern w:val="0"/>
          <w:lang w:eastAsia="en-GB"/>
          <w14:ligatures w14:val="none"/>
        </w:rPr>
      </w:pPr>
      <w:r w:rsidRPr="00C836BA">
        <w:rPr>
          <w:rFonts w:ascii="Arial" w:hAnsi="Arial" w:cs="Arial"/>
        </w:rPr>
        <w:t>References:</w:t>
      </w:r>
    </w:p>
    <w:p w14:paraId="149B6C52" w14:textId="77777777" w:rsidR="00C836BA" w:rsidRPr="00C836BA" w:rsidRDefault="00C836BA">
      <w:pPr>
        <w:rPr>
          <w:rFonts w:ascii="Arial" w:hAnsi="Arial" w:cs="Arial"/>
        </w:rPr>
      </w:pPr>
      <w:r w:rsidRPr="00C836BA">
        <w:rPr>
          <w:rFonts w:ascii="Arial" w:hAnsi="Arial" w:cs="Arial"/>
        </w:rPr>
        <w:t>Becker, D. R., McClelland, M. M., Loprinzi, P., &amp; Trost, S. G. (2014). Physical activity, self-regulation, and early academic achievement in preschool children. Early Education &amp; Development, 25(1), 56-70</w:t>
      </w:r>
    </w:p>
    <w:p w14:paraId="024B3034" w14:textId="1984FE7B" w:rsidR="00C836BA" w:rsidRPr="00C836BA" w:rsidRDefault="00C836BA">
      <w:pPr>
        <w:rPr>
          <w:rFonts w:ascii="Arial" w:hAnsi="Arial" w:cs="Arial"/>
          <w:u w:val="single"/>
          <w:shd w:val="clear" w:color="auto" w:fill="FFFFFF"/>
        </w:rPr>
      </w:pPr>
      <w:r w:rsidRPr="00C836BA">
        <w:rPr>
          <w:rFonts w:ascii="Arial" w:hAnsi="Arial" w:cs="Arial"/>
          <w:shd w:val="clear" w:color="auto" w:fill="FFFFFF"/>
        </w:rPr>
        <w:t>Bergelson, I., Tracy, C., &amp; Takacs, E. (2022). Best Practices for Reducing Bias in the Interview Process. </w:t>
      </w:r>
      <w:r w:rsidRPr="00C836BA">
        <w:rPr>
          <w:rFonts w:ascii="Arial" w:hAnsi="Arial" w:cs="Arial"/>
          <w:i/>
          <w:iCs/>
          <w:shd w:val="clear" w:color="auto" w:fill="FFFFFF"/>
        </w:rPr>
        <w:t>Current urology reports</w:t>
      </w:r>
      <w:r w:rsidRPr="00C836BA">
        <w:rPr>
          <w:rFonts w:ascii="Arial" w:hAnsi="Arial" w:cs="Arial"/>
          <w:shd w:val="clear" w:color="auto" w:fill="FFFFFF"/>
        </w:rPr>
        <w:t>, </w:t>
      </w:r>
      <w:r w:rsidRPr="00C836BA">
        <w:rPr>
          <w:rFonts w:ascii="Arial" w:hAnsi="Arial" w:cs="Arial"/>
          <w:i/>
          <w:iCs/>
          <w:shd w:val="clear" w:color="auto" w:fill="FFFFFF"/>
        </w:rPr>
        <w:t>23</w:t>
      </w:r>
      <w:r w:rsidRPr="00C836BA">
        <w:rPr>
          <w:rFonts w:ascii="Arial" w:hAnsi="Arial" w:cs="Arial"/>
          <w:shd w:val="clear" w:color="auto" w:fill="FFFFFF"/>
        </w:rPr>
        <w:t xml:space="preserve">(11), 319–325. </w:t>
      </w:r>
      <w:hyperlink r:id="rId6" w:history="1">
        <w:r w:rsidRPr="00C836BA">
          <w:rPr>
            <w:rStyle w:val="Hyperlink"/>
            <w:rFonts w:ascii="Arial" w:hAnsi="Arial" w:cs="Arial"/>
            <w:color w:val="auto"/>
            <w:shd w:val="clear" w:color="auto" w:fill="FFFFFF"/>
          </w:rPr>
          <w:t>https://doi.org/10.1007/s11934-022-01116-7</w:t>
        </w:r>
      </w:hyperlink>
    </w:p>
    <w:p w14:paraId="2C6535E2" w14:textId="77777777" w:rsidR="00C836BA" w:rsidRPr="00C836BA" w:rsidRDefault="00C836BA">
      <w:pPr>
        <w:rPr>
          <w:rFonts w:ascii="Arial" w:hAnsi="Arial" w:cs="Arial"/>
        </w:rPr>
      </w:pPr>
      <w:r w:rsidRPr="00C836BA">
        <w:rPr>
          <w:rFonts w:ascii="Arial" w:hAnsi="Arial" w:cs="Arial"/>
        </w:rPr>
        <w:t>Bjorklund, D. F., &amp; Brown, R. D. (1998). Physical Play and Cognitive Development: Integrating Activity, Cognition, and Education. Child Development, 69(3), 604–606.</w:t>
      </w:r>
    </w:p>
    <w:p w14:paraId="41D0D8F2" w14:textId="77777777" w:rsidR="00C836BA" w:rsidRPr="00C836BA" w:rsidRDefault="00C836BA">
      <w:pPr>
        <w:rPr>
          <w:rFonts w:ascii="Arial" w:hAnsi="Arial" w:cs="Arial"/>
        </w:rPr>
      </w:pPr>
      <w:proofErr w:type="spellStart"/>
      <w:r w:rsidRPr="00C836BA">
        <w:rPr>
          <w:rFonts w:ascii="Arial" w:hAnsi="Arial" w:cs="Arial"/>
        </w:rPr>
        <w:t>Bodrova</w:t>
      </w:r>
      <w:proofErr w:type="spellEnd"/>
      <w:r w:rsidRPr="00C836BA">
        <w:rPr>
          <w:rFonts w:ascii="Arial" w:hAnsi="Arial" w:cs="Arial"/>
        </w:rPr>
        <w:t xml:space="preserve">, E. and Leong, J, </w:t>
      </w:r>
      <w:proofErr w:type="gramStart"/>
      <w:r w:rsidRPr="00C836BA">
        <w:rPr>
          <w:rFonts w:ascii="Arial" w:hAnsi="Arial" w:cs="Arial"/>
        </w:rPr>
        <w:t>D,.</w:t>
      </w:r>
      <w:proofErr w:type="gramEnd"/>
      <w:r w:rsidRPr="00C836BA">
        <w:rPr>
          <w:rFonts w:ascii="Arial" w:hAnsi="Arial" w:cs="Arial"/>
        </w:rPr>
        <w:t xml:space="preserve"> (2015) </w:t>
      </w:r>
      <w:r w:rsidRPr="00C836BA">
        <w:rPr>
          <w:rFonts w:ascii="Arial" w:hAnsi="Arial" w:cs="Arial"/>
          <w:i/>
          <w:iCs/>
        </w:rPr>
        <w:t xml:space="preserve">Vygotskian and Post-Vygotskian Views on Children’s Play. </w:t>
      </w:r>
      <w:r w:rsidRPr="00C836BA">
        <w:rPr>
          <w:rFonts w:ascii="Arial" w:hAnsi="Arial" w:cs="Arial"/>
        </w:rPr>
        <w:t xml:space="preserve">Available at: </w:t>
      </w:r>
      <w:hyperlink r:id="rId7" w:history="1">
        <w:r w:rsidRPr="00C836BA">
          <w:rPr>
            <w:rStyle w:val="Hyperlink"/>
            <w:rFonts w:ascii="Arial" w:hAnsi="Arial" w:cs="Arial"/>
            <w:color w:val="auto"/>
          </w:rPr>
          <w:t>AJP 7.3_TEXT_printno crops.pdf (ed.gov)</w:t>
        </w:r>
      </w:hyperlink>
      <w:r w:rsidRPr="00C836BA">
        <w:rPr>
          <w:rFonts w:ascii="Arial" w:hAnsi="Arial" w:cs="Arial"/>
        </w:rPr>
        <w:t xml:space="preserve"> (Accessed: 3</w:t>
      </w:r>
      <w:r w:rsidRPr="00C836BA">
        <w:rPr>
          <w:rFonts w:ascii="Arial" w:hAnsi="Arial" w:cs="Arial"/>
          <w:vertAlign w:val="superscript"/>
        </w:rPr>
        <w:t>rd</w:t>
      </w:r>
      <w:r w:rsidRPr="00C836BA">
        <w:rPr>
          <w:rFonts w:ascii="Arial" w:hAnsi="Arial" w:cs="Arial"/>
        </w:rPr>
        <w:t xml:space="preserve"> April 2024).</w:t>
      </w:r>
    </w:p>
    <w:p w14:paraId="041F9E73" w14:textId="77777777" w:rsidR="00C836BA" w:rsidRPr="00C836BA" w:rsidRDefault="00C836BA">
      <w:pPr>
        <w:rPr>
          <w:rFonts w:ascii="Arial" w:hAnsi="Arial" w:cs="Arial"/>
        </w:rPr>
      </w:pPr>
      <w:proofErr w:type="spellStart"/>
      <w:r w:rsidRPr="00C836BA">
        <w:rPr>
          <w:rFonts w:ascii="Arial" w:hAnsi="Arial" w:cs="Arial"/>
        </w:rPr>
        <w:t>Bodrova</w:t>
      </w:r>
      <w:proofErr w:type="spellEnd"/>
      <w:r w:rsidRPr="00C836BA">
        <w:rPr>
          <w:rFonts w:ascii="Arial" w:hAnsi="Arial" w:cs="Arial"/>
        </w:rPr>
        <w:t>, E., Germeroth, C., &amp; Leong, D. J. (2013). Play and self-regulation: Lessons from Vygotsky. American Journal of Play, 6(1), 111.</w:t>
      </w:r>
    </w:p>
    <w:p w14:paraId="4C0E4FC8"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Braun, V. &amp; Clarke, V. (2006) Using thematic analysis in psychology. Qualitative Research in Psychology, 3(2). Pp. 77-101.</w:t>
      </w:r>
    </w:p>
    <w:p w14:paraId="5C1799B9" w14:textId="77777777" w:rsidR="00C836BA" w:rsidRPr="00C836BA" w:rsidRDefault="00C836BA">
      <w:pPr>
        <w:rPr>
          <w:rFonts w:ascii="Arial" w:hAnsi="Arial" w:cs="Arial"/>
        </w:rPr>
      </w:pPr>
      <w:r w:rsidRPr="00C836BA">
        <w:rPr>
          <w:rFonts w:ascii="Arial" w:hAnsi="Arial" w:cs="Arial"/>
        </w:rPr>
        <w:t>British Educational Research Association [BERA] (2018) Ethical Guidelines for Educational Research, fourth edition, London. https://www.bera.ac.uk/researchers-resources/publications/ethicalguidelines-for-educational-research-2018</w:t>
      </w:r>
    </w:p>
    <w:p w14:paraId="107147E5" w14:textId="77777777" w:rsidR="00C836BA" w:rsidRPr="00C836BA" w:rsidRDefault="00C836BA">
      <w:pPr>
        <w:rPr>
          <w:rFonts w:ascii="Arial" w:hAnsi="Arial" w:cs="Arial"/>
          <w:shd w:val="clear" w:color="auto" w:fill="FFFFFF"/>
        </w:rPr>
      </w:pPr>
      <w:r w:rsidRPr="00C836BA">
        <w:rPr>
          <w:rFonts w:ascii="Arial" w:hAnsi="Arial" w:cs="Arial"/>
        </w:rPr>
        <w:t>Bruner, J.S. (1972). Nature &amp; uses of immaturity. American Psychologist, 27, 687-708.</w:t>
      </w:r>
    </w:p>
    <w:p w14:paraId="64DFCF11" w14:textId="77777777" w:rsidR="00C836BA" w:rsidRPr="00C836BA" w:rsidRDefault="00C836BA">
      <w:pPr>
        <w:rPr>
          <w:rFonts w:ascii="Arial" w:hAnsi="Arial" w:cs="Arial"/>
        </w:rPr>
      </w:pPr>
      <w:proofErr w:type="spellStart"/>
      <w:r w:rsidRPr="00C836BA">
        <w:rPr>
          <w:rFonts w:ascii="Arial" w:hAnsi="Arial" w:cs="Arial"/>
          <w:shd w:val="clear" w:color="auto" w:fill="FFFFFF"/>
        </w:rPr>
        <w:t>Channaveer</w:t>
      </w:r>
      <w:proofErr w:type="spellEnd"/>
      <w:r w:rsidRPr="00C836BA">
        <w:rPr>
          <w:rFonts w:ascii="Arial" w:hAnsi="Arial" w:cs="Arial"/>
          <w:shd w:val="clear" w:color="auto" w:fill="FFFFFF"/>
        </w:rPr>
        <w:t xml:space="preserve">, R. M., &amp; </w:t>
      </w:r>
      <w:proofErr w:type="spellStart"/>
      <w:r w:rsidRPr="00C836BA">
        <w:rPr>
          <w:rFonts w:ascii="Arial" w:hAnsi="Arial" w:cs="Arial"/>
          <w:shd w:val="clear" w:color="auto" w:fill="FFFFFF"/>
        </w:rPr>
        <w:t>Baikady</w:t>
      </w:r>
      <w:proofErr w:type="spellEnd"/>
      <w:r w:rsidRPr="00C836BA">
        <w:rPr>
          <w:rFonts w:ascii="Arial" w:hAnsi="Arial" w:cs="Arial"/>
          <w:shd w:val="clear" w:color="auto" w:fill="FFFFFF"/>
        </w:rPr>
        <w:t xml:space="preserve">, R. (2022). Case Study. In M. R. Islam, N. A. Khan, &amp; R. </w:t>
      </w:r>
      <w:proofErr w:type="spellStart"/>
      <w:r w:rsidRPr="00C836BA">
        <w:rPr>
          <w:rFonts w:ascii="Arial" w:hAnsi="Arial" w:cs="Arial"/>
          <w:shd w:val="clear" w:color="auto" w:fill="FFFFFF"/>
        </w:rPr>
        <w:t>Baikady</w:t>
      </w:r>
      <w:proofErr w:type="spellEnd"/>
      <w:r w:rsidRPr="00C836BA">
        <w:rPr>
          <w:rFonts w:ascii="Arial" w:hAnsi="Arial" w:cs="Arial"/>
          <w:shd w:val="clear" w:color="auto" w:fill="FFFFFF"/>
        </w:rPr>
        <w:t xml:space="preserve"> (Eds.), </w:t>
      </w:r>
      <w:r w:rsidRPr="00C836BA">
        <w:rPr>
          <w:rStyle w:val="Emphasis"/>
          <w:rFonts w:ascii="Arial" w:hAnsi="Arial" w:cs="Arial"/>
          <w:bdr w:val="single" w:sz="2" w:space="0" w:color="E3E3E3" w:frame="1"/>
          <w:shd w:val="clear" w:color="auto" w:fill="FFFFFF"/>
        </w:rPr>
        <w:t>Principles of Social Research Methodology</w:t>
      </w:r>
      <w:r w:rsidRPr="00C836BA">
        <w:rPr>
          <w:rFonts w:ascii="Arial" w:hAnsi="Arial" w:cs="Arial"/>
          <w:shd w:val="clear" w:color="auto" w:fill="FFFFFF"/>
        </w:rPr>
        <w:t xml:space="preserve">. Singapore: Springer. </w:t>
      </w:r>
      <w:hyperlink r:id="rId8" w:tgtFrame="_new" w:history="1">
        <w:r w:rsidRPr="00C836BA">
          <w:rPr>
            <w:rStyle w:val="Hyperlink"/>
            <w:rFonts w:ascii="Arial" w:hAnsi="Arial" w:cs="Arial"/>
            <w:color w:val="auto"/>
            <w:u w:val="none"/>
            <w:bdr w:val="single" w:sz="2" w:space="0" w:color="E3E3E3" w:frame="1"/>
            <w:shd w:val="clear" w:color="auto" w:fill="FFFFFF"/>
          </w:rPr>
          <w:t>https://doi.org/10.1007/978-981-19-5441-2_21</w:t>
        </w:r>
      </w:hyperlink>
    </w:p>
    <w:p w14:paraId="7917A5D3" w14:textId="77777777" w:rsidR="00C836BA" w:rsidRPr="00C836BA" w:rsidRDefault="00C836BA">
      <w:pPr>
        <w:rPr>
          <w:rFonts w:ascii="Arial" w:hAnsi="Arial" w:cs="Arial"/>
        </w:rPr>
      </w:pPr>
      <w:r w:rsidRPr="00C836BA">
        <w:rPr>
          <w:rFonts w:ascii="Arial" w:hAnsi="Arial" w:cs="Arial"/>
        </w:rPr>
        <w:t xml:space="preserve">Cherry, K. (2024) </w:t>
      </w:r>
      <w:r w:rsidRPr="00C836BA">
        <w:rPr>
          <w:rFonts w:ascii="Arial" w:hAnsi="Arial" w:cs="Arial"/>
          <w:i/>
          <w:iCs/>
        </w:rPr>
        <w:t xml:space="preserve">What is a case study. </w:t>
      </w:r>
      <w:r w:rsidRPr="00C836BA">
        <w:rPr>
          <w:rFonts w:ascii="Arial" w:hAnsi="Arial" w:cs="Arial"/>
        </w:rPr>
        <w:t xml:space="preserve">Available at: </w:t>
      </w:r>
      <w:hyperlink r:id="rId9" w:history="1">
        <w:r w:rsidRPr="00C836BA">
          <w:rPr>
            <w:rStyle w:val="Hyperlink"/>
            <w:rFonts w:ascii="Arial" w:hAnsi="Arial" w:cs="Arial"/>
            <w:color w:val="auto"/>
          </w:rPr>
          <w:t>Case Study: Definition, Examples, Types, and How to Write (verywellmind.com)</w:t>
        </w:r>
      </w:hyperlink>
      <w:r w:rsidRPr="00C836BA">
        <w:rPr>
          <w:rFonts w:ascii="Arial" w:hAnsi="Arial" w:cs="Arial"/>
        </w:rPr>
        <w:t xml:space="preserve"> (Accessed: 3</w:t>
      </w:r>
      <w:r w:rsidRPr="00C836BA">
        <w:rPr>
          <w:rFonts w:ascii="Arial" w:hAnsi="Arial" w:cs="Arial"/>
          <w:vertAlign w:val="superscript"/>
        </w:rPr>
        <w:t>rd</w:t>
      </w:r>
      <w:r w:rsidRPr="00C836BA">
        <w:rPr>
          <w:rFonts w:ascii="Arial" w:hAnsi="Arial" w:cs="Arial"/>
        </w:rPr>
        <w:t xml:space="preserve"> April 2024).</w:t>
      </w:r>
    </w:p>
    <w:p w14:paraId="1B418A03"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Corbin, </w:t>
      </w:r>
      <w:proofErr w:type="gramStart"/>
      <w:r w:rsidRPr="00C836BA">
        <w:rPr>
          <w:rFonts w:ascii="Arial" w:hAnsi="Arial" w:cs="Arial"/>
          <w:shd w:val="clear" w:color="auto" w:fill="FFFFFF"/>
        </w:rPr>
        <w:t>J.</w:t>
      </w:r>
      <w:proofErr w:type="gramEnd"/>
      <w:r w:rsidRPr="00C836BA">
        <w:rPr>
          <w:rFonts w:ascii="Arial" w:hAnsi="Arial" w:cs="Arial"/>
          <w:shd w:val="clear" w:color="auto" w:fill="FFFFFF"/>
        </w:rPr>
        <w:t xml:space="preserve"> and Morse, J.M., 2003. The unstructured interactive interview: Issues of reciprocity and risks when dealing with sensitive topics. </w:t>
      </w:r>
      <w:r w:rsidRPr="00C836BA">
        <w:rPr>
          <w:rFonts w:ascii="Arial" w:hAnsi="Arial" w:cs="Arial"/>
          <w:i/>
          <w:iCs/>
          <w:shd w:val="clear" w:color="auto" w:fill="FFFFFF"/>
        </w:rPr>
        <w:t>Qualitative inquiry</w:t>
      </w:r>
      <w:r w:rsidRPr="00C836BA">
        <w:rPr>
          <w:rFonts w:ascii="Arial" w:hAnsi="Arial" w:cs="Arial"/>
          <w:shd w:val="clear" w:color="auto" w:fill="FFFFFF"/>
        </w:rPr>
        <w:t>, </w:t>
      </w:r>
      <w:r w:rsidRPr="00C836BA">
        <w:rPr>
          <w:rFonts w:ascii="Arial" w:hAnsi="Arial" w:cs="Arial"/>
          <w:i/>
          <w:iCs/>
          <w:shd w:val="clear" w:color="auto" w:fill="FFFFFF"/>
        </w:rPr>
        <w:t>9</w:t>
      </w:r>
      <w:r w:rsidRPr="00C836BA">
        <w:rPr>
          <w:rFonts w:ascii="Arial" w:hAnsi="Arial" w:cs="Arial"/>
          <w:shd w:val="clear" w:color="auto" w:fill="FFFFFF"/>
        </w:rPr>
        <w:t>(3), pp.335-354.</w:t>
      </w:r>
    </w:p>
    <w:p w14:paraId="3C586065" w14:textId="77777777" w:rsidR="00C836BA" w:rsidRPr="00C836BA" w:rsidRDefault="00C836BA">
      <w:pPr>
        <w:rPr>
          <w:rFonts w:ascii="Arial" w:hAnsi="Arial" w:cs="Arial"/>
        </w:rPr>
      </w:pPr>
      <w:r w:rsidRPr="00C836BA">
        <w:rPr>
          <w:rFonts w:ascii="Arial" w:hAnsi="Arial" w:cs="Arial"/>
        </w:rPr>
        <w:t xml:space="preserve">Dansky, J. L. (1980). Cognitive consequences of sociodramatic play and exploration training for </w:t>
      </w:r>
      <w:proofErr w:type="gramStart"/>
      <w:r w:rsidRPr="00C836BA">
        <w:rPr>
          <w:rFonts w:ascii="Arial" w:hAnsi="Arial" w:cs="Arial"/>
        </w:rPr>
        <w:t>economically disadvantaged</w:t>
      </w:r>
      <w:proofErr w:type="gramEnd"/>
      <w:r w:rsidRPr="00C836BA">
        <w:rPr>
          <w:rFonts w:ascii="Arial" w:hAnsi="Arial" w:cs="Arial"/>
        </w:rPr>
        <w:t xml:space="preserve"> preschoolers. Journal of Child Psychology and Psychiatry, 20(1), 47–58.</w:t>
      </w:r>
    </w:p>
    <w:p w14:paraId="2576CB39" w14:textId="77777777" w:rsidR="00C836BA" w:rsidRPr="00C836BA" w:rsidRDefault="00C836BA">
      <w:pPr>
        <w:rPr>
          <w:rFonts w:ascii="Arial" w:hAnsi="Arial" w:cs="Arial"/>
          <w:shd w:val="clear" w:color="auto" w:fill="FFFFFF"/>
        </w:rPr>
      </w:pPr>
      <w:proofErr w:type="spellStart"/>
      <w:r w:rsidRPr="00C836BA">
        <w:rPr>
          <w:rFonts w:ascii="Arial" w:hAnsi="Arial" w:cs="Arial"/>
          <w:shd w:val="clear" w:color="auto" w:fill="FFFFFF"/>
        </w:rPr>
        <w:t>Dicicco</w:t>
      </w:r>
      <w:proofErr w:type="spellEnd"/>
      <w:r w:rsidRPr="00C836BA">
        <w:rPr>
          <w:rFonts w:ascii="Arial" w:hAnsi="Arial" w:cs="Arial"/>
          <w:shd w:val="clear" w:color="auto" w:fill="FFFFFF"/>
        </w:rPr>
        <w:t xml:space="preserve">-Bloom, B., &amp; Crabtree, B. F. (2006). The qualitative research </w:t>
      </w:r>
      <w:proofErr w:type="gramStart"/>
      <w:r w:rsidRPr="00C836BA">
        <w:rPr>
          <w:rFonts w:ascii="Arial" w:hAnsi="Arial" w:cs="Arial"/>
          <w:shd w:val="clear" w:color="auto" w:fill="FFFFFF"/>
        </w:rPr>
        <w:t>interview</w:t>
      </w:r>
      <w:proofErr w:type="gramEnd"/>
      <w:r w:rsidRPr="00C836BA">
        <w:rPr>
          <w:rFonts w:ascii="Arial" w:hAnsi="Arial" w:cs="Arial"/>
          <w:shd w:val="clear" w:color="auto" w:fill="FFFFFF"/>
        </w:rPr>
        <w:t>. </w:t>
      </w:r>
      <w:r w:rsidRPr="00C836BA">
        <w:rPr>
          <w:rFonts w:ascii="Arial" w:hAnsi="Arial" w:cs="Arial"/>
          <w:i/>
          <w:iCs/>
          <w:shd w:val="clear" w:color="auto" w:fill="FFFFFF"/>
        </w:rPr>
        <w:t>Medical education</w:t>
      </w:r>
      <w:r w:rsidRPr="00C836BA">
        <w:rPr>
          <w:rFonts w:ascii="Arial" w:hAnsi="Arial" w:cs="Arial"/>
          <w:shd w:val="clear" w:color="auto" w:fill="FFFFFF"/>
        </w:rPr>
        <w:t>, </w:t>
      </w:r>
      <w:r w:rsidRPr="00C836BA">
        <w:rPr>
          <w:rFonts w:ascii="Arial" w:hAnsi="Arial" w:cs="Arial"/>
          <w:i/>
          <w:iCs/>
          <w:shd w:val="clear" w:color="auto" w:fill="FFFFFF"/>
        </w:rPr>
        <w:t>40</w:t>
      </w:r>
      <w:r w:rsidRPr="00C836BA">
        <w:rPr>
          <w:rFonts w:ascii="Arial" w:hAnsi="Arial" w:cs="Arial"/>
          <w:shd w:val="clear" w:color="auto" w:fill="FFFFFF"/>
        </w:rPr>
        <w:t xml:space="preserve">(4), 314–321. </w:t>
      </w:r>
      <w:hyperlink r:id="rId10" w:history="1">
        <w:r w:rsidRPr="00C836BA">
          <w:rPr>
            <w:rStyle w:val="Hyperlink"/>
            <w:rFonts w:ascii="Arial" w:hAnsi="Arial" w:cs="Arial"/>
            <w:color w:val="auto"/>
            <w:shd w:val="clear" w:color="auto" w:fill="FFFFFF"/>
          </w:rPr>
          <w:t>https://doi.org/10.1111/j.1365-2929.2006.02418.x</w:t>
        </w:r>
      </w:hyperlink>
    </w:p>
    <w:p w14:paraId="595F1CF3" w14:textId="77777777" w:rsidR="00C836BA" w:rsidRPr="00C836BA" w:rsidRDefault="00C836BA" w:rsidP="00C11785">
      <w:pPr>
        <w:spacing w:after="0" w:line="240" w:lineRule="auto"/>
        <w:rPr>
          <w:rFonts w:ascii="Arial" w:hAnsi="Arial" w:cs="Arial"/>
        </w:rPr>
      </w:pPr>
      <w:r w:rsidRPr="00C836BA">
        <w:rPr>
          <w:rFonts w:ascii="Arial" w:eastAsia="Times New Roman" w:hAnsi="Arial" w:cs="Arial"/>
          <w:kern w:val="0"/>
          <w:lang w:eastAsia="en-GB"/>
          <w14:ligatures w14:val="none"/>
        </w:rPr>
        <w:t xml:space="preserve">Estyn Report (2023) A report on School X. </w:t>
      </w:r>
      <w:r w:rsidRPr="00C836BA">
        <w:rPr>
          <w:rFonts w:ascii="Arial" w:hAnsi="Arial" w:cs="Arial"/>
        </w:rPr>
        <w:t xml:space="preserve">Inspection report </w:t>
      </w:r>
      <w:proofErr w:type="spellStart"/>
      <w:r w:rsidRPr="00C836BA">
        <w:rPr>
          <w:rFonts w:ascii="Arial" w:hAnsi="Arial" w:cs="Arial"/>
          <w:highlight w:val="black"/>
        </w:rPr>
        <w:t>Crynallt</w:t>
      </w:r>
      <w:proofErr w:type="spellEnd"/>
      <w:r w:rsidRPr="00C836BA">
        <w:rPr>
          <w:rFonts w:ascii="Arial" w:hAnsi="Arial" w:cs="Arial"/>
          <w:highlight w:val="black"/>
        </w:rPr>
        <w:t xml:space="preserve"> Primary 2023</w:t>
      </w:r>
      <w:r w:rsidRPr="00C836BA">
        <w:rPr>
          <w:rFonts w:ascii="Arial" w:hAnsi="Arial" w:cs="Arial"/>
        </w:rPr>
        <w:t xml:space="preserve"> (</w:t>
      </w:r>
      <w:proofErr w:type="spellStart"/>
      <w:proofErr w:type="gramStart"/>
      <w:r w:rsidRPr="00C836BA">
        <w:rPr>
          <w:rFonts w:ascii="Arial" w:hAnsi="Arial" w:cs="Arial"/>
        </w:rPr>
        <w:t>gov.wales</w:t>
      </w:r>
      <w:proofErr w:type="spellEnd"/>
      <w:proofErr w:type="gramEnd"/>
      <w:r w:rsidRPr="00C836BA">
        <w:rPr>
          <w:rFonts w:ascii="Arial" w:hAnsi="Arial" w:cs="Arial"/>
        </w:rPr>
        <w:t>)</w:t>
      </w:r>
    </w:p>
    <w:p w14:paraId="30E68EEA" w14:textId="77777777" w:rsidR="00C836BA" w:rsidRPr="00C836BA" w:rsidRDefault="00C836BA">
      <w:pPr>
        <w:rPr>
          <w:rFonts w:ascii="Arial" w:hAnsi="Arial" w:cs="Arial"/>
        </w:rPr>
      </w:pPr>
      <w:r w:rsidRPr="00C836BA">
        <w:rPr>
          <w:rFonts w:ascii="Arial" w:hAnsi="Arial" w:cs="Arial"/>
        </w:rPr>
        <w:t xml:space="preserve">Franz, A., Worrell, M., &amp; </w:t>
      </w:r>
      <w:proofErr w:type="spellStart"/>
      <w:r w:rsidRPr="00C836BA">
        <w:rPr>
          <w:rFonts w:ascii="Arial" w:hAnsi="Arial" w:cs="Arial"/>
        </w:rPr>
        <w:t>Vögele</w:t>
      </w:r>
      <w:proofErr w:type="spellEnd"/>
      <w:r w:rsidRPr="00C836BA">
        <w:rPr>
          <w:rFonts w:ascii="Arial" w:hAnsi="Arial" w:cs="Arial"/>
        </w:rPr>
        <w:t xml:space="preserve">, C. (2013). Integrating mixed method data in psychological research: Combining Q methodology and questionnaires in a study investigating cultural and psychological influences on adolescent sexual </w:t>
      </w:r>
      <w:proofErr w:type="spellStart"/>
      <w:r w:rsidRPr="00C836BA">
        <w:rPr>
          <w:rFonts w:ascii="Arial" w:hAnsi="Arial" w:cs="Arial"/>
        </w:rPr>
        <w:t>behavior</w:t>
      </w:r>
      <w:proofErr w:type="spellEnd"/>
      <w:r w:rsidRPr="00C836BA">
        <w:rPr>
          <w:rFonts w:ascii="Arial" w:hAnsi="Arial" w:cs="Arial"/>
        </w:rPr>
        <w:t>. Journal of Mixed Methods Research, 7(4), 370-389. doi:10.1177/1558689813483368</w:t>
      </w:r>
    </w:p>
    <w:p w14:paraId="18056B6C" w14:textId="77777777" w:rsidR="00C836BA" w:rsidRPr="00C836BA" w:rsidRDefault="00C836BA" w:rsidP="00C11785">
      <w:pPr>
        <w:spacing w:after="0" w:line="240" w:lineRule="auto"/>
        <w:rPr>
          <w:rFonts w:ascii="Arial" w:hAnsi="Arial" w:cs="Arial"/>
        </w:rPr>
      </w:pPr>
      <w:r w:rsidRPr="00C836BA">
        <w:rPr>
          <w:rFonts w:ascii="Arial" w:hAnsi="Arial" w:cs="Arial"/>
        </w:rPr>
        <w:t xml:space="preserve">Gordon, N. S., Burke, S., Akil, H., Watson, S. J., &amp; Panksepp, J. (2003) </w:t>
      </w:r>
      <w:proofErr w:type="gramStart"/>
      <w:r w:rsidRPr="00C836BA">
        <w:rPr>
          <w:rFonts w:ascii="Arial" w:hAnsi="Arial" w:cs="Arial"/>
          <w:i/>
          <w:iCs/>
        </w:rPr>
        <w:t>Socially-induced</w:t>
      </w:r>
      <w:proofErr w:type="gramEnd"/>
      <w:r w:rsidRPr="00C836BA">
        <w:rPr>
          <w:rFonts w:ascii="Arial" w:hAnsi="Arial" w:cs="Arial"/>
          <w:i/>
          <w:iCs/>
        </w:rPr>
        <w:t xml:space="preserve"> brain "fertilization": play promotes brain derived neurotrophic factor transcription in the </w:t>
      </w:r>
      <w:r w:rsidRPr="00C836BA">
        <w:rPr>
          <w:rFonts w:ascii="Arial" w:hAnsi="Arial" w:cs="Arial"/>
          <w:i/>
          <w:iCs/>
        </w:rPr>
        <w:lastRenderedPageBreak/>
        <w:t>amygdala and dorsolateral frontal cortex in juvenile rats.</w:t>
      </w:r>
      <w:r w:rsidRPr="00C836BA">
        <w:rPr>
          <w:rFonts w:ascii="Arial" w:hAnsi="Arial" w:cs="Arial"/>
        </w:rPr>
        <w:t xml:space="preserve"> Neuroscience Letters, 341, 17–20. </w:t>
      </w:r>
      <w:hyperlink r:id="rId11" w:history="1">
        <w:r w:rsidRPr="00C836BA">
          <w:rPr>
            <w:rStyle w:val="Hyperlink"/>
            <w:rFonts w:ascii="Arial" w:hAnsi="Arial" w:cs="Arial"/>
            <w:color w:val="auto"/>
          </w:rPr>
          <w:t>https://doi.org/10.1016/s0304-3940(03)00158-7</w:t>
        </w:r>
      </w:hyperlink>
    </w:p>
    <w:p w14:paraId="22F6BB7E" w14:textId="77777777" w:rsidR="00C836BA" w:rsidRPr="00C836BA" w:rsidRDefault="00C836BA">
      <w:pPr>
        <w:rPr>
          <w:rStyle w:val="Hyperlink"/>
          <w:rFonts w:ascii="Arial" w:hAnsi="Arial" w:cs="Arial"/>
          <w:color w:val="auto"/>
          <w:shd w:val="clear" w:color="auto" w:fill="FFFFFF"/>
        </w:rPr>
      </w:pPr>
      <w:r w:rsidRPr="00C836BA">
        <w:rPr>
          <w:rFonts w:ascii="Arial" w:hAnsi="Arial" w:cs="Arial"/>
          <w:shd w:val="clear" w:color="auto" w:fill="FFFFFF"/>
        </w:rPr>
        <w:t xml:space="preserve">Horsfall, M., Eikelenboom, M., </w:t>
      </w:r>
      <w:proofErr w:type="spellStart"/>
      <w:r w:rsidRPr="00C836BA">
        <w:rPr>
          <w:rFonts w:ascii="Arial" w:hAnsi="Arial" w:cs="Arial"/>
          <w:shd w:val="clear" w:color="auto" w:fill="FFFFFF"/>
        </w:rPr>
        <w:t>Draisma</w:t>
      </w:r>
      <w:proofErr w:type="spellEnd"/>
      <w:r w:rsidRPr="00C836BA">
        <w:rPr>
          <w:rFonts w:ascii="Arial" w:hAnsi="Arial" w:cs="Arial"/>
          <w:shd w:val="clear" w:color="auto" w:fill="FFFFFF"/>
        </w:rPr>
        <w:t xml:space="preserve">, S., &amp; Smit, J. H. (2021). The Effect of Rapport on Data Quality in Face-to-Face Interviews: Beneficial or </w:t>
      </w:r>
      <w:proofErr w:type="gramStart"/>
      <w:r w:rsidRPr="00C836BA">
        <w:rPr>
          <w:rFonts w:ascii="Arial" w:hAnsi="Arial" w:cs="Arial"/>
          <w:shd w:val="clear" w:color="auto" w:fill="FFFFFF"/>
        </w:rPr>
        <w:t>Detrimental?.</w:t>
      </w:r>
      <w:proofErr w:type="gramEnd"/>
      <w:r w:rsidRPr="00C836BA">
        <w:rPr>
          <w:rFonts w:ascii="Arial" w:hAnsi="Arial" w:cs="Arial"/>
          <w:shd w:val="clear" w:color="auto" w:fill="FFFFFF"/>
        </w:rPr>
        <w:t> </w:t>
      </w:r>
      <w:r w:rsidRPr="00C836BA">
        <w:rPr>
          <w:rFonts w:ascii="Arial" w:hAnsi="Arial" w:cs="Arial"/>
          <w:i/>
          <w:iCs/>
          <w:shd w:val="clear" w:color="auto" w:fill="FFFFFF"/>
        </w:rPr>
        <w:t>International journal of environmental research and public health</w:t>
      </w:r>
      <w:r w:rsidRPr="00C836BA">
        <w:rPr>
          <w:rFonts w:ascii="Arial" w:hAnsi="Arial" w:cs="Arial"/>
          <w:shd w:val="clear" w:color="auto" w:fill="FFFFFF"/>
        </w:rPr>
        <w:t>, </w:t>
      </w:r>
      <w:r w:rsidRPr="00C836BA">
        <w:rPr>
          <w:rFonts w:ascii="Arial" w:hAnsi="Arial" w:cs="Arial"/>
          <w:i/>
          <w:iCs/>
          <w:shd w:val="clear" w:color="auto" w:fill="FFFFFF"/>
        </w:rPr>
        <w:t>18</w:t>
      </w:r>
      <w:r w:rsidRPr="00C836BA">
        <w:rPr>
          <w:rFonts w:ascii="Arial" w:hAnsi="Arial" w:cs="Arial"/>
          <w:shd w:val="clear" w:color="auto" w:fill="FFFFFF"/>
        </w:rPr>
        <w:t xml:space="preserve">(20), 10858. </w:t>
      </w:r>
      <w:hyperlink r:id="rId12" w:history="1">
        <w:r w:rsidRPr="00C836BA">
          <w:rPr>
            <w:rStyle w:val="Hyperlink"/>
            <w:rFonts w:ascii="Arial" w:hAnsi="Arial" w:cs="Arial"/>
            <w:color w:val="auto"/>
            <w:shd w:val="clear" w:color="auto" w:fill="FFFFFF"/>
          </w:rPr>
          <w:t>https://doi.org/10.3390/ijerph182010858</w:t>
        </w:r>
      </w:hyperlink>
    </w:p>
    <w:p w14:paraId="6E839F85" w14:textId="77777777" w:rsidR="00C836BA" w:rsidRPr="00C836BA" w:rsidRDefault="00C836BA">
      <w:pPr>
        <w:rPr>
          <w:rFonts w:ascii="Arial" w:hAnsi="Arial" w:cs="Arial"/>
        </w:rPr>
      </w:pPr>
      <w:r w:rsidRPr="00C836BA">
        <w:rPr>
          <w:rFonts w:ascii="Arial" w:hAnsi="Arial" w:cs="Arial"/>
        </w:rPr>
        <w:t xml:space="preserve">Johnson, V., Hart, R., &amp; Colwell, J. (2014). Steps to engaging young children in research: Volume 2, the toolkit. The Bernard Van Leer Foundation. </w:t>
      </w:r>
    </w:p>
    <w:p w14:paraId="4A8BADD9"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Kadam R. A. (2017). Informed consent process: A step further towards making it </w:t>
      </w:r>
      <w:proofErr w:type="gramStart"/>
      <w:r w:rsidRPr="00C836BA">
        <w:rPr>
          <w:rFonts w:ascii="Arial" w:hAnsi="Arial" w:cs="Arial"/>
          <w:shd w:val="clear" w:color="auto" w:fill="FFFFFF"/>
        </w:rPr>
        <w:t>meaningful!.</w:t>
      </w:r>
      <w:proofErr w:type="gramEnd"/>
      <w:r w:rsidRPr="00C836BA">
        <w:rPr>
          <w:rFonts w:ascii="Arial" w:hAnsi="Arial" w:cs="Arial"/>
          <w:shd w:val="clear" w:color="auto" w:fill="FFFFFF"/>
        </w:rPr>
        <w:t> </w:t>
      </w:r>
      <w:r w:rsidRPr="00C836BA">
        <w:rPr>
          <w:rFonts w:ascii="Arial" w:hAnsi="Arial" w:cs="Arial"/>
          <w:i/>
          <w:iCs/>
          <w:shd w:val="clear" w:color="auto" w:fill="FFFFFF"/>
        </w:rPr>
        <w:t>Perspectives in clinical research</w:t>
      </w:r>
      <w:r w:rsidRPr="00C836BA">
        <w:rPr>
          <w:rFonts w:ascii="Arial" w:hAnsi="Arial" w:cs="Arial"/>
          <w:shd w:val="clear" w:color="auto" w:fill="FFFFFF"/>
        </w:rPr>
        <w:t>, </w:t>
      </w:r>
      <w:r w:rsidRPr="00C836BA">
        <w:rPr>
          <w:rFonts w:ascii="Arial" w:hAnsi="Arial" w:cs="Arial"/>
          <w:i/>
          <w:iCs/>
          <w:shd w:val="clear" w:color="auto" w:fill="FFFFFF"/>
        </w:rPr>
        <w:t>8</w:t>
      </w:r>
      <w:r w:rsidRPr="00C836BA">
        <w:rPr>
          <w:rFonts w:ascii="Arial" w:hAnsi="Arial" w:cs="Arial"/>
          <w:shd w:val="clear" w:color="auto" w:fill="FFFFFF"/>
        </w:rPr>
        <w:t xml:space="preserve">(3), 107–112. </w:t>
      </w:r>
      <w:hyperlink r:id="rId13" w:history="1">
        <w:r w:rsidRPr="00C836BA">
          <w:rPr>
            <w:rStyle w:val="Hyperlink"/>
            <w:rFonts w:ascii="Arial" w:hAnsi="Arial" w:cs="Arial"/>
            <w:color w:val="auto"/>
            <w:shd w:val="clear" w:color="auto" w:fill="FFFFFF"/>
          </w:rPr>
          <w:t>https://doi.org/10.4103/picr.PICR_147_16</w:t>
        </w:r>
      </w:hyperlink>
    </w:p>
    <w:p w14:paraId="573567D5" w14:textId="36DD48CC" w:rsidR="00C836BA" w:rsidRPr="00C836BA" w:rsidRDefault="00C836BA">
      <w:pPr>
        <w:rPr>
          <w:rFonts w:ascii="Arial" w:hAnsi="Arial" w:cs="Arial"/>
          <w:shd w:val="clear" w:color="auto" w:fill="FFFFFF"/>
        </w:rPr>
      </w:pPr>
      <w:proofErr w:type="spellStart"/>
      <w:r w:rsidRPr="00C836BA">
        <w:rPr>
          <w:rFonts w:ascii="Arial" w:hAnsi="Arial" w:cs="Arial"/>
          <w:shd w:val="clear" w:color="auto" w:fill="FFFFFF"/>
        </w:rPr>
        <w:t>Kubzansky</w:t>
      </w:r>
      <w:proofErr w:type="spellEnd"/>
      <w:r w:rsidRPr="00C836BA">
        <w:rPr>
          <w:rFonts w:ascii="Arial" w:hAnsi="Arial" w:cs="Arial"/>
          <w:shd w:val="clear" w:color="auto" w:fill="FFFFFF"/>
        </w:rPr>
        <w:t xml:space="preserve">, Laura D </w:t>
      </w:r>
      <w:r w:rsidRPr="00C836BA">
        <w:rPr>
          <w:rFonts w:ascii="Arial" w:hAnsi="Arial" w:cs="Arial"/>
          <w:i/>
          <w:iCs/>
          <w:shd w:val="clear" w:color="auto" w:fill="FFFFFF"/>
        </w:rPr>
        <w:t>et al.</w:t>
      </w:r>
      <w:r w:rsidRPr="00C836BA">
        <w:rPr>
          <w:rFonts w:ascii="Arial" w:hAnsi="Arial" w:cs="Arial"/>
          <w:shd w:val="clear" w:color="auto" w:fill="FFFFFF"/>
        </w:rPr>
        <w:t xml:space="preserve"> (2023) “Interventions to Modify Psychological Well-Being: Progress, Promises, and an Agenda for Future Research.” </w:t>
      </w:r>
      <w:r w:rsidRPr="00C836BA">
        <w:rPr>
          <w:rFonts w:ascii="Arial" w:hAnsi="Arial" w:cs="Arial"/>
          <w:i/>
          <w:iCs/>
          <w:shd w:val="clear" w:color="auto" w:fill="FFFFFF"/>
        </w:rPr>
        <w:t>Affective science</w:t>
      </w:r>
      <w:r w:rsidRPr="00C836BA">
        <w:rPr>
          <w:rFonts w:ascii="Arial" w:hAnsi="Arial" w:cs="Arial"/>
          <w:shd w:val="clear" w:color="auto" w:fill="FFFFFF"/>
        </w:rPr>
        <w:t> vol. 4,1 174-184, doi:10.1007/s42761-022-00167-w</w:t>
      </w:r>
    </w:p>
    <w:p w14:paraId="6F589A65"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Lester, J. N., Cho, Y., &amp; </w:t>
      </w:r>
      <w:proofErr w:type="spellStart"/>
      <w:r w:rsidRPr="00C836BA">
        <w:rPr>
          <w:rFonts w:ascii="Arial" w:hAnsi="Arial" w:cs="Arial"/>
          <w:shd w:val="clear" w:color="auto" w:fill="FFFFFF"/>
        </w:rPr>
        <w:t>Lochmiller</w:t>
      </w:r>
      <w:proofErr w:type="spellEnd"/>
      <w:r w:rsidRPr="00C836BA">
        <w:rPr>
          <w:rFonts w:ascii="Arial" w:hAnsi="Arial" w:cs="Arial"/>
          <w:shd w:val="clear" w:color="auto" w:fill="FFFFFF"/>
        </w:rPr>
        <w:t xml:space="preserve">, C. R. (2020). Learning to Do Qualitative Data Analysis: A Starting Point. Human Resource Development Review, 19(1), 94-106. </w:t>
      </w:r>
      <w:hyperlink r:id="rId14" w:history="1">
        <w:r w:rsidRPr="00C836BA">
          <w:rPr>
            <w:rStyle w:val="Hyperlink"/>
            <w:rFonts w:ascii="Arial" w:hAnsi="Arial" w:cs="Arial"/>
            <w:color w:val="auto"/>
            <w:shd w:val="clear" w:color="auto" w:fill="FFFFFF"/>
          </w:rPr>
          <w:t>https://doi.org/10.1177/1534484320903890</w:t>
        </w:r>
      </w:hyperlink>
    </w:p>
    <w:p w14:paraId="35281532" w14:textId="77777777" w:rsidR="00C836BA" w:rsidRPr="00C836BA" w:rsidRDefault="00C836BA">
      <w:pPr>
        <w:rPr>
          <w:rFonts w:ascii="Arial" w:hAnsi="Arial" w:cs="Arial"/>
        </w:rPr>
      </w:pPr>
      <w:proofErr w:type="spellStart"/>
      <w:r w:rsidRPr="00C836BA">
        <w:rPr>
          <w:rFonts w:ascii="Arial" w:hAnsi="Arial" w:cs="Arial"/>
        </w:rPr>
        <w:t>Mcleod</w:t>
      </w:r>
      <w:proofErr w:type="spellEnd"/>
      <w:r w:rsidRPr="00C836BA">
        <w:rPr>
          <w:rFonts w:ascii="Arial" w:hAnsi="Arial" w:cs="Arial"/>
        </w:rPr>
        <w:t xml:space="preserve">, S. (2023) </w:t>
      </w:r>
      <w:r w:rsidRPr="00C836BA">
        <w:rPr>
          <w:rFonts w:ascii="Arial" w:hAnsi="Arial" w:cs="Arial"/>
          <w:i/>
          <w:iCs/>
        </w:rPr>
        <w:t xml:space="preserve">Questionnaire Method in Research. </w:t>
      </w:r>
      <w:r w:rsidRPr="00C836BA">
        <w:rPr>
          <w:rFonts w:ascii="Arial" w:hAnsi="Arial" w:cs="Arial"/>
        </w:rPr>
        <w:t xml:space="preserve">Available at: </w:t>
      </w:r>
      <w:hyperlink r:id="rId15" w:history="1">
        <w:r w:rsidRPr="00C836BA">
          <w:rPr>
            <w:rStyle w:val="Hyperlink"/>
            <w:rFonts w:ascii="Arial" w:hAnsi="Arial" w:cs="Arial"/>
            <w:color w:val="auto"/>
          </w:rPr>
          <w:t>What Is a Questionnaire and How Is It Used in Research? (simplypsychology.org)</w:t>
        </w:r>
      </w:hyperlink>
      <w:r w:rsidRPr="00C836BA">
        <w:rPr>
          <w:rFonts w:ascii="Arial" w:hAnsi="Arial" w:cs="Arial"/>
        </w:rPr>
        <w:t xml:space="preserve"> (Accessed: 4</w:t>
      </w:r>
      <w:r w:rsidRPr="00C836BA">
        <w:rPr>
          <w:rFonts w:ascii="Arial" w:hAnsi="Arial" w:cs="Arial"/>
          <w:vertAlign w:val="superscript"/>
        </w:rPr>
        <w:t>th</w:t>
      </w:r>
      <w:r w:rsidRPr="00C836BA">
        <w:rPr>
          <w:rFonts w:ascii="Arial" w:hAnsi="Arial" w:cs="Arial"/>
        </w:rPr>
        <w:t xml:space="preserve"> April 2024).</w:t>
      </w:r>
    </w:p>
    <w:p w14:paraId="5DC1E66B" w14:textId="77777777" w:rsidR="00C836BA" w:rsidRPr="00C836BA" w:rsidRDefault="00C836BA">
      <w:pPr>
        <w:rPr>
          <w:rFonts w:ascii="Arial" w:hAnsi="Arial" w:cs="Arial"/>
        </w:rPr>
      </w:pPr>
      <w:r w:rsidRPr="00C836BA">
        <w:rPr>
          <w:rFonts w:ascii="Arial" w:hAnsi="Arial" w:cs="Arial"/>
        </w:rPr>
        <w:t xml:space="preserve">Miles, R. (2015). Complexity, </w:t>
      </w:r>
      <w:proofErr w:type="gramStart"/>
      <w:r w:rsidRPr="00C836BA">
        <w:rPr>
          <w:rFonts w:ascii="Arial" w:hAnsi="Arial" w:cs="Arial"/>
        </w:rPr>
        <w:t>representation</w:t>
      </w:r>
      <w:proofErr w:type="gramEnd"/>
      <w:r w:rsidRPr="00C836BA">
        <w:rPr>
          <w:rFonts w:ascii="Arial" w:hAnsi="Arial" w:cs="Arial"/>
        </w:rPr>
        <w:t xml:space="preserve"> and practice: Case study as method and methodology. Issues in Educational Research, 25(3), 309-318.</w:t>
      </w:r>
    </w:p>
    <w:p w14:paraId="72B18D1B" w14:textId="77777777" w:rsidR="00C836BA" w:rsidRPr="00C836BA" w:rsidRDefault="00C836BA">
      <w:pPr>
        <w:rPr>
          <w:rStyle w:val="Hyperlink"/>
          <w:rFonts w:ascii="Arial" w:hAnsi="Arial" w:cs="Arial"/>
          <w:color w:val="auto"/>
        </w:rPr>
      </w:pPr>
      <w:r w:rsidRPr="00C836BA">
        <w:rPr>
          <w:rFonts w:ascii="Arial" w:hAnsi="Arial" w:cs="Arial"/>
        </w:rPr>
        <w:t xml:space="preserve">Nowell, L. S., Norris, J. M., White, D. E., &amp; Moules, N. J. (2017). Thematic Analysis: Striving to Meet the Trustworthiness Criteria. International Journal of Qualitative Methods, 16(1). </w:t>
      </w:r>
      <w:hyperlink r:id="rId16" w:history="1">
        <w:r w:rsidRPr="00C836BA">
          <w:rPr>
            <w:rStyle w:val="Hyperlink"/>
            <w:rFonts w:ascii="Arial" w:hAnsi="Arial" w:cs="Arial"/>
            <w:color w:val="auto"/>
          </w:rPr>
          <w:t>https://doi.org/10.1177/1609406917733847</w:t>
        </w:r>
      </w:hyperlink>
    </w:p>
    <w:p w14:paraId="207F36C7"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Padilla-Petry, P., &amp; Miño </w:t>
      </w:r>
      <w:proofErr w:type="spellStart"/>
      <w:r w:rsidRPr="00C836BA">
        <w:rPr>
          <w:rFonts w:ascii="Arial" w:hAnsi="Arial" w:cs="Arial"/>
          <w:shd w:val="clear" w:color="auto" w:fill="FFFFFF"/>
        </w:rPr>
        <w:t>Puigcercós</w:t>
      </w:r>
      <w:proofErr w:type="spellEnd"/>
      <w:r w:rsidRPr="00C836BA">
        <w:rPr>
          <w:rFonts w:ascii="Arial" w:hAnsi="Arial" w:cs="Arial"/>
          <w:shd w:val="clear" w:color="auto" w:fill="FFFFFF"/>
        </w:rPr>
        <w:t xml:space="preserve">, R. (2022). Engaging Young People in a Research Project: The Complexities and Contributions of Using Participatory Methods </w:t>
      </w:r>
      <w:proofErr w:type="gramStart"/>
      <w:r w:rsidRPr="00C836BA">
        <w:rPr>
          <w:rFonts w:ascii="Arial" w:hAnsi="Arial" w:cs="Arial"/>
          <w:shd w:val="clear" w:color="auto" w:fill="FFFFFF"/>
        </w:rPr>
        <w:t>With</w:t>
      </w:r>
      <w:proofErr w:type="gramEnd"/>
      <w:r w:rsidRPr="00C836BA">
        <w:rPr>
          <w:rFonts w:ascii="Arial" w:hAnsi="Arial" w:cs="Arial"/>
          <w:shd w:val="clear" w:color="auto" w:fill="FFFFFF"/>
        </w:rPr>
        <w:t xml:space="preserve"> Young People in Schools. Sage Open, 12(1). </w:t>
      </w:r>
      <w:hyperlink r:id="rId17" w:history="1">
        <w:r w:rsidRPr="00C836BA">
          <w:rPr>
            <w:rStyle w:val="Hyperlink"/>
            <w:rFonts w:ascii="Arial" w:hAnsi="Arial" w:cs="Arial"/>
            <w:color w:val="auto"/>
            <w:shd w:val="clear" w:color="auto" w:fill="FFFFFF"/>
          </w:rPr>
          <w:t>https://doi.org/10.1177/21582440211068457</w:t>
        </w:r>
      </w:hyperlink>
    </w:p>
    <w:p w14:paraId="4B652E68" w14:textId="77777777" w:rsidR="00C836BA" w:rsidRPr="00C836BA" w:rsidRDefault="00C836BA" w:rsidP="00C11785">
      <w:pPr>
        <w:spacing w:after="0" w:line="240" w:lineRule="auto"/>
        <w:rPr>
          <w:rFonts w:ascii="Arial" w:eastAsia="Times New Roman" w:hAnsi="Arial" w:cs="Arial"/>
          <w:kern w:val="0"/>
          <w:lang w:eastAsia="en-GB"/>
          <w14:ligatures w14:val="none"/>
        </w:rPr>
      </w:pPr>
      <w:r w:rsidRPr="00C836BA">
        <w:rPr>
          <w:rFonts w:ascii="Arial" w:eastAsia="Times New Roman" w:hAnsi="Arial" w:cs="Arial"/>
          <w:kern w:val="0"/>
          <w:lang w:eastAsia="en-GB"/>
          <w14:ligatures w14:val="none"/>
        </w:rPr>
        <w:t xml:space="preserve">Parker, R. Thomsen, B. S. &amp; Berry, A (2022) Learning Through Play at School – A Framework for Policy and Practice. </w:t>
      </w:r>
      <w:r w:rsidRPr="00C836BA">
        <w:rPr>
          <w:rFonts w:ascii="Arial" w:eastAsia="Times New Roman" w:hAnsi="Arial" w:cs="Arial"/>
          <w:i/>
          <w:iCs/>
          <w:kern w:val="0"/>
          <w:lang w:eastAsia="en-GB"/>
          <w14:ligatures w14:val="none"/>
        </w:rPr>
        <w:t>Frontiers in Education</w:t>
      </w:r>
      <w:r w:rsidRPr="00C836BA">
        <w:rPr>
          <w:rFonts w:ascii="Arial" w:eastAsia="Times New Roman" w:hAnsi="Arial" w:cs="Arial"/>
          <w:kern w:val="0"/>
          <w:lang w:eastAsia="en-GB"/>
          <w14:ligatures w14:val="none"/>
        </w:rPr>
        <w:t xml:space="preserve">, </w:t>
      </w:r>
      <w:r w:rsidRPr="00C836BA">
        <w:rPr>
          <w:rFonts w:ascii="Arial" w:eastAsia="Times New Roman" w:hAnsi="Arial" w:cs="Arial"/>
          <w:i/>
          <w:iCs/>
          <w:kern w:val="0"/>
          <w:lang w:eastAsia="en-GB"/>
          <w14:ligatures w14:val="none"/>
        </w:rPr>
        <w:t>7</w:t>
      </w:r>
      <w:r w:rsidRPr="00C836BA">
        <w:rPr>
          <w:rFonts w:ascii="Arial" w:eastAsia="Times New Roman" w:hAnsi="Arial" w:cs="Arial"/>
          <w:kern w:val="0"/>
          <w:lang w:eastAsia="en-GB"/>
          <w14:ligatures w14:val="none"/>
        </w:rPr>
        <w:t xml:space="preserve">, 751801. </w:t>
      </w:r>
      <w:hyperlink r:id="rId18" w:history="1">
        <w:r w:rsidRPr="00C836BA">
          <w:rPr>
            <w:rStyle w:val="Hyperlink"/>
            <w:rFonts w:ascii="Arial" w:eastAsia="Times New Roman" w:hAnsi="Arial" w:cs="Arial"/>
            <w:color w:val="auto"/>
            <w:kern w:val="0"/>
            <w:lang w:eastAsia="en-GB"/>
            <w14:ligatures w14:val="none"/>
          </w:rPr>
          <w:t>https://doi.org/10.3389/feduc.2022.751801</w:t>
        </w:r>
      </w:hyperlink>
    </w:p>
    <w:p w14:paraId="03B23BE1" w14:textId="77777777" w:rsidR="00C836BA" w:rsidRPr="00C836BA" w:rsidRDefault="00C836BA">
      <w:pPr>
        <w:rPr>
          <w:rFonts w:ascii="Arial" w:hAnsi="Arial" w:cs="Arial"/>
        </w:rPr>
      </w:pPr>
      <w:proofErr w:type="spellStart"/>
      <w:r w:rsidRPr="00C836BA">
        <w:rPr>
          <w:rFonts w:ascii="Arial" w:hAnsi="Arial" w:cs="Arial"/>
        </w:rPr>
        <w:t>Raiker</w:t>
      </w:r>
      <w:proofErr w:type="spellEnd"/>
      <w:r w:rsidRPr="00C836BA">
        <w:rPr>
          <w:rFonts w:ascii="Arial" w:hAnsi="Arial" w:cs="Arial"/>
        </w:rPr>
        <w:t xml:space="preserve">, S. (2024) </w:t>
      </w:r>
      <w:r w:rsidRPr="00C836BA">
        <w:rPr>
          <w:rFonts w:ascii="Arial" w:hAnsi="Arial" w:cs="Arial"/>
          <w:i/>
          <w:iCs/>
        </w:rPr>
        <w:t xml:space="preserve">Case Study. </w:t>
      </w:r>
      <w:r w:rsidRPr="00C836BA">
        <w:rPr>
          <w:rFonts w:ascii="Arial" w:hAnsi="Arial" w:cs="Arial"/>
        </w:rPr>
        <w:t xml:space="preserve">Available at: </w:t>
      </w:r>
      <w:hyperlink r:id="rId19" w:history="1">
        <w:r w:rsidRPr="00C836BA">
          <w:rPr>
            <w:rStyle w:val="Hyperlink"/>
            <w:rFonts w:ascii="Arial" w:hAnsi="Arial" w:cs="Arial"/>
            <w:color w:val="auto"/>
          </w:rPr>
          <w:t>Case study | Definition, Types, Creation, &amp; Facts | Britannica</w:t>
        </w:r>
      </w:hyperlink>
      <w:r w:rsidRPr="00C836BA">
        <w:rPr>
          <w:rFonts w:ascii="Arial" w:hAnsi="Arial" w:cs="Arial"/>
        </w:rPr>
        <w:t xml:space="preserve"> (Accessed: 3</w:t>
      </w:r>
      <w:r w:rsidRPr="00C836BA">
        <w:rPr>
          <w:rFonts w:ascii="Arial" w:hAnsi="Arial" w:cs="Arial"/>
          <w:vertAlign w:val="superscript"/>
        </w:rPr>
        <w:t>rd</w:t>
      </w:r>
      <w:r w:rsidRPr="00C836BA">
        <w:rPr>
          <w:rFonts w:ascii="Arial" w:hAnsi="Arial" w:cs="Arial"/>
        </w:rPr>
        <w:t xml:space="preserve"> April 2024).</w:t>
      </w:r>
    </w:p>
    <w:p w14:paraId="12186CFC" w14:textId="59E7071E"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Rogers, S. (Ed.). (2010). Rethinking Play and Pedagogy in Early Childhood Education: Concepts, Contexts and Cultures (1st ed.). Routledge. </w:t>
      </w:r>
      <w:hyperlink r:id="rId20" w:history="1">
        <w:r w:rsidRPr="00C836BA">
          <w:rPr>
            <w:rStyle w:val="Hyperlink"/>
            <w:rFonts w:ascii="Arial" w:hAnsi="Arial" w:cs="Arial"/>
            <w:color w:val="auto"/>
            <w:shd w:val="clear" w:color="auto" w:fill="FFFFFF"/>
          </w:rPr>
          <w:t>https://doi.org/10.4324/9780203839478</w:t>
        </w:r>
      </w:hyperlink>
    </w:p>
    <w:p w14:paraId="5ECC533D" w14:textId="77777777" w:rsidR="00C836BA" w:rsidRPr="00C836BA" w:rsidRDefault="00C836BA">
      <w:pPr>
        <w:rPr>
          <w:rFonts w:ascii="Arial" w:hAnsi="Arial" w:cs="Arial"/>
        </w:rPr>
      </w:pPr>
      <w:r w:rsidRPr="00C836BA">
        <w:rPr>
          <w:rFonts w:ascii="Arial" w:hAnsi="Arial" w:cs="Arial"/>
        </w:rPr>
        <w:t xml:space="preserve">Rosala, M. (2024) </w:t>
      </w:r>
      <w:r w:rsidRPr="00C836BA">
        <w:rPr>
          <w:rFonts w:ascii="Arial" w:hAnsi="Arial" w:cs="Arial"/>
          <w:i/>
          <w:iCs/>
        </w:rPr>
        <w:t xml:space="preserve">Open-Ended vs Closed Questions in User Research. </w:t>
      </w:r>
      <w:r w:rsidRPr="00C836BA">
        <w:rPr>
          <w:rFonts w:ascii="Arial" w:hAnsi="Arial" w:cs="Arial"/>
        </w:rPr>
        <w:t xml:space="preserve">Available at: </w:t>
      </w:r>
      <w:hyperlink r:id="rId21" w:history="1">
        <w:r w:rsidRPr="00C836BA">
          <w:rPr>
            <w:rStyle w:val="Hyperlink"/>
            <w:rFonts w:ascii="Arial" w:hAnsi="Arial" w:cs="Arial"/>
            <w:color w:val="auto"/>
          </w:rPr>
          <w:t>Open-Ended vs. Closed Questions in User Research (nngroup.com)</w:t>
        </w:r>
      </w:hyperlink>
      <w:r w:rsidRPr="00C836BA">
        <w:rPr>
          <w:rFonts w:ascii="Arial" w:hAnsi="Arial" w:cs="Arial"/>
        </w:rPr>
        <w:t xml:space="preserve"> (Accessed: 4</w:t>
      </w:r>
      <w:r w:rsidRPr="00C836BA">
        <w:rPr>
          <w:rFonts w:ascii="Arial" w:hAnsi="Arial" w:cs="Arial"/>
          <w:vertAlign w:val="superscript"/>
        </w:rPr>
        <w:t>th</w:t>
      </w:r>
      <w:r w:rsidRPr="00C836BA">
        <w:rPr>
          <w:rFonts w:ascii="Arial" w:hAnsi="Arial" w:cs="Arial"/>
        </w:rPr>
        <w:t xml:space="preserve"> April 2024).</w:t>
      </w:r>
    </w:p>
    <w:p w14:paraId="5FA23BED" w14:textId="77777777" w:rsidR="00C836BA" w:rsidRPr="00C836BA" w:rsidRDefault="00C836BA">
      <w:pPr>
        <w:rPr>
          <w:rFonts w:ascii="Arial" w:hAnsi="Arial" w:cs="Arial"/>
        </w:rPr>
      </w:pPr>
      <w:r w:rsidRPr="00C836BA">
        <w:rPr>
          <w:rFonts w:ascii="Arial" w:hAnsi="Arial" w:cs="Arial"/>
        </w:rPr>
        <w:t xml:space="preserve">Scottish Government (2016) </w:t>
      </w:r>
      <w:r w:rsidRPr="00C836BA">
        <w:rPr>
          <w:rFonts w:ascii="Arial" w:hAnsi="Arial" w:cs="Arial"/>
          <w:i/>
          <w:iCs/>
        </w:rPr>
        <w:t>Play out of hours!</w:t>
      </w:r>
      <w:r w:rsidRPr="00C836BA">
        <w:rPr>
          <w:rFonts w:ascii="Arial" w:hAnsi="Arial" w:cs="Arial"/>
        </w:rPr>
        <w:t xml:space="preserve"> A toolkit for the use of school grounds for playing out of teaching hours. Available at: </w:t>
      </w:r>
      <w:hyperlink r:id="rId22" w:history="1">
        <w:r w:rsidRPr="00C836BA">
          <w:rPr>
            <w:rStyle w:val="Hyperlink"/>
            <w:rFonts w:ascii="Arial" w:hAnsi="Arial" w:cs="Arial"/>
            <w:color w:val="auto"/>
          </w:rPr>
          <w:t>00493571.pdf (www.gov.scot)</w:t>
        </w:r>
      </w:hyperlink>
      <w:r w:rsidRPr="00C836BA">
        <w:rPr>
          <w:rFonts w:ascii="Arial" w:hAnsi="Arial" w:cs="Arial"/>
        </w:rPr>
        <w:t xml:space="preserve"> (Accessed: 29</w:t>
      </w:r>
      <w:r w:rsidRPr="00C836BA">
        <w:rPr>
          <w:rFonts w:ascii="Arial" w:hAnsi="Arial" w:cs="Arial"/>
          <w:vertAlign w:val="superscript"/>
        </w:rPr>
        <w:t>th</w:t>
      </w:r>
      <w:r w:rsidRPr="00C836BA">
        <w:rPr>
          <w:rFonts w:ascii="Arial" w:hAnsi="Arial" w:cs="Arial"/>
        </w:rPr>
        <w:t xml:space="preserve"> March 2024).</w:t>
      </w:r>
    </w:p>
    <w:p w14:paraId="6DE1DB18" w14:textId="77777777" w:rsidR="00C836BA" w:rsidRPr="00C836BA" w:rsidRDefault="00C836BA">
      <w:pPr>
        <w:rPr>
          <w:rFonts w:ascii="Arial" w:hAnsi="Arial" w:cs="Arial"/>
        </w:rPr>
      </w:pPr>
      <w:proofErr w:type="spellStart"/>
      <w:r w:rsidRPr="00C836BA">
        <w:rPr>
          <w:rFonts w:ascii="Arial" w:hAnsi="Arial" w:cs="Arial"/>
        </w:rPr>
        <w:t>Simundić</w:t>
      </w:r>
      <w:proofErr w:type="spellEnd"/>
      <w:r w:rsidRPr="00C836BA">
        <w:rPr>
          <w:rFonts w:ascii="Arial" w:hAnsi="Arial" w:cs="Arial"/>
        </w:rPr>
        <w:t xml:space="preserve">, A. M. (2013). Bias in research. </w:t>
      </w:r>
      <w:proofErr w:type="spellStart"/>
      <w:r w:rsidRPr="00C836BA">
        <w:rPr>
          <w:rFonts w:ascii="Arial" w:hAnsi="Arial" w:cs="Arial"/>
        </w:rPr>
        <w:t>Biochemia</w:t>
      </w:r>
      <w:proofErr w:type="spellEnd"/>
      <w:r w:rsidRPr="00C836BA">
        <w:rPr>
          <w:rFonts w:ascii="Arial" w:hAnsi="Arial" w:cs="Arial"/>
        </w:rPr>
        <w:t xml:space="preserve"> medica, 23(1), 12–15. </w:t>
      </w:r>
      <w:hyperlink r:id="rId23" w:history="1">
        <w:r w:rsidRPr="00C836BA">
          <w:rPr>
            <w:rStyle w:val="Hyperlink"/>
            <w:rFonts w:ascii="Arial" w:hAnsi="Arial" w:cs="Arial"/>
            <w:color w:val="auto"/>
          </w:rPr>
          <w:t>https://doi.org/10.11613/bm.2013.003</w:t>
        </w:r>
      </w:hyperlink>
    </w:p>
    <w:p w14:paraId="0C9F2C6C" w14:textId="77777777" w:rsidR="00C836BA" w:rsidRPr="00C836BA" w:rsidRDefault="00C836BA">
      <w:pPr>
        <w:rPr>
          <w:rFonts w:ascii="Arial" w:hAnsi="Arial" w:cs="Arial"/>
        </w:rPr>
      </w:pPr>
      <w:r w:rsidRPr="00C836BA">
        <w:rPr>
          <w:rFonts w:ascii="Arial" w:hAnsi="Arial" w:cs="Arial"/>
        </w:rPr>
        <w:lastRenderedPageBreak/>
        <w:t>Thomas, G. (2011). The case: Generalisation, theory and phronesis in case study. Oxford Review of Education, 37(1), 21-35.</w:t>
      </w:r>
    </w:p>
    <w:p w14:paraId="5177D2B9" w14:textId="77777777" w:rsidR="00C836BA" w:rsidRPr="00C836BA" w:rsidRDefault="00C836BA">
      <w:pPr>
        <w:rPr>
          <w:rFonts w:ascii="Arial" w:hAnsi="Arial" w:cs="Arial"/>
        </w:rPr>
      </w:pPr>
      <w:r w:rsidRPr="00C836BA">
        <w:rPr>
          <w:rFonts w:ascii="Arial" w:hAnsi="Arial" w:cs="Arial"/>
        </w:rPr>
        <w:t xml:space="preserve">UNICEF (2024) </w:t>
      </w:r>
      <w:r w:rsidRPr="00C836BA">
        <w:rPr>
          <w:rFonts w:ascii="Arial" w:hAnsi="Arial" w:cs="Arial"/>
          <w:i/>
          <w:iCs/>
        </w:rPr>
        <w:t xml:space="preserve">How play strengthens your child’s mental health. </w:t>
      </w:r>
      <w:r w:rsidRPr="00C836BA">
        <w:rPr>
          <w:rFonts w:ascii="Arial" w:hAnsi="Arial" w:cs="Arial"/>
        </w:rPr>
        <w:t xml:space="preserve">Available at: </w:t>
      </w:r>
      <w:hyperlink r:id="rId24" w:history="1">
        <w:r w:rsidRPr="00C836BA">
          <w:rPr>
            <w:rStyle w:val="Hyperlink"/>
            <w:rFonts w:ascii="Arial" w:hAnsi="Arial" w:cs="Arial"/>
            <w:color w:val="auto"/>
          </w:rPr>
          <w:t>How play strengthens your child’s mental health | UNICEF Parenting</w:t>
        </w:r>
      </w:hyperlink>
      <w:r w:rsidRPr="00C836BA">
        <w:rPr>
          <w:rFonts w:ascii="Arial" w:hAnsi="Arial" w:cs="Arial"/>
        </w:rPr>
        <w:t xml:space="preserve"> (Accessed: 29</w:t>
      </w:r>
      <w:r w:rsidRPr="00C836BA">
        <w:rPr>
          <w:rFonts w:ascii="Arial" w:hAnsi="Arial" w:cs="Arial"/>
          <w:vertAlign w:val="superscript"/>
        </w:rPr>
        <w:t>th</w:t>
      </w:r>
      <w:r w:rsidRPr="00C836BA">
        <w:rPr>
          <w:rFonts w:ascii="Arial" w:hAnsi="Arial" w:cs="Arial"/>
        </w:rPr>
        <w:t xml:space="preserve"> March 2024).</w:t>
      </w:r>
    </w:p>
    <w:p w14:paraId="7CDBD27A" w14:textId="77777777" w:rsidR="00C836BA" w:rsidRPr="00C836BA" w:rsidRDefault="00C836BA">
      <w:pPr>
        <w:rPr>
          <w:rFonts w:ascii="Arial" w:hAnsi="Arial" w:cs="Arial"/>
        </w:rPr>
      </w:pPr>
      <w:r w:rsidRPr="00C836BA">
        <w:rPr>
          <w:rFonts w:ascii="Arial" w:hAnsi="Arial" w:cs="Arial"/>
        </w:rPr>
        <w:t xml:space="preserve">United Nations Convention on Rights of the Child (2018) Spotlight Report Article 31: </w:t>
      </w:r>
      <w:r w:rsidRPr="00C836BA">
        <w:rPr>
          <w:rFonts w:ascii="Arial" w:hAnsi="Arial" w:cs="Arial"/>
          <w:i/>
          <w:iCs/>
        </w:rPr>
        <w:t xml:space="preserve">the right for all children to have rest and leisure, to engage in play and recreational activities and to participate in cultural life and the arts. </w:t>
      </w:r>
      <w:r w:rsidRPr="00C836BA">
        <w:rPr>
          <w:rFonts w:ascii="Arial" w:hAnsi="Arial" w:cs="Arial"/>
        </w:rPr>
        <w:t xml:space="preserve">Available at: </w:t>
      </w:r>
      <w:hyperlink r:id="rId25" w:history="1">
        <w:r w:rsidRPr="00C836BA">
          <w:rPr>
            <w:rStyle w:val="Hyperlink"/>
            <w:rFonts w:ascii="Arial" w:hAnsi="Arial" w:cs="Arial"/>
            <w:color w:val="auto"/>
          </w:rPr>
          <w:t>Play-FINAL.pdf (childcomwales.org.uk)</w:t>
        </w:r>
      </w:hyperlink>
      <w:r w:rsidRPr="00C836BA">
        <w:rPr>
          <w:rFonts w:ascii="Arial" w:hAnsi="Arial" w:cs="Arial"/>
        </w:rPr>
        <w:t xml:space="preserve"> (Accessed: 1</w:t>
      </w:r>
      <w:r w:rsidRPr="00C836BA">
        <w:rPr>
          <w:rFonts w:ascii="Arial" w:hAnsi="Arial" w:cs="Arial"/>
          <w:vertAlign w:val="superscript"/>
        </w:rPr>
        <w:t>st</w:t>
      </w:r>
      <w:r w:rsidRPr="00C836BA">
        <w:rPr>
          <w:rFonts w:ascii="Arial" w:hAnsi="Arial" w:cs="Arial"/>
        </w:rPr>
        <w:t xml:space="preserve"> April 2024).</w:t>
      </w:r>
    </w:p>
    <w:p w14:paraId="18269945" w14:textId="77777777" w:rsidR="00C836BA" w:rsidRPr="00C836BA" w:rsidRDefault="00C836BA" w:rsidP="00C11785">
      <w:pPr>
        <w:spacing w:after="0" w:line="240" w:lineRule="auto"/>
        <w:rPr>
          <w:rFonts w:ascii="Arial" w:hAnsi="Arial" w:cs="Arial"/>
        </w:rPr>
      </w:pPr>
      <w:r w:rsidRPr="00C836BA">
        <w:rPr>
          <w:rFonts w:ascii="Arial" w:hAnsi="Arial" w:cs="Arial"/>
        </w:rPr>
        <w:t xml:space="preserve">Vygotsky, L. S. (1978) </w:t>
      </w:r>
      <w:r w:rsidRPr="00C836BA">
        <w:rPr>
          <w:rFonts w:ascii="Arial" w:hAnsi="Arial" w:cs="Arial"/>
          <w:i/>
          <w:iCs/>
        </w:rPr>
        <w:t>The Role of Play in Development.</w:t>
      </w:r>
      <w:r w:rsidRPr="00C836BA">
        <w:rPr>
          <w:rFonts w:ascii="Arial" w:hAnsi="Arial" w:cs="Arial"/>
        </w:rPr>
        <w:t xml:space="preserve"> In M. Cole, V. John-Steiner, &amp; S. Scribner (Eds.) Mind in Society: Development of Higher Psychological Processes (pp. 92–104). Cambridge: Harvard University Press. </w:t>
      </w:r>
      <w:hyperlink r:id="rId26" w:history="1">
        <w:r w:rsidRPr="00C836BA">
          <w:rPr>
            <w:rStyle w:val="Hyperlink"/>
            <w:rFonts w:ascii="Arial" w:hAnsi="Arial" w:cs="Arial"/>
            <w:color w:val="auto"/>
          </w:rPr>
          <w:t>https://doi.org/10.2307/j.ctvjf9vz4.12</w:t>
        </w:r>
      </w:hyperlink>
    </w:p>
    <w:p w14:paraId="1BD2A4CA"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Welsh Government (2024) Area of learning and experience: </w:t>
      </w:r>
      <w:r w:rsidRPr="00C836BA">
        <w:rPr>
          <w:rFonts w:ascii="Arial" w:hAnsi="Arial" w:cs="Arial"/>
          <w:i/>
          <w:iCs/>
          <w:shd w:val="clear" w:color="auto" w:fill="FFFFFF"/>
        </w:rPr>
        <w:t xml:space="preserve">Health and Well-being. </w:t>
      </w:r>
      <w:r w:rsidRPr="00C836BA">
        <w:rPr>
          <w:rFonts w:ascii="Arial" w:hAnsi="Arial" w:cs="Arial"/>
          <w:shd w:val="clear" w:color="auto" w:fill="FFFFFF"/>
        </w:rPr>
        <w:t xml:space="preserve">Available at: </w:t>
      </w:r>
      <w:hyperlink r:id="rId27" w:history="1">
        <w:r w:rsidRPr="00C836BA">
          <w:rPr>
            <w:rStyle w:val="Hyperlink"/>
            <w:rFonts w:ascii="Arial" w:hAnsi="Arial" w:cs="Arial"/>
            <w:color w:val="auto"/>
          </w:rPr>
          <w:t>Health and Well-being: Designing your curriculum - Hwb (</w:t>
        </w:r>
        <w:proofErr w:type="spellStart"/>
        <w:r w:rsidRPr="00C836BA">
          <w:rPr>
            <w:rStyle w:val="Hyperlink"/>
            <w:rFonts w:ascii="Arial" w:hAnsi="Arial" w:cs="Arial"/>
            <w:color w:val="auto"/>
          </w:rPr>
          <w:t>gov.wales</w:t>
        </w:r>
        <w:proofErr w:type="spellEnd"/>
        <w:r w:rsidRPr="00C836BA">
          <w:rPr>
            <w:rStyle w:val="Hyperlink"/>
            <w:rFonts w:ascii="Arial" w:hAnsi="Arial" w:cs="Arial"/>
            <w:color w:val="auto"/>
          </w:rPr>
          <w:t>)</w:t>
        </w:r>
      </w:hyperlink>
      <w:r w:rsidRPr="00C836BA">
        <w:rPr>
          <w:rFonts w:ascii="Arial" w:hAnsi="Arial" w:cs="Arial"/>
        </w:rPr>
        <w:t xml:space="preserve"> (Accessed: 24</w:t>
      </w:r>
      <w:r w:rsidRPr="00C836BA">
        <w:rPr>
          <w:rFonts w:ascii="Arial" w:hAnsi="Arial" w:cs="Arial"/>
          <w:vertAlign w:val="superscript"/>
        </w:rPr>
        <w:t>th</w:t>
      </w:r>
      <w:r w:rsidRPr="00C836BA">
        <w:rPr>
          <w:rFonts w:ascii="Arial" w:hAnsi="Arial" w:cs="Arial"/>
        </w:rPr>
        <w:t xml:space="preserve"> April 2024).</w:t>
      </w:r>
    </w:p>
    <w:p w14:paraId="7B08A01D" w14:textId="77777777" w:rsidR="00C836BA" w:rsidRPr="00C836BA" w:rsidRDefault="00C836BA">
      <w:pPr>
        <w:rPr>
          <w:rFonts w:ascii="Arial" w:hAnsi="Arial" w:cs="Arial"/>
        </w:rPr>
      </w:pPr>
      <w:r w:rsidRPr="00C836BA">
        <w:rPr>
          <w:rFonts w:ascii="Arial" w:hAnsi="Arial" w:cs="Arial"/>
        </w:rPr>
        <w:t xml:space="preserve">Welsh </w:t>
      </w:r>
      <w:proofErr w:type="spellStart"/>
      <w:r w:rsidRPr="00C836BA">
        <w:rPr>
          <w:rFonts w:ascii="Arial" w:hAnsi="Arial" w:cs="Arial"/>
        </w:rPr>
        <w:t>Govnerment</w:t>
      </w:r>
      <w:proofErr w:type="spellEnd"/>
      <w:r w:rsidRPr="00C836BA">
        <w:rPr>
          <w:rFonts w:ascii="Arial" w:hAnsi="Arial" w:cs="Arial"/>
        </w:rPr>
        <w:t xml:space="preserve"> (2014) </w:t>
      </w:r>
      <w:r w:rsidRPr="00C836BA">
        <w:rPr>
          <w:rFonts w:ascii="Arial" w:hAnsi="Arial" w:cs="Arial"/>
          <w:i/>
          <w:iCs/>
        </w:rPr>
        <w:t xml:space="preserve">Wales – a Play Friendly Country. </w:t>
      </w:r>
      <w:r w:rsidRPr="00C836BA">
        <w:rPr>
          <w:rFonts w:ascii="Arial" w:hAnsi="Arial" w:cs="Arial"/>
        </w:rPr>
        <w:t xml:space="preserve">Statutory Guidance. Available at: </w:t>
      </w:r>
      <w:hyperlink r:id="rId28" w:history="1">
        <w:r w:rsidRPr="00C836BA">
          <w:rPr>
            <w:rStyle w:val="Hyperlink"/>
            <w:rFonts w:ascii="Arial" w:hAnsi="Arial" w:cs="Arial"/>
            <w:color w:val="auto"/>
          </w:rPr>
          <w:t>Wales: a play friendly country (</w:t>
        </w:r>
        <w:proofErr w:type="spellStart"/>
        <w:r w:rsidRPr="00C836BA">
          <w:rPr>
            <w:rStyle w:val="Hyperlink"/>
            <w:rFonts w:ascii="Arial" w:hAnsi="Arial" w:cs="Arial"/>
            <w:color w:val="auto"/>
          </w:rPr>
          <w:t>gov.wales</w:t>
        </w:r>
        <w:proofErr w:type="spellEnd"/>
        <w:r w:rsidRPr="00C836BA">
          <w:rPr>
            <w:rStyle w:val="Hyperlink"/>
            <w:rFonts w:ascii="Arial" w:hAnsi="Arial" w:cs="Arial"/>
            <w:color w:val="auto"/>
          </w:rPr>
          <w:t>)</w:t>
        </w:r>
      </w:hyperlink>
      <w:r w:rsidRPr="00C836BA">
        <w:rPr>
          <w:rFonts w:ascii="Arial" w:hAnsi="Arial" w:cs="Arial"/>
        </w:rPr>
        <w:t xml:space="preserve"> (Accessed: 29</w:t>
      </w:r>
      <w:r w:rsidRPr="00C836BA">
        <w:rPr>
          <w:rFonts w:ascii="Arial" w:hAnsi="Arial" w:cs="Arial"/>
          <w:vertAlign w:val="superscript"/>
        </w:rPr>
        <w:t>th</w:t>
      </w:r>
      <w:r w:rsidRPr="00C836BA">
        <w:rPr>
          <w:rFonts w:ascii="Arial" w:hAnsi="Arial" w:cs="Arial"/>
        </w:rPr>
        <w:t xml:space="preserve"> March 2024).</w:t>
      </w:r>
    </w:p>
    <w:p w14:paraId="14F3645C" w14:textId="77777777" w:rsidR="00C836BA" w:rsidRPr="00C836BA" w:rsidRDefault="00C836BA">
      <w:pPr>
        <w:rPr>
          <w:rFonts w:ascii="Arial" w:hAnsi="Arial" w:cs="Arial"/>
        </w:rPr>
      </w:pPr>
      <w:r w:rsidRPr="00C836BA">
        <w:rPr>
          <w:rFonts w:ascii="Arial" w:hAnsi="Arial" w:cs="Arial"/>
        </w:rPr>
        <w:t>WJEC (2024) The importance of play for children and young people’s health, well-</w:t>
      </w:r>
      <w:proofErr w:type="spellStart"/>
      <w:r w:rsidRPr="00C836BA">
        <w:rPr>
          <w:rFonts w:ascii="Arial" w:hAnsi="Arial" w:cs="Arial"/>
        </w:rPr>
        <w:t>beingand</w:t>
      </w:r>
      <w:proofErr w:type="spellEnd"/>
      <w:r w:rsidRPr="00C836BA">
        <w:rPr>
          <w:rFonts w:ascii="Arial" w:hAnsi="Arial" w:cs="Arial"/>
        </w:rPr>
        <w:t xml:space="preserve"> learning and development. Available at: </w:t>
      </w:r>
      <w:hyperlink r:id="rId29" w:history="1">
        <w:r w:rsidRPr="00C836BA">
          <w:rPr>
            <w:rStyle w:val="Hyperlink"/>
            <w:rFonts w:ascii="Arial" w:hAnsi="Arial" w:cs="Arial"/>
            <w:color w:val="auto"/>
          </w:rPr>
          <w:t>Play | Understand the role of play in supporting the health, well-being and development of children (uk.s3.amazonaws.com)</w:t>
        </w:r>
      </w:hyperlink>
      <w:r w:rsidRPr="00C836BA">
        <w:rPr>
          <w:rFonts w:ascii="Arial" w:hAnsi="Arial" w:cs="Arial"/>
        </w:rPr>
        <w:t xml:space="preserve"> (Accessed: 30</w:t>
      </w:r>
      <w:r w:rsidRPr="00C836BA">
        <w:rPr>
          <w:rFonts w:ascii="Arial" w:hAnsi="Arial" w:cs="Arial"/>
          <w:vertAlign w:val="superscript"/>
        </w:rPr>
        <w:t>th</w:t>
      </w:r>
      <w:r w:rsidRPr="00C836BA">
        <w:rPr>
          <w:rFonts w:ascii="Arial" w:hAnsi="Arial" w:cs="Arial"/>
        </w:rPr>
        <w:t xml:space="preserve"> March 2024). </w:t>
      </w:r>
    </w:p>
    <w:p w14:paraId="585DDF95" w14:textId="77777777" w:rsidR="00C836BA" w:rsidRPr="00C836BA" w:rsidRDefault="00C836BA">
      <w:pPr>
        <w:rPr>
          <w:rFonts w:ascii="Arial" w:hAnsi="Arial" w:cs="Arial"/>
        </w:rPr>
      </w:pPr>
      <w:r w:rsidRPr="00C836BA">
        <w:rPr>
          <w:rFonts w:ascii="Arial" w:hAnsi="Arial" w:cs="Arial"/>
        </w:rPr>
        <w:t xml:space="preserve">Yin, R. K. (2013). Case study research: Design and methods. Thousand Oaks, CA: Sage. </w:t>
      </w:r>
    </w:p>
    <w:p w14:paraId="24573FE1" w14:textId="77777777" w:rsidR="00C836BA" w:rsidRPr="00C836BA" w:rsidRDefault="00C836BA">
      <w:pPr>
        <w:rPr>
          <w:rFonts w:ascii="Arial" w:hAnsi="Arial" w:cs="Arial"/>
          <w:shd w:val="clear" w:color="auto" w:fill="FFFFFF"/>
        </w:rPr>
      </w:pPr>
      <w:r w:rsidRPr="00C836BA">
        <w:rPr>
          <w:rFonts w:ascii="Arial" w:hAnsi="Arial" w:cs="Arial"/>
          <w:shd w:val="clear" w:color="auto" w:fill="FFFFFF"/>
        </w:rPr>
        <w:t xml:space="preserve">Yip, C., Han, N. R., &amp; </w:t>
      </w:r>
      <w:proofErr w:type="spellStart"/>
      <w:r w:rsidRPr="00C836BA">
        <w:rPr>
          <w:rFonts w:ascii="Arial" w:hAnsi="Arial" w:cs="Arial"/>
          <w:shd w:val="clear" w:color="auto" w:fill="FFFFFF"/>
        </w:rPr>
        <w:t>Sng</w:t>
      </w:r>
      <w:proofErr w:type="spellEnd"/>
      <w:r w:rsidRPr="00C836BA">
        <w:rPr>
          <w:rFonts w:ascii="Arial" w:hAnsi="Arial" w:cs="Arial"/>
          <w:shd w:val="clear" w:color="auto" w:fill="FFFFFF"/>
        </w:rPr>
        <w:t>, B. L. (2016). Legal and ethical issues in research. </w:t>
      </w:r>
      <w:r w:rsidRPr="00C836BA">
        <w:rPr>
          <w:rFonts w:ascii="Arial" w:hAnsi="Arial" w:cs="Arial"/>
          <w:i/>
          <w:iCs/>
          <w:shd w:val="clear" w:color="auto" w:fill="FFFFFF"/>
        </w:rPr>
        <w:t>Indian journal of anaesthesia</w:t>
      </w:r>
      <w:r w:rsidRPr="00C836BA">
        <w:rPr>
          <w:rFonts w:ascii="Arial" w:hAnsi="Arial" w:cs="Arial"/>
          <w:shd w:val="clear" w:color="auto" w:fill="FFFFFF"/>
        </w:rPr>
        <w:t>, </w:t>
      </w:r>
      <w:r w:rsidRPr="00C836BA">
        <w:rPr>
          <w:rFonts w:ascii="Arial" w:hAnsi="Arial" w:cs="Arial"/>
          <w:i/>
          <w:iCs/>
          <w:shd w:val="clear" w:color="auto" w:fill="FFFFFF"/>
        </w:rPr>
        <w:t>60</w:t>
      </w:r>
      <w:r w:rsidRPr="00C836BA">
        <w:rPr>
          <w:rFonts w:ascii="Arial" w:hAnsi="Arial" w:cs="Arial"/>
          <w:shd w:val="clear" w:color="auto" w:fill="FFFFFF"/>
        </w:rPr>
        <w:t xml:space="preserve">(9), 684–688. </w:t>
      </w:r>
      <w:hyperlink r:id="rId30" w:history="1">
        <w:r w:rsidRPr="00C836BA">
          <w:rPr>
            <w:rStyle w:val="Hyperlink"/>
            <w:rFonts w:ascii="Arial" w:hAnsi="Arial" w:cs="Arial"/>
            <w:color w:val="auto"/>
            <w:shd w:val="clear" w:color="auto" w:fill="FFFFFF"/>
          </w:rPr>
          <w:t>https://doi.org/10.4103/0019-5049.190627</w:t>
        </w:r>
      </w:hyperlink>
    </w:p>
    <w:p w14:paraId="1EE5E3AD" w14:textId="77777777" w:rsidR="002631A7" w:rsidRPr="002631A7" w:rsidRDefault="002631A7">
      <w:pPr>
        <w:rPr>
          <w:rFonts w:ascii="Arial" w:hAnsi="Arial" w:cs="Arial"/>
          <w:color w:val="212121"/>
          <w:shd w:val="clear" w:color="auto" w:fill="FFFFFF"/>
        </w:rPr>
      </w:pPr>
    </w:p>
    <w:p w14:paraId="7C95160C" w14:textId="77777777" w:rsidR="004F6A74" w:rsidRPr="004F6A74" w:rsidRDefault="004F6A74">
      <w:pPr>
        <w:rPr>
          <w:rFonts w:ascii="Arial" w:hAnsi="Arial" w:cs="Arial"/>
          <w:color w:val="212121"/>
          <w:shd w:val="clear" w:color="auto" w:fill="FFFFFF"/>
        </w:rPr>
      </w:pPr>
    </w:p>
    <w:p w14:paraId="1E58CA3F" w14:textId="77777777" w:rsidR="004F6A74" w:rsidRPr="004F6A74" w:rsidRDefault="004F6A74">
      <w:pPr>
        <w:rPr>
          <w:rFonts w:ascii="Arial" w:hAnsi="Arial" w:cs="Arial"/>
        </w:rPr>
      </w:pPr>
    </w:p>
    <w:p w14:paraId="40E261BD" w14:textId="77777777" w:rsidR="00027A14" w:rsidRPr="003A18B5" w:rsidRDefault="00027A14">
      <w:pPr>
        <w:rPr>
          <w:rFonts w:ascii="Arial" w:hAnsi="Arial" w:cs="Arial"/>
        </w:rPr>
      </w:pPr>
    </w:p>
    <w:p w14:paraId="44C3FB80" w14:textId="77777777" w:rsidR="00CD1EB9" w:rsidRPr="000536F1" w:rsidRDefault="00CD1EB9">
      <w:pPr>
        <w:rPr>
          <w:rFonts w:ascii="Arial" w:hAnsi="Arial" w:cs="Arial"/>
        </w:rPr>
      </w:pPr>
    </w:p>
    <w:sectPr w:rsidR="00CD1EB9" w:rsidRPr="00053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C0tDAzMzK0MDUwMTJR0lEKTi0uzszPAymwrAUAVI5I7ywAAAA="/>
  </w:docVars>
  <w:rsids>
    <w:rsidRoot w:val="00EA081F"/>
    <w:rsid w:val="00027062"/>
    <w:rsid w:val="00027A14"/>
    <w:rsid w:val="0005025D"/>
    <w:rsid w:val="000536F1"/>
    <w:rsid w:val="000B0FBF"/>
    <w:rsid w:val="00133147"/>
    <w:rsid w:val="001638F7"/>
    <w:rsid w:val="00185A56"/>
    <w:rsid w:val="00187CBB"/>
    <w:rsid w:val="0019709D"/>
    <w:rsid w:val="00211D90"/>
    <w:rsid w:val="002631A7"/>
    <w:rsid w:val="002A6F6E"/>
    <w:rsid w:val="002E15EE"/>
    <w:rsid w:val="002F29D7"/>
    <w:rsid w:val="003239E9"/>
    <w:rsid w:val="0032596D"/>
    <w:rsid w:val="00375A6E"/>
    <w:rsid w:val="0039056C"/>
    <w:rsid w:val="003A18B5"/>
    <w:rsid w:val="003C454D"/>
    <w:rsid w:val="00460CCE"/>
    <w:rsid w:val="00473724"/>
    <w:rsid w:val="004F56F1"/>
    <w:rsid w:val="004F6A74"/>
    <w:rsid w:val="00522CC0"/>
    <w:rsid w:val="005575FB"/>
    <w:rsid w:val="005834FE"/>
    <w:rsid w:val="005A49A1"/>
    <w:rsid w:val="005F0965"/>
    <w:rsid w:val="00600836"/>
    <w:rsid w:val="006171FD"/>
    <w:rsid w:val="00643E48"/>
    <w:rsid w:val="00677BE7"/>
    <w:rsid w:val="006836D9"/>
    <w:rsid w:val="006B33AE"/>
    <w:rsid w:val="007728A5"/>
    <w:rsid w:val="00783CDA"/>
    <w:rsid w:val="007A69E1"/>
    <w:rsid w:val="007F7EC7"/>
    <w:rsid w:val="008A14E7"/>
    <w:rsid w:val="009732EA"/>
    <w:rsid w:val="009F1133"/>
    <w:rsid w:val="009F1603"/>
    <w:rsid w:val="00A06293"/>
    <w:rsid w:val="00A1154D"/>
    <w:rsid w:val="00A17BDB"/>
    <w:rsid w:val="00A857C9"/>
    <w:rsid w:val="00A908E5"/>
    <w:rsid w:val="00AC09A0"/>
    <w:rsid w:val="00AF3DB6"/>
    <w:rsid w:val="00B073E6"/>
    <w:rsid w:val="00C0370C"/>
    <w:rsid w:val="00C11785"/>
    <w:rsid w:val="00C25991"/>
    <w:rsid w:val="00C836BA"/>
    <w:rsid w:val="00C86D73"/>
    <w:rsid w:val="00CA24F6"/>
    <w:rsid w:val="00CB424A"/>
    <w:rsid w:val="00CC1F40"/>
    <w:rsid w:val="00CD1EB9"/>
    <w:rsid w:val="00CE1961"/>
    <w:rsid w:val="00CE5A4E"/>
    <w:rsid w:val="00CF5645"/>
    <w:rsid w:val="00D02F9F"/>
    <w:rsid w:val="00D12613"/>
    <w:rsid w:val="00D1307E"/>
    <w:rsid w:val="00D13E56"/>
    <w:rsid w:val="00D254A7"/>
    <w:rsid w:val="00DA60D9"/>
    <w:rsid w:val="00DB55A5"/>
    <w:rsid w:val="00DD6CE6"/>
    <w:rsid w:val="00DF4347"/>
    <w:rsid w:val="00E6432A"/>
    <w:rsid w:val="00E7365A"/>
    <w:rsid w:val="00EA081F"/>
    <w:rsid w:val="00F37A1C"/>
    <w:rsid w:val="00F650F3"/>
    <w:rsid w:val="00FA35D7"/>
    <w:rsid w:val="00FA5D43"/>
    <w:rsid w:val="00FD0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1B5AA"/>
  <w15:chartTrackingRefBased/>
  <w15:docId w15:val="{171E4D07-7C7C-4B9E-BB55-72AD3D80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8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08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08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08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08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08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8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8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8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8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08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08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08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08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08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8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8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81F"/>
    <w:rPr>
      <w:rFonts w:eastAsiaTheme="majorEastAsia" w:cstheme="majorBidi"/>
      <w:color w:val="272727" w:themeColor="text1" w:themeTint="D8"/>
    </w:rPr>
  </w:style>
  <w:style w:type="paragraph" w:styleId="Title">
    <w:name w:val="Title"/>
    <w:basedOn w:val="Normal"/>
    <w:next w:val="Normal"/>
    <w:link w:val="TitleChar"/>
    <w:uiPriority w:val="10"/>
    <w:qFormat/>
    <w:rsid w:val="00EA08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8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8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8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81F"/>
    <w:pPr>
      <w:spacing w:before="160"/>
      <w:jc w:val="center"/>
    </w:pPr>
    <w:rPr>
      <w:i/>
      <w:iCs/>
      <w:color w:val="404040" w:themeColor="text1" w:themeTint="BF"/>
    </w:rPr>
  </w:style>
  <w:style w:type="character" w:customStyle="1" w:styleId="QuoteChar">
    <w:name w:val="Quote Char"/>
    <w:basedOn w:val="DefaultParagraphFont"/>
    <w:link w:val="Quote"/>
    <w:uiPriority w:val="29"/>
    <w:rsid w:val="00EA081F"/>
    <w:rPr>
      <w:i/>
      <w:iCs/>
      <w:color w:val="404040" w:themeColor="text1" w:themeTint="BF"/>
    </w:rPr>
  </w:style>
  <w:style w:type="paragraph" w:styleId="ListParagraph">
    <w:name w:val="List Paragraph"/>
    <w:basedOn w:val="Normal"/>
    <w:uiPriority w:val="34"/>
    <w:qFormat/>
    <w:rsid w:val="00EA081F"/>
    <w:pPr>
      <w:ind w:left="720"/>
      <w:contextualSpacing/>
    </w:pPr>
  </w:style>
  <w:style w:type="character" w:styleId="IntenseEmphasis">
    <w:name w:val="Intense Emphasis"/>
    <w:basedOn w:val="DefaultParagraphFont"/>
    <w:uiPriority w:val="21"/>
    <w:qFormat/>
    <w:rsid w:val="00EA081F"/>
    <w:rPr>
      <w:i/>
      <w:iCs/>
      <w:color w:val="2F5496" w:themeColor="accent1" w:themeShade="BF"/>
    </w:rPr>
  </w:style>
  <w:style w:type="paragraph" w:styleId="IntenseQuote">
    <w:name w:val="Intense Quote"/>
    <w:basedOn w:val="Normal"/>
    <w:next w:val="Normal"/>
    <w:link w:val="IntenseQuoteChar"/>
    <w:uiPriority w:val="30"/>
    <w:qFormat/>
    <w:rsid w:val="00EA0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081F"/>
    <w:rPr>
      <w:i/>
      <w:iCs/>
      <w:color w:val="2F5496" w:themeColor="accent1" w:themeShade="BF"/>
    </w:rPr>
  </w:style>
  <w:style w:type="character" w:styleId="IntenseReference">
    <w:name w:val="Intense Reference"/>
    <w:basedOn w:val="DefaultParagraphFont"/>
    <w:uiPriority w:val="32"/>
    <w:qFormat/>
    <w:rsid w:val="00EA081F"/>
    <w:rPr>
      <w:b/>
      <w:bCs/>
      <w:smallCaps/>
      <w:color w:val="2F5496" w:themeColor="accent1" w:themeShade="BF"/>
      <w:spacing w:val="5"/>
    </w:rPr>
  </w:style>
  <w:style w:type="character" w:styleId="Hyperlink">
    <w:name w:val="Hyperlink"/>
    <w:basedOn w:val="DefaultParagraphFont"/>
    <w:uiPriority w:val="99"/>
    <w:unhideWhenUsed/>
    <w:rsid w:val="00C11785"/>
    <w:rPr>
      <w:color w:val="0563C1" w:themeColor="hyperlink"/>
      <w:u w:val="single"/>
    </w:rPr>
  </w:style>
  <w:style w:type="character" w:styleId="UnresolvedMention">
    <w:name w:val="Unresolved Mention"/>
    <w:basedOn w:val="DefaultParagraphFont"/>
    <w:uiPriority w:val="99"/>
    <w:semiHidden/>
    <w:unhideWhenUsed/>
    <w:rsid w:val="00C11785"/>
    <w:rPr>
      <w:color w:val="605E5C"/>
      <w:shd w:val="clear" w:color="auto" w:fill="E1DFDD"/>
    </w:rPr>
  </w:style>
  <w:style w:type="character" w:styleId="Emphasis">
    <w:name w:val="Emphasis"/>
    <w:basedOn w:val="DefaultParagraphFont"/>
    <w:uiPriority w:val="20"/>
    <w:qFormat/>
    <w:rsid w:val="00DA60D9"/>
    <w:rPr>
      <w:i/>
      <w:iCs/>
    </w:rPr>
  </w:style>
  <w:style w:type="character" w:styleId="FollowedHyperlink">
    <w:name w:val="FollowedHyperlink"/>
    <w:basedOn w:val="DefaultParagraphFont"/>
    <w:uiPriority w:val="99"/>
    <w:semiHidden/>
    <w:unhideWhenUsed/>
    <w:rsid w:val="00C836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53097">
      <w:bodyDiv w:val="1"/>
      <w:marLeft w:val="0"/>
      <w:marRight w:val="0"/>
      <w:marTop w:val="0"/>
      <w:marBottom w:val="0"/>
      <w:divBdr>
        <w:top w:val="none" w:sz="0" w:space="0" w:color="auto"/>
        <w:left w:val="none" w:sz="0" w:space="0" w:color="auto"/>
        <w:bottom w:val="none" w:sz="0" w:space="0" w:color="auto"/>
        <w:right w:val="none" w:sz="0" w:space="0" w:color="auto"/>
      </w:divBdr>
    </w:div>
    <w:div w:id="130290942">
      <w:bodyDiv w:val="1"/>
      <w:marLeft w:val="0"/>
      <w:marRight w:val="0"/>
      <w:marTop w:val="0"/>
      <w:marBottom w:val="0"/>
      <w:divBdr>
        <w:top w:val="none" w:sz="0" w:space="0" w:color="auto"/>
        <w:left w:val="none" w:sz="0" w:space="0" w:color="auto"/>
        <w:bottom w:val="none" w:sz="0" w:space="0" w:color="auto"/>
        <w:right w:val="none" w:sz="0" w:space="0" w:color="auto"/>
      </w:divBdr>
    </w:div>
    <w:div w:id="216288001">
      <w:bodyDiv w:val="1"/>
      <w:marLeft w:val="0"/>
      <w:marRight w:val="0"/>
      <w:marTop w:val="0"/>
      <w:marBottom w:val="0"/>
      <w:divBdr>
        <w:top w:val="none" w:sz="0" w:space="0" w:color="auto"/>
        <w:left w:val="none" w:sz="0" w:space="0" w:color="auto"/>
        <w:bottom w:val="none" w:sz="0" w:space="0" w:color="auto"/>
        <w:right w:val="none" w:sz="0" w:space="0" w:color="auto"/>
      </w:divBdr>
    </w:div>
    <w:div w:id="250504380">
      <w:bodyDiv w:val="1"/>
      <w:marLeft w:val="0"/>
      <w:marRight w:val="0"/>
      <w:marTop w:val="0"/>
      <w:marBottom w:val="0"/>
      <w:divBdr>
        <w:top w:val="none" w:sz="0" w:space="0" w:color="auto"/>
        <w:left w:val="none" w:sz="0" w:space="0" w:color="auto"/>
        <w:bottom w:val="none" w:sz="0" w:space="0" w:color="auto"/>
        <w:right w:val="none" w:sz="0" w:space="0" w:color="auto"/>
      </w:divBdr>
    </w:div>
    <w:div w:id="252520045">
      <w:bodyDiv w:val="1"/>
      <w:marLeft w:val="0"/>
      <w:marRight w:val="0"/>
      <w:marTop w:val="0"/>
      <w:marBottom w:val="0"/>
      <w:divBdr>
        <w:top w:val="none" w:sz="0" w:space="0" w:color="auto"/>
        <w:left w:val="none" w:sz="0" w:space="0" w:color="auto"/>
        <w:bottom w:val="none" w:sz="0" w:space="0" w:color="auto"/>
        <w:right w:val="none" w:sz="0" w:space="0" w:color="auto"/>
      </w:divBdr>
    </w:div>
    <w:div w:id="255596239">
      <w:bodyDiv w:val="1"/>
      <w:marLeft w:val="0"/>
      <w:marRight w:val="0"/>
      <w:marTop w:val="0"/>
      <w:marBottom w:val="0"/>
      <w:divBdr>
        <w:top w:val="none" w:sz="0" w:space="0" w:color="auto"/>
        <w:left w:val="none" w:sz="0" w:space="0" w:color="auto"/>
        <w:bottom w:val="none" w:sz="0" w:space="0" w:color="auto"/>
        <w:right w:val="none" w:sz="0" w:space="0" w:color="auto"/>
      </w:divBdr>
    </w:div>
    <w:div w:id="305940268">
      <w:bodyDiv w:val="1"/>
      <w:marLeft w:val="0"/>
      <w:marRight w:val="0"/>
      <w:marTop w:val="0"/>
      <w:marBottom w:val="0"/>
      <w:divBdr>
        <w:top w:val="none" w:sz="0" w:space="0" w:color="auto"/>
        <w:left w:val="none" w:sz="0" w:space="0" w:color="auto"/>
        <w:bottom w:val="none" w:sz="0" w:space="0" w:color="auto"/>
        <w:right w:val="none" w:sz="0" w:space="0" w:color="auto"/>
      </w:divBdr>
    </w:div>
    <w:div w:id="375131010">
      <w:bodyDiv w:val="1"/>
      <w:marLeft w:val="0"/>
      <w:marRight w:val="0"/>
      <w:marTop w:val="0"/>
      <w:marBottom w:val="0"/>
      <w:divBdr>
        <w:top w:val="none" w:sz="0" w:space="0" w:color="auto"/>
        <w:left w:val="none" w:sz="0" w:space="0" w:color="auto"/>
        <w:bottom w:val="none" w:sz="0" w:space="0" w:color="auto"/>
        <w:right w:val="none" w:sz="0" w:space="0" w:color="auto"/>
      </w:divBdr>
    </w:div>
    <w:div w:id="392310630">
      <w:bodyDiv w:val="1"/>
      <w:marLeft w:val="0"/>
      <w:marRight w:val="0"/>
      <w:marTop w:val="0"/>
      <w:marBottom w:val="0"/>
      <w:divBdr>
        <w:top w:val="none" w:sz="0" w:space="0" w:color="auto"/>
        <w:left w:val="none" w:sz="0" w:space="0" w:color="auto"/>
        <w:bottom w:val="none" w:sz="0" w:space="0" w:color="auto"/>
        <w:right w:val="none" w:sz="0" w:space="0" w:color="auto"/>
      </w:divBdr>
    </w:div>
    <w:div w:id="535580785">
      <w:bodyDiv w:val="1"/>
      <w:marLeft w:val="0"/>
      <w:marRight w:val="0"/>
      <w:marTop w:val="0"/>
      <w:marBottom w:val="0"/>
      <w:divBdr>
        <w:top w:val="none" w:sz="0" w:space="0" w:color="auto"/>
        <w:left w:val="none" w:sz="0" w:space="0" w:color="auto"/>
        <w:bottom w:val="none" w:sz="0" w:space="0" w:color="auto"/>
        <w:right w:val="none" w:sz="0" w:space="0" w:color="auto"/>
      </w:divBdr>
    </w:div>
    <w:div w:id="539635893">
      <w:bodyDiv w:val="1"/>
      <w:marLeft w:val="0"/>
      <w:marRight w:val="0"/>
      <w:marTop w:val="0"/>
      <w:marBottom w:val="0"/>
      <w:divBdr>
        <w:top w:val="none" w:sz="0" w:space="0" w:color="auto"/>
        <w:left w:val="none" w:sz="0" w:space="0" w:color="auto"/>
        <w:bottom w:val="none" w:sz="0" w:space="0" w:color="auto"/>
        <w:right w:val="none" w:sz="0" w:space="0" w:color="auto"/>
      </w:divBdr>
    </w:div>
    <w:div w:id="616445119">
      <w:bodyDiv w:val="1"/>
      <w:marLeft w:val="0"/>
      <w:marRight w:val="0"/>
      <w:marTop w:val="0"/>
      <w:marBottom w:val="0"/>
      <w:divBdr>
        <w:top w:val="none" w:sz="0" w:space="0" w:color="auto"/>
        <w:left w:val="none" w:sz="0" w:space="0" w:color="auto"/>
        <w:bottom w:val="none" w:sz="0" w:space="0" w:color="auto"/>
        <w:right w:val="none" w:sz="0" w:space="0" w:color="auto"/>
      </w:divBdr>
    </w:div>
    <w:div w:id="651954740">
      <w:bodyDiv w:val="1"/>
      <w:marLeft w:val="0"/>
      <w:marRight w:val="0"/>
      <w:marTop w:val="0"/>
      <w:marBottom w:val="0"/>
      <w:divBdr>
        <w:top w:val="none" w:sz="0" w:space="0" w:color="auto"/>
        <w:left w:val="none" w:sz="0" w:space="0" w:color="auto"/>
        <w:bottom w:val="none" w:sz="0" w:space="0" w:color="auto"/>
        <w:right w:val="none" w:sz="0" w:space="0" w:color="auto"/>
      </w:divBdr>
    </w:div>
    <w:div w:id="665136755">
      <w:bodyDiv w:val="1"/>
      <w:marLeft w:val="0"/>
      <w:marRight w:val="0"/>
      <w:marTop w:val="0"/>
      <w:marBottom w:val="0"/>
      <w:divBdr>
        <w:top w:val="none" w:sz="0" w:space="0" w:color="auto"/>
        <w:left w:val="none" w:sz="0" w:space="0" w:color="auto"/>
        <w:bottom w:val="none" w:sz="0" w:space="0" w:color="auto"/>
        <w:right w:val="none" w:sz="0" w:space="0" w:color="auto"/>
      </w:divBdr>
    </w:div>
    <w:div w:id="687489653">
      <w:bodyDiv w:val="1"/>
      <w:marLeft w:val="0"/>
      <w:marRight w:val="0"/>
      <w:marTop w:val="0"/>
      <w:marBottom w:val="0"/>
      <w:divBdr>
        <w:top w:val="none" w:sz="0" w:space="0" w:color="auto"/>
        <w:left w:val="none" w:sz="0" w:space="0" w:color="auto"/>
        <w:bottom w:val="none" w:sz="0" w:space="0" w:color="auto"/>
        <w:right w:val="none" w:sz="0" w:space="0" w:color="auto"/>
      </w:divBdr>
    </w:div>
    <w:div w:id="708724208">
      <w:bodyDiv w:val="1"/>
      <w:marLeft w:val="0"/>
      <w:marRight w:val="0"/>
      <w:marTop w:val="0"/>
      <w:marBottom w:val="0"/>
      <w:divBdr>
        <w:top w:val="none" w:sz="0" w:space="0" w:color="auto"/>
        <w:left w:val="none" w:sz="0" w:space="0" w:color="auto"/>
        <w:bottom w:val="none" w:sz="0" w:space="0" w:color="auto"/>
        <w:right w:val="none" w:sz="0" w:space="0" w:color="auto"/>
      </w:divBdr>
    </w:div>
    <w:div w:id="898250203">
      <w:bodyDiv w:val="1"/>
      <w:marLeft w:val="0"/>
      <w:marRight w:val="0"/>
      <w:marTop w:val="0"/>
      <w:marBottom w:val="0"/>
      <w:divBdr>
        <w:top w:val="none" w:sz="0" w:space="0" w:color="auto"/>
        <w:left w:val="none" w:sz="0" w:space="0" w:color="auto"/>
        <w:bottom w:val="none" w:sz="0" w:space="0" w:color="auto"/>
        <w:right w:val="none" w:sz="0" w:space="0" w:color="auto"/>
      </w:divBdr>
    </w:div>
    <w:div w:id="976758954">
      <w:bodyDiv w:val="1"/>
      <w:marLeft w:val="0"/>
      <w:marRight w:val="0"/>
      <w:marTop w:val="0"/>
      <w:marBottom w:val="0"/>
      <w:divBdr>
        <w:top w:val="none" w:sz="0" w:space="0" w:color="auto"/>
        <w:left w:val="none" w:sz="0" w:space="0" w:color="auto"/>
        <w:bottom w:val="none" w:sz="0" w:space="0" w:color="auto"/>
        <w:right w:val="none" w:sz="0" w:space="0" w:color="auto"/>
      </w:divBdr>
    </w:div>
    <w:div w:id="981881851">
      <w:bodyDiv w:val="1"/>
      <w:marLeft w:val="0"/>
      <w:marRight w:val="0"/>
      <w:marTop w:val="0"/>
      <w:marBottom w:val="0"/>
      <w:divBdr>
        <w:top w:val="none" w:sz="0" w:space="0" w:color="auto"/>
        <w:left w:val="none" w:sz="0" w:space="0" w:color="auto"/>
        <w:bottom w:val="none" w:sz="0" w:space="0" w:color="auto"/>
        <w:right w:val="none" w:sz="0" w:space="0" w:color="auto"/>
      </w:divBdr>
    </w:div>
    <w:div w:id="1020856715">
      <w:bodyDiv w:val="1"/>
      <w:marLeft w:val="0"/>
      <w:marRight w:val="0"/>
      <w:marTop w:val="0"/>
      <w:marBottom w:val="0"/>
      <w:divBdr>
        <w:top w:val="none" w:sz="0" w:space="0" w:color="auto"/>
        <w:left w:val="none" w:sz="0" w:space="0" w:color="auto"/>
        <w:bottom w:val="none" w:sz="0" w:space="0" w:color="auto"/>
        <w:right w:val="none" w:sz="0" w:space="0" w:color="auto"/>
      </w:divBdr>
    </w:div>
    <w:div w:id="1057587046">
      <w:bodyDiv w:val="1"/>
      <w:marLeft w:val="0"/>
      <w:marRight w:val="0"/>
      <w:marTop w:val="0"/>
      <w:marBottom w:val="0"/>
      <w:divBdr>
        <w:top w:val="none" w:sz="0" w:space="0" w:color="auto"/>
        <w:left w:val="none" w:sz="0" w:space="0" w:color="auto"/>
        <w:bottom w:val="none" w:sz="0" w:space="0" w:color="auto"/>
        <w:right w:val="none" w:sz="0" w:space="0" w:color="auto"/>
      </w:divBdr>
    </w:div>
    <w:div w:id="1104568463">
      <w:bodyDiv w:val="1"/>
      <w:marLeft w:val="0"/>
      <w:marRight w:val="0"/>
      <w:marTop w:val="0"/>
      <w:marBottom w:val="0"/>
      <w:divBdr>
        <w:top w:val="none" w:sz="0" w:space="0" w:color="auto"/>
        <w:left w:val="none" w:sz="0" w:space="0" w:color="auto"/>
        <w:bottom w:val="none" w:sz="0" w:space="0" w:color="auto"/>
        <w:right w:val="none" w:sz="0" w:space="0" w:color="auto"/>
      </w:divBdr>
    </w:div>
    <w:div w:id="1222449661">
      <w:bodyDiv w:val="1"/>
      <w:marLeft w:val="0"/>
      <w:marRight w:val="0"/>
      <w:marTop w:val="0"/>
      <w:marBottom w:val="0"/>
      <w:divBdr>
        <w:top w:val="none" w:sz="0" w:space="0" w:color="auto"/>
        <w:left w:val="none" w:sz="0" w:space="0" w:color="auto"/>
        <w:bottom w:val="none" w:sz="0" w:space="0" w:color="auto"/>
        <w:right w:val="none" w:sz="0" w:space="0" w:color="auto"/>
      </w:divBdr>
    </w:div>
    <w:div w:id="1257061546">
      <w:bodyDiv w:val="1"/>
      <w:marLeft w:val="0"/>
      <w:marRight w:val="0"/>
      <w:marTop w:val="0"/>
      <w:marBottom w:val="0"/>
      <w:divBdr>
        <w:top w:val="none" w:sz="0" w:space="0" w:color="auto"/>
        <w:left w:val="none" w:sz="0" w:space="0" w:color="auto"/>
        <w:bottom w:val="none" w:sz="0" w:space="0" w:color="auto"/>
        <w:right w:val="none" w:sz="0" w:space="0" w:color="auto"/>
      </w:divBdr>
    </w:div>
    <w:div w:id="1373458050">
      <w:bodyDiv w:val="1"/>
      <w:marLeft w:val="0"/>
      <w:marRight w:val="0"/>
      <w:marTop w:val="0"/>
      <w:marBottom w:val="0"/>
      <w:divBdr>
        <w:top w:val="none" w:sz="0" w:space="0" w:color="auto"/>
        <w:left w:val="none" w:sz="0" w:space="0" w:color="auto"/>
        <w:bottom w:val="none" w:sz="0" w:space="0" w:color="auto"/>
        <w:right w:val="none" w:sz="0" w:space="0" w:color="auto"/>
      </w:divBdr>
    </w:div>
    <w:div w:id="1434133372">
      <w:bodyDiv w:val="1"/>
      <w:marLeft w:val="0"/>
      <w:marRight w:val="0"/>
      <w:marTop w:val="0"/>
      <w:marBottom w:val="0"/>
      <w:divBdr>
        <w:top w:val="none" w:sz="0" w:space="0" w:color="auto"/>
        <w:left w:val="none" w:sz="0" w:space="0" w:color="auto"/>
        <w:bottom w:val="none" w:sz="0" w:space="0" w:color="auto"/>
        <w:right w:val="none" w:sz="0" w:space="0" w:color="auto"/>
      </w:divBdr>
    </w:div>
    <w:div w:id="1456675100">
      <w:bodyDiv w:val="1"/>
      <w:marLeft w:val="0"/>
      <w:marRight w:val="0"/>
      <w:marTop w:val="0"/>
      <w:marBottom w:val="0"/>
      <w:divBdr>
        <w:top w:val="none" w:sz="0" w:space="0" w:color="auto"/>
        <w:left w:val="none" w:sz="0" w:space="0" w:color="auto"/>
        <w:bottom w:val="none" w:sz="0" w:space="0" w:color="auto"/>
        <w:right w:val="none" w:sz="0" w:space="0" w:color="auto"/>
      </w:divBdr>
    </w:div>
    <w:div w:id="1463422232">
      <w:bodyDiv w:val="1"/>
      <w:marLeft w:val="0"/>
      <w:marRight w:val="0"/>
      <w:marTop w:val="0"/>
      <w:marBottom w:val="0"/>
      <w:divBdr>
        <w:top w:val="none" w:sz="0" w:space="0" w:color="auto"/>
        <w:left w:val="none" w:sz="0" w:space="0" w:color="auto"/>
        <w:bottom w:val="none" w:sz="0" w:space="0" w:color="auto"/>
        <w:right w:val="none" w:sz="0" w:space="0" w:color="auto"/>
      </w:divBdr>
    </w:div>
    <w:div w:id="1482966935">
      <w:bodyDiv w:val="1"/>
      <w:marLeft w:val="0"/>
      <w:marRight w:val="0"/>
      <w:marTop w:val="0"/>
      <w:marBottom w:val="0"/>
      <w:divBdr>
        <w:top w:val="none" w:sz="0" w:space="0" w:color="auto"/>
        <w:left w:val="none" w:sz="0" w:space="0" w:color="auto"/>
        <w:bottom w:val="none" w:sz="0" w:space="0" w:color="auto"/>
        <w:right w:val="none" w:sz="0" w:space="0" w:color="auto"/>
      </w:divBdr>
    </w:div>
    <w:div w:id="1553151515">
      <w:bodyDiv w:val="1"/>
      <w:marLeft w:val="0"/>
      <w:marRight w:val="0"/>
      <w:marTop w:val="0"/>
      <w:marBottom w:val="0"/>
      <w:divBdr>
        <w:top w:val="none" w:sz="0" w:space="0" w:color="auto"/>
        <w:left w:val="none" w:sz="0" w:space="0" w:color="auto"/>
        <w:bottom w:val="none" w:sz="0" w:space="0" w:color="auto"/>
        <w:right w:val="none" w:sz="0" w:space="0" w:color="auto"/>
      </w:divBdr>
    </w:div>
    <w:div w:id="1698002506">
      <w:bodyDiv w:val="1"/>
      <w:marLeft w:val="0"/>
      <w:marRight w:val="0"/>
      <w:marTop w:val="0"/>
      <w:marBottom w:val="0"/>
      <w:divBdr>
        <w:top w:val="none" w:sz="0" w:space="0" w:color="auto"/>
        <w:left w:val="none" w:sz="0" w:space="0" w:color="auto"/>
        <w:bottom w:val="none" w:sz="0" w:space="0" w:color="auto"/>
        <w:right w:val="none" w:sz="0" w:space="0" w:color="auto"/>
      </w:divBdr>
    </w:div>
    <w:div w:id="1730230836">
      <w:bodyDiv w:val="1"/>
      <w:marLeft w:val="0"/>
      <w:marRight w:val="0"/>
      <w:marTop w:val="0"/>
      <w:marBottom w:val="0"/>
      <w:divBdr>
        <w:top w:val="none" w:sz="0" w:space="0" w:color="auto"/>
        <w:left w:val="none" w:sz="0" w:space="0" w:color="auto"/>
        <w:bottom w:val="none" w:sz="0" w:space="0" w:color="auto"/>
        <w:right w:val="none" w:sz="0" w:space="0" w:color="auto"/>
      </w:divBdr>
    </w:div>
    <w:div w:id="1747721189">
      <w:bodyDiv w:val="1"/>
      <w:marLeft w:val="0"/>
      <w:marRight w:val="0"/>
      <w:marTop w:val="0"/>
      <w:marBottom w:val="0"/>
      <w:divBdr>
        <w:top w:val="none" w:sz="0" w:space="0" w:color="auto"/>
        <w:left w:val="none" w:sz="0" w:space="0" w:color="auto"/>
        <w:bottom w:val="none" w:sz="0" w:space="0" w:color="auto"/>
        <w:right w:val="none" w:sz="0" w:space="0" w:color="auto"/>
      </w:divBdr>
    </w:div>
    <w:div w:id="1757440715">
      <w:bodyDiv w:val="1"/>
      <w:marLeft w:val="0"/>
      <w:marRight w:val="0"/>
      <w:marTop w:val="0"/>
      <w:marBottom w:val="0"/>
      <w:divBdr>
        <w:top w:val="none" w:sz="0" w:space="0" w:color="auto"/>
        <w:left w:val="none" w:sz="0" w:space="0" w:color="auto"/>
        <w:bottom w:val="none" w:sz="0" w:space="0" w:color="auto"/>
        <w:right w:val="none" w:sz="0" w:space="0" w:color="auto"/>
      </w:divBdr>
    </w:div>
    <w:div w:id="1802915487">
      <w:bodyDiv w:val="1"/>
      <w:marLeft w:val="0"/>
      <w:marRight w:val="0"/>
      <w:marTop w:val="0"/>
      <w:marBottom w:val="0"/>
      <w:divBdr>
        <w:top w:val="none" w:sz="0" w:space="0" w:color="auto"/>
        <w:left w:val="none" w:sz="0" w:space="0" w:color="auto"/>
        <w:bottom w:val="none" w:sz="0" w:space="0" w:color="auto"/>
        <w:right w:val="none" w:sz="0" w:space="0" w:color="auto"/>
      </w:divBdr>
    </w:div>
    <w:div w:id="1824276832">
      <w:bodyDiv w:val="1"/>
      <w:marLeft w:val="0"/>
      <w:marRight w:val="0"/>
      <w:marTop w:val="0"/>
      <w:marBottom w:val="0"/>
      <w:divBdr>
        <w:top w:val="none" w:sz="0" w:space="0" w:color="auto"/>
        <w:left w:val="none" w:sz="0" w:space="0" w:color="auto"/>
        <w:bottom w:val="none" w:sz="0" w:space="0" w:color="auto"/>
        <w:right w:val="none" w:sz="0" w:space="0" w:color="auto"/>
      </w:divBdr>
    </w:div>
    <w:div w:id="1845125654">
      <w:bodyDiv w:val="1"/>
      <w:marLeft w:val="0"/>
      <w:marRight w:val="0"/>
      <w:marTop w:val="0"/>
      <w:marBottom w:val="0"/>
      <w:divBdr>
        <w:top w:val="none" w:sz="0" w:space="0" w:color="auto"/>
        <w:left w:val="none" w:sz="0" w:space="0" w:color="auto"/>
        <w:bottom w:val="none" w:sz="0" w:space="0" w:color="auto"/>
        <w:right w:val="none" w:sz="0" w:space="0" w:color="auto"/>
      </w:divBdr>
    </w:div>
    <w:div w:id="1846281645">
      <w:bodyDiv w:val="1"/>
      <w:marLeft w:val="0"/>
      <w:marRight w:val="0"/>
      <w:marTop w:val="0"/>
      <w:marBottom w:val="0"/>
      <w:divBdr>
        <w:top w:val="none" w:sz="0" w:space="0" w:color="auto"/>
        <w:left w:val="none" w:sz="0" w:space="0" w:color="auto"/>
        <w:bottom w:val="none" w:sz="0" w:space="0" w:color="auto"/>
        <w:right w:val="none" w:sz="0" w:space="0" w:color="auto"/>
      </w:divBdr>
    </w:div>
    <w:div w:id="1874264807">
      <w:bodyDiv w:val="1"/>
      <w:marLeft w:val="0"/>
      <w:marRight w:val="0"/>
      <w:marTop w:val="0"/>
      <w:marBottom w:val="0"/>
      <w:divBdr>
        <w:top w:val="none" w:sz="0" w:space="0" w:color="auto"/>
        <w:left w:val="none" w:sz="0" w:space="0" w:color="auto"/>
        <w:bottom w:val="none" w:sz="0" w:space="0" w:color="auto"/>
        <w:right w:val="none" w:sz="0" w:space="0" w:color="auto"/>
      </w:divBdr>
    </w:div>
    <w:div w:id="1887600565">
      <w:bodyDiv w:val="1"/>
      <w:marLeft w:val="0"/>
      <w:marRight w:val="0"/>
      <w:marTop w:val="0"/>
      <w:marBottom w:val="0"/>
      <w:divBdr>
        <w:top w:val="none" w:sz="0" w:space="0" w:color="auto"/>
        <w:left w:val="none" w:sz="0" w:space="0" w:color="auto"/>
        <w:bottom w:val="none" w:sz="0" w:space="0" w:color="auto"/>
        <w:right w:val="none" w:sz="0" w:space="0" w:color="auto"/>
      </w:divBdr>
    </w:div>
    <w:div w:id="1920626869">
      <w:bodyDiv w:val="1"/>
      <w:marLeft w:val="0"/>
      <w:marRight w:val="0"/>
      <w:marTop w:val="0"/>
      <w:marBottom w:val="0"/>
      <w:divBdr>
        <w:top w:val="none" w:sz="0" w:space="0" w:color="auto"/>
        <w:left w:val="none" w:sz="0" w:space="0" w:color="auto"/>
        <w:bottom w:val="none" w:sz="0" w:space="0" w:color="auto"/>
        <w:right w:val="none" w:sz="0" w:space="0" w:color="auto"/>
      </w:divBdr>
    </w:div>
    <w:div w:id="1970667811">
      <w:bodyDiv w:val="1"/>
      <w:marLeft w:val="0"/>
      <w:marRight w:val="0"/>
      <w:marTop w:val="0"/>
      <w:marBottom w:val="0"/>
      <w:divBdr>
        <w:top w:val="none" w:sz="0" w:space="0" w:color="auto"/>
        <w:left w:val="none" w:sz="0" w:space="0" w:color="auto"/>
        <w:bottom w:val="none" w:sz="0" w:space="0" w:color="auto"/>
        <w:right w:val="none" w:sz="0" w:space="0" w:color="auto"/>
      </w:divBdr>
    </w:div>
    <w:div w:id="1973517967">
      <w:bodyDiv w:val="1"/>
      <w:marLeft w:val="0"/>
      <w:marRight w:val="0"/>
      <w:marTop w:val="0"/>
      <w:marBottom w:val="0"/>
      <w:divBdr>
        <w:top w:val="none" w:sz="0" w:space="0" w:color="auto"/>
        <w:left w:val="none" w:sz="0" w:space="0" w:color="auto"/>
        <w:bottom w:val="none" w:sz="0" w:space="0" w:color="auto"/>
        <w:right w:val="none" w:sz="0" w:space="0" w:color="auto"/>
      </w:divBdr>
    </w:div>
    <w:div w:id="2021002248">
      <w:bodyDiv w:val="1"/>
      <w:marLeft w:val="0"/>
      <w:marRight w:val="0"/>
      <w:marTop w:val="0"/>
      <w:marBottom w:val="0"/>
      <w:divBdr>
        <w:top w:val="none" w:sz="0" w:space="0" w:color="auto"/>
        <w:left w:val="none" w:sz="0" w:space="0" w:color="auto"/>
        <w:bottom w:val="none" w:sz="0" w:space="0" w:color="auto"/>
        <w:right w:val="none" w:sz="0" w:space="0" w:color="auto"/>
      </w:divBdr>
    </w:div>
    <w:div w:id="2051294092">
      <w:bodyDiv w:val="1"/>
      <w:marLeft w:val="0"/>
      <w:marRight w:val="0"/>
      <w:marTop w:val="0"/>
      <w:marBottom w:val="0"/>
      <w:divBdr>
        <w:top w:val="none" w:sz="0" w:space="0" w:color="auto"/>
        <w:left w:val="none" w:sz="0" w:space="0" w:color="auto"/>
        <w:bottom w:val="none" w:sz="0" w:space="0" w:color="auto"/>
        <w:right w:val="none" w:sz="0" w:space="0" w:color="auto"/>
      </w:divBdr>
    </w:div>
    <w:div w:id="2113083551">
      <w:bodyDiv w:val="1"/>
      <w:marLeft w:val="0"/>
      <w:marRight w:val="0"/>
      <w:marTop w:val="0"/>
      <w:marBottom w:val="0"/>
      <w:divBdr>
        <w:top w:val="none" w:sz="0" w:space="0" w:color="auto"/>
        <w:left w:val="none" w:sz="0" w:space="0" w:color="auto"/>
        <w:bottom w:val="none" w:sz="0" w:space="0" w:color="auto"/>
        <w:right w:val="none" w:sz="0" w:space="0" w:color="auto"/>
      </w:divBdr>
    </w:div>
    <w:div w:id="214191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981-19-5441-2_21" TargetMode="External"/><Relationship Id="rId13" Type="http://schemas.openxmlformats.org/officeDocument/2006/relationships/hyperlink" Target="https://doi.org/10.4103/picr.PICR_147_16" TargetMode="External"/><Relationship Id="rId18" Type="http://schemas.openxmlformats.org/officeDocument/2006/relationships/hyperlink" Target="https://doi.org/10.3389/feduc.2022.751801" TargetMode="External"/><Relationship Id="rId26" Type="http://schemas.openxmlformats.org/officeDocument/2006/relationships/hyperlink" Target="https://doi.org/10.2307/j.ctvjf9vz4.12" TargetMode="External"/><Relationship Id="rId3" Type="http://schemas.openxmlformats.org/officeDocument/2006/relationships/webSettings" Target="webSettings.xml"/><Relationship Id="rId21" Type="http://schemas.openxmlformats.org/officeDocument/2006/relationships/hyperlink" Target="https://www.nngroup.com/articles/open-ended-questions/" TargetMode="External"/><Relationship Id="rId7" Type="http://schemas.openxmlformats.org/officeDocument/2006/relationships/hyperlink" Target="https://files.eric.ed.gov/fulltext/EJ1070266.pdf" TargetMode="External"/><Relationship Id="rId12" Type="http://schemas.openxmlformats.org/officeDocument/2006/relationships/hyperlink" Target="https://doi.org/10.3390/ijerph182010858" TargetMode="External"/><Relationship Id="rId17" Type="http://schemas.openxmlformats.org/officeDocument/2006/relationships/hyperlink" Target="https://doi.org/10.1177/21582440211068457" TargetMode="External"/><Relationship Id="rId25" Type="http://schemas.openxmlformats.org/officeDocument/2006/relationships/hyperlink" Target="https://www.childcomwales.org.uk/wp-content/uploads/2018/04/Play-FINAL.pdf" TargetMode="External"/><Relationship Id="rId2" Type="http://schemas.openxmlformats.org/officeDocument/2006/relationships/settings" Target="settings.xml"/><Relationship Id="rId16" Type="http://schemas.openxmlformats.org/officeDocument/2006/relationships/hyperlink" Target="https://doi.org/10.1177/1609406917733847" TargetMode="External"/><Relationship Id="rId20" Type="http://schemas.openxmlformats.org/officeDocument/2006/relationships/hyperlink" Target="https://doi.org/10.4324/9780203839478" TargetMode="External"/><Relationship Id="rId29" Type="http://schemas.openxmlformats.org/officeDocument/2006/relationships/hyperlink" Target="http://resource.download.wjec.co.uk.s3.amazonaws.com/vtc/2018-19/HSC18-19_2-4/_multi-lang/unit04/1-play.html" TargetMode="External"/><Relationship Id="rId1" Type="http://schemas.openxmlformats.org/officeDocument/2006/relationships/styles" Target="styles.xml"/><Relationship Id="rId6" Type="http://schemas.openxmlformats.org/officeDocument/2006/relationships/hyperlink" Target="https://doi.org/10.1007/s11934-022-01116-7" TargetMode="External"/><Relationship Id="rId11" Type="http://schemas.openxmlformats.org/officeDocument/2006/relationships/hyperlink" Target="https://doi.org/10.1016/s0304-3940(03)00158-7" TargetMode="External"/><Relationship Id="rId24" Type="http://schemas.openxmlformats.org/officeDocument/2006/relationships/hyperlink" Target="https://www.unicef.org/parenting/child-development/how-play-strengthens-your-childs-mental-health" TargetMode="External"/><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simplypsychology.org/questionnaires.html" TargetMode="External"/><Relationship Id="rId23" Type="http://schemas.openxmlformats.org/officeDocument/2006/relationships/hyperlink" Target="https://doi.org/10.11613/bm.2013.003" TargetMode="External"/><Relationship Id="rId28" Type="http://schemas.openxmlformats.org/officeDocument/2006/relationships/hyperlink" Target="https://www.gov.wales/sites/default/files/publications/2019-07/wales-a-play-friendly-country.pdf" TargetMode="External"/><Relationship Id="rId10" Type="http://schemas.openxmlformats.org/officeDocument/2006/relationships/hyperlink" Target="https://doi.org/10.1111/j.1365-2929.2006.02418.x" TargetMode="External"/><Relationship Id="rId19" Type="http://schemas.openxmlformats.org/officeDocument/2006/relationships/hyperlink" Target="https://www.britannica.com/science/case-study"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verywellmind.com/how-to-write-a-psychology-case-study-2795722" TargetMode="External"/><Relationship Id="rId14" Type="http://schemas.openxmlformats.org/officeDocument/2006/relationships/hyperlink" Target="https://doi.org/10.1177/1534484320903890" TargetMode="External"/><Relationship Id="rId22" Type="http://schemas.openxmlformats.org/officeDocument/2006/relationships/hyperlink" Target="https://www.gov.scot/binaries/content/documents/govscot/publications/advice-and-guidance/2016/02/play-strategy-play-out-hours/documents/play-out-hours-toolkit-use-school-grounds-playing-out-teaching-hours/play-out-hours-toolkit-use-school-grounds-playing-out-teaching-hours/govscot%3Adocument/00493571.pdf" TargetMode="External"/><Relationship Id="rId27" Type="http://schemas.openxmlformats.org/officeDocument/2006/relationships/hyperlink" Target="https://hwb.gov.wales/curriculum-for-wales/health-and-well-being/designing-your-curriculum" TargetMode="External"/><Relationship Id="rId30" Type="http://schemas.openxmlformats.org/officeDocument/2006/relationships/hyperlink" Target="https://doi.org/10.4103/0019-5049.190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16</Pages>
  <Words>6531</Words>
  <Characters>37227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Finnemore (2012131)</dc:creator>
  <cp:keywords/>
  <dc:description/>
  <cp:lastModifiedBy>Maisie Finnemore (2012131)</cp:lastModifiedBy>
  <cp:revision>30</cp:revision>
  <dcterms:created xsi:type="dcterms:W3CDTF">2024-04-21T19:12:00Z</dcterms:created>
  <dcterms:modified xsi:type="dcterms:W3CDTF">2024-05-07T15:16:00Z</dcterms:modified>
</cp:coreProperties>
</file>