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CAF83" w14:textId="77777777" w:rsidR="00B151A8" w:rsidRDefault="00B151A8"/>
    <w:p w14:paraId="755A1973" w14:textId="77777777" w:rsidR="00C20240" w:rsidRPr="00C20240" w:rsidRDefault="00C20240" w:rsidP="00C20240">
      <w:pPr>
        <w:spacing w:line="360" w:lineRule="auto"/>
        <w:rPr>
          <w:rFonts w:ascii="Arial" w:hAnsi="Arial" w:cs="Arial"/>
          <w:b/>
          <w:bCs/>
          <w:sz w:val="40"/>
          <w:szCs w:val="40"/>
        </w:rPr>
      </w:pPr>
    </w:p>
    <w:p w14:paraId="3DE0E46F" w14:textId="77777777" w:rsidR="00C20240" w:rsidRPr="00C20240" w:rsidRDefault="00C20240" w:rsidP="00C20240">
      <w:pPr>
        <w:spacing w:line="360" w:lineRule="auto"/>
        <w:rPr>
          <w:rFonts w:ascii="Arial" w:hAnsi="Arial" w:cs="Arial"/>
          <w:b/>
          <w:bCs/>
          <w:sz w:val="40"/>
          <w:szCs w:val="40"/>
        </w:rPr>
      </w:pPr>
    </w:p>
    <w:p w14:paraId="10F27798" w14:textId="1F0F0FAF" w:rsidR="00C20240" w:rsidRPr="00C20240" w:rsidRDefault="00C20240" w:rsidP="00C20240">
      <w:pPr>
        <w:tabs>
          <w:tab w:val="left" w:pos="1950"/>
        </w:tabs>
        <w:spacing w:line="360" w:lineRule="auto"/>
        <w:rPr>
          <w:rFonts w:ascii="Arial" w:hAnsi="Arial" w:cs="Arial"/>
          <w:b/>
          <w:bCs/>
          <w:sz w:val="40"/>
          <w:szCs w:val="40"/>
        </w:rPr>
      </w:pPr>
      <w:r w:rsidRPr="00C20240">
        <w:rPr>
          <w:rFonts w:ascii="Arial" w:hAnsi="Arial" w:cs="Arial"/>
          <w:b/>
          <w:bCs/>
          <w:sz w:val="40"/>
          <w:szCs w:val="40"/>
        </w:rPr>
        <w:t>International Business Communications</w:t>
      </w:r>
    </w:p>
    <w:p w14:paraId="712705D0" w14:textId="05C8F273" w:rsidR="00C20240" w:rsidRDefault="00C20240" w:rsidP="00C20240">
      <w:pPr>
        <w:tabs>
          <w:tab w:val="left" w:pos="1950"/>
        </w:tabs>
        <w:spacing w:line="360" w:lineRule="auto"/>
        <w:rPr>
          <w:rFonts w:ascii="Arial" w:hAnsi="Arial" w:cs="Arial"/>
          <w:b/>
          <w:bCs/>
          <w:sz w:val="40"/>
          <w:szCs w:val="40"/>
        </w:rPr>
      </w:pPr>
      <w:r w:rsidRPr="00C20240">
        <w:rPr>
          <w:rFonts w:ascii="Arial" w:hAnsi="Arial" w:cs="Arial"/>
          <w:b/>
          <w:bCs/>
          <w:sz w:val="40"/>
          <w:szCs w:val="40"/>
        </w:rPr>
        <w:t>LCBB600</w:t>
      </w:r>
      <w:r w:rsidR="00F52AC0">
        <w:rPr>
          <w:rFonts w:ascii="Arial" w:hAnsi="Arial" w:cs="Arial"/>
          <w:b/>
          <w:bCs/>
          <w:sz w:val="40"/>
          <w:szCs w:val="40"/>
        </w:rPr>
        <w:t>2</w:t>
      </w:r>
    </w:p>
    <w:p w14:paraId="5AA6BB5C" w14:textId="77777777" w:rsidR="00F52AC0" w:rsidRDefault="00F52AC0" w:rsidP="00C20240">
      <w:pPr>
        <w:tabs>
          <w:tab w:val="left" w:pos="1950"/>
        </w:tabs>
        <w:spacing w:line="360" w:lineRule="auto"/>
        <w:rPr>
          <w:rFonts w:ascii="Arial" w:hAnsi="Arial" w:cs="Arial"/>
          <w:b/>
          <w:bCs/>
          <w:sz w:val="40"/>
          <w:szCs w:val="40"/>
        </w:rPr>
      </w:pPr>
    </w:p>
    <w:p w14:paraId="353DDFDD" w14:textId="4F33B4EF" w:rsidR="00F52AC0" w:rsidRDefault="00F52AC0" w:rsidP="00C20240">
      <w:pPr>
        <w:tabs>
          <w:tab w:val="left" w:pos="1950"/>
        </w:tabs>
        <w:spacing w:line="360" w:lineRule="auto"/>
        <w:rPr>
          <w:rFonts w:ascii="Arial" w:hAnsi="Arial" w:cs="Arial"/>
          <w:b/>
          <w:bCs/>
          <w:sz w:val="40"/>
          <w:szCs w:val="40"/>
        </w:rPr>
      </w:pPr>
      <w:r>
        <w:rPr>
          <w:rFonts w:ascii="Arial" w:hAnsi="Arial" w:cs="Arial"/>
          <w:b/>
          <w:bCs/>
          <w:sz w:val="40"/>
          <w:szCs w:val="40"/>
        </w:rPr>
        <w:t>Student id:</w:t>
      </w:r>
      <w:r w:rsidR="00262AA3">
        <w:rPr>
          <w:rFonts w:ascii="Arial" w:hAnsi="Arial" w:cs="Arial"/>
          <w:b/>
          <w:bCs/>
          <w:sz w:val="40"/>
          <w:szCs w:val="40"/>
        </w:rPr>
        <w:t xml:space="preserve"> 2246853</w:t>
      </w:r>
    </w:p>
    <w:p w14:paraId="3CAEFAC5" w14:textId="52ACED33" w:rsidR="00F52AC0" w:rsidRDefault="00F52AC0" w:rsidP="00C20240">
      <w:pPr>
        <w:tabs>
          <w:tab w:val="left" w:pos="1950"/>
        </w:tabs>
        <w:spacing w:line="360" w:lineRule="auto"/>
        <w:rPr>
          <w:rFonts w:ascii="Arial" w:hAnsi="Arial" w:cs="Arial"/>
          <w:b/>
          <w:bCs/>
          <w:sz w:val="40"/>
          <w:szCs w:val="40"/>
        </w:rPr>
      </w:pPr>
      <w:r>
        <w:rPr>
          <w:rFonts w:ascii="Arial" w:hAnsi="Arial" w:cs="Arial"/>
          <w:b/>
          <w:bCs/>
          <w:sz w:val="40"/>
          <w:szCs w:val="40"/>
        </w:rPr>
        <w:t>Student name:</w:t>
      </w:r>
      <w:r w:rsidR="00262AA3">
        <w:rPr>
          <w:rFonts w:ascii="Arial" w:hAnsi="Arial" w:cs="Arial"/>
          <w:b/>
          <w:bCs/>
          <w:sz w:val="40"/>
          <w:szCs w:val="40"/>
        </w:rPr>
        <w:t xml:space="preserve"> </w:t>
      </w:r>
      <w:proofErr w:type="spellStart"/>
      <w:r w:rsidR="00262AA3">
        <w:rPr>
          <w:rFonts w:ascii="Arial" w:hAnsi="Arial" w:cs="Arial"/>
          <w:b/>
          <w:bCs/>
          <w:sz w:val="40"/>
          <w:szCs w:val="40"/>
        </w:rPr>
        <w:t>Ioana</w:t>
      </w:r>
      <w:proofErr w:type="spellEnd"/>
      <w:r w:rsidR="00262AA3">
        <w:rPr>
          <w:rFonts w:ascii="Arial" w:hAnsi="Arial" w:cs="Arial"/>
          <w:b/>
          <w:bCs/>
          <w:sz w:val="40"/>
          <w:szCs w:val="40"/>
        </w:rPr>
        <w:t xml:space="preserve"> </w:t>
      </w:r>
      <w:proofErr w:type="spellStart"/>
      <w:r w:rsidR="00262AA3">
        <w:rPr>
          <w:rFonts w:ascii="Arial" w:hAnsi="Arial" w:cs="Arial"/>
          <w:b/>
          <w:bCs/>
          <w:sz w:val="40"/>
          <w:szCs w:val="40"/>
        </w:rPr>
        <w:t>Girigan</w:t>
      </w:r>
      <w:proofErr w:type="spellEnd"/>
      <w:r w:rsidR="00262AA3">
        <w:rPr>
          <w:rFonts w:ascii="Arial" w:hAnsi="Arial" w:cs="Arial"/>
          <w:b/>
          <w:bCs/>
          <w:sz w:val="40"/>
          <w:szCs w:val="40"/>
        </w:rPr>
        <w:t xml:space="preserve"> </w:t>
      </w:r>
    </w:p>
    <w:p w14:paraId="68C62901" w14:textId="77777777" w:rsidR="00C20240" w:rsidRDefault="00C20240" w:rsidP="00C20240">
      <w:pPr>
        <w:tabs>
          <w:tab w:val="left" w:pos="1950"/>
        </w:tabs>
        <w:spacing w:line="360" w:lineRule="auto"/>
        <w:rPr>
          <w:rFonts w:ascii="Arial" w:hAnsi="Arial" w:cs="Arial"/>
          <w:b/>
          <w:bCs/>
          <w:sz w:val="40"/>
          <w:szCs w:val="40"/>
        </w:rPr>
      </w:pPr>
    </w:p>
    <w:p w14:paraId="048EC338" w14:textId="77777777" w:rsidR="00C20240" w:rsidRDefault="00C20240" w:rsidP="00C20240">
      <w:pPr>
        <w:tabs>
          <w:tab w:val="left" w:pos="1950"/>
        </w:tabs>
        <w:spacing w:line="360" w:lineRule="auto"/>
        <w:rPr>
          <w:rFonts w:ascii="Arial" w:hAnsi="Arial" w:cs="Arial"/>
          <w:b/>
          <w:bCs/>
          <w:sz w:val="40"/>
          <w:szCs w:val="40"/>
        </w:rPr>
      </w:pPr>
    </w:p>
    <w:p w14:paraId="0C9265D7" w14:textId="77777777" w:rsidR="00C20240" w:rsidRDefault="00C20240" w:rsidP="00C20240">
      <w:pPr>
        <w:tabs>
          <w:tab w:val="left" w:pos="1950"/>
        </w:tabs>
        <w:spacing w:line="360" w:lineRule="auto"/>
        <w:rPr>
          <w:rFonts w:ascii="Arial" w:hAnsi="Arial" w:cs="Arial"/>
          <w:b/>
          <w:bCs/>
          <w:sz w:val="40"/>
          <w:szCs w:val="40"/>
        </w:rPr>
      </w:pPr>
    </w:p>
    <w:p w14:paraId="75823EA8" w14:textId="77777777" w:rsidR="00C20240" w:rsidRDefault="00C20240" w:rsidP="00C20240">
      <w:pPr>
        <w:tabs>
          <w:tab w:val="left" w:pos="1950"/>
        </w:tabs>
        <w:spacing w:line="360" w:lineRule="auto"/>
        <w:rPr>
          <w:rFonts w:ascii="Arial" w:hAnsi="Arial" w:cs="Arial"/>
          <w:b/>
          <w:bCs/>
          <w:sz w:val="40"/>
          <w:szCs w:val="40"/>
        </w:rPr>
      </w:pPr>
    </w:p>
    <w:p w14:paraId="502F1098" w14:textId="77777777" w:rsidR="00C20240" w:rsidRDefault="00C20240" w:rsidP="00C20240">
      <w:pPr>
        <w:tabs>
          <w:tab w:val="left" w:pos="1950"/>
        </w:tabs>
        <w:spacing w:line="360" w:lineRule="auto"/>
        <w:rPr>
          <w:rFonts w:ascii="Arial" w:hAnsi="Arial" w:cs="Arial"/>
          <w:b/>
          <w:bCs/>
          <w:sz w:val="40"/>
          <w:szCs w:val="40"/>
        </w:rPr>
      </w:pPr>
    </w:p>
    <w:p w14:paraId="65FA6EFD" w14:textId="77777777" w:rsidR="00C20240" w:rsidRDefault="00C20240" w:rsidP="00C20240">
      <w:pPr>
        <w:tabs>
          <w:tab w:val="left" w:pos="1950"/>
        </w:tabs>
        <w:spacing w:line="360" w:lineRule="auto"/>
        <w:rPr>
          <w:rFonts w:ascii="Arial" w:hAnsi="Arial" w:cs="Arial"/>
          <w:b/>
          <w:bCs/>
          <w:sz w:val="40"/>
          <w:szCs w:val="40"/>
        </w:rPr>
      </w:pPr>
    </w:p>
    <w:p w14:paraId="0ECCD09F" w14:textId="77777777" w:rsidR="00C20240" w:rsidRDefault="00C20240" w:rsidP="00C20240">
      <w:pPr>
        <w:tabs>
          <w:tab w:val="left" w:pos="1950"/>
        </w:tabs>
        <w:spacing w:line="360" w:lineRule="auto"/>
        <w:rPr>
          <w:rFonts w:ascii="Arial" w:hAnsi="Arial" w:cs="Arial"/>
          <w:b/>
          <w:bCs/>
          <w:sz w:val="40"/>
          <w:szCs w:val="40"/>
        </w:rPr>
      </w:pPr>
    </w:p>
    <w:p w14:paraId="672637F1" w14:textId="77777777" w:rsidR="00C20240" w:rsidRDefault="00C20240" w:rsidP="00C20240">
      <w:pPr>
        <w:tabs>
          <w:tab w:val="left" w:pos="1950"/>
        </w:tabs>
        <w:spacing w:line="360" w:lineRule="auto"/>
        <w:rPr>
          <w:rFonts w:ascii="Arial" w:hAnsi="Arial" w:cs="Arial"/>
          <w:b/>
          <w:bCs/>
          <w:sz w:val="40"/>
          <w:szCs w:val="40"/>
        </w:rPr>
      </w:pPr>
    </w:p>
    <w:p w14:paraId="2D5C2590" w14:textId="77777777" w:rsidR="00C20240" w:rsidRDefault="00C20240" w:rsidP="00C20240">
      <w:pPr>
        <w:tabs>
          <w:tab w:val="left" w:pos="1950"/>
        </w:tabs>
        <w:spacing w:line="360" w:lineRule="auto"/>
        <w:rPr>
          <w:rFonts w:ascii="Arial" w:hAnsi="Arial" w:cs="Arial"/>
          <w:b/>
          <w:bCs/>
          <w:sz w:val="40"/>
          <w:szCs w:val="40"/>
        </w:rPr>
      </w:pPr>
    </w:p>
    <w:p w14:paraId="211CC999" w14:textId="6BA27BF3" w:rsidR="00C20240" w:rsidRPr="002475DE" w:rsidRDefault="00C20240" w:rsidP="002475DE">
      <w:pPr>
        <w:pStyle w:val="EU"/>
        <w:spacing w:line="360" w:lineRule="auto"/>
        <w:rPr>
          <w:color w:val="auto"/>
        </w:rPr>
      </w:pPr>
      <w:bookmarkStart w:id="0" w:name="_Toc204341393"/>
      <w:r w:rsidRPr="002475DE">
        <w:rPr>
          <w:color w:val="auto"/>
        </w:rPr>
        <w:t>Executive summary</w:t>
      </w:r>
      <w:bookmarkEnd w:id="0"/>
    </w:p>
    <w:p w14:paraId="62295B2D" w14:textId="2C21A5FE" w:rsidR="00C20240" w:rsidRDefault="00C20240" w:rsidP="002475DE">
      <w:pPr>
        <w:spacing w:line="360" w:lineRule="auto"/>
        <w:jc w:val="both"/>
        <w:rPr>
          <w:rFonts w:ascii="Arial" w:hAnsi="Arial" w:cs="Arial"/>
          <w:sz w:val="24"/>
          <w:szCs w:val="24"/>
          <w:lang w:eastAsia="en-GB"/>
        </w:rPr>
      </w:pPr>
      <w:r w:rsidRPr="002475DE">
        <w:rPr>
          <w:rFonts w:ascii="Arial" w:hAnsi="Arial" w:cs="Arial"/>
          <w:sz w:val="24"/>
          <w:szCs w:val="24"/>
          <w:lang w:eastAsia="en-GB"/>
        </w:rPr>
        <w:t>This report looks at the finances and governance issues of E-Energy Limited, a family-owned oil company, in light of a possible public offering and expansion.</w:t>
      </w:r>
      <w:r w:rsidRPr="002475DE">
        <w:rPr>
          <w:rFonts w:ascii="Arial" w:hAnsi="Arial" w:cs="Arial"/>
          <w:sz w:val="24"/>
          <w:szCs w:val="24"/>
        </w:rPr>
        <w:t xml:space="preserve"> </w:t>
      </w:r>
      <w:r w:rsidRPr="002475DE">
        <w:rPr>
          <w:rFonts w:ascii="Arial" w:hAnsi="Arial" w:cs="Arial"/>
          <w:sz w:val="24"/>
          <w:szCs w:val="24"/>
          <w:lang w:eastAsia="en-GB"/>
        </w:rPr>
        <w:t>The company's current equity is £245 million, which is the difference between its total assets of £1,500 million and its total liabilities of £1,255 million. A simplified balance sheet extract shows that in 2022, there were £880 million in non-current assets and £915 million in non-current liabilities. E-Energy would need to raise about £92 million in new long-term debt to keep its current liabilities-to-equity ratio if it increased its non-current assets by £110 million. The rest of the money would come from equity. This would keep its capital structure stable.</w:t>
      </w:r>
      <w:r w:rsidRPr="002475DE">
        <w:rPr>
          <w:rFonts w:ascii="Arial" w:eastAsia="Times New Roman" w:hAnsi="Arial" w:cs="Arial"/>
          <w:kern w:val="0"/>
          <w:sz w:val="24"/>
          <w:szCs w:val="24"/>
          <w:lang w:eastAsia="en-GB"/>
          <w14:ligatures w14:val="none"/>
        </w:rPr>
        <w:t xml:space="preserve"> </w:t>
      </w:r>
      <w:r w:rsidRPr="002475DE">
        <w:rPr>
          <w:rFonts w:ascii="Arial" w:hAnsi="Arial" w:cs="Arial"/>
          <w:sz w:val="24"/>
          <w:szCs w:val="24"/>
          <w:lang w:eastAsia="en-GB"/>
        </w:rPr>
        <w:t>Important qualitative issues are also covered in the report. It is argued that a drastic 45% workforce reduction would be harmful from the standpoint of corporate governance and corporate social responsibility (CSR). Mass layoffs run the danger of harming employee morale, productivity, and reputation while also conflicting with the company's stakeholder responsibilities. Fair treatment of workers is emphasised by both CSR theory and U.K. corporate governance rules, such as the Companies Act 2006 Section 172 responsibility to regard employees' interests, as being essential to long-term success. The business should look for alternate efficiency improvements that preserve its family culture and stakeholder trust rather than laying off almost half of its employees.</w:t>
      </w:r>
      <w:r w:rsidRPr="002475DE">
        <w:rPr>
          <w:rFonts w:ascii="Arial" w:hAnsi="Arial" w:cs="Arial"/>
          <w:sz w:val="24"/>
          <w:szCs w:val="24"/>
        </w:rPr>
        <w:t xml:space="preserve"> </w:t>
      </w:r>
      <w:r w:rsidRPr="002475DE">
        <w:rPr>
          <w:rFonts w:ascii="Arial" w:hAnsi="Arial" w:cs="Arial"/>
          <w:sz w:val="24"/>
          <w:szCs w:val="24"/>
          <w:lang w:eastAsia="en-GB"/>
        </w:rPr>
        <w:t xml:space="preserve">The paper concludes by suggesting that, in the event of an IPO, directors' compensation be structured using robust governance procedures to guarantee equity and alignment with shareholder interests.  Based on agency theory, executive compensation ought to be linked to long-term value creation and performance. In order to avoid excessive or misaligned compensation assets, U.K. legal frameworks (such as the UK Corporate Governance Code) require an independent remuneration committee, clear pay plans, shareholder say-on-pay, and clauses like bonus </w:t>
      </w:r>
      <w:proofErr w:type="spellStart"/>
      <w:r w:rsidRPr="002475DE">
        <w:rPr>
          <w:rFonts w:ascii="Arial" w:hAnsi="Arial" w:cs="Arial"/>
          <w:sz w:val="24"/>
          <w:szCs w:val="24"/>
          <w:lang w:eastAsia="en-GB"/>
        </w:rPr>
        <w:t>clawbacks</w:t>
      </w:r>
      <w:proofErr w:type="spellEnd"/>
      <w:r w:rsidRPr="002475DE">
        <w:rPr>
          <w:rFonts w:ascii="Arial" w:hAnsi="Arial" w:cs="Arial"/>
          <w:sz w:val="24"/>
          <w:szCs w:val="24"/>
          <w:lang w:eastAsia="en-GB"/>
        </w:rPr>
        <w:t>. CliffordChance.com and kpmg.com.  By taking these steps, management incentives will be in line with the organization's strategic objectives and managerial self-interest will not result in unfair rewards.</w:t>
      </w:r>
    </w:p>
    <w:p w14:paraId="165C8C2B" w14:textId="77777777" w:rsidR="002475DE" w:rsidRDefault="002475DE" w:rsidP="002475DE">
      <w:pPr>
        <w:spacing w:line="360" w:lineRule="auto"/>
        <w:jc w:val="both"/>
        <w:rPr>
          <w:rFonts w:ascii="Arial" w:hAnsi="Arial" w:cs="Arial"/>
          <w:sz w:val="24"/>
          <w:szCs w:val="24"/>
          <w:lang w:eastAsia="en-GB"/>
        </w:rPr>
      </w:pPr>
    </w:p>
    <w:p w14:paraId="2254820B" w14:textId="77777777" w:rsidR="002475DE" w:rsidRDefault="002475DE" w:rsidP="002475DE">
      <w:pPr>
        <w:spacing w:line="360" w:lineRule="auto"/>
        <w:jc w:val="both"/>
        <w:rPr>
          <w:rFonts w:ascii="Arial" w:hAnsi="Arial" w:cs="Arial"/>
          <w:sz w:val="24"/>
          <w:szCs w:val="24"/>
          <w:lang w:eastAsia="en-GB"/>
        </w:rPr>
      </w:pPr>
    </w:p>
    <w:p w14:paraId="4B0C97FE" w14:textId="77777777" w:rsidR="00F52AC0" w:rsidRDefault="00F52AC0" w:rsidP="002475DE">
      <w:pPr>
        <w:spacing w:line="360" w:lineRule="auto"/>
        <w:jc w:val="both"/>
        <w:rPr>
          <w:rFonts w:ascii="Arial" w:hAnsi="Arial" w:cs="Arial"/>
          <w:sz w:val="24"/>
          <w:szCs w:val="24"/>
          <w:lang w:eastAsia="en-GB"/>
        </w:rPr>
      </w:pPr>
    </w:p>
    <w:p w14:paraId="411FAB9A" w14:textId="77777777" w:rsidR="002475DE" w:rsidRDefault="002475DE" w:rsidP="002475DE">
      <w:pPr>
        <w:spacing w:line="360" w:lineRule="auto"/>
        <w:jc w:val="both"/>
        <w:rPr>
          <w:rFonts w:ascii="Arial" w:hAnsi="Arial" w:cs="Arial"/>
          <w:sz w:val="24"/>
          <w:szCs w:val="24"/>
          <w:lang w:eastAsia="en-GB"/>
        </w:rPr>
      </w:pPr>
    </w:p>
    <w:p w14:paraId="63C1B55B" w14:textId="77777777" w:rsidR="002475DE" w:rsidRDefault="002475DE" w:rsidP="002475DE">
      <w:pPr>
        <w:spacing w:line="360" w:lineRule="auto"/>
        <w:jc w:val="both"/>
        <w:rPr>
          <w:rFonts w:ascii="Arial" w:hAnsi="Arial" w:cs="Arial"/>
          <w:sz w:val="24"/>
          <w:szCs w:val="24"/>
          <w:lang w:eastAsia="en-GB"/>
        </w:rPr>
      </w:pPr>
    </w:p>
    <w:sdt>
      <w:sdtPr>
        <w:rPr>
          <w:rFonts w:asciiTheme="minorHAnsi" w:eastAsiaTheme="minorHAnsi" w:hAnsiTheme="minorHAnsi" w:cstheme="minorBidi"/>
          <w:color w:val="auto"/>
          <w:kern w:val="2"/>
          <w:sz w:val="22"/>
          <w:szCs w:val="22"/>
          <w:lang w:val="en-GB"/>
          <w14:ligatures w14:val="standardContextual"/>
        </w:rPr>
        <w:id w:val="-1761291926"/>
        <w:docPartObj>
          <w:docPartGallery w:val="Table of Contents"/>
          <w:docPartUnique/>
        </w:docPartObj>
      </w:sdtPr>
      <w:sdtEndPr>
        <w:rPr>
          <w:b/>
          <w:bCs/>
          <w:noProof/>
        </w:rPr>
      </w:sdtEndPr>
      <w:sdtContent>
        <w:p w14:paraId="787F83B9" w14:textId="6CE9417E" w:rsidR="002475DE" w:rsidRPr="002475DE" w:rsidRDefault="002475DE">
          <w:pPr>
            <w:pStyle w:val="TOCHeading"/>
            <w:rPr>
              <w:rFonts w:ascii="Arial" w:hAnsi="Arial" w:cs="Arial"/>
              <w:sz w:val="24"/>
              <w:szCs w:val="24"/>
            </w:rPr>
          </w:pPr>
          <w:r w:rsidRPr="002475DE">
            <w:rPr>
              <w:rFonts w:ascii="Arial" w:hAnsi="Arial" w:cs="Arial"/>
              <w:sz w:val="24"/>
              <w:szCs w:val="24"/>
            </w:rPr>
            <w:t>Table of Contents</w:t>
          </w:r>
        </w:p>
        <w:p w14:paraId="5049D186" w14:textId="10D545E0" w:rsidR="002475DE" w:rsidRPr="002475DE" w:rsidRDefault="002475DE">
          <w:pPr>
            <w:pStyle w:val="TOC1"/>
            <w:tabs>
              <w:tab w:val="right" w:leader="dot" w:pos="9016"/>
            </w:tabs>
            <w:rPr>
              <w:rFonts w:ascii="Arial" w:hAnsi="Arial" w:cs="Arial"/>
              <w:noProof/>
              <w:sz w:val="24"/>
              <w:szCs w:val="24"/>
            </w:rPr>
          </w:pPr>
          <w:r w:rsidRPr="002475DE">
            <w:rPr>
              <w:rFonts w:ascii="Arial" w:hAnsi="Arial" w:cs="Arial"/>
              <w:sz w:val="24"/>
              <w:szCs w:val="24"/>
            </w:rPr>
            <w:fldChar w:fldCharType="begin"/>
          </w:r>
          <w:r w:rsidRPr="002475DE">
            <w:rPr>
              <w:rFonts w:ascii="Arial" w:hAnsi="Arial" w:cs="Arial"/>
              <w:sz w:val="24"/>
              <w:szCs w:val="24"/>
            </w:rPr>
            <w:instrText xml:space="preserve"> TOC \o "1-3" \h \z \u </w:instrText>
          </w:r>
          <w:r w:rsidRPr="002475DE">
            <w:rPr>
              <w:rFonts w:ascii="Arial" w:hAnsi="Arial" w:cs="Arial"/>
              <w:sz w:val="24"/>
              <w:szCs w:val="24"/>
            </w:rPr>
            <w:fldChar w:fldCharType="separate"/>
          </w:r>
          <w:hyperlink w:anchor="_Toc204341393" w:history="1">
            <w:r w:rsidRPr="002475DE">
              <w:rPr>
                <w:rStyle w:val="Hyperlink"/>
                <w:rFonts w:ascii="Arial" w:hAnsi="Arial" w:cs="Arial"/>
                <w:noProof/>
                <w:sz w:val="24"/>
                <w:szCs w:val="24"/>
              </w:rPr>
              <w:t>Executive summary</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_Toc204341393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2</w:t>
            </w:r>
            <w:r w:rsidRPr="002475DE">
              <w:rPr>
                <w:rFonts w:ascii="Arial" w:hAnsi="Arial" w:cs="Arial"/>
                <w:noProof/>
                <w:webHidden/>
                <w:sz w:val="24"/>
                <w:szCs w:val="24"/>
              </w:rPr>
              <w:fldChar w:fldCharType="end"/>
            </w:r>
          </w:hyperlink>
        </w:p>
        <w:p w14:paraId="3AF7D8AC" w14:textId="012D4A37" w:rsidR="002475DE" w:rsidRPr="002475DE" w:rsidRDefault="002475DE">
          <w:pPr>
            <w:pStyle w:val="TOC1"/>
            <w:tabs>
              <w:tab w:val="right" w:leader="dot" w:pos="9016"/>
            </w:tabs>
            <w:rPr>
              <w:rFonts w:ascii="Arial" w:hAnsi="Arial" w:cs="Arial"/>
              <w:noProof/>
              <w:sz w:val="24"/>
              <w:szCs w:val="24"/>
            </w:rPr>
          </w:pPr>
          <w:hyperlink w:anchor="_Toc204341394" w:history="1">
            <w:r w:rsidRPr="002475DE">
              <w:rPr>
                <w:rStyle w:val="Hyperlink"/>
                <w:rFonts w:ascii="Arial" w:hAnsi="Arial" w:cs="Arial"/>
                <w:noProof/>
                <w:sz w:val="24"/>
                <w:szCs w:val="24"/>
              </w:rPr>
              <w:t>Introduction</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_Toc204341394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4</w:t>
            </w:r>
            <w:r w:rsidRPr="002475DE">
              <w:rPr>
                <w:rFonts w:ascii="Arial" w:hAnsi="Arial" w:cs="Arial"/>
                <w:noProof/>
                <w:webHidden/>
                <w:sz w:val="24"/>
                <w:szCs w:val="24"/>
              </w:rPr>
              <w:fldChar w:fldCharType="end"/>
            </w:r>
          </w:hyperlink>
        </w:p>
        <w:p w14:paraId="514013E7" w14:textId="1DBCD7AF" w:rsidR="002475DE" w:rsidRPr="002475DE" w:rsidRDefault="002475DE">
          <w:pPr>
            <w:pStyle w:val="TOC1"/>
            <w:tabs>
              <w:tab w:val="right" w:leader="dot" w:pos="9016"/>
            </w:tabs>
            <w:rPr>
              <w:rFonts w:ascii="Arial" w:hAnsi="Arial" w:cs="Arial"/>
              <w:noProof/>
              <w:sz w:val="24"/>
              <w:szCs w:val="24"/>
            </w:rPr>
          </w:pPr>
          <w:hyperlink w:anchor="_Toc204341395" w:history="1">
            <w:r w:rsidRPr="002475DE">
              <w:rPr>
                <w:rStyle w:val="Hyperlink"/>
                <w:rFonts w:ascii="Arial" w:hAnsi="Arial" w:cs="Arial"/>
                <w:noProof/>
                <w:sz w:val="24"/>
                <w:szCs w:val="24"/>
              </w:rPr>
              <w:t>Discussion of Findings</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_Toc204341395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4</w:t>
            </w:r>
            <w:r w:rsidRPr="002475DE">
              <w:rPr>
                <w:rFonts w:ascii="Arial" w:hAnsi="Arial" w:cs="Arial"/>
                <w:noProof/>
                <w:webHidden/>
                <w:sz w:val="24"/>
                <w:szCs w:val="24"/>
              </w:rPr>
              <w:fldChar w:fldCharType="end"/>
            </w:r>
          </w:hyperlink>
        </w:p>
        <w:p w14:paraId="22486175" w14:textId="6C410DD1" w:rsidR="002475DE" w:rsidRPr="002475DE" w:rsidRDefault="002475DE">
          <w:pPr>
            <w:pStyle w:val="TOC1"/>
            <w:tabs>
              <w:tab w:val="right" w:leader="dot" w:pos="9016"/>
            </w:tabs>
            <w:rPr>
              <w:rFonts w:ascii="Arial" w:hAnsi="Arial" w:cs="Arial"/>
              <w:noProof/>
              <w:sz w:val="24"/>
              <w:szCs w:val="24"/>
            </w:rPr>
          </w:pPr>
          <w:hyperlink w:anchor="_Toc204341396" w:history="1">
            <w:r w:rsidRPr="002475DE">
              <w:rPr>
                <w:rStyle w:val="Hyperlink"/>
                <w:rFonts w:ascii="Arial" w:hAnsi="Arial" w:cs="Arial"/>
                <w:noProof/>
                <w:sz w:val="24"/>
                <w:szCs w:val="24"/>
              </w:rPr>
              <w:t>Maintaining Capital Structure</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_Toc204341396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5</w:t>
            </w:r>
            <w:r w:rsidRPr="002475DE">
              <w:rPr>
                <w:rFonts w:ascii="Arial" w:hAnsi="Arial" w:cs="Arial"/>
                <w:noProof/>
                <w:webHidden/>
                <w:sz w:val="24"/>
                <w:szCs w:val="24"/>
              </w:rPr>
              <w:fldChar w:fldCharType="end"/>
            </w:r>
          </w:hyperlink>
        </w:p>
        <w:p w14:paraId="4DCF857E" w14:textId="4240F992" w:rsidR="002475DE" w:rsidRPr="002475DE" w:rsidRDefault="002475DE">
          <w:pPr>
            <w:pStyle w:val="TOC1"/>
            <w:tabs>
              <w:tab w:val="right" w:leader="dot" w:pos="9016"/>
            </w:tabs>
            <w:rPr>
              <w:rFonts w:ascii="Arial" w:hAnsi="Arial" w:cs="Arial"/>
              <w:noProof/>
              <w:sz w:val="24"/>
              <w:szCs w:val="24"/>
            </w:rPr>
          </w:pPr>
          <w:hyperlink w:anchor="_Toc204341397" w:history="1">
            <w:r w:rsidRPr="002475DE">
              <w:rPr>
                <w:rStyle w:val="Hyperlink"/>
                <w:rFonts w:ascii="Arial" w:hAnsi="Arial" w:cs="Arial"/>
                <w:noProof/>
                <w:sz w:val="24"/>
                <w:szCs w:val="24"/>
              </w:rPr>
              <w:t>Corporate Governance &amp; CSR</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_Toc204341397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7</w:t>
            </w:r>
            <w:r w:rsidRPr="002475DE">
              <w:rPr>
                <w:rFonts w:ascii="Arial" w:hAnsi="Arial" w:cs="Arial"/>
                <w:noProof/>
                <w:webHidden/>
                <w:sz w:val="24"/>
                <w:szCs w:val="24"/>
              </w:rPr>
              <w:fldChar w:fldCharType="end"/>
            </w:r>
          </w:hyperlink>
        </w:p>
        <w:p w14:paraId="2D411142" w14:textId="609FCF29" w:rsidR="002475DE" w:rsidRPr="002475DE" w:rsidRDefault="002475DE">
          <w:pPr>
            <w:pStyle w:val="TOC1"/>
            <w:tabs>
              <w:tab w:val="right" w:leader="dot" w:pos="9016"/>
            </w:tabs>
            <w:rPr>
              <w:rFonts w:ascii="Arial" w:hAnsi="Arial" w:cs="Arial"/>
              <w:noProof/>
              <w:sz w:val="24"/>
              <w:szCs w:val="24"/>
            </w:rPr>
          </w:pPr>
          <w:hyperlink w:anchor="_Toc204341398" w:history="1">
            <w:r w:rsidRPr="002475DE">
              <w:rPr>
                <w:rStyle w:val="Hyperlink"/>
                <w:rFonts w:ascii="Arial" w:hAnsi="Arial" w:cs="Arial"/>
                <w:noProof/>
                <w:sz w:val="24"/>
                <w:szCs w:val="24"/>
              </w:rPr>
              <w:t>Director Remuneration after IPO</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_Toc204341398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8</w:t>
            </w:r>
            <w:r w:rsidRPr="002475DE">
              <w:rPr>
                <w:rFonts w:ascii="Arial" w:hAnsi="Arial" w:cs="Arial"/>
                <w:noProof/>
                <w:webHidden/>
                <w:sz w:val="24"/>
                <w:szCs w:val="24"/>
              </w:rPr>
              <w:fldChar w:fldCharType="end"/>
            </w:r>
          </w:hyperlink>
        </w:p>
        <w:p w14:paraId="343FECB1" w14:textId="104E8599" w:rsidR="002475DE" w:rsidRPr="002475DE" w:rsidRDefault="002475DE">
          <w:pPr>
            <w:pStyle w:val="TOC1"/>
            <w:tabs>
              <w:tab w:val="right" w:leader="dot" w:pos="9016"/>
            </w:tabs>
            <w:rPr>
              <w:rFonts w:ascii="Arial" w:hAnsi="Arial" w:cs="Arial"/>
              <w:noProof/>
              <w:sz w:val="24"/>
              <w:szCs w:val="24"/>
            </w:rPr>
          </w:pPr>
          <w:hyperlink w:anchor="_Toc204341399" w:history="1">
            <w:r w:rsidRPr="002475DE">
              <w:rPr>
                <w:rStyle w:val="Hyperlink"/>
                <w:rFonts w:ascii="Arial" w:hAnsi="Arial" w:cs="Arial"/>
                <w:noProof/>
                <w:sz w:val="24"/>
                <w:szCs w:val="24"/>
              </w:rPr>
              <w:t>Conclusion</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_Toc204341399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8</w:t>
            </w:r>
            <w:r w:rsidRPr="002475DE">
              <w:rPr>
                <w:rFonts w:ascii="Arial" w:hAnsi="Arial" w:cs="Arial"/>
                <w:noProof/>
                <w:webHidden/>
                <w:sz w:val="24"/>
                <w:szCs w:val="24"/>
              </w:rPr>
              <w:fldChar w:fldCharType="end"/>
            </w:r>
          </w:hyperlink>
        </w:p>
        <w:p w14:paraId="1368025E" w14:textId="416D7EBE" w:rsidR="002475DE" w:rsidRPr="002475DE" w:rsidRDefault="002475DE">
          <w:pPr>
            <w:pStyle w:val="TOC1"/>
            <w:tabs>
              <w:tab w:val="right" w:leader="dot" w:pos="9016"/>
            </w:tabs>
            <w:rPr>
              <w:rFonts w:ascii="Arial" w:hAnsi="Arial" w:cs="Arial"/>
              <w:noProof/>
              <w:sz w:val="24"/>
              <w:szCs w:val="24"/>
            </w:rPr>
          </w:pPr>
          <w:hyperlink w:anchor="_Toc204341400" w:history="1">
            <w:r w:rsidRPr="002475DE">
              <w:rPr>
                <w:rStyle w:val="Hyperlink"/>
                <w:rFonts w:ascii="Arial" w:hAnsi="Arial" w:cs="Arial"/>
                <w:noProof/>
                <w:sz w:val="24"/>
                <w:szCs w:val="24"/>
              </w:rPr>
              <w:t>References</w:t>
            </w:r>
            <w:r w:rsidRPr="002475DE">
              <w:rPr>
                <w:rFonts w:ascii="Arial" w:hAnsi="Arial" w:cs="Arial"/>
                <w:noProof/>
                <w:webHidden/>
                <w:sz w:val="24"/>
                <w:szCs w:val="24"/>
              </w:rPr>
              <w:tab/>
            </w:r>
            <w:r w:rsidRPr="002475DE">
              <w:rPr>
                <w:rFonts w:ascii="Arial" w:hAnsi="Arial" w:cs="Arial"/>
                <w:noProof/>
                <w:webHidden/>
                <w:sz w:val="24"/>
                <w:szCs w:val="24"/>
              </w:rPr>
              <w:fldChar w:fldCharType="begin"/>
            </w:r>
            <w:r w:rsidRPr="002475DE">
              <w:rPr>
                <w:rFonts w:ascii="Arial" w:hAnsi="Arial" w:cs="Arial"/>
                <w:noProof/>
                <w:webHidden/>
                <w:sz w:val="24"/>
                <w:szCs w:val="24"/>
              </w:rPr>
              <w:instrText xml:space="preserve"> PAGEREF _Toc204341400 \h </w:instrText>
            </w:r>
            <w:r w:rsidRPr="002475DE">
              <w:rPr>
                <w:rFonts w:ascii="Arial" w:hAnsi="Arial" w:cs="Arial"/>
                <w:noProof/>
                <w:webHidden/>
                <w:sz w:val="24"/>
                <w:szCs w:val="24"/>
              </w:rPr>
            </w:r>
            <w:r w:rsidRPr="002475DE">
              <w:rPr>
                <w:rFonts w:ascii="Arial" w:hAnsi="Arial" w:cs="Arial"/>
                <w:noProof/>
                <w:webHidden/>
                <w:sz w:val="24"/>
                <w:szCs w:val="24"/>
              </w:rPr>
              <w:fldChar w:fldCharType="separate"/>
            </w:r>
            <w:r w:rsidR="00F52AC0">
              <w:rPr>
                <w:rFonts w:ascii="Arial" w:hAnsi="Arial" w:cs="Arial"/>
                <w:noProof/>
                <w:webHidden/>
                <w:sz w:val="24"/>
                <w:szCs w:val="24"/>
              </w:rPr>
              <w:t>10</w:t>
            </w:r>
            <w:r w:rsidRPr="002475DE">
              <w:rPr>
                <w:rFonts w:ascii="Arial" w:hAnsi="Arial" w:cs="Arial"/>
                <w:noProof/>
                <w:webHidden/>
                <w:sz w:val="24"/>
                <w:szCs w:val="24"/>
              </w:rPr>
              <w:fldChar w:fldCharType="end"/>
            </w:r>
          </w:hyperlink>
        </w:p>
        <w:p w14:paraId="4EED56A1" w14:textId="1AD4B325" w:rsidR="002475DE" w:rsidRDefault="002475DE">
          <w:r w:rsidRPr="002475DE">
            <w:rPr>
              <w:rFonts w:ascii="Arial" w:hAnsi="Arial" w:cs="Arial"/>
              <w:b/>
              <w:bCs/>
              <w:noProof/>
              <w:sz w:val="24"/>
              <w:szCs w:val="24"/>
            </w:rPr>
            <w:fldChar w:fldCharType="end"/>
          </w:r>
        </w:p>
      </w:sdtContent>
    </w:sdt>
    <w:p w14:paraId="440265D0" w14:textId="77777777" w:rsidR="002475DE" w:rsidRDefault="002475DE" w:rsidP="002475DE">
      <w:pPr>
        <w:spacing w:line="360" w:lineRule="auto"/>
        <w:jc w:val="both"/>
        <w:rPr>
          <w:rFonts w:ascii="Arial" w:hAnsi="Arial" w:cs="Arial"/>
          <w:sz w:val="24"/>
          <w:szCs w:val="24"/>
          <w:lang w:eastAsia="en-GB"/>
        </w:rPr>
      </w:pPr>
    </w:p>
    <w:p w14:paraId="17595A74" w14:textId="77777777" w:rsidR="002475DE" w:rsidRDefault="002475DE" w:rsidP="002475DE">
      <w:pPr>
        <w:spacing w:line="360" w:lineRule="auto"/>
        <w:jc w:val="both"/>
        <w:rPr>
          <w:rFonts w:ascii="Arial" w:hAnsi="Arial" w:cs="Arial"/>
          <w:sz w:val="24"/>
          <w:szCs w:val="24"/>
          <w:lang w:eastAsia="en-GB"/>
        </w:rPr>
      </w:pPr>
    </w:p>
    <w:p w14:paraId="611CCF4C" w14:textId="77777777" w:rsidR="002475DE" w:rsidRDefault="002475DE" w:rsidP="002475DE">
      <w:pPr>
        <w:spacing w:line="360" w:lineRule="auto"/>
        <w:jc w:val="both"/>
        <w:rPr>
          <w:rFonts w:ascii="Arial" w:hAnsi="Arial" w:cs="Arial"/>
          <w:sz w:val="24"/>
          <w:szCs w:val="24"/>
          <w:lang w:eastAsia="en-GB"/>
        </w:rPr>
      </w:pPr>
    </w:p>
    <w:p w14:paraId="05BE6BAA" w14:textId="77777777" w:rsidR="002475DE" w:rsidRDefault="002475DE" w:rsidP="002475DE">
      <w:pPr>
        <w:spacing w:line="360" w:lineRule="auto"/>
        <w:jc w:val="both"/>
        <w:rPr>
          <w:rFonts w:ascii="Arial" w:hAnsi="Arial" w:cs="Arial"/>
          <w:sz w:val="24"/>
          <w:szCs w:val="24"/>
          <w:lang w:eastAsia="en-GB"/>
        </w:rPr>
      </w:pPr>
    </w:p>
    <w:p w14:paraId="0D03E3EA" w14:textId="77777777" w:rsidR="002475DE" w:rsidRDefault="002475DE" w:rsidP="002475DE">
      <w:pPr>
        <w:spacing w:line="360" w:lineRule="auto"/>
        <w:jc w:val="both"/>
        <w:rPr>
          <w:rFonts w:ascii="Arial" w:hAnsi="Arial" w:cs="Arial"/>
          <w:sz w:val="24"/>
          <w:szCs w:val="24"/>
          <w:lang w:eastAsia="en-GB"/>
        </w:rPr>
      </w:pPr>
    </w:p>
    <w:p w14:paraId="07E50253" w14:textId="77777777" w:rsidR="002475DE" w:rsidRDefault="002475DE" w:rsidP="002475DE">
      <w:pPr>
        <w:spacing w:line="360" w:lineRule="auto"/>
        <w:jc w:val="both"/>
        <w:rPr>
          <w:rFonts w:ascii="Arial" w:hAnsi="Arial" w:cs="Arial"/>
          <w:sz w:val="24"/>
          <w:szCs w:val="24"/>
          <w:lang w:eastAsia="en-GB"/>
        </w:rPr>
      </w:pPr>
    </w:p>
    <w:p w14:paraId="7109436F" w14:textId="77777777" w:rsidR="002475DE" w:rsidRDefault="002475DE" w:rsidP="002475DE">
      <w:pPr>
        <w:spacing w:line="360" w:lineRule="auto"/>
        <w:jc w:val="both"/>
        <w:rPr>
          <w:rFonts w:ascii="Arial" w:hAnsi="Arial" w:cs="Arial"/>
          <w:sz w:val="24"/>
          <w:szCs w:val="24"/>
          <w:lang w:eastAsia="en-GB"/>
        </w:rPr>
      </w:pPr>
    </w:p>
    <w:p w14:paraId="6DEA0A95" w14:textId="77777777" w:rsidR="002475DE" w:rsidRDefault="002475DE" w:rsidP="002475DE">
      <w:pPr>
        <w:spacing w:line="360" w:lineRule="auto"/>
        <w:jc w:val="both"/>
        <w:rPr>
          <w:rFonts w:ascii="Arial" w:hAnsi="Arial" w:cs="Arial"/>
          <w:sz w:val="24"/>
          <w:szCs w:val="24"/>
          <w:lang w:eastAsia="en-GB"/>
        </w:rPr>
      </w:pPr>
    </w:p>
    <w:p w14:paraId="3E85AF7D" w14:textId="77777777" w:rsidR="002475DE" w:rsidRDefault="002475DE" w:rsidP="002475DE">
      <w:pPr>
        <w:spacing w:line="360" w:lineRule="auto"/>
        <w:jc w:val="both"/>
        <w:rPr>
          <w:rFonts w:ascii="Arial" w:hAnsi="Arial" w:cs="Arial"/>
          <w:sz w:val="24"/>
          <w:szCs w:val="24"/>
          <w:lang w:eastAsia="en-GB"/>
        </w:rPr>
      </w:pPr>
    </w:p>
    <w:p w14:paraId="01440080" w14:textId="77777777" w:rsidR="002475DE" w:rsidRDefault="002475DE" w:rsidP="002475DE">
      <w:pPr>
        <w:spacing w:line="360" w:lineRule="auto"/>
        <w:jc w:val="both"/>
        <w:rPr>
          <w:rFonts w:ascii="Arial" w:hAnsi="Arial" w:cs="Arial"/>
          <w:sz w:val="24"/>
          <w:szCs w:val="24"/>
          <w:lang w:eastAsia="en-GB"/>
        </w:rPr>
      </w:pPr>
    </w:p>
    <w:p w14:paraId="0C9D238B" w14:textId="77777777" w:rsidR="001D4387" w:rsidRDefault="001D4387" w:rsidP="00F52AC0">
      <w:pPr>
        <w:spacing w:line="360" w:lineRule="auto"/>
        <w:jc w:val="both"/>
        <w:rPr>
          <w:rFonts w:ascii="Arial" w:hAnsi="Arial" w:cs="Arial"/>
          <w:sz w:val="24"/>
          <w:szCs w:val="24"/>
          <w:lang w:eastAsia="en-GB"/>
        </w:rPr>
      </w:pPr>
    </w:p>
    <w:p w14:paraId="06A5DEC6" w14:textId="77777777" w:rsidR="00F52AC0" w:rsidRDefault="00F52AC0" w:rsidP="00F52AC0">
      <w:pPr>
        <w:spacing w:line="360" w:lineRule="auto"/>
        <w:jc w:val="both"/>
        <w:rPr>
          <w:rFonts w:ascii="Arial" w:hAnsi="Arial" w:cs="Arial"/>
          <w:sz w:val="24"/>
          <w:szCs w:val="24"/>
          <w:lang w:eastAsia="en-GB"/>
        </w:rPr>
      </w:pPr>
    </w:p>
    <w:p w14:paraId="1199E585" w14:textId="77777777" w:rsidR="00F52AC0" w:rsidRDefault="00F52AC0" w:rsidP="00F52AC0">
      <w:pPr>
        <w:spacing w:line="360" w:lineRule="auto"/>
        <w:jc w:val="both"/>
        <w:rPr>
          <w:rFonts w:ascii="Arial" w:hAnsi="Arial" w:cs="Arial"/>
          <w:sz w:val="24"/>
          <w:szCs w:val="24"/>
          <w:lang w:eastAsia="en-GB"/>
        </w:rPr>
      </w:pPr>
    </w:p>
    <w:p w14:paraId="5D703FE0" w14:textId="77777777" w:rsidR="00F52AC0" w:rsidRDefault="00F52AC0" w:rsidP="00F52AC0">
      <w:pPr>
        <w:spacing w:line="360" w:lineRule="auto"/>
        <w:jc w:val="both"/>
        <w:rPr>
          <w:rFonts w:ascii="Arial" w:hAnsi="Arial" w:cs="Arial"/>
          <w:sz w:val="24"/>
          <w:szCs w:val="24"/>
          <w:lang w:eastAsia="en-GB"/>
        </w:rPr>
      </w:pPr>
    </w:p>
    <w:p w14:paraId="38B7C13F" w14:textId="77777777" w:rsidR="00F52AC0" w:rsidRDefault="00F52AC0" w:rsidP="00F52AC0">
      <w:pPr>
        <w:spacing w:line="360" w:lineRule="auto"/>
        <w:jc w:val="both"/>
        <w:rPr>
          <w:rFonts w:ascii="Arial" w:hAnsi="Arial" w:cs="Arial"/>
          <w:sz w:val="24"/>
          <w:szCs w:val="24"/>
          <w:lang w:eastAsia="en-GB"/>
        </w:rPr>
      </w:pPr>
    </w:p>
    <w:p w14:paraId="21779EA5" w14:textId="77777777" w:rsidR="00F52AC0" w:rsidRPr="00F52AC0" w:rsidRDefault="00F52AC0" w:rsidP="00F52AC0">
      <w:pPr>
        <w:spacing w:line="360" w:lineRule="auto"/>
        <w:jc w:val="both"/>
        <w:rPr>
          <w:rFonts w:ascii="Arial" w:hAnsi="Arial" w:cs="Arial"/>
          <w:sz w:val="24"/>
          <w:szCs w:val="24"/>
          <w:lang w:eastAsia="en-GB"/>
        </w:rPr>
      </w:pPr>
    </w:p>
    <w:p w14:paraId="7B227FC7" w14:textId="3FF75EEC" w:rsidR="001D4387" w:rsidRPr="00F52AC0" w:rsidRDefault="001D4387" w:rsidP="00F52AC0">
      <w:pPr>
        <w:pStyle w:val="EU"/>
        <w:spacing w:line="360" w:lineRule="auto"/>
        <w:rPr>
          <w:color w:val="auto"/>
        </w:rPr>
      </w:pPr>
      <w:bookmarkStart w:id="1" w:name="_Toc204341394"/>
      <w:r w:rsidRPr="00F52AC0">
        <w:rPr>
          <w:color w:val="auto"/>
        </w:rPr>
        <w:t>Introduction</w:t>
      </w:r>
      <w:bookmarkEnd w:id="1"/>
    </w:p>
    <w:p w14:paraId="3C940FDF" w14:textId="6024C821"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 xml:space="preserve">A private oil firm with a strong family business culture and sound financial standing in 2022 is E-Energy Limited.  In addition to considering a sizable fresh investment (£110 million in non-current assets), the Board is also looking into the possibility of selling the company to outside investors through an initial public offering.  These changes bring up significant issues with company governance and financial management.  As requested by the Board, this report offers a thorough analysis broken down into four main areas:  (A) the anticipated asset increase's effect on capital structure, the existing equity value and balance sheet position of non-current assets and liabilities; (C) how corporate governance and CSR principles would evaluate the proposed 45% workforce reduction, </w:t>
      </w:r>
      <w:r w:rsidR="002475DE" w:rsidRPr="00F52AC0">
        <w:rPr>
          <w:rFonts w:ascii="Arial" w:hAnsi="Arial" w:cs="Arial"/>
          <w:sz w:val="24"/>
          <w:szCs w:val="24"/>
          <w:lang w:eastAsia="en-GB"/>
        </w:rPr>
        <w:t xml:space="preserve">and </w:t>
      </w:r>
      <w:r w:rsidRPr="00F52AC0">
        <w:rPr>
          <w:rFonts w:ascii="Arial" w:hAnsi="Arial" w:cs="Arial"/>
          <w:sz w:val="24"/>
          <w:szCs w:val="24"/>
          <w:lang w:eastAsia="en-GB"/>
        </w:rPr>
        <w:t>recommendations for equitably structuring directors' compensation in the event of an IPO, including governance mechanisms to ensure responsible compensation.</w:t>
      </w:r>
    </w:p>
    <w:p w14:paraId="3726F12B" w14:textId="195291E5" w:rsidR="00F22719" w:rsidRPr="00F52AC0" w:rsidRDefault="00F22719" w:rsidP="00F52AC0">
      <w:pPr>
        <w:pStyle w:val="EU"/>
        <w:spacing w:line="360" w:lineRule="auto"/>
        <w:rPr>
          <w:color w:val="auto"/>
        </w:rPr>
      </w:pPr>
      <w:bookmarkStart w:id="2" w:name="_Toc204341395"/>
      <w:r w:rsidRPr="00F52AC0">
        <w:rPr>
          <w:color w:val="auto"/>
        </w:rPr>
        <w:t>Discussion of Findings</w:t>
      </w:r>
      <w:bookmarkEnd w:id="2"/>
    </w:p>
    <w:p w14:paraId="3C0FFCF7" w14:textId="2723BC45" w:rsidR="00F22719" w:rsidRPr="00F22719" w:rsidRDefault="00F22719" w:rsidP="00F52AC0">
      <w:pPr>
        <w:spacing w:line="360" w:lineRule="auto"/>
        <w:jc w:val="both"/>
        <w:rPr>
          <w:rFonts w:ascii="Arial" w:hAnsi="Arial" w:cs="Arial"/>
          <w:sz w:val="24"/>
          <w:szCs w:val="24"/>
          <w:lang w:eastAsia="en-GB"/>
        </w:rPr>
      </w:pPr>
      <w:r w:rsidRPr="00F22719">
        <w:rPr>
          <w:rFonts w:ascii="Arial" w:hAnsi="Arial" w:cs="Arial"/>
          <w:sz w:val="24"/>
          <w:szCs w:val="24"/>
          <w:lang w:eastAsia="en-GB"/>
        </w:rPr>
        <w:t>Owners' equity, as defined in financial accounting, is the remaining stake in the business's assets following the deduction of all liabilities. The basic balance sheet equation is as follows: Liabilities minus assets equals equity</w:t>
      </w:r>
      <w:r w:rsidR="00B71DBB" w:rsidRPr="00F52AC0">
        <w:rPr>
          <w:rFonts w:ascii="Arial" w:hAnsi="Arial" w:cs="Arial"/>
          <w:sz w:val="24"/>
          <w:szCs w:val="24"/>
          <w:lang w:eastAsia="en-GB"/>
        </w:rPr>
        <w:t xml:space="preserve"> (</w:t>
      </w:r>
      <w:proofErr w:type="spellStart"/>
      <w:r w:rsidR="00B71DBB" w:rsidRPr="00F52AC0">
        <w:rPr>
          <w:rFonts w:ascii="Arial" w:hAnsi="Arial" w:cs="Arial"/>
          <w:sz w:val="24"/>
          <w:szCs w:val="24"/>
          <w:lang w:eastAsia="en-GB"/>
        </w:rPr>
        <w:t>Otaka</w:t>
      </w:r>
      <w:proofErr w:type="spellEnd"/>
      <w:r w:rsidR="00B71DBB" w:rsidRPr="00F52AC0">
        <w:rPr>
          <w:rFonts w:ascii="Arial" w:hAnsi="Arial" w:cs="Arial"/>
          <w:sz w:val="24"/>
          <w:szCs w:val="24"/>
          <w:lang w:eastAsia="en-GB"/>
        </w:rPr>
        <w:t>, 2024).</w:t>
      </w:r>
      <w:r w:rsidRPr="00F22719">
        <w:rPr>
          <w:rFonts w:ascii="Arial" w:hAnsi="Arial" w:cs="Arial"/>
          <w:sz w:val="24"/>
          <w:szCs w:val="24"/>
          <w:lang w:eastAsia="en-GB"/>
        </w:rPr>
        <w:t xml:space="preserve"> Extracts from E-Energy's 2022 financial statement show that the company has £1,500 million in total assets and £1,255 million in total liabilities. </w:t>
      </w:r>
    </w:p>
    <w:p w14:paraId="7ADC3CFA" w14:textId="243F110A" w:rsidR="00C20240"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Equity=£1,500m (assets)−£1,255m (liabilities)=£245 million.</w:t>
      </w:r>
    </w:p>
    <w:p w14:paraId="1E31ED80" w14:textId="7AB55A41"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 xml:space="preserve">The book value of the shareholders' equity in 2022 is represented by this £245 million.  It displays the net assets and financial health of the business as of that date.  Since equity is positive, E-Energy's assets easily outweigh its liabilities, demonstrating balance sheet solvency.  According to </w:t>
      </w:r>
      <w:proofErr w:type="spellStart"/>
      <w:r w:rsidR="00B71DBB" w:rsidRPr="00F52AC0">
        <w:rPr>
          <w:rFonts w:ascii="Arial" w:hAnsi="Arial" w:cs="Arial"/>
          <w:sz w:val="24"/>
          <w:szCs w:val="24"/>
          <w:lang w:eastAsia="en-GB"/>
        </w:rPr>
        <w:t>Horngreen</w:t>
      </w:r>
      <w:proofErr w:type="spellEnd"/>
      <w:r w:rsidR="00B71DBB" w:rsidRPr="00F52AC0">
        <w:rPr>
          <w:rFonts w:ascii="Arial" w:hAnsi="Arial" w:cs="Arial"/>
          <w:sz w:val="24"/>
          <w:szCs w:val="24"/>
          <w:lang w:eastAsia="en-GB"/>
        </w:rPr>
        <w:t xml:space="preserve"> et al (2012)</w:t>
      </w:r>
      <w:r w:rsidRPr="00F52AC0">
        <w:rPr>
          <w:rFonts w:ascii="Arial" w:hAnsi="Arial" w:cs="Arial"/>
          <w:sz w:val="24"/>
          <w:szCs w:val="24"/>
          <w:lang w:eastAsia="en-GB"/>
        </w:rPr>
        <w:t xml:space="preserve"> "equity is the residual interest in the entity's assets after deducting all its liabilities." Therefore, £245 million represents the owners' residual worth.</w:t>
      </w:r>
    </w:p>
    <w:p w14:paraId="1DB607EB" w14:textId="41FCC786" w:rsidR="00F22719" w:rsidRPr="00F22719" w:rsidRDefault="00F22719" w:rsidP="00F52AC0">
      <w:pPr>
        <w:spacing w:line="360" w:lineRule="auto"/>
        <w:jc w:val="both"/>
        <w:rPr>
          <w:rFonts w:ascii="Arial" w:hAnsi="Arial" w:cs="Arial"/>
          <w:sz w:val="24"/>
          <w:szCs w:val="24"/>
          <w:lang w:eastAsia="en-GB"/>
        </w:rPr>
      </w:pPr>
      <w:r w:rsidRPr="00F22719">
        <w:rPr>
          <w:rFonts w:ascii="Arial" w:hAnsi="Arial" w:cs="Arial"/>
          <w:sz w:val="24"/>
          <w:szCs w:val="24"/>
          <w:lang w:eastAsia="en-GB"/>
        </w:rPr>
        <w:t>A condensed balance sheet extract of E-Energy's non-current assets and non-current liabilities, together with the equity calculation, is shown in Table 1 below. Although they are not stated in the scenario</w:t>
      </w:r>
      <w:r w:rsidRPr="00F52AC0">
        <w:rPr>
          <w:rFonts w:ascii="Arial" w:hAnsi="Arial" w:cs="Arial"/>
          <w:sz w:val="24"/>
          <w:szCs w:val="24"/>
          <w:lang w:eastAsia="en-GB"/>
        </w:rPr>
        <w:t xml:space="preserve">, </w:t>
      </w:r>
      <w:r w:rsidRPr="00F22719">
        <w:rPr>
          <w:rFonts w:ascii="Arial" w:hAnsi="Arial" w:cs="Arial"/>
          <w:sz w:val="24"/>
          <w:szCs w:val="24"/>
          <w:lang w:eastAsia="en-GB"/>
        </w:rPr>
        <w:t>non-current (long-term) assets can be calculated as the difference between total and current assets. Likewise, the discrepancy between total and current obligations is known as non-current liabilities</w:t>
      </w:r>
      <w:r w:rsidR="00B71DBB" w:rsidRPr="00F52AC0">
        <w:rPr>
          <w:rFonts w:ascii="Arial" w:hAnsi="Arial" w:cs="Arial"/>
          <w:sz w:val="24"/>
          <w:szCs w:val="24"/>
          <w:lang w:eastAsia="en-GB"/>
        </w:rPr>
        <w:t xml:space="preserve"> (Petty et al., 2015).</w:t>
      </w:r>
    </w:p>
    <w:tbl>
      <w:tblPr>
        <w:tblStyle w:val="TableGrid"/>
        <w:tblW w:w="0" w:type="auto"/>
        <w:tblLook w:val="04A0" w:firstRow="1" w:lastRow="0" w:firstColumn="1" w:lastColumn="0" w:noHBand="0" w:noVBand="1"/>
      </w:tblPr>
      <w:tblGrid>
        <w:gridCol w:w="4508"/>
        <w:gridCol w:w="1583"/>
      </w:tblGrid>
      <w:tr w:rsidR="00F52AC0" w:rsidRPr="00F52AC0" w14:paraId="67206241" w14:textId="77777777" w:rsidTr="00F22719">
        <w:tc>
          <w:tcPr>
            <w:tcW w:w="4508" w:type="dxa"/>
          </w:tcPr>
          <w:p w14:paraId="7B9EACB3" w14:textId="381C0B2F" w:rsidR="00F22719" w:rsidRPr="00F52AC0" w:rsidRDefault="00F22719" w:rsidP="00F52AC0">
            <w:pPr>
              <w:spacing w:line="360" w:lineRule="auto"/>
              <w:jc w:val="both"/>
              <w:rPr>
                <w:rFonts w:ascii="Arial" w:hAnsi="Arial" w:cs="Arial"/>
                <w:b/>
                <w:bCs/>
                <w:sz w:val="24"/>
                <w:szCs w:val="24"/>
                <w:lang w:eastAsia="en-GB"/>
              </w:rPr>
            </w:pPr>
            <w:r w:rsidRPr="00F52AC0">
              <w:rPr>
                <w:rFonts w:ascii="Arial" w:hAnsi="Arial" w:cs="Arial"/>
                <w:b/>
                <w:bCs/>
                <w:sz w:val="24"/>
                <w:szCs w:val="24"/>
              </w:rPr>
              <w:t>Balance Sheet Extract (2022)</w:t>
            </w:r>
          </w:p>
        </w:tc>
        <w:tc>
          <w:tcPr>
            <w:tcW w:w="1583" w:type="dxa"/>
          </w:tcPr>
          <w:p w14:paraId="11543921" w14:textId="26E5D9E0" w:rsidR="00F22719" w:rsidRPr="00F52AC0" w:rsidRDefault="00F22719" w:rsidP="00F52AC0">
            <w:pPr>
              <w:spacing w:line="360" w:lineRule="auto"/>
              <w:jc w:val="both"/>
              <w:rPr>
                <w:rFonts w:ascii="Arial" w:hAnsi="Arial" w:cs="Arial"/>
                <w:b/>
                <w:bCs/>
                <w:sz w:val="24"/>
                <w:szCs w:val="24"/>
                <w:lang w:eastAsia="en-GB"/>
              </w:rPr>
            </w:pPr>
            <w:r w:rsidRPr="00F52AC0">
              <w:rPr>
                <w:rFonts w:ascii="Arial" w:hAnsi="Arial" w:cs="Arial"/>
                <w:b/>
                <w:bCs/>
                <w:sz w:val="24"/>
                <w:szCs w:val="24"/>
              </w:rPr>
              <w:t>£ million</w:t>
            </w:r>
          </w:p>
        </w:tc>
      </w:tr>
      <w:tr w:rsidR="00F52AC0" w:rsidRPr="00F52AC0" w14:paraId="1B918D04" w14:textId="77777777" w:rsidTr="00F22719">
        <w:tc>
          <w:tcPr>
            <w:tcW w:w="4508" w:type="dxa"/>
          </w:tcPr>
          <w:p w14:paraId="60664B73" w14:textId="5AE42B02"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Non-current assets</w:t>
            </w:r>
          </w:p>
        </w:tc>
        <w:tc>
          <w:tcPr>
            <w:tcW w:w="1583" w:type="dxa"/>
          </w:tcPr>
          <w:p w14:paraId="4F6973F0" w14:textId="7E52D440"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880</w:t>
            </w:r>
          </w:p>
        </w:tc>
      </w:tr>
      <w:tr w:rsidR="00F52AC0" w:rsidRPr="00F52AC0" w14:paraId="5BBD9DEE" w14:textId="77777777" w:rsidTr="00F22719">
        <w:tc>
          <w:tcPr>
            <w:tcW w:w="4508" w:type="dxa"/>
          </w:tcPr>
          <w:p w14:paraId="39DB893A" w14:textId="4AA58400"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Current assets</w:t>
            </w:r>
          </w:p>
        </w:tc>
        <w:tc>
          <w:tcPr>
            <w:tcW w:w="1583" w:type="dxa"/>
          </w:tcPr>
          <w:p w14:paraId="362C4772" w14:textId="4AC5CB71"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620</w:t>
            </w:r>
          </w:p>
        </w:tc>
      </w:tr>
      <w:tr w:rsidR="00F52AC0" w:rsidRPr="00F52AC0" w14:paraId="0B493A3A" w14:textId="77777777" w:rsidTr="00F22719">
        <w:tc>
          <w:tcPr>
            <w:tcW w:w="4508" w:type="dxa"/>
          </w:tcPr>
          <w:p w14:paraId="1460922C" w14:textId="211A86EB"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Total assets</w:t>
            </w:r>
          </w:p>
        </w:tc>
        <w:tc>
          <w:tcPr>
            <w:tcW w:w="1583" w:type="dxa"/>
          </w:tcPr>
          <w:p w14:paraId="57D46C3D" w14:textId="11B6A92F"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1,500</w:t>
            </w:r>
          </w:p>
        </w:tc>
      </w:tr>
      <w:tr w:rsidR="00F52AC0" w:rsidRPr="00F52AC0" w14:paraId="1BD04E36" w14:textId="77777777" w:rsidTr="00F22719">
        <w:tc>
          <w:tcPr>
            <w:tcW w:w="4508" w:type="dxa"/>
          </w:tcPr>
          <w:p w14:paraId="134B8349" w14:textId="27853250"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Equity (Assets – Liabilities)</w:t>
            </w:r>
          </w:p>
        </w:tc>
        <w:tc>
          <w:tcPr>
            <w:tcW w:w="1583" w:type="dxa"/>
          </w:tcPr>
          <w:p w14:paraId="52F8548C" w14:textId="3BE7F06B"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245</w:t>
            </w:r>
          </w:p>
        </w:tc>
      </w:tr>
      <w:tr w:rsidR="00F52AC0" w:rsidRPr="00F52AC0" w14:paraId="5857F2B5" w14:textId="77777777" w:rsidTr="00F22719">
        <w:tc>
          <w:tcPr>
            <w:tcW w:w="4508" w:type="dxa"/>
          </w:tcPr>
          <w:p w14:paraId="21552ECF" w14:textId="4BFF0C0B"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Non-current liabilities</w:t>
            </w:r>
          </w:p>
        </w:tc>
        <w:tc>
          <w:tcPr>
            <w:tcW w:w="1583" w:type="dxa"/>
          </w:tcPr>
          <w:p w14:paraId="5BF16FB9" w14:textId="127DCD4D"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915</w:t>
            </w:r>
          </w:p>
        </w:tc>
      </w:tr>
      <w:tr w:rsidR="00F52AC0" w:rsidRPr="00F52AC0" w14:paraId="40794701" w14:textId="77777777" w:rsidTr="00F22719">
        <w:tc>
          <w:tcPr>
            <w:tcW w:w="4508" w:type="dxa"/>
          </w:tcPr>
          <w:p w14:paraId="1413CBCD" w14:textId="7F39CB80"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Current liabilities</w:t>
            </w:r>
          </w:p>
        </w:tc>
        <w:tc>
          <w:tcPr>
            <w:tcW w:w="1583" w:type="dxa"/>
          </w:tcPr>
          <w:p w14:paraId="567E25B4" w14:textId="6740E71B"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340</w:t>
            </w:r>
          </w:p>
        </w:tc>
      </w:tr>
      <w:tr w:rsidR="00F52AC0" w:rsidRPr="00F52AC0" w14:paraId="387CE865" w14:textId="77777777" w:rsidTr="00F22719">
        <w:tc>
          <w:tcPr>
            <w:tcW w:w="4508" w:type="dxa"/>
          </w:tcPr>
          <w:p w14:paraId="6756E94D" w14:textId="3FEEEF85"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Total liabilities</w:t>
            </w:r>
          </w:p>
        </w:tc>
        <w:tc>
          <w:tcPr>
            <w:tcW w:w="1583" w:type="dxa"/>
          </w:tcPr>
          <w:p w14:paraId="0C411986" w14:textId="4C678CB2"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rPr>
              <w:t>1,255</w:t>
            </w:r>
          </w:p>
        </w:tc>
      </w:tr>
    </w:tbl>
    <w:p w14:paraId="225D0CC9" w14:textId="38AEF0F6"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Table 1: Simplified Balance Sheet Extract for E-Energy Limited (2022).</w:t>
      </w:r>
    </w:p>
    <w:p w14:paraId="10EC38A2" w14:textId="5366F3CD"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According to the extract, E-Energy's capital structure at the end of 2022 included current assets and liabilities, which deal with short-term working capital, as well as £880 million in long-term assets financed by a combination of £915 million in long-term liabilities and £245 million in equity.  Given that the company's total liabilities (£1,255m) are around 5.12 times its equity (£245m), this suggests a rather high level of leverage.  A debt-to-equity ratio, also known as the total liabilities-to-equity ratio, indicates a substantial reliance on debt financing</w:t>
      </w:r>
      <w:r w:rsidR="00B71DBB" w:rsidRPr="00F52AC0">
        <w:rPr>
          <w:rFonts w:ascii="Arial" w:hAnsi="Arial" w:cs="Arial"/>
          <w:sz w:val="24"/>
          <w:szCs w:val="24"/>
          <w:lang w:eastAsia="en-GB"/>
        </w:rPr>
        <w:t xml:space="preserve"> (Petty et al., 2015)</w:t>
      </w:r>
      <w:r w:rsidRPr="00F52AC0">
        <w:rPr>
          <w:rFonts w:ascii="Arial" w:hAnsi="Arial" w:cs="Arial"/>
          <w:sz w:val="24"/>
          <w:szCs w:val="24"/>
          <w:lang w:eastAsia="en-GB"/>
        </w:rPr>
        <w:t>.  High leverage presents solvency and risk issues even if it can boost return on equity during prosperous times.  However, non-current assets are primarily financed by long-term capital (debt and equity), which is appropriate from the standpoint of the matching principle, and current equity is robustly positive</w:t>
      </w:r>
      <w:r w:rsidR="00B71DBB" w:rsidRPr="00F52AC0">
        <w:rPr>
          <w:rFonts w:ascii="Arial" w:hAnsi="Arial" w:cs="Arial"/>
          <w:sz w:val="24"/>
          <w:szCs w:val="24"/>
          <w:lang w:eastAsia="en-GB"/>
        </w:rPr>
        <w:t xml:space="preserve"> (</w:t>
      </w:r>
      <w:proofErr w:type="spellStart"/>
      <w:r w:rsidR="00B71DBB" w:rsidRPr="00F52AC0">
        <w:rPr>
          <w:rFonts w:ascii="Arial" w:hAnsi="Arial" w:cs="Arial"/>
          <w:sz w:val="24"/>
          <w:szCs w:val="24"/>
          <w:lang w:eastAsia="en-GB"/>
        </w:rPr>
        <w:t>Attrill</w:t>
      </w:r>
      <w:proofErr w:type="spellEnd"/>
      <w:r w:rsidR="00B71DBB" w:rsidRPr="00F52AC0">
        <w:rPr>
          <w:rFonts w:ascii="Arial" w:hAnsi="Arial" w:cs="Arial"/>
          <w:sz w:val="24"/>
          <w:szCs w:val="24"/>
          <w:lang w:eastAsia="en-GB"/>
        </w:rPr>
        <w:t>, 2017).</w:t>
      </w:r>
    </w:p>
    <w:p w14:paraId="50CEE05A" w14:textId="2302A3C9" w:rsidR="00F22719" w:rsidRPr="00F52AC0" w:rsidRDefault="00F22719" w:rsidP="00F52AC0">
      <w:pPr>
        <w:pStyle w:val="EU"/>
        <w:spacing w:line="360" w:lineRule="auto"/>
        <w:rPr>
          <w:color w:val="auto"/>
        </w:rPr>
      </w:pPr>
      <w:bookmarkStart w:id="3" w:name="_Toc204341396"/>
      <w:r w:rsidRPr="00F52AC0">
        <w:rPr>
          <w:color w:val="auto"/>
        </w:rPr>
        <w:t>Maintaining Capital Structure</w:t>
      </w:r>
      <w:bookmarkEnd w:id="3"/>
    </w:p>
    <w:p w14:paraId="36D33EFB" w14:textId="0824F0E3"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The Board intends to purchase new non-current assets for £110 million.  If nothing else changes, this will increase total assets from £1,500m to £1,610m.  E-Energy must fund the new investment proportionately to its current capital structure in order to preserve the same total liabilities-to-equity ratio as before.  Stated differently, in order to maintain the leverage (financial risk profile), the funding mix between liabilities and equity should be constant with the current ratio.  One popular corporate finance tactic to keep the company's risk and cost of capital constant is to maintain a target capital structure</w:t>
      </w:r>
      <w:r w:rsidR="00B71DBB" w:rsidRPr="00F52AC0">
        <w:rPr>
          <w:rFonts w:ascii="Arial" w:hAnsi="Arial" w:cs="Arial"/>
          <w:sz w:val="24"/>
          <w:szCs w:val="24"/>
          <w:lang w:eastAsia="en-GB"/>
        </w:rPr>
        <w:t xml:space="preserve"> (Chandra, 2017). </w:t>
      </w:r>
      <w:r w:rsidRPr="00F52AC0">
        <w:rPr>
          <w:rFonts w:ascii="Arial" w:hAnsi="Arial" w:cs="Arial"/>
          <w:sz w:val="24"/>
          <w:szCs w:val="24"/>
        </w:rPr>
        <w:t xml:space="preserve"> </w:t>
      </w:r>
      <w:r w:rsidRPr="00F52AC0">
        <w:rPr>
          <w:rFonts w:ascii="Arial" w:hAnsi="Arial" w:cs="Arial"/>
          <w:sz w:val="24"/>
          <w:szCs w:val="24"/>
          <w:lang w:eastAsia="en-GB"/>
        </w:rPr>
        <w:t>Current Ratio</w:t>
      </w:r>
      <w:r w:rsidR="00B71DBB" w:rsidRPr="00F52AC0">
        <w:rPr>
          <w:rFonts w:ascii="Arial" w:hAnsi="Arial" w:cs="Arial"/>
          <w:sz w:val="24"/>
          <w:szCs w:val="24"/>
          <w:lang w:eastAsia="en-GB"/>
        </w:rPr>
        <w:t xml:space="preserve"> is</w:t>
      </w:r>
      <w:r w:rsidRPr="00F52AC0">
        <w:rPr>
          <w:rFonts w:ascii="Arial" w:hAnsi="Arial" w:cs="Arial"/>
          <w:sz w:val="24"/>
          <w:szCs w:val="24"/>
          <w:lang w:eastAsia="en-GB"/>
        </w:rPr>
        <w:t xml:space="preserve"> </w:t>
      </w:r>
      <w:r w:rsidR="00B71DBB" w:rsidRPr="00F52AC0">
        <w:rPr>
          <w:rFonts w:ascii="Arial" w:hAnsi="Arial" w:cs="Arial"/>
          <w:sz w:val="24"/>
          <w:szCs w:val="24"/>
          <w:lang w:eastAsia="en-GB"/>
        </w:rPr>
        <w:t>t</w:t>
      </w:r>
      <w:r w:rsidRPr="00F52AC0">
        <w:rPr>
          <w:rFonts w:ascii="Arial" w:hAnsi="Arial" w:cs="Arial"/>
          <w:sz w:val="24"/>
          <w:szCs w:val="24"/>
          <w:lang w:eastAsia="en-GB"/>
        </w:rPr>
        <w:t>he ratio of liabilities to equity is around 5.12 (1255/245 = 5.12) when total liabilities are £1,255m and equity is £245m.  This indicates that for every £1 in equity, the corporation now has around £5.12 in liabilities.  Any additional funds generated should be distributed appropriately between debt and equity in order to maintain this ratio following expansion.  Since the ratio 5.12:1 indicates that there should be around 5.12/(5.12+1) ≈ 0.837 of debt in the capital mix, approximately 84% of the new assets should be funded by liabilities and 16% by equity.</w:t>
      </w:r>
    </w:p>
    <w:p w14:paraId="6B9E1B84" w14:textId="07CAD74B"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0.837 × £110m = £92 million (approximately). This is the amount by which long-term liabilities should increase.</w:t>
      </w:r>
    </w:p>
    <w:p w14:paraId="642DB330" w14:textId="0BB21D2F" w:rsidR="00F22719" w:rsidRPr="00F52AC0" w:rsidRDefault="00F22719"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The remaining ~16.3% of £110m, which is about £18 million, would need to come from equity financing (for example, retained earnings or new equity injection).</w:t>
      </w:r>
    </w:p>
    <w:p w14:paraId="79BB7D7E" w14:textId="2CE631C1" w:rsidR="0020034E" w:rsidRPr="00F52AC0" w:rsidRDefault="0020034E"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Using the ratio as a guide, we compute the necessary debt (</w:t>
      </w:r>
      <w:proofErr w:type="spellStart"/>
      <w:r w:rsidRPr="00F52AC0">
        <w:rPr>
          <w:rFonts w:ascii="Arial" w:hAnsi="Arial" w:cs="Arial"/>
          <w:sz w:val="24"/>
          <w:szCs w:val="24"/>
          <w:lang w:eastAsia="en-GB"/>
        </w:rPr>
        <w:t>ΔDebt</w:t>
      </w:r>
      <w:proofErr w:type="spellEnd"/>
      <w:r w:rsidRPr="00F52AC0">
        <w:rPr>
          <w:rFonts w:ascii="Arial" w:hAnsi="Arial" w:cs="Arial"/>
          <w:sz w:val="24"/>
          <w:szCs w:val="24"/>
          <w:lang w:eastAsia="en-GB"/>
        </w:rPr>
        <w:t xml:space="preserve">) so that the new leverage ratio stays at 5.12.  Let ΔE be the necessary equity change.  With </w:t>
      </w:r>
      <w:proofErr w:type="spellStart"/>
      <w:r w:rsidRPr="00F52AC0">
        <w:rPr>
          <w:rFonts w:ascii="Arial" w:hAnsi="Arial" w:cs="Arial"/>
          <w:sz w:val="24"/>
          <w:szCs w:val="24"/>
          <w:lang w:eastAsia="en-GB"/>
        </w:rPr>
        <w:t>ΔDebt</w:t>
      </w:r>
      <w:proofErr w:type="spellEnd"/>
      <w:r w:rsidRPr="00F52AC0">
        <w:rPr>
          <w:rFonts w:ascii="Arial" w:hAnsi="Arial" w:cs="Arial"/>
          <w:sz w:val="24"/>
          <w:szCs w:val="24"/>
          <w:lang w:eastAsia="en-GB"/>
        </w:rPr>
        <w:t xml:space="preserve"> + ΔE = £110, we obtain: (Liabilities + </w:t>
      </w:r>
      <w:proofErr w:type="spellStart"/>
      <w:r w:rsidRPr="00F52AC0">
        <w:rPr>
          <w:rFonts w:ascii="Arial" w:hAnsi="Arial" w:cs="Arial"/>
          <w:sz w:val="24"/>
          <w:szCs w:val="24"/>
          <w:lang w:eastAsia="en-GB"/>
        </w:rPr>
        <w:t>ΔDebt</w:t>
      </w:r>
      <w:proofErr w:type="spellEnd"/>
      <w:r w:rsidRPr="00F52AC0">
        <w:rPr>
          <w:rFonts w:ascii="Arial" w:hAnsi="Arial" w:cs="Arial"/>
          <w:sz w:val="24"/>
          <w:szCs w:val="24"/>
          <w:lang w:eastAsia="en-GB"/>
        </w:rPr>
        <w:t xml:space="preserve">) / (Equity + ΔE) = 5.12.  When they are solved concurrently, </w:t>
      </w:r>
      <w:proofErr w:type="spellStart"/>
      <w:r w:rsidRPr="00F52AC0">
        <w:rPr>
          <w:rFonts w:ascii="Arial" w:hAnsi="Arial" w:cs="Arial"/>
          <w:sz w:val="24"/>
          <w:szCs w:val="24"/>
          <w:lang w:eastAsia="en-GB"/>
        </w:rPr>
        <w:t>ΔDebt</w:t>
      </w:r>
      <w:proofErr w:type="spellEnd"/>
      <w:r w:rsidRPr="00F52AC0">
        <w:rPr>
          <w:rFonts w:ascii="Arial" w:hAnsi="Arial" w:cs="Arial"/>
          <w:sz w:val="24"/>
          <w:szCs w:val="24"/>
          <w:lang w:eastAsia="en-GB"/>
        </w:rPr>
        <w:t xml:space="preserve"> = £92.0m and ΔE ≈ £18.0m.  E-Energy should therefore raise its long-term liabilities by about £92 million in order to maintain the same total liabilities-to-equity ratio (with the remainder of the asset funding from equity). The company's liabilities-to-equity ratio would deteriorate if it were to finance the entire £110 million with debt alone (i.e., </w:t>
      </w:r>
      <w:proofErr w:type="spellStart"/>
      <w:r w:rsidRPr="00F52AC0">
        <w:rPr>
          <w:rFonts w:ascii="Arial" w:hAnsi="Arial" w:cs="Arial"/>
          <w:sz w:val="24"/>
          <w:szCs w:val="24"/>
          <w:lang w:eastAsia="en-GB"/>
        </w:rPr>
        <w:t>ΔDebt</w:t>
      </w:r>
      <w:proofErr w:type="spellEnd"/>
      <w:r w:rsidRPr="00F52AC0">
        <w:rPr>
          <w:rFonts w:ascii="Arial" w:hAnsi="Arial" w:cs="Arial"/>
          <w:sz w:val="24"/>
          <w:szCs w:val="24"/>
          <w:lang w:eastAsia="en-GB"/>
        </w:rPr>
        <w:t xml:space="preserve"> = £110, ΔE = £0) because liabilities would increase without an increase in equity.  On the other hand, the company would be far less leveraged if all of the funding came from stock.  Maintaining the present capital structure is not in line with either extreme.  The gearing ratio remains stable by financing in the same debt-to-equity ratios as current (around 84:16).  With this approach, the company's risk profile stays the same after expansion (as seen by creditors and shareholders) </w:t>
      </w:r>
      <w:r w:rsidR="00F52AC0" w:rsidRPr="00F52AC0">
        <w:rPr>
          <w:rFonts w:ascii="Arial" w:hAnsi="Arial" w:cs="Arial"/>
          <w:sz w:val="24"/>
          <w:szCs w:val="24"/>
          <w:lang w:eastAsia="en-GB"/>
        </w:rPr>
        <w:t>(Madura et al., 2018).</w:t>
      </w:r>
      <w:r w:rsidRPr="00F52AC0">
        <w:rPr>
          <w:rFonts w:ascii="Arial" w:hAnsi="Arial" w:cs="Arial"/>
          <w:sz w:val="24"/>
          <w:szCs w:val="24"/>
          <w:lang w:eastAsia="en-GB"/>
        </w:rPr>
        <w:t>The fact that E-Energy is not unduly growing its leverage and that the ownership position of shareholders is not unduly diminished in relation to debt would be evident to creditors.</w:t>
      </w:r>
      <w:r w:rsidRPr="00F52AC0">
        <w:rPr>
          <w:rFonts w:ascii="Arial" w:hAnsi="Arial" w:cs="Arial"/>
          <w:sz w:val="24"/>
          <w:szCs w:val="24"/>
        </w:rPr>
        <w:t xml:space="preserve"> </w:t>
      </w:r>
      <w:r w:rsidRPr="00F52AC0">
        <w:rPr>
          <w:rFonts w:ascii="Arial" w:hAnsi="Arial" w:cs="Arial"/>
          <w:sz w:val="24"/>
          <w:szCs w:val="24"/>
          <w:lang w:eastAsia="en-GB"/>
        </w:rPr>
        <w:t>E-Energy may do this in practice by combining debt (such a new long-term loan or bond issue of around £92 million) with internal funds or new equity (about £18 million, either from retained earnings or issuing a modest number of new shares, if available).  Because it influences the company's cost of capital and financial flexibility, maintaining the ideal capital structure is essential.  The firm conveys consistency in its financial strategy with a steady liabilities-to-equity ratio, which can boost investor trust, particularly in the run-up to an initial public offering</w:t>
      </w:r>
      <w:r w:rsidR="00F52AC0" w:rsidRPr="00F52AC0">
        <w:rPr>
          <w:rFonts w:ascii="Arial" w:hAnsi="Arial" w:cs="Arial"/>
          <w:sz w:val="24"/>
          <w:szCs w:val="24"/>
          <w:lang w:eastAsia="en-GB"/>
        </w:rPr>
        <w:t xml:space="preserve"> (Brigham, 2016).</w:t>
      </w:r>
    </w:p>
    <w:p w14:paraId="5EB540BA" w14:textId="62004F0B" w:rsidR="0020034E" w:rsidRPr="00F52AC0" w:rsidRDefault="0020034E" w:rsidP="00F52AC0">
      <w:pPr>
        <w:pStyle w:val="EU"/>
        <w:spacing w:line="360" w:lineRule="auto"/>
        <w:rPr>
          <w:color w:val="auto"/>
        </w:rPr>
      </w:pPr>
      <w:bookmarkStart w:id="4" w:name="_Toc204341397"/>
      <w:r w:rsidRPr="00F52AC0">
        <w:rPr>
          <w:color w:val="auto"/>
        </w:rPr>
        <w:t>Corporate Governance &amp; CSR</w:t>
      </w:r>
      <w:bookmarkEnd w:id="4"/>
    </w:p>
    <w:p w14:paraId="7899EDB5" w14:textId="354D4026" w:rsidR="0020034E" w:rsidRPr="00F52AC0" w:rsidRDefault="0020034E"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According to early signs, in order to maximise the company's worth, new external investors may try to reduce E-Energy's staff by as much as 45%.  The personnel has been cut in half, which is quite concerning from the standpoints of corporate governance and corporate social responsibility (CSR).  Using stakeholder theory, governance principles, and actual instances of the effects of mass layoffs, this section makes the case against the proposed 45% layoff.</w:t>
      </w:r>
      <w:r w:rsidRPr="00F52AC0">
        <w:rPr>
          <w:rFonts w:ascii="Arial" w:hAnsi="Arial" w:cs="Arial"/>
          <w:sz w:val="24"/>
          <w:szCs w:val="24"/>
        </w:rPr>
        <w:t xml:space="preserve"> </w:t>
      </w:r>
      <w:r w:rsidRPr="00F52AC0">
        <w:rPr>
          <w:rFonts w:ascii="Arial" w:hAnsi="Arial" w:cs="Arial"/>
          <w:sz w:val="24"/>
          <w:szCs w:val="24"/>
          <w:lang w:eastAsia="en-GB"/>
        </w:rPr>
        <w:t>Duties of Directors to Employees: In the UK, directors of companies are required by law to take employees' interests into account</w:t>
      </w:r>
      <w:r w:rsidR="00F52AC0" w:rsidRPr="00F52AC0">
        <w:rPr>
          <w:rFonts w:ascii="Arial" w:hAnsi="Arial" w:cs="Arial"/>
          <w:sz w:val="24"/>
          <w:szCs w:val="24"/>
          <w:lang w:eastAsia="en-GB"/>
        </w:rPr>
        <w:t xml:space="preserve"> (</w:t>
      </w:r>
      <w:proofErr w:type="spellStart"/>
      <w:r w:rsidR="00F52AC0" w:rsidRPr="00F52AC0">
        <w:rPr>
          <w:rFonts w:ascii="Arial" w:hAnsi="Arial" w:cs="Arial"/>
          <w:sz w:val="24"/>
          <w:szCs w:val="24"/>
          <w:lang w:eastAsia="en-GB"/>
        </w:rPr>
        <w:t>Atrill</w:t>
      </w:r>
      <w:proofErr w:type="spellEnd"/>
      <w:r w:rsidR="00F52AC0" w:rsidRPr="00F52AC0">
        <w:rPr>
          <w:rFonts w:ascii="Arial" w:hAnsi="Arial" w:cs="Arial"/>
          <w:sz w:val="24"/>
          <w:szCs w:val="24"/>
          <w:lang w:eastAsia="en-GB"/>
        </w:rPr>
        <w:t>, 2017).</w:t>
      </w:r>
      <w:r w:rsidRPr="00F52AC0">
        <w:rPr>
          <w:rFonts w:ascii="Arial" w:hAnsi="Arial" w:cs="Arial"/>
          <w:sz w:val="24"/>
          <w:szCs w:val="24"/>
          <w:lang w:eastAsia="en-GB"/>
        </w:rPr>
        <w:t xml:space="preserve"> The concept of "enlightened shareholder value" is codified in Section 172 of the Companies Act 2006, which mandates that directors act in a way that advances the company's success for the benefit of all members (shareholders) and take into consideration, among other things, "the interests of the company's employees." Good corporate governance includes treating all stakeholders fairly, including the workforce, and goes beyond simply increasing short-term shareholder gains</w:t>
      </w:r>
      <w:r w:rsidR="00F52AC0" w:rsidRPr="00F52AC0">
        <w:rPr>
          <w:rFonts w:ascii="Arial" w:hAnsi="Arial" w:cs="Arial"/>
          <w:sz w:val="24"/>
          <w:szCs w:val="24"/>
          <w:lang w:eastAsia="en-GB"/>
        </w:rPr>
        <w:t xml:space="preserve"> (Brigham, 2016)</w:t>
      </w:r>
      <w:r w:rsidRPr="00F52AC0">
        <w:rPr>
          <w:rFonts w:ascii="Arial" w:hAnsi="Arial" w:cs="Arial"/>
          <w:sz w:val="24"/>
          <w:szCs w:val="24"/>
          <w:lang w:eastAsia="en-GB"/>
        </w:rPr>
        <w:t>.</w:t>
      </w:r>
      <w:r w:rsidRPr="00F52AC0">
        <w:rPr>
          <w:rFonts w:ascii="Arial" w:hAnsi="Arial" w:cs="Arial"/>
          <w:sz w:val="24"/>
          <w:szCs w:val="24"/>
        </w:rPr>
        <w:t xml:space="preserve"> </w:t>
      </w:r>
      <w:r w:rsidRPr="00F52AC0">
        <w:rPr>
          <w:rFonts w:ascii="Arial" w:hAnsi="Arial" w:cs="Arial"/>
          <w:sz w:val="24"/>
          <w:szCs w:val="24"/>
          <w:lang w:eastAsia="en-GB"/>
        </w:rPr>
        <w:t>This obligation would probably be violated by a 45% workforce reduction as it shows a lack of concern for worker welfare and the long-term effects on the company's human capital.  Boards are supposed to strike a compromise between the efficiency demands of shareholders and the requirement to retain a devoted, involved staff that supports long-term success blogs.law.ox.ac.uk.  Such a drastic reduction in the workforce could violate the spirit of Section 172 by putting short-term financial benefit ahead of the interests of long-term business viability and employees.</w:t>
      </w:r>
      <w:r w:rsidRPr="00F52AC0">
        <w:rPr>
          <w:rFonts w:ascii="Arial" w:hAnsi="Arial" w:cs="Arial"/>
          <w:sz w:val="24"/>
          <w:szCs w:val="24"/>
        </w:rPr>
        <w:t xml:space="preserve"> </w:t>
      </w:r>
      <w:r w:rsidRPr="00F52AC0">
        <w:rPr>
          <w:rFonts w:ascii="Arial" w:hAnsi="Arial" w:cs="Arial"/>
          <w:sz w:val="24"/>
          <w:szCs w:val="24"/>
          <w:lang w:eastAsia="en-GB"/>
        </w:rPr>
        <w:t xml:space="preserve">Stakeholder Impact and Corporate Social Responsibility: According to CSR and stakeholder theory, employees are important stakeholders in the company and are essential to its ability to create value and maintain its social license to operate </w:t>
      </w:r>
      <w:r w:rsidR="00F52AC0" w:rsidRPr="00F52AC0">
        <w:rPr>
          <w:rFonts w:ascii="Arial" w:hAnsi="Arial" w:cs="Arial"/>
          <w:sz w:val="24"/>
          <w:szCs w:val="24"/>
          <w:lang w:eastAsia="en-GB"/>
        </w:rPr>
        <w:t>(Block et al., 2018).</w:t>
      </w:r>
      <w:r w:rsidRPr="00F52AC0">
        <w:rPr>
          <w:rFonts w:ascii="Arial" w:hAnsi="Arial" w:cs="Arial"/>
          <w:sz w:val="24"/>
          <w:szCs w:val="24"/>
          <w:lang w:eastAsia="en-GB"/>
        </w:rPr>
        <w:t xml:space="preserve">  Since it promotes trust, morale, and productivity, treating employees fairly is a fundamental part of corporate social responsibility.  A 45% layoff would be viewed as taking advantage of workers as a "quick fix" to increase financial metrics, which is against this ideal.  Mass layoffs have been repeatedly demonstrated to have a negative impact on employee and business performance.</w:t>
      </w:r>
      <w:r w:rsidRPr="00F52AC0">
        <w:rPr>
          <w:rFonts w:ascii="Arial" w:eastAsia="Times New Roman" w:hAnsi="Arial" w:cs="Arial"/>
          <w:kern w:val="0"/>
          <w:sz w:val="24"/>
          <w:szCs w:val="24"/>
          <w:lang w:eastAsia="en-GB"/>
          <w14:ligatures w14:val="none"/>
        </w:rPr>
        <w:t xml:space="preserve"> </w:t>
      </w:r>
      <w:r w:rsidRPr="00F52AC0">
        <w:rPr>
          <w:rFonts w:ascii="Arial" w:hAnsi="Arial" w:cs="Arial"/>
          <w:sz w:val="24"/>
          <w:szCs w:val="24"/>
          <w:lang w:eastAsia="en-GB"/>
        </w:rPr>
        <w:t>Payroll expenses may decrease in the near future, but the business may also face major restructuring expenses (severance benefits, etc.) and operational interruption. Layoffs frequently cause more harm than good in the long run because they undermine employee loyalty and morale, diminish organisational knowledge, and hinder creativity and productivity.</w:t>
      </w:r>
      <w:r w:rsidRPr="00F52AC0">
        <w:rPr>
          <w:rFonts w:ascii="Arial" w:hAnsi="Arial" w:cs="Arial"/>
          <w:sz w:val="24"/>
          <w:szCs w:val="24"/>
        </w:rPr>
        <w:t xml:space="preserve"> </w:t>
      </w:r>
      <w:r w:rsidRPr="00F52AC0">
        <w:rPr>
          <w:rFonts w:ascii="Arial" w:hAnsi="Arial" w:cs="Arial"/>
          <w:sz w:val="24"/>
          <w:szCs w:val="24"/>
          <w:lang w:eastAsia="en-GB"/>
        </w:rPr>
        <w:t xml:space="preserve">According to </w:t>
      </w:r>
      <w:proofErr w:type="spellStart"/>
      <w:r w:rsidR="00F52AC0" w:rsidRPr="00F52AC0">
        <w:rPr>
          <w:rFonts w:ascii="Arial" w:hAnsi="Arial" w:cs="Arial"/>
          <w:sz w:val="24"/>
          <w:szCs w:val="24"/>
          <w:lang w:eastAsia="en-GB"/>
        </w:rPr>
        <w:t>Atrill</w:t>
      </w:r>
      <w:proofErr w:type="spellEnd"/>
      <w:r w:rsidR="00F52AC0" w:rsidRPr="00F52AC0">
        <w:rPr>
          <w:rFonts w:ascii="Arial" w:hAnsi="Arial" w:cs="Arial"/>
          <w:sz w:val="24"/>
          <w:szCs w:val="24"/>
          <w:lang w:eastAsia="en-GB"/>
        </w:rPr>
        <w:t xml:space="preserve"> (2017)</w:t>
      </w:r>
      <w:r w:rsidRPr="00F52AC0">
        <w:rPr>
          <w:rFonts w:ascii="Arial" w:hAnsi="Arial" w:cs="Arial"/>
          <w:sz w:val="24"/>
          <w:szCs w:val="24"/>
          <w:lang w:eastAsia="en-GB"/>
        </w:rPr>
        <w:t xml:space="preserve">, surviving employees frequently suffer from "survivor syndrome," which manifests as poor morale, elevated stress, mistrust of management, and risk aversion.  Top talent might be lost if they disconnect or begin looking for other work.  </w:t>
      </w:r>
    </w:p>
    <w:p w14:paraId="731D6FE5" w14:textId="0F24A1B2" w:rsidR="002475DE" w:rsidRPr="00F52AC0" w:rsidRDefault="002475DE" w:rsidP="00F52AC0">
      <w:pPr>
        <w:pStyle w:val="EU"/>
        <w:spacing w:line="360" w:lineRule="auto"/>
        <w:rPr>
          <w:color w:val="auto"/>
        </w:rPr>
      </w:pPr>
      <w:bookmarkStart w:id="5" w:name="_Toc204341398"/>
      <w:r w:rsidRPr="00F52AC0">
        <w:rPr>
          <w:color w:val="auto"/>
        </w:rPr>
        <w:t>Director Remuneration after IPO</w:t>
      </w:r>
      <w:bookmarkEnd w:id="5"/>
    </w:p>
    <w:p w14:paraId="54E4E9EC" w14:textId="11F1C2D3" w:rsidR="0020034E" w:rsidRPr="00F52AC0" w:rsidRDefault="002475DE"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According to agency theory, managers and owners are aligned when they receive performance-contingent pay. However, if managerial power is not controlled, it can inflate rewards</w:t>
      </w:r>
      <w:r w:rsidR="00F52AC0" w:rsidRPr="00F52AC0">
        <w:rPr>
          <w:rFonts w:ascii="Arial" w:hAnsi="Arial" w:cs="Arial"/>
          <w:sz w:val="24"/>
          <w:szCs w:val="24"/>
          <w:lang w:eastAsia="en-GB"/>
        </w:rPr>
        <w:t xml:space="preserve">. </w:t>
      </w:r>
      <w:r w:rsidRPr="00F52AC0">
        <w:rPr>
          <w:rFonts w:ascii="Arial" w:hAnsi="Arial" w:cs="Arial"/>
          <w:sz w:val="24"/>
          <w:szCs w:val="24"/>
          <w:lang w:eastAsia="en-GB"/>
        </w:rPr>
        <w:t>An independent compensation committee, open policies, and legally binding shareholder votes are all required under the UK Corporate Governance Code (</w:t>
      </w:r>
      <w:r w:rsidR="00F52AC0" w:rsidRPr="00F52AC0">
        <w:rPr>
          <w:rFonts w:ascii="Arial" w:hAnsi="Arial" w:cs="Arial"/>
          <w:sz w:val="24"/>
          <w:szCs w:val="24"/>
          <w:lang w:eastAsia="en-GB"/>
        </w:rPr>
        <w:t>Brigham</w:t>
      </w:r>
      <w:r w:rsidRPr="00F52AC0">
        <w:rPr>
          <w:rFonts w:ascii="Arial" w:hAnsi="Arial" w:cs="Arial"/>
          <w:sz w:val="24"/>
          <w:szCs w:val="24"/>
          <w:lang w:eastAsia="en-GB"/>
        </w:rPr>
        <w:t xml:space="preserve">, 2018).  Therefore, E-Energy should combine a market-median compensation with an annual bonus that is limited to 100% of income and is dependent on audited cash-flow and safety objectives.  Shares up to 150 percent of salary should vest over five years under a long-term incentive plan, with awards susceptible to </w:t>
      </w:r>
      <w:proofErr w:type="spellStart"/>
      <w:r w:rsidRPr="00F52AC0">
        <w:rPr>
          <w:rFonts w:ascii="Arial" w:hAnsi="Arial" w:cs="Arial"/>
          <w:sz w:val="24"/>
          <w:szCs w:val="24"/>
          <w:lang w:eastAsia="en-GB"/>
        </w:rPr>
        <w:t>clawback</w:t>
      </w:r>
      <w:proofErr w:type="spellEnd"/>
      <w:r w:rsidRPr="00F52AC0">
        <w:rPr>
          <w:rFonts w:ascii="Arial" w:hAnsi="Arial" w:cs="Arial"/>
          <w:sz w:val="24"/>
          <w:szCs w:val="24"/>
          <w:lang w:eastAsia="en-GB"/>
        </w:rPr>
        <w:t xml:space="preserve"> and </w:t>
      </w:r>
      <w:proofErr w:type="spellStart"/>
      <w:r w:rsidRPr="00F52AC0">
        <w:rPr>
          <w:rFonts w:ascii="Arial" w:hAnsi="Arial" w:cs="Arial"/>
          <w:sz w:val="24"/>
          <w:szCs w:val="24"/>
          <w:lang w:eastAsia="en-GB"/>
        </w:rPr>
        <w:t>malus</w:t>
      </w:r>
      <w:proofErr w:type="spellEnd"/>
      <w:r w:rsidRPr="00F52AC0">
        <w:rPr>
          <w:rFonts w:ascii="Arial" w:hAnsi="Arial" w:cs="Arial"/>
          <w:sz w:val="24"/>
          <w:szCs w:val="24"/>
          <w:lang w:eastAsia="en-GB"/>
        </w:rPr>
        <w:t xml:space="preserve">.  Short-termism is discouraged by deferring half of any bonus in shares for two years (Gong </w:t>
      </w:r>
      <w:r w:rsidR="00F52AC0" w:rsidRPr="00F52AC0">
        <w:rPr>
          <w:rFonts w:ascii="Arial" w:hAnsi="Arial" w:cs="Arial"/>
          <w:sz w:val="24"/>
          <w:szCs w:val="24"/>
          <w:lang w:eastAsia="en-GB"/>
        </w:rPr>
        <w:t>et al</w:t>
      </w:r>
      <w:r w:rsidRPr="00F52AC0">
        <w:rPr>
          <w:rFonts w:ascii="Arial" w:hAnsi="Arial" w:cs="Arial"/>
          <w:sz w:val="24"/>
          <w:szCs w:val="24"/>
          <w:lang w:eastAsia="en-GB"/>
        </w:rPr>
        <w:t>, 2019).  Fairness will be demonstrated and agency expenses will be decreased by publishing the CEO-pay ratio and consulting the workers on pay policies.</w:t>
      </w:r>
    </w:p>
    <w:p w14:paraId="7342872F" w14:textId="4F528435" w:rsidR="002475DE" w:rsidRPr="00F52AC0" w:rsidRDefault="002475DE" w:rsidP="00F52AC0">
      <w:pPr>
        <w:pStyle w:val="EU"/>
        <w:spacing w:line="360" w:lineRule="auto"/>
        <w:rPr>
          <w:color w:val="auto"/>
        </w:rPr>
      </w:pPr>
      <w:bookmarkStart w:id="6" w:name="_Toc204341399"/>
      <w:r w:rsidRPr="00F52AC0">
        <w:rPr>
          <w:color w:val="auto"/>
        </w:rPr>
        <w:t>Conclusion</w:t>
      </w:r>
      <w:bookmarkEnd w:id="6"/>
    </w:p>
    <w:p w14:paraId="7C1F3572" w14:textId="2BD17CBF" w:rsidR="002475DE" w:rsidRPr="00F52AC0" w:rsidRDefault="002475DE"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In conclusion, a £245 million equity level attests to solvency and encourages growth.  Leverage is preserved by funding the new assets with about £92 million in debt and £18 million in equity, while intangible assets and reputational capital are safeguarded by rejecting a 45 percent redundancy.  Executive compensation that is code-compliant and performance-linked will match them with long-term shareholder value.</w:t>
      </w:r>
    </w:p>
    <w:p w14:paraId="2006B174" w14:textId="77777777" w:rsidR="00D66037" w:rsidRPr="00F52AC0" w:rsidRDefault="00D66037" w:rsidP="00F52AC0">
      <w:pPr>
        <w:spacing w:line="360" w:lineRule="auto"/>
        <w:jc w:val="both"/>
        <w:rPr>
          <w:rFonts w:ascii="Arial" w:hAnsi="Arial" w:cs="Arial"/>
          <w:b/>
          <w:bCs/>
          <w:sz w:val="24"/>
          <w:szCs w:val="24"/>
          <w:lang w:eastAsia="en-GB"/>
        </w:rPr>
      </w:pPr>
      <w:r w:rsidRPr="00F52AC0">
        <w:rPr>
          <w:rFonts w:ascii="Arial" w:hAnsi="Arial" w:cs="Arial"/>
          <w:b/>
          <w:bCs/>
          <w:sz w:val="24"/>
          <w:szCs w:val="24"/>
          <w:lang w:eastAsia="en-GB"/>
        </w:rPr>
        <w:t>Suggestions</w:t>
      </w:r>
    </w:p>
    <w:p w14:paraId="115A765C" w14:textId="3EA1438F" w:rsidR="00D66037" w:rsidRPr="00F52AC0" w:rsidRDefault="00D66037" w:rsidP="00F52AC0">
      <w:pPr>
        <w:pStyle w:val="ListParagraph"/>
        <w:numPr>
          <w:ilvl w:val="0"/>
          <w:numId w:val="1"/>
        </w:numPr>
        <w:spacing w:line="360" w:lineRule="auto"/>
        <w:jc w:val="both"/>
        <w:rPr>
          <w:rFonts w:ascii="Arial" w:hAnsi="Arial" w:cs="Arial"/>
          <w:sz w:val="24"/>
          <w:szCs w:val="24"/>
          <w:lang w:eastAsia="en-GB"/>
        </w:rPr>
      </w:pPr>
      <w:r w:rsidRPr="00F52AC0">
        <w:rPr>
          <w:rFonts w:ascii="Arial" w:hAnsi="Arial" w:cs="Arial"/>
          <w:sz w:val="24"/>
          <w:szCs w:val="24"/>
          <w:lang w:eastAsia="en-GB"/>
        </w:rPr>
        <w:t>To fund the £110 million investment while maintaining leverage, raise £92 million in long-term debt and £18 million in equity.</w:t>
      </w:r>
    </w:p>
    <w:p w14:paraId="53D12CF1" w14:textId="063769F4" w:rsidR="00D66037" w:rsidRPr="00F52AC0" w:rsidRDefault="00D66037" w:rsidP="00F52AC0">
      <w:pPr>
        <w:pStyle w:val="ListParagraph"/>
        <w:numPr>
          <w:ilvl w:val="0"/>
          <w:numId w:val="1"/>
        </w:numPr>
        <w:spacing w:line="360" w:lineRule="auto"/>
        <w:jc w:val="both"/>
        <w:rPr>
          <w:rFonts w:ascii="Arial" w:hAnsi="Arial" w:cs="Arial"/>
          <w:sz w:val="24"/>
          <w:szCs w:val="24"/>
          <w:lang w:eastAsia="en-GB"/>
        </w:rPr>
      </w:pPr>
      <w:r w:rsidRPr="00F52AC0">
        <w:rPr>
          <w:rFonts w:ascii="Arial" w:hAnsi="Arial" w:cs="Arial"/>
          <w:sz w:val="24"/>
          <w:szCs w:val="24"/>
          <w:lang w:eastAsia="en-GB"/>
        </w:rPr>
        <w:t>Avoid total 45 percent redundancy and instead look for ways to save costs through process optimisation, reskilling, and attrition.</w:t>
      </w:r>
    </w:p>
    <w:p w14:paraId="1AB60E71" w14:textId="75F0DF15" w:rsidR="00D66037" w:rsidRPr="00F52AC0" w:rsidRDefault="00D66037" w:rsidP="00F52AC0">
      <w:pPr>
        <w:pStyle w:val="ListParagraph"/>
        <w:numPr>
          <w:ilvl w:val="0"/>
          <w:numId w:val="1"/>
        </w:numPr>
        <w:spacing w:line="360" w:lineRule="auto"/>
        <w:jc w:val="both"/>
        <w:rPr>
          <w:rFonts w:ascii="Arial" w:hAnsi="Arial" w:cs="Arial"/>
          <w:sz w:val="24"/>
          <w:szCs w:val="24"/>
          <w:lang w:eastAsia="en-GB"/>
        </w:rPr>
      </w:pPr>
      <w:r w:rsidRPr="00F52AC0">
        <w:rPr>
          <w:rFonts w:ascii="Arial" w:hAnsi="Arial" w:cs="Arial"/>
          <w:sz w:val="24"/>
          <w:szCs w:val="24"/>
          <w:lang w:eastAsia="en-GB"/>
        </w:rPr>
        <w:t xml:space="preserve">Create a separate compensation committee and implement a </w:t>
      </w:r>
      <w:proofErr w:type="spellStart"/>
      <w:r w:rsidRPr="00F52AC0">
        <w:rPr>
          <w:rFonts w:ascii="Arial" w:hAnsi="Arial" w:cs="Arial"/>
          <w:sz w:val="24"/>
          <w:szCs w:val="24"/>
          <w:lang w:eastAsia="en-GB"/>
        </w:rPr>
        <w:t>clawback</w:t>
      </w:r>
      <w:proofErr w:type="spellEnd"/>
      <w:r w:rsidRPr="00F52AC0">
        <w:rPr>
          <w:rFonts w:ascii="Arial" w:hAnsi="Arial" w:cs="Arial"/>
          <w:sz w:val="24"/>
          <w:szCs w:val="24"/>
          <w:lang w:eastAsia="en-GB"/>
        </w:rPr>
        <w:t xml:space="preserve"> pay policy that is in line with the Code.</w:t>
      </w:r>
    </w:p>
    <w:p w14:paraId="73EA35C0" w14:textId="4016B9B8" w:rsidR="00D66037" w:rsidRPr="00F52AC0" w:rsidRDefault="00D66037" w:rsidP="00F52AC0">
      <w:pPr>
        <w:pStyle w:val="ListParagraph"/>
        <w:numPr>
          <w:ilvl w:val="0"/>
          <w:numId w:val="1"/>
        </w:numPr>
        <w:spacing w:line="360" w:lineRule="auto"/>
        <w:jc w:val="both"/>
        <w:rPr>
          <w:rFonts w:ascii="Arial" w:hAnsi="Arial" w:cs="Arial"/>
          <w:sz w:val="24"/>
          <w:szCs w:val="24"/>
          <w:lang w:eastAsia="en-GB"/>
        </w:rPr>
      </w:pPr>
      <w:r w:rsidRPr="00F52AC0">
        <w:rPr>
          <w:rFonts w:ascii="Arial" w:hAnsi="Arial" w:cs="Arial"/>
          <w:sz w:val="24"/>
          <w:szCs w:val="24"/>
          <w:lang w:eastAsia="en-GB"/>
        </w:rPr>
        <w:t>To demonstrate dedication to ESG principles, publish a brief sustainability statement prior to your IPO.</w:t>
      </w:r>
    </w:p>
    <w:p w14:paraId="77957EBC" w14:textId="50F040BF" w:rsidR="00D66037" w:rsidRPr="00F52AC0" w:rsidRDefault="00D66037" w:rsidP="00F52AC0">
      <w:pPr>
        <w:pStyle w:val="ListParagraph"/>
        <w:numPr>
          <w:ilvl w:val="0"/>
          <w:numId w:val="1"/>
        </w:numPr>
        <w:spacing w:line="360" w:lineRule="auto"/>
        <w:jc w:val="both"/>
        <w:rPr>
          <w:rFonts w:ascii="Arial" w:hAnsi="Arial" w:cs="Arial"/>
          <w:sz w:val="24"/>
          <w:szCs w:val="24"/>
          <w:lang w:eastAsia="en-GB"/>
        </w:rPr>
      </w:pPr>
      <w:r w:rsidRPr="00F52AC0">
        <w:rPr>
          <w:rFonts w:ascii="Arial" w:hAnsi="Arial" w:cs="Arial"/>
          <w:sz w:val="24"/>
          <w:szCs w:val="24"/>
          <w:lang w:eastAsia="en-GB"/>
        </w:rPr>
        <w:t>To guarantee ongoing alignment with strategy objectives, review capital structure, workforce metrics, and compensation results on a quarterly basis.</w:t>
      </w:r>
    </w:p>
    <w:p w14:paraId="0EE4CFA2" w14:textId="77777777" w:rsidR="002475DE" w:rsidRPr="00F52AC0" w:rsidRDefault="002475DE" w:rsidP="00F52AC0">
      <w:pPr>
        <w:spacing w:line="360" w:lineRule="auto"/>
        <w:jc w:val="both"/>
        <w:rPr>
          <w:rFonts w:ascii="Arial" w:hAnsi="Arial" w:cs="Arial"/>
          <w:sz w:val="24"/>
          <w:szCs w:val="24"/>
          <w:lang w:eastAsia="en-GB"/>
        </w:rPr>
      </w:pPr>
    </w:p>
    <w:p w14:paraId="0351AA60" w14:textId="77777777" w:rsidR="002475DE" w:rsidRPr="00F52AC0" w:rsidRDefault="002475DE" w:rsidP="00F52AC0">
      <w:pPr>
        <w:spacing w:line="360" w:lineRule="auto"/>
        <w:jc w:val="both"/>
        <w:rPr>
          <w:rFonts w:ascii="Arial" w:hAnsi="Arial" w:cs="Arial"/>
          <w:sz w:val="24"/>
          <w:szCs w:val="24"/>
          <w:lang w:eastAsia="en-GB"/>
        </w:rPr>
      </w:pPr>
    </w:p>
    <w:p w14:paraId="32A25FB8" w14:textId="77777777" w:rsidR="002475DE" w:rsidRPr="00F52AC0" w:rsidRDefault="002475DE" w:rsidP="00F52AC0">
      <w:pPr>
        <w:spacing w:line="360" w:lineRule="auto"/>
        <w:jc w:val="both"/>
        <w:rPr>
          <w:rFonts w:ascii="Arial" w:hAnsi="Arial" w:cs="Arial"/>
          <w:sz w:val="24"/>
          <w:szCs w:val="24"/>
          <w:lang w:eastAsia="en-GB"/>
        </w:rPr>
      </w:pPr>
    </w:p>
    <w:p w14:paraId="7972B5C8" w14:textId="77777777" w:rsidR="002475DE" w:rsidRPr="00F52AC0" w:rsidRDefault="002475DE" w:rsidP="00F52AC0">
      <w:pPr>
        <w:spacing w:line="360" w:lineRule="auto"/>
        <w:jc w:val="both"/>
        <w:rPr>
          <w:rFonts w:ascii="Arial" w:hAnsi="Arial" w:cs="Arial"/>
          <w:sz w:val="24"/>
          <w:szCs w:val="24"/>
          <w:lang w:eastAsia="en-GB"/>
        </w:rPr>
      </w:pPr>
    </w:p>
    <w:p w14:paraId="6DA49D30" w14:textId="77777777" w:rsidR="002475DE" w:rsidRPr="00F52AC0" w:rsidRDefault="002475DE" w:rsidP="00F52AC0">
      <w:pPr>
        <w:spacing w:line="360" w:lineRule="auto"/>
        <w:jc w:val="both"/>
        <w:rPr>
          <w:rFonts w:ascii="Arial" w:hAnsi="Arial" w:cs="Arial"/>
          <w:sz w:val="24"/>
          <w:szCs w:val="24"/>
          <w:lang w:eastAsia="en-GB"/>
        </w:rPr>
      </w:pPr>
    </w:p>
    <w:p w14:paraId="2F293716" w14:textId="77777777" w:rsidR="002475DE" w:rsidRPr="00F52AC0" w:rsidRDefault="002475DE" w:rsidP="00F52AC0">
      <w:pPr>
        <w:spacing w:line="360" w:lineRule="auto"/>
        <w:jc w:val="both"/>
        <w:rPr>
          <w:rFonts w:ascii="Arial" w:hAnsi="Arial" w:cs="Arial"/>
          <w:sz w:val="24"/>
          <w:szCs w:val="24"/>
          <w:lang w:eastAsia="en-GB"/>
        </w:rPr>
      </w:pPr>
    </w:p>
    <w:p w14:paraId="519992E8" w14:textId="77777777" w:rsidR="002475DE" w:rsidRPr="00F52AC0" w:rsidRDefault="002475DE" w:rsidP="00F52AC0">
      <w:pPr>
        <w:spacing w:line="360" w:lineRule="auto"/>
        <w:jc w:val="both"/>
        <w:rPr>
          <w:rFonts w:ascii="Arial" w:hAnsi="Arial" w:cs="Arial"/>
          <w:sz w:val="24"/>
          <w:szCs w:val="24"/>
          <w:lang w:eastAsia="en-GB"/>
        </w:rPr>
      </w:pPr>
    </w:p>
    <w:p w14:paraId="72F745CD" w14:textId="77777777" w:rsidR="002475DE" w:rsidRPr="00F52AC0" w:rsidRDefault="002475DE" w:rsidP="00F52AC0">
      <w:pPr>
        <w:spacing w:line="360" w:lineRule="auto"/>
        <w:jc w:val="both"/>
        <w:rPr>
          <w:rFonts w:ascii="Arial" w:hAnsi="Arial" w:cs="Arial"/>
          <w:sz w:val="24"/>
          <w:szCs w:val="24"/>
          <w:lang w:eastAsia="en-GB"/>
        </w:rPr>
      </w:pPr>
    </w:p>
    <w:p w14:paraId="7E25AB67" w14:textId="77777777" w:rsidR="00D66037" w:rsidRPr="00F52AC0" w:rsidRDefault="00D66037" w:rsidP="00F52AC0">
      <w:pPr>
        <w:spacing w:line="360" w:lineRule="auto"/>
        <w:jc w:val="both"/>
        <w:rPr>
          <w:rFonts w:ascii="Arial" w:hAnsi="Arial" w:cs="Arial"/>
          <w:sz w:val="24"/>
          <w:szCs w:val="24"/>
          <w:lang w:eastAsia="en-GB"/>
        </w:rPr>
      </w:pPr>
    </w:p>
    <w:p w14:paraId="1D8E7275" w14:textId="77777777" w:rsidR="00D66037" w:rsidRPr="00F52AC0" w:rsidRDefault="00D66037" w:rsidP="00F52AC0">
      <w:pPr>
        <w:spacing w:line="360" w:lineRule="auto"/>
        <w:jc w:val="both"/>
        <w:rPr>
          <w:rFonts w:ascii="Arial" w:hAnsi="Arial" w:cs="Arial"/>
          <w:sz w:val="24"/>
          <w:szCs w:val="24"/>
          <w:lang w:eastAsia="en-GB"/>
        </w:rPr>
      </w:pPr>
    </w:p>
    <w:p w14:paraId="751B5D61" w14:textId="77777777" w:rsidR="00D66037" w:rsidRPr="00F52AC0" w:rsidRDefault="00D66037" w:rsidP="00F52AC0">
      <w:pPr>
        <w:spacing w:line="360" w:lineRule="auto"/>
        <w:jc w:val="both"/>
        <w:rPr>
          <w:rFonts w:ascii="Arial" w:hAnsi="Arial" w:cs="Arial"/>
          <w:sz w:val="24"/>
          <w:szCs w:val="24"/>
          <w:lang w:eastAsia="en-GB"/>
        </w:rPr>
      </w:pPr>
    </w:p>
    <w:p w14:paraId="48230F8B" w14:textId="77777777" w:rsidR="00D66037" w:rsidRPr="00F52AC0" w:rsidRDefault="00D66037" w:rsidP="00F52AC0">
      <w:pPr>
        <w:spacing w:line="360" w:lineRule="auto"/>
        <w:jc w:val="both"/>
        <w:rPr>
          <w:rFonts w:ascii="Arial" w:hAnsi="Arial" w:cs="Arial"/>
          <w:sz w:val="24"/>
          <w:szCs w:val="24"/>
          <w:lang w:eastAsia="en-GB"/>
        </w:rPr>
      </w:pPr>
    </w:p>
    <w:p w14:paraId="6ECE79E3" w14:textId="77777777" w:rsidR="00D66037" w:rsidRPr="00F52AC0" w:rsidRDefault="00D66037" w:rsidP="00F52AC0">
      <w:pPr>
        <w:spacing w:line="360" w:lineRule="auto"/>
        <w:jc w:val="both"/>
        <w:rPr>
          <w:rFonts w:ascii="Arial" w:hAnsi="Arial" w:cs="Arial"/>
          <w:sz w:val="24"/>
          <w:szCs w:val="24"/>
          <w:lang w:eastAsia="en-GB"/>
        </w:rPr>
      </w:pPr>
    </w:p>
    <w:p w14:paraId="7C907700" w14:textId="77777777" w:rsidR="00D66037" w:rsidRPr="00F52AC0" w:rsidRDefault="00D66037" w:rsidP="00F52AC0">
      <w:pPr>
        <w:spacing w:line="360" w:lineRule="auto"/>
        <w:jc w:val="both"/>
        <w:rPr>
          <w:rFonts w:ascii="Arial" w:hAnsi="Arial" w:cs="Arial"/>
          <w:sz w:val="24"/>
          <w:szCs w:val="24"/>
          <w:lang w:eastAsia="en-GB"/>
        </w:rPr>
      </w:pPr>
    </w:p>
    <w:p w14:paraId="257182F4" w14:textId="77777777" w:rsidR="00D66037" w:rsidRPr="00F52AC0" w:rsidRDefault="00D66037" w:rsidP="00F52AC0">
      <w:pPr>
        <w:spacing w:line="360" w:lineRule="auto"/>
        <w:jc w:val="both"/>
        <w:rPr>
          <w:rFonts w:ascii="Arial" w:hAnsi="Arial" w:cs="Arial"/>
          <w:sz w:val="24"/>
          <w:szCs w:val="24"/>
          <w:lang w:eastAsia="en-GB"/>
        </w:rPr>
      </w:pPr>
    </w:p>
    <w:p w14:paraId="0A5C2AE0" w14:textId="77777777" w:rsidR="00D66037" w:rsidRPr="00F52AC0" w:rsidRDefault="00D66037" w:rsidP="00F52AC0">
      <w:pPr>
        <w:spacing w:line="360" w:lineRule="auto"/>
        <w:jc w:val="both"/>
        <w:rPr>
          <w:rFonts w:ascii="Arial" w:hAnsi="Arial" w:cs="Arial"/>
          <w:sz w:val="24"/>
          <w:szCs w:val="24"/>
          <w:lang w:eastAsia="en-GB"/>
        </w:rPr>
      </w:pPr>
    </w:p>
    <w:p w14:paraId="6880970F" w14:textId="77777777" w:rsidR="00D66037" w:rsidRPr="00F52AC0" w:rsidRDefault="00D66037" w:rsidP="00F52AC0">
      <w:pPr>
        <w:spacing w:line="360" w:lineRule="auto"/>
        <w:jc w:val="both"/>
        <w:rPr>
          <w:rFonts w:ascii="Arial" w:hAnsi="Arial" w:cs="Arial"/>
          <w:sz w:val="24"/>
          <w:szCs w:val="24"/>
          <w:lang w:eastAsia="en-GB"/>
        </w:rPr>
      </w:pPr>
    </w:p>
    <w:p w14:paraId="24E6C5D7" w14:textId="77777777" w:rsidR="00D66037" w:rsidRDefault="00D66037" w:rsidP="00F52AC0">
      <w:pPr>
        <w:spacing w:line="360" w:lineRule="auto"/>
        <w:jc w:val="both"/>
        <w:rPr>
          <w:rFonts w:ascii="Arial" w:hAnsi="Arial" w:cs="Arial"/>
          <w:sz w:val="24"/>
          <w:szCs w:val="24"/>
          <w:lang w:eastAsia="en-GB"/>
        </w:rPr>
      </w:pPr>
    </w:p>
    <w:p w14:paraId="144929CA" w14:textId="77777777" w:rsidR="00F52AC0" w:rsidRDefault="00F52AC0" w:rsidP="00F52AC0">
      <w:pPr>
        <w:spacing w:line="360" w:lineRule="auto"/>
        <w:jc w:val="both"/>
        <w:rPr>
          <w:rFonts w:ascii="Arial" w:hAnsi="Arial" w:cs="Arial"/>
          <w:sz w:val="24"/>
          <w:szCs w:val="24"/>
          <w:lang w:eastAsia="en-GB"/>
        </w:rPr>
      </w:pPr>
    </w:p>
    <w:p w14:paraId="61645D32" w14:textId="77777777" w:rsidR="00F52AC0" w:rsidRDefault="00F52AC0" w:rsidP="00F52AC0">
      <w:pPr>
        <w:spacing w:line="360" w:lineRule="auto"/>
        <w:jc w:val="both"/>
        <w:rPr>
          <w:rFonts w:ascii="Arial" w:hAnsi="Arial" w:cs="Arial"/>
          <w:sz w:val="24"/>
          <w:szCs w:val="24"/>
          <w:lang w:eastAsia="en-GB"/>
        </w:rPr>
      </w:pPr>
    </w:p>
    <w:p w14:paraId="2888C5F0" w14:textId="77777777" w:rsidR="00F52AC0" w:rsidRDefault="00F52AC0" w:rsidP="00F52AC0">
      <w:pPr>
        <w:spacing w:line="360" w:lineRule="auto"/>
        <w:jc w:val="both"/>
        <w:rPr>
          <w:rFonts w:ascii="Arial" w:hAnsi="Arial" w:cs="Arial"/>
          <w:sz w:val="24"/>
          <w:szCs w:val="24"/>
          <w:lang w:eastAsia="en-GB"/>
        </w:rPr>
      </w:pPr>
    </w:p>
    <w:p w14:paraId="7FCF0991" w14:textId="77777777" w:rsidR="00F52AC0" w:rsidRPr="00F52AC0" w:rsidRDefault="00F52AC0" w:rsidP="00F52AC0">
      <w:pPr>
        <w:spacing w:line="360" w:lineRule="auto"/>
        <w:jc w:val="both"/>
        <w:rPr>
          <w:rFonts w:ascii="Arial" w:hAnsi="Arial" w:cs="Arial"/>
          <w:sz w:val="24"/>
          <w:szCs w:val="24"/>
          <w:lang w:eastAsia="en-GB"/>
        </w:rPr>
      </w:pPr>
    </w:p>
    <w:p w14:paraId="452F5B01" w14:textId="4573BAA0" w:rsidR="002475DE" w:rsidRPr="00F52AC0" w:rsidRDefault="002475DE" w:rsidP="00F52AC0">
      <w:pPr>
        <w:pStyle w:val="EU"/>
        <w:spacing w:line="360" w:lineRule="auto"/>
        <w:rPr>
          <w:color w:val="auto"/>
        </w:rPr>
      </w:pPr>
      <w:bookmarkStart w:id="7" w:name="_Toc204341400"/>
      <w:r w:rsidRPr="00F52AC0">
        <w:rPr>
          <w:color w:val="auto"/>
        </w:rPr>
        <w:t>References</w:t>
      </w:r>
      <w:bookmarkEnd w:id="7"/>
    </w:p>
    <w:p w14:paraId="3FD0F8EB" w14:textId="77777777" w:rsidR="00B71DBB" w:rsidRPr="00F52AC0" w:rsidRDefault="00B71DBB" w:rsidP="00F52AC0">
      <w:pPr>
        <w:spacing w:line="360" w:lineRule="auto"/>
        <w:jc w:val="both"/>
        <w:rPr>
          <w:rFonts w:ascii="Arial" w:hAnsi="Arial" w:cs="Arial"/>
          <w:sz w:val="24"/>
          <w:szCs w:val="24"/>
          <w:lang w:eastAsia="en-GB"/>
        </w:rPr>
      </w:pPr>
    </w:p>
    <w:p w14:paraId="7EB428F6" w14:textId="77777777" w:rsidR="00B71DBB" w:rsidRPr="00F52AC0" w:rsidRDefault="00B71DBB" w:rsidP="00F52AC0">
      <w:pPr>
        <w:spacing w:line="360" w:lineRule="auto"/>
        <w:jc w:val="both"/>
        <w:rPr>
          <w:rFonts w:ascii="Arial" w:eastAsiaTheme="majorEastAsia" w:hAnsi="Arial" w:cs="Arial"/>
          <w:bCs/>
          <w:kern w:val="0"/>
          <w:sz w:val="24"/>
          <w:szCs w:val="24"/>
          <w:lang w:eastAsia="en-GB"/>
          <w14:ligatures w14:val="none"/>
        </w:rPr>
      </w:pPr>
      <w:proofErr w:type="spellStart"/>
      <w:r w:rsidRPr="00F52AC0">
        <w:rPr>
          <w:rFonts w:ascii="Arial" w:eastAsiaTheme="majorEastAsia" w:hAnsi="Arial" w:cs="Arial"/>
          <w:bCs/>
          <w:kern w:val="0"/>
          <w:sz w:val="24"/>
          <w:szCs w:val="24"/>
          <w:lang w:eastAsia="en-GB"/>
          <w14:ligatures w14:val="none"/>
        </w:rPr>
        <w:t>Atrill</w:t>
      </w:r>
      <w:proofErr w:type="spellEnd"/>
      <w:r w:rsidRPr="00F52AC0">
        <w:rPr>
          <w:rFonts w:ascii="Arial" w:eastAsiaTheme="majorEastAsia" w:hAnsi="Arial" w:cs="Arial"/>
          <w:bCs/>
          <w:kern w:val="0"/>
          <w:sz w:val="24"/>
          <w:szCs w:val="24"/>
          <w:lang w:eastAsia="en-GB"/>
          <w14:ligatures w14:val="none"/>
        </w:rPr>
        <w:t xml:space="preserve">, P., 2017. </w:t>
      </w:r>
      <w:r w:rsidRPr="00E328F2">
        <w:rPr>
          <w:rFonts w:ascii="Arial" w:eastAsiaTheme="majorEastAsia" w:hAnsi="Arial" w:cs="Arial"/>
          <w:bCs/>
          <w:i/>
          <w:iCs/>
          <w:kern w:val="0"/>
          <w:sz w:val="24"/>
          <w:szCs w:val="24"/>
          <w:lang w:eastAsia="en-GB"/>
          <w14:ligatures w14:val="none"/>
        </w:rPr>
        <w:t>Financial management for decision makers</w:t>
      </w:r>
      <w:r w:rsidRPr="00F52AC0">
        <w:rPr>
          <w:rFonts w:ascii="Arial" w:eastAsiaTheme="majorEastAsia" w:hAnsi="Arial" w:cs="Arial"/>
          <w:bCs/>
          <w:kern w:val="0"/>
          <w:sz w:val="24"/>
          <w:szCs w:val="24"/>
          <w:lang w:eastAsia="en-GB"/>
          <w14:ligatures w14:val="none"/>
        </w:rPr>
        <w:t>.</w:t>
      </w:r>
    </w:p>
    <w:p w14:paraId="514C030E" w14:textId="1665BE4D" w:rsidR="00F52AC0" w:rsidRPr="00F52AC0" w:rsidRDefault="00F52AC0"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Block, S.B., </w:t>
      </w:r>
      <w:proofErr w:type="spellStart"/>
      <w:r w:rsidRPr="00F52AC0">
        <w:rPr>
          <w:rFonts w:ascii="Arial" w:eastAsiaTheme="majorEastAsia" w:hAnsi="Arial" w:cs="Arial"/>
          <w:bCs/>
          <w:kern w:val="0"/>
          <w:sz w:val="24"/>
          <w:szCs w:val="24"/>
          <w:lang w:eastAsia="en-GB"/>
          <w14:ligatures w14:val="none"/>
        </w:rPr>
        <w:t>Hirt</w:t>
      </w:r>
      <w:proofErr w:type="spellEnd"/>
      <w:r w:rsidRPr="00F52AC0">
        <w:rPr>
          <w:rFonts w:ascii="Arial" w:eastAsiaTheme="majorEastAsia" w:hAnsi="Arial" w:cs="Arial"/>
          <w:bCs/>
          <w:kern w:val="0"/>
          <w:sz w:val="24"/>
          <w:szCs w:val="24"/>
          <w:lang w:eastAsia="en-GB"/>
          <w14:ligatures w14:val="none"/>
        </w:rPr>
        <w:t xml:space="preserve">, G.A. and </w:t>
      </w:r>
      <w:proofErr w:type="spellStart"/>
      <w:r w:rsidRPr="00F52AC0">
        <w:rPr>
          <w:rFonts w:ascii="Arial" w:eastAsiaTheme="majorEastAsia" w:hAnsi="Arial" w:cs="Arial"/>
          <w:bCs/>
          <w:kern w:val="0"/>
          <w:sz w:val="24"/>
          <w:szCs w:val="24"/>
          <w:lang w:eastAsia="en-GB"/>
          <w14:ligatures w14:val="none"/>
        </w:rPr>
        <w:t>Danielsen</w:t>
      </w:r>
      <w:proofErr w:type="spellEnd"/>
      <w:r w:rsidRPr="00F52AC0">
        <w:rPr>
          <w:rFonts w:ascii="Arial" w:eastAsiaTheme="majorEastAsia" w:hAnsi="Arial" w:cs="Arial"/>
          <w:bCs/>
          <w:kern w:val="0"/>
          <w:sz w:val="24"/>
          <w:szCs w:val="24"/>
          <w:lang w:eastAsia="en-GB"/>
          <w14:ligatures w14:val="none"/>
        </w:rPr>
        <w:t xml:space="preserve">, B.R., 2018. </w:t>
      </w:r>
      <w:r w:rsidRPr="00E328F2">
        <w:rPr>
          <w:rFonts w:ascii="Arial" w:eastAsiaTheme="majorEastAsia" w:hAnsi="Arial" w:cs="Arial"/>
          <w:bCs/>
          <w:i/>
          <w:iCs/>
          <w:kern w:val="0"/>
          <w:sz w:val="24"/>
          <w:szCs w:val="24"/>
          <w:lang w:eastAsia="en-GB"/>
          <w14:ligatures w14:val="none"/>
        </w:rPr>
        <w:t>Foundations of financial management.</w:t>
      </w:r>
      <w:r w:rsidRPr="00F52AC0">
        <w:rPr>
          <w:rFonts w:ascii="Arial" w:eastAsiaTheme="majorEastAsia" w:hAnsi="Arial" w:cs="Arial"/>
          <w:bCs/>
          <w:kern w:val="0"/>
          <w:sz w:val="24"/>
          <w:szCs w:val="24"/>
          <w:lang w:eastAsia="en-GB"/>
          <w14:ligatures w14:val="none"/>
        </w:rPr>
        <w:t xml:space="preserve"> McGraw-Hill Education.</w:t>
      </w:r>
    </w:p>
    <w:p w14:paraId="4F3E0F0C" w14:textId="45E3F75E" w:rsidR="00F52AC0" w:rsidRPr="00F52AC0" w:rsidRDefault="00F52AC0"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Brigham, E.F., 2016. </w:t>
      </w:r>
      <w:r w:rsidRPr="00E328F2">
        <w:rPr>
          <w:rFonts w:ascii="Arial" w:eastAsiaTheme="majorEastAsia" w:hAnsi="Arial" w:cs="Arial"/>
          <w:bCs/>
          <w:i/>
          <w:iCs/>
          <w:kern w:val="0"/>
          <w:sz w:val="24"/>
          <w:szCs w:val="24"/>
          <w:lang w:eastAsia="en-GB"/>
          <w14:ligatures w14:val="none"/>
        </w:rPr>
        <w:t>Financial management: Theory and practice</w:t>
      </w:r>
      <w:r w:rsidRPr="00F52AC0">
        <w:rPr>
          <w:rFonts w:ascii="Arial" w:eastAsiaTheme="majorEastAsia" w:hAnsi="Arial" w:cs="Arial"/>
          <w:bCs/>
          <w:kern w:val="0"/>
          <w:sz w:val="24"/>
          <w:szCs w:val="24"/>
          <w:lang w:eastAsia="en-GB"/>
          <w14:ligatures w14:val="none"/>
        </w:rPr>
        <w:t>. Cengage Learning Canada Inc.</w:t>
      </w:r>
    </w:p>
    <w:p w14:paraId="5020F8A8" w14:textId="1D0FFC59" w:rsidR="00F52AC0" w:rsidRPr="00F52AC0" w:rsidRDefault="00F52AC0"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Brigham, E.F., 2018. </w:t>
      </w:r>
      <w:r w:rsidRPr="00E328F2">
        <w:rPr>
          <w:rFonts w:ascii="Arial" w:eastAsiaTheme="majorEastAsia" w:hAnsi="Arial" w:cs="Arial"/>
          <w:bCs/>
          <w:i/>
          <w:iCs/>
          <w:kern w:val="0"/>
          <w:sz w:val="24"/>
          <w:szCs w:val="24"/>
          <w:lang w:eastAsia="en-GB"/>
          <w14:ligatures w14:val="none"/>
        </w:rPr>
        <w:t>Essentials of financial management</w:t>
      </w:r>
      <w:r w:rsidRPr="00F52AC0">
        <w:rPr>
          <w:rFonts w:ascii="Arial" w:eastAsiaTheme="majorEastAsia" w:hAnsi="Arial" w:cs="Arial"/>
          <w:bCs/>
          <w:kern w:val="0"/>
          <w:sz w:val="24"/>
          <w:szCs w:val="24"/>
          <w:lang w:eastAsia="en-GB"/>
          <w14:ligatures w14:val="none"/>
        </w:rPr>
        <w:t>.</w:t>
      </w:r>
    </w:p>
    <w:p w14:paraId="23A0C471" w14:textId="1FFA635A" w:rsidR="00B71DBB" w:rsidRPr="00F52AC0" w:rsidRDefault="00B71DBB"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Chandra, P., 2017. </w:t>
      </w:r>
      <w:r w:rsidRPr="00E328F2">
        <w:rPr>
          <w:rFonts w:ascii="Arial" w:eastAsiaTheme="majorEastAsia" w:hAnsi="Arial" w:cs="Arial"/>
          <w:bCs/>
          <w:i/>
          <w:iCs/>
          <w:kern w:val="0"/>
          <w:sz w:val="24"/>
          <w:szCs w:val="24"/>
          <w:lang w:eastAsia="en-GB"/>
          <w14:ligatures w14:val="none"/>
        </w:rPr>
        <w:t>Fundamentals of financial management</w:t>
      </w:r>
      <w:r w:rsidRPr="00F52AC0">
        <w:rPr>
          <w:rFonts w:ascii="Arial" w:eastAsiaTheme="majorEastAsia" w:hAnsi="Arial" w:cs="Arial"/>
          <w:bCs/>
          <w:kern w:val="0"/>
          <w:sz w:val="24"/>
          <w:szCs w:val="24"/>
          <w:lang w:eastAsia="en-GB"/>
          <w14:ligatures w14:val="none"/>
        </w:rPr>
        <w:t>. McGraw Hill Education.</w:t>
      </w:r>
    </w:p>
    <w:p w14:paraId="5E9C8895" w14:textId="2C05A008" w:rsidR="00F52AC0" w:rsidRPr="00F52AC0" w:rsidRDefault="00F52AC0"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Gong, X.L., Liu, X.H., </w:t>
      </w:r>
      <w:proofErr w:type="spellStart"/>
      <w:r w:rsidRPr="00F52AC0">
        <w:rPr>
          <w:rFonts w:ascii="Arial" w:eastAsiaTheme="majorEastAsia" w:hAnsi="Arial" w:cs="Arial"/>
          <w:bCs/>
          <w:kern w:val="0"/>
          <w:sz w:val="24"/>
          <w:szCs w:val="24"/>
          <w:lang w:eastAsia="en-GB"/>
          <w14:ligatures w14:val="none"/>
        </w:rPr>
        <w:t>Xiong</w:t>
      </w:r>
      <w:proofErr w:type="spellEnd"/>
      <w:r w:rsidRPr="00F52AC0">
        <w:rPr>
          <w:rFonts w:ascii="Arial" w:eastAsiaTheme="majorEastAsia" w:hAnsi="Arial" w:cs="Arial"/>
          <w:bCs/>
          <w:kern w:val="0"/>
          <w:sz w:val="24"/>
          <w:szCs w:val="24"/>
          <w:lang w:eastAsia="en-GB"/>
          <w14:ligatures w14:val="none"/>
        </w:rPr>
        <w:t xml:space="preserve">, X. and Zhang, W., 2019. </w:t>
      </w:r>
      <w:r w:rsidRPr="00CF3AEC">
        <w:rPr>
          <w:rFonts w:ascii="Arial" w:eastAsiaTheme="majorEastAsia" w:hAnsi="Arial" w:cs="Arial"/>
          <w:bCs/>
          <w:i/>
          <w:iCs/>
          <w:kern w:val="0"/>
          <w:sz w:val="24"/>
          <w:szCs w:val="24"/>
          <w:lang w:eastAsia="en-GB"/>
          <w14:ligatures w14:val="none"/>
        </w:rPr>
        <w:t>Financial systemic risk measurement based on causal network connectedness analysis</w:t>
      </w:r>
      <w:r w:rsidRPr="00F52AC0">
        <w:rPr>
          <w:rFonts w:ascii="Arial" w:eastAsiaTheme="majorEastAsia" w:hAnsi="Arial" w:cs="Arial"/>
          <w:bCs/>
          <w:kern w:val="0"/>
          <w:sz w:val="24"/>
          <w:szCs w:val="24"/>
          <w:lang w:eastAsia="en-GB"/>
          <w14:ligatures w14:val="none"/>
        </w:rPr>
        <w:t>. International Review of Economics &amp; Finance, 64, pp.290-307.</w:t>
      </w:r>
    </w:p>
    <w:p w14:paraId="062DC5F6" w14:textId="6536B46A" w:rsidR="00B71DBB" w:rsidRPr="00F52AC0" w:rsidRDefault="00B71DBB" w:rsidP="00F52AC0">
      <w:pPr>
        <w:spacing w:line="360" w:lineRule="auto"/>
        <w:jc w:val="both"/>
        <w:rPr>
          <w:rFonts w:ascii="Arial" w:eastAsiaTheme="majorEastAsia" w:hAnsi="Arial" w:cs="Arial"/>
          <w:bCs/>
          <w:kern w:val="0"/>
          <w:sz w:val="24"/>
          <w:szCs w:val="24"/>
          <w:lang w:eastAsia="en-GB"/>
          <w14:ligatures w14:val="none"/>
        </w:rPr>
      </w:pPr>
      <w:proofErr w:type="spellStart"/>
      <w:r w:rsidRPr="00F52AC0">
        <w:rPr>
          <w:rFonts w:ascii="Arial" w:eastAsiaTheme="majorEastAsia" w:hAnsi="Arial" w:cs="Arial"/>
          <w:bCs/>
          <w:kern w:val="0"/>
          <w:sz w:val="24"/>
          <w:szCs w:val="24"/>
          <w:lang w:eastAsia="en-GB"/>
          <w14:ligatures w14:val="none"/>
        </w:rPr>
        <w:t>Horngren</w:t>
      </w:r>
      <w:proofErr w:type="spellEnd"/>
      <w:r w:rsidRPr="00F52AC0">
        <w:rPr>
          <w:rFonts w:ascii="Arial" w:eastAsiaTheme="majorEastAsia" w:hAnsi="Arial" w:cs="Arial"/>
          <w:bCs/>
          <w:kern w:val="0"/>
          <w:sz w:val="24"/>
          <w:szCs w:val="24"/>
          <w:lang w:eastAsia="en-GB"/>
          <w14:ligatures w14:val="none"/>
        </w:rPr>
        <w:t xml:space="preserve">, C., Harrison, W., Oliver, S., Best, P., Fraser, D. and Tan, R., 2012. </w:t>
      </w:r>
      <w:r w:rsidRPr="00CF3AEC">
        <w:rPr>
          <w:rFonts w:ascii="Arial" w:eastAsiaTheme="majorEastAsia" w:hAnsi="Arial" w:cs="Arial"/>
          <w:bCs/>
          <w:i/>
          <w:iCs/>
          <w:kern w:val="0"/>
          <w:sz w:val="24"/>
          <w:szCs w:val="24"/>
          <w:lang w:eastAsia="en-GB"/>
          <w14:ligatures w14:val="none"/>
        </w:rPr>
        <w:t>Financial accounting</w:t>
      </w:r>
      <w:r w:rsidRPr="00F52AC0">
        <w:rPr>
          <w:rFonts w:ascii="Arial" w:eastAsiaTheme="majorEastAsia" w:hAnsi="Arial" w:cs="Arial"/>
          <w:bCs/>
          <w:kern w:val="0"/>
          <w:sz w:val="24"/>
          <w:szCs w:val="24"/>
          <w:lang w:eastAsia="en-GB"/>
          <w14:ligatures w14:val="none"/>
        </w:rPr>
        <w:t>. Pearson Higher Education AU.</w:t>
      </w:r>
    </w:p>
    <w:p w14:paraId="2668F598" w14:textId="7CCFE23B" w:rsidR="00F52AC0" w:rsidRPr="00F52AC0" w:rsidRDefault="00F52AC0" w:rsidP="00F52AC0">
      <w:pPr>
        <w:spacing w:line="360" w:lineRule="auto"/>
        <w:jc w:val="both"/>
        <w:rPr>
          <w:rFonts w:ascii="Arial" w:eastAsiaTheme="majorEastAsia" w:hAnsi="Arial" w:cs="Arial"/>
          <w:bCs/>
          <w:kern w:val="0"/>
          <w:sz w:val="24"/>
          <w:szCs w:val="24"/>
          <w:lang w:eastAsia="en-GB"/>
          <w14:ligatures w14:val="none"/>
        </w:rPr>
      </w:pPr>
      <w:r w:rsidRPr="00F52AC0">
        <w:rPr>
          <w:rFonts w:ascii="Arial" w:eastAsiaTheme="majorEastAsia" w:hAnsi="Arial" w:cs="Arial"/>
          <w:bCs/>
          <w:kern w:val="0"/>
          <w:sz w:val="24"/>
          <w:szCs w:val="24"/>
          <w:lang w:eastAsia="en-GB"/>
          <w14:ligatures w14:val="none"/>
        </w:rPr>
        <w:t xml:space="preserve">Madura, J., </w:t>
      </w:r>
      <w:proofErr w:type="spellStart"/>
      <w:r w:rsidRPr="00F52AC0">
        <w:rPr>
          <w:rFonts w:ascii="Arial" w:eastAsiaTheme="majorEastAsia" w:hAnsi="Arial" w:cs="Arial"/>
          <w:bCs/>
          <w:kern w:val="0"/>
          <w:sz w:val="24"/>
          <w:szCs w:val="24"/>
          <w:lang w:eastAsia="en-GB"/>
          <w14:ligatures w14:val="none"/>
        </w:rPr>
        <w:t>Hoque</w:t>
      </w:r>
      <w:proofErr w:type="spellEnd"/>
      <w:r w:rsidRPr="00F52AC0">
        <w:rPr>
          <w:rFonts w:ascii="Arial" w:eastAsiaTheme="majorEastAsia" w:hAnsi="Arial" w:cs="Arial"/>
          <w:bCs/>
          <w:kern w:val="0"/>
          <w:sz w:val="24"/>
          <w:szCs w:val="24"/>
          <w:lang w:eastAsia="en-GB"/>
          <w14:ligatures w14:val="none"/>
        </w:rPr>
        <w:t xml:space="preserve">, A. and </w:t>
      </w:r>
      <w:proofErr w:type="spellStart"/>
      <w:r w:rsidRPr="00F52AC0">
        <w:rPr>
          <w:rFonts w:ascii="Arial" w:eastAsiaTheme="majorEastAsia" w:hAnsi="Arial" w:cs="Arial"/>
          <w:bCs/>
          <w:kern w:val="0"/>
          <w:sz w:val="24"/>
          <w:szCs w:val="24"/>
          <w:lang w:eastAsia="en-GB"/>
          <w14:ligatures w14:val="none"/>
        </w:rPr>
        <w:t>Krishnamrti</w:t>
      </w:r>
      <w:proofErr w:type="spellEnd"/>
      <w:r w:rsidRPr="00F52AC0">
        <w:rPr>
          <w:rFonts w:ascii="Arial" w:eastAsiaTheme="majorEastAsia" w:hAnsi="Arial" w:cs="Arial"/>
          <w:bCs/>
          <w:kern w:val="0"/>
          <w:sz w:val="24"/>
          <w:szCs w:val="24"/>
          <w:lang w:eastAsia="en-GB"/>
          <w14:ligatures w14:val="none"/>
        </w:rPr>
        <w:t xml:space="preserve">, C., 2018. </w:t>
      </w:r>
      <w:r w:rsidRPr="00CF3AEC">
        <w:rPr>
          <w:rFonts w:ascii="Arial" w:eastAsiaTheme="majorEastAsia" w:hAnsi="Arial" w:cs="Arial"/>
          <w:bCs/>
          <w:i/>
          <w:iCs/>
          <w:kern w:val="0"/>
          <w:sz w:val="24"/>
          <w:szCs w:val="24"/>
          <w:lang w:eastAsia="en-GB"/>
          <w14:ligatures w14:val="none"/>
        </w:rPr>
        <w:t>International financial management</w:t>
      </w:r>
      <w:r w:rsidRPr="00F52AC0">
        <w:rPr>
          <w:rFonts w:ascii="Arial" w:eastAsiaTheme="majorEastAsia" w:hAnsi="Arial" w:cs="Arial"/>
          <w:bCs/>
          <w:kern w:val="0"/>
          <w:sz w:val="24"/>
          <w:szCs w:val="24"/>
          <w:lang w:eastAsia="en-GB"/>
          <w14:ligatures w14:val="none"/>
        </w:rPr>
        <w:t>. Cengage AU.</w:t>
      </w:r>
    </w:p>
    <w:p w14:paraId="74E6E48C" w14:textId="56D679C5" w:rsidR="00B71DBB" w:rsidRPr="00F52AC0" w:rsidRDefault="00B71DBB" w:rsidP="00F52AC0">
      <w:pPr>
        <w:spacing w:line="360" w:lineRule="auto"/>
        <w:jc w:val="both"/>
        <w:rPr>
          <w:rFonts w:ascii="Arial" w:hAnsi="Arial" w:cs="Arial"/>
          <w:bCs/>
          <w:sz w:val="24"/>
          <w:szCs w:val="24"/>
          <w:lang w:eastAsia="en-GB"/>
        </w:rPr>
      </w:pPr>
      <w:proofErr w:type="spellStart"/>
      <w:r w:rsidRPr="00F52AC0">
        <w:rPr>
          <w:rFonts w:ascii="Arial" w:hAnsi="Arial" w:cs="Arial"/>
          <w:bCs/>
          <w:sz w:val="24"/>
          <w:szCs w:val="24"/>
          <w:lang w:eastAsia="en-GB"/>
        </w:rPr>
        <w:t>Otaka</w:t>
      </w:r>
      <w:proofErr w:type="spellEnd"/>
      <w:r w:rsidRPr="00F52AC0">
        <w:rPr>
          <w:rFonts w:ascii="Arial" w:hAnsi="Arial" w:cs="Arial"/>
          <w:bCs/>
          <w:sz w:val="24"/>
          <w:szCs w:val="24"/>
          <w:lang w:eastAsia="en-GB"/>
        </w:rPr>
        <w:t xml:space="preserve">, S., 2024. </w:t>
      </w:r>
      <w:r w:rsidRPr="00CF3AEC">
        <w:rPr>
          <w:rFonts w:ascii="Arial" w:hAnsi="Arial" w:cs="Arial"/>
          <w:bCs/>
          <w:i/>
          <w:iCs/>
          <w:sz w:val="24"/>
          <w:szCs w:val="24"/>
          <w:lang w:eastAsia="en-GB"/>
        </w:rPr>
        <w:t>Rethinking the concept of equity in accounting: Origin and attribution of business profit. Accounting, Economics, and Law</w:t>
      </w:r>
      <w:r w:rsidRPr="00F52AC0">
        <w:rPr>
          <w:rFonts w:ascii="Arial" w:hAnsi="Arial" w:cs="Arial"/>
          <w:bCs/>
          <w:sz w:val="24"/>
          <w:szCs w:val="24"/>
          <w:lang w:eastAsia="en-GB"/>
        </w:rPr>
        <w:t xml:space="preserve">: A </w:t>
      </w:r>
      <w:proofErr w:type="spellStart"/>
      <w:r w:rsidRPr="00F52AC0">
        <w:rPr>
          <w:rFonts w:ascii="Arial" w:hAnsi="Arial" w:cs="Arial"/>
          <w:bCs/>
          <w:sz w:val="24"/>
          <w:szCs w:val="24"/>
          <w:lang w:eastAsia="en-GB"/>
        </w:rPr>
        <w:t>Convivium</w:t>
      </w:r>
      <w:proofErr w:type="spellEnd"/>
      <w:r w:rsidRPr="00F52AC0">
        <w:rPr>
          <w:rFonts w:ascii="Arial" w:hAnsi="Arial" w:cs="Arial"/>
          <w:bCs/>
          <w:sz w:val="24"/>
          <w:szCs w:val="24"/>
          <w:lang w:eastAsia="en-GB"/>
        </w:rPr>
        <w:t>, 14(3), pp.373-394.</w:t>
      </w:r>
    </w:p>
    <w:p w14:paraId="42AB9F85" w14:textId="2D911EC4" w:rsidR="00B71DBB" w:rsidRPr="00F52AC0" w:rsidRDefault="00B71DBB" w:rsidP="00F52AC0">
      <w:pPr>
        <w:spacing w:line="360" w:lineRule="auto"/>
        <w:jc w:val="both"/>
        <w:rPr>
          <w:rFonts w:ascii="Arial" w:hAnsi="Arial" w:cs="Arial"/>
          <w:sz w:val="24"/>
          <w:szCs w:val="24"/>
          <w:lang w:eastAsia="en-GB"/>
        </w:rPr>
      </w:pPr>
      <w:r w:rsidRPr="00F52AC0">
        <w:rPr>
          <w:rFonts w:ascii="Arial" w:hAnsi="Arial" w:cs="Arial"/>
          <w:sz w:val="24"/>
          <w:szCs w:val="24"/>
          <w:lang w:eastAsia="en-GB"/>
        </w:rPr>
        <w:t xml:space="preserve">Petty, J.W., Titman, S., </w:t>
      </w:r>
      <w:proofErr w:type="spellStart"/>
      <w:r w:rsidRPr="00F52AC0">
        <w:rPr>
          <w:rFonts w:ascii="Arial" w:hAnsi="Arial" w:cs="Arial"/>
          <w:sz w:val="24"/>
          <w:szCs w:val="24"/>
          <w:lang w:eastAsia="en-GB"/>
        </w:rPr>
        <w:t>Keown</w:t>
      </w:r>
      <w:proofErr w:type="spellEnd"/>
      <w:r w:rsidRPr="00F52AC0">
        <w:rPr>
          <w:rFonts w:ascii="Arial" w:hAnsi="Arial" w:cs="Arial"/>
          <w:sz w:val="24"/>
          <w:szCs w:val="24"/>
          <w:lang w:eastAsia="en-GB"/>
        </w:rPr>
        <w:t xml:space="preserve">, A.J., Martin, P., Martin, J.D. and Burrow, M., 2015. </w:t>
      </w:r>
      <w:r w:rsidRPr="00276B4B">
        <w:rPr>
          <w:rFonts w:ascii="Arial" w:hAnsi="Arial" w:cs="Arial"/>
          <w:i/>
          <w:iCs/>
          <w:sz w:val="24"/>
          <w:szCs w:val="24"/>
          <w:lang w:eastAsia="en-GB"/>
        </w:rPr>
        <w:t>Financial management: Principles and applications</w:t>
      </w:r>
      <w:r w:rsidRPr="00F52AC0">
        <w:rPr>
          <w:rFonts w:ascii="Arial" w:hAnsi="Arial" w:cs="Arial"/>
          <w:sz w:val="24"/>
          <w:szCs w:val="24"/>
          <w:lang w:eastAsia="en-GB"/>
        </w:rPr>
        <w:t>. Pearson Higher Education AU.</w:t>
      </w:r>
    </w:p>
    <w:sectPr w:rsidR="00B71DBB" w:rsidRPr="00F52A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93B09" w14:textId="77777777" w:rsidR="00C20240" w:rsidRDefault="00C20240" w:rsidP="00C20240">
      <w:pPr>
        <w:spacing w:after="0" w:line="240" w:lineRule="auto"/>
      </w:pPr>
      <w:r>
        <w:separator/>
      </w:r>
    </w:p>
  </w:endnote>
  <w:endnote w:type="continuationSeparator" w:id="0">
    <w:p w14:paraId="3FF4118F" w14:textId="77777777" w:rsidR="00C20240" w:rsidRDefault="00C20240" w:rsidP="00C20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802011"/>
      <w:docPartObj>
        <w:docPartGallery w:val="Page Numbers (Bottom of Page)"/>
        <w:docPartUnique/>
      </w:docPartObj>
    </w:sdtPr>
    <w:sdtEndPr>
      <w:rPr>
        <w:noProof/>
      </w:rPr>
    </w:sdtEndPr>
    <w:sdtContent>
      <w:p w14:paraId="1E4CED3C" w14:textId="17047E69" w:rsidR="00C20240" w:rsidRDefault="00C202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899448" w14:textId="77777777" w:rsidR="00C20240" w:rsidRDefault="00C20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DEC21" w14:textId="77777777" w:rsidR="00C20240" w:rsidRDefault="00C20240" w:rsidP="00C20240">
      <w:pPr>
        <w:spacing w:after="0" w:line="240" w:lineRule="auto"/>
      </w:pPr>
      <w:r>
        <w:separator/>
      </w:r>
    </w:p>
  </w:footnote>
  <w:footnote w:type="continuationSeparator" w:id="0">
    <w:p w14:paraId="0D3C8B43" w14:textId="77777777" w:rsidR="00C20240" w:rsidRDefault="00C20240" w:rsidP="00C20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56296"/>
    <w:multiLevelType w:val="hybridMultilevel"/>
    <w:tmpl w:val="CADA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102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40"/>
    <w:rsid w:val="00065C12"/>
    <w:rsid w:val="00172B93"/>
    <w:rsid w:val="001D4387"/>
    <w:rsid w:val="0020034E"/>
    <w:rsid w:val="002475DE"/>
    <w:rsid w:val="00262AA3"/>
    <w:rsid w:val="00276B4B"/>
    <w:rsid w:val="006F1F7E"/>
    <w:rsid w:val="007B0CC3"/>
    <w:rsid w:val="00B151A8"/>
    <w:rsid w:val="00B71DBB"/>
    <w:rsid w:val="00C20240"/>
    <w:rsid w:val="00C62C53"/>
    <w:rsid w:val="00C82D1F"/>
    <w:rsid w:val="00CF3AEC"/>
    <w:rsid w:val="00D66037"/>
    <w:rsid w:val="00D73CFE"/>
    <w:rsid w:val="00E328F2"/>
    <w:rsid w:val="00F22719"/>
    <w:rsid w:val="00F52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9BC84"/>
  <w15:chartTrackingRefBased/>
  <w15:docId w15:val="{7C657877-32A1-4EBB-B369-63816E33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202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02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02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02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02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2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2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2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202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0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0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0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0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240"/>
    <w:rPr>
      <w:rFonts w:eastAsiaTheme="majorEastAsia" w:cstheme="majorBidi"/>
      <w:color w:val="272727" w:themeColor="text1" w:themeTint="D8"/>
    </w:rPr>
  </w:style>
  <w:style w:type="paragraph" w:styleId="Title">
    <w:name w:val="Title"/>
    <w:basedOn w:val="Normal"/>
    <w:next w:val="Normal"/>
    <w:link w:val="TitleChar"/>
    <w:uiPriority w:val="10"/>
    <w:qFormat/>
    <w:rsid w:val="00C20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240"/>
    <w:pPr>
      <w:spacing w:before="160"/>
      <w:jc w:val="center"/>
    </w:pPr>
    <w:rPr>
      <w:i/>
      <w:iCs/>
      <w:color w:val="404040" w:themeColor="text1" w:themeTint="BF"/>
    </w:rPr>
  </w:style>
  <w:style w:type="character" w:customStyle="1" w:styleId="QuoteChar">
    <w:name w:val="Quote Char"/>
    <w:basedOn w:val="DefaultParagraphFont"/>
    <w:link w:val="Quote"/>
    <w:uiPriority w:val="29"/>
    <w:rsid w:val="00C20240"/>
    <w:rPr>
      <w:i/>
      <w:iCs/>
      <w:color w:val="404040" w:themeColor="text1" w:themeTint="BF"/>
    </w:rPr>
  </w:style>
  <w:style w:type="paragraph" w:styleId="ListParagraph">
    <w:name w:val="List Paragraph"/>
    <w:basedOn w:val="Normal"/>
    <w:uiPriority w:val="34"/>
    <w:qFormat/>
    <w:rsid w:val="00C20240"/>
    <w:pPr>
      <w:ind w:left="720"/>
      <w:contextualSpacing/>
    </w:pPr>
  </w:style>
  <w:style w:type="character" w:styleId="IntenseEmphasis">
    <w:name w:val="Intense Emphasis"/>
    <w:basedOn w:val="DefaultParagraphFont"/>
    <w:uiPriority w:val="21"/>
    <w:qFormat/>
    <w:rsid w:val="00C20240"/>
    <w:rPr>
      <w:i/>
      <w:iCs/>
      <w:color w:val="2F5496" w:themeColor="accent1" w:themeShade="BF"/>
    </w:rPr>
  </w:style>
  <w:style w:type="paragraph" w:styleId="IntenseQuote">
    <w:name w:val="Intense Quote"/>
    <w:basedOn w:val="Normal"/>
    <w:next w:val="Normal"/>
    <w:link w:val="IntenseQuoteChar"/>
    <w:uiPriority w:val="30"/>
    <w:qFormat/>
    <w:rsid w:val="00C20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0240"/>
    <w:rPr>
      <w:i/>
      <w:iCs/>
      <w:color w:val="2F5496" w:themeColor="accent1" w:themeShade="BF"/>
    </w:rPr>
  </w:style>
  <w:style w:type="character" w:styleId="IntenseReference">
    <w:name w:val="Intense Reference"/>
    <w:basedOn w:val="DefaultParagraphFont"/>
    <w:uiPriority w:val="32"/>
    <w:qFormat/>
    <w:rsid w:val="00C20240"/>
    <w:rPr>
      <w:b/>
      <w:bCs/>
      <w:smallCaps/>
      <w:color w:val="2F5496" w:themeColor="accent1" w:themeShade="BF"/>
      <w:spacing w:val="5"/>
    </w:rPr>
  </w:style>
  <w:style w:type="paragraph" w:styleId="Header">
    <w:name w:val="header"/>
    <w:basedOn w:val="Normal"/>
    <w:link w:val="HeaderChar"/>
    <w:uiPriority w:val="99"/>
    <w:unhideWhenUsed/>
    <w:rsid w:val="00C2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240"/>
  </w:style>
  <w:style w:type="paragraph" w:styleId="Footer">
    <w:name w:val="footer"/>
    <w:basedOn w:val="Normal"/>
    <w:link w:val="FooterChar"/>
    <w:uiPriority w:val="99"/>
    <w:unhideWhenUsed/>
    <w:rsid w:val="00C2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240"/>
  </w:style>
  <w:style w:type="table" w:styleId="TableGrid">
    <w:name w:val="Table Grid"/>
    <w:basedOn w:val="TableNormal"/>
    <w:uiPriority w:val="39"/>
    <w:rsid w:val="00F22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75DE"/>
    <w:pPr>
      <w:outlineLvl w:val="9"/>
    </w:pPr>
    <w:rPr>
      <w:kern w:val="0"/>
      <w:lang w:val="en-US"/>
      <w14:ligatures w14:val="none"/>
    </w:rPr>
  </w:style>
  <w:style w:type="paragraph" w:styleId="TOC1">
    <w:name w:val="toc 1"/>
    <w:basedOn w:val="Normal"/>
    <w:next w:val="Normal"/>
    <w:autoRedefine/>
    <w:uiPriority w:val="39"/>
    <w:unhideWhenUsed/>
    <w:rsid w:val="002475DE"/>
    <w:pPr>
      <w:spacing w:after="100"/>
    </w:pPr>
  </w:style>
  <w:style w:type="character" w:styleId="Hyperlink">
    <w:name w:val="Hyperlink"/>
    <w:basedOn w:val="DefaultParagraphFont"/>
    <w:uiPriority w:val="99"/>
    <w:unhideWhenUsed/>
    <w:rsid w:val="002475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867786">
      <w:bodyDiv w:val="1"/>
      <w:marLeft w:val="0"/>
      <w:marRight w:val="0"/>
      <w:marTop w:val="0"/>
      <w:marBottom w:val="0"/>
      <w:divBdr>
        <w:top w:val="none" w:sz="0" w:space="0" w:color="auto"/>
        <w:left w:val="none" w:sz="0" w:space="0" w:color="auto"/>
        <w:bottom w:val="none" w:sz="0" w:space="0" w:color="auto"/>
        <w:right w:val="none" w:sz="0" w:space="0" w:color="auto"/>
      </w:divBdr>
    </w:div>
    <w:div w:id="824511833">
      <w:bodyDiv w:val="1"/>
      <w:marLeft w:val="0"/>
      <w:marRight w:val="0"/>
      <w:marTop w:val="0"/>
      <w:marBottom w:val="0"/>
      <w:divBdr>
        <w:top w:val="none" w:sz="0" w:space="0" w:color="auto"/>
        <w:left w:val="none" w:sz="0" w:space="0" w:color="auto"/>
        <w:bottom w:val="none" w:sz="0" w:space="0" w:color="auto"/>
        <w:right w:val="none" w:sz="0" w:space="0" w:color="auto"/>
      </w:divBdr>
    </w:div>
    <w:div w:id="1170171456">
      <w:bodyDiv w:val="1"/>
      <w:marLeft w:val="0"/>
      <w:marRight w:val="0"/>
      <w:marTop w:val="0"/>
      <w:marBottom w:val="0"/>
      <w:divBdr>
        <w:top w:val="none" w:sz="0" w:space="0" w:color="auto"/>
        <w:left w:val="none" w:sz="0" w:space="0" w:color="auto"/>
        <w:bottom w:val="none" w:sz="0" w:space="0" w:color="auto"/>
        <w:right w:val="none" w:sz="0" w:space="0" w:color="auto"/>
      </w:divBdr>
    </w:div>
    <w:div w:id="1447579161">
      <w:bodyDiv w:val="1"/>
      <w:marLeft w:val="0"/>
      <w:marRight w:val="0"/>
      <w:marTop w:val="0"/>
      <w:marBottom w:val="0"/>
      <w:divBdr>
        <w:top w:val="none" w:sz="0" w:space="0" w:color="auto"/>
        <w:left w:val="none" w:sz="0" w:space="0" w:color="auto"/>
        <w:bottom w:val="none" w:sz="0" w:space="0" w:color="auto"/>
        <w:right w:val="none" w:sz="0" w:space="0" w:color="auto"/>
      </w:divBdr>
    </w:div>
    <w:div w:id="196268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E10CE-C1F3-4615-925B-6DA8C44A9E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2436</Words>
  <Characters>13886</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vt:lpstr>
      <vt:lpstr>Introduction</vt:lpstr>
      <vt:lpstr>Discussion of Findings</vt:lpstr>
      <vt:lpstr>Maintaining Capital Structure</vt:lpstr>
      <vt:lpstr>Corporate Governance &amp; CSR</vt:lpstr>
      <vt:lpstr>Director Remuneration after IPO</vt:lpstr>
      <vt:lpstr>Conclusion</vt:lpstr>
      <vt:lpstr>References</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2</cp:revision>
  <dcterms:created xsi:type="dcterms:W3CDTF">2025-07-25T12:42:00Z</dcterms:created>
  <dcterms:modified xsi:type="dcterms:W3CDTF">2025-07-25T12:42:00Z</dcterms:modified>
</cp:coreProperties>
</file>