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13E89D1" w14:textId="719911A9" w:rsidR="59F046CD" w:rsidRDefault="59F046CD" w:rsidP="372869CE">
      <w:pPr>
        <w:rPr>
          <w:rFonts w:ascii="Aptos" w:eastAsia="Aptos" w:hAnsi="Aptos" w:cs="Aptos"/>
          <w:color w:val="000000" w:themeColor="text1"/>
        </w:rPr>
      </w:pPr>
      <w:r>
        <w:rPr>
          <w:noProof/>
        </w:rPr>
        <w:drawing>
          <wp:inline distT="0" distB="0" distL="0" distR="0" wp14:anchorId="109B4F9A" wp14:editId="0204E5DD">
            <wp:extent cx="1809750" cy="723900"/>
            <wp:effectExtent l="0" t="0" r="0" b="0"/>
            <wp:docPr id="642996747" name="drawing" title="Discover University of Wales Trinity Saint David">
              <a:extLst xmlns:a="http://schemas.openxmlformats.org/drawingml/2006/main">
                <a:ext uri="{FF2B5EF4-FFF2-40B4-BE49-F238E27FC236}">
                  <a16:creationId xmlns:a16="http://schemas.microsoft.com/office/drawing/2014/main" id="{D00BC6B5-CEC8-40BF-87FE-8B69686732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996747" name="Picture 642996747"/>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6B9DA46C" w:rsidRPr="372869CE">
        <w:rPr>
          <w:rFonts w:ascii="Aptos" w:eastAsia="Aptos" w:hAnsi="Aptos" w:cs="Aptos"/>
          <w:color w:val="000000" w:themeColor="text1"/>
        </w:rPr>
        <w:t xml:space="preserve">Academic Skills </w:t>
      </w:r>
    </w:p>
    <w:p w14:paraId="265BE6A3" w14:textId="0E6D564E" w:rsidR="6B9DA46C" w:rsidRDefault="6B9DA46C" w:rsidP="372869CE">
      <w:pPr>
        <w:ind w:left="2880"/>
      </w:pPr>
      <w:r w:rsidRPr="372869CE">
        <w:rPr>
          <w:rFonts w:ascii="Aptos" w:eastAsia="Aptos" w:hAnsi="Aptos" w:cs="Aptos"/>
          <w:color w:val="000000" w:themeColor="text1"/>
        </w:rPr>
        <w:t>Academic Report</w:t>
      </w:r>
    </w:p>
    <w:p w14:paraId="173D5C66" w14:textId="31E59B9A" w:rsidR="6B9DA46C" w:rsidRDefault="6B9DA46C" w:rsidP="372869CE">
      <w:pPr>
        <w:ind w:left="2160"/>
      </w:pPr>
      <w:r w:rsidRPr="372869CE">
        <w:rPr>
          <w:rFonts w:ascii="Aptos" w:eastAsia="Aptos" w:hAnsi="Aptos" w:cs="Aptos"/>
          <w:b/>
          <w:bCs/>
          <w:color w:val="000000" w:themeColor="text1"/>
          <w:sz w:val="28"/>
          <w:szCs w:val="28"/>
        </w:rPr>
        <w:t>Student Name</w:t>
      </w:r>
      <w:r w:rsidRPr="372869CE">
        <w:rPr>
          <w:rFonts w:ascii="Aptos" w:eastAsia="Aptos" w:hAnsi="Aptos" w:cs="Aptos"/>
          <w:color w:val="000000" w:themeColor="text1"/>
        </w:rPr>
        <w:t>: Catalina Caravan</w:t>
      </w:r>
    </w:p>
    <w:p w14:paraId="44E74053" w14:textId="566794D4" w:rsidR="6B9DA46C" w:rsidRDefault="6B9DA46C" w:rsidP="372869CE">
      <w:pPr>
        <w:ind w:left="2160"/>
        <w:rPr>
          <w:rFonts w:ascii="Aptos" w:eastAsia="Aptos" w:hAnsi="Aptos" w:cs="Aptos"/>
          <w:color w:val="000000" w:themeColor="text1"/>
        </w:rPr>
      </w:pPr>
      <w:r w:rsidRPr="372869CE">
        <w:rPr>
          <w:rFonts w:ascii="Aptos" w:eastAsia="Aptos" w:hAnsi="Aptos" w:cs="Aptos"/>
          <w:b/>
          <w:bCs/>
          <w:color w:val="000000" w:themeColor="text1"/>
          <w:sz w:val="28"/>
          <w:szCs w:val="28"/>
        </w:rPr>
        <w:t>Student ID</w:t>
      </w:r>
      <w:r w:rsidRPr="372869CE">
        <w:rPr>
          <w:rFonts w:ascii="Aptos" w:eastAsia="Aptos" w:hAnsi="Aptos" w:cs="Aptos"/>
          <w:color w:val="000000" w:themeColor="text1"/>
        </w:rPr>
        <w:t xml:space="preserve">: </w:t>
      </w:r>
      <w:r w:rsidR="30D4F319" w:rsidRPr="538E9C4E">
        <w:rPr>
          <w:rFonts w:ascii="Aptos" w:eastAsia="Aptos" w:hAnsi="Aptos" w:cs="Aptos"/>
          <w:color w:val="000000" w:themeColor="text1"/>
        </w:rPr>
        <w:t>2541270</w:t>
      </w:r>
    </w:p>
    <w:p w14:paraId="67618851" w14:textId="64165DC4" w:rsidR="6B9DA46C" w:rsidRDefault="6B9DA46C" w:rsidP="372869CE">
      <w:pPr>
        <w:ind w:left="2160"/>
        <w:rPr>
          <w:rFonts w:ascii="Aptos" w:eastAsia="Aptos" w:hAnsi="Aptos" w:cs="Aptos"/>
          <w:color w:val="000000" w:themeColor="text1"/>
        </w:rPr>
      </w:pPr>
      <w:r w:rsidRPr="372869CE">
        <w:rPr>
          <w:rFonts w:ascii="Aptos" w:eastAsia="Aptos" w:hAnsi="Aptos" w:cs="Aptos"/>
          <w:b/>
          <w:bCs/>
          <w:color w:val="000000" w:themeColor="text1"/>
          <w:sz w:val="28"/>
          <w:szCs w:val="28"/>
        </w:rPr>
        <w:t>Module Code</w:t>
      </w:r>
      <w:r w:rsidRPr="372869CE">
        <w:rPr>
          <w:rFonts w:ascii="Aptos" w:eastAsia="Aptos" w:hAnsi="Aptos" w:cs="Aptos"/>
          <w:color w:val="000000" w:themeColor="text1"/>
        </w:rPr>
        <w:t>: LCHS400</w:t>
      </w:r>
      <w:r w:rsidR="583AF7E2" w:rsidRPr="372869CE">
        <w:rPr>
          <w:rFonts w:ascii="Aptos" w:eastAsia="Aptos" w:hAnsi="Aptos" w:cs="Aptos"/>
          <w:color w:val="000000" w:themeColor="text1"/>
        </w:rPr>
        <w:t>7</w:t>
      </w:r>
    </w:p>
    <w:p w14:paraId="0E4C527E" w14:textId="4937AB4C" w:rsidR="6B9DA46C" w:rsidRDefault="6B9DA46C" w:rsidP="372869CE">
      <w:pPr>
        <w:ind w:left="2160"/>
        <w:rPr>
          <w:rFonts w:ascii="Aptos" w:eastAsia="Aptos" w:hAnsi="Aptos" w:cs="Aptos"/>
          <w:color w:val="000000" w:themeColor="text1"/>
        </w:rPr>
      </w:pPr>
      <w:r w:rsidRPr="372869CE">
        <w:rPr>
          <w:rFonts w:ascii="Aptos" w:eastAsia="Aptos" w:hAnsi="Aptos" w:cs="Aptos"/>
          <w:b/>
          <w:bCs/>
          <w:color w:val="000000" w:themeColor="text1"/>
          <w:sz w:val="28"/>
          <w:szCs w:val="28"/>
        </w:rPr>
        <w:t>Assignment</w:t>
      </w:r>
      <w:r w:rsidRPr="372869CE">
        <w:rPr>
          <w:rFonts w:ascii="Aptos" w:eastAsia="Aptos" w:hAnsi="Aptos" w:cs="Aptos"/>
          <w:color w:val="000000" w:themeColor="text1"/>
        </w:rPr>
        <w:t xml:space="preserve">: </w:t>
      </w:r>
      <w:r w:rsidR="4FC03B57" w:rsidRPr="372869CE">
        <w:rPr>
          <w:rFonts w:ascii="Aptos" w:eastAsia="Aptos" w:hAnsi="Aptos" w:cs="Aptos"/>
          <w:color w:val="000000" w:themeColor="text1"/>
        </w:rPr>
        <w:t>School Attendance Problems &amp; Covid-19</w:t>
      </w:r>
    </w:p>
    <w:p w14:paraId="64B52297" w14:textId="7F05951E" w:rsidR="6B9DA46C" w:rsidRDefault="6B9DA46C" w:rsidP="372869CE">
      <w:pPr>
        <w:ind w:left="2160"/>
      </w:pPr>
      <w:r w:rsidRPr="372869CE">
        <w:rPr>
          <w:rFonts w:ascii="Aptos" w:eastAsia="Aptos" w:hAnsi="Aptos" w:cs="Aptos"/>
          <w:b/>
          <w:bCs/>
          <w:color w:val="000000" w:themeColor="text1"/>
          <w:sz w:val="28"/>
          <w:szCs w:val="28"/>
        </w:rPr>
        <w:t>Lecture Name</w:t>
      </w:r>
      <w:r w:rsidRPr="372869CE">
        <w:rPr>
          <w:rFonts w:ascii="Aptos" w:eastAsia="Aptos" w:hAnsi="Aptos" w:cs="Aptos"/>
          <w:color w:val="000000" w:themeColor="text1"/>
        </w:rPr>
        <w:t xml:space="preserve">: </w:t>
      </w:r>
      <w:r w:rsidR="79BFE1E2" w:rsidRPr="372869CE">
        <w:rPr>
          <w:rFonts w:ascii="Aptos" w:eastAsia="Aptos" w:hAnsi="Aptos" w:cs="Aptos"/>
          <w:color w:val="000000" w:themeColor="text1"/>
        </w:rPr>
        <w:t>Hajra Mustasim</w:t>
      </w:r>
    </w:p>
    <w:p w14:paraId="4F43B7B8" w14:textId="78502622" w:rsidR="6B9DA46C" w:rsidRDefault="6B9DA46C" w:rsidP="372869CE">
      <w:pPr>
        <w:ind w:left="2160"/>
        <w:rPr>
          <w:rFonts w:ascii="Aptos" w:eastAsia="Aptos" w:hAnsi="Aptos" w:cs="Aptos"/>
          <w:color w:val="000000" w:themeColor="text1"/>
        </w:rPr>
      </w:pPr>
      <w:r w:rsidRPr="372869CE">
        <w:rPr>
          <w:rFonts w:ascii="Aptos" w:eastAsia="Aptos" w:hAnsi="Aptos" w:cs="Aptos"/>
          <w:b/>
          <w:bCs/>
          <w:color w:val="000000" w:themeColor="text1"/>
          <w:sz w:val="28"/>
          <w:szCs w:val="28"/>
        </w:rPr>
        <w:t>Submission Date</w:t>
      </w:r>
      <w:r w:rsidRPr="372869CE">
        <w:rPr>
          <w:rFonts w:ascii="Aptos" w:eastAsia="Aptos" w:hAnsi="Aptos" w:cs="Aptos"/>
          <w:color w:val="000000" w:themeColor="text1"/>
        </w:rPr>
        <w:t>: 2</w:t>
      </w:r>
      <w:r w:rsidR="391FABD1" w:rsidRPr="372869CE">
        <w:rPr>
          <w:rFonts w:ascii="Aptos" w:eastAsia="Aptos" w:hAnsi="Aptos" w:cs="Aptos"/>
          <w:color w:val="000000" w:themeColor="text1"/>
        </w:rPr>
        <w:t>1</w:t>
      </w:r>
      <w:r w:rsidR="19627404" w:rsidRPr="372869CE">
        <w:rPr>
          <w:rFonts w:ascii="Aptos" w:eastAsia="Aptos" w:hAnsi="Aptos" w:cs="Aptos"/>
          <w:color w:val="000000" w:themeColor="text1"/>
          <w:vertAlign w:val="superscript"/>
        </w:rPr>
        <w:t>st July</w:t>
      </w:r>
      <w:r w:rsidRPr="372869CE">
        <w:rPr>
          <w:rFonts w:ascii="Aptos" w:eastAsia="Aptos" w:hAnsi="Aptos" w:cs="Aptos"/>
          <w:color w:val="000000" w:themeColor="text1"/>
        </w:rPr>
        <w:t xml:space="preserve"> 2026</w:t>
      </w:r>
    </w:p>
    <w:p w14:paraId="525495A2" w14:textId="3D5604B7" w:rsidR="6B9DA46C" w:rsidRDefault="6B9DA46C" w:rsidP="372869CE">
      <w:pPr>
        <w:ind w:left="2160"/>
        <w:rPr>
          <w:rFonts w:ascii="Aptos" w:eastAsia="Aptos" w:hAnsi="Aptos" w:cs="Aptos"/>
          <w:color w:val="000000" w:themeColor="text1"/>
        </w:rPr>
      </w:pPr>
      <w:r w:rsidRPr="372869CE">
        <w:rPr>
          <w:rFonts w:ascii="Aptos" w:eastAsia="Aptos" w:hAnsi="Aptos" w:cs="Aptos"/>
          <w:b/>
          <w:bCs/>
          <w:color w:val="000000" w:themeColor="text1"/>
          <w:sz w:val="28"/>
          <w:szCs w:val="28"/>
        </w:rPr>
        <w:t>Word Count</w:t>
      </w:r>
      <w:r w:rsidRPr="372869CE">
        <w:rPr>
          <w:rFonts w:ascii="Aptos" w:eastAsia="Aptos" w:hAnsi="Aptos" w:cs="Aptos"/>
          <w:color w:val="000000" w:themeColor="text1"/>
        </w:rPr>
        <w:t>: 1</w:t>
      </w:r>
      <w:r w:rsidR="5CCA54CB" w:rsidRPr="372869CE">
        <w:rPr>
          <w:rFonts w:ascii="Aptos" w:eastAsia="Aptos" w:hAnsi="Aptos" w:cs="Aptos"/>
          <w:color w:val="000000" w:themeColor="text1"/>
        </w:rPr>
        <w:t>500 words</w:t>
      </w:r>
    </w:p>
    <w:p w14:paraId="09903840" w14:textId="34849A83" w:rsidR="372869CE" w:rsidRDefault="372869CE" w:rsidP="372869CE">
      <w:pPr>
        <w:ind w:left="2160"/>
        <w:rPr>
          <w:rFonts w:ascii="Aptos" w:eastAsia="Aptos" w:hAnsi="Aptos" w:cs="Aptos"/>
          <w:color w:val="000000" w:themeColor="text1"/>
        </w:rPr>
      </w:pPr>
    </w:p>
    <w:p w14:paraId="62E4C81F" w14:textId="528ADB2C" w:rsidR="372869CE" w:rsidRDefault="372869CE" w:rsidP="372869CE">
      <w:pPr>
        <w:rPr>
          <w:rFonts w:ascii="Aptos" w:eastAsia="Aptos" w:hAnsi="Aptos" w:cs="Aptos"/>
          <w:color w:val="000000" w:themeColor="text1"/>
        </w:rPr>
      </w:pPr>
    </w:p>
    <w:p w14:paraId="107F49A9" w14:textId="23C9FC1E" w:rsidR="372869CE" w:rsidRDefault="372869CE" w:rsidP="372869CE"/>
    <w:p w14:paraId="3BA3F9BC" w14:textId="561C0DD2" w:rsidR="00E33178" w:rsidRDefault="00E33178" w:rsidP="00E33178"/>
    <w:p w14:paraId="29184114" w14:textId="3FC70255" w:rsidR="3F794569" w:rsidRDefault="3F794569"/>
    <w:p w14:paraId="38931467" w14:textId="24DD8950" w:rsidR="3F794569" w:rsidRDefault="3F794569"/>
    <w:p w14:paraId="656C865A" w14:textId="5F3DC318" w:rsidR="3F794569" w:rsidRDefault="3F794569"/>
    <w:p w14:paraId="0C623A0F" w14:textId="56587090" w:rsidR="3F794569" w:rsidRDefault="3F794569"/>
    <w:p w14:paraId="6A6C0D13" w14:textId="0E5D7897" w:rsidR="3F794569" w:rsidRDefault="3F794569"/>
    <w:p w14:paraId="64C31098" w14:textId="203DA168" w:rsidR="3F794569" w:rsidRDefault="3F794569"/>
    <w:p w14:paraId="57A95040" w14:textId="37B18EAF" w:rsidR="3F794569" w:rsidRDefault="3F794569"/>
    <w:p w14:paraId="16541F02" w14:textId="21BDAE97" w:rsidR="3F794569" w:rsidRDefault="3F794569"/>
    <w:p w14:paraId="472D0300" w14:textId="7C26E6CF" w:rsidR="3F794569" w:rsidRDefault="3F794569"/>
    <w:p w14:paraId="10FDE2AE" w14:textId="07BE3263" w:rsidR="3F794569" w:rsidRDefault="3F794569"/>
    <w:p w14:paraId="6710EA10" w14:textId="1A04BB24" w:rsidR="3F794569" w:rsidRDefault="3F794569"/>
    <w:p w14:paraId="74F25987" w14:textId="73FF4A78" w:rsidR="1DEFEAE3" w:rsidRDefault="1DEFEAE3"/>
    <w:p w14:paraId="71A68861" w14:textId="5B6BF05B" w:rsidR="00E33178" w:rsidRDefault="00E33178" w:rsidP="00E33178">
      <w:pPr>
        <w:rPr>
          <w:b/>
          <w:bCs/>
        </w:rPr>
      </w:pPr>
      <w:r w:rsidRPr="1C9265EB">
        <w:rPr>
          <w:b/>
          <w:bCs/>
        </w:rPr>
        <w:t>Section 1: Introducing the Research Paper and Topic Development</w:t>
      </w:r>
      <w:r w:rsidR="6B490BBB" w:rsidRPr="1C9265EB">
        <w:rPr>
          <w:b/>
          <w:bCs/>
        </w:rPr>
        <w:t xml:space="preserve"> </w:t>
      </w:r>
      <w:r w:rsidRPr="1C9265EB">
        <w:rPr>
          <w:b/>
          <w:bCs/>
        </w:rPr>
        <w:t>(350 words)</w:t>
      </w:r>
    </w:p>
    <w:p w14:paraId="1CCAF50A" w14:textId="77777777" w:rsidR="00E33178" w:rsidRDefault="00E33178" w:rsidP="00E33178"/>
    <w:p w14:paraId="31274797" w14:textId="21B3F26D" w:rsidR="00E33178" w:rsidRDefault="00E33178" w:rsidP="00E33178">
      <w:r>
        <w:t>This report examines the research paper titled School Attendance Problems &amp; COVID-19, authored by McDonald, Lester</w:t>
      </w:r>
      <w:r w:rsidR="718D1742">
        <w:t>,</w:t>
      </w:r>
      <w:r>
        <w:t xml:space="preserve"> and Michelson, and published in 2023. The study investigates how the COVID-19 pandemic and associated public health restrictions transformed school attendance patterns, affected children’s wellbeing, and strained support systems across education, health</w:t>
      </w:r>
      <w:r w:rsidR="181F71D3">
        <w:t>,</w:t>
      </w:r>
      <w:r>
        <w:t xml:space="preserve"> and social care in England.</w:t>
      </w:r>
    </w:p>
    <w:p w14:paraId="4AF24638" w14:textId="77777777" w:rsidR="00E33178" w:rsidRDefault="00E33178" w:rsidP="00E33178"/>
    <w:p w14:paraId="4B7CAE6E" w14:textId="59B127F8" w:rsidR="00E33178" w:rsidRDefault="00E33178" w:rsidP="00E33178">
      <w:r>
        <w:t>The core issue explored is the substantial and sustained rise in school absence following periods of national lockdown, remote learning</w:t>
      </w:r>
      <w:r w:rsidR="26FA6A03">
        <w:t>,</w:t>
      </w:r>
      <w:r>
        <w:t xml:space="preserve"> and public health guidance. While these measures were implemented to protect public health, they created unintended long-term consequences: disengagement from education, loss of established routines, and growing gaps in support for vulnerable learners. The authors analyse how these challenges emerged, which groups were most affected, and what barriers prevent children from returning to consistent in-person learning.</w:t>
      </w:r>
    </w:p>
    <w:p w14:paraId="093C94DF" w14:textId="77777777" w:rsidR="00E33178" w:rsidRDefault="00E33178" w:rsidP="00E33178"/>
    <w:p w14:paraId="7427D97E" w14:textId="19C243F9" w:rsidR="00E33178" w:rsidRDefault="00E33178" w:rsidP="00E33178">
      <w:r>
        <w:t>The research focuses on children and young people aged 5 to 16, their parents and carers, school staff, and multi-agency professionals working in health, social care</w:t>
      </w:r>
      <w:r w:rsidR="4F174DE3">
        <w:t>,</w:t>
      </w:r>
      <w:r>
        <w:t xml:space="preserve"> and children’s services. It includes primary and secondary school settings across urban, rural</w:t>
      </w:r>
      <w:r w:rsidR="699AA1C8">
        <w:t>,</w:t>
      </w:r>
      <w:r>
        <w:t xml:space="preserve"> and coastal areas, with specific attention to groups already facing disadvantage before the pandemic – including those with special educational needs and disabilities (SEND), children in care, and those from low-income households.</w:t>
      </w:r>
    </w:p>
    <w:p w14:paraId="37CFB69A" w14:textId="77777777" w:rsidR="00E33178" w:rsidRDefault="00E33178" w:rsidP="00E33178"/>
    <w:p w14:paraId="369D0724" w14:textId="77777777" w:rsidR="00E33178" w:rsidRDefault="00E33178" w:rsidP="00E33178">
      <w:r>
        <w:t>This topic holds critical importance for UK health and social care. Regular school attendance is widely recognised as a key social determinant of health: it supports physical development, emotional resilience, social connection, and future life opportunities. For practitioners, attendance patterns act as an early warning system for safeguarding concerns, family hardship, or unmet health needs. The findings highlight how education and care services must work together to address inequalities, ensure children’s rights are upheld under the Children Act 1989 and the UN Convention on the Rights of the Child, and build resilient support systems that can respond to future public health challenges. Understanding these impacts is essential for designing person-centred interventions that meet both educational and care needs.</w:t>
      </w:r>
    </w:p>
    <w:p w14:paraId="17209981" w14:textId="34E1D1BF" w:rsidR="62B56D9F" w:rsidRDefault="62B56D9F"/>
    <w:p w14:paraId="5867ABBA" w14:textId="2A59D9C6" w:rsidR="60812FAA" w:rsidRDefault="60812FAA"/>
    <w:p w14:paraId="6EA311F4" w14:textId="62DF5CE0" w:rsidR="00E33178" w:rsidRDefault="00E33178" w:rsidP="00E33178">
      <w:pPr>
        <w:rPr>
          <w:b/>
          <w:bCs/>
        </w:rPr>
      </w:pPr>
      <w:r w:rsidRPr="3C22B656">
        <w:rPr>
          <w:b/>
          <w:bCs/>
        </w:rPr>
        <w:t>Section 2: Understanding the Purpose and Research Question</w:t>
      </w:r>
      <w:r w:rsidR="0FB02F1A" w:rsidRPr="3C22B656">
        <w:rPr>
          <w:b/>
          <w:bCs/>
        </w:rPr>
        <w:t xml:space="preserve"> </w:t>
      </w:r>
      <w:r w:rsidRPr="3C22B656">
        <w:rPr>
          <w:b/>
          <w:bCs/>
        </w:rPr>
        <w:t>(100 words)</w:t>
      </w:r>
    </w:p>
    <w:p w14:paraId="00F4A3EC" w14:textId="77777777" w:rsidR="00E33178" w:rsidRDefault="00E33178" w:rsidP="00E33178"/>
    <w:p w14:paraId="1725D52C" w14:textId="130F390F" w:rsidR="00E33178" w:rsidRDefault="00E33178" w:rsidP="00E33178">
      <w:r>
        <w:t>The study’s primary aim is to assess changes in school attendance between 2019 and 2023, identify the root causes of increased absence, and evaluate the effectiveness of support measures introduced by schools and agencies. The specific research questions are:</w:t>
      </w:r>
    </w:p>
    <w:p w14:paraId="57263AC9" w14:textId="107259F0" w:rsidR="00E33178" w:rsidRDefault="00E33178" w:rsidP="00E33178">
      <w:r>
        <w:t>1. How have overall and persistent absence rates changed compared to pre-pandemic levels?</w:t>
      </w:r>
    </w:p>
    <w:p w14:paraId="46278ED4" w14:textId="1CC85702" w:rsidR="00E33178" w:rsidRDefault="00E33178" w:rsidP="00E33178">
      <w:r>
        <w:t>2. What individual, family, institutional and societal factors explain these changes?</w:t>
      </w:r>
    </w:p>
    <w:p w14:paraId="769F286A" w14:textId="77777777" w:rsidR="00E33178" w:rsidRDefault="00E33178" w:rsidP="00E33178">
      <w:r>
        <w:t>3. What barriers prevent children from re-engaging with education, and what support do they require?</w:t>
      </w:r>
    </w:p>
    <w:p w14:paraId="21E8AA5C" w14:textId="24C08902" w:rsidR="058A66F4" w:rsidRDefault="058A66F4">
      <w:pPr>
        <w:rPr>
          <w:b/>
          <w:bCs/>
        </w:rPr>
      </w:pPr>
    </w:p>
    <w:p w14:paraId="39995A38" w14:textId="585A65DB" w:rsidR="00E33178" w:rsidRDefault="00E33178" w:rsidP="00E33178">
      <w:pPr>
        <w:rPr>
          <w:b/>
          <w:bCs/>
        </w:rPr>
      </w:pPr>
      <w:r w:rsidRPr="001E106D">
        <w:rPr>
          <w:b/>
          <w:bCs/>
        </w:rPr>
        <w:t>Section 3: Understanding the Research Methods</w:t>
      </w:r>
      <w:r w:rsidR="31CEAA0D" w:rsidRPr="001E106D">
        <w:rPr>
          <w:b/>
          <w:bCs/>
        </w:rPr>
        <w:t xml:space="preserve"> </w:t>
      </w:r>
      <w:r w:rsidRPr="001E106D">
        <w:rPr>
          <w:b/>
          <w:bCs/>
        </w:rPr>
        <w:t>(800 words)</w:t>
      </w:r>
    </w:p>
    <w:p w14:paraId="4B26EB3D" w14:textId="77777777" w:rsidR="00E33178" w:rsidRDefault="00E33178" w:rsidP="00E33178"/>
    <w:p w14:paraId="2F1B5548" w14:textId="77777777" w:rsidR="00E33178" w:rsidRDefault="00E33178" w:rsidP="00E33178">
      <w:r>
        <w:t>Research Methodologies Defined</w:t>
      </w:r>
    </w:p>
    <w:p w14:paraId="46A387FE" w14:textId="77777777" w:rsidR="00E33178" w:rsidRDefault="00E33178" w:rsidP="00E33178"/>
    <w:p w14:paraId="0AA4F724" w14:textId="14C090EA" w:rsidR="00E33178" w:rsidRDefault="00E33178" w:rsidP="00E33178">
      <w:r>
        <w:t>Quantitative research gathers numerical data to measure trends, frequencies</w:t>
      </w:r>
      <w:r w:rsidR="389EBEBA">
        <w:t>,</w:t>
      </w:r>
      <w:r>
        <w:t xml:space="preserve"> and statistical relationships. It uses structured tools such as surveys or official records to answer questions about scale and extent, producing findings that can be generalised across large groups. Qualitative research explores experiences, perceptions and meanings through unstructured or semi-structured methods such as interviews or focus groups. It seeks to understand why and how situations occur, rather than just measuring what is happening. Mixed-methods research integrates both approaches: quantitative data establishes the scope of an issue, while qualitative insights explain the human context behind those statistics. This combination strengthens validity by balancing breadth with depth.</w:t>
      </w:r>
    </w:p>
    <w:p w14:paraId="75A9C7B6" w14:textId="77777777" w:rsidR="00E33178" w:rsidRDefault="00E33178" w:rsidP="00E33178"/>
    <w:p w14:paraId="0D5F94B2" w14:textId="77777777" w:rsidR="00E33178" w:rsidRDefault="00E33178" w:rsidP="00E33178">
      <w:pPr>
        <w:rPr>
          <w:highlight w:val="yellow"/>
        </w:rPr>
      </w:pPr>
      <w:r w:rsidRPr="502F1FD1">
        <w:rPr>
          <w:highlight w:val="yellow"/>
        </w:rPr>
        <w:t>Approach Selected</w:t>
      </w:r>
    </w:p>
    <w:p w14:paraId="26D822A5" w14:textId="77777777" w:rsidR="00E33178" w:rsidRDefault="00E33178" w:rsidP="00E33178"/>
    <w:p w14:paraId="4CB5CD56" w14:textId="77777777" w:rsidR="00E33178" w:rsidRDefault="00E33178" w:rsidP="00E33178">
      <w:r>
        <w:t>This study uses a mixed-methods sequential explanatory design. First, the researchers analysed large-scale quantitative data to map national and local attendance trends. Next, they collected qualitative evidence to explore the personal and organisational experiences behind those statistics. This approach was chosen because attendance is shaped by measurable factors (such as location or household income) and deeply personal circumstances (such as anxiety or family illness), requiring both forms of understanding.</w:t>
      </w:r>
    </w:p>
    <w:p w14:paraId="75933B53" w14:textId="77777777" w:rsidR="00E33178" w:rsidRDefault="00E33178" w:rsidP="00E33178"/>
    <w:p w14:paraId="2C57CC40" w14:textId="77777777" w:rsidR="00E33178" w:rsidRDefault="00E33178" w:rsidP="00E33178">
      <w:pPr>
        <w:rPr>
          <w:highlight w:val="yellow"/>
        </w:rPr>
      </w:pPr>
      <w:r w:rsidRPr="53CE2D06">
        <w:rPr>
          <w:highlight w:val="yellow"/>
        </w:rPr>
        <w:t>Primary and Secondary Data</w:t>
      </w:r>
    </w:p>
    <w:p w14:paraId="3F4378B5" w14:textId="77777777" w:rsidR="00E33178" w:rsidRDefault="00E33178" w:rsidP="00E33178"/>
    <w:p w14:paraId="1A7AA035" w14:textId="77777777" w:rsidR="00E33178" w:rsidRDefault="00E33178" w:rsidP="00E33178">
      <w:r>
        <w:t>Primary data is original information gathered directly from participants for the specific study. Secondary data refers to existing datasets collected by other bodies for different purposes, such as government statistics or administrative records. This research draws on both sources to build a complete picture.</w:t>
      </w:r>
    </w:p>
    <w:p w14:paraId="6D60CCAB" w14:textId="77777777" w:rsidR="00E33178" w:rsidRDefault="00E33178" w:rsidP="00E33178"/>
    <w:p w14:paraId="3FB9EB1C" w14:textId="5D6B2207" w:rsidR="00E33178" w:rsidRDefault="00E33178" w:rsidP="00E33178">
      <w:pPr>
        <w:rPr>
          <w:highlight w:val="yellow"/>
        </w:rPr>
      </w:pPr>
      <w:r w:rsidRPr="5F8AE5A3">
        <w:rPr>
          <w:highlight w:val="yellow"/>
        </w:rPr>
        <w:t>Data Collection</w:t>
      </w:r>
    </w:p>
    <w:p w14:paraId="5A7D60BF" w14:textId="77777777" w:rsidR="00E33178" w:rsidRDefault="00E33178" w:rsidP="00E33178">
      <w:r>
        <w:t>• Secondary data: Official attendance records from the UK Department for Education (DfE) covering 2018–2023, alongside local authority data on pupil demographics, free school meal eligibility and SEND status. This allowed the team to compare pre-pandemic, peak-pandemic and post-restriction trends, and identify disparities between groups.</w:t>
      </w:r>
    </w:p>
    <w:p w14:paraId="16F5557B" w14:textId="77777777" w:rsidR="00E33178" w:rsidRDefault="00E33178" w:rsidP="00E33178"/>
    <w:p w14:paraId="29DCBEE2" w14:textId="209BBA36" w:rsidR="00E33178" w:rsidRDefault="00E33178" w:rsidP="00E33178">
      <w:pPr>
        <w:rPr>
          <w:highlight w:val="yellow"/>
        </w:rPr>
      </w:pPr>
      <w:r w:rsidRPr="1AC243BD">
        <w:rPr>
          <w:highlight w:val="yellow"/>
        </w:rPr>
        <w:t>• Primary data:</w:t>
      </w:r>
    </w:p>
    <w:p w14:paraId="7E5E6C99" w14:textId="713AEF29" w:rsidR="00E33178" w:rsidRDefault="00E33178" w:rsidP="00E33178">
      <w:r>
        <w:t>◦ 200 structured online surveys completed by parents and carers, asking about health concerns, transport access, school communication</w:t>
      </w:r>
      <w:r w:rsidR="6C695240">
        <w:t>,</w:t>
      </w:r>
      <w:r>
        <w:t xml:space="preserve"> and support received.</w:t>
      </w:r>
    </w:p>
    <w:p w14:paraId="4B5C5730" w14:textId="0A808D15" w:rsidR="00E33178" w:rsidRDefault="00E33178" w:rsidP="00E33178">
      <w:r>
        <w:t>◦ 45 semi-structured interviews with headteachers, teachers, education welfare officers, school nurses</w:t>
      </w:r>
      <w:r w:rsidR="10488A32">
        <w:t>,</w:t>
      </w:r>
      <w:r>
        <w:t xml:space="preserve"> and social workers. These explored professional perspectives on barriers, resource capacity and multi-agency working.</w:t>
      </w:r>
    </w:p>
    <w:p w14:paraId="30899F02" w14:textId="77777777" w:rsidR="00E33178" w:rsidRDefault="00E33178" w:rsidP="00E33178">
      <w:r>
        <w:t>◦ 15 focus groups with children aged 10–16, conducted in line with ethical guidance to ensure age-appropriate participation and protection.</w:t>
      </w:r>
    </w:p>
    <w:p w14:paraId="2AA5F003" w14:textId="77777777" w:rsidR="00E33178" w:rsidRDefault="00E33178" w:rsidP="00E33178"/>
    <w:p w14:paraId="735F8F51" w14:textId="5D14E1C7" w:rsidR="00E33178" w:rsidRDefault="00E33178" w:rsidP="00E33178">
      <w:pPr>
        <w:rPr>
          <w:highlight w:val="yellow"/>
        </w:rPr>
      </w:pPr>
      <w:r w:rsidRPr="039DAFB7">
        <w:rPr>
          <w:highlight w:val="yellow"/>
        </w:rPr>
        <w:t>Data Analysis</w:t>
      </w:r>
    </w:p>
    <w:p w14:paraId="340A04DF" w14:textId="570394C9" w:rsidR="00E33178" w:rsidRDefault="00E33178" w:rsidP="00E33178">
      <w:r>
        <w:t>Quantitative data was processed using statistical software to calculate average absence rates, persistent absence percentages, and correlation between disadvantage markers and attendance levels. Qualitative data was analysed using thematic analysis: researchers transcribed recordings, coded responses, and grouped codes into overarching themes such as “health-related anxiety</w:t>
      </w:r>
      <w:r w:rsidR="7EA2B082">
        <w:t>,”</w:t>
      </w:r>
      <w:r>
        <w:t xml:space="preserve"> “breakdown of routine</w:t>
      </w:r>
      <w:r w:rsidR="7EA2B082">
        <w:t>,”</w:t>
      </w:r>
      <w:r>
        <w:t xml:space="preserve"> “resource constraints” and “strengths of partnership working</w:t>
      </w:r>
      <w:r w:rsidR="3257EDC4">
        <w:t>.”</w:t>
      </w:r>
      <w:r>
        <w:t xml:space="preserve"> Rigour was maintained through independent coding by two researchers and cross-checking of findings.</w:t>
      </w:r>
    </w:p>
    <w:p w14:paraId="7F69AECF" w14:textId="77777777" w:rsidR="00E33178" w:rsidRDefault="00E33178" w:rsidP="00E33178"/>
    <w:p w14:paraId="611A34B0" w14:textId="40DE5776" w:rsidR="00E33178" w:rsidRDefault="00E33178" w:rsidP="00E33178">
      <w:pPr>
        <w:rPr>
          <w:highlight w:val="yellow"/>
        </w:rPr>
      </w:pPr>
      <w:r w:rsidRPr="11F8F3C0">
        <w:rPr>
          <w:highlight w:val="yellow"/>
        </w:rPr>
        <w:t>Ethical Considerations</w:t>
      </w:r>
    </w:p>
    <w:p w14:paraId="45642CB0" w14:textId="77777777" w:rsidR="00E33178" w:rsidRDefault="00E33178" w:rsidP="00E33178">
      <w:r>
        <w:t>The study received approval from the University Ethics Committee and complied with GDPR and child protection protocols. Informed consent was obtained from all adult participants, and assent was secured from children alongside parental permission. All data was anonymised, stored securely, and only accessible to the research team.</w:t>
      </w:r>
    </w:p>
    <w:p w14:paraId="65BBE934" w14:textId="7946DD2C" w:rsidR="44FE9770" w:rsidRDefault="44FE9770"/>
    <w:p w14:paraId="57BCA0D6" w14:textId="69A766C9" w:rsidR="00E33178" w:rsidRDefault="00E33178" w:rsidP="00E33178">
      <w:pPr>
        <w:rPr>
          <w:b/>
          <w:bCs/>
        </w:rPr>
      </w:pPr>
      <w:r w:rsidRPr="6F78279C">
        <w:rPr>
          <w:b/>
          <w:bCs/>
        </w:rPr>
        <w:t>Section 4: Conclusion</w:t>
      </w:r>
      <w:r w:rsidR="167B8100" w:rsidRPr="6F78279C">
        <w:rPr>
          <w:b/>
          <w:bCs/>
        </w:rPr>
        <w:t xml:space="preserve"> </w:t>
      </w:r>
      <w:r w:rsidRPr="6F78279C">
        <w:rPr>
          <w:b/>
          <w:bCs/>
        </w:rPr>
        <w:t>(350 words)</w:t>
      </w:r>
    </w:p>
    <w:p w14:paraId="7A731997" w14:textId="77777777" w:rsidR="00E33178" w:rsidRDefault="00E33178" w:rsidP="00E33178"/>
    <w:p w14:paraId="2CA9AC9E" w14:textId="77777777" w:rsidR="00E33178" w:rsidRDefault="00E33178" w:rsidP="00E33178">
      <w:r>
        <w:t>The research demonstrates that school attendance has not returned to pre-pandemic levels, with persistent absence rising by over 50% in the most deprived areas. Key contributing factors include ongoing health anxiety related to infection risk, increased child and parental mental health difficulties, erosion of daily routines, financial hardship affecting transport or uniform costs, and gaps in specialist support for children with additional needs. The study also identifies protective factors: schools with strong links to health and social care services, consistent communication with families, and targeted wellbeing support were most successful in re-engaging learners.</w:t>
      </w:r>
    </w:p>
    <w:p w14:paraId="044FFF7F" w14:textId="77777777" w:rsidR="00E33178" w:rsidRDefault="00E33178" w:rsidP="00E33178"/>
    <w:p w14:paraId="0C09534D" w14:textId="77777777" w:rsidR="00E33178" w:rsidRDefault="00E33178" w:rsidP="00E33178">
      <w:r>
        <w:t>This analysis has significantly advanced my understanding of research design and evidence use in health and social care. I have learned how mixed methods can capture both the scale of a problem and the human stories behind it, how to distinguish between primary and secondary sources, and how ethical practice underpins all credible enquiry. These skills are directly relevant to my future career as a Senior Care Worker: interpreting research will help me base care decisions on reliable evidence, understand how wider systems impact service users, and advocate effectively for joined-up support. Being able to evaluate research methods will also allow me to assess the strength of information I encounter in practice, ensuring I contribute to safe, person-centred care that addresses both individual needs and broader societal challenges.</w:t>
      </w:r>
    </w:p>
    <w:p w14:paraId="0725E977" w14:textId="40F20557" w:rsidR="571A8466" w:rsidRDefault="571A8466" w:rsidP="571A8466">
      <w:pPr>
        <w:rPr>
          <w:b/>
          <w:bCs/>
        </w:rPr>
      </w:pPr>
    </w:p>
    <w:p w14:paraId="007F4BD8" w14:textId="65106E1A" w:rsidR="571A8466" w:rsidRDefault="571A8466" w:rsidP="571A8466">
      <w:pPr>
        <w:rPr>
          <w:b/>
          <w:bCs/>
        </w:rPr>
      </w:pPr>
    </w:p>
    <w:p w14:paraId="6CD823C9" w14:textId="1D1A603F" w:rsidR="1C9C1A57" w:rsidRDefault="1C9C1A57" w:rsidP="1C9C1A57">
      <w:pPr>
        <w:rPr>
          <w:b/>
          <w:bCs/>
        </w:rPr>
      </w:pPr>
    </w:p>
    <w:p w14:paraId="50A449A7" w14:textId="3F7BCF57" w:rsidR="00E33178" w:rsidRDefault="00E33178" w:rsidP="00E33178">
      <w:pPr>
        <w:rPr>
          <w:b/>
          <w:bCs/>
        </w:rPr>
      </w:pPr>
      <w:r w:rsidRPr="3F68484E">
        <w:rPr>
          <w:b/>
          <w:bCs/>
        </w:rPr>
        <w:t xml:space="preserve">Reference List </w:t>
      </w:r>
    </w:p>
    <w:p w14:paraId="2A4CAF28" w14:textId="7947782A" w:rsidR="00E33178" w:rsidRDefault="00E33178" w:rsidP="00E33178">
      <w:r>
        <w:t>1. McDonald, L., Lester, C</w:t>
      </w:r>
      <w:r w:rsidR="207FAD9A">
        <w:t>.,</w:t>
      </w:r>
      <w:r>
        <w:t xml:space="preserve"> and Michelson, D. (2023) School Attendance Problems &amp; COVID-19. Leicester: University of Leicester Research Report.</w:t>
      </w:r>
    </w:p>
    <w:p w14:paraId="1FF07E42" w14:textId="4430217F" w:rsidR="00E33178" w:rsidRDefault="00E33178" w:rsidP="00E33178">
      <w:r>
        <w:t>2. Department for Education (2023) Pupil attendance in England: 2022 to 2023. London: Department for Education. Available at: https://www.gov.uk/government/statistics/pupil-attendance-in-england-2022-to-2023 (Accessed: 16 July 2026).</w:t>
      </w:r>
    </w:p>
    <w:p w14:paraId="708D31B0" w14:textId="61D857D1" w:rsidR="00E33178" w:rsidRDefault="00E33178" w:rsidP="00E33178">
      <w:r>
        <w:t>3. NHS Digital (2023) Mental health of children and young people in England: COVID-19 follow-up survey. Leeds: NHS Digital. Available at: https://digital.nhs.uk/data-and-information/publications/statistical/mental-health-of-children-and-young-people/covid-follow-up-2023 (Accessed: 16 July 2026).</w:t>
      </w:r>
    </w:p>
    <w:p w14:paraId="7A38A060" w14:textId="6935F492" w:rsidR="00E33178" w:rsidRDefault="00E33178" w:rsidP="00E33178">
      <w:r>
        <w:t>4. Children’s Commissioner for England (2022) The lost years: impact of COVID-19 on children’s education and wellbeing. London: Children’s Commissioner’s Office. Available at: https://www.childrenscommissioner.gov.uk/wp-content/uploads/2022/09/The-Lost-Years.pdf (Accessed: 16 July 2026).</w:t>
      </w:r>
    </w:p>
    <w:p w14:paraId="696D8014" w14:textId="28D99542" w:rsidR="00E33178" w:rsidRDefault="00E33178" w:rsidP="00E33178">
      <w:r>
        <w:t xml:space="preserve">5. Social Care Institute for Excellence (SCIE) (2023) </w:t>
      </w:r>
      <w:r w:rsidR="786CE0D0">
        <w:t>multi</w:t>
      </w:r>
      <w:r>
        <w:t>-agency support for children’s attendance post-pandemic. London: SCIE. Available at: https://www.scie.org.uk/publications/briefings/multi-agency-support-school-attendance (Accessed: 16 July 2026).</w:t>
      </w:r>
    </w:p>
    <w:p w14:paraId="7D99EA9D" w14:textId="236DB8EB" w:rsidR="372869CE" w:rsidRDefault="372869CE"/>
    <w:p w14:paraId="2A82E3BB" w14:textId="55BF8692" w:rsidR="372869CE" w:rsidRDefault="372869CE"/>
    <w:p w14:paraId="42B81893" w14:textId="59BA8408" w:rsidR="372869CE" w:rsidRDefault="372869CE"/>
    <w:p w14:paraId="4D7EA4B3" w14:textId="46BAB51C" w:rsidR="372869CE" w:rsidRDefault="372869CE"/>
    <w:p w14:paraId="71D19FB9" w14:textId="49B62AF8" w:rsidR="372869CE" w:rsidRDefault="372869CE"/>
    <w:p w14:paraId="24069CB1" w14:textId="54699ECC" w:rsidR="372869CE" w:rsidRDefault="372869CE" w:rsidP="00803661">
      <w:pPr>
        <w:rPr>
          <w:b/>
          <w:bCs/>
        </w:rPr>
      </w:pPr>
    </w:p>
    <w:sectPr w:rsidR="37286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F101F72"/>
    <w:multiLevelType w:val="hybridMultilevel"/>
    <w:tmpl w:val="FFFFFFFF"/>
    <w:lvl w:ilvl="0" w:tplc="AC74586C">
      <w:start w:val="1"/>
      <w:numFmt w:val="bullet"/>
      <w:lvlText w:val=""/>
      <w:lvlJc w:val="left"/>
      <w:pPr>
        <w:ind w:left="720" w:hanging="360"/>
      </w:pPr>
      <w:rPr>
        <w:rFonts w:ascii="Wingdings" w:hAnsi="Wingdings" w:hint="default"/>
      </w:rPr>
    </w:lvl>
    <w:lvl w:ilvl="1" w:tplc="814A8D2A">
      <w:start w:val="1"/>
      <w:numFmt w:val="bullet"/>
      <w:lvlText w:val="o"/>
      <w:lvlJc w:val="left"/>
      <w:pPr>
        <w:ind w:left="1440" w:hanging="360"/>
      </w:pPr>
      <w:rPr>
        <w:rFonts w:ascii="Courier New" w:hAnsi="Courier New" w:hint="default"/>
      </w:rPr>
    </w:lvl>
    <w:lvl w:ilvl="2" w:tplc="186EB5B6">
      <w:start w:val="1"/>
      <w:numFmt w:val="bullet"/>
      <w:lvlText w:val=""/>
      <w:lvlJc w:val="left"/>
      <w:pPr>
        <w:ind w:left="2160" w:hanging="360"/>
      </w:pPr>
      <w:rPr>
        <w:rFonts w:ascii="Wingdings" w:hAnsi="Wingdings" w:hint="default"/>
      </w:rPr>
    </w:lvl>
    <w:lvl w:ilvl="3" w:tplc="7C9E45BA">
      <w:start w:val="1"/>
      <w:numFmt w:val="bullet"/>
      <w:lvlText w:val=""/>
      <w:lvlJc w:val="left"/>
      <w:pPr>
        <w:ind w:left="2880" w:hanging="360"/>
      </w:pPr>
      <w:rPr>
        <w:rFonts w:ascii="Symbol" w:hAnsi="Symbol" w:hint="default"/>
      </w:rPr>
    </w:lvl>
    <w:lvl w:ilvl="4" w:tplc="546664E0">
      <w:start w:val="1"/>
      <w:numFmt w:val="bullet"/>
      <w:lvlText w:val="o"/>
      <w:lvlJc w:val="left"/>
      <w:pPr>
        <w:ind w:left="3600" w:hanging="360"/>
      </w:pPr>
      <w:rPr>
        <w:rFonts w:ascii="Courier New" w:hAnsi="Courier New" w:hint="default"/>
      </w:rPr>
    </w:lvl>
    <w:lvl w:ilvl="5" w:tplc="7E5C09B8">
      <w:start w:val="1"/>
      <w:numFmt w:val="bullet"/>
      <w:lvlText w:val=""/>
      <w:lvlJc w:val="left"/>
      <w:pPr>
        <w:ind w:left="4320" w:hanging="360"/>
      </w:pPr>
      <w:rPr>
        <w:rFonts w:ascii="Wingdings" w:hAnsi="Wingdings" w:hint="default"/>
      </w:rPr>
    </w:lvl>
    <w:lvl w:ilvl="6" w:tplc="5D0AAE54">
      <w:start w:val="1"/>
      <w:numFmt w:val="bullet"/>
      <w:lvlText w:val=""/>
      <w:lvlJc w:val="left"/>
      <w:pPr>
        <w:ind w:left="5040" w:hanging="360"/>
      </w:pPr>
      <w:rPr>
        <w:rFonts w:ascii="Symbol" w:hAnsi="Symbol" w:hint="default"/>
      </w:rPr>
    </w:lvl>
    <w:lvl w:ilvl="7" w:tplc="5DF4B986">
      <w:start w:val="1"/>
      <w:numFmt w:val="bullet"/>
      <w:lvlText w:val="o"/>
      <w:lvlJc w:val="left"/>
      <w:pPr>
        <w:ind w:left="5760" w:hanging="360"/>
      </w:pPr>
      <w:rPr>
        <w:rFonts w:ascii="Courier New" w:hAnsi="Courier New" w:hint="default"/>
      </w:rPr>
    </w:lvl>
    <w:lvl w:ilvl="8" w:tplc="EDFEACE6">
      <w:start w:val="1"/>
      <w:numFmt w:val="bullet"/>
      <w:lvlText w:val=""/>
      <w:lvlJc w:val="left"/>
      <w:pPr>
        <w:ind w:left="6480" w:hanging="360"/>
      </w:pPr>
      <w:rPr>
        <w:rFonts w:ascii="Wingdings" w:hAnsi="Wingdings" w:hint="default"/>
      </w:rPr>
    </w:lvl>
  </w:abstractNum>
  <w:abstractNum w:abstractNumId="1" w15:restartNumberingAfterBreak="0">
    <w:nsid w:val="24482E0B"/>
    <w:multiLevelType w:val="hybridMultilevel"/>
    <w:tmpl w:val="FFFFFFFF"/>
    <w:lvl w:ilvl="0" w:tplc="0F3E128C">
      <w:start w:val="1"/>
      <w:numFmt w:val="bullet"/>
      <w:lvlText w:val=""/>
      <w:lvlJc w:val="left"/>
      <w:pPr>
        <w:ind w:left="720" w:hanging="360"/>
      </w:pPr>
      <w:rPr>
        <w:rFonts w:ascii="Wingdings" w:hAnsi="Wingdings" w:hint="default"/>
      </w:rPr>
    </w:lvl>
    <w:lvl w:ilvl="1" w:tplc="02DACBB6">
      <w:start w:val="1"/>
      <w:numFmt w:val="bullet"/>
      <w:lvlText w:val="o"/>
      <w:lvlJc w:val="left"/>
      <w:pPr>
        <w:ind w:left="1440" w:hanging="360"/>
      </w:pPr>
      <w:rPr>
        <w:rFonts w:ascii="Courier New" w:hAnsi="Courier New" w:hint="default"/>
      </w:rPr>
    </w:lvl>
    <w:lvl w:ilvl="2" w:tplc="94924D0C">
      <w:start w:val="1"/>
      <w:numFmt w:val="bullet"/>
      <w:lvlText w:val=""/>
      <w:lvlJc w:val="left"/>
      <w:pPr>
        <w:ind w:left="2160" w:hanging="360"/>
      </w:pPr>
      <w:rPr>
        <w:rFonts w:ascii="Wingdings" w:hAnsi="Wingdings" w:hint="default"/>
      </w:rPr>
    </w:lvl>
    <w:lvl w:ilvl="3" w:tplc="3F7E26A8">
      <w:start w:val="1"/>
      <w:numFmt w:val="bullet"/>
      <w:lvlText w:val=""/>
      <w:lvlJc w:val="left"/>
      <w:pPr>
        <w:ind w:left="2880" w:hanging="360"/>
      </w:pPr>
      <w:rPr>
        <w:rFonts w:ascii="Symbol" w:hAnsi="Symbol" w:hint="default"/>
      </w:rPr>
    </w:lvl>
    <w:lvl w:ilvl="4" w:tplc="6D68B3D4">
      <w:start w:val="1"/>
      <w:numFmt w:val="bullet"/>
      <w:lvlText w:val="o"/>
      <w:lvlJc w:val="left"/>
      <w:pPr>
        <w:ind w:left="3600" w:hanging="360"/>
      </w:pPr>
      <w:rPr>
        <w:rFonts w:ascii="Courier New" w:hAnsi="Courier New" w:hint="default"/>
      </w:rPr>
    </w:lvl>
    <w:lvl w:ilvl="5" w:tplc="81503BCE">
      <w:start w:val="1"/>
      <w:numFmt w:val="bullet"/>
      <w:lvlText w:val=""/>
      <w:lvlJc w:val="left"/>
      <w:pPr>
        <w:ind w:left="4320" w:hanging="360"/>
      </w:pPr>
      <w:rPr>
        <w:rFonts w:ascii="Wingdings" w:hAnsi="Wingdings" w:hint="default"/>
      </w:rPr>
    </w:lvl>
    <w:lvl w:ilvl="6" w:tplc="9CF876D2">
      <w:start w:val="1"/>
      <w:numFmt w:val="bullet"/>
      <w:lvlText w:val=""/>
      <w:lvlJc w:val="left"/>
      <w:pPr>
        <w:ind w:left="5040" w:hanging="360"/>
      </w:pPr>
      <w:rPr>
        <w:rFonts w:ascii="Symbol" w:hAnsi="Symbol" w:hint="default"/>
      </w:rPr>
    </w:lvl>
    <w:lvl w:ilvl="7" w:tplc="B2C481B2">
      <w:start w:val="1"/>
      <w:numFmt w:val="bullet"/>
      <w:lvlText w:val="o"/>
      <w:lvlJc w:val="left"/>
      <w:pPr>
        <w:ind w:left="5760" w:hanging="360"/>
      </w:pPr>
      <w:rPr>
        <w:rFonts w:ascii="Courier New" w:hAnsi="Courier New" w:hint="default"/>
      </w:rPr>
    </w:lvl>
    <w:lvl w:ilvl="8" w:tplc="186652D6">
      <w:start w:val="1"/>
      <w:numFmt w:val="bullet"/>
      <w:lvlText w:val=""/>
      <w:lvlJc w:val="left"/>
      <w:pPr>
        <w:ind w:left="6480" w:hanging="360"/>
      </w:pPr>
      <w:rPr>
        <w:rFonts w:ascii="Wingdings" w:hAnsi="Wingdings" w:hint="default"/>
      </w:rPr>
    </w:lvl>
  </w:abstractNum>
  <w:num w:numId="1" w16cid:durableId="121576562">
    <w:abstractNumId w:val="1"/>
  </w:num>
  <w:num w:numId="2" w16cid:durableId="49133775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F9C"/>
    <w:rsid w:val="00005F9C"/>
    <w:rsid w:val="0001069C"/>
    <w:rsid w:val="00027F23"/>
    <w:rsid w:val="000A0D02"/>
    <w:rsid w:val="000D4169"/>
    <w:rsid w:val="00100907"/>
    <w:rsid w:val="00122CA8"/>
    <w:rsid w:val="0012319E"/>
    <w:rsid w:val="00157183"/>
    <w:rsid w:val="00181C90"/>
    <w:rsid w:val="001A3C57"/>
    <w:rsid w:val="001B1FA7"/>
    <w:rsid w:val="001E106D"/>
    <w:rsid w:val="001F0C2C"/>
    <w:rsid w:val="00234F5D"/>
    <w:rsid w:val="00267714"/>
    <w:rsid w:val="0029362D"/>
    <w:rsid w:val="0032769D"/>
    <w:rsid w:val="00335256"/>
    <w:rsid w:val="00356C04"/>
    <w:rsid w:val="00371E72"/>
    <w:rsid w:val="00377987"/>
    <w:rsid w:val="003858D7"/>
    <w:rsid w:val="00406A2A"/>
    <w:rsid w:val="00411AC3"/>
    <w:rsid w:val="004169DE"/>
    <w:rsid w:val="00427A95"/>
    <w:rsid w:val="00431FCA"/>
    <w:rsid w:val="00441529"/>
    <w:rsid w:val="004566B7"/>
    <w:rsid w:val="0048040F"/>
    <w:rsid w:val="00486654"/>
    <w:rsid w:val="00492994"/>
    <w:rsid w:val="004D3D81"/>
    <w:rsid w:val="00540F2C"/>
    <w:rsid w:val="005463DF"/>
    <w:rsid w:val="005A6C53"/>
    <w:rsid w:val="005C1693"/>
    <w:rsid w:val="00616514"/>
    <w:rsid w:val="00690D78"/>
    <w:rsid w:val="006E6C1A"/>
    <w:rsid w:val="00775046"/>
    <w:rsid w:val="00796D24"/>
    <w:rsid w:val="007B211C"/>
    <w:rsid w:val="007F3599"/>
    <w:rsid w:val="00803661"/>
    <w:rsid w:val="008241C8"/>
    <w:rsid w:val="00832BB3"/>
    <w:rsid w:val="00856335"/>
    <w:rsid w:val="0087365D"/>
    <w:rsid w:val="008A19E6"/>
    <w:rsid w:val="008E50D7"/>
    <w:rsid w:val="008F42B1"/>
    <w:rsid w:val="00915D1C"/>
    <w:rsid w:val="009F0F3F"/>
    <w:rsid w:val="00A348D8"/>
    <w:rsid w:val="00A474A8"/>
    <w:rsid w:val="00AD3240"/>
    <w:rsid w:val="00AD6961"/>
    <w:rsid w:val="00AD71C6"/>
    <w:rsid w:val="00B25A88"/>
    <w:rsid w:val="00B501E8"/>
    <w:rsid w:val="00B7099D"/>
    <w:rsid w:val="00BA197C"/>
    <w:rsid w:val="00BB0D09"/>
    <w:rsid w:val="00BF26C1"/>
    <w:rsid w:val="00C43C7F"/>
    <w:rsid w:val="00C539B8"/>
    <w:rsid w:val="00CC03E7"/>
    <w:rsid w:val="00CF5B21"/>
    <w:rsid w:val="00D87628"/>
    <w:rsid w:val="00D97F4A"/>
    <w:rsid w:val="00DE3240"/>
    <w:rsid w:val="00E33178"/>
    <w:rsid w:val="00E7AEC7"/>
    <w:rsid w:val="00EB5B4F"/>
    <w:rsid w:val="00ED027C"/>
    <w:rsid w:val="00EE0156"/>
    <w:rsid w:val="00EE3CDE"/>
    <w:rsid w:val="00F00263"/>
    <w:rsid w:val="00F35D3C"/>
    <w:rsid w:val="00F6748F"/>
    <w:rsid w:val="039DAFB7"/>
    <w:rsid w:val="04013885"/>
    <w:rsid w:val="05360D2A"/>
    <w:rsid w:val="058A66F4"/>
    <w:rsid w:val="0629BABA"/>
    <w:rsid w:val="06E5F682"/>
    <w:rsid w:val="088A9C4E"/>
    <w:rsid w:val="09079198"/>
    <w:rsid w:val="0DD8B0E1"/>
    <w:rsid w:val="0FB02F1A"/>
    <w:rsid w:val="10488A32"/>
    <w:rsid w:val="106D9987"/>
    <w:rsid w:val="11F8F3C0"/>
    <w:rsid w:val="1211CED3"/>
    <w:rsid w:val="12EBBDA0"/>
    <w:rsid w:val="149F1761"/>
    <w:rsid w:val="14F05131"/>
    <w:rsid w:val="150B68B4"/>
    <w:rsid w:val="167B8100"/>
    <w:rsid w:val="18091862"/>
    <w:rsid w:val="181F71D3"/>
    <w:rsid w:val="18EEEBB7"/>
    <w:rsid w:val="19627404"/>
    <w:rsid w:val="1AC243BD"/>
    <w:rsid w:val="1C9265EB"/>
    <w:rsid w:val="1C9C1A57"/>
    <w:rsid w:val="1DEFEAE3"/>
    <w:rsid w:val="1EE8A441"/>
    <w:rsid w:val="207FAD9A"/>
    <w:rsid w:val="22B84472"/>
    <w:rsid w:val="23028C55"/>
    <w:rsid w:val="23CE3E4B"/>
    <w:rsid w:val="26FA6A03"/>
    <w:rsid w:val="2730209F"/>
    <w:rsid w:val="2BD64598"/>
    <w:rsid w:val="2CB1A829"/>
    <w:rsid w:val="2D9D95CE"/>
    <w:rsid w:val="3099428D"/>
    <w:rsid w:val="30D4F319"/>
    <w:rsid w:val="31CEAA0D"/>
    <w:rsid w:val="3257EDC4"/>
    <w:rsid w:val="33D145D3"/>
    <w:rsid w:val="3515FF91"/>
    <w:rsid w:val="372869CE"/>
    <w:rsid w:val="379FB421"/>
    <w:rsid w:val="389EBEBA"/>
    <w:rsid w:val="391FABD1"/>
    <w:rsid w:val="3A64CE6B"/>
    <w:rsid w:val="3C22B656"/>
    <w:rsid w:val="3C46A5BC"/>
    <w:rsid w:val="3C4E55BD"/>
    <w:rsid w:val="3D6D70D7"/>
    <w:rsid w:val="3E5F889E"/>
    <w:rsid w:val="3F68484E"/>
    <w:rsid w:val="3F794569"/>
    <w:rsid w:val="419C5391"/>
    <w:rsid w:val="420EAA1A"/>
    <w:rsid w:val="42A55397"/>
    <w:rsid w:val="44FE9770"/>
    <w:rsid w:val="47693BBC"/>
    <w:rsid w:val="4820F005"/>
    <w:rsid w:val="49F09867"/>
    <w:rsid w:val="4B156557"/>
    <w:rsid w:val="4F174DE3"/>
    <w:rsid w:val="4FC03B57"/>
    <w:rsid w:val="502F1FD1"/>
    <w:rsid w:val="532DCD36"/>
    <w:rsid w:val="5385A229"/>
    <w:rsid w:val="538E9C4E"/>
    <w:rsid w:val="53CE2D06"/>
    <w:rsid w:val="55FB208B"/>
    <w:rsid w:val="571A8466"/>
    <w:rsid w:val="571F1DFD"/>
    <w:rsid w:val="583AF7E2"/>
    <w:rsid w:val="59C52E36"/>
    <w:rsid w:val="59F046CD"/>
    <w:rsid w:val="5CC8EE53"/>
    <w:rsid w:val="5CCA54CB"/>
    <w:rsid w:val="5D3F5774"/>
    <w:rsid w:val="5E2E4FB3"/>
    <w:rsid w:val="5E9BFB30"/>
    <w:rsid w:val="5F8AE5A3"/>
    <w:rsid w:val="60812FAA"/>
    <w:rsid w:val="62B56D9F"/>
    <w:rsid w:val="636F1B41"/>
    <w:rsid w:val="656AB5D6"/>
    <w:rsid w:val="67F68DE6"/>
    <w:rsid w:val="6856EB6C"/>
    <w:rsid w:val="699AA1C8"/>
    <w:rsid w:val="6B490BBB"/>
    <w:rsid w:val="6B9DA46C"/>
    <w:rsid w:val="6BAB7E0B"/>
    <w:rsid w:val="6BFFA3DA"/>
    <w:rsid w:val="6C695240"/>
    <w:rsid w:val="6F78279C"/>
    <w:rsid w:val="70E96BB3"/>
    <w:rsid w:val="718D1742"/>
    <w:rsid w:val="733DEB59"/>
    <w:rsid w:val="745860E6"/>
    <w:rsid w:val="76B829E5"/>
    <w:rsid w:val="7778060B"/>
    <w:rsid w:val="77A2255D"/>
    <w:rsid w:val="78228FE5"/>
    <w:rsid w:val="786CE0D0"/>
    <w:rsid w:val="78B96E87"/>
    <w:rsid w:val="78F38624"/>
    <w:rsid w:val="79BFC1BA"/>
    <w:rsid w:val="79BFE1E2"/>
    <w:rsid w:val="7ACC1F5D"/>
    <w:rsid w:val="7C782591"/>
    <w:rsid w:val="7EA2B082"/>
    <w:rsid w:val="7EC5F313"/>
    <w:rsid w:val="7FB699C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5F8E2CE"/>
  <w15:chartTrackingRefBased/>
  <w15:docId w15:val="{DD5BE06F-A7AA-42E9-BA3A-2DE1C6815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F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F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F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F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F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F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F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F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F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F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F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F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F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F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F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F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F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F9C"/>
    <w:rPr>
      <w:rFonts w:eastAsiaTheme="majorEastAsia" w:cstheme="majorBidi"/>
      <w:color w:val="272727" w:themeColor="text1" w:themeTint="D8"/>
    </w:rPr>
  </w:style>
  <w:style w:type="paragraph" w:styleId="Title">
    <w:name w:val="Title"/>
    <w:basedOn w:val="Normal"/>
    <w:next w:val="Normal"/>
    <w:link w:val="TitleChar"/>
    <w:uiPriority w:val="10"/>
    <w:qFormat/>
    <w:rsid w:val="00005F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F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F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F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F9C"/>
    <w:pPr>
      <w:spacing w:before="160"/>
      <w:jc w:val="center"/>
    </w:pPr>
    <w:rPr>
      <w:i/>
      <w:iCs/>
      <w:color w:val="404040" w:themeColor="text1" w:themeTint="BF"/>
    </w:rPr>
  </w:style>
  <w:style w:type="character" w:customStyle="1" w:styleId="QuoteChar">
    <w:name w:val="Quote Char"/>
    <w:basedOn w:val="DefaultParagraphFont"/>
    <w:link w:val="Quote"/>
    <w:uiPriority w:val="29"/>
    <w:rsid w:val="00005F9C"/>
    <w:rPr>
      <w:i/>
      <w:iCs/>
      <w:color w:val="404040" w:themeColor="text1" w:themeTint="BF"/>
    </w:rPr>
  </w:style>
  <w:style w:type="paragraph" w:styleId="ListParagraph">
    <w:name w:val="List Paragraph"/>
    <w:basedOn w:val="Normal"/>
    <w:uiPriority w:val="34"/>
    <w:qFormat/>
    <w:rsid w:val="00005F9C"/>
    <w:pPr>
      <w:ind w:left="720"/>
      <w:contextualSpacing/>
    </w:pPr>
  </w:style>
  <w:style w:type="character" w:styleId="IntenseEmphasis">
    <w:name w:val="Intense Emphasis"/>
    <w:basedOn w:val="DefaultParagraphFont"/>
    <w:uiPriority w:val="21"/>
    <w:qFormat/>
    <w:rsid w:val="00005F9C"/>
    <w:rPr>
      <w:i/>
      <w:iCs/>
      <w:color w:val="0F4761" w:themeColor="accent1" w:themeShade="BF"/>
    </w:rPr>
  </w:style>
  <w:style w:type="paragraph" w:styleId="IntenseQuote">
    <w:name w:val="Intense Quote"/>
    <w:basedOn w:val="Normal"/>
    <w:next w:val="Normal"/>
    <w:link w:val="IntenseQuoteChar"/>
    <w:uiPriority w:val="30"/>
    <w:qFormat/>
    <w:rsid w:val="00005F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F9C"/>
    <w:rPr>
      <w:i/>
      <w:iCs/>
      <w:color w:val="0F4761" w:themeColor="accent1" w:themeShade="BF"/>
    </w:rPr>
  </w:style>
  <w:style w:type="character" w:styleId="IntenseReference">
    <w:name w:val="Intense Reference"/>
    <w:basedOn w:val="DefaultParagraphFont"/>
    <w:uiPriority w:val="32"/>
    <w:qFormat/>
    <w:rsid w:val="00005F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1433</Words>
  <Characters>8172</Characters>
  <Application>Microsoft Office Word</Application>
  <DocSecurity>0</DocSecurity>
  <Lines>68</Lines>
  <Paragraphs>19</Paragraphs>
  <ScaleCrop>false</ScaleCrop>
  <Company/>
  <LinksUpToDate>false</LinksUpToDate>
  <CharactersWithSpaces>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Andrada-Maria Aniculaesei (2540015)</cp:lastModifiedBy>
  <cp:revision>2</cp:revision>
  <dcterms:created xsi:type="dcterms:W3CDTF">2026-07-17T09:10:00Z</dcterms:created>
  <dcterms:modified xsi:type="dcterms:W3CDTF">2026-07-17T09:10:00Z</dcterms:modified>
</cp:coreProperties>
</file>