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23FA5E" w14:textId="77777777" w:rsidR="001A6ACB" w:rsidRPr="00E52DCC" w:rsidRDefault="001A6ACB" w:rsidP="001A6ACB">
      <w:pPr>
        <w:pStyle w:val="ListParagraph"/>
        <w:ind w:left="567"/>
        <w:rPr>
          <w:rFonts w:ascii="Arial" w:hAnsi="Arial" w:cs="Arial"/>
        </w:rPr>
      </w:pPr>
    </w:p>
    <w:p w14:paraId="0A488DFE" w14:textId="77777777" w:rsidR="001A6ACB" w:rsidRPr="00E52DCC" w:rsidRDefault="001A6ACB" w:rsidP="001A6ACB">
      <w:pPr>
        <w:pStyle w:val="ListParagraph"/>
        <w:numPr>
          <w:ilvl w:val="0"/>
          <w:numId w:val="2"/>
        </w:numPr>
        <w:ind w:left="1134" w:hanging="567"/>
        <w:rPr>
          <w:rFonts w:ascii="Arial" w:hAnsi="Arial" w:cs="Arial"/>
        </w:rPr>
      </w:pPr>
      <w:r w:rsidRPr="00E52DCC">
        <w:rPr>
          <w:rFonts w:ascii="Arial" w:hAnsi="Arial" w:cs="Arial"/>
        </w:rPr>
        <w:t>Development costs may only be capitalised from the date certain criteria are met. These include technical feasibility and the probability that future economic benefits will be generated. From the information given, this is at 1 December 2017 when BSI accreditation is obtained. The developments costs incurred up to that date of £480k should be expensed and the costs incurred after 30 November 2017 of £150k may be capitalised.</w:t>
      </w:r>
    </w:p>
    <w:p w14:paraId="5A0C9566" w14:textId="519844D8" w:rsidR="001A6ACB" w:rsidRDefault="001A6ACB" w:rsidP="001A6ACB">
      <w:pPr>
        <w:rPr>
          <w:rFonts w:ascii="Arial" w:hAnsi="Arial" w:cs="Arial"/>
        </w:rPr>
      </w:pPr>
    </w:p>
    <w:p w14:paraId="5995F346" w14:textId="77777777" w:rsidR="00BB2CC6" w:rsidRPr="00E52DCC" w:rsidRDefault="00BB2CC6" w:rsidP="001A6ACB">
      <w:pPr>
        <w:rPr>
          <w:rFonts w:ascii="Arial" w:hAnsi="Arial" w:cs="Arial"/>
        </w:rPr>
      </w:pPr>
    </w:p>
    <w:p w14:paraId="2FCC40D3" w14:textId="77777777" w:rsidR="001A6ACB" w:rsidRPr="00E52DCC" w:rsidRDefault="001A6ACB" w:rsidP="001A6ACB">
      <w:pPr>
        <w:pStyle w:val="ListParagraph"/>
        <w:numPr>
          <w:ilvl w:val="0"/>
          <w:numId w:val="2"/>
        </w:numPr>
        <w:ind w:left="1134" w:hanging="567"/>
        <w:rPr>
          <w:rFonts w:ascii="Arial" w:hAnsi="Arial" w:cs="Arial"/>
        </w:rPr>
      </w:pPr>
      <w:r w:rsidRPr="00E52DCC">
        <w:rPr>
          <w:rFonts w:ascii="Arial" w:hAnsi="Arial" w:cs="Arial"/>
        </w:rPr>
        <w:t>Although the management training costs are expected to produce future economic benefits for the business, they do not satisfy the criteria for recognition as intangible assets because there is an issue of control. The actions of the staff are not under the control of Marathon in the sense that employees can leave the organisation and take the acquired skills with them. The capitalisation of staff training costs is prohibited under IAS 38.</w:t>
      </w:r>
    </w:p>
    <w:p w14:paraId="33CDBD02" w14:textId="77777777" w:rsidR="009A6A88" w:rsidRDefault="009A6A88"/>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AD7DF4"/>
    <w:multiLevelType w:val="hybridMultilevel"/>
    <w:tmpl w:val="D8BE8B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A600B8"/>
    <w:multiLevelType w:val="hybridMultilevel"/>
    <w:tmpl w:val="7CC2847E"/>
    <w:lvl w:ilvl="0" w:tplc="5C34C00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ACB"/>
    <w:rsid w:val="001A6ACB"/>
    <w:rsid w:val="009A6A88"/>
    <w:rsid w:val="00BB2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1E285"/>
  <w15:chartTrackingRefBased/>
  <w15:docId w15:val="{6E19B924-0230-4375-91CB-429128AF9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AC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A6A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746</Characters>
  <Application>Microsoft Office Word</Application>
  <DocSecurity>0</DocSecurity>
  <Lines>6</Lines>
  <Paragraphs>1</Paragraphs>
  <ScaleCrop>false</ScaleCrop>
  <Company/>
  <LinksUpToDate>false</LinksUpToDate>
  <CharactersWithSpaces>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2</cp:revision>
  <dcterms:created xsi:type="dcterms:W3CDTF">2021-03-11T11:53:00Z</dcterms:created>
  <dcterms:modified xsi:type="dcterms:W3CDTF">2021-03-11T11:53:00Z</dcterms:modified>
</cp:coreProperties>
</file>