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EE46A"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Name: Lindsay Davies</w:t>
      </w:r>
    </w:p>
    <w:p w14:paraId="6E9D9D75"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Student number: 2414210</w:t>
      </w:r>
    </w:p>
    <w:p w14:paraId="2FAE8186"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University: University of Wales Trinity Saint David</w:t>
      </w:r>
    </w:p>
    <w:p w14:paraId="54ABBA6F"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Tutor: Alison Connaughton</w:t>
      </w:r>
    </w:p>
    <w:p w14:paraId="5B1C1C79" w14:textId="77777777" w:rsidR="006D621A" w:rsidRPr="006D621A" w:rsidRDefault="006D621A" w:rsidP="006D621A">
      <w:pPr>
        <w:rPr>
          <w:rFonts w:ascii="Times New Roman" w:hAnsi="Times New Roman" w:cs="Times New Roman"/>
          <w:b/>
          <w:bCs/>
          <w:sz w:val="24"/>
          <w:szCs w:val="24"/>
        </w:rPr>
      </w:pPr>
      <w:r w:rsidRPr="006D621A">
        <w:rPr>
          <w:rFonts w:ascii="Times New Roman" w:hAnsi="Times New Roman" w:cs="Times New Roman"/>
          <w:sz w:val="24"/>
          <w:szCs w:val="24"/>
        </w:rPr>
        <w:t>Module/code: Independent study/BMSS6007/C</w:t>
      </w:r>
    </w:p>
    <w:p w14:paraId="607D3A3A"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Title: How do adults using GLP</w:t>
      </w:r>
      <w:r w:rsidRPr="006D621A">
        <w:rPr>
          <w:rFonts w:ascii="Times New Roman" w:hAnsi="Times New Roman" w:cs="Times New Roman"/>
          <w:sz w:val="24"/>
          <w:szCs w:val="24"/>
        </w:rPr>
        <w:noBreakHyphen/>
        <w:t>1 medicines outside clinical settings experience changes in appetite, eating habits, and perceived nutritional intake</w:t>
      </w:r>
    </w:p>
    <w:p w14:paraId="3F2FAEF8" w14:textId="008ABB5C"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Word count: 15</w:t>
      </w:r>
      <w:r w:rsidR="00F85C6A">
        <w:rPr>
          <w:rFonts w:ascii="Times New Roman" w:hAnsi="Times New Roman" w:cs="Times New Roman"/>
          <w:sz w:val="24"/>
          <w:szCs w:val="24"/>
        </w:rPr>
        <w:t>23</w:t>
      </w:r>
    </w:p>
    <w:p w14:paraId="23582927" w14:textId="77777777" w:rsidR="006D621A" w:rsidRPr="006D621A" w:rsidRDefault="006D621A" w:rsidP="006D621A">
      <w:pPr>
        <w:rPr>
          <w:rFonts w:ascii="Times New Roman" w:hAnsi="Times New Roman" w:cs="Times New Roman"/>
          <w:sz w:val="24"/>
          <w:szCs w:val="24"/>
        </w:rPr>
      </w:pPr>
    </w:p>
    <w:p w14:paraId="082F7478" w14:textId="77777777" w:rsidR="006D621A" w:rsidRPr="006D621A" w:rsidRDefault="006D621A" w:rsidP="006D621A">
      <w:pPr>
        <w:rPr>
          <w:rFonts w:ascii="Times New Roman" w:hAnsi="Times New Roman" w:cs="Times New Roman"/>
          <w:sz w:val="24"/>
          <w:szCs w:val="24"/>
        </w:rPr>
      </w:pPr>
      <w:r w:rsidRPr="006D621A">
        <w:rPr>
          <w:rFonts w:ascii="Times New Roman" w:hAnsi="Times New Roman" w:cs="Times New Roman"/>
          <w:sz w:val="24"/>
          <w:szCs w:val="24"/>
        </w:rPr>
        <w:t>I used Microsoft Copilot to support research and structure development for this proposal. All written content is my own work, and my Copilot research prompts are listed in the table below:</w:t>
      </w:r>
    </w:p>
    <w:tbl>
      <w:tblPr>
        <w:tblStyle w:val="TableGrid"/>
        <w:tblW w:w="0" w:type="auto"/>
        <w:tblLook w:val="04A0" w:firstRow="1" w:lastRow="0" w:firstColumn="1" w:lastColumn="0" w:noHBand="0" w:noVBand="1"/>
      </w:tblPr>
      <w:tblGrid>
        <w:gridCol w:w="2254"/>
        <w:gridCol w:w="2254"/>
        <w:gridCol w:w="2254"/>
        <w:gridCol w:w="2254"/>
      </w:tblGrid>
      <w:tr w:rsidR="006D621A" w:rsidRPr="006D621A" w14:paraId="2985BDFD" w14:textId="77777777">
        <w:tc>
          <w:tcPr>
            <w:tcW w:w="2254" w:type="dxa"/>
            <w:tcBorders>
              <w:top w:val="single" w:sz="4" w:space="0" w:color="auto"/>
              <w:left w:val="single" w:sz="4" w:space="0" w:color="auto"/>
              <w:bottom w:val="single" w:sz="4" w:space="0" w:color="auto"/>
              <w:right w:val="single" w:sz="4" w:space="0" w:color="auto"/>
            </w:tcBorders>
            <w:hideMark/>
          </w:tcPr>
          <w:p w14:paraId="1F93D50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 xml:space="preserve">AI Tool </w:t>
            </w:r>
          </w:p>
        </w:tc>
        <w:tc>
          <w:tcPr>
            <w:tcW w:w="2254" w:type="dxa"/>
            <w:tcBorders>
              <w:top w:val="single" w:sz="4" w:space="0" w:color="auto"/>
              <w:left w:val="single" w:sz="4" w:space="0" w:color="auto"/>
              <w:bottom w:val="single" w:sz="4" w:space="0" w:color="auto"/>
              <w:right w:val="single" w:sz="4" w:space="0" w:color="auto"/>
            </w:tcBorders>
            <w:hideMark/>
          </w:tcPr>
          <w:p w14:paraId="055FE7DA"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Date used</w:t>
            </w:r>
          </w:p>
        </w:tc>
        <w:tc>
          <w:tcPr>
            <w:tcW w:w="2254" w:type="dxa"/>
            <w:tcBorders>
              <w:top w:val="single" w:sz="4" w:space="0" w:color="auto"/>
              <w:left w:val="single" w:sz="4" w:space="0" w:color="auto"/>
              <w:bottom w:val="single" w:sz="4" w:space="0" w:color="auto"/>
              <w:right w:val="single" w:sz="4" w:space="0" w:color="auto"/>
            </w:tcBorders>
            <w:hideMark/>
          </w:tcPr>
          <w:p w14:paraId="4B4E512A"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Why did you use this tool?</w:t>
            </w:r>
          </w:p>
        </w:tc>
        <w:tc>
          <w:tcPr>
            <w:tcW w:w="2254" w:type="dxa"/>
            <w:tcBorders>
              <w:top w:val="single" w:sz="4" w:space="0" w:color="auto"/>
              <w:left w:val="single" w:sz="4" w:space="0" w:color="auto"/>
              <w:bottom w:val="single" w:sz="4" w:space="0" w:color="auto"/>
              <w:right w:val="single" w:sz="4" w:space="0" w:color="auto"/>
            </w:tcBorders>
            <w:hideMark/>
          </w:tcPr>
          <w:p w14:paraId="168C903A"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Example prompt(s)</w:t>
            </w:r>
          </w:p>
        </w:tc>
      </w:tr>
      <w:tr w:rsidR="006D621A" w:rsidRPr="006D621A" w14:paraId="4D85FD61" w14:textId="77777777">
        <w:tc>
          <w:tcPr>
            <w:tcW w:w="2254" w:type="dxa"/>
            <w:tcBorders>
              <w:top w:val="single" w:sz="4" w:space="0" w:color="auto"/>
              <w:left w:val="single" w:sz="4" w:space="0" w:color="auto"/>
              <w:bottom w:val="single" w:sz="4" w:space="0" w:color="auto"/>
              <w:right w:val="single" w:sz="4" w:space="0" w:color="auto"/>
            </w:tcBorders>
            <w:hideMark/>
          </w:tcPr>
          <w:p w14:paraId="0AD6603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5D36C90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23/9/26</w:t>
            </w:r>
          </w:p>
        </w:tc>
        <w:tc>
          <w:tcPr>
            <w:tcW w:w="2254" w:type="dxa"/>
            <w:tcBorders>
              <w:top w:val="single" w:sz="4" w:space="0" w:color="auto"/>
              <w:left w:val="single" w:sz="4" w:space="0" w:color="auto"/>
              <w:bottom w:val="single" w:sz="4" w:space="0" w:color="auto"/>
              <w:right w:val="single" w:sz="4" w:space="0" w:color="auto"/>
            </w:tcBorders>
            <w:hideMark/>
          </w:tcPr>
          <w:p w14:paraId="19CA9BE3"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0CCB097E"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Show me recent journals published on GLP-1 agonists.</w:t>
            </w:r>
          </w:p>
          <w:p w14:paraId="6437D8D3" w14:textId="77777777" w:rsidR="006D621A" w:rsidRPr="006D621A" w:rsidRDefault="006D621A" w:rsidP="006D621A">
            <w:pPr>
              <w:spacing w:after="160" w:line="259" w:lineRule="auto"/>
              <w:rPr>
                <w:rFonts w:ascii="Times New Roman" w:hAnsi="Times New Roman" w:cs="Times New Roman"/>
              </w:rPr>
            </w:pPr>
          </w:p>
        </w:tc>
      </w:tr>
      <w:tr w:rsidR="006D621A" w:rsidRPr="006D621A" w14:paraId="1CB4FF1F" w14:textId="77777777">
        <w:tc>
          <w:tcPr>
            <w:tcW w:w="2254" w:type="dxa"/>
            <w:tcBorders>
              <w:top w:val="single" w:sz="4" w:space="0" w:color="auto"/>
              <w:left w:val="single" w:sz="4" w:space="0" w:color="auto"/>
              <w:bottom w:val="single" w:sz="4" w:space="0" w:color="auto"/>
              <w:right w:val="single" w:sz="4" w:space="0" w:color="auto"/>
            </w:tcBorders>
            <w:hideMark/>
          </w:tcPr>
          <w:p w14:paraId="28564D34"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11DC8B00"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23/9/26</w:t>
            </w:r>
          </w:p>
        </w:tc>
        <w:tc>
          <w:tcPr>
            <w:tcW w:w="2254" w:type="dxa"/>
            <w:tcBorders>
              <w:top w:val="single" w:sz="4" w:space="0" w:color="auto"/>
              <w:left w:val="single" w:sz="4" w:space="0" w:color="auto"/>
              <w:bottom w:val="single" w:sz="4" w:space="0" w:color="auto"/>
              <w:right w:val="single" w:sz="4" w:space="0" w:color="auto"/>
            </w:tcBorders>
            <w:hideMark/>
          </w:tcPr>
          <w:p w14:paraId="54CD40F0"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61410B08"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Can you find any studies on GLP-1 users outside clinical groups?</w:t>
            </w:r>
          </w:p>
          <w:p w14:paraId="17511590" w14:textId="77777777" w:rsidR="006D621A" w:rsidRPr="006D621A" w:rsidRDefault="006D621A" w:rsidP="006D621A">
            <w:pPr>
              <w:spacing w:after="160" w:line="259" w:lineRule="auto"/>
              <w:rPr>
                <w:rFonts w:ascii="Times New Roman" w:hAnsi="Times New Roman" w:cs="Times New Roman"/>
              </w:rPr>
            </w:pPr>
          </w:p>
        </w:tc>
      </w:tr>
      <w:tr w:rsidR="006D621A" w:rsidRPr="006D621A" w14:paraId="024865F0" w14:textId="77777777">
        <w:tc>
          <w:tcPr>
            <w:tcW w:w="2254" w:type="dxa"/>
            <w:tcBorders>
              <w:top w:val="single" w:sz="4" w:space="0" w:color="auto"/>
              <w:left w:val="single" w:sz="4" w:space="0" w:color="auto"/>
              <w:bottom w:val="single" w:sz="4" w:space="0" w:color="auto"/>
              <w:right w:val="single" w:sz="4" w:space="0" w:color="auto"/>
            </w:tcBorders>
            <w:hideMark/>
          </w:tcPr>
          <w:p w14:paraId="66ABF883"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6E69B8E4"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23/9/26</w:t>
            </w:r>
          </w:p>
        </w:tc>
        <w:tc>
          <w:tcPr>
            <w:tcW w:w="2254" w:type="dxa"/>
            <w:tcBorders>
              <w:top w:val="single" w:sz="4" w:space="0" w:color="auto"/>
              <w:left w:val="single" w:sz="4" w:space="0" w:color="auto"/>
              <w:bottom w:val="single" w:sz="4" w:space="0" w:color="auto"/>
              <w:right w:val="single" w:sz="4" w:space="0" w:color="auto"/>
            </w:tcBorders>
            <w:hideMark/>
          </w:tcPr>
          <w:p w14:paraId="68E6F3F8"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7F2A55B8"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Show me a paper that looks at the internet as a good recruitment tool for GLP-1 users.</w:t>
            </w:r>
          </w:p>
          <w:p w14:paraId="162771E0" w14:textId="77777777" w:rsidR="006D621A" w:rsidRPr="006D621A" w:rsidRDefault="006D621A" w:rsidP="006D621A">
            <w:pPr>
              <w:spacing w:after="160" w:line="259" w:lineRule="auto"/>
              <w:rPr>
                <w:rFonts w:ascii="Times New Roman" w:hAnsi="Times New Roman" w:cs="Times New Roman"/>
              </w:rPr>
            </w:pPr>
          </w:p>
        </w:tc>
      </w:tr>
      <w:tr w:rsidR="006D621A" w:rsidRPr="006D621A" w14:paraId="33E37E2E" w14:textId="77777777">
        <w:tc>
          <w:tcPr>
            <w:tcW w:w="2254" w:type="dxa"/>
            <w:tcBorders>
              <w:top w:val="single" w:sz="4" w:space="0" w:color="auto"/>
              <w:left w:val="single" w:sz="4" w:space="0" w:color="auto"/>
              <w:bottom w:val="single" w:sz="4" w:space="0" w:color="auto"/>
              <w:right w:val="single" w:sz="4" w:space="0" w:color="auto"/>
            </w:tcBorders>
            <w:hideMark/>
          </w:tcPr>
          <w:p w14:paraId="2E7B4736"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4A679DB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24/9/26</w:t>
            </w:r>
          </w:p>
        </w:tc>
        <w:tc>
          <w:tcPr>
            <w:tcW w:w="2254" w:type="dxa"/>
            <w:tcBorders>
              <w:top w:val="single" w:sz="4" w:space="0" w:color="auto"/>
              <w:left w:val="single" w:sz="4" w:space="0" w:color="auto"/>
              <w:bottom w:val="single" w:sz="4" w:space="0" w:color="auto"/>
              <w:right w:val="single" w:sz="4" w:space="0" w:color="auto"/>
            </w:tcBorders>
            <w:hideMark/>
          </w:tcPr>
          <w:p w14:paraId="041B323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2261C6D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Find recent journals on the effect of GLP-1 agonists on users' appetite.</w:t>
            </w:r>
          </w:p>
          <w:p w14:paraId="1C16DB30" w14:textId="77777777" w:rsidR="006D621A" w:rsidRPr="006D621A" w:rsidRDefault="006D621A" w:rsidP="006D621A">
            <w:pPr>
              <w:spacing w:after="160" w:line="259" w:lineRule="auto"/>
              <w:rPr>
                <w:rFonts w:ascii="Times New Roman" w:hAnsi="Times New Roman" w:cs="Times New Roman"/>
              </w:rPr>
            </w:pPr>
          </w:p>
        </w:tc>
      </w:tr>
      <w:tr w:rsidR="006D621A" w:rsidRPr="006D621A" w14:paraId="19E44F56" w14:textId="77777777">
        <w:tc>
          <w:tcPr>
            <w:tcW w:w="2254" w:type="dxa"/>
            <w:tcBorders>
              <w:top w:val="single" w:sz="4" w:space="0" w:color="auto"/>
              <w:left w:val="single" w:sz="4" w:space="0" w:color="auto"/>
              <w:bottom w:val="single" w:sz="4" w:space="0" w:color="auto"/>
              <w:right w:val="single" w:sz="4" w:space="0" w:color="auto"/>
            </w:tcBorders>
            <w:hideMark/>
          </w:tcPr>
          <w:p w14:paraId="396C77F6"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University Library</w:t>
            </w:r>
          </w:p>
        </w:tc>
        <w:tc>
          <w:tcPr>
            <w:tcW w:w="2254" w:type="dxa"/>
            <w:tcBorders>
              <w:top w:val="single" w:sz="4" w:space="0" w:color="auto"/>
              <w:left w:val="single" w:sz="4" w:space="0" w:color="auto"/>
              <w:bottom w:val="single" w:sz="4" w:space="0" w:color="auto"/>
              <w:right w:val="single" w:sz="4" w:space="0" w:color="auto"/>
            </w:tcBorders>
            <w:hideMark/>
          </w:tcPr>
          <w:p w14:paraId="1142FCA0"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24/9/26</w:t>
            </w:r>
          </w:p>
        </w:tc>
        <w:tc>
          <w:tcPr>
            <w:tcW w:w="2254" w:type="dxa"/>
            <w:tcBorders>
              <w:top w:val="single" w:sz="4" w:space="0" w:color="auto"/>
              <w:left w:val="single" w:sz="4" w:space="0" w:color="auto"/>
              <w:bottom w:val="single" w:sz="4" w:space="0" w:color="auto"/>
              <w:right w:val="single" w:sz="4" w:space="0" w:color="auto"/>
            </w:tcBorders>
            <w:hideMark/>
          </w:tcPr>
          <w:p w14:paraId="51E23AF3"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6EFC5849"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Library= "qualitative research"</w:t>
            </w:r>
          </w:p>
          <w:p w14:paraId="61D3EAD1" w14:textId="77777777" w:rsidR="006D621A" w:rsidRPr="006D621A" w:rsidRDefault="006D621A" w:rsidP="006D621A">
            <w:pPr>
              <w:spacing w:after="160" w:line="259" w:lineRule="auto"/>
              <w:rPr>
                <w:rFonts w:ascii="Times New Roman" w:hAnsi="Times New Roman" w:cs="Times New Roman"/>
              </w:rPr>
            </w:pPr>
          </w:p>
        </w:tc>
      </w:tr>
      <w:tr w:rsidR="006D621A" w:rsidRPr="006D621A" w14:paraId="7963598A" w14:textId="77777777">
        <w:tc>
          <w:tcPr>
            <w:tcW w:w="2254" w:type="dxa"/>
            <w:tcBorders>
              <w:top w:val="single" w:sz="4" w:space="0" w:color="auto"/>
              <w:left w:val="single" w:sz="4" w:space="0" w:color="auto"/>
              <w:bottom w:val="single" w:sz="4" w:space="0" w:color="auto"/>
              <w:right w:val="single" w:sz="4" w:space="0" w:color="auto"/>
            </w:tcBorders>
            <w:hideMark/>
          </w:tcPr>
          <w:p w14:paraId="66C44FEF"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143B7EC9"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24/9/26</w:t>
            </w:r>
          </w:p>
        </w:tc>
        <w:tc>
          <w:tcPr>
            <w:tcW w:w="2254" w:type="dxa"/>
            <w:tcBorders>
              <w:top w:val="single" w:sz="4" w:space="0" w:color="auto"/>
              <w:left w:val="single" w:sz="4" w:space="0" w:color="auto"/>
              <w:bottom w:val="single" w:sz="4" w:space="0" w:color="auto"/>
              <w:right w:val="single" w:sz="4" w:space="0" w:color="auto"/>
            </w:tcBorders>
            <w:hideMark/>
          </w:tcPr>
          <w:p w14:paraId="497B9B44"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hideMark/>
          </w:tcPr>
          <w:p w14:paraId="26006D07"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Find a peer</w:t>
            </w:r>
            <w:r w:rsidRPr="006D621A">
              <w:rPr>
                <w:rFonts w:ascii="Times New Roman" w:hAnsi="Times New Roman" w:cs="Times New Roman"/>
              </w:rPr>
              <w:noBreakHyphen/>
              <w:t xml:space="preserve">reviewed article explaining how </w:t>
            </w:r>
            <w:r w:rsidRPr="006D621A">
              <w:rPr>
                <w:rFonts w:ascii="Times New Roman" w:hAnsi="Times New Roman" w:cs="Times New Roman"/>
              </w:rPr>
              <w:lastRenderedPageBreak/>
              <w:t>qualitative research deepens understanding of complex human experiences.</w:t>
            </w:r>
          </w:p>
        </w:tc>
      </w:tr>
      <w:tr w:rsidR="006D621A" w:rsidRPr="006D621A" w14:paraId="61F23276" w14:textId="77777777">
        <w:tc>
          <w:tcPr>
            <w:tcW w:w="2254" w:type="dxa"/>
            <w:tcBorders>
              <w:top w:val="single" w:sz="4" w:space="0" w:color="auto"/>
              <w:left w:val="single" w:sz="4" w:space="0" w:color="auto"/>
              <w:bottom w:val="single" w:sz="4" w:space="0" w:color="auto"/>
              <w:right w:val="single" w:sz="4" w:space="0" w:color="auto"/>
            </w:tcBorders>
            <w:hideMark/>
          </w:tcPr>
          <w:p w14:paraId="736F059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lastRenderedPageBreak/>
              <w:t>Co-pilot</w:t>
            </w:r>
          </w:p>
        </w:tc>
        <w:tc>
          <w:tcPr>
            <w:tcW w:w="2254" w:type="dxa"/>
            <w:tcBorders>
              <w:top w:val="single" w:sz="4" w:space="0" w:color="auto"/>
              <w:left w:val="single" w:sz="4" w:space="0" w:color="auto"/>
              <w:bottom w:val="single" w:sz="4" w:space="0" w:color="auto"/>
              <w:right w:val="single" w:sz="4" w:space="0" w:color="auto"/>
            </w:tcBorders>
            <w:hideMark/>
          </w:tcPr>
          <w:p w14:paraId="0536081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24/9/26</w:t>
            </w:r>
          </w:p>
        </w:tc>
        <w:tc>
          <w:tcPr>
            <w:tcW w:w="2254" w:type="dxa"/>
            <w:tcBorders>
              <w:top w:val="single" w:sz="4" w:space="0" w:color="auto"/>
              <w:left w:val="single" w:sz="4" w:space="0" w:color="auto"/>
              <w:bottom w:val="single" w:sz="4" w:space="0" w:color="auto"/>
              <w:right w:val="single" w:sz="4" w:space="0" w:color="auto"/>
            </w:tcBorders>
            <w:hideMark/>
          </w:tcPr>
          <w:p w14:paraId="04E1F211"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6B102C1F"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Show me recent academic journals on thematic analysis.</w:t>
            </w:r>
          </w:p>
          <w:p w14:paraId="66799912" w14:textId="77777777" w:rsidR="006D621A" w:rsidRPr="006D621A" w:rsidRDefault="006D621A" w:rsidP="006D621A">
            <w:pPr>
              <w:spacing w:after="160" w:line="259" w:lineRule="auto"/>
              <w:rPr>
                <w:rFonts w:ascii="Times New Roman" w:hAnsi="Times New Roman" w:cs="Times New Roman"/>
              </w:rPr>
            </w:pPr>
          </w:p>
        </w:tc>
      </w:tr>
      <w:tr w:rsidR="006D621A" w:rsidRPr="006D621A" w14:paraId="2709C57B" w14:textId="77777777">
        <w:tc>
          <w:tcPr>
            <w:tcW w:w="2254" w:type="dxa"/>
            <w:tcBorders>
              <w:top w:val="single" w:sz="4" w:space="0" w:color="auto"/>
              <w:left w:val="single" w:sz="4" w:space="0" w:color="auto"/>
              <w:bottom w:val="single" w:sz="4" w:space="0" w:color="auto"/>
              <w:right w:val="single" w:sz="4" w:space="0" w:color="auto"/>
            </w:tcBorders>
            <w:hideMark/>
          </w:tcPr>
          <w:p w14:paraId="2386BA6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02AAAE1C"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27/9/26</w:t>
            </w:r>
          </w:p>
        </w:tc>
        <w:tc>
          <w:tcPr>
            <w:tcW w:w="2254" w:type="dxa"/>
            <w:tcBorders>
              <w:top w:val="single" w:sz="4" w:space="0" w:color="auto"/>
              <w:left w:val="single" w:sz="4" w:space="0" w:color="auto"/>
              <w:bottom w:val="single" w:sz="4" w:space="0" w:color="auto"/>
              <w:right w:val="single" w:sz="4" w:space="0" w:color="auto"/>
            </w:tcBorders>
            <w:hideMark/>
          </w:tcPr>
          <w:p w14:paraId="68E618B9"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hideMark/>
          </w:tcPr>
          <w:p w14:paraId="5E4F660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Find recent research on GLP-1 agonists from a nutritional standpoint.</w:t>
            </w:r>
          </w:p>
        </w:tc>
      </w:tr>
      <w:tr w:rsidR="006D621A" w:rsidRPr="006D621A" w14:paraId="051478E9" w14:textId="77777777">
        <w:tc>
          <w:tcPr>
            <w:tcW w:w="2254" w:type="dxa"/>
            <w:tcBorders>
              <w:top w:val="single" w:sz="4" w:space="0" w:color="auto"/>
              <w:left w:val="single" w:sz="4" w:space="0" w:color="auto"/>
              <w:bottom w:val="single" w:sz="4" w:space="0" w:color="auto"/>
              <w:right w:val="single" w:sz="4" w:space="0" w:color="auto"/>
            </w:tcBorders>
            <w:hideMark/>
          </w:tcPr>
          <w:p w14:paraId="3CE9B63B"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6D00D843"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27/9/26</w:t>
            </w:r>
          </w:p>
        </w:tc>
        <w:tc>
          <w:tcPr>
            <w:tcW w:w="2254" w:type="dxa"/>
            <w:tcBorders>
              <w:top w:val="single" w:sz="4" w:space="0" w:color="auto"/>
              <w:left w:val="single" w:sz="4" w:space="0" w:color="auto"/>
              <w:bottom w:val="single" w:sz="4" w:space="0" w:color="auto"/>
              <w:right w:val="single" w:sz="4" w:space="0" w:color="auto"/>
            </w:tcBorders>
            <w:hideMark/>
          </w:tcPr>
          <w:p w14:paraId="54757295"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38B99BD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Is there any recent research on GLP-1 users' views and experiences while taking this medicine?</w:t>
            </w:r>
          </w:p>
          <w:p w14:paraId="439D500A" w14:textId="77777777" w:rsidR="006D621A" w:rsidRPr="006D621A" w:rsidRDefault="006D621A" w:rsidP="006D621A">
            <w:pPr>
              <w:spacing w:after="160" w:line="259" w:lineRule="auto"/>
              <w:rPr>
                <w:rFonts w:ascii="Times New Roman" w:hAnsi="Times New Roman" w:cs="Times New Roman"/>
              </w:rPr>
            </w:pPr>
          </w:p>
        </w:tc>
      </w:tr>
      <w:tr w:rsidR="006D621A" w:rsidRPr="006D621A" w14:paraId="065F9516" w14:textId="77777777">
        <w:tc>
          <w:tcPr>
            <w:tcW w:w="2254" w:type="dxa"/>
            <w:tcBorders>
              <w:top w:val="single" w:sz="4" w:space="0" w:color="auto"/>
              <w:left w:val="single" w:sz="4" w:space="0" w:color="auto"/>
              <w:bottom w:val="single" w:sz="4" w:space="0" w:color="auto"/>
              <w:right w:val="single" w:sz="4" w:space="0" w:color="auto"/>
            </w:tcBorders>
            <w:hideMark/>
          </w:tcPr>
          <w:p w14:paraId="7D6F3DFC"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2FA9E75B"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27/9/26</w:t>
            </w:r>
          </w:p>
        </w:tc>
        <w:tc>
          <w:tcPr>
            <w:tcW w:w="2254" w:type="dxa"/>
            <w:tcBorders>
              <w:top w:val="single" w:sz="4" w:space="0" w:color="auto"/>
              <w:left w:val="single" w:sz="4" w:space="0" w:color="auto"/>
              <w:bottom w:val="single" w:sz="4" w:space="0" w:color="auto"/>
              <w:right w:val="single" w:sz="4" w:space="0" w:color="auto"/>
            </w:tcBorders>
            <w:hideMark/>
          </w:tcPr>
          <w:p w14:paraId="241D5CCF"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157E475F"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Show me a journal article that discusses the importance of conducting semi-structured interviews.</w:t>
            </w:r>
          </w:p>
          <w:p w14:paraId="2884B6A5" w14:textId="77777777" w:rsidR="006D621A" w:rsidRPr="006D621A" w:rsidRDefault="006D621A" w:rsidP="006D621A">
            <w:pPr>
              <w:spacing w:after="160" w:line="259" w:lineRule="auto"/>
              <w:rPr>
                <w:rFonts w:ascii="Times New Roman" w:hAnsi="Times New Roman" w:cs="Times New Roman"/>
              </w:rPr>
            </w:pPr>
          </w:p>
        </w:tc>
      </w:tr>
      <w:tr w:rsidR="006D621A" w:rsidRPr="006D621A" w14:paraId="247A699F" w14:textId="77777777">
        <w:tc>
          <w:tcPr>
            <w:tcW w:w="2254" w:type="dxa"/>
            <w:tcBorders>
              <w:top w:val="single" w:sz="4" w:space="0" w:color="auto"/>
              <w:left w:val="single" w:sz="4" w:space="0" w:color="auto"/>
              <w:bottom w:val="single" w:sz="4" w:space="0" w:color="auto"/>
              <w:right w:val="single" w:sz="4" w:space="0" w:color="auto"/>
            </w:tcBorders>
            <w:hideMark/>
          </w:tcPr>
          <w:p w14:paraId="1BE728DD"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0E175EC9"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30/9/26</w:t>
            </w:r>
          </w:p>
        </w:tc>
        <w:tc>
          <w:tcPr>
            <w:tcW w:w="2254" w:type="dxa"/>
            <w:tcBorders>
              <w:top w:val="single" w:sz="4" w:space="0" w:color="auto"/>
              <w:left w:val="single" w:sz="4" w:space="0" w:color="auto"/>
              <w:bottom w:val="single" w:sz="4" w:space="0" w:color="auto"/>
              <w:right w:val="single" w:sz="4" w:space="0" w:color="auto"/>
            </w:tcBorders>
            <w:hideMark/>
          </w:tcPr>
          <w:p w14:paraId="319BF6D9"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4759B4A7"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 xml:space="preserve">Find the AFN ethics guidelines.   </w:t>
            </w:r>
          </w:p>
          <w:p w14:paraId="577451FE" w14:textId="77777777" w:rsidR="006D621A" w:rsidRPr="006D621A" w:rsidRDefault="006D621A" w:rsidP="006D621A">
            <w:pPr>
              <w:spacing w:after="160" w:line="259" w:lineRule="auto"/>
              <w:rPr>
                <w:rFonts w:ascii="Times New Roman" w:hAnsi="Times New Roman" w:cs="Times New Roman"/>
              </w:rPr>
            </w:pPr>
          </w:p>
        </w:tc>
      </w:tr>
      <w:tr w:rsidR="006D621A" w:rsidRPr="006D621A" w14:paraId="1507F193" w14:textId="77777777">
        <w:tc>
          <w:tcPr>
            <w:tcW w:w="2254" w:type="dxa"/>
            <w:tcBorders>
              <w:top w:val="single" w:sz="4" w:space="0" w:color="auto"/>
              <w:left w:val="single" w:sz="4" w:space="0" w:color="auto"/>
              <w:bottom w:val="single" w:sz="4" w:space="0" w:color="auto"/>
              <w:right w:val="single" w:sz="4" w:space="0" w:color="auto"/>
            </w:tcBorders>
            <w:hideMark/>
          </w:tcPr>
          <w:p w14:paraId="0732C544"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Co-pilot</w:t>
            </w:r>
          </w:p>
        </w:tc>
        <w:tc>
          <w:tcPr>
            <w:tcW w:w="2254" w:type="dxa"/>
            <w:tcBorders>
              <w:top w:val="single" w:sz="4" w:space="0" w:color="auto"/>
              <w:left w:val="single" w:sz="4" w:space="0" w:color="auto"/>
              <w:bottom w:val="single" w:sz="4" w:space="0" w:color="auto"/>
              <w:right w:val="single" w:sz="4" w:space="0" w:color="auto"/>
            </w:tcBorders>
            <w:hideMark/>
          </w:tcPr>
          <w:p w14:paraId="41C686A3"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30/9/26</w:t>
            </w:r>
          </w:p>
        </w:tc>
        <w:tc>
          <w:tcPr>
            <w:tcW w:w="2254" w:type="dxa"/>
            <w:tcBorders>
              <w:top w:val="single" w:sz="4" w:space="0" w:color="auto"/>
              <w:left w:val="single" w:sz="4" w:space="0" w:color="auto"/>
              <w:bottom w:val="single" w:sz="4" w:space="0" w:color="auto"/>
              <w:right w:val="single" w:sz="4" w:space="0" w:color="auto"/>
            </w:tcBorders>
            <w:hideMark/>
          </w:tcPr>
          <w:p w14:paraId="7827F93F"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Research</w:t>
            </w:r>
          </w:p>
        </w:tc>
        <w:tc>
          <w:tcPr>
            <w:tcW w:w="2254" w:type="dxa"/>
            <w:tcBorders>
              <w:top w:val="single" w:sz="4" w:space="0" w:color="auto"/>
              <w:left w:val="single" w:sz="4" w:space="0" w:color="auto"/>
              <w:bottom w:val="single" w:sz="4" w:space="0" w:color="auto"/>
              <w:right w:val="single" w:sz="4" w:space="0" w:color="auto"/>
            </w:tcBorders>
          </w:tcPr>
          <w:p w14:paraId="3091E484" w14:textId="77777777" w:rsidR="006D621A" w:rsidRPr="006D621A" w:rsidRDefault="006D621A" w:rsidP="006D621A">
            <w:pPr>
              <w:spacing w:after="160" w:line="259" w:lineRule="auto"/>
              <w:rPr>
                <w:rFonts w:ascii="Times New Roman" w:hAnsi="Times New Roman" w:cs="Times New Roman"/>
              </w:rPr>
            </w:pPr>
            <w:r w:rsidRPr="006D621A">
              <w:rPr>
                <w:rFonts w:ascii="Times New Roman" w:hAnsi="Times New Roman" w:cs="Times New Roman"/>
              </w:rPr>
              <w:t xml:space="preserve">Show me the University of Wales Trinity Saint David's standards for ethical research. </w:t>
            </w:r>
          </w:p>
          <w:p w14:paraId="67F874E4" w14:textId="77777777" w:rsidR="006D621A" w:rsidRPr="006D621A" w:rsidRDefault="006D621A" w:rsidP="006D621A">
            <w:pPr>
              <w:spacing w:after="160" w:line="259" w:lineRule="auto"/>
              <w:rPr>
                <w:rFonts w:ascii="Times New Roman" w:hAnsi="Times New Roman" w:cs="Times New Roman"/>
              </w:rPr>
            </w:pPr>
          </w:p>
          <w:p w14:paraId="41A93FF8" w14:textId="77777777" w:rsidR="006D621A" w:rsidRPr="006D621A" w:rsidRDefault="006D621A" w:rsidP="006D621A">
            <w:pPr>
              <w:spacing w:after="160" w:line="259" w:lineRule="auto"/>
              <w:rPr>
                <w:rFonts w:ascii="Times New Roman" w:hAnsi="Times New Roman" w:cs="Times New Roman"/>
              </w:rPr>
            </w:pPr>
          </w:p>
        </w:tc>
      </w:tr>
    </w:tbl>
    <w:p w14:paraId="6CCB5E21" w14:textId="77777777" w:rsidR="006D621A" w:rsidRPr="006D621A" w:rsidRDefault="006D621A" w:rsidP="006D621A">
      <w:pPr>
        <w:rPr>
          <w:rFonts w:ascii="Times New Roman" w:hAnsi="Times New Roman" w:cs="Times New Roman"/>
          <w:sz w:val="24"/>
          <w:szCs w:val="24"/>
        </w:rPr>
      </w:pPr>
    </w:p>
    <w:p w14:paraId="50E70E00" w14:textId="77777777" w:rsidR="006D621A" w:rsidRPr="006D621A" w:rsidRDefault="006D621A" w:rsidP="006D621A">
      <w:pPr>
        <w:rPr>
          <w:rFonts w:ascii="Times New Roman" w:hAnsi="Times New Roman" w:cs="Times New Roman"/>
          <w:sz w:val="24"/>
          <w:szCs w:val="24"/>
        </w:rPr>
      </w:pPr>
    </w:p>
    <w:p w14:paraId="4B10F323" w14:textId="77777777" w:rsidR="006D621A" w:rsidRPr="006D621A" w:rsidRDefault="006D621A" w:rsidP="006D621A">
      <w:pPr>
        <w:rPr>
          <w:rFonts w:ascii="Times New Roman" w:hAnsi="Times New Roman" w:cs="Times New Roman"/>
          <w:sz w:val="24"/>
          <w:szCs w:val="24"/>
        </w:rPr>
      </w:pPr>
    </w:p>
    <w:p w14:paraId="644C5716" w14:textId="77777777" w:rsidR="006D621A" w:rsidRPr="006D621A" w:rsidRDefault="006D621A" w:rsidP="006D621A">
      <w:pPr>
        <w:rPr>
          <w:rFonts w:ascii="Times New Roman" w:hAnsi="Times New Roman" w:cs="Times New Roman"/>
          <w:sz w:val="24"/>
          <w:szCs w:val="24"/>
        </w:rPr>
      </w:pPr>
    </w:p>
    <w:p w14:paraId="29978559" w14:textId="77777777" w:rsidR="00B323AC" w:rsidRDefault="00B323AC" w:rsidP="006D621A">
      <w:pPr>
        <w:rPr>
          <w:rFonts w:ascii="Times New Roman" w:hAnsi="Times New Roman" w:cs="Times New Roman"/>
          <w:sz w:val="24"/>
          <w:szCs w:val="24"/>
        </w:rPr>
      </w:pPr>
    </w:p>
    <w:p w14:paraId="1CFE99E7" w14:textId="4D574FA7" w:rsidR="006D621A" w:rsidRPr="00F85C6A" w:rsidRDefault="006D621A" w:rsidP="006D621A">
      <w:pPr>
        <w:rPr>
          <w:rFonts w:ascii="Times New Roman" w:hAnsi="Times New Roman" w:cs="Times New Roman"/>
          <w:b/>
          <w:bCs/>
          <w:sz w:val="26"/>
          <w:szCs w:val="26"/>
          <w:u w:val="single"/>
        </w:rPr>
      </w:pPr>
      <w:r w:rsidRPr="00F85C6A">
        <w:rPr>
          <w:rFonts w:ascii="Times New Roman" w:hAnsi="Times New Roman" w:cs="Times New Roman"/>
          <w:b/>
          <w:bCs/>
          <w:sz w:val="26"/>
          <w:szCs w:val="26"/>
          <w:u w:val="single"/>
        </w:rPr>
        <w:lastRenderedPageBreak/>
        <w:t>How do adults using GLP</w:t>
      </w:r>
      <w:r w:rsidRPr="00F85C6A">
        <w:rPr>
          <w:rFonts w:ascii="Times New Roman" w:hAnsi="Times New Roman" w:cs="Times New Roman"/>
          <w:b/>
          <w:bCs/>
          <w:sz w:val="26"/>
          <w:szCs w:val="26"/>
          <w:u w:val="single"/>
        </w:rPr>
        <w:noBreakHyphen/>
        <w:t>1 medicines outside clinical settings experience changes in appetite, eating habits, and perceived nutritional intake</w:t>
      </w:r>
    </w:p>
    <w:p w14:paraId="6E62EC16" w14:textId="77777777" w:rsidR="006D621A" w:rsidRPr="00F85C6A" w:rsidRDefault="006D621A" w:rsidP="006D621A">
      <w:pPr>
        <w:spacing w:after="240"/>
        <w:rPr>
          <w:rFonts w:ascii="Times New Roman" w:hAnsi="Times New Roman" w:cs="Times New Roman"/>
          <w:sz w:val="24"/>
          <w:szCs w:val="24"/>
        </w:rPr>
      </w:pPr>
      <w:r w:rsidRPr="00F85C6A">
        <w:rPr>
          <w:rFonts w:ascii="Times New Roman" w:hAnsi="Times New Roman" w:cs="Times New Roman"/>
          <w:sz w:val="24"/>
          <w:szCs w:val="24"/>
        </w:rPr>
        <w:t>GLP</w:t>
      </w:r>
      <w:r w:rsidRPr="00F85C6A">
        <w:rPr>
          <w:rFonts w:ascii="Times New Roman" w:hAnsi="Times New Roman" w:cs="Times New Roman"/>
          <w:sz w:val="24"/>
          <w:szCs w:val="24"/>
        </w:rPr>
        <w:noBreakHyphen/>
        <w:t>1 agonists like semaglutide and tirzepatide now extend beyond diabetes care into widespread weight</w:t>
      </w:r>
      <w:r w:rsidRPr="00F85C6A">
        <w:rPr>
          <w:rFonts w:ascii="Times New Roman" w:hAnsi="Times New Roman" w:cs="Times New Roman"/>
          <w:sz w:val="24"/>
          <w:szCs w:val="24"/>
        </w:rPr>
        <w:noBreakHyphen/>
        <w:t>loss use (Armanious et al., 2026; Ugwu et al., 2026). These medicines slow gastric emptying and reduce hunger signals, producing strong appetite suppression and notable weight</w:t>
      </w:r>
      <w:r w:rsidRPr="00F85C6A">
        <w:rPr>
          <w:rFonts w:ascii="Times New Roman" w:hAnsi="Times New Roman" w:cs="Times New Roman"/>
          <w:sz w:val="24"/>
          <w:szCs w:val="24"/>
        </w:rPr>
        <w:noBreakHyphen/>
        <w:t>loss outcomes (Beutler, 2026). This appetite reduction raises concerns about nutritional adequacy, hydration, and long</w:t>
      </w:r>
      <w:r w:rsidRPr="00F85C6A">
        <w:rPr>
          <w:rFonts w:ascii="Times New Roman" w:hAnsi="Times New Roman" w:cs="Times New Roman"/>
          <w:sz w:val="24"/>
          <w:szCs w:val="24"/>
        </w:rPr>
        <w:noBreakHyphen/>
        <w:t>term eating behaviour (Febrey et al., 2025). Appetite change may also influence food choices, meal frequency, and nutritional awareness among informal users (Tronieri et al., 2026).</w:t>
      </w:r>
    </w:p>
    <w:p w14:paraId="20D67304" w14:textId="77777777" w:rsidR="006D621A" w:rsidRPr="00F85C6A" w:rsidRDefault="006D621A" w:rsidP="006D621A">
      <w:pPr>
        <w:spacing w:after="240"/>
        <w:rPr>
          <w:rFonts w:ascii="Times New Roman" w:hAnsi="Times New Roman" w:cs="Times New Roman"/>
          <w:sz w:val="24"/>
          <w:szCs w:val="24"/>
        </w:rPr>
      </w:pPr>
      <w:r w:rsidRPr="00F85C6A">
        <w:rPr>
          <w:rFonts w:ascii="Times New Roman" w:hAnsi="Times New Roman" w:cs="Times New Roman"/>
          <w:sz w:val="24"/>
          <w:szCs w:val="24"/>
        </w:rPr>
        <w:t>Many adults now access GLP</w:t>
      </w:r>
      <w:r w:rsidRPr="00F85C6A">
        <w:rPr>
          <w:rFonts w:ascii="Times New Roman" w:hAnsi="Times New Roman" w:cs="Times New Roman"/>
          <w:sz w:val="24"/>
          <w:szCs w:val="24"/>
        </w:rPr>
        <w:noBreakHyphen/>
        <w:t>1 medicines privately or online, outside formal healthcare pathways (Ugwu, Willis and Pickett, 2026). Informal users often receive no nutritional or behavioural support when starting or maintaining treatment (Armanious et al., 2026). This lack of guidance increases risks of reduced intake, micronutrient insufficiency, and inconsistent hydration (Febrey et al., 2025). Psychological effects may also emerge without monitoring, shaping motivation and emotional responses to eating (Beutler, 2026). Without support, individuals may struggle to maintain balanced diets or recognise early signs of inadequate intake (Mogna Peláez and Guasch Ferré, 2026).</w:t>
      </w:r>
    </w:p>
    <w:p w14:paraId="5531CDFB" w14:textId="77777777" w:rsidR="006D621A" w:rsidRPr="00F85C6A" w:rsidRDefault="006D621A" w:rsidP="006D621A">
      <w:pPr>
        <w:spacing w:after="240"/>
        <w:rPr>
          <w:rFonts w:ascii="Times New Roman" w:hAnsi="Times New Roman" w:cs="Times New Roman"/>
          <w:sz w:val="24"/>
          <w:szCs w:val="24"/>
        </w:rPr>
      </w:pPr>
      <w:r w:rsidRPr="00F85C6A">
        <w:rPr>
          <w:rFonts w:ascii="Times New Roman" w:hAnsi="Times New Roman" w:cs="Times New Roman"/>
          <w:sz w:val="24"/>
          <w:szCs w:val="24"/>
        </w:rPr>
        <w:t>Informal GLP</w:t>
      </w:r>
      <w:r w:rsidRPr="00F85C6A">
        <w:rPr>
          <w:rFonts w:ascii="Times New Roman" w:hAnsi="Times New Roman" w:cs="Times New Roman"/>
          <w:sz w:val="24"/>
          <w:szCs w:val="24"/>
        </w:rPr>
        <w:noBreakHyphen/>
        <w:t>1 use is growing rapidly, yet little is known about how adults manage appetite change in everyday life (De Vere Hunt et al., 2026). Many users rely on online communities for advice, which often provide inconsistent or anecdotal guidance (Armanious et al., 2026). These digital spaces highlight concerns about nausea, reduced food enjoyment, and nutritional difficulties, but research has not examined these experiences directly (Armanious et al., 2026). Appetite suppression can disrupt eating routines, alter food preferences, and reduce motivation to prepare balanced meals (Tronieri et al., 2026). These changes may affect long</w:t>
      </w:r>
      <w:r w:rsidRPr="00F85C6A">
        <w:rPr>
          <w:rFonts w:ascii="Times New Roman" w:hAnsi="Times New Roman" w:cs="Times New Roman"/>
          <w:sz w:val="24"/>
          <w:szCs w:val="24"/>
        </w:rPr>
        <w:noBreakHyphen/>
        <w:t>term nutritional health, especially when use occurs without professional oversight (Febrey et al., 2025).</w:t>
      </w:r>
    </w:p>
    <w:p w14:paraId="14915297" w14:textId="77777777" w:rsidR="006D621A" w:rsidRPr="00F85C6A" w:rsidRDefault="006D621A" w:rsidP="006D621A">
      <w:pPr>
        <w:spacing w:after="240"/>
        <w:rPr>
          <w:rFonts w:ascii="Times New Roman" w:hAnsi="Times New Roman" w:cs="Times New Roman"/>
          <w:sz w:val="24"/>
          <w:szCs w:val="24"/>
        </w:rPr>
      </w:pPr>
      <w:r w:rsidRPr="00F85C6A">
        <w:rPr>
          <w:rFonts w:ascii="Times New Roman" w:hAnsi="Times New Roman" w:cs="Times New Roman"/>
          <w:sz w:val="24"/>
          <w:szCs w:val="24"/>
        </w:rPr>
        <w:t>Current research focuses mainly on clinical trials, metabolic outcomes, and pharmacological efficacy (Ibsen et al., 2025). These studies offer physiological insight but provide limited understanding of lived nutritional experiences among informal GLP</w:t>
      </w:r>
      <w:r w:rsidRPr="00F85C6A">
        <w:rPr>
          <w:rFonts w:ascii="Times New Roman" w:hAnsi="Times New Roman" w:cs="Times New Roman"/>
          <w:sz w:val="24"/>
          <w:szCs w:val="24"/>
        </w:rPr>
        <w:noBreakHyphen/>
        <w:t>1 users (Febrey et al., 2025). Qualitative research is needed to capture behavioural and emotional challenges that quantitative studies often overlook (Armanious et al., 2026). Qualitative exploration can show how appetite change shapes food choices, hydration habits, and nutritional perceptions (Stage et al., 2026). These insights are vital for understanding nutritional risks among unsupervised users and informing safer public health guidance (De Vere Hunt et al., 2026).</w:t>
      </w:r>
    </w:p>
    <w:p w14:paraId="52807AC2"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This study will explore how informal GLP</w:t>
      </w:r>
      <w:r w:rsidRPr="00F85C6A">
        <w:rPr>
          <w:rFonts w:ascii="Times New Roman" w:hAnsi="Times New Roman" w:cs="Times New Roman"/>
          <w:sz w:val="24"/>
          <w:szCs w:val="24"/>
        </w:rPr>
        <w:noBreakHyphen/>
        <w:t>1 users perceive changes in appetite, eating habits, and nutritional intake. It aims to generate evidence to strengthen nutritional guidance, support safer informal use, and improve public health messaging. The findings will be useful for nutritionists, dietitians, and public health practitioners supporting GLP</w:t>
      </w:r>
      <w:r w:rsidRPr="00F85C6A">
        <w:rPr>
          <w:rFonts w:ascii="Times New Roman" w:hAnsi="Times New Roman" w:cs="Times New Roman"/>
          <w:sz w:val="24"/>
          <w:szCs w:val="24"/>
        </w:rPr>
        <w:noBreakHyphen/>
        <w:t>1 users, and will inform professionals developing guidance on safe weight</w:t>
      </w:r>
      <w:r w:rsidRPr="00F85C6A">
        <w:rPr>
          <w:rFonts w:ascii="Times New Roman" w:hAnsi="Times New Roman" w:cs="Times New Roman"/>
          <w:sz w:val="24"/>
          <w:szCs w:val="24"/>
        </w:rPr>
        <w:noBreakHyphen/>
        <w:t>loss medicines. They will also give GLP</w:t>
      </w:r>
      <w:r w:rsidRPr="00F85C6A">
        <w:rPr>
          <w:rFonts w:ascii="Times New Roman" w:hAnsi="Times New Roman" w:cs="Times New Roman"/>
          <w:sz w:val="24"/>
          <w:szCs w:val="24"/>
        </w:rPr>
        <w:noBreakHyphen/>
        <w:t>1 users clearer insight into nutritional risks and safer self</w:t>
      </w:r>
      <w:r w:rsidRPr="00F85C6A">
        <w:rPr>
          <w:rFonts w:ascii="Times New Roman" w:hAnsi="Times New Roman" w:cs="Times New Roman"/>
          <w:sz w:val="24"/>
          <w:szCs w:val="24"/>
        </w:rPr>
        <w:noBreakHyphen/>
        <w:t>management.</w:t>
      </w:r>
    </w:p>
    <w:p w14:paraId="12C8DF81" w14:textId="77777777" w:rsidR="006D621A" w:rsidRPr="00F85C6A" w:rsidRDefault="006D621A" w:rsidP="006D621A">
      <w:pPr>
        <w:rPr>
          <w:rFonts w:ascii="Times New Roman" w:hAnsi="Times New Roman" w:cs="Times New Roman"/>
          <w:b/>
          <w:bCs/>
          <w:sz w:val="24"/>
          <w:szCs w:val="24"/>
          <w:u w:val="single"/>
        </w:rPr>
      </w:pPr>
    </w:p>
    <w:p w14:paraId="6CD2E361" w14:textId="781D300A" w:rsidR="006D621A" w:rsidRPr="00F85C6A" w:rsidRDefault="006D621A" w:rsidP="00F85C6A">
      <w:pPr>
        <w:spacing w:after="80"/>
        <w:rPr>
          <w:rFonts w:ascii="Times New Roman" w:hAnsi="Times New Roman" w:cs="Times New Roman"/>
          <w:sz w:val="26"/>
          <w:szCs w:val="26"/>
        </w:rPr>
      </w:pPr>
      <w:r w:rsidRPr="00F85C6A">
        <w:rPr>
          <w:rFonts w:ascii="Times New Roman" w:hAnsi="Times New Roman" w:cs="Times New Roman"/>
          <w:b/>
          <w:bCs/>
          <w:sz w:val="26"/>
          <w:szCs w:val="26"/>
          <w:u w:val="single"/>
        </w:rPr>
        <w:lastRenderedPageBreak/>
        <w:t>Aims</w:t>
      </w:r>
    </w:p>
    <w:p w14:paraId="074A0749" w14:textId="3F3312AF"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Aim 1: To explore how informal GLP</w:t>
      </w:r>
      <w:r w:rsidRPr="00F85C6A">
        <w:rPr>
          <w:rFonts w:ascii="Times New Roman" w:hAnsi="Times New Roman" w:cs="Times New Roman"/>
          <w:sz w:val="24"/>
          <w:szCs w:val="24"/>
        </w:rPr>
        <w:noBreakHyphen/>
        <w:t>1 users perceive appetite changes and reduced food intake.</w:t>
      </w:r>
    </w:p>
    <w:p w14:paraId="0FC12D3E"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Aim 2: To examine perceived nutritional adequacy among adults using GLP</w:t>
      </w:r>
      <w:r w:rsidRPr="00F85C6A">
        <w:rPr>
          <w:rFonts w:ascii="Times New Roman" w:hAnsi="Times New Roman" w:cs="Times New Roman"/>
          <w:sz w:val="24"/>
          <w:szCs w:val="24"/>
        </w:rPr>
        <w:noBreakHyphen/>
        <w:t>1 medicines without clinical support.</w:t>
      </w:r>
    </w:p>
    <w:p w14:paraId="4489B959"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Aim 3: To identify practical issues unsupervised GLP</w:t>
      </w:r>
      <w:r w:rsidRPr="00F85C6A">
        <w:rPr>
          <w:rFonts w:ascii="Times New Roman" w:hAnsi="Times New Roman" w:cs="Times New Roman"/>
          <w:sz w:val="24"/>
          <w:szCs w:val="24"/>
        </w:rPr>
        <w:noBreakHyphen/>
        <w:t>1 users face in daily eating routines.</w:t>
      </w:r>
    </w:p>
    <w:p w14:paraId="72985296" w14:textId="77777777" w:rsidR="006D621A" w:rsidRPr="00F85C6A" w:rsidRDefault="006D621A" w:rsidP="006D621A">
      <w:pPr>
        <w:rPr>
          <w:rFonts w:ascii="Times New Roman" w:hAnsi="Times New Roman" w:cs="Times New Roman"/>
          <w:b/>
          <w:bCs/>
          <w:sz w:val="24"/>
          <w:szCs w:val="24"/>
          <w:u w:val="single"/>
        </w:rPr>
      </w:pPr>
    </w:p>
    <w:p w14:paraId="58A54631" w14:textId="77777777" w:rsidR="006D621A" w:rsidRPr="00F85C6A" w:rsidRDefault="006D621A" w:rsidP="00F85C6A">
      <w:pPr>
        <w:spacing w:after="80"/>
        <w:rPr>
          <w:rFonts w:ascii="Times New Roman" w:hAnsi="Times New Roman" w:cs="Times New Roman"/>
          <w:b/>
          <w:bCs/>
          <w:sz w:val="26"/>
          <w:szCs w:val="26"/>
          <w:u w:val="single"/>
        </w:rPr>
      </w:pPr>
      <w:r w:rsidRPr="00F85C6A">
        <w:rPr>
          <w:rFonts w:ascii="Times New Roman" w:hAnsi="Times New Roman" w:cs="Times New Roman"/>
          <w:b/>
          <w:bCs/>
          <w:sz w:val="26"/>
          <w:szCs w:val="26"/>
          <w:u w:val="single"/>
        </w:rPr>
        <w:t>Objectives</w:t>
      </w:r>
    </w:p>
    <w:p w14:paraId="4BA00C51" w14:textId="04253879"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Objective 1: To gather detailed accounts of appetite changes experienced by informal GLP</w:t>
      </w:r>
      <w:r w:rsidRPr="00F85C6A">
        <w:rPr>
          <w:rFonts w:ascii="Times New Roman" w:hAnsi="Times New Roman" w:cs="Times New Roman"/>
          <w:sz w:val="24"/>
          <w:szCs w:val="24"/>
        </w:rPr>
        <w:noBreakHyphen/>
        <w:t xml:space="preserve">1 users. </w:t>
      </w:r>
    </w:p>
    <w:p w14:paraId="2502259A"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 xml:space="preserve">Objective 2: To explore how reduced hunger influences daily food choices and eating patterns. </w:t>
      </w:r>
    </w:p>
    <w:p w14:paraId="0A46A3A1"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Objective 3: To understand how users assess their own nutritional adequacy while using GLP</w:t>
      </w:r>
      <w:r w:rsidRPr="00F85C6A">
        <w:rPr>
          <w:rFonts w:ascii="Times New Roman" w:hAnsi="Times New Roman" w:cs="Times New Roman"/>
          <w:sz w:val="24"/>
          <w:szCs w:val="24"/>
        </w:rPr>
        <w:noBreakHyphen/>
        <w:t xml:space="preserve">1 medicines. </w:t>
      </w:r>
    </w:p>
    <w:p w14:paraId="4224C940"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 xml:space="preserve">Objective 4: To identify practical challenges related to meal planning, hydration, and daily routines. </w:t>
      </w:r>
    </w:p>
    <w:p w14:paraId="54302E71" w14:textId="77777777" w:rsidR="006D621A" w:rsidRPr="00F85C6A" w:rsidRDefault="006D621A" w:rsidP="006D621A">
      <w:pPr>
        <w:rPr>
          <w:rFonts w:ascii="Times New Roman" w:hAnsi="Times New Roman" w:cs="Times New Roman"/>
          <w:b/>
          <w:bCs/>
          <w:sz w:val="24"/>
          <w:szCs w:val="24"/>
        </w:rPr>
      </w:pPr>
      <w:r w:rsidRPr="00F85C6A">
        <w:rPr>
          <w:rFonts w:ascii="Times New Roman" w:hAnsi="Times New Roman" w:cs="Times New Roman"/>
          <w:sz w:val="24"/>
          <w:szCs w:val="24"/>
        </w:rPr>
        <w:t>Objective 5: To generate insights that can inform safer, nutrition</w:t>
      </w:r>
      <w:r w:rsidRPr="00F85C6A">
        <w:rPr>
          <w:rFonts w:ascii="Times New Roman" w:hAnsi="Times New Roman" w:cs="Times New Roman"/>
          <w:sz w:val="24"/>
          <w:szCs w:val="24"/>
        </w:rPr>
        <w:noBreakHyphen/>
        <w:t>focused guidance for informal GLP</w:t>
      </w:r>
      <w:r w:rsidRPr="00F85C6A">
        <w:rPr>
          <w:rFonts w:ascii="Times New Roman" w:hAnsi="Times New Roman" w:cs="Times New Roman"/>
          <w:sz w:val="24"/>
          <w:szCs w:val="24"/>
        </w:rPr>
        <w:noBreakHyphen/>
        <w:t>1 use.</w:t>
      </w:r>
    </w:p>
    <w:p w14:paraId="57728A6D" w14:textId="77777777" w:rsidR="006D621A" w:rsidRPr="00F85C6A" w:rsidRDefault="006D621A" w:rsidP="006D621A">
      <w:pPr>
        <w:rPr>
          <w:rFonts w:ascii="Times New Roman" w:hAnsi="Times New Roman" w:cs="Times New Roman"/>
          <w:b/>
          <w:bCs/>
          <w:sz w:val="24"/>
          <w:szCs w:val="24"/>
          <w:u w:val="single"/>
        </w:rPr>
      </w:pPr>
    </w:p>
    <w:p w14:paraId="60356E95" w14:textId="77777777" w:rsidR="006D621A" w:rsidRPr="00F85C6A" w:rsidRDefault="006D621A" w:rsidP="006D621A">
      <w:pPr>
        <w:rPr>
          <w:rFonts w:ascii="Times New Roman" w:hAnsi="Times New Roman" w:cs="Times New Roman"/>
          <w:sz w:val="24"/>
          <w:szCs w:val="24"/>
        </w:rPr>
      </w:pPr>
    </w:p>
    <w:p w14:paraId="7CE0350C" w14:textId="77777777" w:rsidR="006D621A" w:rsidRPr="00F85C6A" w:rsidRDefault="006D621A" w:rsidP="006D621A">
      <w:pPr>
        <w:rPr>
          <w:rFonts w:ascii="Times New Roman" w:hAnsi="Times New Roman" w:cs="Times New Roman"/>
          <w:b/>
          <w:bCs/>
          <w:sz w:val="24"/>
          <w:szCs w:val="24"/>
          <w:u w:val="single"/>
        </w:rPr>
      </w:pPr>
    </w:p>
    <w:p w14:paraId="40601548" w14:textId="77777777" w:rsidR="006D621A" w:rsidRPr="00F85C6A" w:rsidRDefault="006D621A" w:rsidP="006D621A">
      <w:pPr>
        <w:rPr>
          <w:rFonts w:ascii="Times New Roman" w:hAnsi="Times New Roman" w:cs="Times New Roman"/>
          <w:b/>
          <w:bCs/>
          <w:sz w:val="24"/>
          <w:szCs w:val="24"/>
          <w:u w:val="single"/>
        </w:rPr>
      </w:pPr>
    </w:p>
    <w:p w14:paraId="411D31D0" w14:textId="77777777" w:rsidR="006D621A" w:rsidRPr="00F85C6A" w:rsidRDefault="006D621A" w:rsidP="006D621A">
      <w:pPr>
        <w:rPr>
          <w:rFonts w:ascii="Times New Roman" w:hAnsi="Times New Roman" w:cs="Times New Roman"/>
          <w:b/>
          <w:bCs/>
          <w:sz w:val="24"/>
          <w:szCs w:val="24"/>
          <w:u w:val="single"/>
        </w:rPr>
      </w:pPr>
    </w:p>
    <w:p w14:paraId="180CDD6B" w14:textId="77777777" w:rsidR="006D621A" w:rsidRPr="00F85C6A" w:rsidRDefault="006D621A" w:rsidP="006D621A">
      <w:pPr>
        <w:rPr>
          <w:rFonts w:ascii="Times New Roman" w:hAnsi="Times New Roman" w:cs="Times New Roman"/>
          <w:b/>
          <w:bCs/>
          <w:sz w:val="24"/>
          <w:szCs w:val="24"/>
          <w:u w:val="single"/>
        </w:rPr>
      </w:pPr>
    </w:p>
    <w:p w14:paraId="40971814" w14:textId="77777777" w:rsidR="006D621A" w:rsidRPr="00F85C6A" w:rsidRDefault="006D621A" w:rsidP="006D621A">
      <w:pPr>
        <w:rPr>
          <w:rFonts w:ascii="Times New Roman" w:hAnsi="Times New Roman" w:cs="Times New Roman"/>
          <w:b/>
          <w:bCs/>
          <w:sz w:val="24"/>
          <w:szCs w:val="24"/>
          <w:u w:val="single"/>
        </w:rPr>
      </w:pPr>
    </w:p>
    <w:p w14:paraId="7F8398AB" w14:textId="77777777" w:rsidR="006D621A" w:rsidRPr="00F85C6A" w:rsidRDefault="006D621A" w:rsidP="006D621A">
      <w:pPr>
        <w:rPr>
          <w:rFonts w:ascii="Times New Roman" w:hAnsi="Times New Roman" w:cs="Times New Roman"/>
          <w:b/>
          <w:bCs/>
          <w:sz w:val="24"/>
          <w:szCs w:val="24"/>
          <w:u w:val="single"/>
        </w:rPr>
      </w:pPr>
    </w:p>
    <w:p w14:paraId="7684DD6A" w14:textId="77777777" w:rsidR="006D621A" w:rsidRPr="00F85C6A" w:rsidRDefault="006D621A" w:rsidP="006D621A">
      <w:pPr>
        <w:rPr>
          <w:rFonts w:ascii="Times New Roman" w:hAnsi="Times New Roman" w:cs="Times New Roman"/>
          <w:b/>
          <w:bCs/>
          <w:sz w:val="24"/>
          <w:szCs w:val="24"/>
          <w:u w:val="single"/>
        </w:rPr>
      </w:pPr>
    </w:p>
    <w:p w14:paraId="622F311A" w14:textId="77777777" w:rsidR="006D621A" w:rsidRPr="00F85C6A" w:rsidRDefault="006D621A" w:rsidP="006D621A">
      <w:pPr>
        <w:rPr>
          <w:rFonts w:ascii="Times New Roman" w:hAnsi="Times New Roman" w:cs="Times New Roman"/>
          <w:b/>
          <w:bCs/>
          <w:sz w:val="24"/>
          <w:szCs w:val="24"/>
          <w:u w:val="single"/>
        </w:rPr>
      </w:pPr>
    </w:p>
    <w:p w14:paraId="477BAD8D" w14:textId="77777777" w:rsidR="006D621A" w:rsidRPr="00F85C6A" w:rsidRDefault="006D621A" w:rsidP="006D621A">
      <w:pPr>
        <w:rPr>
          <w:rFonts w:ascii="Times New Roman" w:hAnsi="Times New Roman" w:cs="Times New Roman"/>
          <w:b/>
          <w:bCs/>
          <w:sz w:val="24"/>
          <w:szCs w:val="24"/>
          <w:u w:val="single"/>
        </w:rPr>
      </w:pPr>
    </w:p>
    <w:p w14:paraId="6EBDE4C5" w14:textId="77777777" w:rsidR="006D621A" w:rsidRPr="00F85C6A" w:rsidRDefault="006D621A" w:rsidP="006D621A">
      <w:pPr>
        <w:rPr>
          <w:rFonts w:ascii="Times New Roman" w:hAnsi="Times New Roman" w:cs="Times New Roman"/>
          <w:b/>
          <w:bCs/>
          <w:sz w:val="24"/>
          <w:szCs w:val="24"/>
          <w:u w:val="single"/>
        </w:rPr>
      </w:pPr>
    </w:p>
    <w:p w14:paraId="0DEE0918" w14:textId="77777777" w:rsidR="00B323AC" w:rsidRPr="00F85C6A" w:rsidRDefault="00B323AC" w:rsidP="00E75900">
      <w:pPr>
        <w:rPr>
          <w:rFonts w:ascii="Times New Roman" w:hAnsi="Times New Roman" w:cs="Times New Roman"/>
          <w:b/>
          <w:bCs/>
          <w:sz w:val="24"/>
          <w:szCs w:val="24"/>
          <w:u w:val="single"/>
        </w:rPr>
      </w:pPr>
    </w:p>
    <w:p w14:paraId="36149265" w14:textId="77777777" w:rsidR="00F85C6A" w:rsidRDefault="00F85C6A" w:rsidP="00E75900">
      <w:pPr>
        <w:rPr>
          <w:rFonts w:ascii="Times New Roman" w:hAnsi="Times New Roman" w:cs="Times New Roman"/>
          <w:b/>
          <w:bCs/>
          <w:sz w:val="26"/>
          <w:szCs w:val="26"/>
          <w:u w:val="single"/>
        </w:rPr>
      </w:pPr>
    </w:p>
    <w:p w14:paraId="2FA46114" w14:textId="77777777" w:rsidR="00F85C6A" w:rsidRDefault="00F85C6A" w:rsidP="00E75900">
      <w:pPr>
        <w:rPr>
          <w:rFonts w:ascii="Times New Roman" w:hAnsi="Times New Roman" w:cs="Times New Roman"/>
          <w:b/>
          <w:bCs/>
          <w:sz w:val="26"/>
          <w:szCs w:val="26"/>
          <w:u w:val="single"/>
        </w:rPr>
      </w:pPr>
    </w:p>
    <w:p w14:paraId="599C8280" w14:textId="4E410688" w:rsidR="00E75900" w:rsidRPr="00F85C6A" w:rsidRDefault="006D621A" w:rsidP="00E75900">
      <w:pPr>
        <w:rPr>
          <w:rFonts w:ascii="Times New Roman" w:hAnsi="Times New Roman" w:cs="Times New Roman"/>
          <w:b/>
          <w:bCs/>
          <w:sz w:val="26"/>
          <w:szCs w:val="26"/>
          <w:u w:val="single"/>
        </w:rPr>
      </w:pPr>
      <w:r w:rsidRPr="00F85C6A">
        <w:rPr>
          <w:rFonts w:ascii="Times New Roman" w:hAnsi="Times New Roman" w:cs="Times New Roman"/>
          <w:b/>
          <w:bCs/>
          <w:sz w:val="26"/>
          <w:szCs w:val="26"/>
          <w:u w:val="single"/>
        </w:rPr>
        <w:lastRenderedPageBreak/>
        <w:t>Methodology</w:t>
      </w:r>
    </w:p>
    <w:p w14:paraId="2802E4F0" w14:textId="19B89799" w:rsidR="006D621A" w:rsidRPr="00F85C6A" w:rsidRDefault="006D621A" w:rsidP="00B323AC">
      <w:pPr>
        <w:spacing w:after="0"/>
        <w:rPr>
          <w:rFonts w:ascii="Times New Roman" w:hAnsi="Times New Roman" w:cs="Times New Roman"/>
          <w:b/>
          <w:bCs/>
          <w:sz w:val="26"/>
          <w:szCs w:val="26"/>
          <w:u w:val="single"/>
        </w:rPr>
      </w:pPr>
      <w:r w:rsidRPr="00F85C6A">
        <w:rPr>
          <w:rFonts w:ascii="Times New Roman" w:hAnsi="Times New Roman" w:cs="Times New Roman"/>
          <w:sz w:val="24"/>
          <w:szCs w:val="24"/>
          <w:u w:val="single"/>
        </w:rPr>
        <w:t>Study Design</w:t>
      </w:r>
    </w:p>
    <w:p w14:paraId="1215A029" w14:textId="7777777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This study will use a qualitative exploratory design to examine lived experiences of informal GLP</w:t>
      </w:r>
      <w:r w:rsidRPr="00F85C6A">
        <w:rPr>
          <w:rFonts w:ascii="Times New Roman" w:hAnsi="Times New Roman" w:cs="Times New Roman"/>
          <w:sz w:val="24"/>
          <w:szCs w:val="24"/>
        </w:rPr>
        <w:noBreakHyphen/>
        <w:t>1 use. An exploratory approach is appropriate because informal GLP</w:t>
      </w:r>
      <w:r w:rsidRPr="00F85C6A">
        <w:rPr>
          <w:rFonts w:ascii="Times New Roman" w:hAnsi="Times New Roman" w:cs="Times New Roman"/>
          <w:sz w:val="24"/>
          <w:szCs w:val="24"/>
        </w:rPr>
        <w:noBreakHyphen/>
        <w:t>1 use is poorly understood and requires in</w:t>
      </w:r>
      <w:r w:rsidRPr="00F85C6A">
        <w:rPr>
          <w:rFonts w:ascii="Times New Roman" w:hAnsi="Times New Roman" w:cs="Times New Roman"/>
          <w:sz w:val="24"/>
          <w:szCs w:val="24"/>
        </w:rPr>
        <w:noBreakHyphen/>
        <w:t>depth investigation (Brinkmann, 2022). Qualitative inquiry captures personal, behavioural, and emotional experiences that quantitative methods cannot measure (Braun and Clarke, 2006). It prioritises depth and meaning, aligning with the study’s aims (Brinkmann, 2022). This design supports exploration of appetite change, eating behaviour, and nutritional decision</w:t>
      </w:r>
      <w:r w:rsidRPr="00F85C6A">
        <w:rPr>
          <w:rFonts w:ascii="Times New Roman" w:hAnsi="Times New Roman" w:cs="Times New Roman"/>
          <w:sz w:val="24"/>
          <w:szCs w:val="24"/>
        </w:rPr>
        <w:noBreakHyphen/>
        <w:t>making among unsupervised GLP</w:t>
      </w:r>
      <w:r w:rsidRPr="00F85C6A">
        <w:rPr>
          <w:rFonts w:ascii="Times New Roman" w:hAnsi="Times New Roman" w:cs="Times New Roman"/>
          <w:sz w:val="24"/>
          <w:szCs w:val="24"/>
        </w:rPr>
        <w:noBreakHyphen/>
        <w:t>1 users (Brinkmann, 2022; Febrey et al., 2025). As existing research focuses mainly on clinical trials and metabolic outcomes, qualitative exploration addresses important gaps in real</w:t>
      </w:r>
      <w:r w:rsidRPr="00F85C6A">
        <w:rPr>
          <w:rFonts w:ascii="Times New Roman" w:hAnsi="Times New Roman" w:cs="Times New Roman"/>
          <w:sz w:val="24"/>
          <w:szCs w:val="24"/>
        </w:rPr>
        <w:noBreakHyphen/>
        <w:t>world experience (Febrey et al., 2025).</w:t>
      </w:r>
    </w:p>
    <w:p w14:paraId="62ADF79F" w14:textId="77777777" w:rsidR="006D621A" w:rsidRPr="00F85C6A" w:rsidRDefault="006D621A" w:rsidP="006D621A">
      <w:pPr>
        <w:spacing w:after="0"/>
        <w:rPr>
          <w:rFonts w:ascii="Times New Roman" w:hAnsi="Times New Roman" w:cs="Times New Roman"/>
          <w:sz w:val="24"/>
          <w:szCs w:val="24"/>
          <w:u w:val="single"/>
        </w:rPr>
      </w:pPr>
    </w:p>
    <w:p w14:paraId="4701677A" w14:textId="77777777" w:rsidR="006D621A" w:rsidRPr="00F85C6A" w:rsidRDefault="006D621A" w:rsidP="006D621A">
      <w:pPr>
        <w:spacing w:after="0"/>
        <w:rPr>
          <w:rFonts w:ascii="Times New Roman" w:hAnsi="Times New Roman" w:cs="Times New Roman"/>
          <w:sz w:val="24"/>
          <w:szCs w:val="24"/>
          <w:u w:val="single"/>
        </w:rPr>
      </w:pPr>
      <w:r w:rsidRPr="00F85C6A">
        <w:rPr>
          <w:rFonts w:ascii="Times New Roman" w:hAnsi="Times New Roman" w:cs="Times New Roman"/>
          <w:sz w:val="24"/>
          <w:szCs w:val="24"/>
          <w:u w:val="single"/>
        </w:rPr>
        <w:t>Participants</w:t>
      </w:r>
    </w:p>
    <w:p w14:paraId="1BEB8F8F" w14:textId="7777777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Adults aged eighteen or older who use GLP</w:t>
      </w:r>
      <w:r w:rsidRPr="00F85C6A">
        <w:rPr>
          <w:rFonts w:ascii="Times New Roman" w:hAnsi="Times New Roman" w:cs="Times New Roman"/>
          <w:sz w:val="24"/>
          <w:szCs w:val="24"/>
        </w:rPr>
        <w:noBreakHyphen/>
        <w:t>1 medicines outside clinical pathways will be eligible. GLP</w:t>
      </w:r>
      <w:r w:rsidRPr="00F85C6A">
        <w:rPr>
          <w:rFonts w:ascii="Times New Roman" w:hAnsi="Times New Roman" w:cs="Times New Roman"/>
          <w:sz w:val="24"/>
          <w:szCs w:val="24"/>
        </w:rPr>
        <w:noBreakHyphen/>
        <w:t>1 medicines are prescribed for adults, and minors cannot provide informed consent for research involving appetite, weight, and health behaviours (Ugwu et al., 2026). The study aims to recruit 6–12 participants, which suits qualitative exploratory research and supports depth</w:t>
      </w:r>
      <w:r w:rsidRPr="00F85C6A">
        <w:rPr>
          <w:rFonts w:ascii="Times New Roman" w:hAnsi="Times New Roman" w:cs="Times New Roman"/>
          <w:sz w:val="24"/>
          <w:szCs w:val="24"/>
        </w:rPr>
        <w:noBreakHyphen/>
        <w:t>focused interviewing (Brinkmann, 2022). Participants must self</w:t>
      </w:r>
      <w:r w:rsidRPr="00F85C6A">
        <w:rPr>
          <w:rFonts w:ascii="Times New Roman" w:hAnsi="Times New Roman" w:cs="Times New Roman"/>
          <w:sz w:val="24"/>
          <w:szCs w:val="24"/>
        </w:rPr>
        <w:noBreakHyphen/>
        <w:t>report informal GLP</w:t>
      </w:r>
      <w:r w:rsidRPr="00F85C6A">
        <w:rPr>
          <w:rFonts w:ascii="Times New Roman" w:hAnsi="Times New Roman" w:cs="Times New Roman"/>
          <w:sz w:val="24"/>
          <w:szCs w:val="24"/>
        </w:rPr>
        <w:noBreakHyphen/>
        <w:t>1 use and provide informed consent. This sample size will allow exploration of diverse nutritional experiences while maintaining analytic manageability.</w:t>
      </w:r>
    </w:p>
    <w:p w14:paraId="36EF2B6E" w14:textId="7777777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Informal GLP</w:t>
      </w:r>
      <w:r w:rsidRPr="00F85C6A">
        <w:rPr>
          <w:rFonts w:ascii="Times New Roman" w:hAnsi="Times New Roman" w:cs="Times New Roman"/>
          <w:sz w:val="24"/>
          <w:szCs w:val="24"/>
        </w:rPr>
        <w:noBreakHyphen/>
        <w:t>1 users often lack nutritional guidance, increasing risks of appetite suppression, micronutrient insufficiency, and dehydration (Febrey et al., 2025). They are underrepresented because most research focuses on clinical populations (Ibsen et al., 2025). Including informal users will reveal real</w:t>
      </w:r>
      <w:r w:rsidRPr="00F85C6A">
        <w:rPr>
          <w:rFonts w:ascii="Times New Roman" w:hAnsi="Times New Roman" w:cs="Times New Roman"/>
          <w:sz w:val="24"/>
          <w:szCs w:val="24"/>
        </w:rPr>
        <w:noBreakHyphen/>
        <w:t>world nutritional experiences not captured in formal healthcare studies (DePietro et al., 2026).</w:t>
      </w:r>
    </w:p>
    <w:p w14:paraId="1061E392" w14:textId="77777777" w:rsidR="006D621A" w:rsidRPr="00F85C6A" w:rsidRDefault="006D621A" w:rsidP="006D621A">
      <w:pPr>
        <w:spacing w:after="0"/>
        <w:rPr>
          <w:rFonts w:ascii="Times New Roman" w:hAnsi="Times New Roman" w:cs="Times New Roman"/>
          <w:sz w:val="24"/>
          <w:szCs w:val="24"/>
        </w:rPr>
      </w:pPr>
    </w:p>
    <w:p w14:paraId="16640BE4" w14:textId="77777777" w:rsidR="006D621A" w:rsidRPr="00F85C6A" w:rsidRDefault="006D621A" w:rsidP="006D621A">
      <w:pPr>
        <w:spacing w:after="0"/>
        <w:rPr>
          <w:rFonts w:ascii="Times New Roman" w:hAnsi="Times New Roman" w:cs="Times New Roman"/>
          <w:sz w:val="24"/>
          <w:szCs w:val="24"/>
          <w:u w:val="single"/>
        </w:rPr>
      </w:pPr>
      <w:r w:rsidRPr="00F85C6A">
        <w:rPr>
          <w:rFonts w:ascii="Times New Roman" w:hAnsi="Times New Roman" w:cs="Times New Roman"/>
          <w:sz w:val="24"/>
          <w:szCs w:val="24"/>
          <w:u w:val="single"/>
        </w:rPr>
        <w:t>Recruitment</w:t>
      </w:r>
    </w:p>
    <w:p w14:paraId="1728F7FB" w14:textId="7777777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Participants will be recruited through online platforms, social media groups, and community networks. These settings commonly include individuals using GLP</w:t>
      </w:r>
      <w:r w:rsidRPr="00F85C6A">
        <w:rPr>
          <w:rFonts w:ascii="Times New Roman" w:hAnsi="Times New Roman" w:cs="Times New Roman"/>
          <w:sz w:val="24"/>
          <w:szCs w:val="24"/>
        </w:rPr>
        <w:noBreakHyphen/>
        <w:t>1 medicines without clinical supervision (Ugwu, Willis and Pickett, 2026). Online recruitment reduces barriers for informal users who often discuss GLP</w:t>
      </w:r>
      <w:r w:rsidRPr="00F85C6A">
        <w:rPr>
          <w:rFonts w:ascii="Times New Roman" w:hAnsi="Times New Roman" w:cs="Times New Roman"/>
          <w:sz w:val="24"/>
          <w:szCs w:val="24"/>
        </w:rPr>
        <w:noBreakHyphen/>
        <w:t>1 use in digital spaces rather than formal healthcare settings (Armanious et al., 2026). This approach supports access to diverse informal users and increases participation among individuals who may avoid face</w:t>
      </w:r>
      <w:r w:rsidRPr="00F85C6A">
        <w:rPr>
          <w:rFonts w:ascii="Times New Roman" w:hAnsi="Times New Roman" w:cs="Times New Roman"/>
          <w:sz w:val="24"/>
          <w:szCs w:val="24"/>
        </w:rPr>
        <w:noBreakHyphen/>
        <w:t>to</w:t>
      </w:r>
      <w:r w:rsidRPr="00F85C6A">
        <w:rPr>
          <w:rFonts w:ascii="Times New Roman" w:hAnsi="Times New Roman" w:cs="Times New Roman"/>
          <w:sz w:val="24"/>
          <w:szCs w:val="24"/>
        </w:rPr>
        <w:noBreakHyphen/>
        <w:t>face discussion (Armanious et al., 2026).</w:t>
      </w:r>
    </w:p>
    <w:p w14:paraId="19BE1CF8" w14:textId="77777777" w:rsidR="006D621A" w:rsidRPr="00F85C6A" w:rsidRDefault="006D621A" w:rsidP="006D621A">
      <w:pPr>
        <w:spacing w:after="0"/>
        <w:rPr>
          <w:rFonts w:ascii="Times New Roman" w:hAnsi="Times New Roman" w:cs="Times New Roman"/>
          <w:sz w:val="24"/>
          <w:szCs w:val="24"/>
        </w:rPr>
      </w:pPr>
    </w:p>
    <w:p w14:paraId="2D6A2632" w14:textId="77777777" w:rsidR="006D621A" w:rsidRPr="00F85C6A" w:rsidRDefault="006D621A" w:rsidP="006D621A">
      <w:pPr>
        <w:spacing w:after="0"/>
        <w:rPr>
          <w:rFonts w:ascii="Times New Roman" w:hAnsi="Times New Roman" w:cs="Times New Roman"/>
          <w:sz w:val="24"/>
          <w:szCs w:val="24"/>
          <w:u w:val="single"/>
        </w:rPr>
      </w:pPr>
      <w:r w:rsidRPr="00F85C6A">
        <w:rPr>
          <w:rFonts w:ascii="Times New Roman" w:hAnsi="Times New Roman" w:cs="Times New Roman"/>
          <w:sz w:val="24"/>
          <w:szCs w:val="24"/>
          <w:u w:val="single"/>
        </w:rPr>
        <w:t>Procedure</w:t>
      </w:r>
    </w:p>
    <w:p w14:paraId="5C48064F" w14:textId="7777777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Participants will receive an information sheet and provide written consent before interviews begin. Interviews will be audio</w:t>
      </w:r>
      <w:r w:rsidRPr="00F85C6A">
        <w:rPr>
          <w:rFonts w:ascii="Times New Roman" w:hAnsi="Times New Roman" w:cs="Times New Roman"/>
          <w:sz w:val="24"/>
          <w:szCs w:val="24"/>
        </w:rPr>
        <w:noBreakHyphen/>
        <w:t>recorded and transcribed verbatim to support accurate qualitative analysis (Braun and Clarke, 2006). As no validated scale exists for these experiences, a semi</w:t>
      </w:r>
      <w:r w:rsidRPr="00F85C6A">
        <w:rPr>
          <w:rFonts w:ascii="Times New Roman" w:hAnsi="Times New Roman" w:cs="Times New Roman"/>
          <w:sz w:val="24"/>
          <w:szCs w:val="24"/>
        </w:rPr>
        <w:noBreakHyphen/>
        <w:t>structured interview guide will be developed (Brinkmann, 2022). All data will be anonymised using pseudonyms to protect participant identity. Transcripts will be checked for accuracy before analysis to ensure reliable interpretation of participant accounts</w:t>
      </w:r>
    </w:p>
    <w:p w14:paraId="5226DCBD" w14:textId="77777777" w:rsidR="006D621A" w:rsidRPr="00F85C6A" w:rsidRDefault="006D621A" w:rsidP="006D621A">
      <w:pPr>
        <w:spacing w:after="0"/>
        <w:rPr>
          <w:rFonts w:ascii="Times New Roman" w:hAnsi="Times New Roman" w:cs="Times New Roman"/>
          <w:sz w:val="24"/>
          <w:szCs w:val="24"/>
          <w:u w:val="single"/>
        </w:rPr>
      </w:pPr>
    </w:p>
    <w:p w14:paraId="37EF28E9" w14:textId="77777777" w:rsidR="006D621A" w:rsidRPr="00F85C6A" w:rsidRDefault="006D621A" w:rsidP="006D621A">
      <w:pPr>
        <w:spacing w:after="0"/>
        <w:rPr>
          <w:rFonts w:ascii="Times New Roman" w:hAnsi="Times New Roman" w:cs="Times New Roman"/>
          <w:sz w:val="24"/>
          <w:szCs w:val="24"/>
          <w:u w:val="single"/>
        </w:rPr>
      </w:pPr>
    </w:p>
    <w:p w14:paraId="0293F377" w14:textId="77777777" w:rsidR="00B323AC" w:rsidRPr="00F85C6A" w:rsidRDefault="00B323AC" w:rsidP="006D621A">
      <w:pPr>
        <w:spacing w:after="0"/>
        <w:rPr>
          <w:rFonts w:ascii="Times New Roman" w:hAnsi="Times New Roman" w:cs="Times New Roman"/>
          <w:sz w:val="24"/>
          <w:szCs w:val="24"/>
          <w:u w:val="single"/>
        </w:rPr>
      </w:pPr>
    </w:p>
    <w:p w14:paraId="6D013BD9" w14:textId="2513C5B2" w:rsidR="006D621A" w:rsidRPr="00F85C6A" w:rsidRDefault="006D621A" w:rsidP="006D621A">
      <w:pPr>
        <w:spacing w:after="0"/>
        <w:rPr>
          <w:rFonts w:ascii="Times New Roman" w:hAnsi="Times New Roman" w:cs="Times New Roman"/>
          <w:sz w:val="24"/>
          <w:szCs w:val="24"/>
          <w:u w:val="single"/>
        </w:rPr>
      </w:pPr>
      <w:r w:rsidRPr="00F85C6A">
        <w:rPr>
          <w:rFonts w:ascii="Times New Roman" w:hAnsi="Times New Roman" w:cs="Times New Roman"/>
          <w:sz w:val="24"/>
          <w:szCs w:val="24"/>
          <w:u w:val="single"/>
        </w:rPr>
        <w:lastRenderedPageBreak/>
        <w:t>Strengths and limitations</w:t>
      </w:r>
    </w:p>
    <w:p w14:paraId="59300CFF" w14:textId="77777777" w:rsidR="008E6C12" w:rsidRPr="00F85C6A" w:rsidRDefault="008E6C12" w:rsidP="008E6C12">
      <w:pPr>
        <w:spacing w:after="0"/>
        <w:rPr>
          <w:rFonts w:ascii="Times New Roman" w:hAnsi="Times New Roman" w:cs="Times New Roman"/>
          <w:sz w:val="24"/>
          <w:szCs w:val="24"/>
        </w:rPr>
      </w:pPr>
      <w:r w:rsidRPr="00F85C6A">
        <w:rPr>
          <w:rFonts w:ascii="Times New Roman" w:hAnsi="Times New Roman" w:cs="Times New Roman"/>
          <w:sz w:val="24"/>
          <w:szCs w:val="24"/>
        </w:rPr>
        <w:t>A qualitative exploratory design offers rich insight into lived experience and personal meaning (Brinkmann, 2022). Semi</w:t>
      </w:r>
      <w:r w:rsidRPr="00F85C6A">
        <w:rPr>
          <w:rFonts w:ascii="Times New Roman" w:hAnsi="Times New Roman" w:cs="Times New Roman"/>
          <w:sz w:val="24"/>
          <w:szCs w:val="24"/>
        </w:rPr>
        <w:noBreakHyphen/>
        <w:t>structured interviews allow flexible discussion of appetite, eating, and nutrition (Brinkmann, 2022). Online interviews increase accessibility for informal GLP</w:t>
      </w:r>
      <w:r w:rsidRPr="00F85C6A">
        <w:rPr>
          <w:rFonts w:ascii="Times New Roman" w:hAnsi="Times New Roman" w:cs="Times New Roman"/>
          <w:sz w:val="24"/>
          <w:szCs w:val="24"/>
        </w:rPr>
        <w:noBreakHyphen/>
        <w:t>1 users who avoid face</w:t>
      </w:r>
      <w:r w:rsidRPr="00F85C6A">
        <w:rPr>
          <w:rFonts w:ascii="Times New Roman" w:hAnsi="Times New Roman" w:cs="Times New Roman"/>
          <w:sz w:val="24"/>
          <w:szCs w:val="24"/>
        </w:rPr>
        <w:noBreakHyphen/>
        <w:t>to</w:t>
      </w:r>
      <w:r w:rsidRPr="00F85C6A">
        <w:rPr>
          <w:rFonts w:ascii="Times New Roman" w:hAnsi="Times New Roman" w:cs="Times New Roman"/>
          <w:sz w:val="24"/>
          <w:szCs w:val="24"/>
        </w:rPr>
        <w:noBreakHyphen/>
        <w:t>face settings (Buys et al., 2022). This approach supports detailed accounts of appetite change and nutritional concerns (Brinkmann, 2022).</w:t>
      </w:r>
    </w:p>
    <w:p w14:paraId="236F6BBB" w14:textId="77777777" w:rsidR="008E6C12" w:rsidRPr="00F85C6A" w:rsidRDefault="008E6C12" w:rsidP="008E6C12">
      <w:pPr>
        <w:spacing w:after="0"/>
        <w:rPr>
          <w:rFonts w:ascii="Times New Roman" w:hAnsi="Times New Roman" w:cs="Times New Roman"/>
          <w:sz w:val="24"/>
          <w:szCs w:val="24"/>
        </w:rPr>
      </w:pPr>
      <w:r w:rsidRPr="00F85C6A">
        <w:rPr>
          <w:rFonts w:ascii="Times New Roman" w:hAnsi="Times New Roman" w:cs="Times New Roman"/>
          <w:sz w:val="24"/>
          <w:szCs w:val="24"/>
        </w:rPr>
        <w:t>However, this study has several limitations. Qualitative findings cannot be generalised to all informal GLP</w:t>
      </w:r>
      <w:r w:rsidRPr="00F85C6A">
        <w:rPr>
          <w:rFonts w:ascii="Times New Roman" w:hAnsi="Times New Roman" w:cs="Times New Roman"/>
          <w:sz w:val="24"/>
          <w:szCs w:val="24"/>
        </w:rPr>
        <w:noBreakHyphen/>
        <w:t>1 users (Brinkmann, 2022). Online interviews reduce non</w:t>
      </w:r>
      <w:r w:rsidRPr="00F85C6A">
        <w:rPr>
          <w:rFonts w:ascii="Times New Roman" w:hAnsi="Times New Roman" w:cs="Times New Roman"/>
          <w:sz w:val="24"/>
          <w:szCs w:val="24"/>
        </w:rPr>
        <w:noBreakHyphen/>
        <w:t>verbal cues, which may affect interpretation (Buys et al., 2022). A small sample supports depth but may miss wider experiences (Brinkmann, 2022). Self</w:t>
      </w:r>
      <w:r w:rsidRPr="00F85C6A">
        <w:rPr>
          <w:rFonts w:ascii="Times New Roman" w:hAnsi="Times New Roman" w:cs="Times New Roman"/>
          <w:sz w:val="24"/>
          <w:szCs w:val="24"/>
        </w:rPr>
        <w:noBreakHyphen/>
        <w:t>reported accounts may include recall bias or social desirability bias (Nevedal et al., 2021). Sensitive questions about appetite and weight may reduce disclosure accuracy (Nevedal et al., 2021). Participants may under</w:t>
      </w:r>
      <w:r w:rsidRPr="00F85C6A">
        <w:rPr>
          <w:rFonts w:ascii="Times New Roman" w:hAnsi="Times New Roman" w:cs="Times New Roman"/>
          <w:sz w:val="24"/>
          <w:szCs w:val="24"/>
        </w:rPr>
        <w:noBreakHyphen/>
        <w:t>report difficulties or over</w:t>
      </w:r>
      <w:r w:rsidRPr="00F85C6A">
        <w:rPr>
          <w:rFonts w:ascii="Times New Roman" w:hAnsi="Times New Roman" w:cs="Times New Roman"/>
          <w:sz w:val="24"/>
          <w:szCs w:val="24"/>
        </w:rPr>
        <w:noBreakHyphen/>
        <w:t>state positive behaviours (Nevedal et al., 2021). Reflexive thematic analysis requires careful attention to researcher influence (Braun and Clarke, 2006). Researcher positionality may shape interpretation of participant experiences (Nevedal et al., 2021).</w:t>
      </w:r>
    </w:p>
    <w:p w14:paraId="3CC55282" w14:textId="77777777" w:rsidR="006D621A" w:rsidRPr="00F85C6A" w:rsidRDefault="006D621A" w:rsidP="006D621A">
      <w:pPr>
        <w:spacing w:after="0"/>
        <w:rPr>
          <w:rFonts w:ascii="Times New Roman" w:hAnsi="Times New Roman" w:cs="Times New Roman"/>
          <w:sz w:val="24"/>
          <w:szCs w:val="24"/>
          <w:u w:val="single"/>
        </w:rPr>
      </w:pPr>
    </w:p>
    <w:p w14:paraId="78FB0D01" w14:textId="77777777" w:rsidR="006D621A" w:rsidRPr="00F85C6A" w:rsidRDefault="006D621A" w:rsidP="006D621A">
      <w:pPr>
        <w:spacing w:after="0"/>
        <w:rPr>
          <w:rFonts w:ascii="Times New Roman" w:hAnsi="Times New Roman" w:cs="Times New Roman"/>
          <w:sz w:val="24"/>
          <w:szCs w:val="24"/>
          <w:u w:val="single"/>
        </w:rPr>
      </w:pPr>
      <w:r w:rsidRPr="00F85C6A">
        <w:rPr>
          <w:rFonts w:ascii="Times New Roman" w:hAnsi="Times New Roman" w:cs="Times New Roman"/>
          <w:sz w:val="24"/>
          <w:szCs w:val="24"/>
          <w:u w:val="single"/>
        </w:rPr>
        <w:t>Ethical Considerations</w:t>
      </w:r>
    </w:p>
    <w:p w14:paraId="522EE004" w14:textId="5B299557" w:rsidR="006D621A" w:rsidRPr="00F85C6A" w:rsidRDefault="006D621A" w:rsidP="006D621A">
      <w:pPr>
        <w:spacing w:after="0"/>
        <w:rPr>
          <w:rFonts w:ascii="Times New Roman" w:hAnsi="Times New Roman" w:cs="Times New Roman"/>
          <w:sz w:val="24"/>
          <w:szCs w:val="24"/>
        </w:rPr>
      </w:pPr>
      <w:r w:rsidRPr="00F85C6A">
        <w:rPr>
          <w:rFonts w:ascii="Times New Roman" w:hAnsi="Times New Roman" w:cs="Times New Roman"/>
          <w:sz w:val="24"/>
          <w:szCs w:val="24"/>
        </w:rPr>
        <w:t xml:space="preserve">All procedures will follow </w:t>
      </w:r>
      <w:r w:rsidR="00E75900" w:rsidRPr="00F85C6A">
        <w:rPr>
          <w:rFonts w:ascii="Times New Roman" w:hAnsi="Times New Roman" w:cs="Times New Roman"/>
          <w:sz w:val="24"/>
          <w:szCs w:val="24"/>
        </w:rPr>
        <w:t>UWTSD's</w:t>
      </w:r>
      <w:r w:rsidRPr="00F85C6A">
        <w:rPr>
          <w:rFonts w:ascii="Times New Roman" w:hAnsi="Times New Roman" w:cs="Times New Roman"/>
          <w:sz w:val="24"/>
          <w:szCs w:val="24"/>
        </w:rPr>
        <w:t xml:space="preserve"> Research Integrity and Ethics guidance (University of Wales Trinity Saint David, 2026). Participants will receive clear information about the study and provide written consent. They will be informed of their right to withdraw at any time without consequence. All data will be anonymised and stored securely on university systems. No identifying information will appear in transcripts or reported findings. Only adults able to provide informed consent will be included.</w:t>
      </w:r>
    </w:p>
    <w:p w14:paraId="6B54CEA5" w14:textId="77777777" w:rsidR="006D621A" w:rsidRPr="00F85C6A" w:rsidRDefault="006D621A" w:rsidP="006D621A">
      <w:pPr>
        <w:rPr>
          <w:rFonts w:ascii="Times New Roman" w:hAnsi="Times New Roman" w:cs="Times New Roman"/>
          <w:sz w:val="24"/>
          <w:szCs w:val="24"/>
        </w:rPr>
      </w:pPr>
    </w:p>
    <w:p w14:paraId="2F887DF0" w14:textId="77777777" w:rsidR="006D621A" w:rsidRPr="00F85C6A" w:rsidRDefault="006D621A" w:rsidP="006D621A">
      <w:pPr>
        <w:rPr>
          <w:rFonts w:ascii="Times New Roman" w:hAnsi="Times New Roman" w:cs="Times New Roman"/>
          <w:sz w:val="24"/>
          <w:szCs w:val="24"/>
        </w:rPr>
      </w:pPr>
    </w:p>
    <w:p w14:paraId="22542C8B" w14:textId="77777777" w:rsidR="006D621A" w:rsidRPr="00F85C6A" w:rsidRDefault="006D621A" w:rsidP="006D621A">
      <w:pPr>
        <w:rPr>
          <w:rFonts w:ascii="Times New Roman" w:hAnsi="Times New Roman" w:cs="Times New Roman"/>
          <w:sz w:val="24"/>
          <w:szCs w:val="24"/>
          <w:u w:val="single"/>
        </w:rPr>
      </w:pPr>
    </w:p>
    <w:p w14:paraId="123D877F" w14:textId="77777777" w:rsidR="006D621A" w:rsidRPr="00F85C6A" w:rsidRDefault="006D621A" w:rsidP="006D621A">
      <w:pPr>
        <w:rPr>
          <w:rFonts w:ascii="Times New Roman" w:hAnsi="Times New Roman" w:cs="Times New Roman"/>
          <w:sz w:val="24"/>
          <w:szCs w:val="24"/>
          <w:u w:val="single"/>
        </w:rPr>
      </w:pPr>
    </w:p>
    <w:p w14:paraId="5D83D30D" w14:textId="77777777" w:rsidR="006D621A" w:rsidRPr="00F85C6A" w:rsidRDefault="006D621A" w:rsidP="006D621A">
      <w:pPr>
        <w:rPr>
          <w:rFonts w:ascii="Times New Roman" w:hAnsi="Times New Roman" w:cs="Times New Roman"/>
          <w:sz w:val="24"/>
          <w:szCs w:val="24"/>
          <w:u w:val="single"/>
        </w:rPr>
      </w:pPr>
    </w:p>
    <w:p w14:paraId="2544713E" w14:textId="77777777" w:rsidR="006D621A" w:rsidRPr="00F85C6A" w:rsidRDefault="006D621A" w:rsidP="006D621A">
      <w:pPr>
        <w:rPr>
          <w:rFonts w:ascii="Times New Roman" w:hAnsi="Times New Roman" w:cs="Times New Roman"/>
          <w:sz w:val="24"/>
          <w:szCs w:val="24"/>
          <w:u w:val="single"/>
        </w:rPr>
      </w:pPr>
    </w:p>
    <w:p w14:paraId="4DB910FE" w14:textId="77777777" w:rsidR="006D621A" w:rsidRPr="00F85C6A" w:rsidRDefault="006D621A" w:rsidP="006D621A">
      <w:pPr>
        <w:rPr>
          <w:rFonts w:ascii="Times New Roman" w:hAnsi="Times New Roman" w:cs="Times New Roman"/>
          <w:sz w:val="24"/>
          <w:szCs w:val="24"/>
          <w:u w:val="single"/>
        </w:rPr>
      </w:pPr>
    </w:p>
    <w:p w14:paraId="4FCDC653" w14:textId="77777777" w:rsidR="006D621A" w:rsidRPr="00F85C6A" w:rsidRDefault="006D621A" w:rsidP="006D621A">
      <w:pPr>
        <w:rPr>
          <w:rFonts w:ascii="Times New Roman" w:hAnsi="Times New Roman" w:cs="Times New Roman"/>
          <w:sz w:val="24"/>
          <w:szCs w:val="24"/>
          <w:u w:val="single"/>
        </w:rPr>
      </w:pPr>
    </w:p>
    <w:p w14:paraId="243E4721" w14:textId="77777777" w:rsidR="006D621A" w:rsidRPr="00F85C6A" w:rsidRDefault="006D621A" w:rsidP="006D621A">
      <w:pPr>
        <w:rPr>
          <w:rFonts w:ascii="Times New Roman" w:hAnsi="Times New Roman" w:cs="Times New Roman"/>
          <w:sz w:val="24"/>
          <w:szCs w:val="24"/>
          <w:u w:val="single"/>
        </w:rPr>
      </w:pPr>
    </w:p>
    <w:p w14:paraId="043B82D3" w14:textId="77777777" w:rsidR="006D621A" w:rsidRPr="00F85C6A" w:rsidRDefault="006D621A" w:rsidP="006D621A">
      <w:pPr>
        <w:rPr>
          <w:rFonts w:ascii="Times New Roman" w:hAnsi="Times New Roman" w:cs="Times New Roman"/>
          <w:sz w:val="24"/>
          <w:szCs w:val="24"/>
          <w:u w:val="single"/>
        </w:rPr>
      </w:pPr>
    </w:p>
    <w:p w14:paraId="7A169737" w14:textId="77777777" w:rsidR="006D621A" w:rsidRPr="00F85C6A" w:rsidRDefault="006D621A" w:rsidP="006D621A">
      <w:pPr>
        <w:rPr>
          <w:rFonts w:ascii="Times New Roman" w:hAnsi="Times New Roman" w:cs="Times New Roman"/>
          <w:sz w:val="24"/>
          <w:szCs w:val="24"/>
          <w:u w:val="single"/>
        </w:rPr>
      </w:pPr>
    </w:p>
    <w:p w14:paraId="4FB40C85" w14:textId="77777777" w:rsidR="006D621A" w:rsidRPr="00F85C6A" w:rsidRDefault="006D621A" w:rsidP="006D621A">
      <w:pPr>
        <w:rPr>
          <w:rFonts w:ascii="Times New Roman" w:hAnsi="Times New Roman" w:cs="Times New Roman"/>
          <w:sz w:val="24"/>
          <w:szCs w:val="24"/>
          <w:u w:val="single"/>
        </w:rPr>
      </w:pPr>
    </w:p>
    <w:p w14:paraId="495127C0" w14:textId="77777777" w:rsidR="006D621A" w:rsidRPr="00F85C6A" w:rsidRDefault="006D621A" w:rsidP="006D621A">
      <w:pPr>
        <w:rPr>
          <w:rFonts w:ascii="Times New Roman" w:hAnsi="Times New Roman" w:cs="Times New Roman"/>
          <w:sz w:val="24"/>
          <w:szCs w:val="24"/>
          <w:u w:val="single"/>
        </w:rPr>
      </w:pPr>
    </w:p>
    <w:p w14:paraId="787B863B" w14:textId="77777777" w:rsidR="008E6C12" w:rsidRPr="00F85C6A" w:rsidRDefault="008E6C12" w:rsidP="006D621A">
      <w:pPr>
        <w:rPr>
          <w:rFonts w:ascii="Times New Roman" w:hAnsi="Times New Roman" w:cs="Times New Roman"/>
          <w:sz w:val="24"/>
          <w:szCs w:val="24"/>
          <w:u w:val="single"/>
        </w:rPr>
      </w:pPr>
    </w:p>
    <w:p w14:paraId="04709165" w14:textId="77777777" w:rsidR="00B323AC" w:rsidRPr="00F85C6A" w:rsidRDefault="00B323AC" w:rsidP="006D621A">
      <w:pPr>
        <w:rPr>
          <w:rFonts w:ascii="Times New Roman" w:hAnsi="Times New Roman" w:cs="Times New Roman"/>
          <w:sz w:val="24"/>
          <w:szCs w:val="24"/>
          <w:u w:val="single"/>
        </w:rPr>
      </w:pPr>
    </w:p>
    <w:p w14:paraId="75C8D3C9" w14:textId="3251BA9B" w:rsidR="006D621A" w:rsidRPr="00F85C6A" w:rsidRDefault="006D621A" w:rsidP="006D621A">
      <w:pPr>
        <w:rPr>
          <w:rFonts w:ascii="Times New Roman" w:hAnsi="Times New Roman" w:cs="Times New Roman"/>
          <w:b/>
          <w:bCs/>
          <w:sz w:val="26"/>
          <w:szCs w:val="26"/>
          <w:u w:val="single"/>
        </w:rPr>
      </w:pPr>
      <w:r w:rsidRPr="00F85C6A">
        <w:rPr>
          <w:rFonts w:ascii="Times New Roman" w:hAnsi="Times New Roman" w:cs="Times New Roman"/>
          <w:b/>
          <w:bCs/>
          <w:sz w:val="26"/>
          <w:szCs w:val="26"/>
          <w:u w:val="single"/>
        </w:rPr>
        <w:lastRenderedPageBreak/>
        <w:t>Data Analysis</w:t>
      </w:r>
    </w:p>
    <w:p w14:paraId="095E8699" w14:textId="194D5AB3" w:rsidR="006D621A" w:rsidRPr="00F85C6A" w:rsidRDefault="00F85C6A" w:rsidP="006D621A">
      <w:pPr>
        <w:rPr>
          <w:rFonts w:ascii="Times New Roman" w:hAnsi="Times New Roman" w:cs="Times New Roman"/>
          <w:sz w:val="24"/>
          <w:szCs w:val="24"/>
        </w:rPr>
      </w:pPr>
      <w:r w:rsidRPr="00F85C6A">
        <w:rPr>
          <w:rFonts w:ascii="Times New Roman" w:hAnsi="Times New Roman" w:cs="Times New Roman"/>
          <w:sz w:val="24"/>
          <w:szCs w:val="24"/>
        </w:rPr>
        <w:t>Analysis will follow Braun and Clarke's six‑phase framework, progressing from familiarisation to final theme refinement (Braun and Clarke, 2006).</w:t>
      </w:r>
      <w:r w:rsidRPr="00F85C6A">
        <w:rPr>
          <w:rFonts w:ascii="Times New Roman" w:hAnsi="Times New Roman" w:cs="Times New Roman"/>
          <w:sz w:val="24"/>
          <w:szCs w:val="24"/>
        </w:rPr>
        <w:t xml:space="preserve"> </w:t>
      </w:r>
      <w:r w:rsidR="006D621A" w:rsidRPr="00F85C6A">
        <w:rPr>
          <w:rFonts w:ascii="Times New Roman" w:hAnsi="Times New Roman" w:cs="Times New Roman"/>
          <w:sz w:val="24"/>
          <w:szCs w:val="24"/>
        </w:rPr>
        <w:t xml:space="preserve">Reflexive thematic analysis (RTA) will analyse all interview data (Braun and Clarke, 2006). RTA supports detailed exploration of lived experience and subjective meaning (Braun and Clarke, 2006). This approach aligns directly with the study's focus on appetite, eating behaviour, and nutritional </w:t>
      </w:r>
      <w:r w:rsidR="008E6C12" w:rsidRPr="00F85C6A">
        <w:rPr>
          <w:rFonts w:ascii="Times New Roman" w:hAnsi="Times New Roman" w:cs="Times New Roman"/>
          <w:sz w:val="24"/>
          <w:szCs w:val="24"/>
        </w:rPr>
        <w:t>decision-making</w:t>
      </w:r>
      <w:r w:rsidR="006D621A" w:rsidRPr="00F85C6A">
        <w:rPr>
          <w:rFonts w:ascii="Times New Roman" w:hAnsi="Times New Roman" w:cs="Times New Roman"/>
          <w:sz w:val="24"/>
          <w:szCs w:val="24"/>
        </w:rPr>
        <w:t>. RTA allows flexible and inductive engagement with the data, which suits informal GLP</w:t>
      </w:r>
      <w:r w:rsidR="006D621A" w:rsidRPr="00F85C6A">
        <w:rPr>
          <w:rFonts w:ascii="Times New Roman" w:hAnsi="Times New Roman" w:cs="Times New Roman"/>
          <w:sz w:val="24"/>
          <w:szCs w:val="24"/>
        </w:rPr>
        <w:noBreakHyphen/>
        <w:t>1 use (Braun and Clarke, 2006).</w:t>
      </w:r>
      <w:r w:rsidR="00FD4B95" w:rsidRPr="00F85C6A">
        <w:rPr>
          <w:rFonts w:ascii="Times New Roman" w:hAnsi="Times New Roman" w:cs="Times New Roman"/>
          <w:sz w:val="24"/>
          <w:szCs w:val="24"/>
        </w:rPr>
        <w:t xml:space="preserve"> </w:t>
      </w:r>
    </w:p>
    <w:p w14:paraId="0A5E4219"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An inductive coding strategy will guide theme development. Inductive coding allows themes to emerge from participants' accounts rather than assumptions. This strategy supports identification of meaningful units linked to appetite suppression and food choices. It also helps capture hydration concerns and perceived nutritional adequacy. Codes will then be organised into potential themes that reflect shared patterns.</w:t>
      </w:r>
    </w:p>
    <w:p w14:paraId="5D1A7A7E"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Themes will be reviewed for coherence and relevance to participant experiences (Braun and Clarke, 2006). This review process ensures accurate representation of emotional, behavioural, and practical aspects of GLP</w:t>
      </w:r>
      <w:r w:rsidRPr="00F85C6A">
        <w:rPr>
          <w:rFonts w:ascii="Times New Roman" w:hAnsi="Times New Roman" w:cs="Times New Roman"/>
          <w:sz w:val="24"/>
          <w:szCs w:val="24"/>
        </w:rPr>
        <w:noBreakHyphen/>
        <w:t>1 use. Saunders et al. (2023) will support coding consistency and analytic transparency. Their guidance strengthens documentation of analytic decisions across the study.</w:t>
      </w:r>
    </w:p>
    <w:p w14:paraId="5BDA2391"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Reflexive engagement will be informed by Nevedal et al. (2021). Reflexivity encourages awareness of researcher influence during interpretation. This stance is essential due to the sensitivity of appetite change and weight</w:t>
      </w:r>
      <w:r w:rsidRPr="00F85C6A">
        <w:rPr>
          <w:rFonts w:ascii="Times New Roman" w:hAnsi="Times New Roman" w:cs="Times New Roman"/>
          <w:sz w:val="24"/>
          <w:szCs w:val="24"/>
        </w:rPr>
        <w:noBreakHyphen/>
        <w:t>related experiences. Reflexivity also supports careful interpretation of informal medicine use.</w:t>
      </w:r>
    </w:p>
    <w:p w14:paraId="5A934BD0"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Final themes will be presented with clear supporting quotations. Quotations will illustrate how participants describe appetite change and nutritional perceptions. This analytic approach captures complex real</w:t>
      </w:r>
      <w:r w:rsidRPr="00F85C6A">
        <w:rPr>
          <w:rFonts w:ascii="Times New Roman" w:hAnsi="Times New Roman" w:cs="Times New Roman"/>
          <w:sz w:val="24"/>
          <w:szCs w:val="24"/>
        </w:rPr>
        <w:noBreakHyphen/>
        <w:t>world experiences that quantitative methods cannot provide.</w:t>
      </w:r>
    </w:p>
    <w:p w14:paraId="5FD0581B" w14:textId="77777777" w:rsidR="006D621A" w:rsidRPr="00F85C6A" w:rsidRDefault="006D621A" w:rsidP="006D621A">
      <w:pPr>
        <w:rPr>
          <w:rFonts w:ascii="Times New Roman" w:hAnsi="Times New Roman" w:cs="Times New Roman"/>
          <w:sz w:val="24"/>
          <w:szCs w:val="24"/>
        </w:rPr>
      </w:pPr>
    </w:p>
    <w:p w14:paraId="56D0F313" w14:textId="77777777" w:rsidR="006D621A" w:rsidRPr="00F85C6A" w:rsidRDefault="006D621A" w:rsidP="006D621A">
      <w:pPr>
        <w:rPr>
          <w:rFonts w:ascii="Times New Roman" w:hAnsi="Times New Roman" w:cs="Times New Roman"/>
          <w:sz w:val="24"/>
          <w:szCs w:val="24"/>
        </w:rPr>
      </w:pPr>
    </w:p>
    <w:p w14:paraId="290A15FE" w14:textId="77777777" w:rsidR="006D621A" w:rsidRPr="00F85C6A" w:rsidRDefault="006D621A" w:rsidP="006D621A">
      <w:pPr>
        <w:rPr>
          <w:rFonts w:ascii="Times New Roman" w:hAnsi="Times New Roman" w:cs="Times New Roman"/>
          <w:sz w:val="24"/>
          <w:szCs w:val="24"/>
        </w:rPr>
      </w:pPr>
    </w:p>
    <w:p w14:paraId="02FA6EF2" w14:textId="77777777" w:rsidR="006D621A" w:rsidRPr="00F85C6A" w:rsidRDefault="006D621A" w:rsidP="006D621A">
      <w:pPr>
        <w:rPr>
          <w:rFonts w:ascii="Times New Roman" w:hAnsi="Times New Roman" w:cs="Times New Roman"/>
          <w:sz w:val="24"/>
          <w:szCs w:val="24"/>
        </w:rPr>
      </w:pPr>
    </w:p>
    <w:p w14:paraId="5C7ED9D5" w14:textId="77777777" w:rsidR="006D621A" w:rsidRPr="00F85C6A" w:rsidRDefault="006D621A" w:rsidP="006D621A">
      <w:pPr>
        <w:rPr>
          <w:rFonts w:ascii="Times New Roman" w:hAnsi="Times New Roman" w:cs="Times New Roman"/>
          <w:sz w:val="24"/>
          <w:szCs w:val="24"/>
        </w:rPr>
      </w:pPr>
    </w:p>
    <w:p w14:paraId="0977A8C3" w14:textId="77777777" w:rsidR="006D621A" w:rsidRPr="00F85C6A" w:rsidRDefault="006D621A" w:rsidP="006D621A">
      <w:pPr>
        <w:rPr>
          <w:rFonts w:ascii="Times New Roman" w:hAnsi="Times New Roman" w:cs="Times New Roman"/>
          <w:sz w:val="24"/>
          <w:szCs w:val="24"/>
        </w:rPr>
      </w:pPr>
    </w:p>
    <w:p w14:paraId="4E91E5EE" w14:textId="77777777" w:rsidR="006D621A" w:rsidRPr="00F85C6A" w:rsidRDefault="006D621A" w:rsidP="006D621A">
      <w:pPr>
        <w:rPr>
          <w:rFonts w:ascii="Times New Roman" w:hAnsi="Times New Roman" w:cs="Times New Roman"/>
          <w:b/>
          <w:bCs/>
          <w:sz w:val="24"/>
          <w:szCs w:val="24"/>
          <w:u w:val="single"/>
        </w:rPr>
      </w:pPr>
    </w:p>
    <w:p w14:paraId="4E2EB1ED" w14:textId="77777777" w:rsidR="006D621A" w:rsidRPr="00F85C6A" w:rsidRDefault="006D621A" w:rsidP="006D621A">
      <w:pPr>
        <w:rPr>
          <w:rFonts w:ascii="Times New Roman" w:hAnsi="Times New Roman" w:cs="Times New Roman"/>
          <w:b/>
          <w:bCs/>
          <w:sz w:val="24"/>
          <w:szCs w:val="24"/>
          <w:u w:val="single"/>
        </w:rPr>
      </w:pPr>
    </w:p>
    <w:p w14:paraId="706CC276" w14:textId="77777777" w:rsidR="006D621A" w:rsidRPr="00F85C6A" w:rsidRDefault="006D621A" w:rsidP="006D621A">
      <w:pPr>
        <w:rPr>
          <w:rFonts w:ascii="Times New Roman" w:hAnsi="Times New Roman" w:cs="Times New Roman"/>
          <w:b/>
          <w:bCs/>
          <w:sz w:val="24"/>
          <w:szCs w:val="24"/>
          <w:u w:val="single"/>
        </w:rPr>
      </w:pPr>
    </w:p>
    <w:p w14:paraId="176D2241" w14:textId="77777777" w:rsidR="006D621A" w:rsidRPr="00F85C6A" w:rsidRDefault="006D621A" w:rsidP="006D621A">
      <w:pPr>
        <w:rPr>
          <w:rFonts w:ascii="Times New Roman" w:hAnsi="Times New Roman" w:cs="Times New Roman"/>
          <w:b/>
          <w:bCs/>
          <w:sz w:val="24"/>
          <w:szCs w:val="24"/>
          <w:u w:val="single"/>
        </w:rPr>
      </w:pPr>
    </w:p>
    <w:p w14:paraId="50C7D4FB" w14:textId="77777777" w:rsidR="006D621A" w:rsidRPr="00F85C6A" w:rsidRDefault="006D621A" w:rsidP="006D621A">
      <w:pPr>
        <w:rPr>
          <w:rFonts w:ascii="Times New Roman" w:hAnsi="Times New Roman" w:cs="Times New Roman"/>
          <w:b/>
          <w:bCs/>
          <w:sz w:val="24"/>
          <w:szCs w:val="24"/>
          <w:u w:val="single"/>
        </w:rPr>
      </w:pPr>
    </w:p>
    <w:p w14:paraId="627EF4F9" w14:textId="77777777" w:rsidR="00F85C6A" w:rsidRDefault="00F85C6A" w:rsidP="006D621A">
      <w:pPr>
        <w:rPr>
          <w:rFonts w:ascii="Times New Roman" w:hAnsi="Times New Roman" w:cs="Times New Roman"/>
          <w:b/>
          <w:bCs/>
          <w:sz w:val="24"/>
          <w:szCs w:val="24"/>
          <w:u w:val="single"/>
        </w:rPr>
      </w:pPr>
    </w:p>
    <w:p w14:paraId="2C0C85D1" w14:textId="6D409AC9" w:rsidR="006D621A" w:rsidRPr="00F85C6A" w:rsidRDefault="006D621A" w:rsidP="006D621A">
      <w:pPr>
        <w:rPr>
          <w:rFonts w:ascii="Times New Roman" w:hAnsi="Times New Roman" w:cs="Times New Roman"/>
          <w:b/>
          <w:bCs/>
          <w:sz w:val="26"/>
          <w:szCs w:val="26"/>
          <w:u w:val="single"/>
        </w:rPr>
      </w:pPr>
      <w:r w:rsidRPr="00F85C6A">
        <w:rPr>
          <w:rFonts w:ascii="Times New Roman" w:hAnsi="Times New Roman" w:cs="Times New Roman"/>
          <w:b/>
          <w:bCs/>
          <w:sz w:val="26"/>
          <w:szCs w:val="26"/>
          <w:u w:val="single"/>
        </w:rPr>
        <w:lastRenderedPageBreak/>
        <w:t>Research Timetable</w:t>
      </w:r>
    </w:p>
    <w:p w14:paraId="77766A2E" w14:textId="77777777"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t>The following timetable outlines the planned stages for completing the dissertation. Ethics approval will be submitted immediately after proposal approval, and data collection will begin only once formal approval is granted.</w:t>
      </w:r>
    </w:p>
    <w:p w14:paraId="14D45CF3" w14:textId="77777777" w:rsidR="006D621A" w:rsidRPr="00F85C6A" w:rsidRDefault="006D621A" w:rsidP="006D621A">
      <w:pPr>
        <w:rPr>
          <w:rFonts w:ascii="Times New Roman" w:hAnsi="Times New Roman" w:cs="Times New Roman"/>
          <w:sz w:val="24"/>
          <w:szCs w:val="24"/>
          <w:u w:val="single"/>
        </w:rPr>
      </w:pPr>
      <w:r w:rsidRPr="00F85C6A">
        <w:rPr>
          <w:rFonts w:ascii="Times New Roman" w:hAnsi="Times New Roman" w:cs="Times New Roman"/>
          <w:sz w:val="24"/>
          <w:szCs w:val="24"/>
          <w:u w:val="single"/>
        </w:rPr>
        <w:t>Table 1: Dissertation Research Timetable</w:t>
      </w:r>
    </w:p>
    <w:p w14:paraId="31FEA208" w14:textId="12671F30" w:rsidR="006D621A" w:rsidRPr="00F85C6A" w:rsidRDefault="006D621A" w:rsidP="006D621A">
      <w:pPr>
        <w:rPr>
          <w:rFonts w:ascii="Times New Roman" w:hAnsi="Times New Roman" w:cs="Times New Roman"/>
          <w:sz w:val="24"/>
          <w:szCs w:val="24"/>
        </w:rPr>
      </w:pPr>
      <w:r w:rsidRPr="00F85C6A">
        <w:rPr>
          <w:rFonts w:ascii="Times New Roman" w:hAnsi="Times New Roman" w:cs="Times New Roman"/>
          <w:sz w:val="24"/>
          <w:szCs w:val="24"/>
        </w:rPr>
        <w:drawing>
          <wp:inline distT="0" distB="0" distL="0" distR="0" wp14:anchorId="5B0F4ECD" wp14:editId="444E7EE6">
            <wp:extent cx="5730240" cy="5311140"/>
            <wp:effectExtent l="0" t="0" r="3810" b="3810"/>
            <wp:docPr id="1352906572" name="Picture 2" descr="The diagram outlines a detailed timeline for a research project, including stages such as ethics approval, proposal submission, recruitment, data collection, transcription, coding, and draft assembly, leading up to the final dissertation submission in May 2027.&#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outlines a detailed timeline for a research project, including stages such as ethics approval, proposal submission, recruitment, data collection, transcription, coding, and draft assembly, leading up to the final dissertation submission in May 2027.&#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240" cy="5311140"/>
                    </a:xfrm>
                    <a:prstGeom prst="rect">
                      <a:avLst/>
                    </a:prstGeom>
                    <a:noFill/>
                    <a:ln>
                      <a:noFill/>
                    </a:ln>
                  </pic:spPr>
                </pic:pic>
              </a:graphicData>
            </a:graphic>
          </wp:inline>
        </w:drawing>
      </w:r>
    </w:p>
    <w:p w14:paraId="109AD8E3" w14:textId="77777777" w:rsidR="006D621A" w:rsidRPr="00F85C6A" w:rsidRDefault="006D621A" w:rsidP="006D621A">
      <w:pPr>
        <w:rPr>
          <w:rFonts w:ascii="Times New Roman" w:hAnsi="Times New Roman" w:cs="Times New Roman"/>
          <w:sz w:val="24"/>
          <w:szCs w:val="24"/>
        </w:rPr>
      </w:pPr>
    </w:p>
    <w:p w14:paraId="1F7F36FC" w14:textId="77777777" w:rsidR="006D621A" w:rsidRPr="00F85C6A" w:rsidRDefault="006D621A" w:rsidP="006D621A">
      <w:pPr>
        <w:rPr>
          <w:rFonts w:ascii="Times New Roman" w:hAnsi="Times New Roman" w:cs="Times New Roman"/>
          <w:sz w:val="24"/>
          <w:szCs w:val="24"/>
        </w:rPr>
      </w:pPr>
    </w:p>
    <w:p w14:paraId="6E6D3610" w14:textId="77777777" w:rsidR="006D621A" w:rsidRPr="006D621A" w:rsidRDefault="006D621A" w:rsidP="006D621A">
      <w:pPr>
        <w:rPr>
          <w:rFonts w:ascii="Times New Roman" w:hAnsi="Times New Roman" w:cs="Times New Roman"/>
          <w:sz w:val="24"/>
          <w:szCs w:val="24"/>
        </w:rPr>
      </w:pPr>
    </w:p>
    <w:p w14:paraId="2A1F8A7A" w14:textId="77777777" w:rsidR="006D621A" w:rsidRPr="006D621A" w:rsidRDefault="006D621A" w:rsidP="006D621A">
      <w:pPr>
        <w:rPr>
          <w:rFonts w:ascii="Times New Roman" w:hAnsi="Times New Roman" w:cs="Times New Roman"/>
          <w:sz w:val="24"/>
          <w:szCs w:val="24"/>
        </w:rPr>
      </w:pPr>
    </w:p>
    <w:p w14:paraId="211CF51B" w14:textId="77777777" w:rsidR="008E6C12" w:rsidRDefault="008E6C12" w:rsidP="006D621A">
      <w:pPr>
        <w:rPr>
          <w:rFonts w:ascii="Times New Roman" w:hAnsi="Times New Roman" w:cs="Times New Roman"/>
          <w:sz w:val="24"/>
          <w:szCs w:val="24"/>
        </w:rPr>
      </w:pPr>
    </w:p>
    <w:p w14:paraId="04660431" w14:textId="77777777" w:rsidR="00F85C6A" w:rsidRDefault="00F85C6A" w:rsidP="00321BDE">
      <w:pPr>
        <w:spacing w:after="280"/>
        <w:rPr>
          <w:rFonts w:ascii="Times New Roman" w:hAnsi="Times New Roman" w:cs="Times New Roman"/>
          <w:sz w:val="24"/>
          <w:szCs w:val="24"/>
        </w:rPr>
      </w:pPr>
    </w:p>
    <w:p w14:paraId="08CAE0FD" w14:textId="77777777" w:rsidR="00F85C6A" w:rsidRDefault="00F85C6A" w:rsidP="00321BDE">
      <w:pPr>
        <w:spacing w:after="280"/>
        <w:rPr>
          <w:rFonts w:ascii="Times New Roman" w:hAnsi="Times New Roman" w:cs="Times New Roman"/>
          <w:b/>
          <w:bCs/>
          <w:u w:val="single"/>
        </w:rPr>
      </w:pPr>
    </w:p>
    <w:p w14:paraId="3A334B47" w14:textId="020B5BBC" w:rsidR="006D621A" w:rsidRPr="00321BDE" w:rsidRDefault="006D621A" w:rsidP="00321BDE">
      <w:pPr>
        <w:spacing w:after="280"/>
        <w:rPr>
          <w:rFonts w:ascii="Times New Roman" w:hAnsi="Times New Roman" w:cs="Times New Roman"/>
          <w:b/>
          <w:bCs/>
          <w:u w:val="single"/>
        </w:rPr>
      </w:pPr>
      <w:r w:rsidRPr="00321BDE">
        <w:rPr>
          <w:rFonts w:ascii="Times New Roman" w:hAnsi="Times New Roman" w:cs="Times New Roman"/>
          <w:b/>
          <w:bCs/>
          <w:u w:val="single"/>
        </w:rPr>
        <w:lastRenderedPageBreak/>
        <w:t>References</w:t>
      </w:r>
    </w:p>
    <w:p w14:paraId="5CDBAFAB"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Armanious, A.J., Hunter, R.M., Griffiths, K.R., Bowrey, H.E., Brown, R.M., and James, M.H. (2026) 'Patient perceptions of Ozempic (semaglutide) for weight loss: Mixed</w:t>
      </w:r>
      <w:r w:rsidRPr="00321BDE">
        <w:rPr>
          <w:rFonts w:ascii="Times New Roman" w:hAnsi="Times New Roman" w:cs="Times New Roman"/>
        </w:rPr>
        <w:noBreakHyphen/>
        <w:t>methods analysis of online medication reviews'</w:t>
      </w:r>
      <w:r w:rsidRPr="00321BDE">
        <w:rPr>
          <w:rFonts w:ascii="Times New Roman" w:hAnsi="Times New Roman" w:cs="Times New Roman"/>
          <w:i/>
          <w:iCs/>
        </w:rPr>
        <w:t>.</w:t>
      </w:r>
      <w:r w:rsidRPr="00321BDE">
        <w:rPr>
          <w:rFonts w:ascii="Times New Roman" w:hAnsi="Times New Roman" w:cs="Times New Roman"/>
        </w:rPr>
        <w:t xml:space="preserve"> </w:t>
      </w:r>
      <w:r w:rsidRPr="00321BDE">
        <w:rPr>
          <w:rFonts w:ascii="Times New Roman" w:hAnsi="Times New Roman" w:cs="Times New Roman"/>
          <w:i/>
          <w:iCs/>
        </w:rPr>
        <w:t>Journal of Medical Internet Research,</w:t>
      </w:r>
      <w:r w:rsidRPr="00321BDE">
        <w:rPr>
          <w:rFonts w:ascii="Times New Roman" w:hAnsi="Times New Roman" w:cs="Times New Roman"/>
        </w:rPr>
        <w:t xml:space="preserve"> 28, e78391. Available at: </w:t>
      </w:r>
      <w:hyperlink r:id="rId5" w:tgtFrame="_blank" w:tooltip="www.jmir.org" w:history="1">
        <w:r w:rsidRPr="00321BDE">
          <w:rPr>
            <w:rStyle w:val="Hyperlink"/>
            <w:rFonts w:ascii="Times New Roman" w:hAnsi="Times New Roman" w:cs="Times New Roman"/>
          </w:rPr>
          <w:t>https://www.jmir.org/2026/1/e78391</w:t>
        </w:r>
      </w:hyperlink>
      <w:r w:rsidRPr="00321BDE">
        <w:rPr>
          <w:rFonts w:ascii="Times New Roman" w:hAnsi="Times New Roman" w:cs="Times New Roman"/>
        </w:rPr>
        <w:t xml:space="preserve"> (Accessed: 30 September 2026).</w:t>
      </w:r>
    </w:p>
    <w:p w14:paraId="72EF1AE5"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Association for Nutrition (2023) </w:t>
      </w:r>
      <w:r w:rsidRPr="00321BDE">
        <w:rPr>
          <w:rFonts w:ascii="Times New Roman" w:hAnsi="Times New Roman" w:cs="Times New Roman"/>
          <w:i/>
          <w:iCs/>
        </w:rPr>
        <w:t>Standards of Ethics, Conduct and Performance</w:t>
      </w:r>
      <w:r w:rsidRPr="00321BDE">
        <w:rPr>
          <w:rFonts w:ascii="Times New Roman" w:hAnsi="Times New Roman" w:cs="Times New Roman"/>
        </w:rPr>
        <w:t xml:space="preserve">. Available at: </w:t>
      </w:r>
      <w:hyperlink r:id="rId6" w:history="1">
        <w:r w:rsidRPr="00321BDE">
          <w:rPr>
            <w:rStyle w:val="Hyperlink"/>
            <w:rFonts w:ascii="Times New Roman" w:hAnsi="Times New Roman" w:cs="Times New Roman"/>
          </w:rPr>
          <w:t>https://www.associationfornutrition.org/wp-content/uploads/2020/06/AfN-Standards-Ethics-Conduct-Performance.pdf</w:t>
        </w:r>
      </w:hyperlink>
      <w:r w:rsidRPr="00321BDE">
        <w:rPr>
          <w:rFonts w:ascii="Times New Roman" w:hAnsi="Times New Roman" w:cs="Times New Roman"/>
        </w:rPr>
        <w:t xml:space="preserve"> (Accessed: 30 September 2026). </w:t>
      </w:r>
    </w:p>
    <w:p w14:paraId="59E7B2FC"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Beutler, L.R. (2026) 'GLP</w:t>
      </w:r>
      <w:r w:rsidRPr="00321BDE">
        <w:rPr>
          <w:rFonts w:ascii="Times New Roman" w:hAnsi="Times New Roman" w:cs="Times New Roman"/>
        </w:rPr>
        <w:noBreakHyphen/>
        <w:t>1 physiology and pharmacology along the gut–brain axis'</w:t>
      </w:r>
      <w:r w:rsidRPr="00321BDE">
        <w:rPr>
          <w:rFonts w:ascii="Times New Roman" w:hAnsi="Times New Roman" w:cs="Times New Roman"/>
          <w:i/>
          <w:iCs/>
        </w:rPr>
        <w:t>.</w:t>
      </w:r>
      <w:r w:rsidRPr="00321BDE">
        <w:rPr>
          <w:rFonts w:ascii="Times New Roman" w:hAnsi="Times New Roman" w:cs="Times New Roman"/>
        </w:rPr>
        <w:t xml:space="preserve"> </w:t>
      </w:r>
      <w:r w:rsidRPr="00321BDE">
        <w:rPr>
          <w:rFonts w:ascii="Times New Roman" w:hAnsi="Times New Roman" w:cs="Times New Roman"/>
          <w:i/>
          <w:iCs/>
        </w:rPr>
        <w:t>Journal of Clinical Investigation</w:t>
      </w:r>
      <w:r w:rsidRPr="00321BDE">
        <w:rPr>
          <w:rFonts w:ascii="Times New Roman" w:hAnsi="Times New Roman" w:cs="Times New Roman"/>
        </w:rPr>
        <w:t xml:space="preserve">, 136(2), e194744. Available at: </w:t>
      </w:r>
      <w:hyperlink r:id="rId7" w:tgtFrame="_blank" w:tooltip="pmc.ncbi.nlm.nih.gov" w:history="1">
        <w:r w:rsidRPr="00321BDE">
          <w:rPr>
            <w:rStyle w:val="Hyperlink"/>
            <w:rFonts w:ascii="Times New Roman" w:hAnsi="Times New Roman" w:cs="Times New Roman"/>
          </w:rPr>
          <w:t>https://pmc.ncbi.nlm.nih.gov/articles/PMC12807470/</w:t>
        </w:r>
      </w:hyperlink>
      <w:r w:rsidRPr="00321BDE">
        <w:rPr>
          <w:rFonts w:ascii="Times New Roman" w:hAnsi="Times New Roman" w:cs="Times New Roman"/>
        </w:rPr>
        <w:t xml:space="preserve"> (Accessed: 23 September 2026).</w:t>
      </w:r>
    </w:p>
    <w:p w14:paraId="28CA47B0"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Braun, V. and Clarke, V. (2006) 'Using thematic analysis in psychology'. </w:t>
      </w:r>
      <w:r w:rsidRPr="00321BDE">
        <w:rPr>
          <w:rFonts w:ascii="Times New Roman" w:hAnsi="Times New Roman" w:cs="Times New Roman"/>
          <w:i/>
          <w:iCs/>
        </w:rPr>
        <w:t>Qualitative Research in Psychology</w:t>
      </w:r>
      <w:r w:rsidRPr="00321BDE">
        <w:rPr>
          <w:rFonts w:ascii="Times New Roman" w:hAnsi="Times New Roman" w:cs="Times New Roman"/>
        </w:rPr>
        <w:t xml:space="preserve">, 3(2), pp. 77–101. Available at: </w:t>
      </w:r>
      <w:hyperlink r:id="rId8" w:history="1">
        <w:r w:rsidRPr="00321BDE">
          <w:rPr>
            <w:rStyle w:val="Hyperlink"/>
            <w:rFonts w:ascii="Times New Roman" w:hAnsi="Times New Roman" w:cs="Times New Roman"/>
          </w:rPr>
          <w:t>https://www.proquest.com/docview/223135521</w:t>
        </w:r>
      </w:hyperlink>
      <w:r w:rsidRPr="00321BDE">
        <w:rPr>
          <w:rFonts w:ascii="Times New Roman" w:hAnsi="Times New Roman" w:cs="Times New Roman"/>
        </w:rPr>
        <w:t xml:space="preserve"> (Accessed: 23 September 2026).</w:t>
      </w:r>
    </w:p>
    <w:p w14:paraId="732CF21E"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Brinkmann, S. (2022) </w:t>
      </w:r>
      <w:r w:rsidRPr="00321BDE">
        <w:rPr>
          <w:rFonts w:ascii="Times New Roman" w:hAnsi="Times New Roman" w:cs="Times New Roman"/>
          <w:i/>
          <w:iCs/>
        </w:rPr>
        <w:t>Qualitative interviewing: conversational knowledge through research interviews</w:t>
      </w:r>
      <w:r w:rsidRPr="00321BDE">
        <w:rPr>
          <w:rFonts w:ascii="Times New Roman" w:hAnsi="Times New Roman" w:cs="Times New Roman"/>
        </w:rPr>
        <w:t xml:space="preserve">. Oxford: Oxford University Press. Available at: </w:t>
      </w:r>
      <w:hyperlink r:id="rId9" w:history="1">
        <w:r w:rsidRPr="00321BDE">
          <w:rPr>
            <w:rStyle w:val="Hyperlink"/>
            <w:rFonts w:ascii="Times New Roman" w:hAnsi="Times New Roman" w:cs="Times New Roman"/>
          </w:rPr>
          <w:t>https://doi-org.uwtsd.idm.oclc.org/10.1093/oso/9780197648186.001.0001</w:t>
        </w:r>
      </w:hyperlink>
      <w:r w:rsidRPr="00321BDE">
        <w:rPr>
          <w:rFonts w:ascii="Times New Roman" w:hAnsi="Times New Roman" w:cs="Times New Roman"/>
        </w:rPr>
        <w:t xml:space="preserve"> (Accessed: 11 October 2026).   </w:t>
      </w:r>
    </w:p>
    <w:p w14:paraId="1E51582B"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Buys, T., Casteleijn, D., Heyns, T. and Untiedt, H. (2022) 'A reflexive lens on preparing and conducting semi</w:t>
      </w:r>
      <w:r w:rsidRPr="00321BDE">
        <w:rPr>
          <w:rFonts w:ascii="Times New Roman" w:hAnsi="Times New Roman" w:cs="Times New Roman"/>
        </w:rPr>
        <w:noBreakHyphen/>
        <w:t xml:space="preserve">structured interviews with academic colleagues'. </w:t>
      </w:r>
      <w:r w:rsidRPr="00321BDE">
        <w:rPr>
          <w:rFonts w:ascii="Times New Roman" w:hAnsi="Times New Roman" w:cs="Times New Roman"/>
          <w:i/>
          <w:iCs/>
        </w:rPr>
        <w:t>Qualitative Health Research</w:t>
      </w:r>
      <w:r w:rsidRPr="00321BDE">
        <w:rPr>
          <w:rFonts w:ascii="Times New Roman" w:hAnsi="Times New Roman" w:cs="Times New Roman"/>
        </w:rPr>
        <w:t xml:space="preserve">, 32(13), pp. 2030–2039. Available at: </w:t>
      </w:r>
      <w:hyperlink r:id="rId10" w:history="1">
        <w:r w:rsidRPr="00321BDE">
          <w:rPr>
            <w:rStyle w:val="Hyperlink"/>
            <w:rFonts w:ascii="Times New Roman" w:hAnsi="Times New Roman" w:cs="Times New Roman"/>
          </w:rPr>
          <w:t>https://journals-sagepub-com.uwtsd.idm.oclc.org/doi/pdf/10.1177/10497323221130832</w:t>
        </w:r>
      </w:hyperlink>
      <w:r w:rsidRPr="00321BDE">
        <w:rPr>
          <w:rFonts w:ascii="Times New Roman" w:hAnsi="Times New Roman" w:cs="Times New Roman"/>
        </w:rPr>
        <w:t xml:space="preserve"> (Accessed: 23 September 2026). </w:t>
      </w:r>
    </w:p>
    <w:p w14:paraId="31B0396C"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DePietro, R., Bertarelli, I., Zink, C.M., Canfield, S.M., Smith, J. and McElroy, J.A. (2026) 'Considering glucagon</w:t>
      </w:r>
      <w:r w:rsidRPr="00321BDE">
        <w:rPr>
          <w:rFonts w:ascii="Times New Roman" w:hAnsi="Times New Roman" w:cs="Times New Roman"/>
        </w:rPr>
        <w:noBreakHyphen/>
        <w:t>like peptide</w:t>
      </w:r>
      <w:r w:rsidRPr="00321BDE">
        <w:rPr>
          <w:rFonts w:ascii="Times New Roman" w:hAnsi="Times New Roman" w:cs="Times New Roman"/>
        </w:rPr>
        <w:noBreakHyphen/>
        <w:t>1 receptor agonists (GLP</w:t>
      </w:r>
      <w:r w:rsidRPr="00321BDE">
        <w:rPr>
          <w:rFonts w:ascii="Times New Roman" w:hAnsi="Times New Roman" w:cs="Times New Roman"/>
        </w:rPr>
        <w:noBreakHyphen/>
        <w:t>1RAs) for weight loss: insights from a pragmatic mixed</w:t>
      </w:r>
      <w:r w:rsidRPr="00321BDE">
        <w:rPr>
          <w:rFonts w:ascii="Times New Roman" w:hAnsi="Times New Roman" w:cs="Times New Roman"/>
        </w:rPr>
        <w:noBreakHyphen/>
        <w:t xml:space="preserve">methods study of patient beliefs and barriers'. </w:t>
      </w:r>
      <w:r w:rsidRPr="00321BDE">
        <w:rPr>
          <w:rFonts w:ascii="Times New Roman" w:hAnsi="Times New Roman" w:cs="Times New Roman"/>
          <w:i/>
          <w:iCs/>
        </w:rPr>
        <w:t>Healthcare</w:t>
      </w:r>
      <w:r w:rsidRPr="00321BDE">
        <w:rPr>
          <w:rFonts w:ascii="Times New Roman" w:hAnsi="Times New Roman" w:cs="Times New Roman"/>
        </w:rPr>
        <w:t xml:space="preserve">, 14(2), p. 186. Available at: </w:t>
      </w:r>
      <w:hyperlink r:id="rId11" w:history="1">
        <w:r w:rsidRPr="00321BDE">
          <w:rPr>
            <w:rStyle w:val="Hyperlink"/>
            <w:rFonts w:ascii="Times New Roman" w:hAnsi="Times New Roman" w:cs="Times New Roman"/>
          </w:rPr>
          <w:t>https://www.mdpi.com/2227-9032/14/2/186</w:t>
        </w:r>
      </w:hyperlink>
      <w:r w:rsidRPr="00321BDE">
        <w:rPr>
          <w:rFonts w:ascii="Times New Roman" w:hAnsi="Times New Roman" w:cs="Times New Roman"/>
        </w:rPr>
        <w:t xml:space="preserve"> (Accessed: 24 September 2026). </w:t>
      </w:r>
    </w:p>
    <w:p w14:paraId="5097A8DE"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De Vere Hunt, I., Ramirez-Posada, M., Babu, C.S., Brown-Johnson, C., Linos, E. and Rodriguez, F. (2026) 'Patient experiences with GLP</w:t>
      </w:r>
      <w:r w:rsidRPr="00321BDE">
        <w:rPr>
          <w:rFonts w:ascii="Times New Roman" w:hAnsi="Times New Roman" w:cs="Times New Roman"/>
        </w:rPr>
        <w:noBreakHyphen/>
        <w:t xml:space="preserve">1 receptor agonists'. </w:t>
      </w:r>
      <w:r w:rsidRPr="00321BDE">
        <w:rPr>
          <w:rFonts w:ascii="Times New Roman" w:hAnsi="Times New Roman" w:cs="Times New Roman"/>
          <w:i/>
          <w:iCs/>
        </w:rPr>
        <w:t>JAMA Network Open,</w:t>
      </w:r>
      <w:r w:rsidRPr="00321BDE">
        <w:rPr>
          <w:rFonts w:ascii="Times New Roman" w:hAnsi="Times New Roman" w:cs="Times New Roman"/>
        </w:rPr>
        <w:t xml:space="preserve"> 9(6), e2616951. Available at: </w:t>
      </w:r>
      <w:hyperlink r:id="rId12" w:history="1">
        <w:r w:rsidRPr="00321BDE">
          <w:rPr>
            <w:rStyle w:val="Hyperlink"/>
            <w:rFonts w:ascii="Times New Roman" w:hAnsi="Times New Roman" w:cs="Times New Roman"/>
          </w:rPr>
          <w:t>https://jamanetwork.com/journals/jamanetworkopen/fullarticle/2849943</w:t>
        </w:r>
      </w:hyperlink>
      <w:r w:rsidRPr="00321BDE">
        <w:rPr>
          <w:rFonts w:ascii="Times New Roman" w:hAnsi="Times New Roman" w:cs="Times New Roman"/>
        </w:rPr>
        <w:t xml:space="preserve"> (Accessed: 30 September 2026).</w:t>
      </w:r>
    </w:p>
    <w:p w14:paraId="6536352C"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Febrey, S., Nunns, M., Buckland, J., Abbott, R., Bethel, A., Whear, R., Boddy, K., Melendez Torres, G.J., Thompson Coon, J. and Shaw, L. (2025) 'What are the experiences, views and perceptions of patients, carers and clinicians of glucagon-like peptide-1 receptor agonists (GLP 1 RAs)? A scoping review'. </w:t>
      </w:r>
      <w:r w:rsidRPr="00321BDE">
        <w:rPr>
          <w:rFonts w:ascii="Times New Roman" w:hAnsi="Times New Roman" w:cs="Times New Roman"/>
          <w:i/>
          <w:iCs/>
        </w:rPr>
        <w:t>Health Expectations</w:t>
      </w:r>
      <w:r w:rsidRPr="00321BDE">
        <w:rPr>
          <w:rFonts w:ascii="Times New Roman" w:hAnsi="Times New Roman" w:cs="Times New Roman"/>
        </w:rPr>
        <w:t xml:space="preserve">, 28(2), e70251. Available at: </w:t>
      </w:r>
      <w:hyperlink r:id="rId13" w:tgtFrame="_blank" w:tooltip="onlinelibrary.wiley.com" w:history="1">
        <w:r w:rsidRPr="00321BDE">
          <w:rPr>
            <w:rStyle w:val="Hyperlink"/>
            <w:rFonts w:ascii="Times New Roman" w:hAnsi="Times New Roman" w:cs="Times New Roman"/>
          </w:rPr>
          <w:t>https://onlinelibrary.wiley.com/doi/full/10.1111/hex.70251</w:t>
        </w:r>
      </w:hyperlink>
      <w:r w:rsidRPr="00321BDE">
        <w:rPr>
          <w:rFonts w:ascii="Times New Roman" w:hAnsi="Times New Roman" w:cs="Times New Roman"/>
        </w:rPr>
        <w:t xml:space="preserve"> (Accessed: 25 September 2026).</w:t>
      </w:r>
    </w:p>
    <w:p w14:paraId="6BA2C1BB"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Ibsen, C.K., Kousgaard, M.B., Olsen, S., Christiansen, A.K.L., Sandholdt, C.T., Rørth, R. and Overbeck, G. (2025) 'Patients’ experiences with GLP</w:t>
      </w:r>
      <w:r w:rsidRPr="00321BDE">
        <w:rPr>
          <w:rFonts w:ascii="Times New Roman" w:hAnsi="Times New Roman" w:cs="Times New Roman"/>
        </w:rPr>
        <w:noBreakHyphen/>
        <w:t xml:space="preserve">1 receptor agonists – a systematic review'. </w:t>
      </w:r>
      <w:r w:rsidRPr="00321BDE">
        <w:rPr>
          <w:rFonts w:ascii="Times New Roman" w:hAnsi="Times New Roman" w:cs="Times New Roman"/>
          <w:i/>
          <w:iCs/>
        </w:rPr>
        <w:t>Scandinavian Journal of Primary Health Care</w:t>
      </w:r>
      <w:r w:rsidRPr="00321BDE">
        <w:rPr>
          <w:rFonts w:ascii="Times New Roman" w:hAnsi="Times New Roman" w:cs="Times New Roman"/>
        </w:rPr>
        <w:t xml:space="preserve">, 43(2), pp. 370–379. Available at: </w:t>
      </w:r>
      <w:hyperlink r:id="rId14" w:tgtFrame="_blank" w:tooltip="pmc.ncbi.nlm.nih.gov" w:history="1">
        <w:r w:rsidRPr="00321BDE">
          <w:rPr>
            <w:rStyle w:val="Hyperlink"/>
            <w:rFonts w:ascii="Times New Roman" w:hAnsi="Times New Roman" w:cs="Times New Roman"/>
          </w:rPr>
          <w:t>https://pmc.ncbi.nlm.nih.gov/articles/PMC12090293/</w:t>
        </w:r>
      </w:hyperlink>
      <w:r w:rsidRPr="00321BDE">
        <w:rPr>
          <w:rFonts w:ascii="Times New Roman" w:hAnsi="Times New Roman" w:cs="Times New Roman"/>
        </w:rPr>
        <w:t xml:space="preserve"> (Accessed: 27 September 2026).</w:t>
      </w:r>
    </w:p>
    <w:p w14:paraId="5DEF2096"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Mogna</w:t>
      </w:r>
      <w:r w:rsidRPr="00321BDE">
        <w:rPr>
          <w:rFonts w:ascii="Times New Roman" w:hAnsi="Times New Roman" w:cs="Times New Roman"/>
        </w:rPr>
        <w:noBreakHyphen/>
        <w:t>Peláez, P. and Guasch</w:t>
      </w:r>
      <w:r w:rsidRPr="00321BDE">
        <w:rPr>
          <w:rFonts w:ascii="Times New Roman" w:hAnsi="Times New Roman" w:cs="Times New Roman"/>
        </w:rPr>
        <w:noBreakHyphen/>
        <w:t>Ferré, M. (2026) 'Avoiding malnutrition in the era of glucagon</w:t>
      </w:r>
      <w:r w:rsidRPr="00321BDE">
        <w:rPr>
          <w:rFonts w:ascii="Times New Roman" w:hAnsi="Times New Roman" w:cs="Times New Roman"/>
        </w:rPr>
        <w:noBreakHyphen/>
        <w:t>like peptide</w:t>
      </w:r>
      <w:r w:rsidRPr="00321BDE">
        <w:rPr>
          <w:rFonts w:ascii="Times New Roman" w:hAnsi="Times New Roman" w:cs="Times New Roman"/>
        </w:rPr>
        <w:noBreakHyphen/>
        <w:t xml:space="preserve">1 medications: emerging evidence and opportunities for integrated nutrition care'. </w:t>
      </w:r>
      <w:r w:rsidRPr="00321BDE">
        <w:rPr>
          <w:rFonts w:ascii="Times New Roman" w:hAnsi="Times New Roman" w:cs="Times New Roman"/>
          <w:i/>
          <w:iCs/>
        </w:rPr>
        <w:t>The Journal of Nutrition</w:t>
      </w:r>
      <w:r w:rsidRPr="00321BDE">
        <w:rPr>
          <w:rFonts w:ascii="Times New Roman" w:hAnsi="Times New Roman" w:cs="Times New Roman"/>
        </w:rPr>
        <w:t xml:space="preserve">, 156, e101684. Available at: </w:t>
      </w:r>
      <w:hyperlink r:id="rId15" w:history="1">
        <w:r w:rsidRPr="00321BDE">
          <w:rPr>
            <w:rStyle w:val="Hyperlink"/>
            <w:rFonts w:ascii="Times New Roman" w:hAnsi="Times New Roman" w:cs="Times New Roman"/>
          </w:rPr>
          <w:t>https://www.sciencedirect.com/science/article/pii/S0022316626003330?via=ihub</w:t>
        </w:r>
      </w:hyperlink>
      <w:r w:rsidRPr="00321BDE">
        <w:rPr>
          <w:rFonts w:ascii="Times New Roman" w:hAnsi="Times New Roman" w:cs="Times New Roman"/>
        </w:rPr>
        <w:t xml:space="preserve"> (Accessed: 27 September 2026).</w:t>
      </w:r>
    </w:p>
    <w:p w14:paraId="39C20BDC"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lastRenderedPageBreak/>
        <w:t xml:space="preserve">Nevedal, A.L., Reardon, C.M., Opra Widerquist, M.A., Jackson, G.L., Cutrona, S.L., White, B.S., Brandolyn S., and Damschroder, L.J. (2021) 'Rapid versus traditional qualitative analysis using the Consolidated Framework for Implementation Research (CFIR)'. </w:t>
      </w:r>
      <w:r w:rsidRPr="00321BDE">
        <w:rPr>
          <w:rFonts w:ascii="Times New Roman" w:hAnsi="Times New Roman" w:cs="Times New Roman"/>
          <w:i/>
          <w:iCs/>
        </w:rPr>
        <w:t>Implementation Science,</w:t>
      </w:r>
      <w:r w:rsidRPr="00321BDE">
        <w:rPr>
          <w:rFonts w:ascii="Times New Roman" w:hAnsi="Times New Roman" w:cs="Times New Roman"/>
        </w:rPr>
        <w:t xml:space="preserve"> 16, pp. 1–12. Available at: </w:t>
      </w:r>
      <w:hyperlink r:id="rId16" w:history="1">
        <w:r w:rsidRPr="00321BDE">
          <w:rPr>
            <w:rStyle w:val="Hyperlink"/>
            <w:rFonts w:ascii="Times New Roman" w:hAnsi="Times New Roman" w:cs="Times New Roman"/>
          </w:rPr>
          <w:t>https://www.proquest.com/docview/2552771877</w:t>
        </w:r>
      </w:hyperlink>
      <w:r w:rsidRPr="00321BDE">
        <w:rPr>
          <w:rFonts w:ascii="Times New Roman" w:hAnsi="Times New Roman" w:cs="Times New Roman"/>
        </w:rPr>
        <w:t xml:space="preserve"> (Accessed: 10 October 2026).</w:t>
      </w:r>
    </w:p>
    <w:p w14:paraId="644DC9F1"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Saunders, C.H., Sierpe, A., von Plessen, C., Kennedy, A.M., Leviton, L.C., Bernstein, S.L., Goldwag, J., King, J.R., Marx, C.M., Pogue, J.A., Saunders, R.K., Van Citters, A., Yen, R.W., Elwyn, G. and Leyenaar, J.K. (2023) 'Practical thematic analysis: a guide for multidisciplinary health services research teams engaging in qualitative analysis'. </w:t>
      </w:r>
      <w:r w:rsidRPr="00321BDE">
        <w:rPr>
          <w:rFonts w:ascii="Times New Roman" w:hAnsi="Times New Roman" w:cs="Times New Roman"/>
          <w:i/>
          <w:iCs/>
        </w:rPr>
        <w:t>British Medical Journal,</w:t>
      </w:r>
      <w:r w:rsidRPr="00321BDE">
        <w:rPr>
          <w:rFonts w:ascii="Times New Roman" w:hAnsi="Times New Roman" w:cs="Times New Roman"/>
        </w:rPr>
        <w:t xml:space="preserve"> 381, e074256. Available at: </w:t>
      </w:r>
      <w:hyperlink r:id="rId17" w:history="1">
        <w:r w:rsidRPr="00321BDE">
          <w:rPr>
            <w:rStyle w:val="Hyperlink"/>
            <w:rFonts w:ascii="Times New Roman" w:hAnsi="Times New Roman" w:cs="Times New Roman"/>
          </w:rPr>
          <w:t>https://www.proquest.com/docview/2824895409</w:t>
        </w:r>
      </w:hyperlink>
      <w:r w:rsidRPr="00321BDE">
        <w:rPr>
          <w:rFonts w:ascii="Times New Roman" w:hAnsi="Times New Roman" w:cs="Times New Roman"/>
        </w:rPr>
        <w:t xml:space="preserve"> (Accessed: 28 September 2026). </w:t>
      </w:r>
    </w:p>
    <w:p w14:paraId="17490648"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Stage, V.C., Cooke, N.K., McMillen, J.D., Dixon, J.B. and Goodell, L.S. (2026) 'Practical qualitative research strategies: An introduction to data analysis and rigorous coding practices'.</w:t>
      </w:r>
      <w:r w:rsidRPr="00321BDE">
        <w:rPr>
          <w:rFonts w:ascii="Times New Roman" w:hAnsi="Times New Roman" w:cs="Times New Roman"/>
          <w:i/>
          <w:iCs/>
        </w:rPr>
        <w:t xml:space="preserve"> Journal of Nutrition Education and Behavior,</w:t>
      </w:r>
      <w:r w:rsidRPr="00321BDE">
        <w:rPr>
          <w:rFonts w:ascii="Times New Roman" w:hAnsi="Times New Roman" w:cs="Times New Roman"/>
        </w:rPr>
        <w:t xml:space="preserve"> 58(8), pp. 828–839. Available at: </w:t>
      </w:r>
      <w:hyperlink r:id="rId18" w:history="1">
        <w:r w:rsidRPr="00321BDE">
          <w:rPr>
            <w:rStyle w:val="Hyperlink"/>
            <w:rFonts w:ascii="Times New Roman" w:hAnsi="Times New Roman" w:cs="Times New Roman"/>
          </w:rPr>
          <w:t>https://pdf.sciencedirectassets.com/273502/1-s2.0-S1499404626X20073/1-s2.0-S1499404626001016/main.pdf</w:t>
        </w:r>
      </w:hyperlink>
      <w:r w:rsidRPr="00321BDE">
        <w:rPr>
          <w:rFonts w:ascii="Times New Roman" w:hAnsi="Times New Roman" w:cs="Times New Roman"/>
        </w:rPr>
        <w:t xml:space="preserve"> (Accessed: 10 October 2026).</w:t>
      </w:r>
    </w:p>
    <w:p w14:paraId="6782C8ED"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Tronieri, J.S., Allison, K.C., DeRouen, K., Amaro, A., Collins, K.G., Roy, A., Watts, S., Ananna, T. and Wadden, T.A. (2026) 'Short</w:t>
      </w:r>
      <w:r w:rsidRPr="00321BDE">
        <w:rPr>
          <w:rFonts w:ascii="Times New Roman" w:hAnsi="Times New Roman" w:cs="Times New Roman"/>
        </w:rPr>
        <w:noBreakHyphen/>
        <w:t xml:space="preserve"> and long</w:t>
      </w:r>
      <w:r w:rsidRPr="00321BDE">
        <w:rPr>
          <w:rFonts w:ascii="Times New Roman" w:hAnsi="Times New Roman" w:cs="Times New Roman"/>
        </w:rPr>
        <w:noBreakHyphen/>
        <w:t>term effects of semaglutide 2.4 mg on energy intake, appetite, and food reward: a 60</w:t>
      </w:r>
      <w:r w:rsidRPr="00321BDE">
        <w:rPr>
          <w:rFonts w:ascii="Times New Roman" w:hAnsi="Times New Roman" w:cs="Times New Roman"/>
        </w:rPr>
        <w:noBreakHyphen/>
        <w:t>week, double</w:t>
      </w:r>
      <w:r w:rsidRPr="00321BDE">
        <w:rPr>
          <w:rFonts w:ascii="Times New Roman" w:hAnsi="Times New Roman" w:cs="Times New Roman"/>
        </w:rPr>
        <w:noBreakHyphen/>
        <w:t>blind randomized controlled trial'</w:t>
      </w:r>
      <w:r w:rsidRPr="00321BDE">
        <w:rPr>
          <w:rFonts w:ascii="Times New Roman" w:hAnsi="Times New Roman" w:cs="Times New Roman"/>
          <w:i/>
          <w:iCs/>
        </w:rPr>
        <w:t>. American Journal of Clinical Nutrition</w:t>
      </w:r>
      <w:r w:rsidRPr="00321BDE">
        <w:rPr>
          <w:rFonts w:ascii="Times New Roman" w:hAnsi="Times New Roman" w:cs="Times New Roman"/>
        </w:rPr>
        <w:t xml:space="preserve">, 124, e101403. Available at: </w:t>
      </w:r>
      <w:hyperlink r:id="rId19" w:history="1">
        <w:r w:rsidRPr="00321BDE">
          <w:rPr>
            <w:rStyle w:val="Hyperlink"/>
            <w:rFonts w:ascii="Times New Roman" w:hAnsi="Times New Roman" w:cs="Times New Roman"/>
          </w:rPr>
          <w:t>https://www.sciencedirect.com/science/article/pii/S0002916526002121</w:t>
        </w:r>
      </w:hyperlink>
      <w:r w:rsidRPr="00321BDE">
        <w:rPr>
          <w:rFonts w:ascii="Times New Roman" w:hAnsi="Times New Roman" w:cs="Times New Roman"/>
        </w:rPr>
        <w:t xml:space="preserve"> (Accessed: 10 October 2026).  </w:t>
      </w:r>
    </w:p>
    <w:p w14:paraId="1F6324F6"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Ugwu, H., Willis, E. and Pickett, M. (2026) 'Electronic word</w:t>
      </w:r>
      <w:r w:rsidRPr="00321BDE">
        <w:rPr>
          <w:rFonts w:ascii="Times New Roman" w:hAnsi="Times New Roman" w:cs="Times New Roman"/>
        </w:rPr>
        <w:noBreakHyphen/>
        <w:t>of</w:t>
      </w:r>
      <w:r w:rsidRPr="00321BDE">
        <w:rPr>
          <w:rFonts w:ascii="Times New Roman" w:hAnsi="Times New Roman" w:cs="Times New Roman"/>
        </w:rPr>
        <w:noBreakHyphen/>
        <w:t>mouth and off</w:t>
      </w:r>
      <w:r w:rsidRPr="00321BDE">
        <w:rPr>
          <w:rFonts w:ascii="Times New Roman" w:hAnsi="Times New Roman" w:cs="Times New Roman"/>
        </w:rPr>
        <w:noBreakHyphen/>
        <w:t>label use of Ozempic and other GLP</w:t>
      </w:r>
      <w:r w:rsidRPr="00321BDE">
        <w:rPr>
          <w:rFonts w:ascii="Times New Roman" w:hAnsi="Times New Roman" w:cs="Times New Roman"/>
        </w:rPr>
        <w:noBreakHyphen/>
        <w:t xml:space="preserve">1 medications'. </w:t>
      </w:r>
      <w:r w:rsidRPr="00321BDE">
        <w:rPr>
          <w:rFonts w:ascii="Times New Roman" w:hAnsi="Times New Roman" w:cs="Times New Roman"/>
          <w:i/>
          <w:iCs/>
        </w:rPr>
        <w:t>Journal of Health Psychology,</w:t>
      </w:r>
      <w:r w:rsidRPr="00321BDE">
        <w:rPr>
          <w:rFonts w:ascii="Times New Roman" w:hAnsi="Times New Roman" w:cs="Times New Roman"/>
        </w:rPr>
        <w:t xml:space="preserve"> 31(11), pp. 4349-4363. Available at: </w:t>
      </w:r>
      <w:hyperlink r:id="rId20" w:history="1">
        <w:r w:rsidRPr="00321BDE">
          <w:rPr>
            <w:rStyle w:val="Hyperlink"/>
            <w:rFonts w:ascii="Times New Roman" w:hAnsi="Times New Roman" w:cs="Times New Roman"/>
          </w:rPr>
          <w:t>https://journals-sagepub-com.uwtsd.idm.oclc.org/doi/epub/10.1177/13591053251409613</w:t>
        </w:r>
      </w:hyperlink>
      <w:r w:rsidRPr="00321BDE">
        <w:rPr>
          <w:rFonts w:ascii="Times New Roman" w:hAnsi="Times New Roman" w:cs="Times New Roman"/>
        </w:rPr>
        <w:t xml:space="preserve"> (Accessed: 6 October 2026).    </w:t>
      </w:r>
    </w:p>
    <w:p w14:paraId="398DA452" w14:textId="77777777" w:rsidR="006D621A" w:rsidRPr="00321BDE" w:rsidRDefault="006D621A" w:rsidP="00321BDE">
      <w:pPr>
        <w:rPr>
          <w:rFonts w:ascii="Times New Roman" w:hAnsi="Times New Roman" w:cs="Times New Roman"/>
        </w:rPr>
      </w:pPr>
      <w:r w:rsidRPr="00321BDE">
        <w:rPr>
          <w:rFonts w:ascii="Times New Roman" w:hAnsi="Times New Roman" w:cs="Times New Roman"/>
        </w:rPr>
        <w:t xml:space="preserve">University of Wales Trinity Saint David (2026) </w:t>
      </w:r>
      <w:r w:rsidRPr="00321BDE">
        <w:rPr>
          <w:rFonts w:ascii="Times New Roman" w:hAnsi="Times New Roman" w:cs="Times New Roman"/>
          <w:i/>
          <w:iCs/>
        </w:rPr>
        <w:t>Research Integrity and Ethics</w:t>
      </w:r>
      <w:r w:rsidRPr="00321BDE">
        <w:rPr>
          <w:rFonts w:ascii="Times New Roman" w:hAnsi="Times New Roman" w:cs="Times New Roman"/>
        </w:rPr>
        <w:t xml:space="preserve">. Available at: </w:t>
      </w:r>
      <w:hyperlink r:id="rId21" w:history="1">
        <w:r w:rsidRPr="00321BDE">
          <w:rPr>
            <w:rStyle w:val="Hyperlink"/>
            <w:rFonts w:ascii="Times New Roman" w:hAnsi="Times New Roman" w:cs="Times New Roman"/>
          </w:rPr>
          <w:t>https://www.uwtsd.ac.uk/research/research-integrity-and-ethics</w:t>
        </w:r>
      </w:hyperlink>
      <w:r w:rsidRPr="00321BDE">
        <w:rPr>
          <w:rFonts w:ascii="Times New Roman" w:hAnsi="Times New Roman" w:cs="Times New Roman"/>
        </w:rPr>
        <w:t xml:space="preserve"> (Accessed: 27 September 2026).</w:t>
      </w:r>
    </w:p>
    <w:p w14:paraId="539462D1" w14:textId="77777777" w:rsidR="00D01C7F" w:rsidRDefault="00D01C7F"/>
    <w:sectPr w:rsidR="00D01C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21A"/>
    <w:rsid w:val="000332FE"/>
    <w:rsid w:val="00321BDE"/>
    <w:rsid w:val="003535F3"/>
    <w:rsid w:val="006D621A"/>
    <w:rsid w:val="008E6C12"/>
    <w:rsid w:val="00B323AC"/>
    <w:rsid w:val="00C45D53"/>
    <w:rsid w:val="00D01C7F"/>
    <w:rsid w:val="00E75900"/>
    <w:rsid w:val="00F85C6A"/>
    <w:rsid w:val="00F92CF0"/>
    <w:rsid w:val="00FD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9B26B"/>
  <w15:chartTrackingRefBased/>
  <w15:docId w15:val="{BF565CCC-A590-4651-B769-5188C1BA0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2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62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62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62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62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62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2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2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2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2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62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62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62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62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62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2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2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21A"/>
    <w:rPr>
      <w:rFonts w:eastAsiaTheme="majorEastAsia" w:cstheme="majorBidi"/>
      <w:color w:val="272727" w:themeColor="text1" w:themeTint="D8"/>
    </w:rPr>
  </w:style>
  <w:style w:type="paragraph" w:styleId="Title">
    <w:name w:val="Title"/>
    <w:basedOn w:val="Normal"/>
    <w:next w:val="Normal"/>
    <w:link w:val="TitleChar"/>
    <w:uiPriority w:val="10"/>
    <w:qFormat/>
    <w:rsid w:val="006D6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2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2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21A"/>
    <w:pPr>
      <w:spacing w:before="160"/>
      <w:jc w:val="center"/>
    </w:pPr>
    <w:rPr>
      <w:i/>
      <w:iCs/>
      <w:color w:val="404040" w:themeColor="text1" w:themeTint="BF"/>
    </w:rPr>
  </w:style>
  <w:style w:type="character" w:customStyle="1" w:styleId="QuoteChar">
    <w:name w:val="Quote Char"/>
    <w:basedOn w:val="DefaultParagraphFont"/>
    <w:link w:val="Quote"/>
    <w:uiPriority w:val="29"/>
    <w:rsid w:val="006D621A"/>
    <w:rPr>
      <w:i/>
      <w:iCs/>
      <w:color w:val="404040" w:themeColor="text1" w:themeTint="BF"/>
    </w:rPr>
  </w:style>
  <w:style w:type="paragraph" w:styleId="ListParagraph">
    <w:name w:val="List Paragraph"/>
    <w:basedOn w:val="Normal"/>
    <w:uiPriority w:val="34"/>
    <w:qFormat/>
    <w:rsid w:val="006D621A"/>
    <w:pPr>
      <w:ind w:left="720"/>
      <w:contextualSpacing/>
    </w:pPr>
  </w:style>
  <w:style w:type="character" w:styleId="IntenseEmphasis">
    <w:name w:val="Intense Emphasis"/>
    <w:basedOn w:val="DefaultParagraphFont"/>
    <w:uiPriority w:val="21"/>
    <w:qFormat/>
    <w:rsid w:val="006D621A"/>
    <w:rPr>
      <w:i/>
      <w:iCs/>
      <w:color w:val="2F5496" w:themeColor="accent1" w:themeShade="BF"/>
    </w:rPr>
  </w:style>
  <w:style w:type="paragraph" w:styleId="IntenseQuote">
    <w:name w:val="Intense Quote"/>
    <w:basedOn w:val="Normal"/>
    <w:next w:val="Normal"/>
    <w:link w:val="IntenseQuoteChar"/>
    <w:uiPriority w:val="30"/>
    <w:qFormat/>
    <w:rsid w:val="006D62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621A"/>
    <w:rPr>
      <w:i/>
      <w:iCs/>
      <w:color w:val="2F5496" w:themeColor="accent1" w:themeShade="BF"/>
    </w:rPr>
  </w:style>
  <w:style w:type="character" w:styleId="IntenseReference">
    <w:name w:val="Intense Reference"/>
    <w:basedOn w:val="DefaultParagraphFont"/>
    <w:uiPriority w:val="32"/>
    <w:qFormat/>
    <w:rsid w:val="006D621A"/>
    <w:rPr>
      <w:b/>
      <w:bCs/>
      <w:smallCaps/>
      <w:color w:val="2F5496" w:themeColor="accent1" w:themeShade="BF"/>
      <w:spacing w:val="5"/>
    </w:rPr>
  </w:style>
  <w:style w:type="table" w:styleId="TableGrid">
    <w:name w:val="Table Grid"/>
    <w:basedOn w:val="TableNormal"/>
    <w:uiPriority w:val="39"/>
    <w:rsid w:val="006D62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D621A"/>
    <w:rPr>
      <w:color w:val="0563C1" w:themeColor="hyperlink"/>
      <w:u w:val="single"/>
    </w:rPr>
  </w:style>
  <w:style w:type="character" w:styleId="UnresolvedMention">
    <w:name w:val="Unresolved Mention"/>
    <w:basedOn w:val="DefaultParagraphFont"/>
    <w:uiPriority w:val="99"/>
    <w:semiHidden/>
    <w:unhideWhenUsed/>
    <w:rsid w:val="006D6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23135521" TargetMode="External"/><Relationship Id="rId13" Type="http://schemas.openxmlformats.org/officeDocument/2006/relationships/hyperlink" Target="https://onlinelibrary.wiley.com/doi/full/10.1111/hex.70251?utm_source=copilot.com" TargetMode="External"/><Relationship Id="rId18" Type="http://schemas.openxmlformats.org/officeDocument/2006/relationships/hyperlink" Target="https://pdf.sciencedirectassets.com/273502/1-s2.0-S1499404626X20073/1-s2.0-S1499404626001016/main.pdf" TargetMode="External"/><Relationship Id="rId3" Type="http://schemas.openxmlformats.org/officeDocument/2006/relationships/webSettings" Target="webSettings.xml"/><Relationship Id="rId21" Type="http://schemas.openxmlformats.org/officeDocument/2006/relationships/hyperlink" Target="https://www.uwtsd.ac.uk/research/research-integrity-and-ethics" TargetMode="External"/><Relationship Id="rId7" Type="http://schemas.openxmlformats.org/officeDocument/2006/relationships/hyperlink" Target="https://pmc.ncbi.nlm.nih.gov/articles/PMC12807470/?utm_source=copilot.com" TargetMode="External"/><Relationship Id="rId12" Type="http://schemas.openxmlformats.org/officeDocument/2006/relationships/hyperlink" Target="https://jamanetwork.com/journals/jamanetworkopen/fullarticle/2849943" TargetMode="External"/><Relationship Id="rId17" Type="http://schemas.openxmlformats.org/officeDocument/2006/relationships/hyperlink" Target="https://www.proquest.com/docview/2824895409" TargetMode="External"/><Relationship Id="rId2" Type="http://schemas.openxmlformats.org/officeDocument/2006/relationships/settings" Target="settings.xml"/><Relationship Id="rId16" Type="http://schemas.openxmlformats.org/officeDocument/2006/relationships/hyperlink" Target="https://www.proquest.com/docview/2552771877" TargetMode="External"/><Relationship Id="rId20" Type="http://schemas.openxmlformats.org/officeDocument/2006/relationships/hyperlink" Target="https://journals-sagepub-com.uwtsd.idm.oclc.org/doi/epub/10.1177/13591053251409613" TargetMode="External"/><Relationship Id="rId1" Type="http://schemas.openxmlformats.org/officeDocument/2006/relationships/styles" Target="styles.xml"/><Relationship Id="rId6" Type="http://schemas.openxmlformats.org/officeDocument/2006/relationships/hyperlink" Target="https://www.associationfornutrition.org/wp-content/uploads/2020/06/AfN-Standards-Ethics-Conduct-Performance.pdf" TargetMode="External"/><Relationship Id="rId11" Type="http://schemas.openxmlformats.org/officeDocument/2006/relationships/hyperlink" Target="https://www.mdpi.com/2227-9032/14/2/186" TargetMode="External"/><Relationship Id="rId5" Type="http://schemas.openxmlformats.org/officeDocument/2006/relationships/hyperlink" Target="https://www.jmir.org/2026/1/e78391?utm_source=copilot.com" TargetMode="External"/><Relationship Id="rId15" Type="http://schemas.openxmlformats.org/officeDocument/2006/relationships/hyperlink" Target="https://www.sciencedirect.com/science/article/pii/S0022316626003330?via=ihub" TargetMode="External"/><Relationship Id="rId23" Type="http://schemas.openxmlformats.org/officeDocument/2006/relationships/theme" Target="theme/theme1.xml"/><Relationship Id="rId10" Type="http://schemas.openxmlformats.org/officeDocument/2006/relationships/hyperlink" Target="https://journals-sagepub-com.uwtsd.idm.oclc.org/doi/pdf/10.1177/10497323221130832" TargetMode="External"/><Relationship Id="rId19" Type="http://schemas.openxmlformats.org/officeDocument/2006/relationships/hyperlink" Target="https://www.sciencedirect.com/science/article/pii/S0002916526002121" TargetMode="External"/><Relationship Id="rId4" Type="http://schemas.openxmlformats.org/officeDocument/2006/relationships/image" Target="media/image1.png"/><Relationship Id="rId9" Type="http://schemas.openxmlformats.org/officeDocument/2006/relationships/hyperlink" Target="https://doi-org.uwtsd.idm.oclc.org/10.1093/oso/9780197648186.001.0001" TargetMode="External"/><Relationship Id="rId14" Type="http://schemas.openxmlformats.org/officeDocument/2006/relationships/hyperlink" Target="https://pmc.ncbi.nlm.nih.gov/articles/PMC12090293/?utm_source=copilo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3048</Words>
  <Characters>17376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4</cp:revision>
  <dcterms:created xsi:type="dcterms:W3CDTF">2026-10-20T05:27:00Z</dcterms:created>
  <dcterms:modified xsi:type="dcterms:W3CDTF">2026-10-21T05:08:00Z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ff5f0364-34f6-4d27-8cf6-e40a2a3c1f75</vt:lpwstr>
  </property>
</Properties>
</file>