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6CAA6F" w14:textId="77777777" w:rsidR="00207AB6" w:rsidRDefault="00207AB6">
      <w:pPr>
        <w:spacing w:before="1440"/>
      </w:pPr>
    </w:p>
    <w:p w14:paraId="42D357A4" w14:textId="77777777" w:rsidR="00207AB6" w:rsidRDefault="00000000">
      <w:pPr>
        <w:spacing w:before="80" w:after="80" w:line="360" w:lineRule="auto"/>
        <w:jc w:val="center"/>
      </w:pPr>
      <w:r>
        <w:rPr>
          <w:b/>
          <w:bCs/>
          <w:sz w:val="24"/>
          <w:szCs w:val="24"/>
        </w:rPr>
        <w:t>BMHP5016: PRINCIPLES OF HEALTH AND SOCIAL CARE PRACTICE</w:t>
      </w:r>
    </w:p>
    <w:p w14:paraId="40D5F709" w14:textId="77777777" w:rsidR="00207AB6" w:rsidRDefault="00207AB6">
      <w:pPr>
        <w:spacing w:before="80"/>
      </w:pPr>
    </w:p>
    <w:p w14:paraId="6B72E08B" w14:textId="77777777" w:rsidR="00207AB6" w:rsidRDefault="00000000">
      <w:pPr>
        <w:spacing w:before="80" w:after="80" w:line="360" w:lineRule="auto"/>
        <w:jc w:val="center"/>
      </w:pPr>
      <w:r>
        <w:rPr>
          <w:b/>
          <w:bCs/>
        </w:rPr>
        <w:t>Component 2: Written Assignment (Report)</w:t>
      </w:r>
    </w:p>
    <w:p w14:paraId="311D3141" w14:textId="77777777" w:rsidR="00207AB6" w:rsidRDefault="00207AB6">
      <w:pPr>
        <w:spacing w:before="400"/>
      </w:pPr>
    </w:p>
    <w:p w14:paraId="47F74EB9" w14:textId="77777777" w:rsidR="00207AB6" w:rsidRDefault="00000000">
      <w:pPr>
        <w:spacing w:before="80" w:after="80" w:line="360" w:lineRule="auto"/>
        <w:jc w:val="center"/>
      </w:pPr>
      <w:r>
        <w:rPr>
          <w:b/>
          <w:bCs/>
        </w:rPr>
        <w:t>Person-Centred Care and Partnership Working in Elderly Care:</w:t>
      </w:r>
    </w:p>
    <w:p w14:paraId="7593ED50" w14:textId="77777777" w:rsidR="00207AB6" w:rsidRDefault="00000000">
      <w:pPr>
        <w:spacing w:before="80" w:after="80" w:line="360" w:lineRule="auto"/>
        <w:jc w:val="center"/>
      </w:pPr>
      <w:r>
        <w:rPr>
          <w:b/>
          <w:bCs/>
        </w:rPr>
        <w:t>Theory, Ethics, Policy and Practice</w:t>
      </w:r>
    </w:p>
    <w:p w14:paraId="47041BA9" w14:textId="77777777" w:rsidR="00207AB6" w:rsidRDefault="00207AB6">
      <w:pPr>
        <w:spacing w:before="600"/>
      </w:pPr>
    </w:p>
    <w:p w14:paraId="03A5F724" w14:textId="57FBD0CF" w:rsidR="00207AB6" w:rsidRDefault="00000000">
      <w:pPr>
        <w:spacing w:before="80" w:after="80" w:line="360" w:lineRule="auto"/>
        <w:jc w:val="center"/>
      </w:pPr>
      <w:r>
        <w:t xml:space="preserve">Student Name: </w:t>
      </w:r>
      <w:r w:rsidR="00DF642A">
        <w:t>Naanaz Saddiq</w:t>
      </w:r>
    </w:p>
    <w:p w14:paraId="1106E444" w14:textId="77C4636C" w:rsidR="00207AB6" w:rsidRDefault="00000000">
      <w:pPr>
        <w:spacing w:before="80" w:after="80" w:line="360" w:lineRule="auto"/>
        <w:jc w:val="center"/>
      </w:pPr>
      <w:r>
        <w:t xml:space="preserve">Student Number: </w:t>
      </w:r>
      <w:r w:rsidR="00DF642A">
        <w:t>2438383</w:t>
      </w:r>
    </w:p>
    <w:p w14:paraId="506FC36B" w14:textId="77777777" w:rsidR="00207AB6" w:rsidRDefault="00207AB6">
      <w:pPr>
        <w:spacing w:before="200"/>
      </w:pPr>
    </w:p>
    <w:p w14:paraId="6AA8BAFB" w14:textId="77777777" w:rsidR="00207AB6" w:rsidRDefault="00000000">
      <w:pPr>
        <w:spacing w:before="80" w:after="80" w:line="360" w:lineRule="auto"/>
        <w:jc w:val="center"/>
      </w:pPr>
      <w:r>
        <w:t>Module Code: BMHP5016</w:t>
      </w:r>
    </w:p>
    <w:p w14:paraId="661A2A97" w14:textId="77777777" w:rsidR="00207AB6" w:rsidRDefault="00000000">
      <w:pPr>
        <w:spacing w:before="80" w:after="80" w:line="360" w:lineRule="auto"/>
        <w:jc w:val="center"/>
      </w:pPr>
      <w:r>
        <w:t>Module Title: Principles of Health and Social Care Practice</w:t>
      </w:r>
    </w:p>
    <w:p w14:paraId="14E0C2EB" w14:textId="77777777" w:rsidR="00207AB6" w:rsidRDefault="00207AB6">
      <w:pPr>
        <w:spacing w:before="200"/>
      </w:pPr>
    </w:p>
    <w:p w14:paraId="293A738F" w14:textId="261ED508" w:rsidR="00207AB6" w:rsidRDefault="00207AB6" w:rsidP="00DF642A">
      <w:pPr>
        <w:spacing w:before="80" w:after="80" w:line="360" w:lineRule="auto"/>
      </w:pPr>
    </w:p>
    <w:p w14:paraId="426FFBE8" w14:textId="77777777" w:rsidR="00207AB6" w:rsidRDefault="00000000">
      <w:r>
        <w:br w:type="page"/>
      </w:r>
    </w:p>
    <w:sdt>
      <w:sdtPr>
        <w:rPr>
          <w:rFonts w:ascii="Times New Roman" w:eastAsia="Arial" w:hAnsi="Times New Roman" w:cs="Times New Roman"/>
          <w:b w:val="0"/>
          <w:bCs w:val="0"/>
          <w:color w:val="auto"/>
          <w:sz w:val="24"/>
          <w:szCs w:val="24"/>
          <w:lang w:val="en-IN" w:eastAsia="en-GB"/>
        </w:rPr>
        <w:id w:val="-105120828"/>
        <w:docPartObj>
          <w:docPartGallery w:val="Table of Contents"/>
          <w:docPartUnique/>
        </w:docPartObj>
      </w:sdtPr>
      <w:sdtEndPr>
        <w:rPr>
          <w:noProof/>
        </w:rPr>
      </w:sdtEndPr>
      <w:sdtContent>
        <w:p w14:paraId="45A51565" w14:textId="3766C69E" w:rsidR="005056B8" w:rsidRPr="005056B8" w:rsidRDefault="005056B8" w:rsidP="005056B8">
          <w:pPr>
            <w:pStyle w:val="TOCHeading"/>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Table of Contents</w:t>
          </w:r>
        </w:p>
        <w:p w14:paraId="55B110F2" w14:textId="7D0EC8E1" w:rsidR="005056B8" w:rsidRPr="005056B8" w:rsidRDefault="005056B8">
          <w:pPr>
            <w:pStyle w:val="TOC1"/>
            <w:tabs>
              <w:tab w:val="right" w:leader="dot" w:pos="9016"/>
            </w:tabs>
            <w:rPr>
              <w:rFonts w:ascii="Times New Roman" w:hAnsi="Times New Roman" w:cs="Times New Roman"/>
              <w:b w:val="0"/>
              <w:bCs w:val="0"/>
              <w:noProof/>
              <w:sz w:val="24"/>
              <w:szCs w:val="24"/>
            </w:rPr>
          </w:pPr>
          <w:r>
            <w:rPr>
              <w:rFonts w:ascii="Times New Roman" w:hAnsi="Times New Roman" w:cs="Times New Roman"/>
              <w:b w:val="0"/>
              <w:bCs w:val="0"/>
              <w:sz w:val="24"/>
              <w:szCs w:val="24"/>
            </w:rPr>
            <w:fldChar w:fldCharType="begin"/>
          </w:r>
          <w:r>
            <w:rPr>
              <w:rFonts w:ascii="Times New Roman" w:hAnsi="Times New Roman" w:cs="Times New Roman"/>
              <w:b w:val="0"/>
              <w:bCs w:val="0"/>
              <w:sz w:val="24"/>
              <w:szCs w:val="24"/>
            </w:rPr>
            <w:instrText xml:space="preserve"> TOC \o "1-3" \h \z \u </w:instrText>
          </w:r>
          <w:r>
            <w:rPr>
              <w:rFonts w:ascii="Times New Roman" w:hAnsi="Times New Roman" w:cs="Times New Roman"/>
              <w:b w:val="0"/>
              <w:bCs w:val="0"/>
              <w:sz w:val="24"/>
              <w:szCs w:val="24"/>
            </w:rPr>
            <w:fldChar w:fldCharType="separate"/>
          </w:r>
          <w:hyperlink w:anchor="_Toc235663552" w:history="1">
            <w:r>
              <w:rPr>
                <w:rStyle w:val="Hyperlink"/>
                <w:rFonts w:ascii="Times New Roman" w:hAnsi="Times New Roman" w:cs="Times New Roman"/>
                <w:b w:val="0"/>
                <w:bCs w:val="0"/>
                <w:noProof/>
                <w:sz w:val="24"/>
                <w:szCs w:val="24"/>
              </w:rPr>
              <w:t>1. Introduction</w:t>
            </w:r>
            <w:r>
              <w:rPr>
                <w:rFonts w:ascii="Times New Roman" w:hAnsi="Times New Roman" w:cs="Times New Roman"/>
                <w:b w:val="0"/>
                <w:bCs w:val="0"/>
                <w:noProof/>
                <w:webHidden/>
                <w:sz w:val="24"/>
                <w:szCs w:val="24"/>
              </w:rPr>
              <w:tab/>
            </w:r>
            <w:r>
              <w:rPr>
                <w:rFonts w:ascii="Times New Roman" w:hAnsi="Times New Roman" w:cs="Times New Roman"/>
                <w:b w:val="0"/>
                <w:bCs w:val="0"/>
                <w:noProof/>
                <w:webHidden/>
                <w:sz w:val="24"/>
                <w:szCs w:val="24"/>
              </w:rPr>
              <w:fldChar w:fldCharType="begin"/>
            </w:r>
            <w:r>
              <w:rPr>
                <w:rFonts w:ascii="Times New Roman" w:hAnsi="Times New Roman" w:cs="Times New Roman"/>
                <w:b w:val="0"/>
                <w:bCs w:val="0"/>
                <w:noProof/>
                <w:webHidden/>
                <w:sz w:val="24"/>
                <w:szCs w:val="24"/>
              </w:rPr>
              <w:instrText xml:space="preserve"> PAGEREF _Toc235663552 \h </w:instrText>
            </w:r>
            <w:r>
              <w:rPr>
                <w:rFonts w:ascii="Times New Roman" w:hAnsi="Times New Roman" w:cs="Times New Roman"/>
                <w:b w:val="0"/>
                <w:bCs w:val="0"/>
                <w:noProof/>
                <w:webHidden/>
                <w:sz w:val="24"/>
                <w:szCs w:val="24"/>
              </w:rPr>
            </w:r>
            <w:r>
              <w:rPr>
                <w:rFonts w:ascii="Times New Roman" w:hAnsi="Times New Roman" w:cs="Times New Roman"/>
                <w:b w:val="0"/>
                <w:bCs w:val="0"/>
                <w:noProof/>
                <w:webHidden/>
                <w:sz w:val="24"/>
                <w:szCs w:val="24"/>
              </w:rPr>
              <w:fldChar w:fldCharType="separate"/>
            </w:r>
            <w:r>
              <w:rPr>
                <w:rFonts w:ascii="Times New Roman" w:hAnsi="Times New Roman" w:cs="Times New Roman"/>
                <w:b w:val="0"/>
                <w:bCs w:val="0"/>
                <w:noProof/>
                <w:webHidden/>
                <w:sz w:val="24"/>
                <w:szCs w:val="24"/>
              </w:rPr>
              <w:t>3</w:t>
            </w:r>
            <w:r>
              <w:rPr>
                <w:rFonts w:ascii="Times New Roman" w:hAnsi="Times New Roman" w:cs="Times New Roman"/>
                <w:b w:val="0"/>
                <w:bCs w:val="0"/>
                <w:noProof/>
                <w:webHidden/>
                <w:sz w:val="24"/>
                <w:szCs w:val="24"/>
              </w:rPr>
              <w:fldChar w:fldCharType="end"/>
            </w:r>
          </w:hyperlink>
        </w:p>
        <w:p w14:paraId="04E3F8B2" w14:textId="3DC164D9" w:rsidR="005056B8" w:rsidRPr="005056B8" w:rsidRDefault="005056B8">
          <w:pPr>
            <w:pStyle w:val="TOC1"/>
            <w:tabs>
              <w:tab w:val="right" w:leader="dot" w:pos="9016"/>
            </w:tabs>
            <w:rPr>
              <w:rFonts w:ascii="Times New Roman" w:hAnsi="Times New Roman" w:cs="Times New Roman"/>
              <w:b w:val="0"/>
              <w:bCs w:val="0"/>
              <w:noProof/>
              <w:sz w:val="24"/>
              <w:szCs w:val="24"/>
            </w:rPr>
          </w:pPr>
          <w:hyperlink w:anchor="_Toc235663553" w:history="1">
            <w:r>
              <w:rPr>
                <w:rStyle w:val="Hyperlink"/>
                <w:rFonts w:ascii="Times New Roman" w:hAnsi="Times New Roman" w:cs="Times New Roman"/>
                <w:b w:val="0"/>
                <w:bCs w:val="0"/>
                <w:noProof/>
                <w:sz w:val="24"/>
                <w:szCs w:val="24"/>
              </w:rPr>
              <w:t>2. Person-Centred Care: Definition, Benefits and Limitations</w:t>
            </w:r>
            <w:r>
              <w:rPr>
                <w:rFonts w:ascii="Times New Roman" w:hAnsi="Times New Roman" w:cs="Times New Roman"/>
                <w:b w:val="0"/>
                <w:bCs w:val="0"/>
                <w:noProof/>
                <w:webHidden/>
                <w:sz w:val="24"/>
                <w:szCs w:val="24"/>
              </w:rPr>
              <w:tab/>
            </w:r>
            <w:r>
              <w:rPr>
                <w:rFonts w:ascii="Times New Roman" w:hAnsi="Times New Roman" w:cs="Times New Roman"/>
                <w:b w:val="0"/>
                <w:bCs w:val="0"/>
                <w:noProof/>
                <w:webHidden/>
                <w:sz w:val="24"/>
                <w:szCs w:val="24"/>
              </w:rPr>
              <w:fldChar w:fldCharType="begin"/>
            </w:r>
            <w:r>
              <w:rPr>
                <w:rFonts w:ascii="Times New Roman" w:hAnsi="Times New Roman" w:cs="Times New Roman"/>
                <w:b w:val="0"/>
                <w:bCs w:val="0"/>
                <w:noProof/>
                <w:webHidden/>
                <w:sz w:val="24"/>
                <w:szCs w:val="24"/>
              </w:rPr>
              <w:instrText xml:space="preserve"> PAGEREF _Toc235663553 \h </w:instrText>
            </w:r>
            <w:r>
              <w:rPr>
                <w:rFonts w:ascii="Times New Roman" w:hAnsi="Times New Roman" w:cs="Times New Roman"/>
                <w:b w:val="0"/>
                <w:bCs w:val="0"/>
                <w:noProof/>
                <w:webHidden/>
                <w:sz w:val="24"/>
                <w:szCs w:val="24"/>
              </w:rPr>
            </w:r>
            <w:r>
              <w:rPr>
                <w:rFonts w:ascii="Times New Roman" w:hAnsi="Times New Roman" w:cs="Times New Roman"/>
                <w:b w:val="0"/>
                <w:bCs w:val="0"/>
                <w:noProof/>
                <w:webHidden/>
                <w:sz w:val="24"/>
                <w:szCs w:val="24"/>
              </w:rPr>
              <w:fldChar w:fldCharType="separate"/>
            </w:r>
            <w:r>
              <w:rPr>
                <w:rFonts w:ascii="Times New Roman" w:hAnsi="Times New Roman" w:cs="Times New Roman"/>
                <w:b w:val="0"/>
                <w:bCs w:val="0"/>
                <w:noProof/>
                <w:webHidden/>
                <w:sz w:val="24"/>
                <w:szCs w:val="24"/>
              </w:rPr>
              <w:t>3</w:t>
            </w:r>
            <w:r>
              <w:rPr>
                <w:rFonts w:ascii="Times New Roman" w:hAnsi="Times New Roman" w:cs="Times New Roman"/>
                <w:b w:val="0"/>
                <w:bCs w:val="0"/>
                <w:noProof/>
                <w:webHidden/>
                <w:sz w:val="24"/>
                <w:szCs w:val="24"/>
              </w:rPr>
              <w:fldChar w:fldCharType="end"/>
            </w:r>
          </w:hyperlink>
        </w:p>
        <w:p w14:paraId="38C883E8" w14:textId="163E624A" w:rsidR="005056B8" w:rsidRPr="005056B8" w:rsidRDefault="005056B8">
          <w:pPr>
            <w:pStyle w:val="TOC1"/>
            <w:tabs>
              <w:tab w:val="right" w:leader="dot" w:pos="9016"/>
            </w:tabs>
            <w:rPr>
              <w:rFonts w:ascii="Times New Roman" w:hAnsi="Times New Roman" w:cs="Times New Roman"/>
              <w:b w:val="0"/>
              <w:bCs w:val="0"/>
              <w:noProof/>
              <w:sz w:val="24"/>
              <w:szCs w:val="24"/>
            </w:rPr>
          </w:pPr>
          <w:hyperlink w:anchor="_Toc235663554" w:history="1">
            <w:r>
              <w:rPr>
                <w:rStyle w:val="Hyperlink"/>
                <w:rFonts w:ascii="Times New Roman" w:hAnsi="Times New Roman" w:cs="Times New Roman"/>
                <w:b w:val="0"/>
                <w:bCs w:val="0"/>
                <w:noProof/>
                <w:sz w:val="24"/>
                <w:szCs w:val="24"/>
              </w:rPr>
              <w:t>3. Theoretical Frameworks: Kitwood and McCormack Compared</w:t>
            </w:r>
            <w:r>
              <w:rPr>
                <w:rFonts w:ascii="Times New Roman" w:hAnsi="Times New Roman" w:cs="Times New Roman"/>
                <w:b w:val="0"/>
                <w:bCs w:val="0"/>
                <w:noProof/>
                <w:webHidden/>
                <w:sz w:val="24"/>
                <w:szCs w:val="24"/>
              </w:rPr>
              <w:tab/>
            </w:r>
            <w:r>
              <w:rPr>
                <w:rFonts w:ascii="Times New Roman" w:hAnsi="Times New Roman" w:cs="Times New Roman"/>
                <w:b w:val="0"/>
                <w:bCs w:val="0"/>
                <w:noProof/>
                <w:webHidden/>
                <w:sz w:val="24"/>
                <w:szCs w:val="24"/>
              </w:rPr>
              <w:fldChar w:fldCharType="begin"/>
            </w:r>
            <w:r>
              <w:rPr>
                <w:rFonts w:ascii="Times New Roman" w:hAnsi="Times New Roman" w:cs="Times New Roman"/>
                <w:b w:val="0"/>
                <w:bCs w:val="0"/>
                <w:noProof/>
                <w:webHidden/>
                <w:sz w:val="24"/>
                <w:szCs w:val="24"/>
              </w:rPr>
              <w:instrText xml:space="preserve"> PAGEREF _Toc235663554 \h </w:instrText>
            </w:r>
            <w:r>
              <w:rPr>
                <w:rFonts w:ascii="Times New Roman" w:hAnsi="Times New Roman" w:cs="Times New Roman"/>
                <w:b w:val="0"/>
                <w:bCs w:val="0"/>
                <w:noProof/>
                <w:webHidden/>
                <w:sz w:val="24"/>
                <w:szCs w:val="24"/>
              </w:rPr>
            </w:r>
            <w:r>
              <w:rPr>
                <w:rFonts w:ascii="Times New Roman" w:hAnsi="Times New Roman" w:cs="Times New Roman"/>
                <w:b w:val="0"/>
                <w:bCs w:val="0"/>
                <w:noProof/>
                <w:webHidden/>
                <w:sz w:val="24"/>
                <w:szCs w:val="24"/>
              </w:rPr>
              <w:fldChar w:fldCharType="separate"/>
            </w:r>
            <w:r>
              <w:rPr>
                <w:rFonts w:ascii="Times New Roman" w:hAnsi="Times New Roman" w:cs="Times New Roman"/>
                <w:b w:val="0"/>
                <w:bCs w:val="0"/>
                <w:noProof/>
                <w:webHidden/>
                <w:sz w:val="24"/>
                <w:szCs w:val="24"/>
              </w:rPr>
              <w:t>4</w:t>
            </w:r>
            <w:r>
              <w:rPr>
                <w:rFonts w:ascii="Times New Roman" w:hAnsi="Times New Roman" w:cs="Times New Roman"/>
                <w:b w:val="0"/>
                <w:bCs w:val="0"/>
                <w:noProof/>
                <w:webHidden/>
                <w:sz w:val="24"/>
                <w:szCs w:val="24"/>
              </w:rPr>
              <w:fldChar w:fldCharType="end"/>
            </w:r>
          </w:hyperlink>
        </w:p>
        <w:p w14:paraId="7F791A71" w14:textId="1E9CC8C2" w:rsidR="005056B8" w:rsidRPr="005056B8" w:rsidRDefault="005056B8">
          <w:pPr>
            <w:pStyle w:val="TOC1"/>
            <w:tabs>
              <w:tab w:val="right" w:leader="dot" w:pos="9016"/>
            </w:tabs>
            <w:rPr>
              <w:rFonts w:ascii="Times New Roman" w:hAnsi="Times New Roman" w:cs="Times New Roman"/>
              <w:b w:val="0"/>
              <w:bCs w:val="0"/>
              <w:noProof/>
              <w:sz w:val="24"/>
              <w:szCs w:val="24"/>
            </w:rPr>
          </w:pPr>
          <w:hyperlink w:anchor="_Toc235663555" w:history="1">
            <w:r>
              <w:rPr>
                <w:rStyle w:val="Hyperlink"/>
                <w:rFonts w:ascii="Times New Roman" w:hAnsi="Times New Roman" w:cs="Times New Roman"/>
                <w:b w:val="0"/>
                <w:bCs w:val="0"/>
                <w:noProof/>
                <w:sz w:val="24"/>
                <w:szCs w:val="24"/>
              </w:rPr>
              <w:t>4. Ethical Fundamentals in Health and Social Care</w:t>
            </w:r>
            <w:r>
              <w:rPr>
                <w:rFonts w:ascii="Times New Roman" w:hAnsi="Times New Roman" w:cs="Times New Roman"/>
                <w:b w:val="0"/>
                <w:bCs w:val="0"/>
                <w:noProof/>
                <w:webHidden/>
                <w:sz w:val="24"/>
                <w:szCs w:val="24"/>
              </w:rPr>
              <w:tab/>
            </w:r>
            <w:r>
              <w:rPr>
                <w:rFonts w:ascii="Times New Roman" w:hAnsi="Times New Roman" w:cs="Times New Roman"/>
                <w:b w:val="0"/>
                <w:bCs w:val="0"/>
                <w:noProof/>
                <w:webHidden/>
                <w:sz w:val="24"/>
                <w:szCs w:val="24"/>
              </w:rPr>
              <w:fldChar w:fldCharType="begin"/>
            </w:r>
            <w:r>
              <w:rPr>
                <w:rFonts w:ascii="Times New Roman" w:hAnsi="Times New Roman" w:cs="Times New Roman"/>
                <w:b w:val="0"/>
                <w:bCs w:val="0"/>
                <w:noProof/>
                <w:webHidden/>
                <w:sz w:val="24"/>
                <w:szCs w:val="24"/>
              </w:rPr>
              <w:instrText xml:space="preserve"> PAGEREF _Toc235663555 \h </w:instrText>
            </w:r>
            <w:r>
              <w:rPr>
                <w:rFonts w:ascii="Times New Roman" w:hAnsi="Times New Roman" w:cs="Times New Roman"/>
                <w:b w:val="0"/>
                <w:bCs w:val="0"/>
                <w:noProof/>
                <w:webHidden/>
                <w:sz w:val="24"/>
                <w:szCs w:val="24"/>
              </w:rPr>
            </w:r>
            <w:r>
              <w:rPr>
                <w:rFonts w:ascii="Times New Roman" w:hAnsi="Times New Roman" w:cs="Times New Roman"/>
                <w:b w:val="0"/>
                <w:bCs w:val="0"/>
                <w:noProof/>
                <w:webHidden/>
                <w:sz w:val="24"/>
                <w:szCs w:val="24"/>
              </w:rPr>
              <w:fldChar w:fldCharType="separate"/>
            </w:r>
            <w:r>
              <w:rPr>
                <w:rFonts w:ascii="Times New Roman" w:hAnsi="Times New Roman" w:cs="Times New Roman"/>
                <w:b w:val="0"/>
                <w:bCs w:val="0"/>
                <w:noProof/>
                <w:webHidden/>
                <w:sz w:val="24"/>
                <w:szCs w:val="24"/>
              </w:rPr>
              <w:t>5</w:t>
            </w:r>
            <w:r>
              <w:rPr>
                <w:rFonts w:ascii="Times New Roman" w:hAnsi="Times New Roman" w:cs="Times New Roman"/>
                <w:b w:val="0"/>
                <w:bCs w:val="0"/>
                <w:noProof/>
                <w:webHidden/>
                <w:sz w:val="24"/>
                <w:szCs w:val="24"/>
              </w:rPr>
              <w:fldChar w:fldCharType="end"/>
            </w:r>
          </w:hyperlink>
        </w:p>
        <w:p w14:paraId="63F865F9" w14:textId="318A4B34" w:rsidR="005056B8" w:rsidRPr="005056B8" w:rsidRDefault="005056B8">
          <w:pPr>
            <w:pStyle w:val="TOC1"/>
            <w:tabs>
              <w:tab w:val="right" w:leader="dot" w:pos="9016"/>
            </w:tabs>
            <w:rPr>
              <w:rFonts w:ascii="Times New Roman" w:hAnsi="Times New Roman" w:cs="Times New Roman"/>
              <w:b w:val="0"/>
              <w:bCs w:val="0"/>
              <w:noProof/>
              <w:sz w:val="24"/>
              <w:szCs w:val="24"/>
            </w:rPr>
          </w:pPr>
          <w:hyperlink w:anchor="_Toc235663556" w:history="1">
            <w:r>
              <w:rPr>
                <w:rStyle w:val="Hyperlink"/>
                <w:rFonts w:ascii="Times New Roman" w:hAnsi="Times New Roman" w:cs="Times New Roman"/>
                <w:b w:val="0"/>
                <w:bCs w:val="0"/>
                <w:noProof/>
                <w:sz w:val="24"/>
                <w:szCs w:val="24"/>
              </w:rPr>
              <w:t>5. Partnership Working: An Evaluation</w:t>
            </w:r>
            <w:r>
              <w:rPr>
                <w:rFonts w:ascii="Times New Roman" w:hAnsi="Times New Roman" w:cs="Times New Roman"/>
                <w:b w:val="0"/>
                <w:bCs w:val="0"/>
                <w:noProof/>
                <w:webHidden/>
                <w:sz w:val="24"/>
                <w:szCs w:val="24"/>
              </w:rPr>
              <w:tab/>
            </w:r>
            <w:r>
              <w:rPr>
                <w:rFonts w:ascii="Times New Roman" w:hAnsi="Times New Roman" w:cs="Times New Roman"/>
                <w:b w:val="0"/>
                <w:bCs w:val="0"/>
                <w:noProof/>
                <w:webHidden/>
                <w:sz w:val="24"/>
                <w:szCs w:val="24"/>
              </w:rPr>
              <w:fldChar w:fldCharType="begin"/>
            </w:r>
            <w:r>
              <w:rPr>
                <w:rFonts w:ascii="Times New Roman" w:hAnsi="Times New Roman" w:cs="Times New Roman"/>
                <w:b w:val="0"/>
                <w:bCs w:val="0"/>
                <w:noProof/>
                <w:webHidden/>
                <w:sz w:val="24"/>
                <w:szCs w:val="24"/>
              </w:rPr>
              <w:instrText xml:space="preserve"> PAGEREF _Toc235663556 \h </w:instrText>
            </w:r>
            <w:r>
              <w:rPr>
                <w:rFonts w:ascii="Times New Roman" w:hAnsi="Times New Roman" w:cs="Times New Roman"/>
                <w:b w:val="0"/>
                <w:bCs w:val="0"/>
                <w:noProof/>
                <w:webHidden/>
                <w:sz w:val="24"/>
                <w:szCs w:val="24"/>
              </w:rPr>
            </w:r>
            <w:r>
              <w:rPr>
                <w:rFonts w:ascii="Times New Roman" w:hAnsi="Times New Roman" w:cs="Times New Roman"/>
                <w:b w:val="0"/>
                <w:bCs w:val="0"/>
                <w:noProof/>
                <w:webHidden/>
                <w:sz w:val="24"/>
                <w:szCs w:val="24"/>
              </w:rPr>
              <w:fldChar w:fldCharType="separate"/>
            </w:r>
            <w:r>
              <w:rPr>
                <w:rFonts w:ascii="Times New Roman" w:hAnsi="Times New Roman" w:cs="Times New Roman"/>
                <w:b w:val="0"/>
                <w:bCs w:val="0"/>
                <w:noProof/>
                <w:webHidden/>
                <w:sz w:val="24"/>
                <w:szCs w:val="24"/>
              </w:rPr>
              <w:t>5</w:t>
            </w:r>
            <w:r>
              <w:rPr>
                <w:rFonts w:ascii="Times New Roman" w:hAnsi="Times New Roman" w:cs="Times New Roman"/>
                <w:b w:val="0"/>
                <w:bCs w:val="0"/>
                <w:noProof/>
                <w:webHidden/>
                <w:sz w:val="24"/>
                <w:szCs w:val="24"/>
              </w:rPr>
              <w:fldChar w:fldCharType="end"/>
            </w:r>
          </w:hyperlink>
        </w:p>
        <w:p w14:paraId="4B6CE423" w14:textId="761C8CCB" w:rsidR="005056B8" w:rsidRPr="005056B8" w:rsidRDefault="005056B8">
          <w:pPr>
            <w:pStyle w:val="TOC1"/>
            <w:tabs>
              <w:tab w:val="right" w:leader="dot" w:pos="9016"/>
            </w:tabs>
            <w:rPr>
              <w:rFonts w:ascii="Times New Roman" w:hAnsi="Times New Roman" w:cs="Times New Roman"/>
              <w:b w:val="0"/>
              <w:bCs w:val="0"/>
              <w:noProof/>
              <w:sz w:val="24"/>
              <w:szCs w:val="24"/>
            </w:rPr>
          </w:pPr>
          <w:hyperlink w:anchor="_Toc235663557" w:history="1">
            <w:r>
              <w:rPr>
                <w:rStyle w:val="Hyperlink"/>
                <w:rFonts w:ascii="Times New Roman" w:hAnsi="Times New Roman" w:cs="Times New Roman"/>
                <w:b w:val="0"/>
                <w:bCs w:val="0"/>
                <w:noProof/>
                <w:sz w:val="24"/>
                <w:szCs w:val="24"/>
              </w:rPr>
              <w:t>6. Partnership Working in Elderly Care: Case Application</w:t>
            </w:r>
            <w:r>
              <w:rPr>
                <w:rFonts w:ascii="Times New Roman" w:hAnsi="Times New Roman" w:cs="Times New Roman"/>
                <w:b w:val="0"/>
                <w:bCs w:val="0"/>
                <w:noProof/>
                <w:webHidden/>
                <w:sz w:val="24"/>
                <w:szCs w:val="24"/>
              </w:rPr>
              <w:tab/>
            </w:r>
            <w:r>
              <w:rPr>
                <w:rFonts w:ascii="Times New Roman" w:hAnsi="Times New Roman" w:cs="Times New Roman"/>
                <w:b w:val="0"/>
                <w:bCs w:val="0"/>
                <w:noProof/>
                <w:webHidden/>
                <w:sz w:val="24"/>
                <w:szCs w:val="24"/>
              </w:rPr>
              <w:fldChar w:fldCharType="begin"/>
            </w:r>
            <w:r>
              <w:rPr>
                <w:rFonts w:ascii="Times New Roman" w:hAnsi="Times New Roman" w:cs="Times New Roman"/>
                <w:b w:val="0"/>
                <w:bCs w:val="0"/>
                <w:noProof/>
                <w:webHidden/>
                <w:sz w:val="24"/>
                <w:szCs w:val="24"/>
              </w:rPr>
              <w:instrText xml:space="preserve"> PAGEREF _Toc235663557 \h </w:instrText>
            </w:r>
            <w:r>
              <w:rPr>
                <w:rFonts w:ascii="Times New Roman" w:hAnsi="Times New Roman" w:cs="Times New Roman"/>
                <w:b w:val="0"/>
                <w:bCs w:val="0"/>
                <w:noProof/>
                <w:webHidden/>
                <w:sz w:val="24"/>
                <w:szCs w:val="24"/>
              </w:rPr>
            </w:r>
            <w:r>
              <w:rPr>
                <w:rFonts w:ascii="Times New Roman" w:hAnsi="Times New Roman" w:cs="Times New Roman"/>
                <w:b w:val="0"/>
                <w:bCs w:val="0"/>
                <w:noProof/>
                <w:webHidden/>
                <w:sz w:val="24"/>
                <w:szCs w:val="24"/>
              </w:rPr>
              <w:fldChar w:fldCharType="separate"/>
            </w:r>
            <w:r>
              <w:rPr>
                <w:rFonts w:ascii="Times New Roman" w:hAnsi="Times New Roman" w:cs="Times New Roman"/>
                <w:b w:val="0"/>
                <w:bCs w:val="0"/>
                <w:noProof/>
                <w:webHidden/>
                <w:sz w:val="24"/>
                <w:szCs w:val="24"/>
              </w:rPr>
              <w:t>7</w:t>
            </w:r>
            <w:r>
              <w:rPr>
                <w:rFonts w:ascii="Times New Roman" w:hAnsi="Times New Roman" w:cs="Times New Roman"/>
                <w:b w:val="0"/>
                <w:bCs w:val="0"/>
                <w:noProof/>
                <w:webHidden/>
                <w:sz w:val="24"/>
                <w:szCs w:val="24"/>
              </w:rPr>
              <w:fldChar w:fldCharType="end"/>
            </w:r>
          </w:hyperlink>
        </w:p>
        <w:p w14:paraId="2B78F506" w14:textId="2CA8292B" w:rsidR="005056B8" w:rsidRPr="005056B8" w:rsidRDefault="005056B8">
          <w:pPr>
            <w:pStyle w:val="TOC1"/>
            <w:tabs>
              <w:tab w:val="right" w:leader="dot" w:pos="9016"/>
            </w:tabs>
            <w:rPr>
              <w:rFonts w:ascii="Times New Roman" w:hAnsi="Times New Roman" w:cs="Times New Roman"/>
              <w:b w:val="0"/>
              <w:bCs w:val="0"/>
              <w:noProof/>
              <w:sz w:val="24"/>
              <w:szCs w:val="24"/>
            </w:rPr>
          </w:pPr>
          <w:hyperlink w:anchor="_Toc235663558" w:history="1">
            <w:r>
              <w:rPr>
                <w:rStyle w:val="Hyperlink"/>
                <w:rFonts w:ascii="Times New Roman" w:hAnsi="Times New Roman" w:cs="Times New Roman"/>
                <w:b w:val="0"/>
                <w:bCs w:val="0"/>
                <w:noProof/>
                <w:sz w:val="24"/>
                <w:szCs w:val="24"/>
              </w:rPr>
              <w:t>7. Policy and Legislation</w:t>
            </w:r>
            <w:r>
              <w:rPr>
                <w:rFonts w:ascii="Times New Roman" w:hAnsi="Times New Roman" w:cs="Times New Roman"/>
                <w:b w:val="0"/>
                <w:bCs w:val="0"/>
                <w:noProof/>
                <w:webHidden/>
                <w:sz w:val="24"/>
                <w:szCs w:val="24"/>
              </w:rPr>
              <w:tab/>
            </w:r>
            <w:r>
              <w:rPr>
                <w:rFonts w:ascii="Times New Roman" w:hAnsi="Times New Roman" w:cs="Times New Roman"/>
                <w:b w:val="0"/>
                <w:bCs w:val="0"/>
                <w:noProof/>
                <w:webHidden/>
                <w:sz w:val="24"/>
                <w:szCs w:val="24"/>
              </w:rPr>
              <w:fldChar w:fldCharType="begin"/>
            </w:r>
            <w:r>
              <w:rPr>
                <w:rFonts w:ascii="Times New Roman" w:hAnsi="Times New Roman" w:cs="Times New Roman"/>
                <w:b w:val="0"/>
                <w:bCs w:val="0"/>
                <w:noProof/>
                <w:webHidden/>
                <w:sz w:val="24"/>
                <w:szCs w:val="24"/>
              </w:rPr>
              <w:instrText xml:space="preserve"> PAGEREF _Toc235663558 \h </w:instrText>
            </w:r>
            <w:r>
              <w:rPr>
                <w:rFonts w:ascii="Times New Roman" w:hAnsi="Times New Roman" w:cs="Times New Roman"/>
                <w:b w:val="0"/>
                <w:bCs w:val="0"/>
                <w:noProof/>
                <w:webHidden/>
                <w:sz w:val="24"/>
                <w:szCs w:val="24"/>
              </w:rPr>
            </w:r>
            <w:r>
              <w:rPr>
                <w:rFonts w:ascii="Times New Roman" w:hAnsi="Times New Roman" w:cs="Times New Roman"/>
                <w:b w:val="0"/>
                <w:bCs w:val="0"/>
                <w:noProof/>
                <w:webHidden/>
                <w:sz w:val="24"/>
                <w:szCs w:val="24"/>
              </w:rPr>
              <w:fldChar w:fldCharType="separate"/>
            </w:r>
            <w:r>
              <w:rPr>
                <w:rFonts w:ascii="Times New Roman" w:hAnsi="Times New Roman" w:cs="Times New Roman"/>
                <w:b w:val="0"/>
                <w:bCs w:val="0"/>
                <w:noProof/>
                <w:webHidden/>
                <w:sz w:val="24"/>
                <w:szCs w:val="24"/>
              </w:rPr>
              <w:t>8</w:t>
            </w:r>
            <w:r>
              <w:rPr>
                <w:rFonts w:ascii="Times New Roman" w:hAnsi="Times New Roman" w:cs="Times New Roman"/>
                <w:b w:val="0"/>
                <w:bCs w:val="0"/>
                <w:noProof/>
                <w:webHidden/>
                <w:sz w:val="24"/>
                <w:szCs w:val="24"/>
              </w:rPr>
              <w:fldChar w:fldCharType="end"/>
            </w:r>
          </w:hyperlink>
        </w:p>
        <w:p w14:paraId="5A5CA6A5" w14:textId="18DB2FB6" w:rsidR="005056B8" w:rsidRPr="005056B8" w:rsidRDefault="005056B8">
          <w:pPr>
            <w:pStyle w:val="TOC1"/>
            <w:tabs>
              <w:tab w:val="right" w:leader="dot" w:pos="9016"/>
            </w:tabs>
            <w:rPr>
              <w:rFonts w:ascii="Times New Roman" w:hAnsi="Times New Roman" w:cs="Times New Roman"/>
              <w:b w:val="0"/>
              <w:bCs w:val="0"/>
              <w:noProof/>
              <w:sz w:val="24"/>
              <w:szCs w:val="24"/>
            </w:rPr>
          </w:pPr>
          <w:hyperlink w:anchor="_Toc235663559" w:history="1">
            <w:r>
              <w:rPr>
                <w:rStyle w:val="Hyperlink"/>
                <w:rFonts w:ascii="Times New Roman" w:hAnsi="Times New Roman" w:cs="Times New Roman"/>
                <w:b w:val="0"/>
                <w:bCs w:val="0"/>
                <w:noProof/>
                <w:sz w:val="24"/>
                <w:szCs w:val="24"/>
              </w:rPr>
              <w:t>8. Recommendations for Future Development</w:t>
            </w:r>
            <w:r>
              <w:rPr>
                <w:rFonts w:ascii="Times New Roman" w:hAnsi="Times New Roman" w:cs="Times New Roman"/>
                <w:b w:val="0"/>
                <w:bCs w:val="0"/>
                <w:noProof/>
                <w:webHidden/>
                <w:sz w:val="24"/>
                <w:szCs w:val="24"/>
              </w:rPr>
              <w:tab/>
            </w:r>
            <w:r>
              <w:rPr>
                <w:rFonts w:ascii="Times New Roman" w:hAnsi="Times New Roman" w:cs="Times New Roman"/>
                <w:b w:val="0"/>
                <w:bCs w:val="0"/>
                <w:noProof/>
                <w:webHidden/>
                <w:sz w:val="24"/>
                <w:szCs w:val="24"/>
              </w:rPr>
              <w:fldChar w:fldCharType="begin"/>
            </w:r>
            <w:r>
              <w:rPr>
                <w:rFonts w:ascii="Times New Roman" w:hAnsi="Times New Roman" w:cs="Times New Roman"/>
                <w:b w:val="0"/>
                <w:bCs w:val="0"/>
                <w:noProof/>
                <w:webHidden/>
                <w:sz w:val="24"/>
                <w:szCs w:val="24"/>
              </w:rPr>
              <w:instrText xml:space="preserve"> PAGEREF _Toc235663559 \h </w:instrText>
            </w:r>
            <w:r>
              <w:rPr>
                <w:rFonts w:ascii="Times New Roman" w:hAnsi="Times New Roman" w:cs="Times New Roman"/>
                <w:b w:val="0"/>
                <w:bCs w:val="0"/>
                <w:noProof/>
                <w:webHidden/>
                <w:sz w:val="24"/>
                <w:szCs w:val="24"/>
              </w:rPr>
            </w:r>
            <w:r>
              <w:rPr>
                <w:rFonts w:ascii="Times New Roman" w:hAnsi="Times New Roman" w:cs="Times New Roman"/>
                <w:b w:val="0"/>
                <w:bCs w:val="0"/>
                <w:noProof/>
                <w:webHidden/>
                <w:sz w:val="24"/>
                <w:szCs w:val="24"/>
              </w:rPr>
              <w:fldChar w:fldCharType="separate"/>
            </w:r>
            <w:r>
              <w:rPr>
                <w:rFonts w:ascii="Times New Roman" w:hAnsi="Times New Roman" w:cs="Times New Roman"/>
                <w:b w:val="0"/>
                <w:bCs w:val="0"/>
                <w:noProof/>
                <w:webHidden/>
                <w:sz w:val="24"/>
                <w:szCs w:val="24"/>
              </w:rPr>
              <w:t>8</w:t>
            </w:r>
            <w:r>
              <w:rPr>
                <w:rFonts w:ascii="Times New Roman" w:hAnsi="Times New Roman" w:cs="Times New Roman"/>
                <w:b w:val="0"/>
                <w:bCs w:val="0"/>
                <w:noProof/>
                <w:webHidden/>
                <w:sz w:val="24"/>
                <w:szCs w:val="24"/>
              </w:rPr>
              <w:fldChar w:fldCharType="end"/>
            </w:r>
          </w:hyperlink>
        </w:p>
        <w:p w14:paraId="2F71DC03" w14:textId="4DB4DD0A" w:rsidR="005056B8" w:rsidRPr="005056B8" w:rsidRDefault="005056B8">
          <w:pPr>
            <w:pStyle w:val="TOC1"/>
            <w:tabs>
              <w:tab w:val="right" w:leader="dot" w:pos="9016"/>
            </w:tabs>
            <w:rPr>
              <w:rFonts w:ascii="Times New Roman" w:hAnsi="Times New Roman" w:cs="Times New Roman"/>
              <w:b w:val="0"/>
              <w:bCs w:val="0"/>
              <w:noProof/>
              <w:sz w:val="24"/>
              <w:szCs w:val="24"/>
            </w:rPr>
          </w:pPr>
          <w:hyperlink w:anchor="_Toc235663560" w:history="1">
            <w:r>
              <w:rPr>
                <w:rStyle w:val="Hyperlink"/>
                <w:rFonts w:ascii="Times New Roman" w:hAnsi="Times New Roman" w:cs="Times New Roman"/>
                <w:b w:val="0"/>
                <w:bCs w:val="0"/>
                <w:noProof/>
                <w:sz w:val="24"/>
                <w:szCs w:val="24"/>
              </w:rPr>
              <w:t>9. Conclusion</w:t>
            </w:r>
            <w:r>
              <w:rPr>
                <w:rFonts w:ascii="Times New Roman" w:hAnsi="Times New Roman" w:cs="Times New Roman"/>
                <w:b w:val="0"/>
                <w:bCs w:val="0"/>
                <w:noProof/>
                <w:webHidden/>
                <w:sz w:val="24"/>
                <w:szCs w:val="24"/>
              </w:rPr>
              <w:tab/>
            </w:r>
            <w:r>
              <w:rPr>
                <w:rFonts w:ascii="Times New Roman" w:hAnsi="Times New Roman" w:cs="Times New Roman"/>
                <w:b w:val="0"/>
                <w:bCs w:val="0"/>
                <w:noProof/>
                <w:webHidden/>
                <w:sz w:val="24"/>
                <w:szCs w:val="24"/>
              </w:rPr>
              <w:fldChar w:fldCharType="begin"/>
            </w:r>
            <w:r>
              <w:rPr>
                <w:rFonts w:ascii="Times New Roman" w:hAnsi="Times New Roman" w:cs="Times New Roman"/>
                <w:b w:val="0"/>
                <w:bCs w:val="0"/>
                <w:noProof/>
                <w:webHidden/>
                <w:sz w:val="24"/>
                <w:szCs w:val="24"/>
              </w:rPr>
              <w:instrText xml:space="preserve"> PAGEREF _Toc235663560 \h </w:instrText>
            </w:r>
            <w:r>
              <w:rPr>
                <w:rFonts w:ascii="Times New Roman" w:hAnsi="Times New Roman" w:cs="Times New Roman"/>
                <w:b w:val="0"/>
                <w:bCs w:val="0"/>
                <w:noProof/>
                <w:webHidden/>
                <w:sz w:val="24"/>
                <w:szCs w:val="24"/>
              </w:rPr>
            </w:r>
            <w:r>
              <w:rPr>
                <w:rFonts w:ascii="Times New Roman" w:hAnsi="Times New Roman" w:cs="Times New Roman"/>
                <w:b w:val="0"/>
                <w:bCs w:val="0"/>
                <w:noProof/>
                <w:webHidden/>
                <w:sz w:val="24"/>
                <w:szCs w:val="24"/>
              </w:rPr>
              <w:fldChar w:fldCharType="separate"/>
            </w:r>
            <w:r>
              <w:rPr>
                <w:rFonts w:ascii="Times New Roman" w:hAnsi="Times New Roman" w:cs="Times New Roman"/>
                <w:b w:val="0"/>
                <w:bCs w:val="0"/>
                <w:noProof/>
                <w:webHidden/>
                <w:sz w:val="24"/>
                <w:szCs w:val="24"/>
              </w:rPr>
              <w:t>9</w:t>
            </w:r>
            <w:r>
              <w:rPr>
                <w:rFonts w:ascii="Times New Roman" w:hAnsi="Times New Roman" w:cs="Times New Roman"/>
                <w:b w:val="0"/>
                <w:bCs w:val="0"/>
                <w:noProof/>
                <w:webHidden/>
                <w:sz w:val="24"/>
                <w:szCs w:val="24"/>
              </w:rPr>
              <w:fldChar w:fldCharType="end"/>
            </w:r>
          </w:hyperlink>
        </w:p>
        <w:p w14:paraId="3E123149" w14:textId="7C4E7DCB" w:rsidR="005056B8" w:rsidRPr="005056B8" w:rsidRDefault="005056B8">
          <w:pPr>
            <w:pStyle w:val="TOC1"/>
            <w:tabs>
              <w:tab w:val="right" w:leader="dot" w:pos="9016"/>
            </w:tabs>
            <w:rPr>
              <w:rFonts w:ascii="Times New Roman" w:hAnsi="Times New Roman" w:cs="Times New Roman"/>
              <w:b w:val="0"/>
              <w:bCs w:val="0"/>
              <w:noProof/>
              <w:sz w:val="24"/>
              <w:szCs w:val="24"/>
            </w:rPr>
          </w:pPr>
          <w:hyperlink w:anchor="_Toc235663561" w:history="1">
            <w:r>
              <w:rPr>
                <w:rStyle w:val="Hyperlink"/>
                <w:rFonts w:ascii="Times New Roman" w:hAnsi="Times New Roman" w:cs="Times New Roman"/>
                <w:b w:val="0"/>
                <w:bCs w:val="0"/>
                <w:noProof/>
                <w:sz w:val="24"/>
                <w:szCs w:val="24"/>
              </w:rPr>
              <w:t>10. References</w:t>
            </w:r>
            <w:r>
              <w:rPr>
                <w:rFonts w:ascii="Times New Roman" w:hAnsi="Times New Roman" w:cs="Times New Roman"/>
                <w:b w:val="0"/>
                <w:bCs w:val="0"/>
                <w:noProof/>
                <w:webHidden/>
                <w:sz w:val="24"/>
                <w:szCs w:val="24"/>
              </w:rPr>
              <w:tab/>
            </w:r>
            <w:r>
              <w:rPr>
                <w:rFonts w:ascii="Times New Roman" w:hAnsi="Times New Roman" w:cs="Times New Roman"/>
                <w:b w:val="0"/>
                <w:bCs w:val="0"/>
                <w:noProof/>
                <w:webHidden/>
                <w:sz w:val="24"/>
                <w:szCs w:val="24"/>
              </w:rPr>
              <w:fldChar w:fldCharType="begin"/>
            </w:r>
            <w:r>
              <w:rPr>
                <w:rFonts w:ascii="Times New Roman" w:hAnsi="Times New Roman" w:cs="Times New Roman"/>
                <w:b w:val="0"/>
                <w:bCs w:val="0"/>
                <w:noProof/>
                <w:webHidden/>
                <w:sz w:val="24"/>
                <w:szCs w:val="24"/>
              </w:rPr>
              <w:instrText xml:space="preserve"> PAGEREF _Toc235663561 \h </w:instrText>
            </w:r>
            <w:r>
              <w:rPr>
                <w:rFonts w:ascii="Times New Roman" w:hAnsi="Times New Roman" w:cs="Times New Roman"/>
                <w:b w:val="0"/>
                <w:bCs w:val="0"/>
                <w:noProof/>
                <w:webHidden/>
                <w:sz w:val="24"/>
                <w:szCs w:val="24"/>
              </w:rPr>
            </w:r>
            <w:r>
              <w:rPr>
                <w:rFonts w:ascii="Times New Roman" w:hAnsi="Times New Roman" w:cs="Times New Roman"/>
                <w:b w:val="0"/>
                <w:bCs w:val="0"/>
                <w:noProof/>
                <w:webHidden/>
                <w:sz w:val="24"/>
                <w:szCs w:val="24"/>
              </w:rPr>
              <w:fldChar w:fldCharType="separate"/>
            </w:r>
            <w:r>
              <w:rPr>
                <w:rFonts w:ascii="Times New Roman" w:hAnsi="Times New Roman" w:cs="Times New Roman"/>
                <w:b w:val="0"/>
                <w:bCs w:val="0"/>
                <w:noProof/>
                <w:webHidden/>
                <w:sz w:val="24"/>
                <w:szCs w:val="24"/>
              </w:rPr>
              <w:t>10</w:t>
            </w:r>
            <w:r>
              <w:rPr>
                <w:rFonts w:ascii="Times New Roman" w:hAnsi="Times New Roman" w:cs="Times New Roman"/>
                <w:b w:val="0"/>
                <w:bCs w:val="0"/>
                <w:noProof/>
                <w:webHidden/>
                <w:sz w:val="24"/>
                <w:szCs w:val="24"/>
              </w:rPr>
              <w:fldChar w:fldCharType="end"/>
            </w:r>
          </w:hyperlink>
        </w:p>
        <w:p w14:paraId="6932943D" w14:textId="6A3CBE8B" w:rsidR="005056B8" w:rsidRPr="005056B8" w:rsidRDefault="005056B8">
          <w:pPr>
            <w:rPr>
              <w:rFonts w:ascii="Times New Roman" w:hAnsi="Times New Roman" w:cs="Times New Roman"/>
              <w:sz w:val="24"/>
              <w:szCs w:val="24"/>
            </w:rPr>
          </w:pPr>
          <w:r>
            <w:rPr>
              <w:rFonts w:ascii="Times New Roman" w:hAnsi="Times New Roman" w:cs="Times New Roman"/>
              <w:noProof/>
              <w:sz w:val="24"/>
              <w:szCs w:val="24"/>
            </w:rPr>
            <w:fldChar w:fldCharType="end"/>
          </w:r>
        </w:p>
      </w:sdtContent>
    </w:sdt>
    <w:p w14:paraId="5817CF0D" w14:textId="77777777" w:rsidR="00207AB6" w:rsidRPr="005056B8" w:rsidRDefault="00000000">
      <w:pPr>
        <w:rPr>
          <w:rFonts w:ascii="Times New Roman" w:hAnsi="Times New Roman" w:cs="Times New Roman"/>
          <w:sz w:val="24"/>
          <w:szCs w:val="24"/>
        </w:rPr>
      </w:pPr>
      <w:r>
        <w:rPr>
          <w:rFonts w:ascii="Times New Roman" w:hAnsi="Times New Roman" w:cs="Times New Roman"/>
          <w:sz w:val="24"/>
          <w:szCs w:val="24"/>
        </w:rPr>
        <w:br w:type="page"/>
      </w:r>
    </w:p>
    <w:p w14:paraId="246F0BC7" w14:textId="77777777" w:rsidR="00207AB6" w:rsidRDefault="00000000">
      <w:pPr>
        <w:pStyle w:val="Heading1"/>
      </w:pPr>
      <w:bookmarkStart w:id="0" w:name="_Toc235663552"/>
      <w:r>
        <w:lastRenderedPageBreak/>
        <w:t>1. Introduction</w:t>
      </w:r>
      <w:bookmarkEnd w:id="0"/>
    </w:p>
    <w:p w14:paraId="532393E7" w14:textId="01404EF7" w:rsidR="00207AB6" w:rsidRDefault="00177514">
      <w:pPr>
        <w:spacing w:before="80" w:after="100" w:line="360" w:lineRule="auto"/>
        <w:jc w:val="both"/>
      </w:pPr>
      <w:r>
        <w:t xml:space="preserve">Two complementary principles, person-centred care (PCC) and partnership working (PW), are increasingly influencing the provision of high-quality health and social care in the United Kingdom. Since the UK population is growing older, with more than 10.5 million individuals aged 65 years (and older) as of now (Office for National Statistics, 2023), the need for services that can consider personal autonomy, dignity, and holistic wellbeing has been exacerbated. </w:t>
      </w:r>
      <w:r w:rsidR="00DF642A">
        <w:t>This</w:t>
      </w:r>
      <w:r w:rsidR="00A20496" w:rsidRPr="00A20496">
        <w:rPr>
          <w:lang w:val="en-GB"/>
        </w:rPr>
        <w:t xml:space="preserve"> report critically examines person centred care by comparing relevant theatrical models with particular focus on </w:t>
      </w:r>
      <w:r w:rsidR="00A20496">
        <w:rPr>
          <w:lang w:val="en-GB"/>
        </w:rPr>
        <w:t>K</w:t>
      </w:r>
      <w:r w:rsidR="00A20496" w:rsidRPr="00A20496">
        <w:rPr>
          <w:lang w:val="en-GB"/>
        </w:rPr>
        <w:t xml:space="preserve">it wood’s </w:t>
      </w:r>
      <w:r w:rsidR="00A20496">
        <w:rPr>
          <w:lang w:val="en-GB"/>
        </w:rPr>
        <w:t>P</w:t>
      </w:r>
      <w:r w:rsidR="00A20496" w:rsidRPr="00A20496">
        <w:rPr>
          <w:lang w:val="en-GB"/>
        </w:rPr>
        <w:t>ersonhood mode</w:t>
      </w:r>
      <w:r w:rsidR="00A20496">
        <w:rPr>
          <w:lang w:val="en-GB"/>
        </w:rPr>
        <w:t>. I</w:t>
      </w:r>
      <w:r w:rsidR="00A20496" w:rsidRPr="00A20496">
        <w:rPr>
          <w:lang w:val="en-GB"/>
        </w:rPr>
        <w:t>t also examines key ethical principles evaluates partnership working in elderly care and discusses relevant policy and legislation before making recommendations for prac</w:t>
      </w:r>
      <w:r w:rsidR="00A20496">
        <w:rPr>
          <w:lang w:val="en-GB"/>
        </w:rPr>
        <w:t>tice.</w:t>
      </w:r>
    </w:p>
    <w:p w14:paraId="16EDF11E" w14:textId="77777777" w:rsidR="00207AB6" w:rsidRDefault="00000000">
      <w:pPr>
        <w:pStyle w:val="Heading1"/>
      </w:pPr>
      <w:bookmarkStart w:id="1" w:name="_Toc235663553"/>
      <w:r>
        <w:t>2. Person-Centred Care: Definition, Benefits and Limitations</w:t>
      </w:r>
      <w:bookmarkEnd w:id="1"/>
    </w:p>
    <w:p w14:paraId="4147CA77" w14:textId="2DC73375" w:rsidR="00207AB6" w:rsidRDefault="00177514">
      <w:pPr>
        <w:spacing w:before="80" w:after="100" w:line="360" w:lineRule="auto"/>
        <w:jc w:val="both"/>
      </w:pPr>
      <w:r>
        <w:t xml:space="preserve">Person-centred care is a philosophy which places the values, preferences, and goals of the individual at the centre of all care decisions (Health Foundation, 2022). The King’s Fund (2020) defines PCC in terms of four principles that include: person-centred, coordinated, enabling, and treating people with dignity. </w:t>
      </w:r>
      <w:r w:rsidR="00A20496" w:rsidRPr="00A20496">
        <w:rPr>
          <w:lang w:val="en-GB"/>
        </w:rPr>
        <w:t>Although these principles are widely accepted there is debate about how they should be interpreted and applied in practi</w:t>
      </w:r>
      <w:r w:rsidR="00A20496">
        <w:rPr>
          <w:lang w:val="en-GB"/>
        </w:rPr>
        <w:t>ce</w:t>
      </w:r>
      <w:r>
        <w:t xml:space="preserve">. As an example, Farre et al. (2022) differentiate three senses of PCC as a philosophy, as a values-based orientation, and PCC as quantifiable practices, noting that </w:t>
      </w:r>
      <w:r w:rsidR="00A20496">
        <w:rPr>
          <w:lang w:val="en-GB"/>
        </w:rPr>
        <w:t>placing</w:t>
      </w:r>
      <w:r w:rsidR="00A20496" w:rsidRPr="00A20496">
        <w:rPr>
          <w:lang w:val="en-GB"/>
        </w:rPr>
        <w:t xml:space="preserve"> too much Emphasis on standardised tools may reduce person-centred care to a tick box exercise instead of a genuine culture of care</w:t>
      </w:r>
      <w:r w:rsidR="00A20496">
        <w:rPr>
          <w:lang w:val="en-GB"/>
        </w:rPr>
        <w:t>.</w:t>
      </w:r>
      <w:r>
        <w:t xml:space="preserve"> </w:t>
      </w:r>
    </w:p>
    <w:p w14:paraId="7A2F0467" w14:textId="133A684D" w:rsidR="00207AB6" w:rsidRDefault="00177514">
      <w:pPr>
        <w:spacing w:before="80" w:after="100" w:line="360" w:lineRule="auto"/>
        <w:jc w:val="both"/>
      </w:pPr>
      <w:r>
        <w:t xml:space="preserve">PCC benefits are thoroughly documented. Scobie et al. (2021) discovered that the PCC approaches enhance patient satisfaction and decrease unnecessary hospital readmissions. Brooker and Latham (2021) demonstrate that psychological wellbeing and depressive symptoms improved significantly and, in elderly care in particular, both improved in a group of residents in care homes receiving person-centred interventions. </w:t>
      </w:r>
    </w:p>
    <w:p w14:paraId="78C8E710" w14:textId="4CC7C1FA" w:rsidR="00207AB6" w:rsidRDefault="00A20496">
      <w:pPr>
        <w:spacing w:before="80" w:after="100" w:line="360" w:lineRule="auto"/>
        <w:jc w:val="both"/>
      </w:pPr>
      <w:r>
        <w:t>E</w:t>
      </w:r>
      <w:r w:rsidR="00177514">
        <w:t xml:space="preserve">vidence-based practice has its limitations. Most of the research is based on self-reported satisfaction, and not on objective clinical outcomes, and it casts doubt on methodological strength (Farre et al., 2022). Moreover, there is still inconsistent implementation in care settings that are under-funded. According to Skills For Care (2022), workforce deficits (more than 165,000 vacant adult social care posts in England alone), have impeded meaningful PCC. Having cognitive impairment, as it is present among the elderly service users, also makes the elicitation of preferences complicated and poses an ethical problem of balancing between autonomy and wellbeing protection (Brooker and Latham, 2021). </w:t>
      </w:r>
    </w:p>
    <w:p w14:paraId="4E55568F" w14:textId="77777777" w:rsidR="00207AB6" w:rsidRDefault="00000000">
      <w:pPr>
        <w:pStyle w:val="Heading1"/>
      </w:pPr>
      <w:bookmarkStart w:id="2" w:name="_Toc235663554"/>
      <w:r>
        <w:t>3. Theoretical Frameworks: Kitwood and McCormack Compared</w:t>
      </w:r>
      <w:bookmarkEnd w:id="2"/>
    </w:p>
    <w:p w14:paraId="3AE68EA1" w14:textId="7BE90800" w:rsidR="00207AB6" w:rsidRDefault="00177514">
      <w:pPr>
        <w:spacing w:before="80" w:after="100" w:line="360" w:lineRule="auto"/>
        <w:jc w:val="both"/>
      </w:pPr>
      <w:r>
        <w:lastRenderedPageBreak/>
        <w:t xml:space="preserve">Two </w:t>
      </w:r>
      <w:r w:rsidR="00A20496">
        <w:t xml:space="preserve">key </w:t>
      </w:r>
      <w:r>
        <w:t xml:space="preserve">theoretical frameworks underpin </w:t>
      </w:r>
      <w:r w:rsidR="00A20496">
        <w:t>person-centred care</w:t>
      </w:r>
      <w:r>
        <w:t xml:space="preserve"> Kitwood's Personhood Model and McCormack and McCance's Person-Centred Nursing (PCN) Framework, and a comparison reveals why Kitwood's model is more applicable in elderly care.</w:t>
      </w:r>
    </w:p>
    <w:p w14:paraId="39FA98CB" w14:textId="4AB4343C" w:rsidR="00207AB6" w:rsidRDefault="00177514">
      <w:pPr>
        <w:spacing w:before="80" w:after="100" w:line="360" w:lineRule="auto"/>
        <w:jc w:val="both"/>
      </w:pPr>
      <w:r>
        <w:t>According to Dewing and McCormack (2017), the definition of personhood introduced by Kitwood (1999) relies on the fact that personhood is relational and a trait granted by society, as well as the argument that identity is preserved, or weakened, due to the condition of interpersonal relationships. Two of his most prominent psychological needs according to his model are comfort, attachment, inclusion, occupation, and identity, with the core facet of love being placed at the centre (Brooker and Latham, 2021). In this framework, Dementia Care Mapping (DCM), a tool of observation, is operationalised and used to assess the quality of care in Dementia through the perspective of the resident. Surr et al. (2020) also identified that the care homes which adopted DCM showed improvement in wellbeing and a decrease in antipsychotic use.</w:t>
      </w:r>
    </w:p>
    <w:p w14:paraId="2F27399B" w14:textId="77777777" w:rsidR="005056B8" w:rsidRDefault="005056B8" w:rsidP="005056B8">
      <w:pPr>
        <w:keepNext/>
        <w:spacing w:before="80" w:after="100" w:line="360" w:lineRule="auto"/>
        <w:jc w:val="both"/>
      </w:pPr>
      <w:r>
        <w:rPr>
          <w:noProof/>
        </w:rPr>
        <w:drawing>
          <wp:inline distT="0" distB="0" distL="0" distR="0" wp14:anchorId="756F9A9D" wp14:editId="0389F010">
            <wp:extent cx="4754880" cy="2495774"/>
            <wp:effectExtent l="0" t="0" r="0" b="0"/>
            <wp:docPr id="3977760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56D7A4E" w14:textId="15938DAB" w:rsidR="005056B8" w:rsidRDefault="005056B8" w:rsidP="005056B8">
      <w:pPr>
        <w:pStyle w:val="Caption"/>
        <w:jc w:val="center"/>
      </w:pPr>
      <w:r>
        <w:t xml:space="preserve">Figure </w:t>
      </w:r>
      <w:fldSimple w:instr=" SEQ Figure \* ARABIC ">
        <w:r>
          <w:rPr>
            <w:noProof/>
          </w:rPr>
          <w:t>1</w:t>
        </w:r>
      </w:fldSimple>
      <w:r>
        <w:t>: Kitwood's Five Psychological Needs of Personhood</w:t>
      </w:r>
    </w:p>
    <w:p w14:paraId="12BF1428" w14:textId="5B7FF077" w:rsidR="00207AB6" w:rsidRDefault="00177514">
      <w:pPr>
        <w:spacing w:before="80" w:after="100" w:line="360" w:lineRule="auto"/>
        <w:jc w:val="both"/>
      </w:pPr>
      <w:r>
        <w:t>The PCN Framework of McCormack and McCance, in turn, is more s</w:t>
      </w:r>
      <w:r w:rsidR="00A20496">
        <w:t>tructured and is based on four main components</w:t>
      </w:r>
      <w:r>
        <w:t>,</w:t>
      </w:r>
      <w:r w:rsidR="00A20496">
        <w:t xml:space="preserve"> </w:t>
      </w:r>
      <w:r>
        <w:t>including prerequisites (practitioner attributes), the care environment, person-centred processes and person-centred outcomes (McCormack and McCance, 2021). Though arguably more comprehensive, the inclusion of organisational culture and leadership, the model was mainly geared towards acute nursing settings, and it does not have the expertise focus on cognitive impairment that would render Kitwood’s model more relevant in the context of geriatric and dementia treatment (Brooker and Latham, 2021).</w:t>
      </w:r>
    </w:p>
    <w:p w14:paraId="4774FFF9" w14:textId="29291DC4" w:rsidR="00207AB6" w:rsidRDefault="00177514">
      <w:pPr>
        <w:spacing w:before="80" w:after="100" w:line="360" w:lineRule="auto"/>
        <w:jc w:val="both"/>
      </w:pPr>
      <w:r>
        <w:t xml:space="preserve">Counter-critically, there are criticisms of the model by Kitwood. Baldwin and Capstretch (2020) believe that the initial framework does not place enough emphasis on structural and systemic factors, like staffing ratios and funding models, that put the presence of person-centred relationships in perspective. </w:t>
      </w:r>
    </w:p>
    <w:p w14:paraId="6E8CCB32" w14:textId="77777777" w:rsidR="00207AB6" w:rsidRDefault="00000000">
      <w:pPr>
        <w:pStyle w:val="Heading1"/>
      </w:pPr>
      <w:bookmarkStart w:id="3" w:name="_Toc235663555"/>
      <w:r>
        <w:lastRenderedPageBreak/>
        <w:t>4. Ethical Fundamentals in Health and Social Care</w:t>
      </w:r>
      <w:bookmarkEnd w:id="3"/>
    </w:p>
    <w:p w14:paraId="2A5C31E7" w14:textId="601D2DA1" w:rsidR="00207AB6" w:rsidRDefault="00177514">
      <w:pPr>
        <w:spacing w:before="80" w:after="100" w:line="360" w:lineRule="auto"/>
        <w:jc w:val="both"/>
      </w:pPr>
      <w:r>
        <w:t>The prevailing ethical paradigm in health and social care in the UK is that of Beauchamp and Childress (2019): the four principles of autonomy, beneficence, non-maleficence, and justice. These are enhanced by the values entrenched in laws, such as the Human Rights Act 1998 and Mental Capacity Act 2005. The principle of autonomy (the right of persons to make an informed decision) is the core of PCC yet often conflicts with beneficence (acting in the best interest of the person) in situations where cognitive capacity has declined.</w:t>
      </w:r>
    </w:p>
    <w:p w14:paraId="2DF3449C" w14:textId="683EB39F" w:rsidR="00207AB6" w:rsidRDefault="00177514">
      <w:pPr>
        <w:spacing w:before="80" w:after="100" w:line="360" w:lineRule="auto"/>
        <w:jc w:val="both"/>
      </w:pPr>
      <w:r>
        <w:t xml:space="preserve">The Mental Capacity Act 2005 offers a framework for legal intervention in this tension, causing practitioners to make an assumption of capacity, assist in decision-making, and act in the best interest of those who are incapacitated (Department of Health and Social Care, 2023). </w:t>
      </w:r>
      <w:r w:rsidR="0078214F">
        <w:t xml:space="preserve">However, </w:t>
      </w:r>
      <w:r>
        <w:t>Gillon (2022)</w:t>
      </w:r>
      <w:r w:rsidR="0078214F">
        <w:t xml:space="preserve"> argues that best-interest decisions involve value judgements and may unintentionally bias professional decision making, particularly in elderly care where age related assumptions can influence clinical decisions.</w:t>
      </w:r>
    </w:p>
    <w:p w14:paraId="689BD868" w14:textId="33542D0B" w:rsidR="00207AB6" w:rsidRDefault="00177514">
      <w:pPr>
        <w:spacing w:before="80" w:after="100" w:line="360" w:lineRule="auto"/>
        <w:jc w:val="both"/>
      </w:pPr>
      <w:r>
        <w:t xml:space="preserve">The value of justice requires fair access to care irrespective of age or ethnicity and socioeconomic status. This is further embedded in the Equality Act 2010 but it has been shown that older adults of ethnic minority and those in disadvantaged regions still receive inferior social care (Age UK, 2023). </w:t>
      </w:r>
    </w:p>
    <w:p w14:paraId="3DC9EF6A" w14:textId="77777777" w:rsidR="00207AB6" w:rsidRDefault="00000000">
      <w:pPr>
        <w:pStyle w:val="Heading1"/>
      </w:pPr>
      <w:bookmarkStart w:id="4" w:name="_Toc235663556"/>
      <w:r>
        <w:t>5. Partnership Working: An Evaluation</w:t>
      </w:r>
      <w:bookmarkEnd w:id="4"/>
    </w:p>
    <w:p w14:paraId="06F282FD" w14:textId="42F5B6DB" w:rsidR="00207AB6" w:rsidRDefault="00177514">
      <w:pPr>
        <w:spacing w:before="80" w:after="100" w:line="360" w:lineRule="auto"/>
        <w:jc w:val="both"/>
      </w:pPr>
      <w:r>
        <w:t xml:space="preserve">The idea of partnership working can be broadly defined as the collaborative relationships between the statutory, voluntary, and independent organisations and service users and carers to provide comprehensive, integrated care (Glasby, 2022). </w:t>
      </w:r>
      <w:r w:rsidR="0078214F" w:rsidRPr="0078214F">
        <w:rPr>
          <w:lang w:val="en-GB"/>
        </w:rPr>
        <w:t>The rationale for partnership working is that no single organisation can meet the complex needs of older adults alone</w:t>
      </w:r>
      <w:r w:rsidR="0078214F">
        <w:rPr>
          <w:lang w:val="en-GB"/>
        </w:rPr>
        <w:t>.</w:t>
      </w:r>
      <w:r>
        <w:t xml:space="preserve"> </w:t>
      </w:r>
      <w:proofErr w:type="gramStart"/>
      <w:r w:rsidR="0078214F">
        <w:t>No</w:t>
      </w:r>
      <w:r>
        <w:t xml:space="preserve">  agency</w:t>
      </w:r>
      <w:proofErr w:type="gramEnd"/>
      <w:r>
        <w:t xml:space="preserve"> </w:t>
      </w:r>
      <w:proofErr w:type="gramStart"/>
      <w:r>
        <w:t>is capable of meeting</w:t>
      </w:r>
      <w:proofErr w:type="gramEnd"/>
      <w:r>
        <w:t xml:space="preserve"> the multidimensional needs of complex elderly service users, and fragmented care results in duplication, gaps, and poor outcomes (NHS England, 2022; Health and Care Act 2022).</w:t>
      </w:r>
    </w:p>
    <w:p w14:paraId="2097D058" w14:textId="2A596F08" w:rsidR="00207AB6" w:rsidRDefault="00177514">
      <w:pPr>
        <w:spacing w:before="80" w:after="100" w:line="360" w:lineRule="auto"/>
        <w:jc w:val="both"/>
      </w:pPr>
      <w:r>
        <w:t xml:space="preserve">PW has evidence to support its successful implementation. According to NHS England (2022), ICS pilots have decreased the number of older adults who stay longer in the ED and enhanced discharge planning. Rummery and McAngus (2021) single out shared governance, clear communication guidelines, and mutual trust as the most effective indicators of effective collaboration. </w:t>
      </w:r>
    </w:p>
    <w:p w14:paraId="7B208ECA" w14:textId="79A6BB89" w:rsidR="00207AB6" w:rsidRDefault="0078214F">
      <w:pPr>
        <w:spacing w:before="80" w:after="100" w:line="360" w:lineRule="auto"/>
        <w:jc w:val="both"/>
      </w:pPr>
      <w:r w:rsidRPr="0078214F">
        <w:rPr>
          <w:lang w:val="en-GB"/>
        </w:rPr>
        <w:t>However</w:t>
      </w:r>
      <w:r>
        <w:rPr>
          <w:lang w:val="en-GB"/>
        </w:rPr>
        <w:t>,</w:t>
      </w:r>
      <w:r w:rsidRPr="0078214F">
        <w:rPr>
          <w:lang w:val="en-GB"/>
        </w:rPr>
        <w:t xml:space="preserve"> evidence suggests that partnership working is not always successful outcomes depend on genuine collaboration</w:t>
      </w:r>
      <w:r>
        <w:rPr>
          <w:lang w:val="en-GB"/>
        </w:rPr>
        <w:t>,</w:t>
      </w:r>
      <w:r w:rsidRPr="0078214F">
        <w:rPr>
          <w:lang w:val="en-GB"/>
        </w:rPr>
        <w:t xml:space="preserve"> leadership and adequate resources</w:t>
      </w:r>
      <w:r>
        <w:rPr>
          <w:lang w:val="en-GB"/>
        </w:rPr>
        <w:t>. It</w:t>
      </w:r>
      <w:r w:rsidR="00177514">
        <w:t xml:space="preserve"> has been shown to fail in its attempts to change a situation when the implementation is superficial. Baxter et al. (2018) conducted a systematic review and established that integrated care programs in England yielded mixed outcomes in terms of hospital admissions and quality of life, and their </w:t>
      </w:r>
      <w:r w:rsidR="00177514">
        <w:lastRenderedPageBreak/>
        <w:t xml:space="preserve">success relied on the true commitment of the local community, leaders, and sufficient resources. A barrier that is still present is professional tribalism, in which the research of occupational cultures values intra-professional loyalty over collaboration with other agencies (Glasby, 2022). </w:t>
      </w:r>
    </w:p>
    <w:p w14:paraId="2B12DEE2" w14:textId="77777777" w:rsidR="00207AB6" w:rsidRDefault="00000000">
      <w:pPr>
        <w:spacing w:before="200" w:after="60"/>
        <w:jc w:val="center"/>
      </w:pPr>
      <w:r>
        <w:rPr>
          <w:noProof/>
        </w:rPr>
        <w:drawing>
          <wp:inline distT="0" distB="0" distL="0" distR="0" wp14:anchorId="4A8C6AFE" wp14:editId="5E842E49">
            <wp:extent cx="5962015" cy="2700169"/>
            <wp:effectExtent l="0" t="0" r="0" b="5080"/>
            <wp:docPr id="1779962177" name="Picture 177996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3"/>
                    <a:srcRect b="17966"/>
                    <a:stretch>
                      <a:fillRect/>
                    </a:stretch>
                  </pic:blipFill>
                  <pic:spPr bwMode="auto">
                    <a:xfrm>
                      <a:off x="0" y="0"/>
                      <a:ext cx="6003005" cy="2718733"/>
                    </a:xfrm>
                    <a:prstGeom prst="rect">
                      <a:avLst/>
                    </a:prstGeom>
                    <a:ln>
                      <a:noFill/>
                    </a:ln>
                    <a:extLst>
                      <a:ext uri="{53640926-AAD7-44D8-BBD7-CCE9431645EC}">
                        <a14:shadowObscured xmlns:a14="http://schemas.microsoft.com/office/drawing/2010/main"/>
                      </a:ext>
                    </a:extLst>
                  </pic:spPr>
                </pic:pic>
              </a:graphicData>
            </a:graphic>
          </wp:inline>
        </w:drawing>
      </w:r>
    </w:p>
    <w:p w14:paraId="0DFD558D" w14:textId="5BD30276" w:rsidR="00207AB6" w:rsidRDefault="00000000">
      <w:pPr>
        <w:spacing w:before="60" w:after="160"/>
        <w:jc w:val="center"/>
      </w:pPr>
      <w:r>
        <w:rPr>
          <w:i/>
          <w:iCs/>
          <w:color w:val="444444"/>
          <w:sz w:val="18"/>
          <w:szCs w:val="18"/>
        </w:rPr>
        <w:t>Figure 2: Key Barriers and Enablers of Partnership Working in Elderly Care (Made in Canva)</w:t>
      </w:r>
    </w:p>
    <w:p w14:paraId="4AC7C6B5" w14:textId="77777777" w:rsidR="00207AB6" w:rsidRDefault="00000000">
      <w:pPr>
        <w:pStyle w:val="Heading1"/>
      </w:pPr>
      <w:bookmarkStart w:id="5" w:name="_Toc235663557"/>
      <w:r>
        <w:t>6. Partnership Working in Elderly Care: Case Application</w:t>
      </w:r>
      <w:bookmarkEnd w:id="5"/>
    </w:p>
    <w:p w14:paraId="6D1EE857" w14:textId="4862F5F0" w:rsidR="00207AB6" w:rsidRDefault="00177514">
      <w:pPr>
        <w:spacing w:before="80" w:after="100" w:line="360" w:lineRule="auto"/>
        <w:jc w:val="both"/>
      </w:pPr>
      <w:r>
        <w:t>The Frome Model in Somerset offers an interesting case study in the UK on effective partnership working with the elderly. The model, which was launched in 2013 and was assessed longitudinally, was integrated into primary care by linking GP practices with community voluntary organisations and trained community connectors to tackle the social determinants of health among older adults (Kellezi et al., 2019). There was a 14% decrease in emergency admissions between 2013 and 2017 in Frome as compared to a 29% increase in the broader area of Somerset Clinical Commissioning Group, which is also directly connected with the social-professional partnership infrastructure (Kellezi et al., 2019).</w:t>
      </w:r>
    </w:p>
    <w:p w14:paraId="55C44299" w14:textId="73AAEFC9" w:rsidR="00207AB6" w:rsidRDefault="00177514">
      <w:pPr>
        <w:spacing w:before="80" w:after="100" w:line="360" w:lineRule="auto"/>
        <w:jc w:val="both"/>
      </w:pPr>
      <w:r>
        <w:t>The Frome Model</w:t>
      </w:r>
      <w:r w:rsidR="0078214F">
        <w:t xml:space="preserve"> </w:t>
      </w:r>
      <w:r w:rsidR="0078214F" w:rsidRPr="0078214F">
        <w:rPr>
          <w:lang w:val="en-GB"/>
        </w:rPr>
        <w:t xml:space="preserve">demonstrates how </w:t>
      </w:r>
      <w:r w:rsidR="0088318D" w:rsidRPr="0078214F">
        <w:rPr>
          <w:lang w:val="en-GB"/>
        </w:rPr>
        <w:t>person-centred</w:t>
      </w:r>
      <w:r w:rsidR="0078214F" w:rsidRPr="0078214F">
        <w:rPr>
          <w:lang w:val="en-GB"/>
        </w:rPr>
        <w:t xml:space="preserve"> care and partnership working can be successfully integrated</w:t>
      </w:r>
      <w:r>
        <w:t xml:space="preserve">. People are linked to services on the basis of their personal aspirations and not diagnostic status, and care is between professional and community lines. </w:t>
      </w:r>
    </w:p>
    <w:p w14:paraId="3FF9A399" w14:textId="77777777" w:rsidR="00207AB6" w:rsidRDefault="00000000">
      <w:pPr>
        <w:pStyle w:val="Heading1"/>
      </w:pPr>
      <w:bookmarkStart w:id="6" w:name="_Toc235663558"/>
      <w:r>
        <w:t>7. Policy and Legislation</w:t>
      </w:r>
      <w:bookmarkEnd w:id="6"/>
    </w:p>
    <w:p w14:paraId="6705F37B" w14:textId="63E0B4DE" w:rsidR="00207AB6" w:rsidRDefault="0088318D">
      <w:pPr>
        <w:spacing w:before="80" w:after="100" w:line="360" w:lineRule="auto"/>
        <w:jc w:val="both"/>
      </w:pPr>
      <w:r w:rsidRPr="0088318D">
        <w:rPr>
          <w:lang w:val="en-GB"/>
        </w:rPr>
        <w:t>The UK legal framework provides a strong foundation for person-centred care and partnership working</w:t>
      </w:r>
      <w:r>
        <w:rPr>
          <w:lang w:val="en-GB"/>
        </w:rPr>
        <w:t>,</w:t>
      </w:r>
      <w:r w:rsidRPr="0088318D">
        <w:rPr>
          <w:lang w:val="en-GB"/>
        </w:rPr>
        <w:t xml:space="preserve"> although some gaps remain</w:t>
      </w:r>
      <w:r w:rsidR="005056B8">
        <w:t xml:space="preserve">. The Care Act 2014 is foundational, establishing a statutory duty to promote individual wellbeing across physical, mental, social, and economic dimensions, and requiring meaningful involvement in care planning (Department of Health and Social Care, 2023). </w:t>
      </w:r>
    </w:p>
    <w:p w14:paraId="6A5A99C9" w14:textId="6FAD5D4F" w:rsidR="00207AB6" w:rsidRDefault="005056B8">
      <w:pPr>
        <w:spacing w:before="80" w:after="100" w:line="360" w:lineRule="auto"/>
        <w:jc w:val="both"/>
      </w:pPr>
      <w:r>
        <w:lastRenderedPageBreak/>
        <w:t>Health and Care Act 2022 is the most structurally radical legislative change, as it requires ICS in the whole of England and requires NHS institutions and local authorities to cooperate using joint forward plans and shared population health strategies (NHS England, 2022). Although this is a very welcome statutory change, critics observe that legislation on its own does not overcome the cultural and financial barriers on the way to genuine partnership (Glasby, 2022). The Mental Capacity Act 2005, Human Rights Act 1998, and Equality Act 2010 further reinforce the ethical and legal basis for autonomy, dignity, and non-discriminatory care.</w:t>
      </w:r>
    </w:p>
    <w:p w14:paraId="30CAA7A3" w14:textId="77777777" w:rsidR="00207AB6" w:rsidRDefault="00000000">
      <w:pPr>
        <w:pStyle w:val="Heading1"/>
      </w:pPr>
      <w:bookmarkStart w:id="7" w:name="_Toc235663559"/>
      <w:r>
        <w:t>8. Recommendations for Future Development</w:t>
      </w:r>
      <w:bookmarkEnd w:id="7"/>
    </w:p>
    <w:p w14:paraId="698DD61A" w14:textId="3EA3B583" w:rsidR="00207AB6" w:rsidRDefault="005056B8">
      <w:pPr>
        <w:spacing w:before="80" w:after="100" w:line="360" w:lineRule="auto"/>
        <w:jc w:val="both"/>
      </w:pPr>
      <w:r>
        <w:t>Four evidence-based recommendations are proposed.</w:t>
      </w:r>
    </w:p>
    <w:p w14:paraId="015BA500" w14:textId="546123F4" w:rsidR="00207AB6" w:rsidRDefault="0088318D">
      <w:pPr>
        <w:spacing w:before="80" w:after="100" w:line="360" w:lineRule="auto"/>
        <w:jc w:val="both"/>
      </w:pPr>
      <w:r>
        <w:rPr>
          <w:lang w:val="en-GB"/>
        </w:rPr>
        <w:t>First</w:t>
      </w:r>
      <w:r w:rsidRPr="0088318D">
        <w:rPr>
          <w:lang w:val="en-GB"/>
        </w:rPr>
        <w:t xml:space="preserve"> a national </w:t>
      </w:r>
      <w:proofErr w:type="gramStart"/>
      <w:r w:rsidRPr="0088318D">
        <w:rPr>
          <w:lang w:val="en-GB"/>
        </w:rPr>
        <w:t>person centred</w:t>
      </w:r>
      <w:proofErr w:type="gramEnd"/>
      <w:r w:rsidRPr="0088318D">
        <w:rPr>
          <w:lang w:val="en-GB"/>
        </w:rPr>
        <w:t xml:space="preserve"> care training programme should be introduced for all registered care providers</w:t>
      </w:r>
      <w:r>
        <w:rPr>
          <w:lang w:val="en-GB"/>
        </w:rPr>
        <w:t xml:space="preserve">, </w:t>
      </w:r>
      <w:r w:rsidR="005056B8">
        <w:t xml:space="preserve">that must be compulsory among all registered care providers in line with the postulates of personhood as argued by Kitwood, which needs an update to include the systemic factors as envisaged by McCormack. Care Skills (2022) has found that in the sector, severe training inconsistency exists. This would necessitate CQC integration of its inspections and its funding in the centre, but the possibility of decreasing antipsychotic prescriptions and improving resident wellbeing shown by Surr et al. (2020) is worth the effort. </w:t>
      </w:r>
    </w:p>
    <w:p w14:paraId="33D5A6A6" w14:textId="59F9C4D3" w:rsidR="00207AB6" w:rsidRDefault="005056B8">
      <w:pPr>
        <w:spacing w:before="80" w:after="100" w:line="360" w:lineRule="auto"/>
        <w:jc w:val="both"/>
      </w:pPr>
      <w:r>
        <w:t>Second, unpaid carers can and must be put into the formal system of MDTs and care planning. According to Age UK (2023), there are 5.7 million individuals in England who take care of older relatives unpaid; lacking access to partnerships with a professional is a serious resource gap. It could be implemented using the experience of the Frome Model, although it would need safeguarded engagement time with the carers during MDT sessions and availability of digital means of communication. The possible weakness is that the carers who belong to the marginalised groups are likely to experience other barriers such as language, employment and access to digital technology, which they need special care for.</w:t>
      </w:r>
    </w:p>
    <w:p w14:paraId="26670A3F" w14:textId="11140129" w:rsidR="00207AB6" w:rsidRDefault="005056B8">
      <w:pPr>
        <w:spacing w:before="80" w:after="100" w:line="360" w:lineRule="auto"/>
        <w:jc w:val="both"/>
      </w:pPr>
      <w:r>
        <w:t xml:space="preserve">Third, all ICS should have outcome-focused monitoring with standardised metrics of elderly care quality, namely the scores of PCC satisfaction, hospital readmission rates and carer wellbeing. NHS England (2022) is yet to have consistent reporting across ICS, reducing accountability. </w:t>
      </w:r>
    </w:p>
    <w:p w14:paraId="5A00CCFE" w14:textId="683F9A22" w:rsidR="00207AB6" w:rsidRDefault="005056B8">
      <w:pPr>
        <w:spacing w:before="80" w:after="100" w:line="360" w:lineRule="auto"/>
        <w:jc w:val="both"/>
      </w:pPr>
      <w:r>
        <w:t>Fourth, justice with respect to fair access to PCC needs to be considered as an imperative of justice. It is continually evidenced by Age UK (2023) that lower-quality social care is provided to older adults who are ethnic minorities and those in deprived areas. NHS England and local authorities must commission culturally adapted care planning and multilingual carer support, backed by the Equality Act 2010.</w:t>
      </w:r>
    </w:p>
    <w:p w14:paraId="6BC51402" w14:textId="77777777" w:rsidR="00207AB6" w:rsidRDefault="00000000">
      <w:pPr>
        <w:pStyle w:val="Heading1"/>
      </w:pPr>
      <w:bookmarkStart w:id="8" w:name="_Toc235663560"/>
      <w:r>
        <w:t>9. Conclusion</w:t>
      </w:r>
      <w:bookmarkEnd w:id="8"/>
    </w:p>
    <w:p w14:paraId="029D9042" w14:textId="6E289561" w:rsidR="00207AB6" w:rsidRDefault="005056B8">
      <w:pPr>
        <w:spacing w:before="80" w:after="100" w:line="360" w:lineRule="auto"/>
        <w:jc w:val="both"/>
      </w:pPr>
      <w:r>
        <w:lastRenderedPageBreak/>
        <w:t xml:space="preserve">The report has critically assessed the concept of person-centred care and partnership in working within UK elderly care and suggested that because they can be successfully implemented by structural reform (though not necessarily by structural reform) they must be implemented. The Personhood Model by Kitwood offers a solid relational and ethical framework upon which PCC can be based, but it has drawbacks concerning systemic issues that should be recognised and mitigated with the help of legislative tools, including the Care Act 2014. </w:t>
      </w:r>
      <w:r w:rsidR="0088318D" w:rsidRPr="0088318D">
        <w:rPr>
          <w:lang w:val="en-GB"/>
        </w:rPr>
        <w:t>Partnership working is supported by the health and Care Act 2022</w:t>
      </w:r>
      <w:r w:rsidR="0088318D">
        <w:rPr>
          <w:lang w:val="en-GB"/>
        </w:rPr>
        <w:t xml:space="preserve">, </w:t>
      </w:r>
      <w:r>
        <w:t>it is not equally effective, and the advantages arise based on joint governance, cultural resonance, and long-term funding. The Frome Model shows what could be done under such circumstances but at the same time warns against blind imitation. Recommendations are grounded in evidence and acknowledge their implementation challenges, recognising that delivering equitable, dignified, and sustainable care to older adults in the UK requires both the right structures and the political will and financial commitment to realise them.</w:t>
      </w:r>
    </w:p>
    <w:p w14:paraId="71B3ED4B" w14:textId="77777777" w:rsidR="00207AB6" w:rsidRDefault="00000000">
      <w:r>
        <w:br w:type="page"/>
      </w:r>
    </w:p>
    <w:p w14:paraId="1EA354BB" w14:textId="77777777" w:rsidR="00207AB6" w:rsidRDefault="00000000">
      <w:pPr>
        <w:pStyle w:val="Heading1"/>
      </w:pPr>
      <w:bookmarkStart w:id="9" w:name="_Toc235663561"/>
      <w:r>
        <w:lastRenderedPageBreak/>
        <w:t>10. References</w:t>
      </w:r>
      <w:bookmarkEnd w:id="9"/>
    </w:p>
    <w:p w14:paraId="7AF64559" w14:textId="544B200D" w:rsidR="00207AB6" w:rsidRDefault="00000000">
      <w:pPr>
        <w:spacing w:before="80" w:after="100" w:line="360" w:lineRule="auto"/>
        <w:jc w:val="both"/>
      </w:pPr>
      <w:r>
        <w:t xml:space="preserve">Age UK (2023) Later Life in the United Kingdom 2023. London: Age UK. Available at: </w:t>
      </w:r>
      <w:hyperlink r:id="rId14" w:history="1">
        <w:r w:rsidR="00207AB6">
          <w:rPr>
            <w:rStyle w:val="Hyperlink"/>
          </w:rPr>
          <w:t>https://www.ageuk.org.uk/globalassets/age-uk/documents/reports-and-publications/reports-and-briefings/statistics/later_life_uk_factsheet.pdf</w:t>
        </w:r>
      </w:hyperlink>
      <w:r>
        <w:t xml:space="preserve"> (Accessed: 10 July 2026).</w:t>
      </w:r>
    </w:p>
    <w:p w14:paraId="54CF691B" w14:textId="77777777" w:rsidR="00207AB6" w:rsidRDefault="00000000">
      <w:pPr>
        <w:spacing w:before="80" w:after="100" w:line="360" w:lineRule="auto"/>
        <w:jc w:val="both"/>
      </w:pPr>
      <w:r>
        <w:t>Baldwin, C. and Capstick, A. (2020) Tom Kitwood on Dementia: A Reader and Critical Commentary. Maidenhead: Open University Press.</w:t>
      </w:r>
    </w:p>
    <w:p w14:paraId="340021BA" w14:textId="513261B4" w:rsidR="00207AB6" w:rsidRDefault="00000000">
      <w:pPr>
        <w:spacing w:before="80" w:after="100" w:line="360" w:lineRule="auto"/>
        <w:jc w:val="both"/>
      </w:pPr>
      <w:r>
        <w:t xml:space="preserve">Baxter, S., Johnson, M., Chambers, D., Sutton, A., Goyder, E. and Booth, A. (2018) 'The effects of integrated care: a systematic review of UK and international evidence', BMC Health Services Research, 18(1), p. 350. Available at: </w:t>
      </w:r>
      <w:hyperlink r:id="rId15" w:history="1">
        <w:r w:rsidR="00207AB6">
          <w:rPr>
            <w:rStyle w:val="Hyperlink"/>
          </w:rPr>
          <w:t>https://doi.org/10.1186/s12913-018-3161-3</w:t>
        </w:r>
      </w:hyperlink>
      <w:r>
        <w:t xml:space="preserve">  (Accessed: 10 July 2026).</w:t>
      </w:r>
    </w:p>
    <w:p w14:paraId="041AAC26" w14:textId="77777777" w:rsidR="00207AB6" w:rsidRDefault="00000000">
      <w:pPr>
        <w:spacing w:before="80" w:after="100" w:line="360" w:lineRule="auto"/>
        <w:jc w:val="both"/>
      </w:pPr>
      <w:r>
        <w:t>Beauchamp, T.L. and Childress, J.F. (2019) Principles of Biomedical Ethics. 8th edn. Oxford: Oxford University Press.</w:t>
      </w:r>
    </w:p>
    <w:p w14:paraId="0E4ADD8A" w14:textId="77777777" w:rsidR="00207AB6" w:rsidRDefault="00000000">
      <w:pPr>
        <w:spacing w:before="80" w:after="100" w:line="360" w:lineRule="auto"/>
        <w:jc w:val="both"/>
      </w:pPr>
      <w:r>
        <w:t>Brooker, D. and Latham, I. (2021) Person-Centred Dementia Care: Making Services Better with the VIPS Framework. 2nd edn. London: Jessica Kingsley Publishers.</w:t>
      </w:r>
    </w:p>
    <w:p w14:paraId="69219F4B" w14:textId="3909BADE" w:rsidR="00207AB6" w:rsidRDefault="00000000">
      <w:pPr>
        <w:spacing w:before="80" w:after="100" w:line="360" w:lineRule="auto"/>
        <w:jc w:val="both"/>
      </w:pPr>
      <w:r>
        <w:t xml:space="preserve">Comas-Herrera, A., Zalakaín, J., Lemmon, E., Henderson, D., Litwin, C., Hsu, A.T., Schmidt, A.E., Arling, G., Kruse, F. and Fernández, J.L. (2021) 'Mortality associated with COVID-19 in care homes: international evidence', LTCcovid.org. Available at: </w:t>
      </w:r>
      <w:hyperlink r:id="rId16" w:history="1">
        <w:r w:rsidR="00207AB6">
          <w:rPr>
            <w:rStyle w:val="Hyperlink"/>
          </w:rPr>
          <w:t>https://ltccovid.org/wp-content/uploads/2021/02/LTC-Covid-19-international-report_January-2021.pdf</w:t>
        </w:r>
      </w:hyperlink>
      <w:r>
        <w:t xml:space="preserve"> (Accessed: 10 July 2026).</w:t>
      </w:r>
    </w:p>
    <w:p w14:paraId="49E8E7DF" w14:textId="6230EC18" w:rsidR="00207AB6" w:rsidRDefault="00000000">
      <w:pPr>
        <w:spacing w:before="80" w:after="100" w:line="360" w:lineRule="auto"/>
        <w:jc w:val="both"/>
      </w:pPr>
      <w:r>
        <w:t xml:space="preserve">Department of Health and Social Care (2023) Care and Support Statutory Guidance. London: DHSC. Available at: </w:t>
      </w:r>
      <w:hyperlink r:id="rId17" w:history="1">
        <w:r w:rsidR="00207AB6">
          <w:rPr>
            <w:rStyle w:val="Hyperlink"/>
          </w:rPr>
          <w:t>https://www.gov.uk/government/publications/care-act-statutory-guidance/care-and-support-statutory-guidance</w:t>
        </w:r>
      </w:hyperlink>
      <w:r>
        <w:t xml:space="preserve"> (Accessed: 10 July 2026).</w:t>
      </w:r>
    </w:p>
    <w:p w14:paraId="071437DF" w14:textId="5A82B997" w:rsidR="00207AB6" w:rsidRDefault="00000000">
      <w:pPr>
        <w:spacing w:before="80" w:after="100" w:line="360" w:lineRule="auto"/>
        <w:jc w:val="both"/>
      </w:pPr>
      <w:r>
        <w:t xml:space="preserve">Dewing, J. and McCormack, B. (2017) 'Tell me, how do you define person-centredness?', Journal of Clinical Nursing, 26(17–18), pp. 2509–2510. Available at: </w:t>
      </w:r>
      <w:hyperlink r:id="rId18" w:history="1">
        <w:r w:rsidR="00207AB6">
          <w:rPr>
            <w:rStyle w:val="Hyperlink"/>
          </w:rPr>
          <w:t>https://doi.org/10.1111/jocn.13681</w:t>
        </w:r>
      </w:hyperlink>
      <w:r>
        <w:t xml:space="preserve"> (Accessed: 10 July 2026).</w:t>
      </w:r>
    </w:p>
    <w:p w14:paraId="2DB02208" w14:textId="10350C04" w:rsidR="00207AB6" w:rsidRDefault="00000000">
      <w:pPr>
        <w:spacing w:before="80" w:after="100" w:line="360" w:lineRule="auto"/>
        <w:jc w:val="both"/>
      </w:pPr>
      <w:r>
        <w:t xml:space="preserve">Equality Act 2010. Available at: </w:t>
      </w:r>
      <w:hyperlink r:id="rId19" w:history="1">
        <w:r w:rsidR="00207AB6">
          <w:rPr>
            <w:rStyle w:val="Hyperlink"/>
          </w:rPr>
          <w:t>https://www.legislation.gov.uk/ukpga/2010/15/contents</w:t>
        </w:r>
      </w:hyperlink>
      <w:r>
        <w:t xml:space="preserve">  (Accessed: 10 July 2026).</w:t>
      </w:r>
    </w:p>
    <w:p w14:paraId="59165356" w14:textId="08F0D0C5" w:rsidR="00207AB6" w:rsidRDefault="00000000">
      <w:pPr>
        <w:spacing w:before="80" w:after="100" w:line="360" w:lineRule="auto"/>
        <w:jc w:val="both"/>
      </w:pPr>
      <w:r>
        <w:t xml:space="preserve">Farre, A., Heath, G., Shaw, K., Jordan, T. and Cummins, C. (2022) 'Challenges in the implementation of person-centred care in a hospital paediatric setting: a qualitative study', Health Expectations, 25(1), pp. 114–125. Available at: </w:t>
      </w:r>
      <w:hyperlink r:id="rId20" w:history="1">
        <w:r w:rsidR="00207AB6">
          <w:rPr>
            <w:rStyle w:val="Hyperlink"/>
          </w:rPr>
          <w:t>https://doi.org/10.1111/hex.13354</w:t>
        </w:r>
      </w:hyperlink>
      <w:r>
        <w:t xml:space="preserve">  (Accessed: 10 July 2026).</w:t>
      </w:r>
    </w:p>
    <w:p w14:paraId="4888008E" w14:textId="75B13365" w:rsidR="00207AB6" w:rsidRDefault="00000000">
      <w:pPr>
        <w:spacing w:before="80" w:after="100" w:line="360" w:lineRule="auto"/>
        <w:jc w:val="both"/>
      </w:pPr>
      <w:r>
        <w:t xml:space="preserve">Gillon, R. (2022) 'Defending the four principles approach as a good basis for good medical practice and therefore for good medical ethics', Journal of Medical Ethics, 48(2), pp. 96–101. Available at: </w:t>
      </w:r>
      <w:hyperlink r:id="rId21" w:history="1">
        <w:r w:rsidR="00207AB6">
          <w:rPr>
            <w:rStyle w:val="Hyperlink"/>
          </w:rPr>
          <w:t>https://doi.org/10.1136/medethics-2021-107973</w:t>
        </w:r>
      </w:hyperlink>
      <w:r>
        <w:t xml:space="preserve"> (Accessed: 10 July 2026).</w:t>
      </w:r>
    </w:p>
    <w:p w14:paraId="248A1A29" w14:textId="77777777" w:rsidR="00207AB6" w:rsidRDefault="00000000">
      <w:pPr>
        <w:spacing w:before="80" w:after="100" w:line="360" w:lineRule="auto"/>
        <w:jc w:val="both"/>
      </w:pPr>
      <w:r>
        <w:lastRenderedPageBreak/>
        <w:t>Glasby, J. (2022) Partnership Working in Health and Social Care: What is Integrated Care and How Can We Deliver It? 3rd edn. Bristol: Policy Press.</w:t>
      </w:r>
    </w:p>
    <w:p w14:paraId="611A50D0" w14:textId="44C48FA8" w:rsidR="00207AB6" w:rsidRDefault="00000000">
      <w:pPr>
        <w:spacing w:before="80" w:after="100" w:line="360" w:lineRule="auto"/>
        <w:jc w:val="both"/>
      </w:pPr>
      <w:r>
        <w:t xml:space="preserve">Health Foundation (2022) Person-Centred Care Made Simple. London: Health Foundation. Available at: </w:t>
      </w:r>
      <w:hyperlink r:id="rId22" w:history="1">
        <w:r w:rsidR="00207AB6">
          <w:rPr>
            <w:rStyle w:val="Hyperlink"/>
          </w:rPr>
          <w:t>https://www.health.org.uk/publications/person-centred-care-made-simple</w:t>
        </w:r>
      </w:hyperlink>
      <w:r>
        <w:t xml:space="preserve">  (Accessed: 10 July 2026).</w:t>
      </w:r>
    </w:p>
    <w:p w14:paraId="499B2510" w14:textId="142F14A9" w:rsidR="00207AB6" w:rsidRDefault="00000000">
      <w:pPr>
        <w:spacing w:before="80" w:after="100" w:line="360" w:lineRule="auto"/>
        <w:jc w:val="both"/>
      </w:pPr>
      <w:r>
        <w:t xml:space="preserve">Kellezi, B., Wakefield, J.R.H., Stevenson, C., McNamara, N., Mair, E., Bowe, M., Wilson, I. and Halder, M.M. (2019) 'The social cure of social prescribing: a mixed-methods study on the benefits of social connectedness on quality and effectiveness of care provision', BMJ Open, 9(11), e033137. Available at: </w:t>
      </w:r>
      <w:hyperlink r:id="rId23" w:history="1">
        <w:r w:rsidR="00207AB6">
          <w:rPr>
            <w:rStyle w:val="Hyperlink"/>
          </w:rPr>
          <w:t>https://doi.org/10.1136/bmjopen-2019-033137</w:t>
        </w:r>
      </w:hyperlink>
      <w:r>
        <w:t xml:space="preserve"> (Accessed: 10 July 2026).</w:t>
      </w:r>
    </w:p>
    <w:p w14:paraId="5FE9A70F" w14:textId="3FB10CE0" w:rsidR="00207AB6" w:rsidRDefault="00000000">
      <w:pPr>
        <w:spacing w:before="80" w:after="100" w:line="360" w:lineRule="auto"/>
        <w:jc w:val="both"/>
      </w:pPr>
      <w:r>
        <w:t xml:space="preserve">King's Fund (2020) What is Person-Centred Care? London: King's Fund. Available at: </w:t>
      </w:r>
      <w:hyperlink r:id="rId24" w:history="1">
        <w:r w:rsidR="00207AB6">
          <w:rPr>
            <w:rStyle w:val="Hyperlink"/>
          </w:rPr>
          <w:t>https://www.kingsfund.org.uk/publications/person-centred-care</w:t>
        </w:r>
      </w:hyperlink>
      <w:r>
        <w:t xml:space="preserve"> (Accessed: 10 July 2026).</w:t>
      </w:r>
    </w:p>
    <w:p w14:paraId="21BAD8E5" w14:textId="77777777" w:rsidR="00207AB6" w:rsidRDefault="00000000">
      <w:pPr>
        <w:spacing w:before="80" w:after="100" w:line="360" w:lineRule="auto"/>
        <w:jc w:val="both"/>
      </w:pPr>
      <w:r>
        <w:t>McCormack, B. and McCance, T. (2021) Person-Centred Practice in Nursing and Health Care: Theory and Practice. 2nd edn. Oxford: Wiley-Blackwell.</w:t>
      </w:r>
    </w:p>
    <w:p w14:paraId="181F98FE" w14:textId="3AEC7F3C" w:rsidR="00207AB6" w:rsidRDefault="00000000">
      <w:pPr>
        <w:spacing w:before="80" w:after="100" w:line="360" w:lineRule="auto"/>
        <w:jc w:val="both"/>
      </w:pPr>
      <w:r>
        <w:t xml:space="preserve">Mental Capacity Act 2005. Available at: </w:t>
      </w:r>
      <w:hyperlink r:id="rId25" w:history="1">
        <w:r w:rsidR="00207AB6">
          <w:rPr>
            <w:rStyle w:val="Hyperlink"/>
          </w:rPr>
          <w:t>https://www.legislation.gov.uk/ukpga/2005/9/contents</w:t>
        </w:r>
      </w:hyperlink>
      <w:r>
        <w:t xml:space="preserve">  (Accessed: 10 July 2026).</w:t>
      </w:r>
    </w:p>
    <w:p w14:paraId="0F3D0CE9" w14:textId="5B72087D" w:rsidR="00207AB6" w:rsidRDefault="00000000">
      <w:pPr>
        <w:spacing w:before="80" w:after="100" w:line="360" w:lineRule="auto"/>
        <w:jc w:val="both"/>
      </w:pPr>
      <w:r>
        <w:t xml:space="preserve">National Institute for Health and Care Excellence (2021) Shared Decision Making. NICE Guideline NG197. London: NICE. Available at: </w:t>
      </w:r>
      <w:hyperlink r:id="rId26" w:history="1">
        <w:r w:rsidR="00207AB6">
          <w:rPr>
            <w:rStyle w:val="Hyperlink"/>
          </w:rPr>
          <w:t>https://www.nice.org.uk/guidance/ng197</w:t>
        </w:r>
      </w:hyperlink>
      <w:r>
        <w:t xml:space="preserve">  (Accessed: 10 July 2026).</w:t>
      </w:r>
    </w:p>
    <w:p w14:paraId="342508CF" w14:textId="3FD04C32" w:rsidR="00207AB6" w:rsidRDefault="00000000">
      <w:pPr>
        <w:spacing w:before="80" w:after="100" w:line="360" w:lineRule="auto"/>
        <w:jc w:val="both"/>
      </w:pPr>
      <w:r>
        <w:t xml:space="preserve">NHS England (2019) The NHS Long Term Plan. London: NHS England. Available at: </w:t>
      </w:r>
      <w:hyperlink r:id="rId27" w:history="1">
        <w:r w:rsidR="00207AB6">
          <w:rPr>
            <w:rStyle w:val="Hyperlink"/>
          </w:rPr>
          <w:t>https://www.longtermplan.nhs.uk/</w:t>
        </w:r>
      </w:hyperlink>
      <w:r>
        <w:t xml:space="preserve"> (Accessed: 10 July 2026).</w:t>
      </w:r>
    </w:p>
    <w:p w14:paraId="0BCFAF97" w14:textId="36E4FA82" w:rsidR="00207AB6" w:rsidRDefault="00000000">
      <w:pPr>
        <w:spacing w:before="80" w:after="100" w:line="360" w:lineRule="auto"/>
        <w:jc w:val="both"/>
      </w:pPr>
      <w:r>
        <w:t xml:space="preserve">NHS England (2022) Integrated Care Systems: Design Framework. London: NHS England. Available at: </w:t>
      </w:r>
      <w:hyperlink r:id="rId28" w:history="1">
        <w:r w:rsidR="00207AB6">
          <w:rPr>
            <w:rStyle w:val="Hyperlink"/>
          </w:rPr>
          <w:t>https://www.england.nhs.uk/publication/integrated-care-systems-design-framework/</w:t>
        </w:r>
      </w:hyperlink>
      <w:r>
        <w:t xml:space="preserve"> (Accessed: 10 July 2026).</w:t>
      </w:r>
    </w:p>
    <w:p w14:paraId="398FE4C9" w14:textId="34C6D0CA" w:rsidR="00207AB6" w:rsidRDefault="00000000">
      <w:pPr>
        <w:spacing w:before="80" w:after="100" w:line="360" w:lineRule="auto"/>
        <w:jc w:val="both"/>
      </w:pPr>
      <w:r>
        <w:t xml:space="preserve">Office for National Statistics (2023) Overview of the UK Population: 2023. Newport: ONS. Available at: </w:t>
      </w:r>
      <w:hyperlink r:id="rId29" w:history="1">
        <w:r w:rsidR="00207AB6">
          <w:rPr>
            <w:rStyle w:val="Hyperlink"/>
          </w:rPr>
          <w:t>https://www.ons.gov.uk/peoplepopulationandcommunity/populationandmigration/populationestimates/articles/overviewoftheukpopulation/2023</w:t>
        </w:r>
      </w:hyperlink>
      <w:r>
        <w:t xml:space="preserve"> (Accessed: 10 July 2026).</w:t>
      </w:r>
    </w:p>
    <w:p w14:paraId="6048BDF2" w14:textId="3E7C6A9C" w:rsidR="00207AB6" w:rsidRDefault="00000000">
      <w:pPr>
        <w:spacing w:before="80" w:after="100" w:line="360" w:lineRule="auto"/>
        <w:jc w:val="both"/>
      </w:pPr>
      <w:r>
        <w:t xml:space="preserve">Rummery, K. and McAngus, C. (2021) 'Collaborative working in health and social care: challenges and opportunities', Social Policy and Society, 20(4), pp. 626–638. Available at: </w:t>
      </w:r>
      <w:hyperlink r:id="rId30" w:history="1">
        <w:r w:rsidR="00207AB6">
          <w:rPr>
            <w:rStyle w:val="Hyperlink"/>
          </w:rPr>
          <w:t>https://doi.org/10.1017/S1474746421000208</w:t>
        </w:r>
      </w:hyperlink>
      <w:r>
        <w:t xml:space="preserve"> (Accessed: 10 July 2026).</w:t>
      </w:r>
    </w:p>
    <w:p w14:paraId="61ABDF54" w14:textId="1E4FF425" w:rsidR="00207AB6" w:rsidRDefault="00000000">
      <w:pPr>
        <w:spacing w:before="80" w:after="100" w:line="360" w:lineRule="auto"/>
        <w:jc w:val="both"/>
      </w:pPr>
      <w:r>
        <w:t xml:space="preserve">Scobie, S., Whitfield, L. and McQueen, J. (2021) Person-Centred Approaches: Evidence Base and Best Practice. London: Health Foundation. Available at: </w:t>
      </w:r>
      <w:hyperlink r:id="rId31" w:history="1">
        <w:r w:rsidR="00207AB6">
          <w:rPr>
            <w:rStyle w:val="Hyperlink"/>
          </w:rPr>
          <w:t>https://www.health.org.uk/publications/person-centred-approaches</w:t>
        </w:r>
      </w:hyperlink>
      <w:r>
        <w:t xml:space="preserve"> (Accessed: 10 July 2026).</w:t>
      </w:r>
    </w:p>
    <w:p w14:paraId="19A3815E" w14:textId="60627E7D" w:rsidR="00207AB6" w:rsidRDefault="00000000">
      <w:pPr>
        <w:spacing w:before="80" w:after="100" w:line="360" w:lineRule="auto"/>
        <w:jc w:val="both"/>
      </w:pPr>
      <w:r>
        <w:lastRenderedPageBreak/>
        <w:t xml:space="preserve">Skills for Care (2022) The State of the Adult Social Care Sector and Workforce in England. Leeds: Skills for Care. Available at: </w:t>
      </w:r>
      <w:hyperlink r:id="rId32" w:history="1">
        <w:r w:rsidR="00207AB6">
          <w:rPr>
            <w:rStyle w:val="Hyperlink"/>
          </w:rPr>
          <w:t>https://www.skillsforcare.org.uk/Adult-Social-Care-Workforce-Data/Workforce-intelligence/publications/national-information/The-state-of-the-adult-social-care-sector-and-workforce-in-England.aspx</w:t>
        </w:r>
      </w:hyperlink>
      <w:r>
        <w:t xml:space="preserve"> (Accessed: 10 July 2026).</w:t>
      </w:r>
    </w:p>
    <w:p w14:paraId="30A6C38C" w14:textId="2671F6B6" w:rsidR="00207AB6" w:rsidRDefault="00000000">
      <w:pPr>
        <w:spacing w:before="80" w:after="100" w:line="360" w:lineRule="auto"/>
        <w:jc w:val="both"/>
      </w:pPr>
      <w:r>
        <w:t xml:space="preserve">Surr, C.A., Griffiths, A.W. and Kelley, R. (2020) 'Implementing Dementia Care Mapping as a practice development tool in dementia care services: a systematic review', Clinical Interventions in Aging, 15, pp. 147–159. Available at: </w:t>
      </w:r>
      <w:hyperlink r:id="rId33" w:history="1">
        <w:r w:rsidR="00207AB6">
          <w:rPr>
            <w:rStyle w:val="Hyperlink"/>
          </w:rPr>
          <w:t>https://doi.org/10.2147/CIA.S232427</w:t>
        </w:r>
      </w:hyperlink>
      <w:r>
        <w:t xml:space="preserve">  (Accessed: 10 July 2026).</w:t>
      </w:r>
    </w:p>
    <w:sectPr w:rsidR="00207AB6">
      <w:footerReference w:type="even" r:id="rId34"/>
      <w:footerReference w:type="default" r:id="rId35"/>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09CB5" w14:textId="77777777" w:rsidR="0049313A" w:rsidRDefault="0049313A" w:rsidP="005056B8">
      <w:r>
        <w:separator/>
      </w:r>
    </w:p>
  </w:endnote>
  <w:endnote w:type="continuationSeparator" w:id="0">
    <w:p w14:paraId="689469DF" w14:textId="77777777" w:rsidR="0049313A" w:rsidRDefault="0049313A" w:rsidP="005056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42254264"/>
      <w:docPartObj>
        <w:docPartGallery w:val="Page Numbers (Bottom of Page)"/>
        <w:docPartUnique/>
      </w:docPartObj>
    </w:sdtPr>
    <w:sdtContent>
      <w:p w14:paraId="61DFE93A" w14:textId="26B02885" w:rsidR="005056B8" w:rsidRDefault="005056B8" w:rsidP="00B1292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63E3FEF" w14:textId="77777777" w:rsidR="005056B8" w:rsidRDefault="005056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41825875"/>
      <w:docPartObj>
        <w:docPartGallery w:val="Page Numbers (Bottom of Page)"/>
        <w:docPartUnique/>
      </w:docPartObj>
    </w:sdtPr>
    <w:sdtContent>
      <w:p w14:paraId="3F518D9F" w14:textId="4675B025" w:rsidR="005056B8" w:rsidRDefault="005056B8" w:rsidP="00B1292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FD776EC" w14:textId="77777777" w:rsidR="005056B8" w:rsidRDefault="005056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C7F837" w14:textId="77777777" w:rsidR="0049313A" w:rsidRDefault="0049313A" w:rsidP="005056B8">
      <w:r>
        <w:separator/>
      </w:r>
    </w:p>
  </w:footnote>
  <w:footnote w:type="continuationSeparator" w:id="0">
    <w:p w14:paraId="409305E2" w14:textId="77777777" w:rsidR="0049313A" w:rsidRDefault="0049313A" w:rsidP="005056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D05FF8"/>
    <w:multiLevelType w:val="hybridMultilevel"/>
    <w:tmpl w:val="F9A00BC4"/>
    <w:lvl w:ilvl="0" w:tplc="B7B0845C">
      <w:start w:val="1"/>
      <w:numFmt w:val="bullet"/>
      <w:lvlText w:val="●"/>
      <w:lvlJc w:val="left"/>
      <w:pPr>
        <w:ind w:left="720" w:hanging="360"/>
      </w:pPr>
    </w:lvl>
    <w:lvl w:ilvl="1" w:tplc="65829C62">
      <w:start w:val="1"/>
      <w:numFmt w:val="bullet"/>
      <w:lvlText w:val="○"/>
      <w:lvlJc w:val="left"/>
      <w:pPr>
        <w:ind w:left="1440" w:hanging="360"/>
      </w:pPr>
    </w:lvl>
    <w:lvl w:ilvl="2" w:tplc="F44A5C4C">
      <w:start w:val="1"/>
      <w:numFmt w:val="bullet"/>
      <w:lvlText w:val="■"/>
      <w:lvlJc w:val="left"/>
      <w:pPr>
        <w:ind w:left="2160" w:hanging="360"/>
      </w:pPr>
    </w:lvl>
    <w:lvl w:ilvl="3" w:tplc="47FCE91C">
      <w:start w:val="1"/>
      <w:numFmt w:val="bullet"/>
      <w:lvlText w:val="●"/>
      <w:lvlJc w:val="left"/>
      <w:pPr>
        <w:ind w:left="2880" w:hanging="360"/>
      </w:pPr>
    </w:lvl>
    <w:lvl w:ilvl="4" w:tplc="542EF8C2">
      <w:start w:val="1"/>
      <w:numFmt w:val="bullet"/>
      <w:lvlText w:val="○"/>
      <w:lvlJc w:val="left"/>
      <w:pPr>
        <w:ind w:left="3600" w:hanging="360"/>
      </w:pPr>
    </w:lvl>
    <w:lvl w:ilvl="5" w:tplc="F6A4B5D4">
      <w:start w:val="1"/>
      <w:numFmt w:val="bullet"/>
      <w:lvlText w:val="■"/>
      <w:lvlJc w:val="left"/>
      <w:pPr>
        <w:ind w:left="4320" w:hanging="360"/>
      </w:pPr>
    </w:lvl>
    <w:lvl w:ilvl="6" w:tplc="12328686">
      <w:start w:val="1"/>
      <w:numFmt w:val="bullet"/>
      <w:lvlText w:val="●"/>
      <w:lvlJc w:val="left"/>
      <w:pPr>
        <w:ind w:left="5040" w:hanging="360"/>
      </w:pPr>
    </w:lvl>
    <w:lvl w:ilvl="7" w:tplc="5672BB62">
      <w:start w:val="1"/>
      <w:numFmt w:val="bullet"/>
      <w:lvlText w:val="●"/>
      <w:lvlJc w:val="left"/>
      <w:pPr>
        <w:ind w:left="5760" w:hanging="360"/>
      </w:pPr>
    </w:lvl>
    <w:lvl w:ilvl="8" w:tplc="4A528D24">
      <w:start w:val="1"/>
      <w:numFmt w:val="bullet"/>
      <w:lvlText w:val="●"/>
      <w:lvlJc w:val="left"/>
      <w:pPr>
        <w:ind w:left="6480" w:hanging="360"/>
      </w:pPr>
    </w:lvl>
  </w:abstractNum>
  <w:num w:numId="1" w16cid:durableId="195555744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AB6"/>
    <w:rsid w:val="00177514"/>
    <w:rsid w:val="00207AB6"/>
    <w:rsid w:val="002D1608"/>
    <w:rsid w:val="002F55D5"/>
    <w:rsid w:val="003669A1"/>
    <w:rsid w:val="0049313A"/>
    <w:rsid w:val="005056B8"/>
    <w:rsid w:val="00597264"/>
    <w:rsid w:val="0078214F"/>
    <w:rsid w:val="0088318D"/>
    <w:rsid w:val="008E401D"/>
    <w:rsid w:val="00A20496"/>
    <w:rsid w:val="00DF642A"/>
    <w:rsid w:val="00E12284"/>
    <w:rsid w:val="00EA2C6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30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80" w:after="120"/>
      <w:outlineLvl w:val="0"/>
    </w:pPr>
    <w:rPr>
      <w:b/>
      <w:bCs/>
      <w:color w:val="000000"/>
      <w:sz w:val="24"/>
      <w:szCs w:val="24"/>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5056B8"/>
    <w:rPr>
      <w:color w:val="605E5C"/>
      <w:shd w:val="clear" w:color="auto" w:fill="E1DFDD"/>
    </w:rPr>
  </w:style>
  <w:style w:type="paragraph" w:styleId="Caption">
    <w:name w:val="caption"/>
    <w:basedOn w:val="Normal"/>
    <w:next w:val="Normal"/>
    <w:uiPriority w:val="35"/>
    <w:unhideWhenUsed/>
    <w:qFormat/>
    <w:rsid w:val="005056B8"/>
    <w:pPr>
      <w:spacing w:after="200"/>
    </w:pPr>
    <w:rPr>
      <w:i/>
      <w:iCs/>
      <w:color w:val="44546A" w:themeColor="text2"/>
      <w:sz w:val="18"/>
      <w:szCs w:val="18"/>
    </w:rPr>
  </w:style>
  <w:style w:type="paragraph" w:styleId="TOCHeading">
    <w:name w:val="TOC Heading"/>
    <w:basedOn w:val="Heading1"/>
    <w:next w:val="Normal"/>
    <w:uiPriority w:val="39"/>
    <w:unhideWhenUsed/>
    <w:qFormat/>
    <w:rsid w:val="005056B8"/>
    <w:pPr>
      <w:keepNext/>
      <w:keepLines/>
      <w:spacing w:before="480" w:after="0" w:line="276" w:lineRule="auto"/>
      <w:outlineLvl w:val="9"/>
    </w:pPr>
    <w:rPr>
      <w:rFonts w:asciiTheme="majorHAnsi" w:eastAsiaTheme="majorEastAsia" w:hAnsiTheme="majorHAnsi" w:cstheme="majorBidi"/>
      <w:color w:val="2F5496" w:themeColor="accent1" w:themeShade="BF"/>
      <w:sz w:val="28"/>
      <w:szCs w:val="28"/>
      <w:lang w:val="en-US" w:eastAsia="en-US"/>
    </w:rPr>
  </w:style>
  <w:style w:type="paragraph" w:styleId="TOC1">
    <w:name w:val="toc 1"/>
    <w:basedOn w:val="Normal"/>
    <w:next w:val="Normal"/>
    <w:autoRedefine/>
    <w:uiPriority w:val="39"/>
    <w:unhideWhenUsed/>
    <w:rsid w:val="005056B8"/>
    <w:pPr>
      <w:spacing w:before="240" w:after="120"/>
    </w:pPr>
    <w:rPr>
      <w:rFonts w:asciiTheme="minorHAnsi" w:hAnsiTheme="minorHAnsi" w:cstheme="minorHAnsi"/>
      <w:b/>
      <w:bCs/>
      <w:sz w:val="20"/>
      <w:szCs w:val="20"/>
    </w:rPr>
  </w:style>
  <w:style w:type="paragraph" w:styleId="TOC2">
    <w:name w:val="toc 2"/>
    <w:basedOn w:val="Normal"/>
    <w:next w:val="Normal"/>
    <w:autoRedefine/>
    <w:uiPriority w:val="39"/>
    <w:semiHidden/>
    <w:unhideWhenUsed/>
    <w:rsid w:val="005056B8"/>
    <w:pPr>
      <w:spacing w:before="120"/>
      <w:ind w:left="220"/>
    </w:pPr>
    <w:rPr>
      <w:rFonts w:asciiTheme="minorHAnsi" w:hAnsiTheme="minorHAnsi" w:cstheme="minorHAnsi"/>
      <w:i/>
      <w:iCs/>
      <w:sz w:val="20"/>
      <w:szCs w:val="20"/>
    </w:rPr>
  </w:style>
  <w:style w:type="paragraph" w:styleId="TOC3">
    <w:name w:val="toc 3"/>
    <w:basedOn w:val="Normal"/>
    <w:next w:val="Normal"/>
    <w:autoRedefine/>
    <w:uiPriority w:val="39"/>
    <w:semiHidden/>
    <w:unhideWhenUsed/>
    <w:rsid w:val="005056B8"/>
    <w:pPr>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5056B8"/>
    <w:pPr>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056B8"/>
    <w:pPr>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056B8"/>
    <w:pPr>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056B8"/>
    <w:pPr>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056B8"/>
    <w:pPr>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056B8"/>
    <w:pPr>
      <w:ind w:left="1760"/>
    </w:pPr>
    <w:rPr>
      <w:rFonts w:asciiTheme="minorHAnsi" w:hAnsiTheme="minorHAnsi" w:cstheme="minorHAnsi"/>
      <w:sz w:val="20"/>
      <w:szCs w:val="20"/>
    </w:rPr>
  </w:style>
  <w:style w:type="paragraph" w:styleId="Header">
    <w:name w:val="header"/>
    <w:basedOn w:val="Normal"/>
    <w:link w:val="HeaderChar"/>
    <w:uiPriority w:val="99"/>
    <w:unhideWhenUsed/>
    <w:rsid w:val="005056B8"/>
    <w:pPr>
      <w:tabs>
        <w:tab w:val="center" w:pos="4513"/>
        <w:tab w:val="right" w:pos="9026"/>
      </w:tabs>
    </w:pPr>
  </w:style>
  <w:style w:type="character" w:customStyle="1" w:styleId="HeaderChar">
    <w:name w:val="Header Char"/>
    <w:basedOn w:val="DefaultParagraphFont"/>
    <w:link w:val="Header"/>
    <w:uiPriority w:val="99"/>
    <w:rsid w:val="005056B8"/>
  </w:style>
  <w:style w:type="paragraph" w:styleId="Footer">
    <w:name w:val="footer"/>
    <w:basedOn w:val="Normal"/>
    <w:link w:val="FooterChar"/>
    <w:uiPriority w:val="99"/>
    <w:unhideWhenUsed/>
    <w:rsid w:val="005056B8"/>
    <w:pPr>
      <w:tabs>
        <w:tab w:val="center" w:pos="4513"/>
        <w:tab w:val="right" w:pos="9026"/>
      </w:tabs>
    </w:pPr>
  </w:style>
  <w:style w:type="character" w:customStyle="1" w:styleId="FooterChar">
    <w:name w:val="Footer Char"/>
    <w:basedOn w:val="DefaultParagraphFont"/>
    <w:link w:val="Footer"/>
    <w:uiPriority w:val="99"/>
    <w:rsid w:val="005056B8"/>
  </w:style>
  <w:style w:type="character" w:styleId="PageNumber">
    <w:name w:val="page number"/>
    <w:basedOn w:val="DefaultParagraphFont"/>
    <w:uiPriority w:val="99"/>
    <w:semiHidden/>
    <w:unhideWhenUsed/>
    <w:rsid w:val="005056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s://doi.org/10.1111/jocn.13681" TargetMode="External"/><Relationship Id="rId26" Type="http://schemas.openxmlformats.org/officeDocument/2006/relationships/hyperlink" Target="https://www.nice.org.uk/guidance/ng197" TargetMode="External"/><Relationship Id="rId21" Type="http://schemas.openxmlformats.org/officeDocument/2006/relationships/hyperlink" Target="https://doi.org/10.1136/medethics-2021-107973" TargetMode="External"/><Relationship Id="rId34" Type="http://schemas.openxmlformats.org/officeDocument/2006/relationships/footer" Target="footer1.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yperlink" Target="https://www.gov.uk/government/publications/care-act-statutory-guidance/care-and-support-statutory-guidance" TargetMode="External"/><Relationship Id="rId25" Type="http://schemas.openxmlformats.org/officeDocument/2006/relationships/hyperlink" Target="https://www.legislation.gov.uk/ukpga/2005/9/contents" TargetMode="External"/><Relationship Id="rId33" Type="http://schemas.openxmlformats.org/officeDocument/2006/relationships/hyperlink" Target="https://doi.org/10.2147/CIA.S232427" TargetMode="External"/><Relationship Id="rId2" Type="http://schemas.openxmlformats.org/officeDocument/2006/relationships/numbering" Target="numbering.xml"/><Relationship Id="rId16" Type="http://schemas.openxmlformats.org/officeDocument/2006/relationships/hyperlink" Target="https://ltccovid.org/wp-content/uploads/2021/02/LTC-Covid-19-international-report_January-2021.pdf" TargetMode="External"/><Relationship Id="rId20" Type="http://schemas.openxmlformats.org/officeDocument/2006/relationships/hyperlink" Target="https://doi.org/10.1111/hex.13354" TargetMode="External"/><Relationship Id="rId29" Type="http://schemas.openxmlformats.org/officeDocument/2006/relationships/hyperlink" Target="https://www.ons.gov.uk/peoplepopulationandcommunity/populationandmigration/populationestimates/articles/overviewoftheukpopulation/20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s://www.kingsfund.org.uk/publications/person-centred-care" TargetMode="External"/><Relationship Id="rId32" Type="http://schemas.openxmlformats.org/officeDocument/2006/relationships/hyperlink" Target="https://www.skillsforcare.org.uk/Adult-Social-Care-Workforce-Data/Workforce-intelligence/publications/national-information/The-state-of-the-adult-social-care-sector-and-workforce-in-England.aspx"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186/s12913-018-3161-3" TargetMode="External"/><Relationship Id="rId23" Type="http://schemas.openxmlformats.org/officeDocument/2006/relationships/hyperlink" Target="https://doi.org/10.1136/bmjopen-2019-033137" TargetMode="External"/><Relationship Id="rId28" Type="http://schemas.openxmlformats.org/officeDocument/2006/relationships/hyperlink" Target="https://www.england.nhs.uk/publication/integrated-care-systems-design-framework/" TargetMode="External"/><Relationship Id="rId36"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hyperlink" Target="https://www.legislation.gov.uk/ukpga/2010/15/contents" TargetMode="External"/><Relationship Id="rId31" Type="http://schemas.openxmlformats.org/officeDocument/2006/relationships/hyperlink" Target="https://www.health.org.uk/publications/person-centred-approaches"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www.ageuk.org.uk/globalassets/age-uk/documents/reports-and-publications/reports-and-briefings/statistics/later_life_uk_factsheet.pdf" TargetMode="External"/><Relationship Id="rId22" Type="http://schemas.openxmlformats.org/officeDocument/2006/relationships/hyperlink" Target="https://www.health.org.uk/publications/person-centred-care-made-simple" TargetMode="External"/><Relationship Id="rId27" Type="http://schemas.openxmlformats.org/officeDocument/2006/relationships/hyperlink" Target="https://www.longtermplan.nhs.uk/" TargetMode="External"/><Relationship Id="rId30" Type="http://schemas.openxmlformats.org/officeDocument/2006/relationships/hyperlink" Target="https://doi.org/10.1017/S1474746421000208" TargetMode="External"/><Relationship Id="rId35" Type="http://schemas.openxmlformats.org/officeDocument/2006/relationships/footer" Target="footer2.xml"/><Relationship Id="rId8" Type="http://schemas.openxmlformats.org/officeDocument/2006/relationships/diagramData" Target="diagrams/data1.xm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AF66288-1C5B-3D48-9019-83E9782C8CDA}" type="doc">
      <dgm:prSet loTypeId="urn:microsoft.com/office/officeart/2005/8/layout/radial6" loCatId="" qsTypeId="urn:microsoft.com/office/officeart/2005/8/quickstyle/simple1" qsCatId="simple" csTypeId="urn:microsoft.com/office/officeart/2005/8/colors/colorful1" csCatId="colorful" phldr="1"/>
      <dgm:spPr/>
      <dgm:t>
        <a:bodyPr/>
        <a:lstStyle/>
        <a:p>
          <a:endParaRPr lang="en-GB"/>
        </a:p>
      </dgm:t>
    </dgm:pt>
    <dgm:pt modelId="{9FDC822D-EA6A-4940-96DC-D86BD5202571}">
      <dgm:prSet phldrT="[Text]"/>
      <dgm:spPr/>
      <dgm:t>
        <a:bodyPr/>
        <a:lstStyle/>
        <a:p>
          <a:pPr algn="ctr"/>
          <a:r>
            <a:rPr lang="en-GB"/>
            <a:t>Love</a:t>
          </a:r>
        </a:p>
      </dgm:t>
    </dgm:pt>
    <dgm:pt modelId="{8FD4CCAA-14AB-2B45-A52B-69789A074F78}" type="parTrans" cxnId="{86659783-9730-D240-934E-C3B2D076790E}">
      <dgm:prSet/>
      <dgm:spPr/>
      <dgm:t>
        <a:bodyPr/>
        <a:lstStyle/>
        <a:p>
          <a:pPr algn="ctr"/>
          <a:endParaRPr lang="en-GB"/>
        </a:p>
      </dgm:t>
    </dgm:pt>
    <dgm:pt modelId="{3B198915-CFFE-444D-AD86-06574AAF1CE9}" type="sibTrans" cxnId="{86659783-9730-D240-934E-C3B2D076790E}">
      <dgm:prSet/>
      <dgm:spPr/>
      <dgm:t>
        <a:bodyPr/>
        <a:lstStyle/>
        <a:p>
          <a:pPr algn="ctr"/>
          <a:endParaRPr lang="en-GB"/>
        </a:p>
      </dgm:t>
    </dgm:pt>
    <dgm:pt modelId="{804EBEF1-51D6-9248-AB7C-6CDE5D884DCB}">
      <dgm:prSet phldrT="[Text]"/>
      <dgm:spPr/>
      <dgm:t>
        <a:bodyPr/>
        <a:lstStyle/>
        <a:p>
          <a:pPr algn="ctr"/>
          <a:r>
            <a:rPr lang="en-GB"/>
            <a:t>Comfort </a:t>
          </a:r>
        </a:p>
      </dgm:t>
    </dgm:pt>
    <dgm:pt modelId="{EA61263F-CE56-A84B-BE93-0EEB7A4A5953}" type="parTrans" cxnId="{943CBB03-CF44-D24F-963C-1A4D9A08AEB5}">
      <dgm:prSet/>
      <dgm:spPr/>
      <dgm:t>
        <a:bodyPr/>
        <a:lstStyle/>
        <a:p>
          <a:pPr algn="ctr"/>
          <a:endParaRPr lang="en-GB"/>
        </a:p>
      </dgm:t>
    </dgm:pt>
    <dgm:pt modelId="{D5310302-6F21-D644-B3CC-59A6CD8E109E}" type="sibTrans" cxnId="{943CBB03-CF44-D24F-963C-1A4D9A08AEB5}">
      <dgm:prSet/>
      <dgm:spPr/>
      <dgm:t>
        <a:bodyPr/>
        <a:lstStyle/>
        <a:p>
          <a:pPr algn="ctr"/>
          <a:endParaRPr lang="en-GB"/>
        </a:p>
      </dgm:t>
    </dgm:pt>
    <dgm:pt modelId="{8E53E7E3-E4B0-3242-9541-FE99910D9382}">
      <dgm:prSet phldrT="[Text]"/>
      <dgm:spPr/>
      <dgm:t>
        <a:bodyPr/>
        <a:lstStyle/>
        <a:p>
          <a:pPr algn="ctr"/>
          <a:r>
            <a:rPr lang="en-GB"/>
            <a:t>Inclusion</a:t>
          </a:r>
        </a:p>
      </dgm:t>
    </dgm:pt>
    <dgm:pt modelId="{43DF2529-0738-8647-BD55-719FD70C84FE}" type="parTrans" cxnId="{999B6ED5-1BF5-6D4F-9F59-B12EDD408121}">
      <dgm:prSet/>
      <dgm:spPr/>
      <dgm:t>
        <a:bodyPr/>
        <a:lstStyle/>
        <a:p>
          <a:pPr algn="ctr"/>
          <a:endParaRPr lang="en-GB"/>
        </a:p>
      </dgm:t>
    </dgm:pt>
    <dgm:pt modelId="{F0727BE8-1963-314C-8120-C5451EFFDB30}" type="sibTrans" cxnId="{999B6ED5-1BF5-6D4F-9F59-B12EDD408121}">
      <dgm:prSet/>
      <dgm:spPr/>
      <dgm:t>
        <a:bodyPr/>
        <a:lstStyle/>
        <a:p>
          <a:pPr algn="ctr"/>
          <a:endParaRPr lang="en-GB"/>
        </a:p>
      </dgm:t>
    </dgm:pt>
    <dgm:pt modelId="{B0163903-3B93-B546-8DC8-A9303D46E24B}">
      <dgm:prSet phldrT="[Text]"/>
      <dgm:spPr/>
      <dgm:t>
        <a:bodyPr/>
        <a:lstStyle/>
        <a:p>
          <a:pPr algn="ctr"/>
          <a:r>
            <a:rPr lang="en-GB"/>
            <a:t>Occupation</a:t>
          </a:r>
        </a:p>
      </dgm:t>
    </dgm:pt>
    <dgm:pt modelId="{744B2F77-6694-C647-8ED8-B1BF71C0EDB4}" type="parTrans" cxnId="{D518CCED-7991-0240-91D7-26AC10E52662}">
      <dgm:prSet/>
      <dgm:spPr/>
      <dgm:t>
        <a:bodyPr/>
        <a:lstStyle/>
        <a:p>
          <a:pPr algn="ctr"/>
          <a:endParaRPr lang="en-GB"/>
        </a:p>
      </dgm:t>
    </dgm:pt>
    <dgm:pt modelId="{C623365B-BDF5-704F-8F12-1325CEC6EB9F}" type="sibTrans" cxnId="{D518CCED-7991-0240-91D7-26AC10E52662}">
      <dgm:prSet/>
      <dgm:spPr/>
      <dgm:t>
        <a:bodyPr/>
        <a:lstStyle/>
        <a:p>
          <a:pPr algn="ctr"/>
          <a:endParaRPr lang="en-GB"/>
        </a:p>
      </dgm:t>
    </dgm:pt>
    <dgm:pt modelId="{A99818C9-C9DB-DB44-9FCA-0E627E1580F4}">
      <dgm:prSet phldrT="[Text]"/>
      <dgm:spPr/>
      <dgm:t>
        <a:bodyPr/>
        <a:lstStyle/>
        <a:p>
          <a:pPr algn="ctr"/>
          <a:r>
            <a:rPr lang="en-GB"/>
            <a:t>Identity </a:t>
          </a:r>
        </a:p>
      </dgm:t>
    </dgm:pt>
    <dgm:pt modelId="{9280D162-80BB-9B4E-9300-3BCD6DEA5517}" type="parTrans" cxnId="{32277B00-E7DB-AD44-BB56-A5D03FAE8127}">
      <dgm:prSet/>
      <dgm:spPr/>
      <dgm:t>
        <a:bodyPr/>
        <a:lstStyle/>
        <a:p>
          <a:pPr algn="ctr"/>
          <a:endParaRPr lang="en-GB"/>
        </a:p>
      </dgm:t>
    </dgm:pt>
    <dgm:pt modelId="{87175B0E-30CC-9C44-B933-9932BF466265}" type="sibTrans" cxnId="{32277B00-E7DB-AD44-BB56-A5D03FAE8127}">
      <dgm:prSet/>
      <dgm:spPr/>
      <dgm:t>
        <a:bodyPr/>
        <a:lstStyle/>
        <a:p>
          <a:pPr algn="ctr"/>
          <a:endParaRPr lang="en-GB"/>
        </a:p>
      </dgm:t>
    </dgm:pt>
    <dgm:pt modelId="{612D8F7C-D1D7-7241-8940-799C526DBF63}">
      <dgm:prSet phldrT="[Text]"/>
      <dgm:spPr/>
      <dgm:t>
        <a:bodyPr/>
        <a:lstStyle/>
        <a:p>
          <a:pPr algn="ctr"/>
          <a:r>
            <a:rPr lang="en-GB"/>
            <a:t>Attachment </a:t>
          </a:r>
        </a:p>
      </dgm:t>
    </dgm:pt>
    <dgm:pt modelId="{CC3ABE86-B971-7B4E-9908-F2F013767BB9}" type="parTrans" cxnId="{A6EA005F-7C36-3740-8822-C723F920E395}">
      <dgm:prSet/>
      <dgm:spPr/>
      <dgm:t>
        <a:bodyPr/>
        <a:lstStyle/>
        <a:p>
          <a:pPr algn="ctr"/>
          <a:endParaRPr lang="en-GB"/>
        </a:p>
      </dgm:t>
    </dgm:pt>
    <dgm:pt modelId="{FE491D59-89B3-9049-A037-EFA51882BCBC}" type="sibTrans" cxnId="{A6EA005F-7C36-3740-8822-C723F920E395}">
      <dgm:prSet/>
      <dgm:spPr/>
      <dgm:t>
        <a:bodyPr/>
        <a:lstStyle/>
        <a:p>
          <a:pPr algn="ctr"/>
          <a:endParaRPr lang="en-GB"/>
        </a:p>
      </dgm:t>
    </dgm:pt>
    <dgm:pt modelId="{BC2C7CB8-25EF-0144-BF3E-7FF9937577FC}" type="pres">
      <dgm:prSet presAssocID="{4AF66288-1C5B-3D48-9019-83E9782C8CDA}" presName="Name0" presStyleCnt="0">
        <dgm:presLayoutVars>
          <dgm:chMax val="1"/>
          <dgm:dir/>
          <dgm:animLvl val="ctr"/>
          <dgm:resizeHandles val="exact"/>
        </dgm:presLayoutVars>
      </dgm:prSet>
      <dgm:spPr/>
    </dgm:pt>
    <dgm:pt modelId="{0816D61F-B02E-F243-9F12-464A6FC58153}" type="pres">
      <dgm:prSet presAssocID="{9FDC822D-EA6A-4940-96DC-D86BD5202571}" presName="centerShape" presStyleLbl="node0" presStyleIdx="0" presStyleCnt="1"/>
      <dgm:spPr/>
    </dgm:pt>
    <dgm:pt modelId="{4BC430C5-90B0-BF4A-8C7B-9C1050AA6F40}" type="pres">
      <dgm:prSet presAssocID="{804EBEF1-51D6-9248-AB7C-6CDE5D884DCB}" presName="node" presStyleLbl="node1" presStyleIdx="0" presStyleCnt="5">
        <dgm:presLayoutVars>
          <dgm:bulletEnabled val="1"/>
        </dgm:presLayoutVars>
      </dgm:prSet>
      <dgm:spPr/>
    </dgm:pt>
    <dgm:pt modelId="{22732FDF-E49D-104F-BC94-3D50231C4AE9}" type="pres">
      <dgm:prSet presAssocID="{804EBEF1-51D6-9248-AB7C-6CDE5D884DCB}" presName="dummy" presStyleCnt="0"/>
      <dgm:spPr/>
    </dgm:pt>
    <dgm:pt modelId="{06A67A58-8F9D-8740-886A-F774E71D15FE}" type="pres">
      <dgm:prSet presAssocID="{D5310302-6F21-D644-B3CC-59A6CD8E109E}" presName="sibTrans" presStyleLbl="sibTrans2D1" presStyleIdx="0" presStyleCnt="5"/>
      <dgm:spPr/>
    </dgm:pt>
    <dgm:pt modelId="{A402B36F-2DB0-FC43-93F3-DAE897452FBB}" type="pres">
      <dgm:prSet presAssocID="{612D8F7C-D1D7-7241-8940-799C526DBF63}" presName="node" presStyleLbl="node1" presStyleIdx="1" presStyleCnt="5">
        <dgm:presLayoutVars>
          <dgm:bulletEnabled val="1"/>
        </dgm:presLayoutVars>
      </dgm:prSet>
      <dgm:spPr/>
    </dgm:pt>
    <dgm:pt modelId="{B3BE341C-3862-C848-A0C5-2FA273E1D240}" type="pres">
      <dgm:prSet presAssocID="{612D8F7C-D1D7-7241-8940-799C526DBF63}" presName="dummy" presStyleCnt="0"/>
      <dgm:spPr/>
    </dgm:pt>
    <dgm:pt modelId="{871EBE70-8F36-E84A-988A-00B2F1F321BA}" type="pres">
      <dgm:prSet presAssocID="{FE491D59-89B3-9049-A037-EFA51882BCBC}" presName="sibTrans" presStyleLbl="sibTrans2D1" presStyleIdx="1" presStyleCnt="5"/>
      <dgm:spPr/>
    </dgm:pt>
    <dgm:pt modelId="{2CD70452-3144-6446-851F-99BE503B26A0}" type="pres">
      <dgm:prSet presAssocID="{8E53E7E3-E4B0-3242-9541-FE99910D9382}" presName="node" presStyleLbl="node1" presStyleIdx="2" presStyleCnt="5">
        <dgm:presLayoutVars>
          <dgm:bulletEnabled val="1"/>
        </dgm:presLayoutVars>
      </dgm:prSet>
      <dgm:spPr/>
    </dgm:pt>
    <dgm:pt modelId="{A54C1167-DA8C-3E4F-8FFD-05F06071FFCC}" type="pres">
      <dgm:prSet presAssocID="{8E53E7E3-E4B0-3242-9541-FE99910D9382}" presName="dummy" presStyleCnt="0"/>
      <dgm:spPr/>
    </dgm:pt>
    <dgm:pt modelId="{AE3695CA-3384-5846-9216-A70F66A8159A}" type="pres">
      <dgm:prSet presAssocID="{F0727BE8-1963-314C-8120-C5451EFFDB30}" presName="sibTrans" presStyleLbl="sibTrans2D1" presStyleIdx="2" presStyleCnt="5"/>
      <dgm:spPr/>
    </dgm:pt>
    <dgm:pt modelId="{90384EF1-9FCC-A242-8060-197CFF987C29}" type="pres">
      <dgm:prSet presAssocID="{B0163903-3B93-B546-8DC8-A9303D46E24B}" presName="node" presStyleLbl="node1" presStyleIdx="3" presStyleCnt="5">
        <dgm:presLayoutVars>
          <dgm:bulletEnabled val="1"/>
        </dgm:presLayoutVars>
      </dgm:prSet>
      <dgm:spPr/>
    </dgm:pt>
    <dgm:pt modelId="{A7B34D98-FAFB-9D4C-91BE-D16B60E684E2}" type="pres">
      <dgm:prSet presAssocID="{B0163903-3B93-B546-8DC8-A9303D46E24B}" presName="dummy" presStyleCnt="0"/>
      <dgm:spPr/>
    </dgm:pt>
    <dgm:pt modelId="{13347240-30BF-0E4E-88E3-F54D058D2546}" type="pres">
      <dgm:prSet presAssocID="{C623365B-BDF5-704F-8F12-1325CEC6EB9F}" presName="sibTrans" presStyleLbl="sibTrans2D1" presStyleIdx="3" presStyleCnt="5"/>
      <dgm:spPr/>
    </dgm:pt>
    <dgm:pt modelId="{2C2AC02D-A569-8D4E-A289-0E665E2B2351}" type="pres">
      <dgm:prSet presAssocID="{A99818C9-C9DB-DB44-9FCA-0E627E1580F4}" presName="node" presStyleLbl="node1" presStyleIdx="4" presStyleCnt="5">
        <dgm:presLayoutVars>
          <dgm:bulletEnabled val="1"/>
        </dgm:presLayoutVars>
      </dgm:prSet>
      <dgm:spPr/>
    </dgm:pt>
    <dgm:pt modelId="{35807E5D-8EBE-AF42-8170-44EC1969019B}" type="pres">
      <dgm:prSet presAssocID="{A99818C9-C9DB-DB44-9FCA-0E627E1580F4}" presName="dummy" presStyleCnt="0"/>
      <dgm:spPr/>
    </dgm:pt>
    <dgm:pt modelId="{EB4EFBCF-7956-CC46-9B2A-4B53688B55D4}" type="pres">
      <dgm:prSet presAssocID="{87175B0E-30CC-9C44-B933-9932BF466265}" presName="sibTrans" presStyleLbl="sibTrans2D1" presStyleIdx="4" presStyleCnt="5"/>
      <dgm:spPr/>
    </dgm:pt>
  </dgm:ptLst>
  <dgm:cxnLst>
    <dgm:cxn modelId="{32277B00-E7DB-AD44-BB56-A5D03FAE8127}" srcId="{9FDC822D-EA6A-4940-96DC-D86BD5202571}" destId="{A99818C9-C9DB-DB44-9FCA-0E627E1580F4}" srcOrd="4" destOrd="0" parTransId="{9280D162-80BB-9B4E-9300-3BCD6DEA5517}" sibTransId="{87175B0E-30CC-9C44-B933-9932BF466265}"/>
    <dgm:cxn modelId="{943CBB03-CF44-D24F-963C-1A4D9A08AEB5}" srcId="{9FDC822D-EA6A-4940-96DC-D86BD5202571}" destId="{804EBEF1-51D6-9248-AB7C-6CDE5D884DCB}" srcOrd="0" destOrd="0" parTransId="{EA61263F-CE56-A84B-BE93-0EEB7A4A5953}" sibTransId="{D5310302-6F21-D644-B3CC-59A6CD8E109E}"/>
    <dgm:cxn modelId="{56609A06-1CC1-4342-A8D3-7A2C675B867A}" type="presOf" srcId="{C623365B-BDF5-704F-8F12-1325CEC6EB9F}" destId="{13347240-30BF-0E4E-88E3-F54D058D2546}" srcOrd="0" destOrd="0" presId="urn:microsoft.com/office/officeart/2005/8/layout/radial6"/>
    <dgm:cxn modelId="{94079D09-163C-D743-896D-125F0310CA98}" type="presOf" srcId="{804EBEF1-51D6-9248-AB7C-6CDE5D884DCB}" destId="{4BC430C5-90B0-BF4A-8C7B-9C1050AA6F40}" srcOrd="0" destOrd="0" presId="urn:microsoft.com/office/officeart/2005/8/layout/radial6"/>
    <dgm:cxn modelId="{B09A4A39-B138-B24B-8C51-6AFDE375DD3B}" type="presOf" srcId="{B0163903-3B93-B546-8DC8-A9303D46E24B}" destId="{90384EF1-9FCC-A242-8060-197CFF987C29}" srcOrd="0" destOrd="0" presId="urn:microsoft.com/office/officeart/2005/8/layout/radial6"/>
    <dgm:cxn modelId="{622B273D-B300-B142-832D-E4EFDFCA9E7E}" type="presOf" srcId="{612D8F7C-D1D7-7241-8940-799C526DBF63}" destId="{A402B36F-2DB0-FC43-93F3-DAE897452FBB}" srcOrd="0" destOrd="0" presId="urn:microsoft.com/office/officeart/2005/8/layout/radial6"/>
    <dgm:cxn modelId="{A6EA005F-7C36-3740-8822-C723F920E395}" srcId="{9FDC822D-EA6A-4940-96DC-D86BD5202571}" destId="{612D8F7C-D1D7-7241-8940-799C526DBF63}" srcOrd="1" destOrd="0" parTransId="{CC3ABE86-B971-7B4E-9908-F2F013767BB9}" sibTransId="{FE491D59-89B3-9049-A037-EFA51882BCBC}"/>
    <dgm:cxn modelId="{F9989862-414C-E247-B819-3D6E80CB8B96}" type="presOf" srcId="{9FDC822D-EA6A-4940-96DC-D86BD5202571}" destId="{0816D61F-B02E-F243-9F12-464A6FC58153}" srcOrd="0" destOrd="0" presId="urn:microsoft.com/office/officeart/2005/8/layout/radial6"/>
    <dgm:cxn modelId="{19FBDA67-BC93-1E42-9D27-FC874F2529AB}" type="presOf" srcId="{8E53E7E3-E4B0-3242-9541-FE99910D9382}" destId="{2CD70452-3144-6446-851F-99BE503B26A0}" srcOrd="0" destOrd="0" presId="urn:microsoft.com/office/officeart/2005/8/layout/radial6"/>
    <dgm:cxn modelId="{86659783-9730-D240-934E-C3B2D076790E}" srcId="{4AF66288-1C5B-3D48-9019-83E9782C8CDA}" destId="{9FDC822D-EA6A-4940-96DC-D86BD5202571}" srcOrd="0" destOrd="0" parTransId="{8FD4CCAA-14AB-2B45-A52B-69789A074F78}" sibTransId="{3B198915-CFFE-444D-AD86-06574AAF1CE9}"/>
    <dgm:cxn modelId="{6B90808F-4E2E-DE4B-97C2-E28D200B0738}" type="presOf" srcId="{A99818C9-C9DB-DB44-9FCA-0E627E1580F4}" destId="{2C2AC02D-A569-8D4E-A289-0E665E2B2351}" srcOrd="0" destOrd="0" presId="urn:microsoft.com/office/officeart/2005/8/layout/radial6"/>
    <dgm:cxn modelId="{FC1955C6-1279-B74C-969A-4F52CF4E26A0}" type="presOf" srcId="{4AF66288-1C5B-3D48-9019-83E9782C8CDA}" destId="{BC2C7CB8-25EF-0144-BF3E-7FF9937577FC}" srcOrd="0" destOrd="0" presId="urn:microsoft.com/office/officeart/2005/8/layout/radial6"/>
    <dgm:cxn modelId="{AD1100CB-08AC-FE4A-BFFB-0C94F7EB3F44}" type="presOf" srcId="{87175B0E-30CC-9C44-B933-9932BF466265}" destId="{EB4EFBCF-7956-CC46-9B2A-4B53688B55D4}" srcOrd="0" destOrd="0" presId="urn:microsoft.com/office/officeart/2005/8/layout/radial6"/>
    <dgm:cxn modelId="{999B6ED5-1BF5-6D4F-9F59-B12EDD408121}" srcId="{9FDC822D-EA6A-4940-96DC-D86BD5202571}" destId="{8E53E7E3-E4B0-3242-9541-FE99910D9382}" srcOrd="2" destOrd="0" parTransId="{43DF2529-0738-8647-BD55-719FD70C84FE}" sibTransId="{F0727BE8-1963-314C-8120-C5451EFFDB30}"/>
    <dgm:cxn modelId="{B19C4DD9-6990-D142-BA5A-95ABC6B14A61}" type="presOf" srcId="{D5310302-6F21-D644-B3CC-59A6CD8E109E}" destId="{06A67A58-8F9D-8740-886A-F774E71D15FE}" srcOrd="0" destOrd="0" presId="urn:microsoft.com/office/officeart/2005/8/layout/radial6"/>
    <dgm:cxn modelId="{DE0F82E3-FB55-E946-8B25-3EFD80773EFF}" type="presOf" srcId="{FE491D59-89B3-9049-A037-EFA51882BCBC}" destId="{871EBE70-8F36-E84A-988A-00B2F1F321BA}" srcOrd="0" destOrd="0" presId="urn:microsoft.com/office/officeart/2005/8/layout/radial6"/>
    <dgm:cxn modelId="{3B2C31EB-408D-1048-9515-5B2853037624}" type="presOf" srcId="{F0727BE8-1963-314C-8120-C5451EFFDB30}" destId="{AE3695CA-3384-5846-9216-A70F66A8159A}" srcOrd="0" destOrd="0" presId="urn:microsoft.com/office/officeart/2005/8/layout/radial6"/>
    <dgm:cxn modelId="{D518CCED-7991-0240-91D7-26AC10E52662}" srcId="{9FDC822D-EA6A-4940-96DC-D86BD5202571}" destId="{B0163903-3B93-B546-8DC8-A9303D46E24B}" srcOrd="3" destOrd="0" parTransId="{744B2F77-6694-C647-8ED8-B1BF71C0EDB4}" sibTransId="{C623365B-BDF5-704F-8F12-1325CEC6EB9F}"/>
    <dgm:cxn modelId="{54577A42-F757-5E46-ACD7-E3C53DAB1AEA}" type="presParOf" srcId="{BC2C7CB8-25EF-0144-BF3E-7FF9937577FC}" destId="{0816D61F-B02E-F243-9F12-464A6FC58153}" srcOrd="0" destOrd="0" presId="urn:microsoft.com/office/officeart/2005/8/layout/radial6"/>
    <dgm:cxn modelId="{85B2EB7D-CC4A-8D40-8157-18F49C3FFC7D}" type="presParOf" srcId="{BC2C7CB8-25EF-0144-BF3E-7FF9937577FC}" destId="{4BC430C5-90B0-BF4A-8C7B-9C1050AA6F40}" srcOrd="1" destOrd="0" presId="urn:microsoft.com/office/officeart/2005/8/layout/radial6"/>
    <dgm:cxn modelId="{5A13ADC1-9217-3446-9CAC-AE58D90716AB}" type="presParOf" srcId="{BC2C7CB8-25EF-0144-BF3E-7FF9937577FC}" destId="{22732FDF-E49D-104F-BC94-3D50231C4AE9}" srcOrd="2" destOrd="0" presId="urn:microsoft.com/office/officeart/2005/8/layout/radial6"/>
    <dgm:cxn modelId="{898997AD-0C95-FE41-9154-84643334DFFD}" type="presParOf" srcId="{BC2C7CB8-25EF-0144-BF3E-7FF9937577FC}" destId="{06A67A58-8F9D-8740-886A-F774E71D15FE}" srcOrd="3" destOrd="0" presId="urn:microsoft.com/office/officeart/2005/8/layout/radial6"/>
    <dgm:cxn modelId="{D3749D0C-26EB-6549-8E5A-C0DB32FE2640}" type="presParOf" srcId="{BC2C7CB8-25EF-0144-BF3E-7FF9937577FC}" destId="{A402B36F-2DB0-FC43-93F3-DAE897452FBB}" srcOrd="4" destOrd="0" presId="urn:microsoft.com/office/officeart/2005/8/layout/radial6"/>
    <dgm:cxn modelId="{ADEBB09A-6053-1C4B-A5CA-79E369643D58}" type="presParOf" srcId="{BC2C7CB8-25EF-0144-BF3E-7FF9937577FC}" destId="{B3BE341C-3862-C848-A0C5-2FA273E1D240}" srcOrd="5" destOrd="0" presId="urn:microsoft.com/office/officeart/2005/8/layout/radial6"/>
    <dgm:cxn modelId="{1938C5DE-55BE-4E4D-B096-3EFDB4A5D4F5}" type="presParOf" srcId="{BC2C7CB8-25EF-0144-BF3E-7FF9937577FC}" destId="{871EBE70-8F36-E84A-988A-00B2F1F321BA}" srcOrd="6" destOrd="0" presId="urn:microsoft.com/office/officeart/2005/8/layout/radial6"/>
    <dgm:cxn modelId="{EE9A2A81-C10E-2842-B81E-3E3EEDEB716B}" type="presParOf" srcId="{BC2C7CB8-25EF-0144-BF3E-7FF9937577FC}" destId="{2CD70452-3144-6446-851F-99BE503B26A0}" srcOrd="7" destOrd="0" presId="urn:microsoft.com/office/officeart/2005/8/layout/radial6"/>
    <dgm:cxn modelId="{2740AD40-11FC-944A-AC4D-D4E530C4032F}" type="presParOf" srcId="{BC2C7CB8-25EF-0144-BF3E-7FF9937577FC}" destId="{A54C1167-DA8C-3E4F-8FFD-05F06071FFCC}" srcOrd="8" destOrd="0" presId="urn:microsoft.com/office/officeart/2005/8/layout/radial6"/>
    <dgm:cxn modelId="{68C8708B-333D-D444-8FEA-631FF2B5723B}" type="presParOf" srcId="{BC2C7CB8-25EF-0144-BF3E-7FF9937577FC}" destId="{AE3695CA-3384-5846-9216-A70F66A8159A}" srcOrd="9" destOrd="0" presId="urn:microsoft.com/office/officeart/2005/8/layout/radial6"/>
    <dgm:cxn modelId="{D00DA9BD-C691-E74E-9FD8-842334B0C667}" type="presParOf" srcId="{BC2C7CB8-25EF-0144-BF3E-7FF9937577FC}" destId="{90384EF1-9FCC-A242-8060-197CFF987C29}" srcOrd="10" destOrd="0" presId="urn:microsoft.com/office/officeart/2005/8/layout/radial6"/>
    <dgm:cxn modelId="{E7FCADB7-7CD1-C442-9273-8B1F0534A599}" type="presParOf" srcId="{BC2C7CB8-25EF-0144-BF3E-7FF9937577FC}" destId="{A7B34D98-FAFB-9D4C-91BE-D16B60E684E2}" srcOrd="11" destOrd="0" presId="urn:microsoft.com/office/officeart/2005/8/layout/radial6"/>
    <dgm:cxn modelId="{E75BE7BB-41F6-9D40-8293-9E6101C2BA6E}" type="presParOf" srcId="{BC2C7CB8-25EF-0144-BF3E-7FF9937577FC}" destId="{13347240-30BF-0E4E-88E3-F54D058D2546}" srcOrd="12" destOrd="0" presId="urn:microsoft.com/office/officeart/2005/8/layout/radial6"/>
    <dgm:cxn modelId="{4782B71C-2625-4C4A-9C04-39F8E141B407}" type="presParOf" srcId="{BC2C7CB8-25EF-0144-BF3E-7FF9937577FC}" destId="{2C2AC02D-A569-8D4E-A289-0E665E2B2351}" srcOrd="13" destOrd="0" presId="urn:microsoft.com/office/officeart/2005/8/layout/radial6"/>
    <dgm:cxn modelId="{ABC3828A-E5DB-8649-8C31-6F14CC377F79}" type="presParOf" srcId="{BC2C7CB8-25EF-0144-BF3E-7FF9937577FC}" destId="{35807E5D-8EBE-AF42-8170-44EC1969019B}" srcOrd="14" destOrd="0" presId="urn:microsoft.com/office/officeart/2005/8/layout/radial6"/>
    <dgm:cxn modelId="{0D28B96B-C387-BC4D-802E-261BCF44FE85}" type="presParOf" srcId="{BC2C7CB8-25EF-0144-BF3E-7FF9937577FC}" destId="{EB4EFBCF-7956-CC46-9B2A-4B53688B55D4}" srcOrd="15" destOrd="0" presId="urn:microsoft.com/office/officeart/2005/8/layout/radial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4EFBCF-7956-CC46-9B2A-4B53688B55D4}">
      <dsp:nvSpPr>
        <dsp:cNvPr id="0" name=""/>
        <dsp:cNvSpPr/>
      </dsp:nvSpPr>
      <dsp:spPr>
        <a:xfrm>
          <a:off x="1350028" y="308253"/>
          <a:ext cx="2054822" cy="2054822"/>
        </a:xfrm>
        <a:prstGeom prst="blockArc">
          <a:avLst>
            <a:gd name="adj1" fmla="val 11880000"/>
            <a:gd name="adj2" fmla="val 16200000"/>
            <a:gd name="adj3" fmla="val 4635"/>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3347240-30BF-0E4E-88E3-F54D058D2546}">
      <dsp:nvSpPr>
        <dsp:cNvPr id="0" name=""/>
        <dsp:cNvSpPr/>
      </dsp:nvSpPr>
      <dsp:spPr>
        <a:xfrm>
          <a:off x="1350028" y="308253"/>
          <a:ext cx="2054822" cy="2054822"/>
        </a:xfrm>
        <a:prstGeom prst="blockArc">
          <a:avLst>
            <a:gd name="adj1" fmla="val 7560000"/>
            <a:gd name="adj2" fmla="val 11880000"/>
            <a:gd name="adj3" fmla="val 4635"/>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E3695CA-3384-5846-9216-A70F66A8159A}">
      <dsp:nvSpPr>
        <dsp:cNvPr id="0" name=""/>
        <dsp:cNvSpPr/>
      </dsp:nvSpPr>
      <dsp:spPr>
        <a:xfrm>
          <a:off x="1350028" y="308253"/>
          <a:ext cx="2054822" cy="2054822"/>
        </a:xfrm>
        <a:prstGeom prst="blockArc">
          <a:avLst>
            <a:gd name="adj1" fmla="val 3240000"/>
            <a:gd name="adj2" fmla="val 7560000"/>
            <a:gd name="adj3" fmla="val 4635"/>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71EBE70-8F36-E84A-988A-00B2F1F321BA}">
      <dsp:nvSpPr>
        <dsp:cNvPr id="0" name=""/>
        <dsp:cNvSpPr/>
      </dsp:nvSpPr>
      <dsp:spPr>
        <a:xfrm>
          <a:off x="1350028" y="308253"/>
          <a:ext cx="2054822" cy="2054822"/>
        </a:xfrm>
        <a:prstGeom prst="blockArc">
          <a:avLst>
            <a:gd name="adj1" fmla="val 20520000"/>
            <a:gd name="adj2" fmla="val 3240000"/>
            <a:gd name="adj3" fmla="val 4635"/>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6A67A58-8F9D-8740-886A-F774E71D15FE}">
      <dsp:nvSpPr>
        <dsp:cNvPr id="0" name=""/>
        <dsp:cNvSpPr/>
      </dsp:nvSpPr>
      <dsp:spPr>
        <a:xfrm>
          <a:off x="1350028" y="308253"/>
          <a:ext cx="2054822" cy="2054822"/>
        </a:xfrm>
        <a:prstGeom prst="blockArc">
          <a:avLst>
            <a:gd name="adj1" fmla="val 16200000"/>
            <a:gd name="adj2" fmla="val 20520000"/>
            <a:gd name="adj3" fmla="val 4635"/>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816D61F-B02E-F243-9F12-464A6FC58153}">
      <dsp:nvSpPr>
        <dsp:cNvPr id="0" name=""/>
        <dsp:cNvSpPr/>
      </dsp:nvSpPr>
      <dsp:spPr>
        <a:xfrm>
          <a:off x="1904970" y="863195"/>
          <a:ext cx="944939" cy="94493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0" tIns="31750" rIns="31750" bIns="31750" numCol="1" spcCol="1270" anchor="ctr" anchorCtr="0">
          <a:noAutofit/>
        </a:bodyPr>
        <a:lstStyle/>
        <a:p>
          <a:pPr marL="0" lvl="0" indent="0" algn="ctr" defTabSz="1111250">
            <a:lnSpc>
              <a:spcPct val="90000"/>
            </a:lnSpc>
            <a:spcBef>
              <a:spcPct val="0"/>
            </a:spcBef>
            <a:spcAft>
              <a:spcPct val="35000"/>
            </a:spcAft>
            <a:buNone/>
          </a:pPr>
          <a:r>
            <a:rPr lang="en-GB" sz="2500" kern="1200"/>
            <a:t>Love</a:t>
          </a:r>
        </a:p>
      </dsp:txBody>
      <dsp:txXfrm>
        <a:off x="2043353" y="1001578"/>
        <a:ext cx="668173" cy="668173"/>
      </dsp:txXfrm>
    </dsp:sp>
    <dsp:sp modelId="{4BC430C5-90B0-BF4A-8C7B-9C1050AA6F40}">
      <dsp:nvSpPr>
        <dsp:cNvPr id="0" name=""/>
        <dsp:cNvSpPr/>
      </dsp:nvSpPr>
      <dsp:spPr>
        <a:xfrm>
          <a:off x="2046711" y="1337"/>
          <a:ext cx="661457" cy="661457"/>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Comfort </a:t>
          </a:r>
        </a:p>
      </dsp:txBody>
      <dsp:txXfrm>
        <a:off x="2143579" y="98205"/>
        <a:ext cx="467721" cy="467721"/>
      </dsp:txXfrm>
    </dsp:sp>
    <dsp:sp modelId="{A402B36F-2DB0-FC43-93F3-DAE897452FBB}">
      <dsp:nvSpPr>
        <dsp:cNvPr id="0" name=""/>
        <dsp:cNvSpPr/>
      </dsp:nvSpPr>
      <dsp:spPr>
        <a:xfrm>
          <a:off x="3001190" y="694807"/>
          <a:ext cx="661457" cy="661457"/>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Attachment </a:t>
          </a:r>
        </a:p>
      </dsp:txBody>
      <dsp:txXfrm>
        <a:off x="3098058" y="791675"/>
        <a:ext cx="467721" cy="467721"/>
      </dsp:txXfrm>
    </dsp:sp>
    <dsp:sp modelId="{2CD70452-3144-6446-851F-99BE503B26A0}">
      <dsp:nvSpPr>
        <dsp:cNvPr id="0" name=""/>
        <dsp:cNvSpPr/>
      </dsp:nvSpPr>
      <dsp:spPr>
        <a:xfrm>
          <a:off x="2636611" y="1816864"/>
          <a:ext cx="661457" cy="661457"/>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Inclusion</a:t>
          </a:r>
        </a:p>
      </dsp:txBody>
      <dsp:txXfrm>
        <a:off x="2733479" y="1913732"/>
        <a:ext cx="467721" cy="467721"/>
      </dsp:txXfrm>
    </dsp:sp>
    <dsp:sp modelId="{90384EF1-9FCC-A242-8060-197CFF987C29}">
      <dsp:nvSpPr>
        <dsp:cNvPr id="0" name=""/>
        <dsp:cNvSpPr/>
      </dsp:nvSpPr>
      <dsp:spPr>
        <a:xfrm>
          <a:off x="1456810" y="1816864"/>
          <a:ext cx="661457" cy="661457"/>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Occupation</a:t>
          </a:r>
        </a:p>
      </dsp:txBody>
      <dsp:txXfrm>
        <a:off x="1553678" y="1913732"/>
        <a:ext cx="467721" cy="467721"/>
      </dsp:txXfrm>
    </dsp:sp>
    <dsp:sp modelId="{2C2AC02D-A569-8D4E-A289-0E665E2B2351}">
      <dsp:nvSpPr>
        <dsp:cNvPr id="0" name=""/>
        <dsp:cNvSpPr/>
      </dsp:nvSpPr>
      <dsp:spPr>
        <a:xfrm>
          <a:off x="1092231" y="694807"/>
          <a:ext cx="661457" cy="661457"/>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Identity </a:t>
          </a:r>
        </a:p>
      </dsp:txBody>
      <dsp:txXfrm>
        <a:off x="1189099" y="791675"/>
        <a:ext cx="467721" cy="467721"/>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022F7-7F45-A54F-BC4A-3B34CB568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3302</Words>
  <Characters>18822</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2026-07-23T22:14:00Z</dcterms:created>
  <dcterms:modified xsi:type="dcterms:W3CDTF">2026-07-23T22:14:00Z</dcterms:modified>
</cp:coreProperties>
</file>