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5889"/>
      </w:tblGrid>
      <w:tr w:rsidR="006A2FA1" w14:paraId="17E24A10" w14:textId="77777777" w:rsidTr="006A2FA1">
        <w:trPr>
          <w:trHeight w:val="572"/>
        </w:trPr>
        <w:tc>
          <w:tcPr>
            <w:tcW w:w="4860" w:type="dxa"/>
            <w:tcBorders>
              <w:top w:val="single" w:sz="6" w:space="0" w:color="auto"/>
              <w:left w:val="double" w:sz="4" w:space="0" w:color="auto"/>
              <w:bottom w:val="single" w:sz="6" w:space="0" w:color="auto"/>
              <w:right w:val="single" w:sz="6" w:space="0" w:color="auto"/>
            </w:tcBorders>
            <w:hideMark/>
          </w:tcPr>
          <w:p w14:paraId="47B92727" w14:textId="77777777" w:rsidR="006A2FA1" w:rsidRDefault="006A2FA1">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54F24A6E" w14:textId="7C8CDE91" w:rsidR="006A2FA1" w:rsidRDefault="00CA7D58">
            <w:pPr>
              <w:rPr>
                <w:rFonts w:ascii="Calibri" w:hAnsi="Calibri"/>
              </w:rPr>
            </w:pPr>
            <w:r>
              <w:rPr>
                <w:rFonts w:ascii="Calibri" w:hAnsi="Calibri"/>
              </w:rPr>
              <w:t>Analysis of scenario concerning child with additional needs</w:t>
            </w:r>
          </w:p>
          <w:p w14:paraId="6E1E34F3" w14:textId="77777777" w:rsidR="006A2FA1" w:rsidRDefault="006A2FA1">
            <w:pPr>
              <w:rPr>
                <w:rFonts w:ascii="Calibri" w:hAnsi="Calibri"/>
              </w:rPr>
            </w:pPr>
          </w:p>
        </w:tc>
      </w:tr>
      <w:tr w:rsidR="006A2FA1" w14:paraId="0E898566" w14:textId="77777777" w:rsidTr="006A2FA1">
        <w:trPr>
          <w:trHeight w:val="571"/>
        </w:trPr>
        <w:tc>
          <w:tcPr>
            <w:tcW w:w="4860" w:type="dxa"/>
            <w:tcBorders>
              <w:top w:val="single" w:sz="6" w:space="0" w:color="auto"/>
              <w:left w:val="double" w:sz="4" w:space="0" w:color="auto"/>
              <w:bottom w:val="single" w:sz="6" w:space="0" w:color="auto"/>
              <w:right w:val="single" w:sz="6" w:space="0" w:color="auto"/>
            </w:tcBorders>
          </w:tcPr>
          <w:p w14:paraId="5F3FFDFC" w14:textId="77777777" w:rsidR="006A2FA1" w:rsidRDefault="006A2FA1">
            <w:pPr>
              <w:rPr>
                <w:rFonts w:ascii="Calibri" w:hAnsi="Calibri"/>
              </w:rPr>
            </w:pPr>
            <w:r>
              <w:rPr>
                <w:rFonts w:ascii="Calibri" w:hAnsi="Calibri"/>
              </w:rPr>
              <w:t>Which aspects do you consider could have been improved in this piece of work?</w:t>
            </w:r>
          </w:p>
          <w:p w14:paraId="34FF92E6" w14:textId="77777777" w:rsidR="006A2FA1" w:rsidRDefault="006A2FA1">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14:paraId="3B783B58" w14:textId="51B59304" w:rsidR="006A2FA1" w:rsidRDefault="00CA7D58">
            <w:pPr>
              <w:rPr>
                <w:rFonts w:ascii="Calibri" w:hAnsi="Calibri"/>
              </w:rPr>
            </w:pPr>
            <w:r>
              <w:rPr>
                <w:rFonts w:ascii="Calibri" w:hAnsi="Calibri"/>
              </w:rPr>
              <w:t>Analysis of child in first scenario – not as detailed as hoped due to word count restriction</w:t>
            </w:r>
          </w:p>
        </w:tc>
      </w:tr>
      <w:tr w:rsidR="006A2FA1" w14:paraId="4693FE48" w14:textId="77777777" w:rsidTr="006A2FA1">
        <w:trPr>
          <w:trHeight w:val="571"/>
        </w:trPr>
        <w:tc>
          <w:tcPr>
            <w:tcW w:w="4860" w:type="dxa"/>
            <w:tcBorders>
              <w:top w:val="single" w:sz="6" w:space="0" w:color="auto"/>
              <w:left w:val="double" w:sz="4" w:space="0" w:color="auto"/>
              <w:bottom w:val="double" w:sz="4" w:space="0" w:color="auto"/>
              <w:right w:val="single" w:sz="6" w:space="0" w:color="auto"/>
            </w:tcBorders>
          </w:tcPr>
          <w:p w14:paraId="4CCF5925" w14:textId="77777777" w:rsidR="006A2FA1" w:rsidRDefault="006A2FA1">
            <w:pPr>
              <w:rPr>
                <w:rFonts w:ascii="Calibri" w:hAnsi="Calibri"/>
              </w:rPr>
            </w:pPr>
            <w:r>
              <w:rPr>
                <w:rFonts w:ascii="Calibri" w:hAnsi="Calibri"/>
              </w:rPr>
              <w:t>What have you found most satisfying whilst undertaking this submission?</w:t>
            </w:r>
          </w:p>
          <w:p w14:paraId="499BB808" w14:textId="77777777" w:rsidR="006A2FA1" w:rsidRDefault="006A2FA1">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14:paraId="11188EB0" w14:textId="23F13174" w:rsidR="006A2FA1" w:rsidRDefault="00CA7D58">
            <w:pPr>
              <w:rPr>
                <w:rFonts w:ascii="Calibri" w:hAnsi="Calibri"/>
              </w:rPr>
            </w:pPr>
            <w:r>
              <w:rPr>
                <w:rFonts w:ascii="Calibri" w:hAnsi="Calibri"/>
              </w:rPr>
              <w:t>Discovering deeper reasons for what looks like bad behaviour on the surface</w:t>
            </w:r>
            <w:bookmarkStart w:id="0" w:name="_GoBack"/>
            <w:bookmarkEnd w:id="0"/>
          </w:p>
          <w:p w14:paraId="7626B8FF" w14:textId="77777777" w:rsidR="006A2FA1" w:rsidRDefault="006A2FA1">
            <w:pPr>
              <w:rPr>
                <w:rFonts w:ascii="Calibri" w:hAnsi="Calibri"/>
              </w:rPr>
            </w:pPr>
          </w:p>
        </w:tc>
      </w:tr>
    </w:tbl>
    <w:p w14:paraId="0F40C25A" w14:textId="77777777" w:rsidR="006A2FA1" w:rsidRDefault="006A2FA1" w:rsidP="0005026F">
      <w:pPr>
        <w:spacing w:line="360" w:lineRule="auto"/>
        <w:jc w:val="both"/>
        <w:rPr>
          <w:rFonts w:ascii="Arial" w:hAnsi="Arial" w:cs="Arial"/>
          <w:sz w:val="24"/>
        </w:rPr>
      </w:pPr>
    </w:p>
    <w:p w14:paraId="19574734" w14:textId="1EDFEAD5" w:rsidR="0005026F" w:rsidRDefault="0005026F" w:rsidP="0005026F">
      <w:pPr>
        <w:spacing w:line="360" w:lineRule="auto"/>
        <w:jc w:val="both"/>
        <w:rPr>
          <w:rFonts w:ascii="Arial" w:hAnsi="Arial" w:cs="Arial"/>
          <w:sz w:val="24"/>
        </w:rPr>
      </w:pPr>
      <w:r>
        <w:rPr>
          <w:rFonts w:ascii="Arial" w:hAnsi="Arial" w:cs="Arial"/>
          <w:sz w:val="24"/>
        </w:rPr>
        <w:t xml:space="preserve">This essay describes three scenarios where a child in the class is causing difficulty for the teacher, their peers or both. Each scenario will be analysed in turn to determine what is going on, what will work and what will not work, and to provide suggestions for how to prevent the issue from recurring in future. </w:t>
      </w:r>
    </w:p>
    <w:p w14:paraId="44534B17" w14:textId="77777777" w:rsidR="0005026F" w:rsidRDefault="0005026F" w:rsidP="0005026F">
      <w:pPr>
        <w:spacing w:line="360" w:lineRule="auto"/>
        <w:jc w:val="both"/>
        <w:rPr>
          <w:rFonts w:ascii="Arial" w:hAnsi="Arial" w:cs="Arial"/>
          <w:sz w:val="24"/>
        </w:rPr>
      </w:pPr>
      <w:r>
        <w:rPr>
          <w:rFonts w:ascii="Arial" w:hAnsi="Arial" w:cs="Arial"/>
          <w:sz w:val="24"/>
        </w:rPr>
        <w:t xml:space="preserve">The first scenario concerns a Year 3 boy from a severely dysfunctional family. If given even the slightest criticism he refuses to continue working; he claims not to care about losing rewards and being punished, but returns in tears if scolded by the headteacher for anything. Since he seems to get away with anything, other boys in the class have started copying his behaviour, which is causing difficulty for the teacher. </w:t>
      </w:r>
    </w:p>
    <w:p w14:paraId="4A7489D8" w14:textId="77777777" w:rsidR="0005026F" w:rsidRDefault="0005026F" w:rsidP="0005026F">
      <w:pPr>
        <w:spacing w:line="360" w:lineRule="auto"/>
        <w:jc w:val="both"/>
        <w:rPr>
          <w:rFonts w:ascii="Arial" w:hAnsi="Arial" w:cs="Arial"/>
          <w:sz w:val="24"/>
        </w:rPr>
      </w:pPr>
      <w:r>
        <w:rPr>
          <w:rFonts w:ascii="Arial" w:hAnsi="Arial" w:cs="Arial"/>
          <w:sz w:val="24"/>
        </w:rPr>
        <w:t xml:space="preserve">According to Delaney (2009), this boy is showing several characteristics of an insecure-avoidant attachment, caused by rejection in the early years, which leaves the child unwilling to form relationships for fear of further rejection. As a result, they become increasingly independent and learn to cope without relying on adult help, so when adults at school try to offer them support, they effectively shut down, because this is safer than letting someone in and accepting their help. Even when the task is beyond their level of understanding, they will not ask anyone for assistance. The threat of losing a reward is also ineffective and irrelevant to them; they are so accustomed to shutting people out that any external motivation or justification is worthless, because they rely only on their own opinions to determine whether or not they are successful. </w:t>
      </w:r>
    </w:p>
    <w:p w14:paraId="73D91129" w14:textId="77777777" w:rsidR="0005026F" w:rsidRDefault="0005026F" w:rsidP="0005026F">
      <w:pPr>
        <w:spacing w:line="360" w:lineRule="auto"/>
        <w:jc w:val="both"/>
        <w:rPr>
          <w:rFonts w:ascii="Arial" w:hAnsi="Arial" w:cs="Arial"/>
          <w:sz w:val="24"/>
        </w:rPr>
      </w:pPr>
      <w:r>
        <w:rPr>
          <w:rFonts w:ascii="Arial" w:hAnsi="Arial" w:cs="Arial"/>
          <w:sz w:val="24"/>
        </w:rPr>
        <w:t xml:space="preserve">The teacher has tried the traditional methods of modifying behaviour, such as taking rewards from the child as a means of punishment, but as outlined above, this has little to no impact on the child because he does not need an extrinsic form of motivation to determine how he behaves; the only judgement worth anything to him is his own. Being scolded by the headteacher as punishment is also doubly counter-productive, because not only does it leave the child with even less desire to work than before, but it reinforces his inner belief that adults cannot be trusted to be kind and helpful, </w:t>
      </w:r>
      <w:r>
        <w:rPr>
          <w:rFonts w:ascii="Arial" w:hAnsi="Arial" w:cs="Arial"/>
          <w:sz w:val="24"/>
        </w:rPr>
        <w:lastRenderedPageBreak/>
        <w:t xml:space="preserve">as all this particular adult is doing is upsetting him. Both of these will leave the child more inclined than ever to shut others out and reject offers of help or support (Geddes, 2006).  </w:t>
      </w:r>
    </w:p>
    <w:p w14:paraId="69744F19" w14:textId="77777777" w:rsidR="0005026F" w:rsidRDefault="0005026F" w:rsidP="0005026F">
      <w:pPr>
        <w:spacing w:line="360" w:lineRule="auto"/>
        <w:jc w:val="both"/>
        <w:rPr>
          <w:rFonts w:ascii="Arial" w:hAnsi="Arial" w:cs="Arial"/>
          <w:sz w:val="24"/>
        </w:rPr>
      </w:pPr>
      <w:r>
        <w:rPr>
          <w:rFonts w:ascii="Arial" w:hAnsi="Arial" w:cs="Arial"/>
          <w:sz w:val="24"/>
        </w:rPr>
        <w:t xml:space="preserve">Delaney suggests that the best way to help pupils such as this boy is to make the task the focus point, and give the child some control over it. For example, if the teacher wants the child to add details to a story, then they should talk about the characters, the setting and so on, rather than asking the child “could you add…?” Instead, they could say something like “I wonder how old that boy is there?”, allowing the child to remain in control but at the same time giving them the help they may need. Another way to give the child autonomy over their work is by, for example, giving a set number of questions but allowing the children to choose the order in which they complete them. The tasks should also have an obvious end goal, so that the child has something to aim for, and a sense of closure when the task is completed.  </w:t>
      </w:r>
    </w:p>
    <w:p w14:paraId="2E0B6001" w14:textId="77777777" w:rsidR="0005026F" w:rsidRDefault="0005026F" w:rsidP="0005026F">
      <w:pPr>
        <w:spacing w:line="360" w:lineRule="auto"/>
        <w:jc w:val="both"/>
        <w:rPr>
          <w:rFonts w:ascii="Arial" w:hAnsi="Arial" w:cs="Arial"/>
          <w:sz w:val="24"/>
        </w:rPr>
      </w:pPr>
      <w:r>
        <w:rPr>
          <w:rFonts w:ascii="Arial" w:hAnsi="Arial" w:cs="Arial"/>
          <w:sz w:val="24"/>
        </w:rPr>
        <w:t xml:space="preserve">The second scenario focuses on a Reception class, in which there is a highly able boy, who always gives the correct answer and is a model pupil in almost every way, but never puts his hand up to ask or answer a question. Others are starting to follow his lead of simply shouting out; the teacher is concerned because whilst she wants to encourage him to continue to contribute and work hard, she wants him to stop shouting the answer without his hand up. </w:t>
      </w:r>
    </w:p>
    <w:p w14:paraId="056ECBC0" w14:textId="77777777" w:rsidR="0005026F" w:rsidRDefault="0005026F" w:rsidP="0005026F">
      <w:pPr>
        <w:spacing w:line="360" w:lineRule="auto"/>
        <w:jc w:val="both"/>
        <w:rPr>
          <w:rFonts w:ascii="Arial" w:hAnsi="Arial" w:cs="Arial"/>
          <w:sz w:val="24"/>
        </w:rPr>
      </w:pPr>
      <w:r>
        <w:rPr>
          <w:rFonts w:ascii="Arial" w:hAnsi="Arial" w:cs="Arial"/>
          <w:sz w:val="24"/>
        </w:rPr>
        <w:t xml:space="preserve">Eyre (1997) suggests that this child is probably finding the work in class too easy and may well be slightly bored by it, as he certainly seems to be more academically gifted than his peers. For him, it takes little or even no effort to work out the answer; he is shouting it out because he wants to move on to something more challenging, and wants to do so as quickly as possible. This tends to be the most common problem for more able children, because their struggle is less obvious than that of, for example, a child who finds even simple academic tasks difficult. In fact, ‘in the case of the most able groups the work was considerably less well-matched than for average and less able groups’ (HMI, 1978: 81 </w:t>
      </w:r>
      <w:r>
        <w:rPr>
          <w:rFonts w:ascii="Arial" w:hAnsi="Arial" w:cs="Arial"/>
          <w:i/>
          <w:sz w:val="24"/>
        </w:rPr>
        <w:t xml:space="preserve">cited in </w:t>
      </w:r>
      <w:r>
        <w:rPr>
          <w:rFonts w:ascii="Arial" w:hAnsi="Arial" w:cs="Arial"/>
          <w:sz w:val="24"/>
        </w:rPr>
        <w:t xml:space="preserve">Eyre, 1997).  </w:t>
      </w:r>
    </w:p>
    <w:p w14:paraId="068B3FDF" w14:textId="77777777" w:rsidR="0005026F" w:rsidRDefault="0005026F" w:rsidP="0005026F">
      <w:pPr>
        <w:spacing w:line="360" w:lineRule="auto"/>
        <w:jc w:val="both"/>
        <w:rPr>
          <w:rFonts w:ascii="Arial" w:hAnsi="Arial" w:cs="Arial"/>
          <w:sz w:val="24"/>
        </w:rPr>
      </w:pPr>
      <w:r>
        <w:rPr>
          <w:rFonts w:ascii="Arial" w:hAnsi="Arial" w:cs="Arial"/>
          <w:sz w:val="24"/>
        </w:rPr>
        <w:t>It seems that the teacher is currently not doing anything to alter this child’s behaviour, other than worrying about what should be done. Very likely what has happened is that during the “establishment phase” of behaviour management, when expectations and boundaries are outlined at the start of the academic year, the rule that children should put their hands up to ask or answer a question was not implemented strongly enough; if it was, clearly it has not been reinforced throughout the year. This is ineffective in this scenario because the problem of a child shouting out is not one which can be ignored; the child is not learning that he is doing things the wrong way, so he is not going to change what he is doing. Moreover, his peers have clearly assumed that he is not doing anything wrong, as the teacher is not putting him right, which is leading to them shouting out answers and as a result the whole class is being disrupted (Rogers, 2015).</w:t>
      </w:r>
    </w:p>
    <w:p w14:paraId="271E0D8E" w14:textId="77777777" w:rsidR="0005026F" w:rsidRDefault="0005026F" w:rsidP="0005026F">
      <w:pPr>
        <w:spacing w:line="360" w:lineRule="auto"/>
        <w:jc w:val="both"/>
        <w:rPr>
          <w:rFonts w:ascii="Arial" w:hAnsi="Arial" w:cs="Arial"/>
          <w:sz w:val="24"/>
        </w:rPr>
      </w:pPr>
      <w:r>
        <w:rPr>
          <w:rFonts w:ascii="Arial" w:hAnsi="Arial" w:cs="Arial"/>
          <w:sz w:val="24"/>
        </w:rPr>
        <w:lastRenderedPageBreak/>
        <w:t xml:space="preserve">Furthermore, Cowley (2009) points out that the pupil-teacher relationship is not a friendship; this teacher seems very concerned about being nice to pupils in order that they like her, in which case she will not put them right when they deviate from the rules. However, this does little more than lay the foundations for future trouble; rules need to be reinforced regularly, and every sanction carried through, otherwise there is no point having the rules in the first place. For this scenario, Cowley suggests that every question or statement that requires an answer be started with “hands up”, for example “hands up if you can tell me what this means”, so that the children know even before they hear the question that they have to put their hand up in order to give an answer. And if this boy continues to shout out, the teacher should explain that whilst he may have given the correct answer, she cannot accept it from him because he did not put his hand up. This way, he will eventually learn that he has not failed or got the answer wrong; he just needs to put his hand up if he wants his answer to be used. Hopefully, this will also lead to the rest of the class putting their hands up to give an answer, rather than also shouting out.    </w:t>
      </w:r>
    </w:p>
    <w:p w14:paraId="46FAB543" w14:textId="77777777" w:rsidR="0005026F" w:rsidRDefault="0005026F" w:rsidP="0005026F">
      <w:pPr>
        <w:spacing w:line="360" w:lineRule="auto"/>
        <w:jc w:val="both"/>
        <w:rPr>
          <w:rFonts w:ascii="Arial" w:hAnsi="Arial" w:cs="Arial"/>
          <w:sz w:val="24"/>
        </w:rPr>
      </w:pPr>
      <w:r>
        <w:rPr>
          <w:rFonts w:ascii="Arial" w:hAnsi="Arial" w:cs="Arial"/>
          <w:sz w:val="24"/>
        </w:rPr>
        <w:t xml:space="preserve">The final scenario concerns a Year 2 girl with additional needs who, although the oldest in the class, is considerably behind her peers in academic terms. She has a tendency to argue with both adults and other children, becomes upset and angry when she fails to get her own way, and has started to bully her peers. The teacher’s efforts to encourage her to be kind fail more often than not and her parents are also struggling to cope with her behaviour. </w:t>
      </w:r>
    </w:p>
    <w:p w14:paraId="1B08996B" w14:textId="77777777" w:rsidR="0005026F" w:rsidRDefault="0005026F" w:rsidP="0005026F">
      <w:pPr>
        <w:spacing w:line="360" w:lineRule="auto"/>
        <w:jc w:val="both"/>
        <w:rPr>
          <w:rFonts w:ascii="Arial" w:hAnsi="Arial" w:cs="Arial"/>
          <w:sz w:val="24"/>
        </w:rPr>
      </w:pPr>
      <w:r>
        <w:rPr>
          <w:rFonts w:ascii="Arial" w:hAnsi="Arial" w:cs="Arial"/>
          <w:sz w:val="24"/>
        </w:rPr>
        <w:t xml:space="preserve">It is possible that this child has some form of autism, based on her behaviour and existing identification of additional needs. This would explain her inability to see the situation from others’ points of view, and her tendency to fight events that do not progress the way she wants them to; it could be that she does things a certain way because this is how she ensures that she feels safe, in which case having to do something someone else’s way would be frightening and even overwhelming. What is currently perceived as a tantrum could in fact be the manifestation of a meltdown, when events become too overwhelming to cope with (National Autistic Society, 2016). </w:t>
      </w:r>
    </w:p>
    <w:p w14:paraId="33F25BB0" w14:textId="77777777" w:rsidR="0005026F" w:rsidRDefault="0005026F" w:rsidP="0005026F">
      <w:pPr>
        <w:spacing w:line="360" w:lineRule="auto"/>
        <w:jc w:val="both"/>
        <w:rPr>
          <w:rFonts w:ascii="Arial" w:hAnsi="Arial" w:cs="Arial"/>
          <w:sz w:val="24"/>
        </w:rPr>
      </w:pPr>
      <w:r>
        <w:rPr>
          <w:rFonts w:ascii="Arial" w:hAnsi="Arial" w:cs="Arial"/>
          <w:sz w:val="24"/>
        </w:rPr>
        <w:t xml:space="preserve">The teacher has tried to promote positive behaviour by praising the child and encouraging her to be kind, but this is not working, as the unwanted behaviour is continuing. The National Autistic Society suggests that this is because these actions are not addressing the main problem, which seems to be that this girl finds it extremely difficult to cope in the school environment. She is not misbehaving, but communicating in her own way that her sensory processing facility has reached overload, and she can no longer manage. Furthermore, simply telling her to “be kind” is not working because she may not actually know what “kind” means; she needs to be shown what this looks like in practice, in other words what one does to show kindness to others. She may not even realise that she is upsetting her peers, if she finds it difficult to read things like facial expressions and pick up social </w:t>
      </w:r>
      <w:r>
        <w:rPr>
          <w:rFonts w:ascii="Arial" w:hAnsi="Arial" w:cs="Arial"/>
          <w:sz w:val="24"/>
        </w:rPr>
        <w:lastRenderedPageBreak/>
        <w:t xml:space="preserve">cues, in which case she may think she is being scolded for nothing when other children report her behaviour to an adult. This in turn may be what has led to her telling the teacher that her peers have upset her, when in reality they have not; she may be just copying the behaviour she has seen in others. </w:t>
      </w:r>
    </w:p>
    <w:p w14:paraId="73B44327" w14:textId="77777777" w:rsidR="0005026F" w:rsidRDefault="0005026F" w:rsidP="0005026F">
      <w:pPr>
        <w:spacing w:line="360" w:lineRule="auto"/>
        <w:jc w:val="both"/>
        <w:rPr>
          <w:rFonts w:ascii="Arial" w:hAnsi="Arial" w:cs="Arial"/>
          <w:sz w:val="24"/>
        </w:rPr>
      </w:pPr>
      <w:r>
        <w:rPr>
          <w:rFonts w:ascii="Arial" w:hAnsi="Arial" w:cs="Arial"/>
          <w:sz w:val="24"/>
        </w:rPr>
        <w:t>Whatever the underlying cause, Mitchell (2014) explains that the first step when dealing with problem behaviours of this sort is to determine what triggers them; without this information, little can be done to remedy the problem. The easiest way to do this is to note what happens immediately before the problem behaviour is displayed, as this is most likely its cause. For example, it may be that someone else has taken something which the child had put down, unaware that the child was planning on using it again; the child perceives this as that person stealing from them, and becomes justifiably upset. If these triggers can be removed, or the child can be warned of them in advance, the problem behaviour is less likely to occur in future.</w:t>
      </w:r>
    </w:p>
    <w:p w14:paraId="658135AA" w14:textId="77777777" w:rsidR="0005026F" w:rsidRDefault="0005026F" w:rsidP="0005026F">
      <w:pPr>
        <w:spacing w:line="360" w:lineRule="auto"/>
        <w:jc w:val="both"/>
        <w:rPr>
          <w:rFonts w:ascii="Arial" w:hAnsi="Arial" w:cs="Arial"/>
          <w:sz w:val="24"/>
        </w:rPr>
      </w:pPr>
      <w:r>
        <w:rPr>
          <w:rFonts w:ascii="Arial" w:hAnsi="Arial" w:cs="Arial"/>
          <w:sz w:val="24"/>
        </w:rPr>
        <w:t>Moreover, if the child has been identified as having additional needs, they are entitled to some form of support at school, including an Education, Health and Care plan, or EHC, if the support they require is beyond the reach of the school. This support can also come in the form of a teaching assistant who works on a one-to-one basis with the child, helping them to not only engage with lessons, but also with managing their feelings, serving as a form of containment when the child struggles to process everything that is happening. Other ways of helping the child may be to allow them to work in a small group away from the rest of the class, if the classroom is too noisy or busy; they may have to approach a learning task in a different way to their peers, and changes need to be planned for well in advance. This is sometimes known as pre-teaching, where an adult helps the child to prepare for the change long before it happens, so that when it does come, the child is already at least partly aware of what is going to happen (GOV.uk, no date).</w:t>
      </w:r>
    </w:p>
    <w:p w14:paraId="28F49666" w14:textId="77777777" w:rsidR="0005026F" w:rsidRDefault="0005026F" w:rsidP="0005026F">
      <w:pPr>
        <w:spacing w:line="360" w:lineRule="auto"/>
        <w:jc w:val="both"/>
        <w:rPr>
          <w:rFonts w:ascii="Arial" w:hAnsi="Arial" w:cs="Arial"/>
          <w:sz w:val="24"/>
        </w:rPr>
      </w:pPr>
      <w:r>
        <w:rPr>
          <w:rFonts w:ascii="Arial" w:hAnsi="Arial" w:cs="Arial"/>
          <w:sz w:val="24"/>
        </w:rPr>
        <w:t xml:space="preserve">A discussion with the child’s parents is probably also necessary, not least because it was mentioned that they are struggling to cope with her behaviour as well. Discussing the child’s behaviour with the parents is often the best place to start, as parents may already have some idea of what triggers the child’s problem behaviours, such as changes in routine. Not only this, but the parents have a right to be involved in all extra support provided by the school for the child; all plans should be jointly formulated by the teacher, the parents and the school’s Special Educational Needs Coordinator, or SENCo, to ensure that the child receives the best quality of help and support possible. </w:t>
      </w:r>
    </w:p>
    <w:p w14:paraId="4A3A8026" w14:textId="77777777" w:rsidR="0005026F" w:rsidRDefault="0005026F" w:rsidP="0005026F">
      <w:pPr>
        <w:spacing w:line="360" w:lineRule="auto"/>
        <w:jc w:val="both"/>
        <w:rPr>
          <w:rFonts w:ascii="Arial" w:hAnsi="Arial" w:cs="Arial"/>
          <w:sz w:val="24"/>
        </w:rPr>
      </w:pPr>
      <w:r>
        <w:rPr>
          <w:rFonts w:ascii="Arial" w:hAnsi="Arial" w:cs="Arial"/>
          <w:sz w:val="24"/>
        </w:rPr>
        <w:t xml:space="preserve">In conclusion, it is important to remember that classroom management consists not just of controlling behaviour and dealing with challenging episodes, but ensuring that rules and boundaries are implemented early on and consistently reinforced, and if necessary searching deeper to find out </w:t>
      </w:r>
      <w:r>
        <w:rPr>
          <w:rFonts w:ascii="Arial" w:hAnsi="Arial" w:cs="Arial"/>
          <w:sz w:val="24"/>
        </w:rPr>
        <w:lastRenderedPageBreak/>
        <w:t xml:space="preserve">precisely what is causing the unwanted behaviour, as the cause is not always as obvious as it may seem at first. </w:t>
      </w:r>
    </w:p>
    <w:p w14:paraId="41531B61" w14:textId="2C4E2F75" w:rsidR="0005026F" w:rsidRDefault="0005026F" w:rsidP="0005026F">
      <w:pPr>
        <w:spacing w:line="360" w:lineRule="auto"/>
        <w:jc w:val="both"/>
        <w:rPr>
          <w:rFonts w:ascii="Arial" w:hAnsi="Arial" w:cs="Arial"/>
          <w:sz w:val="24"/>
        </w:rPr>
      </w:pPr>
    </w:p>
    <w:p w14:paraId="10BD1C0B" w14:textId="77777777" w:rsidR="0005026F" w:rsidRDefault="0005026F" w:rsidP="0005026F">
      <w:pPr>
        <w:spacing w:line="360" w:lineRule="auto"/>
        <w:jc w:val="both"/>
        <w:rPr>
          <w:rFonts w:ascii="Arial" w:hAnsi="Arial" w:cs="Arial"/>
          <w:sz w:val="24"/>
          <w:u w:val="single"/>
        </w:rPr>
      </w:pPr>
      <w:r>
        <w:rPr>
          <w:rFonts w:ascii="Arial" w:hAnsi="Arial" w:cs="Arial"/>
          <w:sz w:val="24"/>
          <w:u w:val="single"/>
        </w:rPr>
        <w:t>Reference list</w:t>
      </w:r>
    </w:p>
    <w:p w14:paraId="41E997FB" w14:textId="77777777" w:rsidR="0005026F" w:rsidRDefault="0005026F" w:rsidP="0005026F">
      <w:pPr>
        <w:spacing w:line="360" w:lineRule="auto"/>
        <w:jc w:val="both"/>
        <w:rPr>
          <w:rFonts w:ascii="Arial" w:hAnsi="Arial" w:cs="Arial"/>
          <w:sz w:val="24"/>
        </w:rPr>
      </w:pPr>
      <w:r>
        <w:rPr>
          <w:rFonts w:ascii="Arial" w:hAnsi="Arial" w:cs="Arial"/>
          <w:sz w:val="24"/>
        </w:rPr>
        <w:t xml:space="preserve">Cowley, S. (2009) </w:t>
      </w:r>
      <w:r>
        <w:rPr>
          <w:rFonts w:ascii="Arial" w:hAnsi="Arial" w:cs="Arial"/>
          <w:i/>
          <w:sz w:val="24"/>
        </w:rPr>
        <w:t xml:space="preserve">How to Survive Your First Year in Teaching </w:t>
      </w:r>
      <w:r>
        <w:rPr>
          <w:rFonts w:ascii="Arial" w:hAnsi="Arial" w:cs="Arial"/>
          <w:sz w:val="24"/>
        </w:rPr>
        <w:t>(2</w:t>
      </w:r>
      <w:r w:rsidRPr="00F25AAB">
        <w:rPr>
          <w:rFonts w:ascii="Arial" w:hAnsi="Arial" w:cs="Arial"/>
          <w:sz w:val="24"/>
          <w:vertAlign w:val="superscript"/>
        </w:rPr>
        <w:t>nd</w:t>
      </w:r>
      <w:r>
        <w:rPr>
          <w:rFonts w:ascii="Arial" w:hAnsi="Arial" w:cs="Arial"/>
          <w:sz w:val="24"/>
        </w:rPr>
        <w:t xml:space="preserve"> edn)</w:t>
      </w:r>
      <w:r>
        <w:rPr>
          <w:rFonts w:ascii="Arial" w:hAnsi="Arial" w:cs="Arial"/>
          <w:i/>
          <w:sz w:val="24"/>
        </w:rPr>
        <w:t xml:space="preserve">. </w:t>
      </w:r>
      <w:r>
        <w:rPr>
          <w:rFonts w:ascii="Arial" w:hAnsi="Arial" w:cs="Arial"/>
          <w:sz w:val="24"/>
        </w:rPr>
        <w:t xml:space="preserve">London: Continuum International Publishing Group. </w:t>
      </w:r>
    </w:p>
    <w:p w14:paraId="397844B0" w14:textId="77777777" w:rsidR="0005026F" w:rsidRDefault="0005026F" w:rsidP="0005026F">
      <w:pPr>
        <w:spacing w:line="360" w:lineRule="auto"/>
        <w:jc w:val="both"/>
        <w:rPr>
          <w:rFonts w:ascii="Arial" w:hAnsi="Arial" w:cs="Arial"/>
          <w:i/>
          <w:sz w:val="24"/>
        </w:rPr>
      </w:pPr>
      <w:r>
        <w:rPr>
          <w:rFonts w:ascii="Arial" w:hAnsi="Arial" w:cs="Arial"/>
          <w:sz w:val="24"/>
        </w:rPr>
        <w:t xml:space="preserve">Delaney, M. (2009) </w:t>
      </w:r>
      <w:r>
        <w:rPr>
          <w:rFonts w:ascii="Arial" w:hAnsi="Arial" w:cs="Arial"/>
          <w:i/>
          <w:sz w:val="24"/>
        </w:rPr>
        <w:t xml:space="preserve">Teaching the Unteachable. </w:t>
      </w:r>
      <w:r>
        <w:rPr>
          <w:rFonts w:ascii="Arial" w:hAnsi="Arial" w:cs="Arial"/>
          <w:sz w:val="24"/>
        </w:rPr>
        <w:t xml:space="preserve">London: Worth Publishing Limited. </w:t>
      </w:r>
      <w:r>
        <w:rPr>
          <w:rFonts w:ascii="Arial" w:hAnsi="Arial" w:cs="Arial"/>
          <w:i/>
          <w:sz w:val="24"/>
        </w:rPr>
        <w:t xml:space="preserve"> </w:t>
      </w:r>
    </w:p>
    <w:p w14:paraId="55EFD8DF" w14:textId="77777777" w:rsidR="0005026F" w:rsidRDefault="0005026F" w:rsidP="0005026F">
      <w:pPr>
        <w:spacing w:line="360" w:lineRule="auto"/>
        <w:jc w:val="both"/>
        <w:rPr>
          <w:rFonts w:ascii="Arial" w:hAnsi="Arial" w:cs="Arial"/>
          <w:sz w:val="24"/>
        </w:rPr>
      </w:pPr>
      <w:r>
        <w:rPr>
          <w:rFonts w:ascii="Arial" w:hAnsi="Arial" w:cs="Arial"/>
          <w:sz w:val="24"/>
        </w:rPr>
        <w:t xml:space="preserve">Eyre, D. (1997) </w:t>
      </w:r>
      <w:r>
        <w:rPr>
          <w:rFonts w:ascii="Arial" w:hAnsi="Arial" w:cs="Arial"/>
          <w:i/>
          <w:sz w:val="24"/>
        </w:rPr>
        <w:t xml:space="preserve">Able Children in Ordinary Schools. </w:t>
      </w:r>
      <w:r>
        <w:rPr>
          <w:rFonts w:ascii="Arial" w:hAnsi="Arial" w:cs="Arial"/>
          <w:sz w:val="24"/>
        </w:rPr>
        <w:t xml:space="preserve">London: David Fulton Publishers Limited. </w:t>
      </w:r>
    </w:p>
    <w:p w14:paraId="6D5FC10B" w14:textId="77777777" w:rsidR="0005026F" w:rsidRDefault="0005026F" w:rsidP="0005026F">
      <w:pPr>
        <w:spacing w:line="360" w:lineRule="auto"/>
        <w:jc w:val="both"/>
        <w:rPr>
          <w:rFonts w:ascii="Arial" w:hAnsi="Arial" w:cs="Arial"/>
          <w:sz w:val="24"/>
        </w:rPr>
      </w:pPr>
      <w:r>
        <w:rPr>
          <w:rFonts w:ascii="Arial" w:hAnsi="Arial" w:cs="Arial"/>
          <w:sz w:val="24"/>
        </w:rPr>
        <w:t xml:space="preserve">Geddes, H. (2006) </w:t>
      </w:r>
      <w:r>
        <w:rPr>
          <w:rFonts w:ascii="Arial" w:hAnsi="Arial" w:cs="Arial"/>
          <w:i/>
          <w:sz w:val="24"/>
        </w:rPr>
        <w:t xml:space="preserve">Attachment in the Classroom. </w:t>
      </w:r>
      <w:r>
        <w:rPr>
          <w:rFonts w:ascii="Arial" w:hAnsi="Arial" w:cs="Arial"/>
          <w:sz w:val="24"/>
        </w:rPr>
        <w:t>London: Worth Publishing Limited.</w:t>
      </w:r>
    </w:p>
    <w:p w14:paraId="0D7DC1A1" w14:textId="77777777" w:rsidR="0005026F" w:rsidRDefault="0005026F" w:rsidP="0005026F">
      <w:pPr>
        <w:spacing w:line="360" w:lineRule="auto"/>
        <w:jc w:val="both"/>
        <w:rPr>
          <w:rFonts w:ascii="Arial" w:hAnsi="Arial" w:cs="Arial"/>
          <w:sz w:val="24"/>
        </w:rPr>
      </w:pPr>
      <w:r w:rsidRPr="00306874">
        <w:rPr>
          <w:rFonts w:ascii="Arial" w:hAnsi="Arial" w:cs="Arial"/>
          <w:sz w:val="24"/>
        </w:rPr>
        <w:t xml:space="preserve">GOV.uk (no date) </w:t>
      </w:r>
      <w:r w:rsidRPr="00306874">
        <w:rPr>
          <w:rFonts w:ascii="Arial" w:hAnsi="Arial" w:cs="Arial"/>
          <w:i/>
          <w:sz w:val="24"/>
        </w:rPr>
        <w:t xml:space="preserve">Children with special educational needs and disabilities (SEND). </w:t>
      </w:r>
      <w:hyperlink r:id="rId6" w:history="1">
        <w:r w:rsidRPr="00C23332">
          <w:rPr>
            <w:rStyle w:val="Hyperlink"/>
            <w:rFonts w:ascii="Arial" w:hAnsi="Arial" w:cs="Arial"/>
            <w:sz w:val="24"/>
          </w:rPr>
          <w:t>https://www.gov.uk/children-with-special-educational-needs/special-educational-needs-support</w:t>
        </w:r>
      </w:hyperlink>
      <w:r>
        <w:rPr>
          <w:rFonts w:ascii="Arial" w:hAnsi="Arial" w:cs="Arial"/>
          <w:color w:val="FF0000"/>
          <w:sz w:val="24"/>
        </w:rPr>
        <w:t xml:space="preserve"> </w:t>
      </w:r>
      <w:r w:rsidRPr="00306874">
        <w:rPr>
          <w:rFonts w:ascii="Arial" w:hAnsi="Arial" w:cs="Arial"/>
          <w:sz w:val="24"/>
        </w:rPr>
        <w:t>(Accessed: 9</w:t>
      </w:r>
      <w:r w:rsidRPr="00306874">
        <w:rPr>
          <w:rFonts w:ascii="Arial" w:hAnsi="Arial" w:cs="Arial"/>
          <w:sz w:val="24"/>
          <w:vertAlign w:val="superscript"/>
        </w:rPr>
        <w:t>th</w:t>
      </w:r>
      <w:r w:rsidRPr="00306874">
        <w:rPr>
          <w:rFonts w:ascii="Arial" w:hAnsi="Arial" w:cs="Arial"/>
          <w:sz w:val="24"/>
        </w:rPr>
        <w:t xml:space="preserve"> May 2018). </w:t>
      </w:r>
    </w:p>
    <w:p w14:paraId="2C79F011" w14:textId="77777777" w:rsidR="0005026F" w:rsidRPr="00306874" w:rsidRDefault="0005026F" w:rsidP="0005026F">
      <w:pPr>
        <w:spacing w:line="360" w:lineRule="auto"/>
        <w:jc w:val="both"/>
        <w:rPr>
          <w:rFonts w:ascii="Arial" w:hAnsi="Arial" w:cs="Arial"/>
          <w:sz w:val="24"/>
        </w:rPr>
      </w:pPr>
      <w:r w:rsidRPr="00306874">
        <w:rPr>
          <w:rFonts w:ascii="Arial" w:hAnsi="Arial" w:cs="Arial"/>
          <w:sz w:val="24"/>
        </w:rPr>
        <w:t xml:space="preserve">Mitchell, D. (2014) </w:t>
      </w:r>
      <w:r w:rsidRPr="00306874">
        <w:rPr>
          <w:rFonts w:ascii="Arial" w:hAnsi="Arial" w:cs="Arial"/>
          <w:i/>
          <w:sz w:val="24"/>
        </w:rPr>
        <w:t xml:space="preserve">What Really Works in Special and Inclusive Education – Using evidence-based teaching strategies </w:t>
      </w:r>
      <w:r w:rsidRPr="00306874">
        <w:rPr>
          <w:rFonts w:ascii="Arial" w:hAnsi="Arial" w:cs="Arial"/>
          <w:sz w:val="24"/>
        </w:rPr>
        <w:t>(2</w:t>
      </w:r>
      <w:r w:rsidRPr="00306874">
        <w:rPr>
          <w:rFonts w:ascii="Arial" w:hAnsi="Arial" w:cs="Arial"/>
          <w:sz w:val="24"/>
          <w:vertAlign w:val="superscript"/>
        </w:rPr>
        <w:t>nd</w:t>
      </w:r>
      <w:r w:rsidRPr="00306874">
        <w:rPr>
          <w:rFonts w:ascii="Arial" w:hAnsi="Arial" w:cs="Arial"/>
          <w:sz w:val="24"/>
        </w:rPr>
        <w:t xml:space="preserve"> edn). Oxon: Routledge. </w:t>
      </w:r>
    </w:p>
    <w:p w14:paraId="5CFB86F4" w14:textId="77777777" w:rsidR="0005026F" w:rsidRDefault="0005026F" w:rsidP="0005026F">
      <w:pPr>
        <w:spacing w:line="360" w:lineRule="auto"/>
        <w:jc w:val="both"/>
        <w:rPr>
          <w:rFonts w:ascii="Arial" w:hAnsi="Arial" w:cs="Arial"/>
          <w:sz w:val="24"/>
        </w:rPr>
      </w:pPr>
      <w:r>
        <w:rPr>
          <w:rFonts w:ascii="Arial" w:hAnsi="Arial" w:cs="Arial"/>
          <w:sz w:val="24"/>
        </w:rPr>
        <w:t xml:space="preserve">Rogers, B. (2015) </w:t>
      </w:r>
      <w:r>
        <w:rPr>
          <w:rFonts w:ascii="Arial" w:hAnsi="Arial" w:cs="Arial"/>
          <w:i/>
          <w:sz w:val="24"/>
        </w:rPr>
        <w:t xml:space="preserve">Classroom Behaviour </w:t>
      </w:r>
      <w:r>
        <w:rPr>
          <w:rFonts w:ascii="Arial" w:hAnsi="Arial" w:cs="Arial"/>
          <w:sz w:val="24"/>
        </w:rPr>
        <w:t>(4</w:t>
      </w:r>
      <w:r w:rsidRPr="002255F5">
        <w:rPr>
          <w:rFonts w:ascii="Arial" w:hAnsi="Arial" w:cs="Arial"/>
          <w:sz w:val="24"/>
          <w:vertAlign w:val="superscript"/>
        </w:rPr>
        <w:t>th</w:t>
      </w:r>
      <w:r>
        <w:rPr>
          <w:rFonts w:ascii="Arial" w:hAnsi="Arial" w:cs="Arial"/>
          <w:sz w:val="24"/>
        </w:rPr>
        <w:t xml:space="preserve"> edn). London: SAGE Publications Limited.</w:t>
      </w:r>
    </w:p>
    <w:p w14:paraId="3875231F" w14:textId="77777777" w:rsidR="0005026F" w:rsidRPr="00031847" w:rsidRDefault="0005026F" w:rsidP="0005026F">
      <w:pPr>
        <w:spacing w:line="360" w:lineRule="auto"/>
        <w:jc w:val="both"/>
        <w:rPr>
          <w:rFonts w:ascii="Arial" w:hAnsi="Arial" w:cs="Arial"/>
          <w:sz w:val="24"/>
        </w:rPr>
      </w:pPr>
      <w:r>
        <w:rPr>
          <w:rFonts w:ascii="Arial" w:hAnsi="Arial" w:cs="Arial"/>
          <w:sz w:val="24"/>
        </w:rPr>
        <w:t xml:space="preserve">Scope (2017) </w:t>
      </w:r>
      <w:r>
        <w:rPr>
          <w:rFonts w:ascii="Arial" w:hAnsi="Arial" w:cs="Arial"/>
          <w:i/>
          <w:sz w:val="24"/>
        </w:rPr>
        <w:t xml:space="preserve">Parents – 6 School and education. </w:t>
      </w:r>
      <w:hyperlink r:id="rId7" w:history="1">
        <w:r w:rsidRPr="00031847">
          <w:rPr>
            <w:rStyle w:val="Hyperlink"/>
            <w:rFonts w:ascii="Arial" w:hAnsi="Arial" w:cs="Arial"/>
            <w:sz w:val="24"/>
          </w:rPr>
          <w:t>https://www.scope.org.uk/support/families/parents-carers/education</w:t>
        </w:r>
      </w:hyperlink>
      <w:r>
        <w:rPr>
          <w:rFonts w:ascii="Arial" w:hAnsi="Arial" w:cs="Arial"/>
          <w:sz w:val="24"/>
        </w:rPr>
        <w:t xml:space="preserve"> (Accessed: 9</w:t>
      </w:r>
      <w:r w:rsidRPr="00031847">
        <w:rPr>
          <w:rFonts w:ascii="Arial" w:hAnsi="Arial" w:cs="Arial"/>
          <w:sz w:val="24"/>
          <w:vertAlign w:val="superscript"/>
        </w:rPr>
        <w:t>th</w:t>
      </w:r>
      <w:r>
        <w:rPr>
          <w:rFonts w:ascii="Arial" w:hAnsi="Arial" w:cs="Arial"/>
          <w:sz w:val="24"/>
        </w:rPr>
        <w:t xml:space="preserve"> May 2018). </w:t>
      </w:r>
    </w:p>
    <w:p w14:paraId="00D125FF" w14:textId="77777777" w:rsidR="0005026F" w:rsidRDefault="0005026F" w:rsidP="0005026F">
      <w:pPr>
        <w:spacing w:line="360" w:lineRule="auto"/>
        <w:jc w:val="both"/>
        <w:rPr>
          <w:rFonts w:ascii="Arial" w:hAnsi="Arial" w:cs="Arial"/>
          <w:color w:val="FF0000"/>
          <w:sz w:val="24"/>
        </w:rPr>
      </w:pPr>
      <w:r w:rsidRPr="00306874">
        <w:rPr>
          <w:rFonts w:ascii="Arial" w:hAnsi="Arial" w:cs="Arial"/>
          <w:sz w:val="24"/>
        </w:rPr>
        <w:t xml:space="preserve">The National Autistic Society (2016) </w:t>
      </w:r>
      <w:r w:rsidRPr="00306874">
        <w:rPr>
          <w:rFonts w:ascii="Arial" w:hAnsi="Arial" w:cs="Arial"/>
          <w:i/>
          <w:sz w:val="24"/>
        </w:rPr>
        <w:t>Autism – What is autism?</w:t>
      </w:r>
      <w:r w:rsidRPr="00306874">
        <w:rPr>
          <w:rFonts w:ascii="Arial" w:hAnsi="Arial" w:cs="Arial"/>
          <w:sz w:val="24"/>
        </w:rPr>
        <w:t xml:space="preserve"> </w:t>
      </w:r>
      <w:hyperlink r:id="rId8" w:history="1">
        <w:r w:rsidRPr="006917F5">
          <w:rPr>
            <w:rStyle w:val="Hyperlink"/>
            <w:rFonts w:ascii="Arial" w:hAnsi="Arial" w:cs="Arial"/>
            <w:sz w:val="24"/>
          </w:rPr>
          <w:t>www.autism.org.uk/about/what-is/asd.aspx</w:t>
        </w:r>
      </w:hyperlink>
      <w:r>
        <w:rPr>
          <w:rFonts w:ascii="Arial" w:hAnsi="Arial" w:cs="Arial"/>
          <w:color w:val="FF0000"/>
          <w:sz w:val="24"/>
        </w:rPr>
        <w:t xml:space="preserve"> </w:t>
      </w:r>
      <w:r w:rsidRPr="00306874">
        <w:rPr>
          <w:rFonts w:ascii="Arial" w:hAnsi="Arial" w:cs="Arial"/>
          <w:sz w:val="24"/>
        </w:rPr>
        <w:t>(Accessed: 9</w:t>
      </w:r>
      <w:r w:rsidRPr="00306874">
        <w:rPr>
          <w:rFonts w:ascii="Arial" w:hAnsi="Arial" w:cs="Arial"/>
          <w:sz w:val="24"/>
          <w:vertAlign w:val="superscript"/>
        </w:rPr>
        <w:t>th</w:t>
      </w:r>
      <w:r w:rsidRPr="00306874">
        <w:rPr>
          <w:rFonts w:ascii="Arial" w:hAnsi="Arial" w:cs="Arial"/>
          <w:sz w:val="24"/>
        </w:rPr>
        <w:t xml:space="preserve"> May 2018). </w:t>
      </w:r>
    </w:p>
    <w:p w14:paraId="4E7F5F77" w14:textId="77777777" w:rsidR="0005026F" w:rsidRPr="00843B50" w:rsidRDefault="0005026F" w:rsidP="0005026F">
      <w:pPr>
        <w:spacing w:line="360" w:lineRule="auto"/>
        <w:jc w:val="both"/>
        <w:rPr>
          <w:rFonts w:ascii="Arial" w:hAnsi="Arial" w:cs="Arial"/>
          <w:sz w:val="24"/>
        </w:rPr>
      </w:pPr>
    </w:p>
    <w:p w14:paraId="1D2FE6B4" w14:textId="77777777" w:rsidR="00FE0637" w:rsidRPr="0005026F" w:rsidRDefault="00FE0637" w:rsidP="0005026F">
      <w:pPr>
        <w:spacing w:line="360" w:lineRule="auto"/>
        <w:jc w:val="both"/>
        <w:rPr>
          <w:rFonts w:ascii="Arial" w:hAnsi="Arial" w:cs="Arial"/>
          <w:sz w:val="24"/>
        </w:rPr>
      </w:pPr>
    </w:p>
    <w:sectPr w:rsidR="00FE0637" w:rsidRPr="0005026F" w:rsidSect="0005026F">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3602D" w14:textId="77777777" w:rsidR="0005026F" w:rsidRDefault="0005026F" w:rsidP="0005026F">
      <w:pPr>
        <w:spacing w:after="0" w:line="240" w:lineRule="auto"/>
      </w:pPr>
      <w:r>
        <w:separator/>
      </w:r>
    </w:p>
  </w:endnote>
  <w:endnote w:type="continuationSeparator" w:id="0">
    <w:p w14:paraId="2E03B430" w14:textId="77777777" w:rsidR="0005026F" w:rsidRDefault="0005026F" w:rsidP="00050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0108371"/>
      <w:docPartObj>
        <w:docPartGallery w:val="Page Numbers (Bottom of Page)"/>
        <w:docPartUnique/>
      </w:docPartObj>
    </w:sdtPr>
    <w:sdtEndPr>
      <w:rPr>
        <w:noProof/>
      </w:rPr>
    </w:sdtEndPr>
    <w:sdtContent>
      <w:p w14:paraId="38455537" w14:textId="594B862C" w:rsidR="0005026F" w:rsidRDefault="0005026F">
        <w:pPr>
          <w:pStyle w:val="Footer"/>
        </w:pPr>
        <w:r>
          <w:fldChar w:fldCharType="begin"/>
        </w:r>
        <w:r>
          <w:instrText xml:space="preserve"> PAGE   \* MERGEFORMAT </w:instrText>
        </w:r>
        <w:r>
          <w:fldChar w:fldCharType="separate"/>
        </w:r>
        <w:r>
          <w:rPr>
            <w:noProof/>
          </w:rPr>
          <w:t>2</w:t>
        </w:r>
        <w:r>
          <w:rPr>
            <w:noProof/>
          </w:rPr>
          <w:fldChar w:fldCharType="end"/>
        </w:r>
      </w:p>
    </w:sdtContent>
  </w:sdt>
  <w:p w14:paraId="7FAD07B7" w14:textId="77777777" w:rsidR="0005026F" w:rsidRDefault="00050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90EF2" w14:textId="77777777" w:rsidR="0005026F" w:rsidRDefault="0005026F" w:rsidP="0005026F">
      <w:pPr>
        <w:spacing w:after="0" w:line="240" w:lineRule="auto"/>
      </w:pPr>
      <w:r>
        <w:separator/>
      </w:r>
    </w:p>
  </w:footnote>
  <w:footnote w:type="continuationSeparator" w:id="0">
    <w:p w14:paraId="0308F491" w14:textId="77777777" w:rsidR="0005026F" w:rsidRDefault="0005026F" w:rsidP="000502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59646" w14:textId="5B896982" w:rsidR="0005026F" w:rsidRDefault="0005026F">
    <w:pPr>
      <w:pStyle w:val="Header"/>
    </w:pPr>
    <w:r>
      <w:t>Rosie-Mai Rivers-Cole</w:t>
    </w:r>
    <w:r>
      <w:tab/>
    </w:r>
    <w:r>
      <w:tab/>
      <w:t>1400108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6F"/>
    <w:rsid w:val="0005026F"/>
    <w:rsid w:val="004A225F"/>
    <w:rsid w:val="006A2FA1"/>
    <w:rsid w:val="007512CA"/>
    <w:rsid w:val="00890D4B"/>
    <w:rsid w:val="00CA7D58"/>
    <w:rsid w:val="00FE0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86BED"/>
  <w15:chartTrackingRefBased/>
  <w15:docId w15:val="{67356BA5-F79A-4A76-BD0E-0F8C19FDD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02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512CA"/>
    <w:pPr>
      <w:spacing w:after="0" w:line="240" w:lineRule="auto"/>
    </w:pPr>
  </w:style>
  <w:style w:type="paragraph" w:styleId="Header">
    <w:name w:val="header"/>
    <w:basedOn w:val="Normal"/>
    <w:link w:val="HeaderChar"/>
    <w:uiPriority w:val="99"/>
    <w:unhideWhenUsed/>
    <w:rsid w:val="00050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26F"/>
  </w:style>
  <w:style w:type="paragraph" w:styleId="Footer">
    <w:name w:val="footer"/>
    <w:basedOn w:val="Normal"/>
    <w:link w:val="FooterChar"/>
    <w:uiPriority w:val="99"/>
    <w:unhideWhenUsed/>
    <w:rsid w:val="00050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26F"/>
  </w:style>
  <w:style w:type="character" w:styleId="Hyperlink">
    <w:name w:val="Hyperlink"/>
    <w:basedOn w:val="DefaultParagraphFont"/>
    <w:uiPriority w:val="99"/>
    <w:unhideWhenUsed/>
    <w:rsid w:val="000502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411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org.uk/about/what-is/asd.aspx" TargetMode="External"/><Relationship Id="rId3" Type="http://schemas.openxmlformats.org/officeDocument/2006/relationships/webSettings" Target="webSettings.xml"/><Relationship Id="rId7" Type="http://schemas.openxmlformats.org/officeDocument/2006/relationships/hyperlink" Target="https://www.scope.org.uk/support/families/parents-carers/educ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ildren-with-special-educational-needs/special-educational-needs-suppor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Mai Rivers Cole</dc:creator>
  <cp:keywords/>
  <dc:description/>
  <cp:lastModifiedBy>Rosie Mai Rivers Cole</cp:lastModifiedBy>
  <cp:revision>2</cp:revision>
  <dcterms:created xsi:type="dcterms:W3CDTF">2018-05-09T16:33:00Z</dcterms:created>
  <dcterms:modified xsi:type="dcterms:W3CDTF">2018-05-09T16:33:00Z</dcterms:modified>
</cp:coreProperties>
</file>