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05BA92" w14:textId="77777777" w:rsidR="0025179E" w:rsidRDefault="0025179E" w:rsidP="0025179E">
      <w:pPr>
        <w:pStyle w:val="Subtitle"/>
        <w:jc w:val="center"/>
      </w:pPr>
    </w:p>
    <w:p w14:paraId="61D49DE7" w14:textId="77777777" w:rsidR="0025179E" w:rsidRDefault="0025179E" w:rsidP="0025179E">
      <w:pPr>
        <w:pStyle w:val="Subtitle"/>
        <w:jc w:val="center"/>
      </w:pPr>
    </w:p>
    <w:p w14:paraId="74B06434" w14:textId="26A858D9" w:rsidR="0025179E" w:rsidRDefault="0025179E" w:rsidP="0025179E">
      <w:pPr>
        <w:pStyle w:val="Subtitle"/>
        <w:jc w:val="center"/>
      </w:pPr>
      <w:r>
        <w:rPr>
          <w:noProof/>
        </w:rPr>
        <w:drawing>
          <wp:inline distT="0" distB="0" distL="0" distR="0" wp14:anchorId="083A8330" wp14:editId="754657EF">
            <wp:extent cx="4514850" cy="1714500"/>
            <wp:effectExtent l="0" t="0" r="0" b="0"/>
            <wp:docPr id="3673446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14850" cy="1714500"/>
                    </a:xfrm>
                    <a:prstGeom prst="rect">
                      <a:avLst/>
                    </a:prstGeom>
                    <a:noFill/>
                  </pic:spPr>
                </pic:pic>
              </a:graphicData>
            </a:graphic>
          </wp:inline>
        </w:drawing>
      </w:r>
    </w:p>
    <w:p w14:paraId="78F0B178" w14:textId="77777777" w:rsidR="0025179E" w:rsidRDefault="0025179E" w:rsidP="0025179E">
      <w:pPr>
        <w:pStyle w:val="Subtitle"/>
        <w:jc w:val="center"/>
      </w:pPr>
    </w:p>
    <w:p w14:paraId="451A2EA6" w14:textId="77777777" w:rsidR="0025179E" w:rsidRDefault="0025179E" w:rsidP="0025179E">
      <w:pPr>
        <w:pStyle w:val="Subtitle"/>
        <w:jc w:val="center"/>
      </w:pPr>
    </w:p>
    <w:p w14:paraId="76A5471B" w14:textId="77777777" w:rsidR="0025179E" w:rsidRDefault="0025179E" w:rsidP="0025179E">
      <w:pPr>
        <w:pStyle w:val="Subtitle"/>
        <w:jc w:val="center"/>
      </w:pPr>
    </w:p>
    <w:p w14:paraId="1BCC5B92" w14:textId="77777777" w:rsidR="0025179E" w:rsidRDefault="0025179E" w:rsidP="0025179E">
      <w:pPr>
        <w:pStyle w:val="Subtitle"/>
        <w:jc w:val="center"/>
      </w:pPr>
    </w:p>
    <w:p w14:paraId="2D472105" w14:textId="3DA5C6E7" w:rsidR="00C536D4" w:rsidRPr="0025179E" w:rsidRDefault="0025179E" w:rsidP="0025179E">
      <w:pPr>
        <w:pStyle w:val="Subtitle"/>
        <w:jc w:val="center"/>
      </w:pPr>
      <w:r w:rsidRPr="0025179E">
        <w:t>BA Business Management</w:t>
      </w:r>
    </w:p>
    <w:p w14:paraId="1CCA8EF1" w14:textId="3A4F5E07" w:rsidR="00C536D4" w:rsidRDefault="0025179E" w:rsidP="0025179E">
      <w:pPr>
        <w:pStyle w:val="Subtitle"/>
        <w:jc w:val="center"/>
      </w:pPr>
      <w:r w:rsidRPr="0025179E">
        <w:t>Introducing the Modern Workplace</w:t>
      </w:r>
      <w:r w:rsidRPr="0025179E">
        <w:cr/>
        <w:t>LCBB4003</w:t>
      </w:r>
    </w:p>
    <w:p w14:paraId="0220433B" w14:textId="77777777" w:rsidR="0025179E" w:rsidRDefault="0025179E" w:rsidP="0025179E"/>
    <w:p w14:paraId="1F9ACA31" w14:textId="77777777" w:rsidR="0025179E" w:rsidRDefault="0025179E" w:rsidP="0025179E"/>
    <w:p w14:paraId="38C8CD2C" w14:textId="77777777" w:rsidR="0025179E" w:rsidRDefault="0025179E" w:rsidP="0025179E"/>
    <w:p w14:paraId="1B85F804" w14:textId="77777777" w:rsidR="0025179E" w:rsidRDefault="0025179E" w:rsidP="0025179E"/>
    <w:p w14:paraId="09B37797" w14:textId="77777777" w:rsidR="008975B7" w:rsidRDefault="0025179E" w:rsidP="0025179E">
      <w:pPr>
        <w:pStyle w:val="Subtitle"/>
      </w:pPr>
      <w:r>
        <w:t>Simona Guita-2235981</w:t>
      </w:r>
      <w:r w:rsidR="008975B7">
        <w:t xml:space="preserve"> </w:t>
      </w:r>
    </w:p>
    <w:p w14:paraId="78B0E0CC" w14:textId="6E2FB0EF" w:rsidR="0025179E" w:rsidRPr="0025179E" w:rsidRDefault="008975B7" w:rsidP="0025179E">
      <w:pPr>
        <w:pStyle w:val="Subtitle"/>
      </w:pPr>
      <w:r>
        <w:t xml:space="preserve">Lecturer Dr. dudley ofory                    </w:t>
      </w:r>
    </w:p>
    <w:p w14:paraId="21DA6A07" w14:textId="77777777" w:rsidR="00C536D4" w:rsidRDefault="00C536D4" w:rsidP="008572C5">
      <w:pPr>
        <w:pStyle w:val="Heading1"/>
        <w:rPr>
          <w:lang w:val="en-GB"/>
        </w:rPr>
      </w:pPr>
    </w:p>
    <w:p w14:paraId="5322440A" w14:textId="77777777" w:rsidR="00C536D4" w:rsidRDefault="00C536D4" w:rsidP="008572C5">
      <w:pPr>
        <w:pStyle w:val="Heading1"/>
        <w:rPr>
          <w:lang w:val="en-GB"/>
        </w:rPr>
      </w:pPr>
    </w:p>
    <w:p w14:paraId="649927FF" w14:textId="77777777" w:rsidR="00C536D4" w:rsidRDefault="00C536D4" w:rsidP="008572C5">
      <w:pPr>
        <w:pStyle w:val="Heading1"/>
        <w:rPr>
          <w:lang w:val="en-GB"/>
        </w:rPr>
      </w:pPr>
    </w:p>
    <w:p w14:paraId="62A03ED9" w14:textId="77777777" w:rsidR="00C536D4" w:rsidRDefault="00C536D4" w:rsidP="008572C5">
      <w:pPr>
        <w:pStyle w:val="Heading1"/>
        <w:rPr>
          <w:lang w:val="en-GB"/>
        </w:rPr>
      </w:pPr>
    </w:p>
    <w:sdt>
      <w:sdtPr>
        <w:rPr>
          <w:rFonts w:asciiTheme="minorHAnsi" w:eastAsiaTheme="minorEastAsia" w:hAnsiTheme="minorHAnsi" w:cstheme="minorBidi"/>
          <w:color w:val="auto"/>
          <w:sz w:val="21"/>
          <w:szCs w:val="21"/>
        </w:rPr>
        <w:id w:val="649757110"/>
        <w:docPartObj>
          <w:docPartGallery w:val="Table of Contents"/>
          <w:docPartUnique/>
        </w:docPartObj>
      </w:sdtPr>
      <w:sdtContent>
        <w:p w14:paraId="7DA4853A" w14:textId="77777777" w:rsidR="0025179E" w:rsidRDefault="0025179E">
          <w:pPr>
            <w:pStyle w:val="TOCHeading"/>
            <w:rPr>
              <w:rFonts w:asciiTheme="minorHAnsi" w:eastAsiaTheme="minorEastAsia" w:hAnsiTheme="minorHAnsi" w:cstheme="minorBidi"/>
              <w:color w:val="auto"/>
              <w:sz w:val="21"/>
              <w:szCs w:val="21"/>
            </w:rPr>
          </w:pPr>
        </w:p>
        <w:p w14:paraId="3897E32C" w14:textId="23653B66" w:rsidR="00C536D4" w:rsidRDefault="00C536D4">
          <w:pPr>
            <w:pStyle w:val="TOCHeading"/>
          </w:pPr>
          <w:r>
            <w:t>Table of Contents</w:t>
          </w:r>
        </w:p>
        <w:p w14:paraId="35F2EEBE" w14:textId="77777777" w:rsidR="00C536D4" w:rsidRPr="000C3E4D" w:rsidRDefault="00C613FD">
          <w:pPr>
            <w:pStyle w:val="TOC1"/>
            <w:tabs>
              <w:tab w:val="right" w:leader="dot" w:pos="9350"/>
            </w:tabs>
            <w:rPr>
              <w:noProof/>
              <w:sz w:val="32"/>
            </w:rPr>
          </w:pPr>
          <w:r w:rsidRPr="000C3E4D">
            <w:rPr>
              <w:b/>
            </w:rPr>
            <w:fldChar w:fldCharType="begin"/>
          </w:r>
          <w:r w:rsidR="00C536D4" w:rsidRPr="000C3E4D">
            <w:rPr>
              <w:b/>
            </w:rPr>
            <w:instrText xml:space="preserve"> TOC \o "1-3" \h \z \u </w:instrText>
          </w:r>
          <w:r w:rsidRPr="000C3E4D">
            <w:rPr>
              <w:b/>
            </w:rPr>
            <w:fldChar w:fldCharType="separate"/>
          </w:r>
          <w:hyperlink w:anchor="_Toc150637523" w:history="1">
            <w:r w:rsidR="00C536D4" w:rsidRPr="000C3E4D">
              <w:rPr>
                <w:rStyle w:val="Hyperlink"/>
                <w:noProof/>
                <w:sz w:val="32"/>
                <w:lang w:val="en-GB"/>
              </w:rPr>
              <w:t>Introduction</w:t>
            </w:r>
            <w:r w:rsidR="00C536D4" w:rsidRPr="000C3E4D">
              <w:rPr>
                <w:noProof/>
                <w:webHidden/>
                <w:sz w:val="32"/>
              </w:rPr>
              <w:tab/>
            </w:r>
            <w:r w:rsidRPr="000C3E4D">
              <w:rPr>
                <w:noProof/>
                <w:webHidden/>
                <w:sz w:val="32"/>
              </w:rPr>
              <w:fldChar w:fldCharType="begin"/>
            </w:r>
            <w:r w:rsidR="00C536D4" w:rsidRPr="000C3E4D">
              <w:rPr>
                <w:noProof/>
                <w:webHidden/>
                <w:sz w:val="32"/>
              </w:rPr>
              <w:instrText xml:space="preserve"> PAGEREF _Toc150637523 \h </w:instrText>
            </w:r>
            <w:r w:rsidRPr="000C3E4D">
              <w:rPr>
                <w:noProof/>
                <w:webHidden/>
                <w:sz w:val="32"/>
              </w:rPr>
            </w:r>
            <w:r w:rsidRPr="000C3E4D">
              <w:rPr>
                <w:noProof/>
                <w:webHidden/>
                <w:sz w:val="32"/>
              </w:rPr>
              <w:fldChar w:fldCharType="separate"/>
            </w:r>
            <w:r w:rsidR="00C536D4" w:rsidRPr="000C3E4D">
              <w:rPr>
                <w:noProof/>
                <w:webHidden/>
                <w:sz w:val="32"/>
              </w:rPr>
              <w:t>1</w:t>
            </w:r>
            <w:r w:rsidRPr="000C3E4D">
              <w:rPr>
                <w:noProof/>
                <w:webHidden/>
                <w:sz w:val="32"/>
              </w:rPr>
              <w:fldChar w:fldCharType="end"/>
            </w:r>
          </w:hyperlink>
        </w:p>
        <w:p w14:paraId="43BDCE1C" w14:textId="77777777" w:rsidR="00C536D4" w:rsidRPr="000C3E4D" w:rsidRDefault="00000000">
          <w:pPr>
            <w:pStyle w:val="TOC1"/>
            <w:tabs>
              <w:tab w:val="right" w:leader="dot" w:pos="9350"/>
            </w:tabs>
            <w:rPr>
              <w:noProof/>
              <w:sz w:val="32"/>
            </w:rPr>
          </w:pPr>
          <w:hyperlink w:anchor="_Toc150637524" w:history="1">
            <w:r w:rsidR="00C536D4" w:rsidRPr="000C3E4D">
              <w:rPr>
                <w:rStyle w:val="Hyperlink"/>
                <w:bCs/>
                <w:noProof/>
                <w:sz w:val="32"/>
                <w:lang w:val="en-GB"/>
              </w:rPr>
              <w:t>The Interplay of Structure and Culture at BT Group PLC</w:t>
            </w:r>
            <w:r w:rsidR="00C536D4" w:rsidRPr="000C3E4D">
              <w:rPr>
                <w:noProof/>
                <w:webHidden/>
                <w:sz w:val="32"/>
              </w:rPr>
              <w:tab/>
            </w:r>
            <w:r w:rsidR="00C613FD" w:rsidRPr="000C3E4D">
              <w:rPr>
                <w:noProof/>
                <w:webHidden/>
                <w:sz w:val="32"/>
              </w:rPr>
              <w:fldChar w:fldCharType="begin"/>
            </w:r>
            <w:r w:rsidR="00C536D4" w:rsidRPr="000C3E4D">
              <w:rPr>
                <w:noProof/>
                <w:webHidden/>
                <w:sz w:val="32"/>
              </w:rPr>
              <w:instrText xml:space="preserve"> PAGEREF _Toc150637524 \h </w:instrText>
            </w:r>
            <w:r w:rsidR="00C613FD" w:rsidRPr="000C3E4D">
              <w:rPr>
                <w:noProof/>
                <w:webHidden/>
                <w:sz w:val="32"/>
              </w:rPr>
            </w:r>
            <w:r w:rsidR="00C613FD" w:rsidRPr="000C3E4D">
              <w:rPr>
                <w:noProof/>
                <w:webHidden/>
                <w:sz w:val="32"/>
              </w:rPr>
              <w:fldChar w:fldCharType="separate"/>
            </w:r>
            <w:r w:rsidR="00C536D4" w:rsidRPr="000C3E4D">
              <w:rPr>
                <w:noProof/>
                <w:webHidden/>
                <w:sz w:val="32"/>
              </w:rPr>
              <w:t>2</w:t>
            </w:r>
            <w:r w:rsidR="00C613FD" w:rsidRPr="000C3E4D">
              <w:rPr>
                <w:noProof/>
                <w:webHidden/>
                <w:sz w:val="32"/>
              </w:rPr>
              <w:fldChar w:fldCharType="end"/>
            </w:r>
          </w:hyperlink>
        </w:p>
        <w:p w14:paraId="6398CEE7" w14:textId="77777777" w:rsidR="00C536D4" w:rsidRPr="000C3E4D" w:rsidRDefault="00000000">
          <w:pPr>
            <w:pStyle w:val="TOC1"/>
            <w:tabs>
              <w:tab w:val="right" w:leader="dot" w:pos="9350"/>
            </w:tabs>
            <w:rPr>
              <w:noProof/>
              <w:sz w:val="32"/>
            </w:rPr>
          </w:pPr>
          <w:hyperlink w:anchor="_Toc150637525" w:history="1">
            <w:r w:rsidR="00C536D4" w:rsidRPr="000C3E4D">
              <w:rPr>
                <w:rStyle w:val="Hyperlink"/>
                <w:bCs/>
                <w:noProof/>
                <w:sz w:val="32"/>
                <w:lang w:val="en-GB"/>
              </w:rPr>
              <w:t>Performance Analysis: The Outcome of Organizational Dynamics</w:t>
            </w:r>
            <w:r w:rsidR="00C536D4" w:rsidRPr="000C3E4D">
              <w:rPr>
                <w:noProof/>
                <w:webHidden/>
                <w:sz w:val="32"/>
              </w:rPr>
              <w:tab/>
            </w:r>
            <w:r w:rsidR="00C613FD" w:rsidRPr="000C3E4D">
              <w:rPr>
                <w:noProof/>
                <w:webHidden/>
                <w:sz w:val="32"/>
              </w:rPr>
              <w:fldChar w:fldCharType="begin"/>
            </w:r>
            <w:r w:rsidR="00C536D4" w:rsidRPr="000C3E4D">
              <w:rPr>
                <w:noProof/>
                <w:webHidden/>
                <w:sz w:val="32"/>
              </w:rPr>
              <w:instrText xml:space="preserve"> PAGEREF _Toc150637525 \h </w:instrText>
            </w:r>
            <w:r w:rsidR="00C613FD" w:rsidRPr="000C3E4D">
              <w:rPr>
                <w:noProof/>
                <w:webHidden/>
                <w:sz w:val="32"/>
              </w:rPr>
            </w:r>
            <w:r w:rsidR="00C613FD" w:rsidRPr="000C3E4D">
              <w:rPr>
                <w:noProof/>
                <w:webHidden/>
                <w:sz w:val="32"/>
              </w:rPr>
              <w:fldChar w:fldCharType="separate"/>
            </w:r>
            <w:r w:rsidR="00C536D4" w:rsidRPr="000C3E4D">
              <w:rPr>
                <w:noProof/>
                <w:webHidden/>
                <w:sz w:val="32"/>
              </w:rPr>
              <w:t>3</w:t>
            </w:r>
            <w:r w:rsidR="00C613FD" w:rsidRPr="000C3E4D">
              <w:rPr>
                <w:noProof/>
                <w:webHidden/>
                <w:sz w:val="32"/>
              </w:rPr>
              <w:fldChar w:fldCharType="end"/>
            </w:r>
          </w:hyperlink>
        </w:p>
        <w:p w14:paraId="78465FBD" w14:textId="77777777" w:rsidR="00C536D4" w:rsidRPr="000C3E4D" w:rsidRDefault="00000000">
          <w:pPr>
            <w:pStyle w:val="TOC1"/>
            <w:tabs>
              <w:tab w:val="right" w:leader="dot" w:pos="9350"/>
            </w:tabs>
            <w:rPr>
              <w:noProof/>
              <w:sz w:val="32"/>
            </w:rPr>
          </w:pPr>
          <w:hyperlink w:anchor="_Toc150637526" w:history="1">
            <w:r w:rsidR="00C536D4" w:rsidRPr="000C3E4D">
              <w:rPr>
                <w:rStyle w:val="Hyperlink"/>
                <w:noProof/>
                <w:sz w:val="32"/>
                <w:lang w:val="en-GB"/>
              </w:rPr>
              <w:t>Employee Motivation and Engagement: Strategies and Outcomes</w:t>
            </w:r>
            <w:r w:rsidR="00C536D4" w:rsidRPr="000C3E4D">
              <w:rPr>
                <w:noProof/>
                <w:webHidden/>
                <w:sz w:val="32"/>
              </w:rPr>
              <w:tab/>
            </w:r>
            <w:r w:rsidR="00C613FD" w:rsidRPr="000C3E4D">
              <w:rPr>
                <w:noProof/>
                <w:webHidden/>
                <w:sz w:val="32"/>
              </w:rPr>
              <w:fldChar w:fldCharType="begin"/>
            </w:r>
            <w:r w:rsidR="00C536D4" w:rsidRPr="000C3E4D">
              <w:rPr>
                <w:noProof/>
                <w:webHidden/>
                <w:sz w:val="32"/>
              </w:rPr>
              <w:instrText xml:space="preserve"> PAGEREF _Toc150637526 \h </w:instrText>
            </w:r>
            <w:r w:rsidR="00C613FD" w:rsidRPr="000C3E4D">
              <w:rPr>
                <w:noProof/>
                <w:webHidden/>
                <w:sz w:val="32"/>
              </w:rPr>
            </w:r>
            <w:r w:rsidR="00C613FD" w:rsidRPr="000C3E4D">
              <w:rPr>
                <w:noProof/>
                <w:webHidden/>
                <w:sz w:val="32"/>
              </w:rPr>
              <w:fldChar w:fldCharType="separate"/>
            </w:r>
            <w:r w:rsidR="00C536D4" w:rsidRPr="000C3E4D">
              <w:rPr>
                <w:noProof/>
                <w:webHidden/>
                <w:sz w:val="32"/>
              </w:rPr>
              <w:t>4</w:t>
            </w:r>
            <w:r w:rsidR="00C613FD" w:rsidRPr="000C3E4D">
              <w:rPr>
                <w:noProof/>
                <w:webHidden/>
                <w:sz w:val="32"/>
              </w:rPr>
              <w:fldChar w:fldCharType="end"/>
            </w:r>
          </w:hyperlink>
        </w:p>
        <w:p w14:paraId="3ED3BE1C" w14:textId="77777777" w:rsidR="00C536D4" w:rsidRPr="000C3E4D" w:rsidRDefault="00000000">
          <w:pPr>
            <w:pStyle w:val="TOC1"/>
            <w:tabs>
              <w:tab w:val="right" w:leader="dot" w:pos="9350"/>
            </w:tabs>
            <w:rPr>
              <w:noProof/>
              <w:sz w:val="32"/>
            </w:rPr>
          </w:pPr>
          <w:hyperlink w:anchor="_Toc150637527" w:history="1">
            <w:r w:rsidR="00C536D4" w:rsidRPr="000C3E4D">
              <w:rPr>
                <w:rStyle w:val="Hyperlink"/>
                <w:noProof/>
                <w:sz w:val="32"/>
                <w:lang w:val="en-GB"/>
              </w:rPr>
              <w:t>Adapting to Change: BT’s Response to Global and Technological Shifts</w:t>
            </w:r>
            <w:r w:rsidR="00C536D4" w:rsidRPr="000C3E4D">
              <w:rPr>
                <w:noProof/>
                <w:webHidden/>
                <w:sz w:val="32"/>
              </w:rPr>
              <w:tab/>
            </w:r>
            <w:r w:rsidR="00C613FD" w:rsidRPr="000C3E4D">
              <w:rPr>
                <w:noProof/>
                <w:webHidden/>
                <w:sz w:val="32"/>
              </w:rPr>
              <w:fldChar w:fldCharType="begin"/>
            </w:r>
            <w:r w:rsidR="00C536D4" w:rsidRPr="000C3E4D">
              <w:rPr>
                <w:noProof/>
                <w:webHidden/>
                <w:sz w:val="32"/>
              </w:rPr>
              <w:instrText xml:space="preserve"> PAGEREF _Toc150637527 \h </w:instrText>
            </w:r>
            <w:r w:rsidR="00C613FD" w:rsidRPr="000C3E4D">
              <w:rPr>
                <w:noProof/>
                <w:webHidden/>
                <w:sz w:val="32"/>
              </w:rPr>
            </w:r>
            <w:r w:rsidR="00C613FD" w:rsidRPr="000C3E4D">
              <w:rPr>
                <w:noProof/>
                <w:webHidden/>
                <w:sz w:val="32"/>
              </w:rPr>
              <w:fldChar w:fldCharType="separate"/>
            </w:r>
            <w:r w:rsidR="00C536D4" w:rsidRPr="000C3E4D">
              <w:rPr>
                <w:noProof/>
                <w:webHidden/>
                <w:sz w:val="32"/>
              </w:rPr>
              <w:t>5</w:t>
            </w:r>
            <w:r w:rsidR="00C613FD" w:rsidRPr="000C3E4D">
              <w:rPr>
                <w:noProof/>
                <w:webHidden/>
                <w:sz w:val="32"/>
              </w:rPr>
              <w:fldChar w:fldCharType="end"/>
            </w:r>
          </w:hyperlink>
        </w:p>
        <w:p w14:paraId="5C311A1A" w14:textId="77777777" w:rsidR="00C536D4" w:rsidRPr="000C3E4D" w:rsidRDefault="00000000">
          <w:pPr>
            <w:pStyle w:val="TOC1"/>
            <w:tabs>
              <w:tab w:val="right" w:leader="dot" w:pos="9350"/>
            </w:tabs>
            <w:rPr>
              <w:noProof/>
              <w:sz w:val="32"/>
            </w:rPr>
          </w:pPr>
          <w:hyperlink w:anchor="_Toc150637528" w:history="1">
            <w:r w:rsidR="00C536D4" w:rsidRPr="000C3E4D">
              <w:rPr>
                <w:rStyle w:val="Hyperlink"/>
                <w:noProof/>
                <w:sz w:val="32"/>
                <w:lang w:val="en-GB"/>
              </w:rPr>
              <w:t>Recommendations</w:t>
            </w:r>
            <w:r w:rsidR="00C536D4" w:rsidRPr="000C3E4D">
              <w:rPr>
                <w:noProof/>
                <w:webHidden/>
                <w:sz w:val="32"/>
              </w:rPr>
              <w:tab/>
            </w:r>
            <w:r w:rsidR="00C613FD" w:rsidRPr="000C3E4D">
              <w:rPr>
                <w:noProof/>
                <w:webHidden/>
                <w:sz w:val="32"/>
              </w:rPr>
              <w:fldChar w:fldCharType="begin"/>
            </w:r>
            <w:r w:rsidR="00C536D4" w:rsidRPr="000C3E4D">
              <w:rPr>
                <w:noProof/>
                <w:webHidden/>
                <w:sz w:val="32"/>
              </w:rPr>
              <w:instrText xml:space="preserve"> PAGEREF _Toc150637528 \h </w:instrText>
            </w:r>
            <w:r w:rsidR="00C613FD" w:rsidRPr="000C3E4D">
              <w:rPr>
                <w:noProof/>
                <w:webHidden/>
                <w:sz w:val="32"/>
              </w:rPr>
            </w:r>
            <w:r w:rsidR="00C613FD" w:rsidRPr="000C3E4D">
              <w:rPr>
                <w:noProof/>
                <w:webHidden/>
                <w:sz w:val="32"/>
              </w:rPr>
              <w:fldChar w:fldCharType="separate"/>
            </w:r>
            <w:r w:rsidR="00C536D4" w:rsidRPr="000C3E4D">
              <w:rPr>
                <w:noProof/>
                <w:webHidden/>
                <w:sz w:val="32"/>
              </w:rPr>
              <w:t>6</w:t>
            </w:r>
            <w:r w:rsidR="00C613FD" w:rsidRPr="000C3E4D">
              <w:rPr>
                <w:noProof/>
                <w:webHidden/>
                <w:sz w:val="32"/>
              </w:rPr>
              <w:fldChar w:fldCharType="end"/>
            </w:r>
          </w:hyperlink>
        </w:p>
        <w:p w14:paraId="62C340CB" w14:textId="77777777" w:rsidR="00C536D4" w:rsidRPr="000C3E4D" w:rsidRDefault="00000000">
          <w:pPr>
            <w:pStyle w:val="TOC1"/>
            <w:tabs>
              <w:tab w:val="right" w:leader="dot" w:pos="9350"/>
            </w:tabs>
            <w:rPr>
              <w:noProof/>
              <w:sz w:val="32"/>
            </w:rPr>
          </w:pPr>
          <w:hyperlink w:anchor="_Toc150637529" w:history="1">
            <w:r w:rsidR="00C536D4" w:rsidRPr="000C3E4D">
              <w:rPr>
                <w:rStyle w:val="Hyperlink"/>
                <w:noProof/>
                <w:sz w:val="32"/>
                <w:lang w:val="en-GB"/>
              </w:rPr>
              <w:t>Conclusion and Strategic Insights</w:t>
            </w:r>
            <w:r w:rsidR="00C536D4" w:rsidRPr="000C3E4D">
              <w:rPr>
                <w:noProof/>
                <w:webHidden/>
                <w:sz w:val="32"/>
              </w:rPr>
              <w:tab/>
            </w:r>
            <w:r w:rsidR="00C613FD" w:rsidRPr="000C3E4D">
              <w:rPr>
                <w:noProof/>
                <w:webHidden/>
                <w:sz w:val="32"/>
              </w:rPr>
              <w:fldChar w:fldCharType="begin"/>
            </w:r>
            <w:r w:rsidR="00C536D4" w:rsidRPr="000C3E4D">
              <w:rPr>
                <w:noProof/>
                <w:webHidden/>
                <w:sz w:val="32"/>
              </w:rPr>
              <w:instrText xml:space="preserve"> PAGEREF _Toc150637529 \h </w:instrText>
            </w:r>
            <w:r w:rsidR="00C613FD" w:rsidRPr="000C3E4D">
              <w:rPr>
                <w:noProof/>
                <w:webHidden/>
                <w:sz w:val="32"/>
              </w:rPr>
            </w:r>
            <w:r w:rsidR="00C613FD" w:rsidRPr="000C3E4D">
              <w:rPr>
                <w:noProof/>
                <w:webHidden/>
                <w:sz w:val="32"/>
              </w:rPr>
              <w:fldChar w:fldCharType="separate"/>
            </w:r>
            <w:r w:rsidR="00C536D4" w:rsidRPr="000C3E4D">
              <w:rPr>
                <w:noProof/>
                <w:webHidden/>
                <w:sz w:val="32"/>
              </w:rPr>
              <w:t>7</w:t>
            </w:r>
            <w:r w:rsidR="00C613FD" w:rsidRPr="000C3E4D">
              <w:rPr>
                <w:noProof/>
                <w:webHidden/>
                <w:sz w:val="32"/>
              </w:rPr>
              <w:fldChar w:fldCharType="end"/>
            </w:r>
          </w:hyperlink>
        </w:p>
        <w:p w14:paraId="7799946B" w14:textId="77777777" w:rsidR="00C536D4" w:rsidRPr="000C3E4D" w:rsidRDefault="00000000">
          <w:pPr>
            <w:pStyle w:val="TOC1"/>
            <w:tabs>
              <w:tab w:val="right" w:leader="dot" w:pos="9350"/>
            </w:tabs>
            <w:rPr>
              <w:b/>
              <w:noProof/>
              <w:sz w:val="32"/>
            </w:rPr>
          </w:pPr>
          <w:hyperlink w:anchor="_Toc150637530" w:history="1">
            <w:r w:rsidR="00C536D4" w:rsidRPr="000C3E4D">
              <w:rPr>
                <w:rStyle w:val="Hyperlink"/>
                <w:noProof/>
                <w:sz w:val="32"/>
                <w:lang w:val="en-GB"/>
              </w:rPr>
              <w:t>References</w:t>
            </w:r>
            <w:r w:rsidR="00C536D4" w:rsidRPr="000C3E4D">
              <w:rPr>
                <w:noProof/>
                <w:webHidden/>
                <w:sz w:val="32"/>
              </w:rPr>
              <w:tab/>
            </w:r>
            <w:r w:rsidR="00C613FD" w:rsidRPr="000C3E4D">
              <w:rPr>
                <w:noProof/>
                <w:webHidden/>
                <w:sz w:val="32"/>
              </w:rPr>
              <w:fldChar w:fldCharType="begin"/>
            </w:r>
            <w:r w:rsidR="00C536D4" w:rsidRPr="000C3E4D">
              <w:rPr>
                <w:noProof/>
                <w:webHidden/>
                <w:sz w:val="32"/>
              </w:rPr>
              <w:instrText xml:space="preserve"> PAGEREF _Toc150637530 \h </w:instrText>
            </w:r>
            <w:r w:rsidR="00C613FD" w:rsidRPr="000C3E4D">
              <w:rPr>
                <w:noProof/>
                <w:webHidden/>
                <w:sz w:val="32"/>
              </w:rPr>
            </w:r>
            <w:r w:rsidR="00C613FD" w:rsidRPr="000C3E4D">
              <w:rPr>
                <w:noProof/>
                <w:webHidden/>
                <w:sz w:val="32"/>
              </w:rPr>
              <w:fldChar w:fldCharType="separate"/>
            </w:r>
            <w:r w:rsidR="00C536D4" w:rsidRPr="000C3E4D">
              <w:rPr>
                <w:noProof/>
                <w:webHidden/>
                <w:sz w:val="32"/>
              </w:rPr>
              <w:t>8</w:t>
            </w:r>
            <w:r w:rsidR="00C613FD" w:rsidRPr="000C3E4D">
              <w:rPr>
                <w:noProof/>
                <w:webHidden/>
                <w:sz w:val="32"/>
              </w:rPr>
              <w:fldChar w:fldCharType="end"/>
            </w:r>
          </w:hyperlink>
        </w:p>
        <w:p w14:paraId="59DFC38E" w14:textId="77777777" w:rsidR="00C536D4" w:rsidRDefault="00C613FD">
          <w:r w:rsidRPr="000C3E4D">
            <w:rPr>
              <w:b/>
            </w:rPr>
            <w:fldChar w:fldCharType="end"/>
          </w:r>
        </w:p>
      </w:sdtContent>
    </w:sdt>
    <w:p w14:paraId="785E13FF" w14:textId="77777777" w:rsidR="00C536D4" w:rsidRDefault="00C536D4" w:rsidP="008572C5">
      <w:pPr>
        <w:pStyle w:val="Heading1"/>
        <w:rPr>
          <w:lang w:val="en-GB"/>
        </w:rPr>
      </w:pPr>
    </w:p>
    <w:p w14:paraId="4C320FAD" w14:textId="77777777" w:rsidR="00C536D4" w:rsidRDefault="00C536D4" w:rsidP="008572C5">
      <w:pPr>
        <w:pStyle w:val="Heading1"/>
        <w:rPr>
          <w:lang w:val="en-GB"/>
        </w:rPr>
      </w:pPr>
    </w:p>
    <w:p w14:paraId="37904B5F" w14:textId="77777777" w:rsidR="00C536D4" w:rsidRDefault="00C536D4" w:rsidP="008572C5">
      <w:pPr>
        <w:pStyle w:val="Heading1"/>
        <w:rPr>
          <w:lang w:val="en-GB"/>
        </w:rPr>
      </w:pPr>
    </w:p>
    <w:p w14:paraId="35A84817" w14:textId="77777777" w:rsidR="007C178B" w:rsidRDefault="007C178B" w:rsidP="008572C5">
      <w:pPr>
        <w:pStyle w:val="Heading1"/>
        <w:rPr>
          <w:lang w:val="en-GB"/>
        </w:rPr>
      </w:pPr>
      <w:bookmarkStart w:id="0" w:name="_Toc150637523"/>
      <w:r w:rsidRPr="007C178B">
        <w:rPr>
          <w:lang w:val="en-GB"/>
        </w:rPr>
        <w:t>Introduction</w:t>
      </w:r>
      <w:bookmarkEnd w:id="0"/>
    </w:p>
    <w:p w14:paraId="13E26643" w14:textId="77777777" w:rsidR="008572C5" w:rsidRPr="008572C5" w:rsidRDefault="008572C5" w:rsidP="008572C5">
      <w:pPr>
        <w:rPr>
          <w:lang w:val="en-GB"/>
        </w:rPr>
      </w:pPr>
    </w:p>
    <w:p w14:paraId="6F79CBE3" w14:textId="77777777" w:rsidR="008572C5" w:rsidRPr="00C85138" w:rsidRDefault="008572C5" w:rsidP="008572C5">
      <w:pPr>
        <w:spacing w:line="360" w:lineRule="auto"/>
        <w:rPr>
          <w:rFonts w:ascii="Abadi" w:hAnsi="Abadi" w:cs="Aharoni"/>
          <w:sz w:val="24"/>
          <w:szCs w:val="24"/>
          <w:lang w:val="en-GB"/>
        </w:rPr>
      </w:pPr>
      <w:r w:rsidRPr="00C85138">
        <w:rPr>
          <w:rFonts w:ascii="Abadi" w:hAnsi="Abadi" w:cs="Aharoni"/>
          <w:sz w:val="24"/>
          <w:szCs w:val="24"/>
          <w:lang w:val="en-GB"/>
        </w:rPr>
        <w:t>BT Group PLC, originally British Telecommunications, stands as a significant entity in the telecommunications sector, with a history that traces back to the 19th century. Founded following the Telegraph Act of 1878, BT has evolved from a state-owned monopoly to one of the world's leading communication services companies (BT Group PLC, 2021). The company operates in various segments, including Consumer, Enterprise, Global Services, and Openreach, providing a wide range of products and services. These range from fixed-line services, broadband, mobile, and TV products and services to networked IT services (Ofcom, 2020).</w:t>
      </w:r>
    </w:p>
    <w:p w14:paraId="2E8FC278" w14:textId="77777777" w:rsidR="008572C5" w:rsidRPr="00C85138" w:rsidRDefault="008572C5" w:rsidP="008572C5">
      <w:pPr>
        <w:spacing w:line="360" w:lineRule="auto"/>
        <w:rPr>
          <w:rFonts w:ascii="Abadi" w:hAnsi="Abadi" w:cs="Aharoni"/>
          <w:sz w:val="24"/>
          <w:szCs w:val="24"/>
          <w:lang w:val="en-GB"/>
        </w:rPr>
      </w:pPr>
      <w:r w:rsidRPr="00C85138">
        <w:rPr>
          <w:rFonts w:ascii="Abadi" w:hAnsi="Abadi" w:cs="Aharoni"/>
          <w:sz w:val="24"/>
          <w:szCs w:val="24"/>
          <w:lang w:val="en-GB"/>
        </w:rPr>
        <w:t>BT’s global operations span across 180 countries, catering to multinational corporations, domestic businesses, and individual consumers. This expansive reach has positioned BT as a key player in the global telecommunications industry, offering both scale and diversity in its services (BT Group PLC, 2021). The company is committed to driving technological innovation, with a strong focus on digital transformation and sustainability, striving to reduce carbon emissions and promote digital inclusion (BT Group PLC, 2021).</w:t>
      </w:r>
    </w:p>
    <w:p w14:paraId="5C244AF0" w14:textId="77777777" w:rsidR="008572C5" w:rsidRPr="00C85138" w:rsidRDefault="008572C5" w:rsidP="008572C5">
      <w:pPr>
        <w:spacing w:line="360" w:lineRule="auto"/>
        <w:rPr>
          <w:rFonts w:ascii="Abadi" w:hAnsi="Abadi" w:cs="Aharoni"/>
          <w:sz w:val="24"/>
          <w:szCs w:val="24"/>
          <w:lang w:val="en-GB"/>
        </w:rPr>
      </w:pPr>
      <w:r w:rsidRPr="00C85138">
        <w:rPr>
          <w:rFonts w:ascii="Abadi" w:hAnsi="Abadi" w:cs="Aharoni"/>
          <w:sz w:val="24"/>
          <w:szCs w:val="24"/>
          <w:lang w:val="en-GB"/>
        </w:rPr>
        <w:t>The purpose of this report is to provide a comprehensive analysis of BT Group PLC's organizational structure and culture, and how these elements influence its overall performance. Additionally, the report will examine the strategies employed by BT to motivate and engage its employees. The analysis will draw upon various performance metrics, market data, and case studies to understand the impact of these organizational aspects on BT's success and challenges.</w:t>
      </w:r>
    </w:p>
    <w:p w14:paraId="775BAEC1" w14:textId="77777777" w:rsidR="00532DA6" w:rsidRDefault="008572C5" w:rsidP="008572C5">
      <w:pPr>
        <w:spacing w:line="360" w:lineRule="auto"/>
        <w:rPr>
          <w:rFonts w:ascii="Abadi" w:hAnsi="Abadi" w:cs="Aharoni"/>
          <w:sz w:val="24"/>
          <w:szCs w:val="24"/>
          <w:lang w:val="en-GB"/>
        </w:rPr>
      </w:pPr>
      <w:r w:rsidRPr="00C85138">
        <w:rPr>
          <w:rFonts w:ascii="Abadi" w:hAnsi="Abadi" w:cs="Aharoni"/>
          <w:sz w:val="24"/>
          <w:szCs w:val="24"/>
          <w:lang w:val="en-GB"/>
        </w:rPr>
        <w:t xml:space="preserve">The relevance of this analysis lies in the rapidly evolving telecommunications industry, where technological advancements and changing market dynamics pose both </w:t>
      </w:r>
      <w:r w:rsidRPr="00C85138">
        <w:rPr>
          <w:rFonts w:ascii="Abadi" w:hAnsi="Abadi" w:cs="Aharoni"/>
          <w:sz w:val="24"/>
          <w:szCs w:val="24"/>
          <w:lang w:val="en-GB"/>
        </w:rPr>
        <w:lastRenderedPageBreak/>
        <w:t>opportunities and challenges for companies like BT. Understanding BT's organizational structure and culture, and their alignment with its strategic goals, is essential for gaining insights into its adaptability and resilience in this dynamic sector.</w:t>
      </w:r>
    </w:p>
    <w:p w14:paraId="134C0C97" w14:textId="77777777" w:rsidR="00E81E77" w:rsidRPr="007C178B" w:rsidRDefault="00E81E77" w:rsidP="008572C5">
      <w:pPr>
        <w:spacing w:line="360" w:lineRule="auto"/>
        <w:rPr>
          <w:rFonts w:ascii="Abadi" w:hAnsi="Abadi" w:cs="Aharoni"/>
          <w:sz w:val="24"/>
          <w:szCs w:val="24"/>
          <w:lang w:val="en-GB"/>
        </w:rPr>
      </w:pPr>
    </w:p>
    <w:p w14:paraId="678BB4AD" w14:textId="77777777" w:rsidR="007C178B" w:rsidRPr="00E81E77" w:rsidRDefault="007C178B" w:rsidP="00E81E77">
      <w:pPr>
        <w:pStyle w:val="Heading1"/>
        <w:rPr>
          <w:lang w:val="en-GB"/>
        </w:rPr>
      </w:pPr>
      <w:bookmarkStart w:id="1" w:name="_Toc150637524"/>
      <w:r w:rsidRPr="007C178B">
        <w:rPr>
          <w:b/>
          <w:bCs/>
          <w:lang w:val="en-GB"/>
        </w:rPr>
        <w:t>The Interplay of Structure and Culture at BT Group PLC</w:t>
      </w:r>
      <w:bookmarkEnd w:id="1"/>
      <w:r w:rsidRPr="007C178B">
        <w:rPr>
          <w:b/>
          <w:bCs/>
          <w:lang w:val="en-GB"/>
        </w:rPr>
        <w:t xml:space="preserve"> </w:t>
      </w:r>
    </w:p>
    <w:p w14:paraId="759F370C" w14:textId="77777777" w:rsidR="00E81E77" w:rsidRPr="00E81E77" w:rsidRDefault="00E81E77" w:rsidP="00E81E77">
      <w:pPr>
        <w:spacing w:line="360" w:lineRule="auto"/>
        <w:rPr>
          <w:rFonts w:ascii="Abadi" w:hAnsi="Abadi"/>
          <w:sz w:val="24"/>
          <w:szCs w:val="24"/>
          <w:lang w:val="en-GB"/>
        </w:rPr>
      </w:pPr>
      <w:r w:rsidRPr="00E81E77">
        <w:rPr>
          <w:rFonts w:ascii="Abadi" w:hAnsi="Abadi"/>
          <w:sz w:val="24"/>
          <w:szCs w:val="24"/>
          <w:lang w:val="en-GB"/>
        </w:rPr>
        <w:t>BT Group PLC's organizational structure and corporate culture are deeply interconnected, playing a critical role in shaping the company's dynamics and identity. The structure of BT has evolved to become more agile and customer-focused, aligning with the fast-paced nature of the telecommunications industry. This evolution reflects a shift from a traditional hierarchical model to a more decentralized and flexible structure, allowing for quicker decision-making and innovation (BT Group PLC, 2021).</w:t>
      </w:r>
    </w:p>
    <w:p w14:paraId="780FBE44" w14:textId="77777777" w:rsidR="00E81E77" w:rsidRPr="00E81E77" w:rsidRDefault="00E81E77" w:rsidP="00E81E77">
      <w:pPr>
        <w:spacing w:line="360" w:lineRule="auto"/>
        <w:rPr>
          <w:rFonts w:ascii="Abadi" w:hAnsi="Abadi"/>
          <w:sz w:val="24"/>
          <w:szCs w:val="24"/>
          <w:lang w:val="en-GB"/>
        </w:rPr>
      </w:pPr>
      <w:r w:rsidRPr="00E81E77">
        <w:rPr>
          <w:rFonts w:ascii="Abadi" w:hAnsi="Abadi"/>
          <w:sz w:val="24"/>
          <w:szCs w:val="24"/>
          <w:lang w:val="en-GB"/>
        </w:rPr>
        <w:t>The organizational structure of BT, characterized by its divisional approach, facilitates specialization in various business areas, including consumer, enterprise, global services, and digital network building through Openreach. Each division operates with a degree of autonomy, yet is unified under the overarching strategic vision of the company. This structure supports BT’s ambition to lead in the digital communications sector by fostering both efficiency in operations and agility in responding to market changes (Ofcom, 2020).</w:t>
      </w:r>
    </w:p>
    <w:p w14:paraId="0F034119" w14:textId="77777777" w:rsidR="00E81E77" w:rsidRPr="00E81E77" w:rsidRDefault="00E81E77" w:rsidP="00E81E77">
      <w:pPr>
        <w:spacing w:line="360" w:lineRule="auto"/>
        <w:rPr>
          <w:rFonts w:ascii="Abadi" w:hAnsi="Abadi"/>
          <w:sz w:val="24"/>
          <w:szCs w:val="24"/>
          <w:lang w:val="en-GB"/>
        </w:rPr>
      </w:pPr>
      <w:r w:rsidRPr="00E81E77">
        <w:rPr>
          <w:rFonts w:ascii="Abadi" w:hAnsi="Abadi"/>
          <w:sz w:val="24"/>
          <w:szCs w:val="24"/>
          <w:lang w:val="en-GB"/>
        </w:rPr>
        <w:t>BT's corporate culture, on the other hand, is centred around principles of innovation, customer service, and inclusivity. The company places a strong emphasis on creating a culture of continuous learning and adaptability, which is crucial in the rapidly evolving tech landscape (BT Group PLC, 2021). This culture is not only about embracing new technologies but also about fostering an environment where ideas can flourish, and diverse perspectives are valued.</w:t>
      </w:r>
    </w:p>
    <w:p w14:paraId="0AE52271" w14:textId="77777777" w:rsidR="00E81E77" w:rsidRDefault="00E81E77" w:rsidP="00E81E77">
      <w:pPr>
        <w:spacing w:line="360" w:lineRule="auto"/>
        <w:rPr>
          <w:rFonts w:ascii="Abadi" w:hAnsi="Abadi"/>
          <w:sz w:val="24"/>
          <w:szCs w:val="24"/>
          <w:lang w:val="en-GB"/>
        </w:rPr>
      </w:pPr>
      <w:r w:rsidRPr="00E81E77">
        <w:rPr>
          <w:rFonts w:ascii="Abadi" w:hAnsi="Abadi"/>
          <w:sz w:val="24"/>
          <w:szCs w:val="24"/>
          <w:lang w:val="en-GB"/>
        </w:rPr>
        <w:t xml:space="preserve">The synergy between BT’s organizational structure and its corporate culture is evident in its approach to innovation and digital transformation. The company’s commitment to investing in state-of-the-art technology and digital infrastructure is a direct outcome of this interplay. For instance, BT’s significant investment in the development of 5G and fibre </w:t>
      </w:r>
      <w:r w:rsidRPr="00E81E77">
        <w:rPr>
          <w:rFonts w:ascii="Abadi" w:hAnsi="Abadi"/>
          <w:sz w:val="24"/>
          <w:szCs w:val="24"/>
          <w:lang w:val="en-GB"/>
        </w:rPr>
        <w:lastRenderedPageBreak/>
        <w:t>broadband networks across the UK demonstrates the alignment of its structural capabilities and cultural commitment to technological advancement (BT Group PLC, 2021).</w:t>
      </w:r>
    </w:p>
    <w:p w14:paraId="13671209" w14:textId="77777777" w:rsidR="00D375CA" w:rsidRDefault="00D375CA" w:rsidP="00E81E77">
      <w:pPr>
        <w:spacing w:line="360" w:lineRule="auto"/>
        <w:rPr>
          <w:rFonts w:ascii="Abadi" w:hAnsi="Abadi"/>
          <w:sz w:val="24"/>
          <w:szCs w:val="24"/>
          <w:lang w:val="en-GB"/>
        </w:rPr>
      </w:pPr>
    </w:p>
    <w:p w14:paraId="742B9398" w14:textId="77777777" w:rsidR="00D375CA" w:rsidRPr="007C178B" w:rsidRDefault="00D375CA" w:rsidP="00E81E77">
      <w:pPr>
        <w:spacing w:line="360" w:lineRule="auto"/>
        <w:rPr>
          <w:rFonts w:ascii="Abadi" w:hAnsi="Abadi"/>
          <w:sz w:val="24"/>
          <w:szCs w:val="24"/>
          <w:lang w:val="en-GB"/>
        </w:rPr>
      </w:pPr>
    </w:p>
    <w:p w14:paraId="46CA347D" w14:textId="77777777" w:rsidR="00D375CA" w:rsidRPr="00D375CA" w:rsidRDefault="007C178B" w:rsidP="00D375CA">
      <w:pPr>
        <w:pStyle w:val="Heading1"/>
        <w:rPr>
          <w:lang w:val="en-GB" w:bidi="en-US"/>
        </w:rPr>
      </w:pPr>
      <w:bookmarkStart w:id="2" w:name="_Toc150637525"/>
      <w:r w:rsidRPr="007C178B">
        <w:rPr>
          <w:b/>
          <w:bCs/>
          <w:lang w:val="en-GB"/>
        </w:rPr>
        <w:t>Performance Analysis: The Outcome of Organizational Dynamics</w:t>
      </w:r>
      <w:bookmarkEnd w:id="2"/>
      <w:r w:rsidRPr="007C178B">
        <w:rPr>
          <w:b/>
          <w:bCs/>
          <w:lang w:val="en-GB"/>
        </w:rPr>
        <w:t xml:space="preserve"> </w:t>
      </w:r>
    </w:p>
    <w:p w14:paraId="564C8C6E" w14:textId="77777777" w:rsidR="00D375CA" w:rsidRPr="00D375CA" w:rsidRDefault="00D375CA" w:rsidP="00D375CA">
      <w:pPr>
        <w:spacing w:line="360" w:lineRule="auto"/>
        <w:rPr>
          <w:rFonts w:ascii="Abadi" w:hAnsi="Abadi"/>
          <w:sz w:val="24"/>
          <w:szCs w:val="24"/>
          <w:lang w:val="en-GB"/>
        </w:rPr>
      </w:pPr>
      <w:r w:rsidRPr="00D375CA">
        <w:rPr>
          <w:rFonts w:ascii="Abadi" w:hAnsi="Abadi"/>
          <w:sz w:val="24"/>
          <w:szCs w:val="24"/>
          <w:lang w:val="en-GB"/>
        </w:rPr>
        <w:t>BT Group PLC's performance in the telecommunications market can be directly linked to its organizational structure and culture, with both aspects significantly influencing its operational and financial outcomes. The company's financial data and market performance are reflective of how effectively these internal dynamics translate into tangible results.</w:t>
      </w:r>
    </w:p>
    <w:p w14:paraId="51B43CD0" w14:textId="77777777" w:rsidR="00D375CA" w:rsidRPr="00D375CA" w:rsidRDefault="00D375CA" w:rsidP="00D375CA">
      <w:pPr>
        <w:spacing w:line="360" w:lineRule="auto"/>
        <w:rPr>
          <w:rFonts w:ascii="Abadi" w:hAnsi="Abadi"/>
          <w:sz w:val="24"/>
          <w:szCs w:val="24"/>
          <w:lang w:val="en-GB"/>
        </w:rPr>
      </w:pPr>
      <w:r w:rsidRPr="00D375CA">
        <w:rPr>
          <w:rFonts w:ascii="Abadi" w:hAnsi="Abadi"/>
          <w:sz w:val="24"/>
          <w:szCs w:val="24"/>
          <w:lang w:val="en-GB"/>
        </w:rPr>
        <w:t>BT's organizational structure, characterized by its divisional approach, has enabled it to operate efficiently in different market segments, including consumer, enterprise, and global services. This structure facilitates specialization and quick adaptation to market changes, a necessity in the rapidly evolving telecommunications industry. According to BT Group PLC's Annual Report (2021), this adaptability was crucial in maintaining service continuity and responding to increased demand during the COVID-19 pandemic. The structure’s flexibility helped BT to swiftly adjust its operations, minimizing disruptions and capitalizing on the heightened need for digital connectivity.</w:t>
      </w:r>
    </w:p>
    <w:p w14:paraId="0A8DE423" w14:textId="77777777" w:rsidR="00D375CA" w:rsidRPr="00D375CA" w:rsidRDefault="00D375CA" w:rsidP="00D375CA">
      <w:pPr>
        <w:spacing w:line="360" w:lineRule="auto"/>
        <w:rPr>
          <w:rFonts w:ascii="Abadi" w:hAnsi="Abadi"/>
          <w:sz w:val="24"/>
          <w:szCs w:val="24"/>
          <w:lang w:val="en-GB"/>
        </w:rPr>
      </w:pPr>
      <w:r w:rsidRPr="00D375CA">
        <w:rPr>
          <w:rFonts w:ascii="Abadi" w:hAnsi="Abadi"/>
          <w:sz w:val="24"/>
          <w:szCs w:val="24"/>
          <w:lang w:val="en-GB"/>
        </w:rPr>
        <w:t>The impact of BT's corporate culture, emphasizing innovation and customer-centricity, is evident in its sustained investment in network infrastructure and technology. For instance, BT's commitment to expanding its fibre broadband and 5G networks, as reported in their 2021 financial statements, reflects its cultural focus on technological leadership and customer service (BT Group PLC, 2021). This strategic investment not only boosts BT’s competitive advantage but also aligns with its long-term vision for digital transformation.</w:t>
      </w:r>
    </w:p>
    <w:p w14:paraId="0075CDC3" w14:textId="77777777" w:rsidR="00D375CA" w:rsidRPr="007C178B" w:rsidRDefault="00D375CA" w:rsidP="00D375CA">
      <w:pPr>
        <w:spacing w:line="360" w:lineRule="auto"/>
        <w:rPr>
          <w:rFonts w:ascii="Abadi" w:hAnsi="Abadi"/>
          <w:sz w:val="24"/>
          <w:szCs w:val="24"/>
          <w:lang w:val="en-GB"/>
        </w:rPr>
      </w:pPr>
      <w:r w:rsidRPr="00D375CA">
        <w:rPr>
          <w:rFonts w:ascii="Abadi" w:hAnsi="Abadi"/>
          <w:sz w:val="24"/>
          <w:szCs w:val="24"/>
          <w:lang w:val="en-GB"/>
        </w:rPr>
        <w:t xml:space="preserve">Financially, BT has shown resilience despite challenging market conditions. The company’s 2021 annual report indicates a revenue of £21.331 billion, with an adjusted EBITDA of £7.412 billion (BT Group PLC, 2021). While these figures show a slight decline compared to the previous year, largely due to the impacts of the pandemic and market competition, </w:t>
      </w:r>
      <w:r w:rsidRPr="00D375CA">
        <w:rPr>
          <w:rFonts w:ascii="Abadi" w:hAnsi="Abadi"/>
          <w:sz w:val="24"/>
          <w:szCs w:val="24"/>
          <w:lang w:val="en-GB"/>
        </w:rPr>
        <w:lastRenderedPageBreak/>
        <w:t>they also reflect the company's robustness in navigating economic challenges. BT's focus on cost-efficiency and strategic investments in growth areas have been key in maintaining financial stability.</w:t>
      </w:r>
    </w:p>
    <w:p w14:paraId="42636A69" w14:textId="77777777" w:rsidR="007C178B" w:rsidRPr="00585358" w:rsidRDefault="007C178B" w:rsidP="00585358">
      <w:pPr>
        <w:pStyle w:val="Heading1"/>
        <w:rPr>
          <w:lang w:val="en-GB"/>
        </w:rPr>
      </w:pPr>
      <w:bookmarkStart w:id="3" w:name="_Toc150637526"/>
      <w:r w:rsidRPr="007C178B">
        <w:rPr>
          <w:lang w:val="en-GB"/>
        </w:rPr>
        <w:t>Employee Motivation and Engagement: Strategies and Outcomes</w:t>
      </w:r>
      <w:bookmarkEnd w:id="3"/>
      <w:r w:rsidRPr="007C178B">
        <w:rPr>
          <w:lang w:val="en-GB"/>
        </w:rPr>
        <w:t xml:space="preserve"> </w:t>
      </w:r>
    </w:p>
    <w:p w14:paraId="7AF61D4D" w14:textId="77777777" w:rsidR="00585358" w:rsidRPr="00585358" w:rsidRDefault="00585358" w:rsidP="00585358">
      <w:pPr>
        <w:spacing w:after="200" w:line="360" w:lineRule="auto"/>
        <w:rPr>
          <w:rFonts w:ascii="Abadi" w:hAnsi="Abadi"/>
          <w:sz w:val="24"/>
          <w:szCs w:val="24"/>
          <w:lang w:val="en-GB"/>
        </w:rPr>
      </w:pPr>
      <w:r w:rsidRPr="00585358">
        <w:rPr>
          <w:rFonts w:ascii="Abadi" w:hAnsi="Abadi"/>
          <w:sz w:val="24"/>
          <w:szCs w:val="24"/>
          <w:lang w:val="en-GB"/>
        </w:rPr>
        <w:t>BT Group PLC has implemented comprehensive strategies to motivate and engage its employees, recognizing that a motivated workforce is crucial for maintaining a competitive edge in the telecommunications industry. These strategies encompass various aspects, from financial incentives to career development and workplace culture, with their effectiveness reflected in employee satisfaction data, turnover rates, and productivity metrics.</w:t>
      </w:r>
    </w:p>
    <w:p w14:paraId="4ECF1280" w14:textId="77777777" w:rsidR="00585358" w:rsidRPr="00585358" w:rsidRDefault="00585358" w:rsidP="00585358">
      <w:pPr>
        <w:spacing w:after="200" w:line="360" w:lineRule="auto"/>
        <w:rPr>
          <w:rFonts w:ascii="Abadi" w:hAnsi="Abadi"/>
          <w:sz w:val="24"/>
          <w:szCs w:val="24"/>
          <w:lang w:val="en-GB"/>
        </w:rPr>
      </w:pPr>
      <w:r w:rsidRPr="00585358">
        <w:rPr>
          <w:rFonts w:ascii="Abadi" w:hAnsi="Abadi"/>
          <w:sz w:val="24"/>
          <w:szCs w:val="24"/>
          <w:lang w:val="en-GB"/>
        </w:rPr>
        <w:t>Financial incentives at BT include competitive salaries, bonuses, and share options. These are designed to reward performance and align employees’ interests with the company’s success, adhering to Herzberg’s Two-Factor Theory, which identifies salary as a key hygiene factor in job satisfaction (Herzberg, 1959). Additionally, BT offers comprehensive benefits, such as pension schemes and health insurance, catering to the basic needs and security of its employees.</w:t>
      </w:r>
    </w:p>
    <w:p w14:paraId="79059855" w14:textId="77777777" w:rsidR="00585358" w:rsidRPr="00585358" w:rsidRDefault="00585358" w:rsidP="00585358">
      <w:pPr>
        <w:spacing w:after="200" w:line="360" w:lineRule="auto"/>
        <w:rPr>
          <w:rFonts w:ascii="Abadi" w:hAnsi="Abadi"/>
          <w:sz w:val="24"/>
          <w:szCs w:val="24"/>
          <w:lang w:val="en-GB"/>
        </w:rPr>
      </w:pPr>
      <w:r w:rsidRPr="00585358">
        <w:rPr>
          <w:rFonts w:ascii="Abadi" w:hAnsi="Abadi"/>
          <w:sz w:val="24"/>
          <w:szCs w:val="24"/>
          <w:lang w:val="en-GB"/>
        </w:rPr>
        <w:t>Beyond monetary rewards, BT places a strong emphasis on career development and progression. The company provides various training and development programs, fostering a culture of continuous learning and growth. This approach is in line with Maslow’s Hierarchy of Needs, particularly addressing the esteem and self-actualization needs by offering opportunities for advancement and skill enhancement (Maslow, 1943). BT’s focus on professional development not only boosts employee skills but also enhances job satisfaction and loyalty.</w:t>
      </w:r>
    </w:p>
    <w:p w14:paraId="66B1DAEE" w14:textId="77777777" w:rsidR="00585358" w:rsidRPr="007C178B" w:rsidRDefault="00585358" w:rsidP="00585358">
      <w:pPr>
        <w:spacing w:after="200" w:line="360" w:lineRule="auto"/>
        <w:rPr>
          <w:rFonts w:ascii="Abadi" w:hAnsi="Abadi"/>
          <w:sz w:val="24"/>
          <w:szCs w:val="24"/>
          <w:lang w:val="en-GB"/>
        </w:rPr>
      </w:pPr>
      <w:r w:rsidRPr="00585358">
        <w:rPr>
          <w:rFonts w:ascii="Abadi" w:hAnsi="Abadi"/>
          <w:sz w:val="24"/>
          <w:szCs w:val="24"/>
          <w:lang w:val="en-GB"/>
        </w:rPr>
        <w:t>Workplace culture is another critical aspect of BT’s employee engagement strategy. The company fosters an inclusive and collaborative environment, valuing diversity and open communication. This culture enhances employee engagement by creating a sense of belonging and respect, aligning with Ryan and Deci’s Self-Determination Theory, which emphasizes the importance of relatedness in intrinsic motivation (Ryan &amp; Deci, 2000).</w:t>
      </w:r>
    </w:p>
    <w:p w14:paraId="5028C596" w14:textId="77777777" w:rsidR="007C178B" w:rsidRPr="00534650" w:rsidRDefault="007C178B" w:rsidP="0003317F">
      <w:pPr>
        <w:pStyle w:val="Heading1"/>
        <w:rPr>
          <w:lang w:val="en-GB"/>
        </w:rPr>
      </w:pPr>
      <w:bookmarkStart w:id="4" w:name="_Toc150637527"/>
      <w:r w:rsidRPr="007C178B">
        <w:rPr>
          <w:lang w:val="en-GB"/>
        </w:rPr>
        <w:lastRenderedPageBreak/>
        <w:t>Adapting to Change: BT’s Response to Global and Technological Shifts</w:t>
      </w:r>
      <w:bookmarkEnd w:id="4"/>
      <w:r w:rsidRPr="007C178B">
        <w:rPr>
          <w:lang w:val="en-GB"/>
        </w:rPr>
        <w:t xml:space="preserve"> </w:t>
      </w:r>
    </w:p>
    <w:p w14:paraId="4730DF43" w14:textId="77777777" w:rsidR="00534650" w:rsidRPr="00534650" w:rsidRDefault="00534650" w:rsidP="00534650">
      <w:pPr>
        <w:spacing w:after="200" w:line="360" w:lineRule="auto"/>
        <w:rPr>
          <w:rFonts w:ascii="Abadi" w:hAnsi="Abadi"/>
          <w:sz w:val="24"/>
          <w:szCs w:val="24"/>
          <w:lang w:val="en-GB"/>
        </w:rPr>
      </w:pPr>
      <w:r w:rsidRPr="00534650">
        <w:rPr>
          <w:rFonts w:ascii="Abadi" w:hAnsi="Abadi"/>
          <w:sz w:val="24"/>
          <w:szCs w:val="24"/>
          <w:lang w:val="en-GB"/>
        </w:rPr>
        <w:t>BT Group PLC’s ability to adapt to global market changes and technological advancements is a testament to its dynamic organizational structure and culture. The telecommunications industry is characterized by rapid technological change and intense competition, necessitating continual adaptation and innovation. BT’s response to these external pressures has been shaped by its flexible organizational framework and a culture that values agility and forward-thinking.</w:t>
      </w:r>
    </w:p>
    <w:p w14:paraId="38F1EA07" w14:textId="4D55A79C" w:rsidR="00534650" w:rsidRPr="00534650" w:rsidRDefault="00534650" w:rsidP="00534650">
      <w:pPr>
        <w:spacing w:after="200" w:line="360" w:lineRule="auto"/>
        <w:rPr>
          <w:rFonts w:ascii="Abadi" w:hAnsi="Abadi"/>
          <w:sz w:val="24"/>
          <w:szCs w:val="24"/>
          <w:lang w:val="en-GB"/>
        </w:rPr>
      </w:pPr>
      <w:r w:rsidRPr="00534650">
        <w:rPr>
          <w:rFonts w:ascii="Abadi" w:hAnsi="Abadi"/>
          <w:sz w:val="24"/>
          <w:szCs w:val="24"/>
          <w:lang w:val="en-GB"/>
        </w:rPr>
        <w:t xml:space="preserve">The organizational structure of BT has evolved to become more modular and responsive, enabling it to quickly adapt to technological changes and market demands. This evolution is in line with the theories of organizational adaptability proposed by Burns and Stalker (1961), who argue that a more organic structure is beneficial in rapidly changing environments. BT’s shift towards a more fluid structure allows it to leverage technological advancements, such as the rollout of 5G and the expansion of </w:t>
      </w:r>
      <w:r w:rsidR="00ED7F7F" w:rsidRPr="00534650">
        <w:rPr>
          <w:rFonts w:ascii="Abadi" w:hAnsi="Abadi"/>
          <w:sz w:val="24"/>
          <w:szCs w:val="24"/>
          <w:lang w:val="en-GB"/>
        </w:rPr>
        <w:t>fibber</w:t>
      </w:r>
      <w:r w:rsidRPr="00534650">
        <w:rPr>
          <w:rFonts w:ascii="Abadi" w:hAnsi="Abadi"/>
          <w:sz w:val="24"/>
          <w:szCs w:val="24"/>
          <w:lang w:val="en-GB"/>
        </w:rPr>
        <w:t xml:space="preserve"> broadband networks, more effectively (BT Group PLC, 2021).</w:t>
      </w:r>
    </w:p>
    <w:p w14:paraId="33ABDC78" w14:textId="77777777" w:rsidR="00534650" w:rsidRPr="00534650" w:rsidRDefault="00534650" w:rsidP="00534650">
      <w:pPr>
        <w:spacing w:after="200" w:line="360" w:lineRule="auto"/>
        <w:rPr>
          <w:rFonts w:ascii="Abadi" w:hAnsi="Abadi"/>
          <w:sz w:val="24"/>
          <w:szCs w:val="24"/>
          <w:lang w:val="en-GB"/>
        </w:rPr>
      </w:pPr>
      <w:r w:rsidRPr="00534650">
        <w:rPr>
          <w:rFonts w:ascii="Abadi" w:hAnsi="Abadi"/>
          <w:sz w:val="24"/>
          <w:szCs w:val="24"/>
          <w:lang w:val="en-GB"/>
        </w:rPr>
        <w:t>BT’s culture, with a strong emphasis on innovation, has been crucial in driving its technological advancements. The company fosters a culture where new ideas and innovative solutions are encouraged and rewarded, aligning with Amabile’s (1998) componential theory of creativity and innovation in organizations. This cultural aspect is evident in BT’s substantial investments in research and development, particularly in areas like cyber security, cloud services, and AI, ensuring that the company remains at the forefront of technological innovation (BT Group PLC, 2021).</w:t>
      </w:r>
    </w:p>
    <w:p w14:paraId="6335BDD6" w14:textId="77777777" w:rsidR="00534650" w:rsidRDefault="00534650" w:rsidP="00534650">
      <w:pPr>
        <w:spacing w:after="200" w:line="360" w:lineRule="auto"/>
        <w:rPr>
          <w:rFonts w:ascii="Abadi" w:hAnsi="Abadi"/>
          <w:sz w:val="24"/>
          <w:szCs w:val="24"/>
          <w:lang w:val="en-GB"/>
        </w:rPr>
      </w:pPr>
      <w:r w:rsidRPr="00534650">
        <w:rPr>
          <w:rFonts w:ascii="Abadi" w:hAnsi="Abadi"/>
          <w:sz w:val="24"/>
          <w:szCs w:val="24"/>
          <w:lang w:val="en-GB"/>
        </w:rPr>
        <w:t>In response to global market changes, BT has also made strategic adjustments. Faced with increased competition and regulatory challenges, BT has focused on improving operational efficiency and customer service. The company’s ‘Consumer First’ strategy, which emphasizes enhancing customer experience through digital solutions, demonstrates its commitment to adapting its business model to changing consumer preferences (BT Group PLC, 2021).</w:t>
      </w:r>
    </w:p>
    <w:p w14:paraId="1FC09735" w14:textId="77777777" w:rsidR="00CA5558" w:rsidRDefault="00CA5558" w:rsidP="00CA5558">
      <w:pPr>
        <w:pStyle w:val="Heading1"/>
        <w:rPr>
          <w:lang w:val="en-GB"/>
        </w:rPr>
      </w:pPr>
      <w:bookmarkStart w:id="5" w:name="_Toc150637528"/>
      <w:r w:rsidRPr="00CA5558">
        <w:rPr>
          <w:lang w:val="en-GB"/>
        </w:rPr>
        <w:lastRenderedPageBreak/>
        <w:t>Recommendations</w:t>
      </w:r>
      <w:bookmarkEnd w:id="5"/>
    </w:p>
    <w:p w14:paraId="3A758546" w14:textId="77777777" w:rsidR="001E63DB" w:rsidRPr="001E63DB" w:rsidRDefault="001E63DB" w:rsidP="001E63DB">
      <w:pPr>
        <w:spacing w:line="360" w:lineRule="auto"/>
        <w:rPr>
          <w:rFonts w:ascii="Abadi" w:hAnsi="Abadi"/>
          <w:sz w:val="24"/>
          <w:szCs w:val="24"/>
          <w:lang w:val="en-GB"/>
        </w:rPr>
      </w:pPr>
      <w:r w:rsidRPr="001E63DB">
        <w:rPr>
          <w:rFonts w:ascii="Abadi" w:hAnsi="Abadi"/>
          <w:sz w:val="24"/>
          <w:szCs w:val="24"/>
          <w:lang w:val="en-GB"/>
        </w:rPr>
        <w:t>Based on the analysis, several strategic recommendations for BT Group PLC can be formulated to ensure future growth and sustainability.</w:t>
      </w:r>
    </w:p>
    <w:p w14:paraId="4986B109" w14:textId="77777777" w:rsidR="001E63DB" w:rsidRPr="001E63DB" w:rsidRDefault="001E63DB" w:rsidP="001E63DB">
      <w:pPr>
        <w:spacing w:line="360" w:lineRule="auto"/>
        <w:rPr>
          <w:rFonts w:ascii="Abadi" w:hAnsi="Abadi"/>
          <w:sz w:val="24"/>
          <w:szCs w:val="24"/>
          <w:lang w:val="en-GB"/>
        </w:rPr>
      </w:pPr>
      <w:r w:rsidRPr="001E63DB">
        <w:rPr>
          <w:rFonts w:ascii="Abadi" w:hAnsi="Abadi"/>
          <w:sz w:val="24"/>
          <w:szCs w:val="24"/>
          <w:lang w:val="en-GB"/>
        </w:rPr>
        <w:t>Firstly, BT should continue to invest in and prioritize digital transformation and innovation. In an industry driven by rapid technological advancements, staying at the forefront of emerging technologies like 5G, AI, and IoT is crucial (BT Group PLC, 2021). BT should allocate resources to R&amp;D and potentially explore partnerships with tech companies to enhance its capabilities in these areas.</w:t>
      </w:r>
    </w:p>
    <w:p w14:paraId="4F42819B" w14:textId="77777777" w:rsidR="001E63DB" w:rsidRPr="001E63DB" w:rsidRDefault="001E63DB" w:rsidP="001E63DB">
      <w:pPr>
        <w:spacing w:line="360" w:lineRule="auto"/>
        <w:rPr>
          <w:rFonts w:ascii="Abadi" w:hAnsi="Abadi"/>
          <w:sz w:val="24"/>
          <w:szCs w:val="24"/>
          <w:lang w:val="en-GB"/>
        </w:rPr>
      </w:pPr>
      <w:r w:rsidRPr="001E63DB">
        <w:rPr>
          <w:rFonts w:ascii="Abadi" w:hAnsi="Abadi"/>
          <w:sz w:val="24"/>
          <w:szCs w:val="24"/>
          <w:lang w:val="en-GB"/>
        </w:rPr>
        <w:t>Secondly, enhancing customer experience should remain a key focus. In the competitive telecommunications market, customer loyalty and satisfaction are vital. BT could further develop its digital platforms and customer service channels to provide seamless and personalized customer experiences, as suggested by Peppard and Rylander (2006).</w:t>
      </w:r>
    </w:p>
    <w:p w14:paraId="45730142" w14:textId="77777777" w:rsidR="001E63DB" w:rsidRPr="001E63DB" w:rsidRDefault="001E63DB" w:rsidP="001E63DB">
      <w:pPr>
        <w:spacing w:line="360" w:lineRule="auto"/>
        <w:rPr>
          <w:rFonts w:ascii="Abadi" w:hAnsi="Abadi"/>
          <w:sz w:val="24"/>
          <w:szCs w:val="24"/>
          <w:lang w:val="en-GB"/>
        </w:rPr>
      </w:pPr>
      <w:r w:rsidRPr="001E63DB">
        <w:rPr>
          <w:rFonts w:ascii="Abadi" w:hAnsi="Abadi"/>
          <w:sz w:val="24"/>
          <w:szCs w:val="24"/>
          <w:lang w:val="en-GB"/>
        </w:rPr>
        <w:t>Additionally, BT should maintain and strengthen its commitment to sustainability. As environmental concerns increasingly influence consumer and investor decisions, BT’s efforts towards reducing carbon emissions and promoting digital inclusion will not only contribute to corporate social responsibility but also enhance its brand reputation (BT Group PLC, 2021).</w:t>
      </w:r>
    </w:p>
    <w:p w14:paraId="680414AB" w14:textId="77777777" w:rsidR="00CA5558" w:rsidRDefault="001E63DB" w:rsidP="001E63DB">
      <w:pPr>
        <w:spacing w:line="360" w:lineRule="auto"/>
        <w:rPr>
          <w:rFonts w:ascii="Abadi" w:hAnsi="Abadi"/>
          <w:sz w:val="24"/>
          <w:szCs w:val="24"/>
          <w:lang w:val="en-GB"/>
        </w:rPr>
      </w:pPr>
      <w:r w:rsidRPr="001E63DB">
        <w:rPr>
          <w:rFonts w:ascii="Abadi" w:hAnsi="Abadi"/>
          <w:sz w:val="24"/>
          <w:szCs w:val="24"/>
          <w:lang w:val="en-GB"/>
        </w:rPr>
        <w:t>Lastly, BT should focus on cultivating a flexible and adaptable organizational culture. In a rapidly changing market, the ability to quickly respond to external challenges and opportunities is essential. Encouraging a culture that embraces change and fosters innovation among employees can be a significant competitive advantage (Burns &amp; Stalker, 1961).</w:t>
      </w:r>
    </w:p>
    <w:p w14:paraId="7F99E033" w14:textId="77777777" w:rsidR="00104D51" w:rsidRPr="00104D51" w:rsidRDefault="00104D51" w:rsidP="00104D51">
      <w:pPr>
        <w:pStyle w:val="Heading1"/>
        <w:rPr>
          <w:lang w:val="en-GB"/>
        </w:rPr>
      </w:pPr>
      <w:bookmarkStart w:id="6" w:name="_Toc150637529"/>
      <w:r w:rsidRPr="00104D51">
        <w:rPr>
          <w:lang w:val="en-GB"/>
        </w:rPr>
        <w:t>Conclusion and Strategic Insights</w:t>
      </w:r>
      <w:bookmarkEnd w:id="6"/>
    </w:p>
    <w:p w14:paraId="4D3AFCF0" w14:textId="77777777" w:rsidR="00104D51" w:rsidRPr="00104D51" w:rsidRDefault="00104D51" w:rsidP="00104D51">
      <w:pPr>
        <w:spacing w:line="360" w:lineRule="auto"/>
        <w:rPr>
          <w:rFonts w:ascii="Abadi" w:hAnsi="Abadi"/>
          <w:sz w:val="24"/>
          <w:szCs w:val="24"/>
          <w:lang w:val="en-GB"/>
        </w:rPr>
      </w:pPr>
      <w:r w:rsidRPr="00104D51">
        <w:rPr>
          <w:rFonts w:ascii="Abadi" w:hAnsi="Abadi"/>
          <w:sz w:val="24"/>
          <w:szCs w:val="24"/>
          <w:lang w:val="en-GB"/>
        </w:rPr>
        <w:t xml:space="preserve">In conclusion, this report has provided a comprehensive analysis of BT Group PLC's organizational structure, corporate culture, performance in the context of market dynamics, employee motivation and engagement strategies, and its response to global and technological shifts. Key insights gleaned from this analysis reveal that BT's adaptive </w:t>
      </w:r>
      <w:r w:rsidRPr="00104D51">
        <w:rPr>
          <w:rFonts w:ascii="Abadi" w:hAnsi="Abadi"/>
          <w:sz w:val="24"/>
          <w:szCs w:val="24"/>
          <w:lang w:val="en-GB"/>
        </w:rPr>
        <w:lastRenderedPageBreak/>
        <w:t>organizational structure and forward-thinking corporate culture have been instrumental in navigating the challenges of the rapidly evolving telecommunications sector.</w:t>
      </w:r>
    </w:p>
    <w:p w14:paraId="6B065921" w14:textId="77777777" w:rsidR="00104D51" w:rsidRPr="00104D51" w:rsidRDefault="00104D51" w:rsidP="00104D51">
      <w:pPr>
        <w:spacing w:line="360" w:lineRule="auto"/>
        <w:rPr>
          <w:rFonts w:ascii="Abadi" w:hAnsi="Abadi"/>
          <w:sz w:val="24"/>
          <w:szCs w:val="24"/>
          <w:lang w:val="en-GB"/>
        </w:rPr>
      </w:pPr>
      <w:r w:rsidRPr="00104D51">
        <w:rPr>
          <w:rFonts w:ascii="Abadi" w:hAnsi="Abadi"/>
          <w:sz w:val="24"/>
          <w:szCs w:val="24"/>
          <w:lang w:val="en-GB"/>
        </w:rPr>
        <w:t>BT's divisional and modular structure has allowed for specialization and agility, enabling the company to efficiently manage diverse business segments and swiftly respond to market changes. The culture at BT, centred around innovation, customer focus, and inclusivity, has fostered an environment conducive to growth and adaptability. This culture not only drives internal processes but also shapes BT’s external relationships and brand reputation.</w:t>
      </w:r>
    </w:p>
    <w:p w14:paraId="6D962DF0" w14:textId="77777777" w:rsidR="00104D51" w:rsidRPr="00104D51" w:rsidRDefault="00104D51" w:rsidP="00104D51">
      <w:pPr>
        <w:spacing w:line="360" w:lineRule="auto"/>
        <w:rPr>
          <w:rFonts w:ascii="Abadi" w:hAnsi="Abadi"/>
          <w:sz w:val="24"/>
          <w:szCs w:val="24"/>
          <w:lang w:val="en-GB"/>
        </w:rPr>
      </w:pPr>
      <w:r w:rsidRPr="00104D51">
        <w:rPr>
          <w:rFonts w:ascii="Abadi" w:hAnsi="Abadi"/>
          <w:sz w:val="24"/>
          <w:szCs w:val="24"/>
          <w:lang w:val="en-GB"/>
        </w:rPr>
        <w:t>The company's performance, despite facing intense competition and regulatory challenges, demonstrates resilience. BT's strategic investments in digital transformation, network infrastructure, and commitment to sustainability have positioned it well for future growth. However, the company must continue to evolve in response to emerging technological trends and changing customer preferences.</w:t>
      </w:r>
    </w:p>
    <w:p w14:paraId="356D4035" w14:textId="77777777" w:rsidR="00104D51" w:rsidRPr="00104D51" w:rsidRDefault="00104D51" w:rsidP="00104D51">
      <w:pPr>
        <w:spacing w:line="360" w:lineRule="auto"/>
        <w:rPr>
          <w:rFonts w:ascii="Abadi" w:hAnsi="Abadi"/>
          <w:sz w:val="24"/>
          <w:szCs w:val="24"/>
          <w:lang w:val="en-GB"/>
        </w:rPr>
      </w:pPr>
      <w:r w:rsidRPr="00104D51">
        <w:rPr>
          <w:rFonts w:ascii="Abadi" w:hAnsi="Abadi"/>
          <w:sz w:val="24"/>
          <w:szCs w:val="24"/>
          <w:lang w:val="en-GB"/>
        </w:rPr>
        <w:t>Employee motivation and engagement at BT, supported by a blend of financial incentives, career development opportunities, and a positive workplace culture, have contributed to a productive and committed workforce. This aspect is crucial for BT’s ongoing success and competitiveness in the sector.</w:t>
      </w:r>
    </w:p>
    <w:p w14:paraId="3B44FA03" w14:textId="77777777" w:rsidR="00104D51" w:rsidRPr="00104D51" w:rsidRDefault="00104D51" w:rsidP="00104D51">
      <w:pPr>
        <w:spacing w:line="360" w:lineRule="auto"/>
        <w:rPr>
          <w:rFonts w:ascii="Abadi" w:hAnsi="Abadi"/>
          <w:sz w:val="24"/>
          <w:szCs w:val="24"/>
          <w:lang w:val="en-GB"/>
        </w:rPr>
      </w:pPr>
      <w:r w:rsidRPr="00104D51">
        <w:rPr>
          <w:rFonts w:ascii="Abadi" w:hAnsi="Abadi"/>
          <w:sz w:val="24"/>
          <w:szCs w:val="24"/>
          <w:lang w:val="en-GB"/>
        </w:rPr>
        <w:t>Finally, BT's response to global market changes and technological advancements underscores the importance of continual innovation and adaptability. BT’s strategic focus on digital transformation and sustainability aligns with global shifts and presents opportunities for continued leadership in the telecommunications industry.</w:t>
      </w:r>
    </w:p>
    <w:p w14:paraId="603806E0" w14:textId="77777777" w:rsidR="00CA5558" w:rsidRPr="007C178B" w:rsidRDefault="00CA5558" w:rsidP="00534650">
      <w:pPr>
        <w:spacing w:after="200" w:line="360" w:lineRule="auto"/>
        <w:rPr>
          <w:rFonts w:ascii="Abadi" w:hAnsi="Abadi"/>
          <w:sz w:val="24"/>
          <w:szCs w:val="24"/>
          <w:lang w:val="en-GB"/>
        </w:rPr>
      </w:pPr>
    </w:p>
    <w:p w14:paraId="606CABA5" w14:textId="77777777" w:rsidR="00532DA6" w:rsidRPr="007C178B" w:rsidRDefault="00532DA6" w:rsidP="00532DA6">
      <w:pPr>
        <w:pStyle w:val="Heading1"/>
        <w:rPr>
          <w:lang w:val="en-GB"/>
        </w:rPr>
      </w:pPr>
      <w:bookmarkStart w:id="7" w:name="_Toc150637530"/>
      <w:r>
        <w:rPr>
          <w:lang w:val="en-GB"/>
        </w:rPr>
        <w:t>References</w:t>
      </w:r>
      <w:bookmarkEnd w:id="7"/>
      <w:r>
        <w:rPr>
          <w:lang w:val="en-GB"/>
        </w:rPr>
        <w:t xml:space="preserve"> </w:t>
      </w:r>
    </w:p>
    <w:p w14:paraId="4401C4D7" w14:textId="77777777" w:rsidR="00532DA6" w:rsidRPr="00104D51" w:rsidRDefault="00532DA6" w:rsidP="00532DA6">
      <w:pPr>
        <w:rPr>
          <w:rFonts w:ascii="Abadi" w:hAnsi="Abadi"/>
          <w:sz w:val="24"/>
          <w:szCs w:val="24"/>
        </w:rPr>
      </w:pPr>
      <w:r w:rsidRPr="00104D51">
        <w:rPr>
          <w:rFonts w:ascii="Abadi" w:hAnsi="Abadi"/>
          <w:sz w:val="24"/>
          <w:szCs w:val="24"/>
        </w:rPr>
        <w:t>BT Group PLC. (2021). About Us. BT Group.</w:t>
      </w:r>
    </w:p>
    <w:p w14:paraId="12E9352A" w14:textId="77777777" w:rsidR="00810DD9" w:rsidRPr="00104D51" w:rsidRDefault="00532DA6" w:rsidP="00532DA6">
      <w:pPr>
        <w:rPr>
          <w:rFonts w:ascii="Abadi" w:hAnsi="Abadi"/>
          <w:sz w:val="24"/>
          <w:szCs w:val="24"/>
        </w:rPr>
      </w:pPr>
      <w:r w:rsidRPr="00104D51">
        <w:rPr>
          <w:rFonts w:ascii="Abadi" w:hAnsi="Abadi"/>
          <w:sz w:val="24"/>
          <w:szCs w:val="24"/>
        </w:rPr>
        <w:t>Ofcom. (2020). Communications Market Report 2020. Ofcom.</w:t>
      </w:r>
    </w:p>
    <w:p w14:paraId="17A9438F" w14:textId="77777777" w:rsidR="009122A1" w:rsidRPr="00104D51" w:rsidRDefault="009122A1" w:rsidP="009122A1">
      <w:pPr>
        <w:rPr>
          <w:rFonts w:ascii="Abadi" w:hAnsi="Abadi"/>
          <w:sz w:val="24"/>
          <w:szCs w:val="24"/>
        </w:rPr>
      </w:pPr>
      <w:r w:rsidRPr="00104D51">
        <w:rPr>
          <w:rFonts w:ascii="Abadi" w:hAnsi="Abadi"/>
          <w:sz w:val="24"/>
          <w:szCs w:val="24"/>
        </w:rPr>
        <w:t>Herzberg, F. (1959). The Motivation to Work. John Wiley &amp; Sons.</w:t>
      </w:r>
    </w:p>
    <w:p w14:paraId="53917A5F" w14:textId="77777777" w:rsidR="009122A1" w:rsidRPr="00104D51" w:rsidRDefault="009122A1" w:rsidP="009122A1">
      <w:pPr>
        <w:rPr>
          <w:rFonts w:ascii="Abadi" w:hAnsi="Abadi"/>
          <w:sz w:val="24"/>
          <w:szCs w:val="24"/>
        </w:rPr>
      </w:pPr>
      <w:r w:rsidRPr="00104D51">
        <w:rPr>
          <w:rFonts w:ascii="Abadi" w:hAnsi="Abadi"/>
          <w:sz w:val="24"/>
          <w:szCs w:val="24"/>
        </w:rPr>
        <w:t>Maslow, A. H. (1943). A Theory of Human Motivation. Psychological Review, 50(4), 370-396.</w:t>
      </w:r>
    </w:p>
    <w:p w14:paraId="0F107BE9" w14:textId="77777777" w:rsidR="009122A1" w:rsidRPr="00104D51" w:rsidRDefault="009122A1" w:rsidP="009122A1">
      <w:pPr>
        <w:rPr>
          <w:rFonts w:ascii="Abadi" w:hAnsi="Abadi"/>
          <w:sz w:val="24"/>
          <w:szCs w:val="24"/>
        </w:rPr>
      </w:pPr>
      <w:r w:rsidRPr="00104D51">
        <w:rPr>
          <w:rFonts w:ascii="Abadi" w:hAnsi="Abadi"/>
          <w:sz w:val="24"/>
          <w:szCs w:val="24"/>
        </w:rPr>
        <w:lastRenderedPageBreak/>
        <w:t>Ryan, R. M., &amp; Deci, E. L. (2000). Self-Determination Theory and the Facilitation of Intrinsic Motivation, Social Development, and Well-Being. American Psychologist, 55(1), 68-78.</w:t>
      </w:r>
    </w:p>
    <w:p w14:paraId="066E549E" w14:textId="77777777" w:rsidR="00FB099D" w:rsidRPr="00104D51" w:rsidRDefault="00FB099D" w:rsidP="00FB099D">
      <w:pPr>
        <w:rPr>
          <w:rFonts w:ascii="Abadi" w:hAnsi="Abadi"/>
          <w:sz w:val="24"/>
          <w:szCs w:val="24"/>
        </w:rPr>
      </w:pPr>
      <w:r w:rsidRPr="00104D51">
        <w:rPr>
          <w:rFonts w:ascii="Abadi" w:hAnsi="Abadi"/>
          <w:sz w:val="24"/>
          <w:szCs w:val="24"/>
        </w:rPr>
        <w:t>Burns, T., &amp; Stalker, G. M. (1961). The Management of Innovation. Tavistock.</w:t>
      </w:r>
    </w:p>
    <w:p w14:paraId="51B0E300" w14:textId="77777777" w:rsidR="00FB099D" w:rsidRPr="00104D51" w:rsidRDefault="00FB099D" w:rsidP="00FB099D">
      <w:pPr>
        <w:rPr>
          <w:rFonts w:ascii="Abadi" w:hAnsi="Abadi"/>
          <w:sz w:val="24"/>
          <w:szCs w:val="24"/>
        </w:rPr>
      </w:pPr>
      <w:r w:rsidRPr="00104D51">
        <w:rPr>
          <w:rFonts w:ascii="Abadi" w:hAnsi="Abadi"/>
          <w:sz w:val="24"/>
          <w:szCs w:val="24"/>
        </w:rPr>
        <w:t>Amabile, T. M. (1998). How to Kill Creativity. Harvard Business Review.</w:t>
      </w:r>
    </w:p>
    <w:p w14:paraId="0A015A49" w14:textId="77777777" w:rsidR="00B20DF1" w:rsidRPr="00104D51" w:rsidRDefault="00B20DF1" w:rsidP="00FB099D">
      <w:pPr>
        <w:rPr>
          <w:rFonts w:ascii="Abadi" w:hAnsi="Abadi"/>
          <w:sz w:val="24"/>
          <w:szCs w:val="24"/>
        </w:rPr>
      </w:pPr>
      <w:r w:rsidRPr="00104D51">
        <w:rPr>
          <w:rFonts w:ascii="Abadi" w:hAnsi="Abadi"/>
          <w:sz w:val="24"/>
          <w:szCs w:val="24"/>
        </w:rPr>
        <w:t>Peppard, J., &amp; Rylander, A. (2006). From Value Chain to Value Network: Insights for Mobile Operators. European Management Journal.</w:t>
      </w:r>
    </w:p>
    <w:sectPr w:rsidR="00B20DF1" w:rsidRPr="00104D51" w:rsidSect="00595C6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badi">
    <w:charset w:val="00"/>
    <w:family w:val="swiss"/>
    <w:pitch w:val="variable"/>
    <w:sig w:usb0="80000003" w:usb1="00000000" w:usb2="00000000" w:usb3="00000000" w:csb0="00000001" w:csb1="00000000"/>
  </w:font>
  <w:font w:name="Aharoni">
    <w:altName w:val="Arial"/>
    <w:charset w:val="B1"/>
    <w:family w:val="auto"/>
    <w:pitch w:val="variable"/>
    <w:sig w:usb0="00000803" w:usb1="00000000" w:usb2="00000000" w:usb3="00000000" w:csb0="0000002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E4244C"/>
    <w:multiLevelType w:val="multilevel"/>
    <w:tmpl w:val="6D42FE3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505824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214"/>
    <w:rsid w:val="0003317F"/>
    <w:rsid w:val="000C3E4D"/>
    <w:rsid w:val="000D0DE9"/>
    <w:rsid w:val="00104D51"/>
    <w:rsid w:val="001E63DB"/>
    <w:rsid w:val="0025179E"/>
    <w:rsid w:val="004C67E3"/>
    <w:rsid w:val="00532DA6"/>
    <w:rsid w:val="00534650"/>
    <w:rsid w:val="00585358"/>
    <w:rsid w:val="00595C68"/>
    <w:rsid w:val="0063088C"/>
    <w:rsid w:val="00685EFA"/>
    <w:rsid w:val="007C178B"/>
    <w:rsid w:val="00810DD9"/>
    <w:rsid w:val="008572C5"/>
    <w:rsid w:val="008975B7"/>
    <w:rsid w:val="009122A1"/>
    <w:rsid w:val="00B20DF1"/>
    <w:rsid w:val="00C536D4"/>
    <w:rsid w:val="00C613FD"/>
    <w:rsid w:val="00C85138"/>
    <w:rsid w:val="00CA5558"/>
    <w:rsid w:val="00D375CA"/>
    <w:rsid w:val="00DB4214"/>
    <w:rsid w:val="00DE1445"/>
    <w:rsid w:val="00E21FA1"/>
    <w:rsid w:val="00E81E77"/>
    <w:rsid w:val="00ED7F7F"/>
    <w:rsid w:val="00FB099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CDEE7"/>
  <w15:docId w15:val="{5A7254B3-0FAA-4B5C-A140-EFF26866F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US"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5358"/>
  </w:style>
  <w:style w:type="paragraph" w:styleId="Heading1">
    <w:name w:val="heading 1"/>
    <w:basedOn w:val="Normal"/>
    <w:next w:val="Normal"/>
    <w:link w:val="Heading1Char"/>
    <w:uiPriority w:val="9"/>
    <w:qFormat/>
    <w:rsid w:val="00585358"/>
    <w:pPr>
      <w:keepNext/>
      <w:keepLines/>
      <w:pBdr>
        <w:bottom w:val="single" w:sz="4" w:space="2" w:color="C0504D"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semiHidden/>
    <w:unhideWhenUsed/>
    <w:qFormat/>
    <w:rsid w:val="00585358"/>
    <w:pPr>
      <w:keepNext/>
      <w:keepLines/>
      <w:spacing w:before="120" w:after="0" w:line="240" w:lineRule="auto"/>
      <w:outlineLvl w:val="1"/>
    </w:pPr>
    <w:rPr>
      <w:rFonts w:asciiTheme="majorHAnsi" w:eastAsiaTheme="majorEastAsia" w:hAnsiTheme="majorHAnsi" w:cstheme="majorBidi"/>
      <w:color w:val="C0504D" w:themeColor="accent2"/>
      <w:sz w:val="36"/>
      <w:szCs w:val="36"/>
    </w:rPr>
  </w:style>
  <w:style w:type="paragraph" w:styleId="Heading3">
    <w:name w:val="heading 3"/>
    <w:basedOn w:val="Normal"/>
    <w:next w:val="Normal"/>
    <w:link w:val="Heading3Char"/>
    <w:uiPriority w:val="9"/>
    <w:semiHidden/>
    <w:unhideWhenUsed/>
    <w:qFormat/>
    <w:rsid w:val="00585358"/>
    <w:pPr>
      <w:keepNext/>
      <w:keepLines/>
      <w:spacing w:before="80" w:after="0" w:line="240" w:lineRule="auto"/>
      <w:outlineLvl w:val="2"/>
    </w:pPr>
    <w:rPr>
      <w:rFonts w:asciiTheme="majorHAnsi" w:eastAsiaTheme="majorEastAsia" w:hAnsiTheme="majorHAnsi" w:cstheme="majorBidi"/>
      <w:color w:val="943634" w:themeColor="accent2" w:themeShade="BF"/>
      <w:sz w:val="32"/>
      <w:szCs w:val="32"/>
    </w:rPr>
  </w:style>
  <w:style w:type="paragraph" w:styleId="Heading4">
    <w:name w:val="heading 4"/>
    <w:basedOn w:val="Normal"/>
    <w:next w:val="Normal"/>
    <w:link w:val="Heading4Char"/>
    <w:uiPriority w:val="9"/>
    <w:semiHidden/>
    <w:unhideWhenUsed/>
    <w:qFormat/>
    <w:rsid w:val="00585358"/>
    <w:pPr>
      <w:keepNext/>
      <w:keepLines/>
      <w:spacing w:before="80" w:after="0" w:line="240" w:lineRule="auto"/>
      <w:outlineLvl w:val="3"/>
    </w:pPr>
    <w:rPr>
      <w:rFonts w:asciiTheme="majorHAnsi" w:eastAsiaTheme="majorEastAsia" w:hAnsiTheme="majorHAnsi" w:cstheme="majorBidi"/>
      <w:i/>
      <w:iCs/>
      <w:color w:val="632423" w:themeColor="accent2" w:themeShade="80"/>
      <w:sz w:val="28"/>
      <w:szCs w:val="28"/>
    </w:rPr>
  </w:style>
  <w:style w:type="paragraph" w:styleId="Heading5">
    <w:name w:val="heading 5"/>
    <w:basedOn w:val="Normal"/>
    <w:next w:val="Normal"/>
    <w:link w:val="Heading5Char"/>
    <w:uiPriority w:val="9"/>
    <w:semiHidden/>
    <w:unhideWhenUsed/>
    <w:qFormat/>
    <w:rsid w:val="00585358"/>
    <w:pPr>
      <w:keepNext/>
      <w:keepLines/>
      <w:spacing w:before="80" w:after="0" w:line="240" w:lineRule="auto"/>
      <w:outlineLvl w:val="4"/>
    </w:pPr>
    <w:rPr>
      <w:rFonts w:asciiTheme="majorHAnsi" w:eastAsiaTheme="majorEastAsia" w:hAnsiTheme="majorHAnsi" w:cstheme="majorBidi"/>
      <w:color w:val="943634" w:themeColor="accent2" w:themeShade="BF"/>
      <w:sz w:val="24"/>
      <w:szCs w:val="24"/>
    </w:rPr>
  </w:style>
  <w:style w:type="paragraph" w:styleId="Heading6">
    <w:name w:val="heading 6"/>
    <w:basedOn w:val="Normal"/>
    <w:next w:val="Normal"/>
    <w:link w:val="Heading6Char"/>
    <w:uiPriority w:val="9"/>
    <w:semiHidden/>
    <w:unhideWhenUsed/>
    <w:qFormat/>
    <w:rsid w:val="00585358"/>
    <w:pPr>
      <w:keepNext/>
      <w:keepLines/>
      <w:spacing w:before="80" w:after="0" w:line="240" w:lineRule="auto"/>
      <w:outlineLvl w:val="5"/>
    </w:pPr>
    <w:rPr>
      <w:rFonts w:asciiTheme="majorHAnsi" w:eastAsiaTheme="majorEastAsia" w:hAnsiTheme="majorHAnsi" w:cstheme="majorBidi"/>
      <w:i/>
      <w:iCs/>
      <w:color w:val="632423" w:themeColor="accent2" w:themeShade="80"/>
      <w:sz w:val="24"/>
      <w:szCs w:val="24"/>
    </w:rPr>
  </w:style>
  <w:style w:type="paragraph" w:styleId="Heading7">
    <w:name w:val="heading 7"/>
    <w:basedOn w:val="Normal"/>
    <w:next w:val="Normal"/>
    <w:link w:val="Heading7Char"/>
    <w:uiPriority w:val="9"/>
    <w:semiHidden/>
    <w:unhideWhenUsed/>
    <w:qFormat/>
    <w:rsid w:val="00585358"/>
    <w:pPr>
      <w:keepNext/>
      <w:keepLines/>
      <w:spacing w:before="80" w:after="0" w:line="240" w:lineRule="auto"/>
      <w:outlineLvl w:val="6"/>
    </w:pPr>
    <w:rPr>
      <w:rFonts w:asciiTheme="majorHAnsi" w:eastAsiaTheme="majorEastAsia" w:hAnsiTheme="majorHAnsi" w:cstheme="majorBidi"/>
      <w:b/>
      <w:bCs/>
      <w:color w:val="632423" w:themeColor="accent2" w:themeShade="80"/>
      <w:sz w:val="22"/>
      <w:szCs w:val="22"/>
    </w:rPr>
  </w:style>
  <w:style w:type="paragraph" w:styleId="Heading8">
    <w:name w:val="heading 8"/>
    <w:basedOn w:val="Normal"/>
    <w:next w:val="Normal"/>
    <w:link w:val="Heading8Char"/>
    <w:uiPriority w:val="9"/>
    <w:semiHidden/>
    <w:unhideWhenUsed/>
    <w:qFormat/>
    <w:rsid w:val="00585358"/>
    <w:pPr>
      <w:keepNext/>
      <w:keepLines/>
      <w:spacing w:before="80" w:after="0" w:line="240" w:lineRule="auto"/>
      <w:outlineLvl w:val="7"/>
    </w:pPr>
    <w:rPr>
      <w:rFonts w:asciiTheme="majorHAnsi" w:eastAsiaTheme="majorEastAsia" w:hAnsiTheme="majorHAnsi" w:cstheme="majorBidi"/>
      <w:color w:val="632423" w:themeColor="accent2" w:themeShade="80"/>
      <w:sz w:val="22"/>
      <w:szCs w:val="22"/>
    </w:rPr>
  </w:style>
  <w:style w:type="paragraph" w:styleId="Heading9">
    <w:name w:val="heading 9"/>
    <w:basedOn w:val="Normal"/>
    <w:next w:val="Normal"/>
    <w:link w:val="Heading9Char"/>
    <w:uiPriority w:val="9"/>
    <w:semiHidden/>
    <w:unhideWhenUsed/>
    <w:qFormat/>
    <w:rsid w:val="00585358"/>
    <w:pPr>
      <w:keepNext/>
      <w:keepLines/>
      <w:spacing w:before="80" w:after="0" w:line="240" w:lineRule="auto"/>
      <w:outlineLvl w:val="8"/>
    </w:pPr>
    <w:rPr>
      <w:rFonts w:asciiTheme="majorHAnsi" w:eastAsiaTheme="majorEastAsia" w:hAnsiTheme="majorHAnsi" w:cstheme="majorBidi"/>
      <w:i/>
      <w:iCs/>
      <w:color w:val="632423"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5358"/>
    <w:rPr>
      <w:rFonts w:asciiTheme="majorHAnsi" w:eastAsiaTheme="majorEastAsia" w:hAnsiTheme="majorHAnsi" w:cstheme="majorBidi"/>
      <w:color w:val="262626" w:themeColor="text1" w:themeTint="D9"/>
      <w:sz w:val="40"/>
      <w:szCs w:val="40"/>
    </w:rPr>
  </w:style>
  <w:style w:type="character" w:customStyle="1" w:styleId="Heading2Char">
    <w:name w:val="Heading 2 Char"/>
    <w:basedOn w:val="DefaultParagraphFont"/>
    <w:link w:val="Heading2"/>
    <w:uiPriority w:val="9"/>
    <w:semiHidden/>
    <w:rsid w:val="00585358"/>
    <w:rPr>
      <w:rFonts w:asciiTheme="majorHAnsi" w:eastAsiaTheme="majorEastAsia" w:hAnsiTheme="majorHAnsi" w:cstheme="majorBidi"/>
      <w:color w:val="C0504D" w:themeColor="accent2"/>
      <w:sz w:val="36"/>
      <w:szCs w:val="36"/>
    </w:rPr>
  </w:style>
  <w:style w:type="character" w:customStyle="1" w:styleId="Heading3Char">
    <w:name w:val="Heading 3 Char"/>
    <w:basedOn w:val="DefaultParagraphFont"/>
    <w:link w:val="Heading3"/>
    <w:uiPriority w:val="9"/>
    <w:semiHidden/>
    <w:rsid w:val="00585358"/>
    <w:rPr>
      <w:rFonts w:asciiTheme="majorHAnsi" w:eastAsiaTheme="majorEastAsia" w:hAnsiTheme="majorHAnsi" w:cstheme="majorBidi"/>
      <w:color w:val="943634" w:themeColor="accent2" w:themeShade="BF"/>
      <w:sz w:val="32"/>
      <w:szCs w:val="32"/>
    </w:rPr>
  </w:style>
  <w:style w:type="character" w:customStyle="1" w:styleId="Heading4Char">
    <w:name w:val="Heading 4 Char"/>
    <w:basedOn w:val="DefaultParagraphFont"/>
    <w:link w:val="Heading4"/>
    <w:uiPriority w:val="9"/>
    <w:semiHidden/>
    <w:rsid w:val="00585358"/>
    <w:rPr>
      <w:rFonts w:asciiTheme="majorHAnsi" w:eastAsiaTheme="majorEastAsia" w:hAnsiTheme="majorHAnsi" w:cstheme="majorBidi"/>
      <w:i/>
      <w:iCs/>
      <w:color w:val="632423" w:themeColor="accent2" w:themeShade="80"/>
      <w:sz w:val="28"/>
      <w:szCs w:val="28"/>
    </w:rPr>
  </w:style>
  <w:style w:type="character" w:customStyle="1" w:styleId="Heading5Char">
    <w:name w:val="Heading 5 Char"/>
    <w:basedOn w:val="DefaultParagraphFont"/>
    <w:link w:val="Heading5"/>
    <w:uiPriority w:val="9"/>
    <w:semiHidden/>
    <w:rsid w:val="00585358"/>
    <w:rPr>
      <w:rFonts w:asciiTheme="majorHAnsi" w:eastAsiaTheme="majorEastAsia" w:hAnsiTheme="majorHAnsi" w:cstheme="majorBidi"/>
      <w:color w:val="943634" w:themeColor="accent2" w:themeShade="BF"/>
      <w:sz w:val="24"/>
      <w:szCs w:val="24"/>
    </w:rPr>
  </w:style>
  <w:style w:type="character" w:customStyle="1" w:styleId="Heading6Char">
    <w:name w:val="Heading 6 Char"/>
    <w:basedOn w:val="DefaultParagraphFont"/>
    <w:link w:val="Heading6"/>
    <w:uiPriority w:val="9"/>
    <w:semiHidden/>
    <w:rsid w:val="00585358"/>
    <w:rPr>
      <w:rFonts w:asciiTheme="majorHAnsi" w:eastAsiaTheme="majorEastAsia" w:hAnsiTheme="majorHAnsi" w:cstheme="majorBidi"/>
      <w:i/>
      <w:iCs/>
      <w:color w:val="632423" w:themeColor="accent2" w:themeShade="80"/>
      <w:sz w:val="24"/>
      <w:szCs w:val="24"/>
    </w:rPr>
  </w:style>
  <w:style w:type="character" w:customStyle="1" w:styleId="Heading7Char">
    <w:name w:val="Heading 7 Char"/>
    <w:basedOn w:val="DefaultParagraphFont"/>
    <w:link w:val="Heading7"/>
    <w:uiPriority w:val="9"/>
    <w:semiHidden/>
    <w:rsid w:val="00585358"/>
    <w:rPr>
      <w:rFonts w:asciiTheme="majorHAnsi" w:eastAsiaTheme="majorEastAsia" w:hAnsiTheme="majorHAnsi" w:cstheme="majorBidi"/>
      <w:b/>
      <w:bCs/>
      <w:color w:val="632423" w:themeColor="accent2" w:themeShade="80"/>
      <w:sz w:val="22"/>
      <w:szCs w:val="22"/>
    </w:rPr>
  </w:style>
  <w:style w:type="character" w:customStyle="1" w:styleId="Heading8Char">
    <w:name w:val="Heading 8 Char"/>
    <w:basedOn w:val="DefaultParagraphFont"/>
    <w:link w:val="Heading8"/>
    <w:uiPriority w:val="9"/>
    <w:semiHidden/>
    <w:rsid w:val="00585358"/>
    <w:rPr>
      <w:rFonts w:asciiTheme="majorHAnsi" w:eastAsiaTheme="majorEastAsia" w:hAnsiTheme="majorHAnsi" w:cstheme="majorBidi"/>
      <w:color w:val="632423" w:themeColor="accent2" w:themeShade="80"/>
      <w:sz w:val="22"/>
      <w:szCs w:val="22"/>
    </w:rPr>
  </w:style>
  <w:style w:type="character" w:customStyle="1" w:styleId="Heading9Char">
    <w:name w:val="Heading 9 Char"/>
    <w:basedOn w:val="DefaultParagraphFont"/>
    <w:link w:val="Heading9"/>
    <w:uiPriority w:val="9"/>
    <w:semiHidden/>
    <w:rsid w:val="00585358"/>
    <w:rPr>
      <w:rFonts w:asciiTheme="majorHAnsi" w:eastAsiaTheme="majorEastAsia" w:hAnsiTheme="majorHAnsi" w:cstheme="majorBidi"/>
      <w:i/>
      <w:iCs/>
      <w:color w:val="632423" w:themeColor="accent2" w:themeShade="80"/>
      <w:sz w:val="22"/>
      <w:szCs w:val="22"/>
    </w:rPr>
  </w:style>
  <w:style w:type="paragraph" w:styleId="Caption">
    <w:name w:val="caption"/>
    <w:basedOn w:val="Normal"/>
    <w:next w:val="Normal"/>
    <w:uiPriority w:val="35"/>
    <w:semiHidden/>
    <w:unhideWhenUsed/>
    <w:qFormat/>
    <w:rsid w:val="00585358"/>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585358"/>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585358"/>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585358"/>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585358"/>
    <w:rPr>
      <w:caps/>
      <w:color w:val="404040" w:themeColor="text1" w:themeTint="BF"/>
      <w:spacing w:val="20"/>
      <w:sz w:val="28"/>
      <w:szCs w:val="28"/>
    </w:rPr>
  </w:style>
  <w:style w:type="character" w:styleId="Strong">
    <w:name w:val="Strong"/>
    <w:basedOn w:val="DefaultParagraphFont"/>
    <w:uiPriority w:val="22"/>
    <w:qFormat/>
    <w:rsid w:val="00585358"/>
    <w:rPr>
      <w:b/>
      <w:bCs/>
    </w:rPr>
  </w:style>
  <w:style w:type="character" w:styleId="Emphasis">
    <w:name w:val="Emphasis"/>
    <w:basedOn w:val="DefaultParagraphFont"/>
    <w:uiPriority w:val="20"/>
    <w:qFormat/>
    <w:rsid w:val="00585358"/>
    <w:rPr>
      <w:i/>
      <w:iCs/>
      <w:color w:val="000000" w:themeColor="text1"/>
    </w:rPr>
  </w:style>
  <w:style w:type="paragraph" w:styleId="NoSpacing">
    <w:name w:val="No Spacing"/>
    <w:link w:val="NoSpacingChar"/>
    <w:uiPriority w:val="1"/>
    <w:qFormat/>
    <w:rsid w:val="00585358"/>
    <w:pPr>
      <w:spacing w:after="0" w:line="240" w:lineRule="auto"/>
    </w:pPr>
  </w:style>
  <w:style w:type="character" w:customStyle="1" w:styleId="NoSpacingChar">
    <w:name w:val="No Spacing Char"/>
    <w:basedOn w:val="DefaultParagraphFont"/>
    <w:link w:val="NoSpacing"/>
    <w:uiPriority w:val="1"/>
    <w:rsid w:val="00C85138"/>
  </w:style>
  <w:style w:type="paragraph" w:styleId="ListParagraph">
    <w:name w:val="List Paragraph"/>
    <w:basedOn w:val="Normal"/>
    <w:uiPriority w:val="34"/>
    <w:qFormat/>
    <w:rsid w:val="00C85138"/>
    <w:pPr>
      <w:ind w:left="720"/>
      <w:contextualSpacing/>
    </w:pPr>
  </w:style>
  <w:style w:type="paragraph" w:styleId="Quote">
    <w:name w:val="Quote"/>
    <w:basedOn w:val="Normal"/>
    <w:next w:val="Normal"/>
    <w:link w:val="QuoteChar"/>
    <w:uiPriority w:val="29"/>
    <w:qFormat/>
    <w:rsid w:val="00585358"/>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585358"/>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585358"/>
    <w:pPr>
      <w:pBdr>
        <w:top w:val="single" w:sz="24" w:space="4" w:color="C0504D"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585358"/>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585358"/>
    <w:rPr>
      <w:i/>
      <w:iCs/>
      <w:color w:val="595959" w:themeColor="text1" w:themeTint="A6"/>
    </w:rPr>
  </w:style>
  <w:style w:type="character" w:styleId="IntenseEmphasis">
    <w:name w:val="Intense Emphasis"/>
    <w:basedOn w:val="DefaultParagraphFont"/>
    <w:uiPriority w:val="21"/>
    <w:qFormat/>
    <w:rsid w:val="00585358"/>
    <w:rPr>
      <w:b/>
      <w:bCs/>
      <w:i/>
      <w:iCs/>
      <w:caps w:val="0"/>
      <w:smallCaps w:val="0"/>
      <w:strike w:val="0"/>
      <w:dstrike w:val="0"/>
      <w:color w:val="C0504D" w:themeColor="accent2"/>
    </w:rPr>
  </w:style>
  <w:style w:type="character" w:styleId="SubtleReference">
    <w:name w:val="Subtle Reference"/>
    <w:basedOn w:val="DefaultParagraphFont"/>
    <w:uiPriority w:val="31"/>
    <w:qFormat/>
    <w:rsid w:val="00585358"/>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585358"/>
    <w:rPr>
      <w:b/>
      <w:bCs/>
      <w:caps w:val="0"/>
      <w:smallCaps/>
      <w:color w:val="auto"/>
      <w:spacing w:val="0"/>
      <w:u w:val="single"/>
    </w:rPr>
  </w:style>
  <w:style w:type="character" w:styleId="BookTitle">
    <w:name w:val="Book Title"/>
    <w:basedOn w:val="DefaultParagraphFont"/>
    <w:uiPriority w:val="33"/>
    <w:qFormat/>
    <w:rsid w:val="00585358"/>
    <w:rPr>
      <w:b/>
      <w:bCs/>
      <w:caps w:val="0"/>
      <w:smallCaps/>
      <w:spacing w:val="0"/>
    </w:rPr>
  </w:style>
  <w:style w:type="paragraph" w:styleId="TOCHeading">
    <w:name w:val="TOC Heading"/>
    <w:basedOn w:val="Heading1"/>
    <w:next w:val="Normal"/>
    <w:uiPriority w:val="39"/>
    <w:semiHidden/>
    <w:unhideWhenUsed/>
    <w:qFormat/>
    <w:rsid w:val="00585358"/>
    <w:pPr>
      <w:outlineLvl w:val="9"/>
    </w:pPr>
  </w:style>
  <w:style w:type="paragraph" w:styleId="TOC1">
    <w:name w:val="toc 1"/>
    <w:basedOn w:val="Normal"/>
    <w:next w:val="Normal"/>
    <w:autoRedefine/>
    <w:uiPriority w:val="39"/>
    <w:unhideWhenUsed/>
    <w:rsid w:val="00C536D4"/>
    <w:pPr>
      <w:spacing w:after="100"/>
    </w:pPr>
  </w:style>
  <w:style w:type="character" w:styleId="Hyperlink">
    <w:name w:val="Hyperlink"/>
    <w:basedOn w:val="DefaultParagraphFont"/>
    <w:uiPriority w:val="99"/>
    <w:unhideWhenUsed/>
    <w:rsid w:val="00C536D4"/>
    <w:rPr>
      <w:color w:val="0000FF" w:themeColor="hyperlink"/>
      <w:u w:val="single"/>
    </w:rPr>
  </w:style>
  <w:style w:type="paragraph" w:styleId="BalloonText">
    <w:name w:val="Balloon Text"/>
    <w:basedOn w:val="Normal"/>
    <w:link w:val="BalloonTextChar"/>
    <w:uiPriority w:val="99"/>
    <w:semiHidden/>
    <w:unhideWhenUsed/>
    <w:rsid w:val="00C536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36D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2474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420BF9-9C62-4E5C-B5A7-83B2A097C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2343</Words>
  <Characters>13357</Characters>
  <Application>Microsoft Office Word</Application>
  <DocSecurity>0</DocSecurity>
  <Lines>111</Lines>
  <Paragraphs>31</Paragraphs>
  <ScaleCrop>false</ScaleCrop>
  <Company>Grizli777</Company>
  <LinksUpToDate>false</LinksUpToDate>
  <CharactersWithSpaces>15669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 Fizesan</dc:creator>
  <cp:keywords/>
  <dc:description/>
  <cp:lastModifiedBy>Simona Silvia Guita (2235981)</cp:lastModifiedBy>
  <cp:revision>2</cp:revision>
  <dcterms:created xsi:type="dcterms:W3CDTF">2023-12-19T18:55:00Z</dcterms:created>
  <dcterms:modified xsi:type="dcterms:W3CDTF">2023-12-19T18:55:00Z</dcterms:modified>
</cp:coreProperties>
</file>