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EEC61A" w14:textId="77777777" w:rsidR="00D7750B" w:rsidRPr="00E6379D" w:rsidRDefault="00D7750B" w:rsidP="00A250DA">
      <w:pPr>
        <w:jc w:val="center"/>
        <w:rPr>
          <w:rFonts w:ascii="Arial" w:hAnsi="Arial" w:cs="Arial"/>
          <w:sz w:val="24"/>
          <w:szCs w:val="24"/>
        </w:rPr>
      </w:pPr>
    </w:p>
    <w:p w14:paraId="269C3F10" w14:textId="77777777" w:rsidR="00D7750B" w:rsidRPr="00E6379D" w:rsidRDefault="00D7750B" w:rsidP="00D7750B">
      <w:pPr>
        <w:jc w:val="center"/>
        <w:rPr>
          <w:rFonts w:ascii="Arial" w:hAnsi="Arial" w:cs="Arial"/>
          <w:sz w:val="24"/>
          <w:szCs w:val="24"/>
        </w:rPr>
      </w:pPr>
      <w:r w:rsidRPr="00E6379D">
        <w:rPr>
          <w:rFonts w:ascii="Arial" w:eastAsia="Times New Roman" w:hAnsi="Arial" w:cs="Arial"/>
          <w:b/>
          <w:sz w:val="24"/>
          <w:szCs w:val="24"/>
          <w:lang w:eastAsia="en-GB"/>
        </w:rPr>
        <w:t>BSc Professional Policing Practice</w:t>
      </w:r>
    </w:p>
    <w:p w14:paraId="67A7ACC7" w14:textId="77777777" w:rsidR="00D7750B" w:rsidRPr="00E6379D" w:rsidRDefault="00D7750B" w:rsidP="00A250DA">
      <w:pPr>
        <w:jc w:val="center"/>
        <w:rPr>
          <w:rFonts w:ascii="Arial" w:hAnsi="Arial" w:cs="Arial"/>
          <w:sz w:val="24"/>
          <w:szCs w:val="24"/>
        </w:rPr>
      </w:pPr>
    </w:p>
    <w:p w14:paraId="3521D81C" w14:textId="6A25FD54" w:rsidR="00D51947" w:rsidRPr="00E6379D" w:rsidRDefault="00D7750B" w:rsidP="00A250DA">
      <w:pPr>
        <w:jc w:val="center"/>
        <w:rPr>
          <w:rFonts w:ascii="Arial" w:hAnsi="Arial" w:cs="Arial"/>
          <w:b/>
          <w:bCs/>
          <w:sz w:val="24"/>
          <w:szCs w:val="24"/>
        </w:rPr>
      </w:pPr>
      <w:r w:rsidRPr="00E6379D">
        <w:rPr>
          <w:rFonts w:ascii="Arial" w:hAnsi="Arial" w:cs="Arial"/>
          <w:b/>
          <w:bCs/>
          <w:sz w:val="24"/>
          <w:szCs w:val="24"/>
        </w:rPr>
        <w:t>Academic</w:t>
      </w:r>
      <w:r w:rsidR="00A250DA" w:rsidRPr="00E6379D">
        <w:rPr>
          <w:rFonts w:ascii="Arial" w:hAnsi="Arial" w:cs="Arial"/>
          <w:b/>
          <w:bCs/>
          <w:sz w:val="24"/>
          <w:szCs w:val="24"/>
        </w:rPr>
        <w:t xml:space="preserve"> Assessment </w:t>
      </w:r>
      <w:r w:rsidR="007A4747">
        <w:rPr>
          <w:rFonts w:ascii="Arial" w:hAnsi="Arial" w:cs="Arial"/>
          <w:b/>
          <w:bCs/>
          <w:sz w:val="24"/>
          <w:szCs w:val="24"/>
        </w:rPr>
        <w:t>2</w:t>
      </w:r>
    </w:p>
    <w:p w14:paraId="18C9A1FF" w14:textId="77777777" w:rsidR="00A250DA" w:rsidRPr="00E6379D" w:rsidRDefault="00A250DA" w:rsidP="00A250DA">
      <w:pPr>
        <w:jc w:val="center"/>
        <w:rPr>
          <w:rFonts w:ascii="Arial" w:hAnsi="Arial" w:cs="Arial"/>
          <w:sz w:val="24"/>
          <w:szCs w:val="24"/>
        </w:rPr>
      </w:pPr>
    </w:p>
    <w:p w14:paraId="520B53D0" w14:textId="77777777" w:rsidR="00A250DA" w:rsidRPr="00E6379D" w:rsidRDefault="00A250DA" w:rsidP="00A250DA">
      <w:pPr>
        <w:jc w:val="center"/>
        <w:rPr>
          <w:rFonts w:ascii="Arial" w:hAnsi="Arial" w:cs="Arial"/>
          <w:sz w:val="24"/>
          <w:szCs w:val="24"/>
        </w:rPr>
      </w:pPr>
    </w:p>
    <w:p w14:paraId="385ABDAC" w14:textId="77777777" w:rsidR="00A250DA" w:rsidRPr="00E6379D" w:rsidRDefault="00A250DA" w:rsidP="00A250DA">
      <w:pPr>
        <w:jc w:val="center"/>
        <w:rPr>
          <w:rFonts w:ascii="Arial" w:hAnsi="Arial" w:cs="Arial"/>
          <w:sz w:val="24"/>
          <w:szCs w:val="24"/>
        </w:rPr>
      </w:pPr>
    </w:p>
    <w:p w14:paraId="58FE27AB" w14:textId="77777777" w:rsidR="00076FCD" w:rsidRPr="00E6379D" w:rsidRDefault="00076FCD" w:rsidP="00A250DA">
      <w:pPr>
        <w:jc w:val="center"/>
        <w:rPr>
          <w:rFonts w:ascii="Arial" w:hAnsi="Arial" w:cs="Arial"/>
          <w:sz w:val="24"/>
          <w:szCs w:val="24"/>
        </w:rPr>
      </w:pPr>
    </w:p>
    <w:p w14:paraId="493A05E2" w14:textId="77777777" w:rsidR="00076FCD" w:rsidRPr="00E6379D" w:rsidRDefault="00076FCD" w:rsidP="00A250DA">
      <w:pPr>
        <w:jc w:val="center"/>
        <w:rPr>
          <w:rFonts w:ascii="Arial" w:hAnsi="Arial" w:cs="Arial"/>
          <w:sz w:val="24"/>
          <w:szCs w:val="24"/>
        </w:rPr>
      </w:pPr>
    </w:p>
    <w:p w14:paraId="7B97BFF1" w14:textId="77777777" w:rsidR="00076FCD" w:rsidRPr="00E6379D" w:rsidRDefault="00076FCD" w:rsidP="00A250DA">
      <w:pPr>
        <w:jc w:val="center"/>
        <w:rPr>
          <w:rFonts w:ascii="Arial" w:hAnsi="Arial" w:cs="Arial"/>
          <w:sz w:val="24"/>
          <w:szCs w:val="24"/>
        </w:rPr>
      </w:pPr>
    </w:p>
    <w:p w14:paraId="577794E1" w14:textId="77777777" w:rsidR="00076FCD" w:rsidRPr="00E6379D" w:rsidRDefault="00076FCD" w:rsidP="00A250DA">
      <w:pPr>
        <w:jc w:val="center"/>
        <w:rPr>
          <w:rFonts w:ascii="Arial" w:hAnsi="Arial" w:cs="Arial"/>
          <w:sz w:val="24"/>
          <w:szCs w:val="24"/>
        </w:rPr>
      </w:pPr>
    </w:p>
    <w:p w14:paraId="47672D2B" w14:textId="77777777" w:rsidR="00076FCD" w:rsidRPr="00E6379D" w:rsidRDefault="00076FCD" w:rsidP="00A250DA">
      <w:pPr>
        <w:jc w:val="center"/>
        <w:rPr>
          <w:rFonts w:ascii="Arial" w:hAnsi="Arial" w:cs="Arial"/>
          <w:sz w:val="24"/>
          <w:szCs w:val="24"/>
        </w:rPr>
      </w:pPr>
    </w:p>
    <w:p w14:paraId="7CE2843C" w14:textId="06329649" w:rsidR="006C7B6A" w:rsidRPr="00E6379D" w:rsidRDefault="00A250DA" w:rsidP="006C7B6A">
      <w:pPr>
        <w:jc w:val="center"/>
        <w:rPr>
          <w:rFonts w:ascii="Arial" w:hAnsi="Arial" w:cs="Arial"/>
          <w:sz w:val="24"/>
          <w:szCs w:val="24"/>
        </w:rPr>
      </w:pPr>
      <w:r w:rsidRPr="00E6379D">
        <w:rPr>
          <w:rFonts w:ascii="Arial" w:hAnsi="Arial" w:cs="Arial"/>
          <w:sz w:val="24"/>
          <w:szCs w:val="24"/>
        </w:rPr>
        <w:t>Andrew Evans</w:t>
      </w:r>
    </w:p>
    <w:p w14:paraId="684F1AE7" w14:textId="78D5982B" w:rsidR="00D7750B" w:rsidRPr="00E6379D" w:rsidRDefault="00D7750B" w:rsidP="00D7750B">
      <w:pPr>
        <w:jc w:val="center"/>
        <w:rPr>
          <w:rFonts w:ascii="Arial" w:hAnsi="Arial" w:cs="Arial"/>
          <w:sz w:val="24"/>
          <w:szCs w:val="24"/>
        </w:rPr>
      </w:pPr>
      <w:r w:rsidRPr="00E6379D">
        <w:rPr>
          <w:rFonts w:ascii="Arial" w:hAnsi="Arial" w:cs="Arial"/>
          <w:sz w:val="24"/>
          <w:szCs w:val="24"/>
        </w:rPr>
        <w:t>224</w:t>
      </w:r>
      <w:r w:rsidR="00076FCD" w:rsidRPr="00E6379D">
        <w:rPr>
          <w:rFonts w:ascii="Arial" w:hAnsi="Arial" w:cs="Arial"/>
          <w:sz w:val="24"/>
          <w:szCs w:val="24"/>
        </w:rPr>
        <w:t>6060</w:t>
      </w:r>
    </w:p>
    <w:p w14:paraId="169ED7BB" w14:textId="77777777" w:rsidR="006C7B6A" w:rsidRPr="00E6379D" w:rsidRDefault="006C7B6A" w:rsidP="00D7750B">
      <w:pPr>
        <w:jc w:val="center"/>
        <w:rPr>
          <w:rFonts w:ascii="Arial" w:hAnsi="Arial" w:cs="Arial"/>
          <w:sz w:val="24"/>
          <w:szCs w:val="24"/>
        </w:rPr>
      </w:pPr>
    </w:p>
    <w:p w14:paraId="78E302DE" w14:textId="29B0D47A" w:rsidR="006C7B6A" w:rsidRPr="00E6379D" w:rsidRDefault="006C7B6A" w:rsidP="00D7750B">
      <w:pPr>
        <w:jc w:val="center"/>
        <w:rPr>
          <w:rFonts w:ascii="Arial" w:hAnsi="Arial" w:cs="Arial"/>
          <w:sz w:val="24"/>
          <w:szCs w:val="24"/>
        </w:rPr>
      </w:pPr>
      <w:r w:rsidRPr="00E6379D">
        <w:rPr>
          <w:rFonts w:ascii="Arial" w:hAnsi="Arial" w:cs="Arial"/>
          <w:sz w:val="24"/>
          <w:szCs w:val="24"/>
        </w:rPr>
        <w:t>PCDA Cohort 02.22</w:t>
      </w:r>
    </w:p>
    <w:p w14:paraId="4D03C7C8" w14:textId="77777777" w:rsidR="00E6379D" w:rsidRPr="00E6379D" w:rsidRDefault="00E6379D" w:rsidP="00D7750B">
      <w:pPr>
        <w:jc w:val="center"/>
        <w:rPr>
          <w:rFonts w:ascii="Arial" w:hAnsi="Arial" w:cs="Arial"/>
          <w:sz w:val="24"/>
          <w:szCs w:val="24"/>
        </w:rPr>
      </w:pPr>
    </w:p>
    <w:p w14:paraId="12E13E9A" w14:textId="77777777" w:rsidR="00E6379D" w:rsidRPr="00E6379D" w:rsidRDefault="00E6379D" w:rsidP="00D7750B">
      <w:pPr>
        <w:jc w:val="center"/>
        <w:rPr>
          <w:rFonts w:ascii="Arial" w:hAnsi="Arial" w:cs="Arial"/>
          <w:sz w:val="24"/>
          <w:szCs w:val="24"/>
        </w:rPr>
      </w:pPr>
    </w:p>
    <w:p w14:paraId="25C1BFDB" w14:textId="77777777" w:rsidR="00E6379D" w:rsidRPr="00E6379D" w:rsidRDefault="00E6379D" w:rsidP="00D7750B">
      <w:pPr>
        <w:jc w:val="center"/>
        <w:rPr>
          <w:rFonts w:ascii="Arial" w:hAnsi="Arial" w:cs="Arial"/>
          <w:sz w:val="24"/>
          <w:szCs w:val="24"/>
        </w:rPr>
      </w:pPr>
    </w:p>
    <w:p w14:paraId="71CFB561" w14:textId="77777777" w:rsidR="00E6379D" w:rsidRPr="00E6379D" w:rsidRDefault="00E6379D" w:rsidP="00D7750B">
      <w:pPr>
        <w:jc w:val="center"/>
        <w:rPr>
          <w:rFonts w:ascii="Arial" w:hAnsi="Arial" w:cs="Arial"/>
          <w:sz w:val="24"/>
          <w:szCs w:val="24"/>
        </w:rPr>
      </w:pPr>
    </w:p>
    <w:p w14:paraId="4955EC5E" w14:textId="77777777" w:rsidR="00E6379D" w:rsidRPr="00E6379D" w:rsidRDefault="00E6379D" w:rsidP="00D7750B">
      <w:pPr>
        <w:jc w:val="center"/>
        <w:rPr>
          <w:rFonts w:ascii="Arial" w:hAnsi="Arial" w:cs="Arial"/>
          <w:sz w:val="24"/>
          <w:szCs w:val="24"/>
        </w:rPr>
      </w:pPr>
    </w:p>
    <w:p w14:paraId="0BD732B2" w14:textId="77777777" w:rsidR="00E6379D" w:rsidRPr="00E6379D" w:rsidRDefault="00E6379D" w:rsidP="00D7750B">
      <w:pPr>
        <w:jc w:val="center"/>
        <w:rPr>
          <w:rFonts w:ascii="Arial" w:hAnsi="Arial" w:cs="Arial"/>
          <w:sz w:val="24"/>
          <w:szCs w:val="24"/>
        </w:rPr>
      </w:pPr>
    </w:p>
    <w:p w14:paraId="4D016A49" w14:textId="77777777" w:rsidR="00E6379D" w:rsidRPr="00E6379D" w:rsidRDefault="00E6379D" w:rsidP="00D7750B">
      <w:pPr>
        <w:jc w:val="center"/>
        <w:rPr>
          <w:rFonts w:ascii="Arial" w:hAnsi="Arial" w:cs="Arial"/>
          <w:sz w:val="24"/>
          <w:szCs w:val="24"/>
        </w:rPr>
      </w:pPr>
    </w:p>
    <w:p w14:paraId="15077558" w14:textId="77777777" w:rsidR="00E6379D" w:rsidRPr="00E6379D" w:rsidRDefault="00E6379D" w:rsidP="00D7750B">
      <w:pPr>
        <w:jc w:val="center"/>
        <w:rPr>
          <w:rFonts w:ascii="Arial" w:hAnsi="Arial" w:cs="Arial"/>
          <w:sz w:val="24"/>
          <w:szCs w:val="24"/>
        </w:rPr>
      </w:pPr>
    </w:p>
    <w:p w14:paraId="1A2B5E52" w14:textId="77777777" w:rsidR="00E6379D" w:rsidRPr="00E6379D" w:rsidRDefault="00E6379D" w:rsidP="00D7750B">
      <w:pPr>
        <w:jc w:val="center"/>
        <w:rPr>
          <w:rFonts w:ascii="Arial" w:hAnsi="Arial" w:cs="Arial"/>
          <w:sz w:val="24"/>
          <w:szCs w:val="24"/>
        </w:rPr>
      </w:pPr>
    </w:p>
    <w:p w14:paraId="5F0B6CC2" w14:textId="77777777" w:rsidR="00E6379D" w:rsidRPr="00E6379D" w:rsidRDefault="00E6379D" w:rsidP="00D7750B">
      <w:pPr>
        <w:jc w:val="center"/>
        <w:rPr>
          <w:rFonts w:ascii="Arial" w:hAnsi="Arial" w:cs="Arial"/>
          <w:sz w:val="24"/>
          <w:szCs w:val="24"/>
        </w:rPr>
      </w:pPr>
    </w:p>
    <w:p w14:paraId="54A521E2" w14:textId="77777777" w:rsidR="00E6379D" w:rsidRPr="00E6379D" w:rsidRDefault="00E6379D" w:rsidP="00D7750B">
      <w:pPr>
        <w:jc w:val="center"/>
        <w:rPr>
          <w:rFonts w:ascii="Arial" w:hAnsi="Arial" w:cs="Arial"/>
          <w:sz w:val="24"/>
          <w:szCs w:val="24"/>
        </w:rPr>
      </w:pPr>
    </w:p>
    <w:p w14:paraId="6820B5AD" w14:textId="77777777" w:rsidR="00E6379D" w:rsidRPr="00E6379D" w:rsidRDefault="00E6379D" w:rsidP="00D7750B">
      <w:pPr>
        <w:jc w:val="center"/>
        <w:rPr>
          <w:rFonts w:ascii="Arial" w:hAnsi="Arial" w:cs="Arial"/>
          <w:sz w:val="24"/>
          <w:szCs w:val="24"/>
        </w:rPr>
      </w:pPr>
    </w:p>
    <w:p w14:paraId="31DB1875" w14:textId="77777777" w:rsidR="00E6379D" w:rsidRPr="00E6379D" w:rsidRDefault="00E6379D" w:rsidP="00D7750B">
      <w:pPr>
        <w:jc w:val="center"/>
        <w:rPr>
          <w:rFonts w:ascii="Arial" w:hAnsi="Arial" w:cs="Arial"/>
          <w:sz w:val="24"/>
          <w:szCs w:val="24"/>
        </w:rPr>
      </w:pPr>
    </w:p>
    <w:p w14:paraId="07908EA4" w14:textId="77777777" w:rsidR="00E6379D" w:rsidRPr="00E6379D" w:rsidRDefault="00E6379D" w:rsidP="00E6379D">
      <w:pPr>
        <w:rPr>
          <w:rFonts w:ascii="Arial" w:hAnsi="Arial" w:cs="Arial"/>
          <w:sz w:val="24"/>
          <w:szCs w:val="24"/>
        </w:rPr>
      </w:pPr>
    </w:p>
    <w:p w14:paraId="3E490428" w14:textId="6E454CD9" w:rsidR="00E6379D" w:rsidRPr="00382322" w:rsidRDefault="00E6379D" w:rsidP="00D7750B">
      <w:pPr>
        <w:jc w:val="center"/>
        <w:rPr>
          <w:rFonts w:asciiTheme="minorBidi" w:hAnsiTheme="minorBidi"/>
          <w:b/>
          <w:bCs/>
          <w:sz w:val="24"/>
          <w:szCs w:val="24"/>
        </w:rPr>
      </w:pPr>
      <w:r w:rsidRPr="00382322">
        <w:rPr>
          <w:rFonts w:asciiTheme="minorBidi" w:hAnsiTheme="minorBidi"/>
          <w:b/>
          <w:bCs/>
          <w:sz w:val="24"/>
          <w:szCs w:val="24"/>
        </w:rPr>
        <w:lastRenderedPageBreak/>
        <w:t>Essay 1.</w:t>
      </w:r>
    </w:p>
    <w:p w14:paraId="2A78EF05" w14:textId="77777777" w:rsidR="00E6379D" w:rsidRPr="00382322" w:rsidRDefault="00E6379D" w:rsidP="00382322">
      <w:pPr>
        <w:rPr>
          <w:rFonts w:asciiTheme="minorBidi" w:hAnsiTheme="minorBidi"/>
          <w:sz w:val="24"/>
          <w:szCs w:val="24"/>
        </w:rPr>
      </w:pPr>
    </w:p>
    <w:p w14:paraId="60C6D109" w14:textId="7EC9D13E" w:rsidR="00382322" w:rsidRPr="00382322" w:rsidRDefault="00382322" w:rsidP="00382322">
      <w:pPr>
        <w:rPr>
          <w:rFonts w:asciiTheme="minorBidi" w:hAnsiTheme="minorBidi"/>
          <w:b/>
          <w:bCs/>
          <w:sz w:val="24"/>
          <w:szCs w:val="24"/>
        </w:rPr>
      </w:pPr>
      <w:r w:rsidRPr="00382322">
        <w:rPr>
          <w:rFonts w:asciiTheme="minorBidi" w:hAnsiTheme="minorBidi"/>
          <w:b/>
          <w:bCs/>
          <w:sz w:val="24"/>
          <w:szCs w:val="24"/>
        </w:rPr>
        <w:t>What impact can the challenges of operational policing have on individual and group wellbeing? Why is it important to manage mental wellbeing in policing?</w:t>
      </w:r>
      <w:r w:rsidRPr="00382322">
        <w:rPr>
          <w:rFonts w:asciiTheme="minorBidi" w:hAnsiTheme="minorBidi"/>
          <w:b/>
          <w:bCs/>
          <w:sz w:val="24"/>
          <w:szCs w:val="24"/>
        </w:rPr>
        <w:br/>
        <w:t>Your answer must be based on academic research rather than personal experience.</w:t>
      </w:r>
    </w:p>
    <w:p w14:paraId="3C0BD2B0" w14:textId="77777777" w:rsidR="00382322" w:rsidRPr="00382322" w:rsidRDefault="00382322" w:rsidP="0023587D">
      <w:pPr>
        <w:jc w:val="both"/>
        <w:rPr>
          <w:rFonts w:asciiTheme="minorBidi" w:hAnsiTheme="minorBidi"/>
          <w:b/>
          <w:bCs/>
          <w:sz w:val="24"/>
          <w:szCs w:val="24"/>
        </w:rPr>
      </w:pPr>
    </w:p>
    <w:p w14:paraId="5500A322" w14:textId="77777777" w:rsidR="00382322" w:rsidRPr="00382322" w:rsidRDefault="00382322" w:rsidP="0023587D">
      <w:pPr>
        <w:pStyle w:val="NormalWeb"/>
        <w:spacing w:line="360" w:lineRule="auto"/>
        <w:jc w:val="both"/>
        <w:rPr>
          <w:rFonts w:asciiTheme="minorBidi" w:hAnsiTheme="minorBidi" w:cstheme="minorBidi"/>
        </w:rPr>
      </w:pPr>
      <w:r w:rsidRPr="00382322">
        <w:rPr>
          <w:rFonts w:asciiTheme="minorBidi" w:hAnsiTheme="minorBidi" w:cstheme="minorBidi"/>
        </w:rPr>
        <w:t>Policing is renowned as a highly demanding profession, characterised by unique challenges that often place officers in high-risk situations. Thus, exposing individuals to trauma and emotional stress. These factors contribute to making policing one of the most psychologically strenuous careers, with profound effects on the wellbeing of individuals and groups (Foley et al., 2022). Recognising these impacts is crucial, as prolonged exposure to such conditions can result in various mental health issues, such as anxiety, depression, and post-traumatic stress disorder (PTSD) (Wittmann et al., 2021). Mental wellbeing in UK policing refers to the psychological state where officers are resilient, can cope effectively with job stresses, and maintain professional performance. Providing support for mental health is crucial for operational effectiveness and officer safety (College of Policing, 2018).</w:t>
      </w:r>
    </w:p>
    <w:p w14:paraId="147F260C" w14:textId="77777777" w:rsidR="00382322" w:rsidRPr="00382322" w:rsidRDefault="00382322" w:rsidP="0023587D">
      <w:pPr>
        <w:pStyle w:val="NormalWeb"/>
        <w:spacing w:line="360" w:lineRule="auto"/>
        <w:jc w:val="both"/>
        <w:rPr>
          <w:rFonts w:asciiTheme="minorBidi" w:hAnsiTheme="minorBidi" w:cstheme="minorBidi"/>
          <w:color w:val="000000"/>
        </w:rPr>
      </w:pPr>
      <w:r w:rsidRPr="00382322">
        <w:rPr>
          <w:rFonts w:asciiTheme="minorBidi" w:hAnsiTheme="minorBidi" w:cstheme="minorBidi"/>
          <w:color w:val="000000"/>
        </w:rPr>
        <w:t>Policing can present severe psychological, and emotional challenges that greatly impact an officer's mental health and overall well-being. Officers often encounter traumatic events, operate in high-stress environments, and must make rapid decisions in potentially life-threatening circumstances. Research indicates that ongoing exposure to such stressors can lead to persistent mental health issues among officers and staff (</w:t>
      </w:r>
      <w:r w:rsidRPr="00382322">
        <w:rPr>
          <w:rFonts w:asciiTheme="minorBidi" w:hAnsiTheme="minorBidi" w:cstheme="minorBidi"/>
        </w:rPr>
        <w:t>Velazquez</w:t>
      </w:r>
      <w:r w:rsidRPr="00382322">
        <w:rPr>
          <w:rFonts w:asciiTheme="minorBidi" w:hAnsiTheme="minorBidi" w:cstheme="minorBidi"/>
          <w:color w:val="000000"/>
        </w:rPr>
        <w:t xml:space="preserve"> and Hernandez, 2019). For example, PTSD is notably prevalent among police officers, with studies revealing that 7,102 officers at the rank of constable are exposed to 100% of traumatic incidents with 597 of those 7,102 (8.4%) experiencing PTSD, with 975 (13.7%) experiencing complex PTSD a figure significantly higher than the approximate 6% prevalence in the general population (</w:t>
      </w:r>
      <w:r w:rsidRPr="00382322">
        <w:rPr>
          <w:rFonts w:asciiTheme="minorBidi" w:hAnsiTheme="minorBidi" w:cstheme="minorBidi"/>
        </w:rPr>
        <w:t>Brewin</w:t>
      </w:r>
      <w:r w:rsidRPr="00382322">
        <w:rPr>
          <w:rFonts w:asciiTheme="minorBidi" w:hAnsiTheme="minorBidi" w:cstheme="minorBidi"/>
          <w:color w:val="000000"/>
        </w:rPr>
        <w:t xml:space="preserve"> et al., 2022). Stress within policing is multifaceted, often arising from factors such as work-related trauma, excessive workload and organisational pressures. These elements create a complex stress environment that affects not only the psychological but also the physical health of officers, manifesting in higher incidences of hypertension, cardiovascular disease, and substance abuse compared to the </w:t>
      </w:r>
      <w:r w:rsidRPr="00382322">
        <w:rPr>
          <w:rFonts w:asciiTheme="minorBidi" w:hAnsiTheme="minorBidi" w:cstheme="minorBidi"/>
          <w:color w:val="000000"/>
        </w:rPr>
        <w:lastRenderedPageBreak/>
        <w:t>general population (</w:t>
      </w:r>
      <w:proofErr w:type="spellStart"/>
      <w:r w:rsidRPr="00382322">
        <w:rPr>
          <w:rFonts w:asciiTheme="minorBidi" w:hAnsiTheme="minorBidi" w:cstheme="minorBidi"/>
          <w:color w:val="000000"/>
        </w:rPr>
        <w:t>Violanti</w:t>
      </w:r>
      <w:proofErr w:type="spellEnd"/>
      <w:r w:rsidRPr="00382322">
        <w:rPr>
          <w:rFonts w:asciiTheme="minorBidi" w:hAnsiTheme="minorBidi" w:cstheme="minorBidi"/>
          <w:color w:val="000000"/>
        </w:rPr>
        <w:t xml:space="preserve"> et al., 2013). Furthermore, the nature of police work frequently demands persistent alertness and control over emotions, particularly in confrontational scenarios. The emotional effort involved in preserving a composed and assertive demeanour, especially in crisis situations, can result in "emotional exhaustion", a condition that is strongly linked to burnout (Fix and Powell, 2024). Such burnout not only impairs an officer's performance but also adversely impacts their personal life, as the mental fatigue experienced at work can hinder the development of positive social and family interactions.</w:t>
      </w:r>
    </w:p>
    <w:p w14:paraId="6CE353E7" w14:textId="77777777" w:rsidR="00382322" w:rsidRPr="00382322" w:rsidRDefault="00382322" w:rsidP="0023587D">
      <w:pPr>
        <w:pStyle w:val="NormalWeb"/>
        <w:spacing w:line="360" w:lineRule="auto"/>
        <w:jc w:val="both"/>
        <w:rPr>
          <w:rFonts w:asciiTheme="minorBidi" w:hAnsiTheme="minorBidi" w:cstheme="minorBidi"/>
          <w:color w:val="000000"/>
        </w:rPr>
      </w:pPr>
      <w:r w:rsidRPr="00382322">
        <w:rPr>
          <w:rFonts w:asciiTheme="minorBidi" w:hAnsiTheme="minorBidi" w:cstheme="minorBidi"/>
          <w:color w:val="000000"/>
        </w:rPr>
        <w:t xml:space="preserve">Furthermore, the stigma attached to mental health issues within the police community can exacerbate existing group challenges. </w:t>
      </w:r>
      <w:r w:rsidRPr="00382322">
        <w:rPr>
          <w:rFonts w:asciiTheme="minorBidi" w:hAnsiTheme="minorBidi" w:cstheme="minorBidi"/>
        </w:rPr>
        <w:t xml:space="preserve">McGeough and Foster (2018) </w:t>
      </w:r>
      <w:r w:rsidRPr="00382322">
        <w:rPr>
          <w:rFonts w:asciiTheme="minorBidi" w:hAnsiTheme="minorBidi" w:cstheme="minorBidi"/>
          <w:color w:val="000000"/>
        </w:rPr>
        <w:t>note that many officers are reluctant to seek mental health assistance due to concerns about being viewed as fragile or unfit for duty. This stigma hinders the ability to have frank discussions about mental health, thereby obstructing effective communication and the development of robust support networks within teams. As a result, unresolved mental health issues may undermine the overall wellbeing of the group and can lead to impaired team functioning, affecting their operational effectiveness and cohesion.</w:t>
      </w:r>
    </w:p>
    <w:p w14:paraId="6816B1F0"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These psychological problems often coincide with increased substance use, which is employed as a coping mechanism for the stress and trauma encountered (Irizar et al., 2023).  </w:t>
      </w:r>
      <w:r w:rsidRPr="00382322">
        <w:rPr>
          <w:rFonts w:asciiTheme="minorBidi" w:hAnsiTheme="minorBidi"/>
          <w:color w:val="000000"/>
          <w:sz w:val="24"/>
          <w:szCs w:val="24"/>
        </w:rPr>
        <w:t>The study found that individuals reporting low strain consumed alcohol hazardously more frequently than those under high strain, a trend significantly influenced by mental health conditions.</w:t>
      </w:r>
      <w:r w:rsidRPr="00382322">
        <w:rPr>
          <w:rFonts w:asciiTheme="minorBidi" w:hAnsiTheme="minorBidi"/>
          <w:sz w:val="24"/>
          <w:szCs w:val="24"/>
        </w:rPr>
        <w:t xml:space="preserve"> </w:t>
      </w:r>
      <w:r w:rsidRPr="00382322">
        <w:rPr>
          <w:rFonts w:asciiTheme="minorBidi" w:hAnsiTheme="minorBidi"/>
          <w:color w:val="000000"/>
          <w:sz w:val="24"/>
          <w:szCs w:val="24"/>
        </w:rPr>
        <w:t xml:space="preserve">Overall, 32.6% of police employees engaged in hazardous drinking, with 3.0% consuming alcohol at harmful levels. Among those suffering from depression, anxiety, or PTSD, the likelihood of harmful drinking was twice as high compared to their peers without these conditions. The study found that individuals reporting low strain consumed alcohol hazardously more frequently than those under high strain, a trend significantly influenced by mental health conditions. </w:t>
      </w:r>
    </w:p>
    <w:p w14:paraId="49B5291E"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According to Paton’s stress-response model (2003), the distinct pressures of police work, including life-threatening situations, the necessity for rapid decision-making, and witnessing human distress, can undermine standard coping strategies. This degradation may lead to unhelpful behaviours like substance abuse (</w:t>
      </w:r>
      <w:proofErr w:type="spellStart"/>
      <w:r w:rsidRPr="00382322">
        <w:rPr>
          <w:rFonts w:asciiTheme="minorBidi" w:hAnsiTheme="minorBidi"/>
          <w:sz w:val="24"/>
          <w:szCs w:val="24"/>
        </w:rPr>
        <w:t>Violanti</w:t>
      </w:r>
      <w:proofErr w:type="spellEnd"/>
      <w:r w:rsidRPr="00382322">
        <w:rPr>
          <w:rFonts w:asciiTheme="minorBidi" w:hAnsiTheme="minorBidi"/>
          <w:sz w:val="24"/>
          <w:szCs w:val="24"/>
        </w:rPr>
        <w:t xml:space="preserve"> and Paton, 2016.). The model provides insights into why officers might resort to substances like alcohol for temporary relief from persistent stress. To tackle substance abuse, a </w:t>
      </w:r>
      <w:r w:rsidRPr="00382322">
        <w:rPr>
          <w:rFonts w:asciiTheme="minorBidi" w:hAnsiTheme="minorBidi"/>
          <w:sz w:val="24"/>
          <w:szCs w:val="24"/>
        </w:rPr>
        <w:lastRenderedPageBreak/>
        <w:t>comprehensive strategy is essential. Police forces should enhance access to mental health services, such as counselling and psychological support, to promote healthier stress management techniques among officers (Irizar et al., 2021). Establishing a work environment that fosters mental health awareness and minimises the stigma around seeking assistance is crucial for tackling the adverse impacts that substance abuse and exposure to traumatic events can have on police officers and staff (Roche et al., 2024).</w:t>
      </w:r>
    </w:p>
    <w:p w14:paraId="45F73113" w14:textId="77777777" w:rsidR="00382322" w:rsidRPr="00382322" w:rsidRDefault="00382322" w:rsidP="0023587D">
      <w:pPr>
        <w:spacing w:line="360" w:lineRule="auto"/>
        <w:jc w:val="both"/>
        <w:rPr>
          <w:rFonts w:asciiTheme="minorBidi" w:hAnsiTheme="minorBidi"/>
          <w:sz w:val="24"/>
          <w:szCs w:val="24"/>
        </w:rPr>
      </w:pPr>
    </w:p>
    <w:p w14:paraId="37228330"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color w:val="000000"/>
          <w:sz w:val="24"/>
          <w:szCs w:val="24"/>
        </w:rPr>
        <w:t>The psychological well-being of police officers is intricately linked to the dynamics and cultural norms of their peer groups within the policing community. Effective policing is heavily reliant on robust teamwork, as officers rely on each other for protection and mutual support. However, a pervasive "culture of silence" concerning mental health often prevails within police forces, which may inhibit open discussions about psychological struggles. This silence leads to a stigmatisation of seeking mental health assistance, as noted by Evans et al. (2013). Officers may feel deterred from seeking help due to fears of adverse outcomes or perceptions of incompetence among their colleagues. This stigma exacerbates the challenge of addressing mental health issues within the force, potentially compromising the overall effectiveness and morale of officers. When team members suffer from compromised wellbeing, it can significantly affect team cohesion and morale, often leading to lower productivity, increased absenteeism, lack of officer retention and subsequent resignations (</w:t>
      </w:r>
      <w:proofErr w:type="spellStart"/>
      <w:r w:rsidRPr="00382322">
        <w:rPr>
          <w:rFonts w:asciiTheme="minorBidi" w:hAnsiTheme="minorBidi"/>
          <w:color w:val="000000"/>
          <w:sz w:val="24"/>
          <w:szCs w:val="24"/>
        </w:rPr>
        <w:t>Galatzer</w:t>
      </w:r>
      <w:proofErr w:type="spellEnd"/>
      <w:r w:rsidRPr="00382322">
        <w:rPr>
          <w:rFonts w:asciiTheme="minorBidi" w:hAnsiTheme="minorBidi"/>
          <w:color w:val="000000"/>
          <w:sz w:val="24"/>
          <w:szCs w:val="24"/>
        </w:rPr>
        <w:t>-Levy et al., 2011). Furthermore, officers suffering with stress or trauma may inadvertently spread these negative emotions among peers, fostering a work environment that downplays instead of addressing emotional problems. Ignoring the collective mental health of the team can foster a stress-filled environment, potentially leading to dysfunctional team dynamics and decreased operational efficiency, ultimately harming overall officers’ productivity (</w:t>
      </w:r>
      <w:proofErr w:type="spellStart"/>
      <w:r w:rsidRPr="00382322">
        <w:rPr>
          <w:rFonts w:asciiTheme="minorBidi" w:hAnsiTheme="minorBidi"/>
          <w:color w:val="000000"/>
          <w:sz w:val="24"/>
          <w:szCs w:val="24"/>
        </w:rPr>
        <w:t>Papazoglou</w:t>
      </w:r>
      <w:proofErr w:type="spellEnd"/>
      <w:r w:rsidRPr="00382322">
        <w:rPr>
          <w:rFonts w:asciiTheme="minorBidi" w:hAnsiTheme="minorBidi"/>
          <w:color w:val="000000"/>
          <w:sz w:val="24"/>
          <w:szCs w:val="24"/>
        </w:rPr>
        <w:t xml:space="preserve"> and Tuttle, 2018). This reaffirms the critical need for proactive mental health strategies and support in team settings to prevent such outcomes.</w:t>
      </w:r>
    </w:p>
    <w:p w14:paraId="420FA7BF" w14:textId="77777777" w:rsidR="00382322" w:rsidRPr="00382322" w:rsidRDefault="00382322" w:rsidP="0023587D">
      <w:pPr>
        <w:spacing w:line="360" w:lineRule="auto"/>
        <w:jc w:val="both"/>
        <w:rPr>
          <w:rFonts w:asciiTheme="minorBidi" w:hAnsiTheme="minorBidi"/>
          <w:sz w:val="24"/>
          <w:szCs w:val="24"/>
        </w:rPr>
      </w:pPr>
    </w:p>
    <w:p w14:paraId="6DA32606"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color w:val="000000"/>
          <w:sz w:val="24"/>
          <w:szCs w:val="24"/>
        </w:rPr>
        <w:t xml:space="preserve">Organisational support processes also play a pivotal role in determining group wellbeing. As a result, forces have adopted </w:t>
      </w:r>
      <w:r w:rsidRPr="00382322">
        <w:rPr>
          <w:rFonts w:asciiTheme="minorBidi" w:hAnsiTheme="minorBidi"/>
          <w:sz w:val="24"/>
          <w:szCs w:val="24"/>
        </w:rPr>
        <w:t>Trauma Incident Risk Management (</w:t>
      </w:r>
      <w:proofErr w:type="spellStart"/>
      <w:r w:rsidRPr="00382322">
        <w:rPr>
          <w:rFonts w:asciiTheme="minorBidi" w:hAnsiTheme="minorBidi"/>
          <w:sz w:val="24"/>
          <w:szCs w:val="24"/>
        </w:rPr>
        <w:t>TRiM</w:t>
      </w:r>
      <w:proofErr w:type="spellEnd"/>
      <w:r w:rsidRPr="00382322">
        <w:rPr>
          <w:rFonts w:asciiTheme="minorBidi" w:hAnsiTheme="minorBidi"/>
          <w:sz w:val="24"/>
          <w:szCs w:val="24"/>
        </w:rPr>
        <w:t xml:space="preserve">) </w:t>
      </w:r>
      <w:r w:rsidRPr="00382322">
        <w:rPr>
          <w:rFonts w:asciiTheme="minorBidi" w:hAnsiTheme="minorBidi"/>
          <w:sz w:val="24"/>
          <w:szCs w:val="24"/>
        </w:rPr>
        <w:lastRenderedPageBreak/>
        <w:t xml:space="preserve">which offers a proactive framework for UK policing that greatly enhances the psychological well-being of officers. It employs peer support to identify and handle trauma exposure, thereby diminishing the stigma associated with mental health issues and promoting early intervention. This can help reduce long-term absences due to sickness (Hesketh and </w:t>
      </w:r>
      <w:proofErr w:type="spellStart"/>
      <w:r w:rsidRPr="00382322">
        <w:rPr>
          <w:rFonts w:asciiTheme="minorBidi" w:hAnsiTheme="minorBidi"/>
          <w:sz w:val="24"/>
          <w:szCs w:val="24"/>
        </w:rPr>
        <w:t>Ãã</w:t>
      </w:r>
      <w:proofErr w:type="spellEnd"/>
      <w:r w:rsidRPr="00382322">
        <w:rPr>
          <w:rFonts w:asciiTheme="minorBidi" w:hAnsiTheme="minorBidi"/>
          <w:sz w:val="24"/>
          <w:szCs w:val="24"/>
        </w:rPr>
        <w:t xml:space="preserve">, 2018). Additionally, </w:t>
      </w:r>
      <w:proofErr w:type="spellStart"/>
      <w:r w:rsidRPr="00382322">
        <w:rPr>
          <w:rFonts w:asciiTheme="minorBidi" w:hAnsiTheme="minorBidi"/>
          <w:sz w:val="24"/>
          <w:szCs w:val="24"/>
        </w:rPr>
        <w:t>TRiM</w:t>
      </w:r>
      <w:proofErr w:type="spellEnd"/>
      <w:r w:rsidRPr="00382322">
        <w:rPr>
          <w:rFonts w:asciiTheme="minorBidi" w:hAnsiTheme="minorBidi"/>
          <w:sz w:val="24"/>
          <w:szCs w:val="24"/>
        </w:rPr>
        <w:t xml:space="preserve"> aids in building resilience and retaining officers by sustaining a healthier workforce, which is essential in policing (Hunt et al., 2013). The systematic support provided by </w:t>
      </w:r>
      <w:proofErr w:type="spellStart"/>
      <w:r w:rsidRPr="00382322">
        <w:rPr>
          <w:rFonts w:asciiTheme="minorBidi" w:hAnsiTheme="minorBidi"/>
          <w:sz w:val="24"/>
          <w:szCs w:val="24"/>
        </w:rPr>
        <w:t>TRiM</w:t>
      </w:r>
      <w:proofErr w:type="spellEnd"/>
      <w:r w:rsidRPr="00382322">
        <w:rPr>
          <w:rFonts w:asciiTheme="minorBidi" w:hAnsiTheme="minorBidi"/>
          <w:sz w:val="24"/>
          <w:szCs w:val="24"/>
        </w:rPr>
        <w:t xml:space="preserve"> not only aids in officers' recovery after incidents but also helps cultivate a supportive organisational culture.</w:t>
      </w:r>
    </w:p>
    <w:p w14:paraId="26F693A4" w14:textId="77777777" w:rsidR="00382322" w:rsidRPr="00382322" w:rsidRDefault="00382322" w:rsidP="0023587D">
      <w:pPr>
        <w:pStyle w:val="NormalWeb"/>
        <w:spacing w:line="360" w:lineRule="auto"/>
        <w:jc w:val="both"/>
        <w:rPr>
          <w:rFonts w:asciiTheme="minorBidi" w:hAnsiTheme="minorBidi" w:cstheme="minorBidi"/>
          <w:color w:val="000000"/>
        </w:rPr>
      </w:pPr>
      <w:r w:rsidRPr="00382322">
        <w:rPr>
          <w:rFonts w:asciiTheme="minorBidi" w:hAnsiTheme="minorBidi" w:cstheme="minorBidi"/>
          <w:color w:val="000000"/>
        </w:rPr>
        <w:t>Managing mental wellbeing within the policing sector is imperative, not just advantageous, as it enables officers to perform optimally. Ignoring mental health concerns can result in serious consequences, including impaired decision-making capabilities, diminished operational effectiveness, and potentially catastrophic errors in judgment during critical incidents. Proactive mental health support and interventions are crucial for sustaining a robust workforce that can withstand the rigorous demands of policing. By addressing these needs, we not only aid individual officers but also bolster overall public safety and enhance trust in policing practices (</w:t>
      </w:r>
      <w:proofErr w:type="spellStart"/>
      <w:r w:rsidRPr="00382322">
        <w:rPr>
          <w:rFonts w:asciiTheme="minorBidi" w:hAnsiTheme="minorBidi" w:cstheme="minorBidi"/>
          <w:color w:val="000000"/>
        </w:rPr>
        <w:t>Hakik</w:t>
      </w:r>
      <w:proofErr w:type="spellEnd"/>
      <w:r w:rsidRPr="00382322">
        <w:rPr>
          <w:rFonts w:asciiTheme="minorBidi" w:hAnsiTheme="minorBidi" w:cstheme="minorBidi"/>
          <w:color w:val="000000"/>
        </w:rPr>
        <w:t xml:space="preserve"> and Langlois, 2020). Extensive research underscores the connection between mental health and cognitive functions, revealing that continuous stress adversely affects executive functions essential for making pivotal decisions under pressure (Andersen et al., 2015). Therefore, the mental health of police officers is fundamentally connected to their personal safety and the effectiveness of their policing roles, significantly influencing broader public safety.</w:t>
      </w:r>
    </w:p>
    <w:p w14:paraId="5C8ABDF0" w14:textId="77777777" w:rsidR="00382322" w:rsidRPr="001E6DDB" w:rsidRDefault="00382322" w:rsidP="0023587D">
      <w:pPr>
        <w:pStyle w:val="placeholder"/>
        <w:spacing w:line="360" w:lineRule="auto"/>
        <w:jc w:val="both"/>
        <w:rPr>
          <w:rFonts w:asciiTheme="minorBidi" w:hAnsiTheme="minorBidi" w:cstheme="minorBidi"/>
          <w:color w:val="000000"/>
        </w:rPr>
      </w:pPr>
      <w:r w:rsidRPr="001E6DDB">
        <w:rPr>
          <w:rFonts w:asciiTheme="minorBidi" w:hAnsiTheme="minorBidi" w:cstheme="minorBidi"/>
          <w:color w:val="000000"/>
        </w:rPr>
        <w:t>These initiatives not only give a stable and supportive workplace environment that boosts officer readiness and effectiveness but also contribute significantly to the overall health of the police forces. Retaining experienced personnel is another vital aspect of managing mental wellbeing within policing. High turnover rates and premature retirements driven by mental health concerns can result in a significant depletion of skilled officers. This not only escalates recruitment and training expenses for police forces but also diminishes the force's overall capability</w:t>
      </w:r>
      <w:r w:rsidRPr="00382322">
        <w:rPr>
          <w:rFonts w:asciiTheme="minorBidi" w:hAnsiTheme="minorBidi" w:cstheme="minorBidi"/>
          <w:color w:val="000000"/>
        </w:rPr>
        <w:t xml:space="preserve"> within the workplace</w:t>
      </w:r>
      <w:r w:rsidRPr="001E6DDB">
        <w:rPr>
          <w:rFonts w:asciiTheme="minorBidi" w:hAnsiTheme="minorBidi" w:cstheme="minorBidi"/>
          <w:color w:val="000000"/>
        </w:rPr>
        <w:t xml:space="preserve">. Proper mental health management, through proactive strategies like stress reduction programs, specialised mental health training, and robust peer support systems, can notably enhance retention rates. By ensuring that experienced officers remain within </w:t>
      </w:r>
      <w:r w:rsidRPr="001E6DDB">
        <w:rPr>
          <w:rFonts w:asciiTheme="minorBidi" w:hAnsiTheme="minorBidi" w:cstheme="minorBidi"/>
          <w:color w:val="000000"/>
        </w:rPr>
        <w:lastRenderedPageBreak/>
        <w:t>the force longer, these measures serve the dual purpose of benefiting the organisation and enhancing the quality of public service (Carleton et al., 2018). Furthermore, prioritising the mental health of officers fosters a resilient workforce, enabling them to effectively manage high-stress situations and maintain their professional integrity, ultimately leading to better decision-making and improved public trust in law enforcement agencies.</w:t>
      </w:r>
    </w:p>
    <w:p w14:paraId="51A58557" w14:textId="77777777" w:rsidR="00382322" w:rsidRPr="001E6DDB" w:rsidRDefault="00382322" w:rsidP="0023587D">
      <w:pPr>
        <w:pStyle w:val="placeholder"/>
        <w:spacing w:line="360" w:lineRule="auto"/>
        <w:jc w:val="both"/>
        <w:rPr>
          <w:rFonts w:asciiTheme="minorBidi" w:hAnsiTheme="minorBidi" w:cstheme="minorBidi"/>
          <w:color w:val="000000"/>
        </w:rPr>
      </w:pPr>
      <w:r w:rsidRPr="001E6DDB">
        <w:rPr>
          <w:rFonts w:asciiTheme="minorBidi" w:hAnsiTheme="minorBidi" w:cstheme="minorBidi"/>
          <w:color w:val="000000"/>
        </w:rPr>
        <w:t>Addressing mental health concerns in policing demands a comprehensive strategy that includes both personal assistance and organisational reform. For example, peer support initiatives have proven successful in creating a confidential environment where officers can openly share their mental health struggles without facing judgment. This promotes a supportive culture and helps diminish the stigma linked to mental health issues (Kane and Evans, 2018). Additionally, resilience training programs that focus on stress management, emotional regulation, and coping strategies have shown promise in improving both individual and group wellbeing within police forces (</w:t>
      </w:r>
      <w:proofErr w:type="spellStart"/>
      <w:r w:rsidRPr="001E6DDB">
        <w:rPr>
          <w:rFonts w:asciiTheme="minorBidi" w:hAnsiTheme="minorBidi" w:cstheme="minorBidi"/>
          <w:color w:val="000000"/>
        </w:rPr>
        <w:t>Papazoglou</w:t>
      </w:r>
      <w:proofErr w:type="spellEnd"/>
      <w:r w:rsidRPr="001E6DDB">
        <w:rPr>
          <w:rFonts w:asciiTheme="minorBidi" w:hAnsiTheme="minorBidi" w:cstheme="minorBidi"/>
          <w:color w:val="000000"/>
        </w:rPr>
        <w:t xml:space="preserve"> and Blumberg, 2020). Such programs not only empower officers to handle challenging scenarios more effectively but also strengthen team cohesion and morale.</w:t>
      </w:r>
    </w:p>
    <w:p w14:paraId="55F93CB0" w14:textId="77777777" w:rsidR="00382322" w:rsidRPr="001E6DDB" w:rsidRDefault="00382322" w:rsidP="0023587D">
      <w:pPr>
        <w:pStyle w:val="placeholder"/>
        <w:spacing w:line="360" w:lineRule="auto"/>
        <w:jc w:val="both"/>
        <w:rPr>
          <w:rFonts w:asciiTheme="minorBidi" w:hAnsiTheme="minorBidi" w:cstheme="minorBidi"/>
          <w:color w:val="000000"/>
        </w:rPr>
      </w:pPr>
      <w:r w:rsidRPr="001E6DDB">
        <w:rPr>
          <w:rFonts w:asciiTheme="minorBidi" w:hAnsiTheme="minorBidi" w:cstheme="minorBidi"/>
          <w:color w:val="000000"/>
        </w:rPr>
        <w:t xml:space="preserve">On an organisational level, introducing regular mental health assessments, utilising the </w:t>
      </w:r>
      <w:proofErr w:type="spellStart"/>
      <w:r w:rsidRPr="001E6DDB">
        <w:rPr>
          <w:rFonts w:asciiTheme="minorBidi" w:hAnsiTheme="minorBidi" w:cstheme="minorBidi"/>
          <w:color w:val="000000"/>
        </w:rPr>
        <w:t>TRiM</w:t>
      </w:r>
      <w:proofErr w:type="spellEnd"/>
      <w:r w:rsidRPr="001E6DDB">
        <w:rPr>
          <w:rFonts w:asciiTheme="minorBidi" w:hAnsiTheme="minorBidi" w:cstheme="minorBidi"/>
          <w:color w:val="000000"/>
        </w:rPr>
        <w:t xml:space="preserve"> response programme, and ensuring the availability of accessible counselling services and comprehensive occupational health assessments is crucial in implementing a strong foundation of support services for officers and staff. Furthermore, implementing policies that proactively address excessive workloads and irregular shift patterns can significantly mitigate some of the primary occupational stressors in policing. For instance, recent studies have shown that forces which limit consecutive night shifts, encourage flexible scheduling, and provide adequate rest and recovery periods report lower rates of burnout and improved mental health outcomes among their officers (</w:t>
      </w:r>
      <w:proofErr w:type="spellStart"/>
      <w:r w:rsidRPr="001E6DDB">
        <w:rPr>
          <w:rFonts w:asciiTheme="minorBidi" w:hAnsiTheme="minorBidi" w:cstheme="minorBidi"/>
          <w:color w:val="000000"/>
        </w:rPr>
        <w:t>Violanti</w:t>
      </w:r>
      <w:proofErr w:type="spellEnd"/>
      <w:r w:rsidRPr="001E6DDB">
        <w:rPr>
          <w:rFonts w:asciiTheme="minorBidi" w:hAnsiTheme="minorBidi" w:cstheme="minorBidi"/>
          <w:color w:val="000000"/>
        </w:rPr>
        <w:t xml:space="preserve"> et al., 2018). These adjustments demonstrate the profound impact of thoughtful organisational changes in fostering a sustainable, healthier work environment for law enforcement personnel.</w:t>
      </w:r>
    </w:p>
    <w:p w14:paraId="5599FCDC" w14:textId="77777777" w:rsidR="00382322" w:rsidRPr="001E6DDB" w:rsidRDefault="00382322" w:rsidP="0023587D">
      <w:pPr>
        <w:pStyle w:val="placeholder"/>
        <w:spacing w:line="360" w:lineRule="auto"/>
        <w:jc w:val="both"/>
        <w:rPr>
          <w:rFonts w:asciiTheme="minorBidi" w:hAnsiTheme="minorBidi" w:cstheme="minorBidi"/>
          <w:color w:val="000000"/>
        </w:rPr>
      </w:pPr>
      <w:r w:rsidRPr="001E6DDB">
        <w:rPr>
          <w:rFonts w:asciiTheme="minorBidi" w:hAnsiTheme="minorBidi" w:cstheme="minorBidi"/>
          <w:color w:val="000000"/>
        </w:rPr>
        <w:t xml:space="preserve">In conclusion, the challenges faced in operational policing significantly affect the wellbeing of both individual officers and groups within the force. The negative impact of stress and trauma on police officers is profound, influencing not only team dynamics </w:t>
      </w:r>
      <w:r w:rsidRPr="001E6DDB">
        <w:rPr>
          <w:rFonts w:asciiTheme="minorBidi" w:hAnsiTheme="minorBidi" w:cstheme="minorBidi"/>
          <w:color w:val="000000"/>
        </w:rPr>
        <w:lastRenderedPageBreak/>
        <w:t>but also the overall culture of the organization (Smith et al., 2022). This highlights the vital importance of prioritising mental health support. Strategic initiatives aimed at supporting mental health in policing not only provide necessary support to individual officers but also enhance the collective efficacy and resilience of the force. Given the inherently demanding nature of police work, substantial investments in mental health resources are essential (Thompson, 2023). These investments are crucial for maintaining a force that is proficient, efficient, and empathetic. Improving the welfare of police officers leads to superior public safety outcomes. Consequently, the development of comprehensive mental health strategies within police forces is indispensable (Lamb et al., 2002). It ensures that officers are well-equipped to handle the pressures of their duties while maintaining their psychological health, which is essential for the sustained success and effectiveness of policing efforts. By adopting such approaches, police forces help cultivate a supportive environment that can mitigate potential psychological damages associated with policing, ultimately leading to a healthier, more effective force. (</w:t>
      </w:r>
      <w:proofErr w:type="spellStart"/>
      <w:r w:rsidRPr="001E6DDB">
        <w:rPr>
          <w:rFonts w:asciiTheme="minorBidi" w:hAnsiTheme="minorBidi" w:cstheme="minorBidi"/>
          <w:color w:val="000000"/>
        </w:rPr>
        <w:t>Papazoglou</w:t>
      </w:r>
      <w:proofErr w:type="spellEnd"/>
      <w:r w:rsidRPr="001E6DDB">
        <w:rPr>
          <w:rFonts w:asciiTheme="minorBidi" w:hAnsiTheme="minorBidi" w:cstheme="minorBidi"/>
          <w:color w:val="000000"/>
        </w:rPr>
        <w:t xml:space="preserve"> and Blumberg, 2020). These efforts reinforce the need for an organizational culture that acknowledges and actively addresses the mental health challenges faced by police officers, fostering trust, collaboration, and sustainable career satisfaction, which benefit both the individuals and the communities they serve.</w:t>
      </w:r>
    </w:p>
    <w:p w14:paraId="0F86645C" w14:textId="77777777" w:rsidR="00382322" w:rsidRPr="00382322" w:rsidRDefault="00382322" w:rsidP="00382322">
      <w:pPr>
        <w:pStyle w:val="placeholder"/>
        <w:spacing w:line="360" w:lineRule="auto"/>
        <w:rPr>
          <w:rFonts w:asciiTheme="minorBidi" w:hAnsiTheme="minorBidi" w:cstheme="minorBidi"/>
          <w:color w:val="000000"/>
        </w:rPr>
      </w:pPr>
      <w:r w:rsidRPr="00382322">
        <w:rPr>
          <w:rFonts w:asciiTheme="minorBidi" w:hAnsiTheme="minorBidi" w:cstheme="minorBidi"/>
          <w:color w:val="000000"/>
        </w:rPr>
        <w:t>Word count: 1901</w:t>
      </w:r>
    </w:p>
    <w:p w14:paraId="54D101E4" w14:textId="77777777" w:rsidR="00382322" w:rsidRPr="00382322" w:rsidRDefault="00382322" w:rsidP="00382322">
      <w:pPr>
        <w:rPr>
          <w:rFonts w:asciiTheme="minorBidi" w:hAnsiTheme="minorBidi"/>
          <w:b/>
          <w:bCs/>
          <w:sz w:val="24"/>
          <w:szCs w:val="24"/>
        </w:rPr>
      </w:pPr>
    </w:p>
    <w:p w14:paraId="355DD02A" w14:textId="77777777" w:rsidR="00572682" w:rsidRPr="00382322" w:rsidRDefault="00572682" w:rsidP="00382322">
      <w:pPr>
        <w:rPr>
          <w:rFonts w:asciiTheme="minorBidi" w:hAnsiTheme="minorBidi"/>
          <w:sz w:val="24"/>
          <w:szCs w:val="24"/>
        </w:rPr>
      </w:pPr>
    </w:p>
    <w:p w14:paraId="1FB3092A" w14:textId="77777777" w:rsidR="00572682" w:rsidRPr="00382322" w:rsidRDefault="00572682" w:rsidP="00D7750B">
      <w:pPr>
        <w:jc w:val="center"/>
        <w:rPr>
          <w:rFonts w:asciiTheme="minorBidi" w:hAnsiTheme="minorBidi"/>
          <w:sz w:val="24"/>
          <w:szCs w:val="24"/>
        </w:rPr>
      </w:pPr>
    </w:p>
    <w:p w14:paraId="0D787843" w14:textId="77777777" w:rsidR="00572682" w:rsidRPr="00382322" w:rsidRDefault="00572682" w:rsidP="00D7750B">
      <w:pPr>
        <w:jc w:val="center"/>
        <w:rPr>
          <w:rFonts w:asciiTheme="minorBidi" w:hAnsiTheme="minorBidi"/>
          <w:sz w:val="24"/>
          <w:szCs w:val="24"/>
        </w:rPr>
      </w:pPr>
    </w:p>
    <w:p w14:paraId="6B5318C1" w14:textId="77777777" w:rsidR="00572682" w:rsidRPr="00382322" w:rsidRDefault="00572682" w:rsidP="0027332E">
      <w:pPr>
        <w:rPr>
          <w:rFonts w:asciiTheme="minorBidi" w:hAnsiTheme="minorBidi"/>
          <w:sz w:val="24"/>
          <w:szCs w:val="24"/>
        </w:rPr>
      </w:pPr>
    </w:p>
    <w:p w14:paraId="327EF84A" w14:textId="77777777" w:rsidR="0027332E" w:rsidRPr="00382322" w:rsidRDefault="0027332E" w:rsidP="0027332E">
      <w:pPr>
        <w:rPr>
          <w:rFonts w:asciiTheme="minorBidi" w:hAnsiTheme="minorBidi"/>
          <w:sz w:val="24"/>
          <w:szCs w:val="24"/>
        </w:rPr>
      </w:pPr>
    </w:p>
    <w:p w14:paraId="594832F1" w14:textId="77777777" w:rsidR="007A4747" w:rsidRPr="00382322" w:rsidRDefault="007A4747" w:rsidP="00D7750B">
      <w:pPr>
        <w:jc w:val="center"/>
        <w:rPr>
          <w:rFonts w:asciiTheme="minorBidi" w:hAnsiTheme="minorBidi"/>
          <w:sz w:val="24"/>
          <w:szCs w:val="24"/>
        </w:rPr>
      </w:pPr>
    </w:p>
    <w:p w14:paraId="7445B537" w14:textId="77777777" w:rsidR="007A4747" w:rsidRPr="00382322" w:rsidRDefault="007A4747" w:rsidP="00D7750B">
      <w:pPr>
        <w:jc w:val="center"/>
        <w:rPr>
          <w:rFonts w:asciiTheme="minorBidi" w:hAnsiTheme="minorBidi"/>
          <w:sz w:val="24"/>
          <w:szCs w:val="24"/>
        </w:rPr>
      </w:pPr>
    </w:p>
    <w:p w14:paraId="625642AF" w14:textId="77777777" w:rsidR="007A4747" w:rsidRPr="00382322" w:rsidRDefault="007A4747" w:rsidP="00D7750B">
      <w:pPr>
        <w:jc w:val="center"/>
        <w:rPr>
          <w:rFonts w:asciiTheme="minorBidi" w:hAnsiTheme="minorBidi"/>
          <w:sz w:val="24"/>
          <w:szCs w:val="24"/>
        </w:rPr>
      </w:pPr>
    </w:p>
    <w:p w14:paraId="69017CC1" w14:textId="77777777" w:rsidR="007A4747" w:rsidRPr="00382322" w:rsidRDefault="007A4747" w:rsidP="00D7750B">
      <w:pPr>
        <w:jc w:val="center"/>
        <w:rPr>
          <w:rFonts w:asciiTheme="minorBidi" w:hAnsiTheme="minorBidi"/>
          <w:sz w:val="24"/>
          <w:szCs w:val="24"/>
        </w:rPr>
      </w:pPr>
    </w:p>
    <w:p w14:paraId="33637670" w14:textId="584A323E" w:rsidR="00572682" w:rsidRPr="00382322" w:rsidRDefault="00572682" w:rsidP="00382322">
      <w:pPr>
        <w:jc w:val="center"/>
        <w:rPr>
          <w:rFonts w:asciiTheme="minorBidi" w:hAnsiTheme="minorBidi"/>
          <w:b/>
          <w:bCs/>
          <w:sz w:val="24"/>
          <w:szCs w:val="24"/>
        </w:rPr>
      </w:pPr>
      <w:r w:rsidRPr="00382322">
        <w:rPr>
          <w:rFonts w:asciiTheme="minorBidi" w:hAnsiTheme="minorBidi"/>
          <w:b/>
          <w:bCs/>
          <w:sz w:val="24"/>
          <w:szCs w:val="24"/>
        </w:rPr>
        <w:t>Essay 2.</w:t>
      </w:r>
    </w:p>
    <w:p w14:paraId="3927107A" w14:textId="77777777" w:rsidR="00382322" w:rsidRPr="00382322" w:rsidRDefault="00382322" w:rsidP="00382322">
      <w:pPr>
        <w:jc w:val="center"/>
        <w:rPr>
          <w:rFonts w:asciiTheme="minorBidi" w:hAnsiTheme="minorBidi"/>
          <w:b/>
          <w:bCs/>
          <w:sz w:val="24"/>
          <w:szCs w:val="24"/>
        </w:rPr>
      </w:pPr>
    </w:p>
    <w:p w14:paraId="27053580" w14:textId="77777777" w:rsidR="00382322" w:rsidRPr="00382322" w:rsidRDefault="00382322" w:rsidP="00382322">
      <w:pPr>
        <w:rPr>
          <w:rFonts w:asciiTheme="minorBidi" w:hAnsiTheme="minorBidi"/>
          <w:b/>
          <w:bCs/>
          <w:sz w:val="24"/>
          <w:szCs w:val="24"/>
        </w:rPr>
      </w:pPr>
      <w:r w:rsidRPr="00382322">
        <w:rPr>
          <w:rFonts w:asciiTheme="minorBidi" w:hAnsiTheme="minorBidi"/>
          <w:b/>
          <w:bCs/>
          <w:sz w:val="24"/>
          <w:szCs w:val="24"/>
        </w:rPr>
        <w:t>What lessons have been learned from recent high-profile critical and major incidents, and how have these translated into best practice for policing?</w:t>
      </w:r>
    </w:p>
    <w:p w14:paraId="4539C413" w14:textId="514A35F7" w:rsidR="00382322" w:rsidRDefault="00382322" w:rsidP="00382322">
      <w:pPr>
        <w:rPr>
          <w:rFonts w:asciiTheme="minorBidi" w:hAnsiTheme="minorBidi"/>
          <w:b/>
          <w:bCs/>
          <w:sz w:val="24"/>
          <w:szCs w:val="24"/>
        </w:rPr>
      </w:pPr>
      <w:r w:rsidRPr="00382322">
        <w:rPr>
          <w:rFonts w:asciiTheme="minorBidi" w:hAnsiTheme="minorBidi"/>
          <w:b/>
          <w:bCs/>
          <w:sz w:val="24"/>
          <w:szCs w:val="24"/>
        </w:rPr>
        <w:br/>
        <w:t xml:space="preserve">Your answer must be based on academic research rather than personal experience, but you may refer to recent examples of high-profile critical and major incidents. </w:t>
      </w:r>
    </w:p>
    <w:p w14:paraId="7FEEC7E3" w14:textId="77777777" w:rsidR="00382322" w:rsidRPr="00382322" w:rsidRDefault="00382322" w:rsidP="00382322">
      <w:pPr>
        <w:spacing w:line="360" w:lineRule="auto"/>
        <w:rPr>
          <w:rFonts w:asciiTheme="minorBidi" w:hAnsiTheme="minorBidi"/>
          <w:b/>
          <w:bCs/>
          <w:sz w:val="24"/>
          <w:szCs w:val="24"/>
        </w:rPr>
      </w:pPr>
    </w:p>
    <w:p w14:paraId="02CA1491"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Critical incidents in policing frequently provide significant opportunities for reflection and improvement, fostering advancements in operational efficiency and strengthening public confidence. The College of Policing (2021) defines a critical incident as any event that profoundly impacts the trust and confidence of either the community or the police service. Historical and contemporary examples underscore how the management of these incidents has informed and shaped the evolution of best practices within UK policing.</w:t>
      </w:r>
    </w:p>
    <w:p w14:paraId="1D83B899"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Policing has always been open to scrutiny from the public. However, it is becoming more prevalent through social media and accessibility to information. Managing this scrutiny is even more important for reputations when dealing with both critical and major incidents. Within policing, critical incidents are defined as those that are impacted by the police response. Whereas major incidents incorporate other emergency services (College of Policing, 2024). This essay will address lessons learnt from recent incidents and how they have translated into best practices within modern policing. Predominantly, the areas of focus consist of transparency, accountability, mental health awareness and engaging with communities. </w:t>
      </w:r>
    </w:p>
    <w:p w14:paraId="614D88B8" w14:textId="54F0E364"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With regards to British Policing, this is built on a fundamental model of </w:t>
      </w:r>
      <w:r w:rsidR="0023587D">
        <w:rPr>
          <w:rFonts w:asciiTheme="minorBidi" w:hAnsiTheme="minorBidi"/>
          <w:sz w:val="24"/>
          <w:szCs w:val="24"/>
        </w:rPr>
        <w:t>‘</w:t>
      </w:r>
      <w:r w:rsidRPr="00382322">
        <w:rPr>
          <w:rFonts w:asciiTheme="minorBidi" w:hAnsiTheme="minorBidi"/>
          <w:sz w:val="24"/>
          <w:szCs w:val="24"/>
        </w:rPr>
        <w:t>Policing by Consent</w:t>
      </w:r>
      <w:r w:rsidR="0023587D">
        <w:rPr>
          <w:rFonts w:asciiTheme="minorBidi" w:hAnsiTheme="minorBidi"/>
          <w:sz w:val="24"/>
          <w:szCs w:val="24"/>
        </w:rPr>
        <w:t>’</w:t>
      </w:r>
      <w:r w:rsidRPr="00382322">
        <w:rPr>
          <w:rFonts w:asciiTheme="minorBidi" w:hAnsiTheme="minorBidi"/>
          <w:sz w:val="24"/>
          <w:szCs w:val="24"/>
        </w:rPr>
        <w:t xml:space="preserve">. This model is a cornerstone of </w:t>
      </w:r>
      <w:r w:rsidR="0023587D">
        <w:rPr>
          <w:rFonts w:asciiTheme="minorBidi" w:hAnsiTheme="minorBidi"/>
          <w:sz w:val="24"/>
          <w:szCs w:val="24"/>
        </w:rPr>
        <w:t>p</w:t>
      </w:r>
      <w:r w:rsidRPr="00382322">
        <w:rPr>
          <w:rFonts w:asciiTheme="minorBidi" w:hAnsiTheme="minorBidi"/>
          <w:sz w:val="24"/>
          <w:szCs w:val="24"/>
        </w:rPr>
        <w:t xml:space="preserve">olicing in the United Kingdom, signifying that the authority of the police is rooted in the voluntary cooperation and consent of the public, rather than through force or compulsion. This principle reflects the notion that the police are meant to serve the community, with their power deriving from public trust and the expectation that they act impartially, responsibly, and in accordance with the law (Boag-Munroe, 2019). The concept is integral to British policing and was famously articulated by Sir Robert Peel in the 19th century through his Pelean Principles, which stress the importance of public approval, transparency, </w:t>
      </w:r>
      <w:r w:rsidRPr="00382322">
        <w:rPr>
          <w:rFonts w:asciiTheme="minorBidi" w:hAnsiTheme="minorBidi"/>
          <w:sz w:val="24"/>
          <w:szCs w:val="24"/>
        </w:rPr>
        <w:lastRenderedPageBreak/>
        <w:t xml:space="preserve">accountability, and fostering positive, cooperative relationships between the police and the communities they serve (Home Office, 2012). Therefore, identification of detrimental faults and failings within policing to improve public confidence post critical and major incidents is critical for the public that officers serve is imperative.   </w:t>
      </w:r>
    </w:p>
    <w:p w14:paraId="7682E218" w14:textId="70D4177E"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significant event that brought about significant changes in the handing of terrorist related events was the 7 July 2005 London bombings, commonly referred to as 7/7</w:t>
      </w:r>
      <w:r w:rsidR="0023587D">
        <w:rPr>
          <w:rFonts w:asciiTheme="minorBidi" w:hAnsiTheme="minorBidi"/>
          <w:sz w:val="24"/>
          <w:szCs w:val="24"/>
        </w:rPr>
        <w:t>.</w:t>
      </w:r>
      <w:r w:rsidRPr="00382322">
        <w:rPr>
          <w:rFonts w:asciiTheme="minorBidi" w:hAnsiTheme="minorBidi"/>
          <w:sz w:val="24"/>
          <w:szCs w:val="24"/>
        </w:rPr>
        <w:t xml:space="preserve"> </w:t>
      </w:r>
      <w:r w:rsidR="0023587D">
        <w:rPr>
          <w:rFonts w:asciiTheme="minorBidi" w:hAnsiTheme="minorBidi"/>
          <w:sz w:val="24"/>
          <w:szCs w:val="24"/>
        </w:rPr>
        <w:t xml:space="preserve">These </w:t>
      </w:r>
      <w:r w:rsidRPr="00382322">
        <w:rPr>
          <w:rFonts w:asciiTheme="minorBidi" w:hAnsiTheme="minorBidi"/>
          <w:sz w:val="24"/>
          <w:szCs w:val="24"/>
        </w:rPr>
        <w:t xml:space="preserve">were a series of coordinated terrorist attacks that profoundly impacted policing practices in the United Kingdom. The attacks exposed critical vulnerabilities and led to significant reforms aimed at enhancing the effectiveness of agencies in preventing and responding to such incidents. One of the primary lessons from 7/7 was the necessity for improved coordination among various emergency services (JESIP, 2006). The response to the bombings required extensive collaboration between different organisations, which was largely successful due to detailed advance planning and the dedication of their staff. However, communication problems still presented a significant obstacle to the timely and necessary flow of information. </w:t>
      </w:r>
    </w:p>
    <w:p w14:paraId="1628981A"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bombings highlighted significant communication challenges among emergency responders. The London Assembly's 7 July Review Committee identified that communication systems were overwhelmed, leading to delays and confusion. In response, the Metropolitan Police Service (MPS) and other agencies invested in resilient communication infrastructures, including the adoption of the Airwave radio system, which provided a more reliable and interoperable platform for emergency services (London Assembly, 2006).</w:t>
      </w:r>
    </w:p>
    <w:p w14:paraId="2E5FC7C8"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attacks underscored the importance of effective intelligence sharing. Prior to 7/7, some of the bombers had been on the periphery of MI5 investigations but were not fully identified as threats. Post-attack analyses emphasised the need for robust intelligence-sharing protocols between agencies to ensure that potential threats are adequately assessed and monitored (Walker, 2005). This led to the establishment of the Joint Terrorism Analysis Centre (JTAC), which facilitates the sharing of intelligence across agencies.</w:t>
      </w:r>
    </w:p>
    <w:p w14:paraId="2B800F2F"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The realisation that the attackers were British citizens prompted a revaluation of community policing strategies. The government recognized the need to engage with communities to counter radicalisation. This approach aimed to build trust and gather </w:t>
      </w:r>
      <w:r w:rsidRPr="00382322">
        <w:rPr>
          <w:rFonts w:asciiTheme="minorBidi" w:hAnsiTheme="minorBidi"/>
          <w:sz w:val="24"/>
          <w:szCs w:val="24"/>
        </w:rPr>
        <w:lastRenderedPageBreak/>
        <w:t xml:space="preserve">intelligence to prevent future attacks. The events of 7/7 highlighted the need for specialized training for officers in handling terrorist incidents (College of Policing, 2023). The MPS developed comprehensive training programs focusing on identifying and responding to terrorist threats, including the implementation of Operation Kratos (Metropolitan Police Authority, 2005), a set of tactics developed for dealing with suspected suicide bombers. </w:t>
      </w:r>
    </w:p>
    <w:p w14:paraId="6AD35B82" w14:textId="1685B52B"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In the aftermath of the bombings, the UK government introduced several legislative measures to strengthen counter-terrorism efforts. The Terrorism Act 2006 (Legislation.gov, 2024) expanded police powers, including the ability to detain suspects for longer periods without charge and criminali</w:t>
      </w:r>
      <w:r w:rsidR="0023587D">
        <w:rPr>
          <w:rFonts w:asciiTheme="minorBidi" w:hAnsiTheme="minorBidi"/>
          <w:sz w:val="24"/>
          <w:szCs w:val="24"/>
        </w:rPr>
        <w:t>s</w:t>
      </w:r>
      <w:r w:rsidRPr="00382322">
        <w:rPr>
          <w:rFonts w:asciiTheme="minorBidi" w:hAnsiTheme="minorBidi"/>
          <w:sz w:val="24"/>
          <w:szCs w:val="24"/>
        </w:rPr>
        <w:t>e the encouragement of terrorism. The 7 July 2005 London bombings served as a catalyst for significant changes in policing practices in the UK. The lessons learned from the attacks led to enhanced interagency coordination, improved communication systems, better intelligence sharing, increased community engagement, speciali</w:t>
      </w:r>
      <w:r w:rsidR="0023587D">
        <w:rPr>
          <w:rFonts w:asciiTheme="minorBidi" w:hAnsiTheme="minorBidi"/>
          <w:sz w:val="24"/>
          <w:szCs w:val="24"/>
        </w:rPr>
        <w:t>s</w:t>
      </w:r>
      <w:r w:rsidRPr="00382322">
        <w:rPr>
          <w:rFonts w:asciiTheme="minorBidi" w:hAnsiTheme="minorBidi"/>
          <w:sz w:val="24"/>
          <w:szCs w:val="24"/>
        </w:rPr>
        <w:t>ed training, and comprehensive legal reforms. These measures have collectively contributed to a more robust framework for preventing and responding to terrorist threats.</w:t>
      </w:r>
    </w:p>
    <w:p w14:paraId="496A7779"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With regards to significant events faced by British Policing in recent years, the Manchester Arena bombing, which occurred on 22 May 2017, resulted in 22 fatalities and numerous injuries. In the aftermath, police and emergency services faced significant challenges in managing the crisis and responding to the changing nature of the terrorist threat. This tragedy provided several crucial lessons, particularly in the areas of inter-agency coordination, communication, and public safety. One of the key lessons learned was the critical importance of improved coordination among various agencies. While the police collaborated effectively with local authorities, the fire service, and the NHS, the complexity of the attack highlighted the need for even more efficient cooperation between agencies in future incidents (Manchester Arena Inquiry, 2022). The bombing revealed weaknesses in communication systems between emergency responders, making it clear that further investment in technology is necessary to ensure real-time information sharing during crises.</w:t>
      </w:r>
    </w:p>
    <w:p w14:paraId="14763081"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Another key insight gained was the need for heightened public awareness and preparedness. The attack showed how rapidly large crowds can descend into chaos when faced with an emergency. As a result, police forces have strengthened crowd </w:t>
      </w:r>
      <w:r w:rsidRPr="00382322">
        <w:rPr>
          <w:rFonts w:asciiTheme="minorBidi" w:hAnsiTheme="minorBidi"/>
          <w:sz w:val="24"/>
          <w:szCs w:val="24"/>
        </w:rPr>
        <w:lastRenderedPageBreak/>
        <w:t xml:space="preserve">management training, focusing on the ability to make swift decisions and provide clear public communication during emergencies (Lord </w:t>
      </w:r>
      <w:proofErr w:type="spellStart"/>
      <w:r w:rsidRPr="00382322">
        <w:rPr>
          <w:rFonts w:asciiTheme="minorBidi" w:hAnsiTheme="minorBidi"/>
          <w:sz w:val="24"/>
          <w:szCs w:val="24"/>
        </w:rPr>
        <w:t>Kerslake</w:t>
      </w:r>
      <w:proofErr w:type="spellEnd"/>
      <w:r w:rsidRPr="00382322">
        <w:rPr>
          <w:rFonts w:asciiTheme="minorBidi" w:hAnsiTheme="minorBidi"/>
          <w:sz w:val="24"/>
          <w:szCs w:val="24"/>
        </w:rPr>
        <w:t>, 2017). Additionally, stricter security measures at venues hosting large public events have been introduced as a deterrent to future attacks.</w:t>
      </w:r>
    </w:p>
    <w:p w14:paraId="152F8CA6"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bombing highlighted the evolving nature of terrorism. Police have since adapted their strategies to address new threats, particularly the rise of lone-actor and smaller-scale attacks, which are harder to detect and prevent (Royal United Services Institute, 2017). There has been an increased emphasis on intelligence sharing and community engagement to identify potential threats before they materialise. The Manchester Arena bombing prompted a thorough review of policing tactics, underlining the need for improved coordination, better public preparedness, and a more proactive approach to emerging terrorist threats.</w:t>
      </w:r>
    </w:p>
    <w:p w14:paraId="5C33703B"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A further significant recent event is the Salisbury poisonings in 2018, in which former Russian spy Sergei Skripal and his daughter Yulia Skripal were targeted with a nerve agent, provided significant lessons for law enforcement. These lessons were crucial in enhancing response protocols to chemical weapons and improving inter-agency cooperation.</w:t>
      </w:r>
    </w:p>
    <w:p w14:paraId="3C655C8D" w14:textId="30E034CA"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Firstly, the incident underscored the importance of rapid, coordinated responses to chemical or biological threats. The police initially struggled with the identification of the nerve agent, Novichok, as it was an uncommon and highly potent substance This highlighted the necessity for speciali</w:t>
      </w:r>
      <w:r w:rsidR="0023587D">
        <w:rPr>
          <w:rFonts w:asciiTheme="minorBidi" w:hAnsiTheme="minorBidi"/>
          <w:sz w:val="24"/>
          <w:szCs w:val="24"/>
        </w:rPr>
        <w:t>s</w:t>
      </w:r>
      <w:r w:rsidRPr="00382322">
        <w:rPr>
          <w:rFonts w:asciiTheme="minorBidi" w:hAnsiTheme="minorBidi"/>
          <w:sz w:val="24"/>
          <w:szCs w:val="24"/>
        </w:rPr>
        <w:t>ed training and access to expertise in dealing with such complex cases. The lesson here was clear: police forces must have robust systems in place to quickly identify dangerous substances to avoid further harm and contamination (Haslam et al.</w:t>
      </w:r>
      <w:r w:rsidR="0023587D">
        <w:rPr>
          <w:rFonts w:asciiTheme="minorBidi" w:hAnsiTheme="minorBidi"/>
          <w:sz w:val="24"/>
          <w:szCs w:val="24"/>
        </w:rPr>
        <w:t>,</w:t>
      </w:r>
      <w:r w:rsidRPr="00382322">
        <w:rPr>
          <w:rFonts w:asciiTheme="minorBidi" w:hAnsiTheme="minorBidi"/>
          <w:sz w:val="24"/>
          <w:szCs w:val="24"/>
        </w:rPr>
        <w:t xml:space="preserve"> 2022). The poisonings demonstrated the vital need for effective communication between local law enforcement and national agencies. The investigation involved multiple agencies, including the police, the military, and counter-terrorism units. (</w:t>
      </w:r>
      <w:proofErr w:type="spellStart"/>
      <w:r w:rsidRPr="00382322">
        <w:rPr>
          <w:rFonts w:asciiTheme="minorBidi" w:hAnsiTheme="minorBidi"/>
          <w:sz w:val="24"/>
          <w:szCs w:val="24"/>
        </w:rPr>
        <w:t>Wengler</w:t>
      </w:r>
      <w:proofErr w:type="spellEnd"/>
      <w:r w:rsidRPr="00382322">
        <w:rPr>
          <w:rFonts w:asciiTheme="minorBidi" w:hAnsiTheme="minorBidi"/>
          <w:sz w:val="24"/>
          <w:szCs w:val="24"/>
        </w:rPr>
        <w:t>, 2023). The ability to pool resources and share information in real time was crucial to tracking down the perpetrators and ensuring public safety. The Salisbury case showed that multi-agency collaboration is indispensable in responding to national security threats.</w:t>
      </w:r>
    </w:p>
    <w:p w14:paraId="179C7440"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The event reinforced the importance of public trust in the UK’s multi agency response to the attack. The police’s transparency and the clarity of their communication with the </w:t>
      </w:r>
      <w:r w:rsidRPr="00382322">
        <w:rPr>
          <w:rFonts w:asciiTheme="minorBidi" w:hAnsiTheme="minorBidi"/>
          <w:sz w:val="24"/>
          <w:szCs w:val="24"/>
        </w:rPr>
        <w:lastRenderedPageBreak/>
        <w:t>public were essential in maintaining confidence during the high-profile investigation Salisbury poisonings highlighted the critical importance of rapid identification of threats, inter-agency cooperation, and transparent communication to mitigate the risks of chemical attacks and protect public safety and confidence in public services (Rubin et al. 2020).</w:t>
      </w:r>
    </w:p>
    <w:p w14:paraId="68248BB9" w14:textId="13A469A1"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Police accountability has been brought to the forefront through recent high-profile incidents such as that of the murder of Sarah Everard and death of George Floyd. These incidents have sparked unrest and global protests and have suggested the need for reform (Casey, 2023). A simple but effective small measure is the use of body-worn video (BWV) and sharing this footage with the public where appropriate. BWV is suggested to enhance public trust and have an impact on officer behaviour. Ariel et al. (2018) suggests that their implementation has led to the reduction of complaints against officers. Furthermore, with the utilisation of these devices offer an impartial record of police-public interactions, which can serve as crucial evidence in investigations of alleged misconduct or inappropriate behaviour (Jennings</w:t>
      </w:r>
      <w:r w:rsidR="0023587D">
        <w:rPr>
          <w:rFonts w:asciiTheme="minorBidi" w:hAnsiTheme="minorBidi"/>
          <w:sz w:val="24"/>
          <w:szCs w:val="24"/>
        </w:rPr>
        <w:t xml:space="preserve"> et al., </w:t>
      </w:r>
      <w:r w:rsidRPr="00382322">
        <w:rPr>
          <w:rFonts w:asciiTheme="minorBidi" w:hAnsiTheme="minorBidi"/>
          <w:sz w:val="24"/>
          <w:szCs w:val="24"/>
        </w:rPr>
        <w:t>2014). This transparency can enhance accountability and trust between Police forces and the community.</w:t>
      </w:r>
    </w:p>
    <w:p w14:paraId="7366E299" w14:textId="40E7678E"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The murder of Sarah Everard in March 2021 at the hands of a serving Metropolitan Police officer, Wayne </w:t>
      </w:r>
      <w:proofErr w:type="spellStart"/>
      <w:r w:rsidRPr="00382322">
        <w:rPr>
          <w:rFonts w:asciiTheme="minorBidi" w:hAnsiTheme="minorBidi"/>
          <w:sz w:val="24"/>
          <w:szCs w:val="24"/>
        </w:rPr>
        <w:t>Couzens</w:t>
      </w:r>
      <w:proofErr w:type="spellEnd"/>
      <w:r w:rsidRPr="00382322">
        <w:rPr>
          <w:rFonts w:asciiTheme="minorBidi" w:hAnsiTheme="minorBidi"/>
          <w:sz w:val="24"/>
          <w:szCs w:val="24"/>
        </w:rPr>
        <w:t>, highlighted systemic failings in policing, trust, and public safety. The event highlighted critical failures within the police force but also spurred discussions about systemic misogyny, the safety of women, and institutional accountability</w:t>
      </w:r>
      <w:r w:rsidR="0023587D">
        <w:rPr>
          <w:rFonts w:asciiTheme="minorBidi" w:hAnsiTheme="minorBidi"/>
          <w:sz w:val="24"/>
          <w:szCs w:val="24"/>
        </w:rPr>
        <w:t xml:space="preserve">. </w:t>
      </w:r>
      <w:r w:rsidRPr="00382322">
        <w:rPr>
          <w:rFonts w:asciiTheme="minorBidi" w:hAnsiTheme="minorBidi"/>
          <w:sz w:val="24"/>
          <w:szCs w:val="24"/>
        </w:rPr>
        <w:t xml:space="preserve">Firstly, Everard’s murder underscored the urgent need for improved vetting processes. Wayne </w:t>
      </w:r>
      <w:proofErr w:type="spellStart"/>
      <w:r w:rsidRPr="00382322">
        <w:rPr>
          <w:rFonts w:asciiTheme="minorBidi" w:hAnsiTheme="minorBidi"/>
          <w:sz w:val="24"/>
          <w:szCs w:val="24"/>
        </w:rPr>
        <w:t>Couzens</w:t>
      </w:r>
      <w:proofErr w:type="spellEnd"/>
      <w:r w:rsidRPr="00382322">
        <w:rPr>
          <w:rFonts w:asciiTheme="minorBidi" w:hAnsiTheme="minorBidi"/>
          <w:sz w:val="24"/>
          <w:szCs w:val="24"/>
        </w:rPr>
        <w:t>, her perpetrator, had previously been accused of sexual misconduct, raising questions about how individuals with concerning behaviours remain in the police force. Enhanced vetting protocols now emphasize thorough background checks, psychological evaluations, and active monitoring of officers (HMICFRS, 2022). This approach is essential for maintaining public trust in law enforcement.</w:t>
      </w:r>
    </w:p>
    <w:p w14:paraId="4D0FF3B4"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Secondly, the case exposed weaknesses in how police forces address complaints and misconduct. Many women voiced concerns about not being taken seriously when reporting abuse or harassment by officers. In response, there has been a push to establish independent bodies to oversee allegations against police officers, ensuring </w:t>
      </w:r>
      <w:r w:rsidRPr="00382322">
        <w:rPr>
          <w:rFonts w:asciiTheme="minorBidi" w:hAnsiTheme="minorBidi"/>
          <w:sz w:val="24"/>
          <w:szCs w:val="24"/>
        </w:rPr>
        <w:lastRenderedPageBreak/>
        <w:t>impartial investigations and accountability (College of Policing, 2023). This measure aims to foster transparency and justice in addressing misconduct. Community engagement emerged as another critical area of improvement. Everard’s murder led to protests, highlighting fears of violence against women and mistrust in policing (</w:t>
      </w:r>
      <w:proofErr w:type="spellStart"/>
      <w:r w:rsidRPr="00382322">
        <w:rPr>
          <w:rFonts w:asciiTheme="minorBidi" w:hAnsiTheme="minorBidi"/>
          <w:sz w:val="24"/>
          <w:szCs w:val="24"/>
        </w:rPr>
        <w:t>Lowerson</w:t>
      </w:r>
      <w:proofErr w:type="spellEnd"/>
      <w:r w:rsidRPr="00382322">
        <w:rPr>
          <w:rFonts w:asciiTheme="minorBidi" w:hAnsiTheme="minorBidi"/>
          <w:sz w:val="24"/>
          <w:szCs w:val="24"/>
        </w:rPr>
        <w:t>, 2022). To rebuild trust, forces are adopting community-centric approaches, such as outreach programs to educate officers on gender-based violence and to foster dialogue with vulnerable groups (HM Government, 2021).</w:t>
      </w:r>
    </w:p>
    <w:p w14:paraId="78051E6C"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In response to the lessons learned, legislative changes have been introduced to strengthen protections for women and improve policing practices. Initiatives such as the Violence Against Women and Girls (VAWG) Strategy have sought to provide a holistic framework for addressing gender-based violence. These policies emphasize prevention, protection, and prosecution, aligning with the broader objectives of policing reform (Metropolitan Police, 2023)</w:t>
      </w:r>
    </w:p>
    <w:p w14:paraId="776D13DC"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Sarah Everard case has also prompted a review of officer conduct while off-duty. Guidance on the ethical use of police powers has been reinforced (College of Policing, 2024), always emphasising the importance of integrity and professionalism. Sarah Everard’s murder revealed systemic issues within policing, prompting reforms in vetting, misconduct handling, and community engagement. These changes signify a step towards fostering safer communities and rebuilding public trust.</w:t>
      </w:r>
    </w:p>
    <w:p w14:paraId="2E9FDE3A"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The investigation into the 1993 murder of Stephen Lawrence is a significant example. The subsequent Macpherson Report (Neal, 2003) revealed systemic failures and institutional racism within the Metropolitan Police, prompting substantial reforms. The adoption of the National Decision Model (NDM), which emphasizes ethics, proportionality, and transparency, reflects the lessons learned. The NDM is now central to decision-making processes, ensuring accountability and fairness (College of Policing, 2021).</w:t>
      </w:r>
    </w:p>
    <w:p w14:paraId="461D21EC" w14:textId="77777777" w:rsidR="00382322" w:rsidRPr="00382322" w:rsidRDefault="00382322" w:rsidP="0023587D">
      <w:pPr>
        <w:spacing w:line="360" w:lineRule="auto"/>
        <w:jc w:val="both"/>
        <w:rPr>
          <w:rFonts w:asciiTheme="minorBidi" w:hAnsiTheme="minorBidi"/>
          <w:sz w:val="24"/>
          <w:szCs w:val="24"/>
        </w:rPr>
      </w:pPr>
      <w:r w:rsidRPr="00382322">
        <w:rPr>
          <w:rFonts w:asciiTheme="minorBidi" w:hAnsiTheme="minorBidi"/>
          <w:sz w:val="24"/>
          <w:szCs w:val="24"/>
        </w:rPr>
        <w:t xml:space="preserve">Furthermore, technological integration has become a cornerstone of best practice. The 2017 terror attacks within the United Kingdom demonstrated the necessity of real-time intelligence sharing (Intelligence and Security Committee of Parliament, 2017). Advanced surveillance systems, body-worn cameras, and predictive analytics now play crucial roles in ensuring operational readiness and accountability (Willis et al., 2011). Ultimately, critical incidents serve as catalysts for reflection, fostering adaptive </w:t>
      </w:r>
      <w:r w:rsidRPr="00382322">
        <w:rPr>
          <w:rFonts w:asciiTheme="minorBidi" w:hAnsiTheme="minorBidi"/>
          <w:sz w:val="24"/>
          <w:szCs w:val="24"/>
        </w:rPr>
        <w:lastRenderedPageBreak/>
        <w:t>strategies that address systemic flaws. By integrating lessons learned collaboration, community engagement, and technology policing can become more effective and ethically grounded.</w:t>
      </w:r>
    </w:p>
    <w:p w14:paraId="66AB462E" w14:textId="77777777" w:rsidR="00382322" w:rsidRPr="00382322" w:rsidRDefault="00382322" w:rsidP="00382322">
      <w:pPr>
        <w:spacing w:line="360" w:lineRule="auto"/>
        <w:rPr>
          <w:rFonts w:asciiTheme="minorBidi" w:hAnsiTheme="minorBidi"/>
          <w:sz w:val="24"/>
          <w:szCs w:val="24"/>
        </w:rPr>
      </w:pPr>
      <w:r w:rsidRPr="00382322">
        <w:rPr>
          <w:rFonts w:asciiTheme="minorBidi" w:hAnsiTheme="minorBidi"/>
          <w:sz w:val="24"/>
          <w:szCs w:val="24"/>
        </w:rPr>
        <w:t>Word count: 2042</w:t>
      </w:r>
    </w:p>
    <w:p w14:paraId="292FB0C4" w14:textId="77777777" w:rsidR="00382322" w:rsidRPr="00382322" w:rsidRDefault="00382322" w:rsidP="00382322">
      <w:pPr>
        <w:rPr>
          <w:rFonts w:asciiTheme="minorBidi" w:hAnsiTheme="minorBidi"/>
          <w:b/>
          <w:bCs/>
          <w:sz w:val="24"/>
          <w:szCs w:val="24"/>
        </w:rPr>
      </w:pPr>
    </w:p>
    <w:p w14:paraId="3AEFA04F" w14:textId="77777777" w:rsidR="00382322" w:rsidRPr="00382322" w:rsidRDefault="00382322" w:rsidP="00382322">
      <w:pPr>
        <w:rPr>
          <w:rFonts w:asciiTheme="minorBidi" w:hAnsiTheme="minorBidi"/>
          <w:b/>
          <w:bCs/>
          <w:sz w:val="24"/>
          <w:szCs w:val="24"/>
        </w:rPr>
      </w:pPr>
    </w:p>
    <w:p w14:paraId="55994C34" w14:textId="1A75DD3A" w:rsidR="008275F0" w:rsidRPr="00382322" w:rsidRDefault="008275F0" w:rsidP="008617DA">
      <w:pPr>
        <w:overflowPunct w:val="0"/>
        <w:autoSpaceDE w:val="0"/>
        <w:autoSpaceDN w:val="0"/>
        <w:adjustRightInd w:val="0"/>
        <w:spacing w:after="0" w:line="276" w:lineRule="auto"/>
        <w:ind w:left="567" w:right="531"/>
        <w:textAlignment w:val="baseline"/>
        <w:rPr>
          <w:rFonts w:asciiTheme="minorBidi" w:eastAsia="Times New Roman" w:hAnsiTheme="minorBidi"/>
          <w:b/>
          <w:bCs/>
          <w:sz w:val="24"/>
          <w:szCs w:val="24"/>
          <w:lang w:eastAsia="en-GB"/>
        </w:rPr>
      </w:pPr>
    </w:p>
    <w:p w14:paraId="1A7300D9" w14:textId="77777777" w:rsidR="008275F0" w:rsidRDefault="008275F0" w:rsidP="008617DA">
      <w:pPr>
        <w:overflowPunct w:val="0"/>
        <w:autoSpaceDE w:val="0"/>
        <w:autoSpaceDN w:val="0"/>
        <w:adjustRightInd w:val="0"/>
        <w:spacing w:after="0" w:line="276" w:lineRule="auto"/>
        <w:ind w:left="567" w:right="531"/>
        <w:textAlignment w:val="baseline"/>
        <w:rPr>
          <w:rFonts w:ascii="Arial" w:eastAsia="Times New Roman" w:hAnsi="Arial" w:cs="Arial"/>
          <w:b/>
          <w:bCs/>
          <w:sz w:val="24"/>
          <w:szCs w:val="24"/>
          <w:lang w:eastAsia="en-GB"/>
        </w:rPr>
      </w:pPr>
    </w:p>
    <w:p w14:paraId="270F0F6E" w14:textId="77777777" w:rsidR="008E4FE0" w:rsidRDefault="008E4FE0" w:rsidP="008E4FE0">
      <w:pPr>
        <w:overflowPunct w:val="0"/>
        <w:autoSpaceDE w:val="0"/>
        <w:autoSpaceDN w:val="0"/>
        <w:adjustRightInd w:val="0"/>
        <w:spacing w:after="0" w:line="276" w:lineRule="auto"/>
        <w:ind w:right="531"/>
        <w:textAlignment w:val="baseline"/>
        <w:rPr>
          <w:rFonts w:ascii="Arial" w:eastAsia="Times New Roman" w:hAnsi="Arial" w:cs="Arial"/>
          <w:b/>
          <w:bCs/>
          <w:sz w:val="24"/>
          <w:szCs w:val="24"/>
          <w:lang w:eastAsia="en-GB"/>
        </w:rPr>
      </w:pPr>
    </w:p>
    <w:p w14:paraId="45ED5976" w14:textId="77777777" w:rsidR="008E4FE0" w:rsidRDefault="008E4FE0" w:rsidP="008E4FE0">
      <w:pPr>
        <w:overflowPunct w:val="0"/>
        <w:autoSpaceDE w:val="0"/>
        <w:autoSpaceDN w:val="0"/>
        <w:adjustRightInd w:val="0"/>
        <w:spacing w:after="0" w:line="276" w:lineRule="auto"/>
        <w:ind w:right="531"/>
        <w:textAlignment w:val="baseline"/>
        <w:rPr>
          <w:rFonts w:ascii="Arial" w:eastAsia="Times New Roman" w:hAnsi="Arial" w:cs="Arial"/>
          <w:b/>
          <w:bCs/>
          <w:sz w:val="24"/>
          <w:szCs w:val="24"/>
          <w:lang w:eastAsia="en-GB"/>
        </w:rPr>
      </w:pPr>
    </w:p>
    <w:p w14:paraId="4EC16618"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1BEC2011"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578CA79C"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05BC62F9"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1B923130"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0C53405A"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38712F62"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7C3EEA22"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3580D5F0"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451869A3"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1DCD3B82"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30108984"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750402D3"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5BD85BC4" w14:textId="7F562CB6" w:rsidR="0023587D" w:rsidRDefault="0023587D" w:rsidP="0023587D">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5E54ABC7" w14:textId="77777777" w:rsidR="0023587D" w:rsidRDefault="0023587D" w:rsidP="0023587D">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7A8B1E37" w14:textId="77777777" w:rsidR="0023587D" w:rsidRDefault="0023587D" w:rsidP="0023587D">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641E5653" w14:textId="6162379B" w:rsidR="0023587D" w:rsidRDefault="0023587D" w:rsidP="0023587D">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5564E4E3" w14:textId="77777777" w:rsidR="0023587D" w:rsidRDefault="0023587D" w:rsidP="0023587D">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6A3220DD"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11FCE4E0"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4AF3FDFA"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32827BC0"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65945143"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0D3D0CAE"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27934745"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29AA51E3"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520D12DB"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418E6824" w14:textId="77777777" w:rsidR="007A4747" w:rsidRDefault="007A4747" w:rsidP="008E4FE0">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4A95226B" w14:textId="5171AD10" w:rsidR="008275F0" w:rsidRDefault="008275F0" w:rsidP="00382322">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Bibliography</w:t>
      </w:r>
    </w:p>
    <w:p w14:paraId="54B3C7E3" w14:textId="77777777" w:rsidR="00382322" w:rsidRDefault="00382322" w:rsidP="00382322">
      <w:pPr>
        <w:overflowPunct w:val="0"/>
        <w:autoSpaceDE w:val="0"/>
        <w:autoSpaceDN w:val="0"/>
        <w:adjustRightInd w:val="0"/>
        <w:spacing w:after="0" w:line="276" w:lineRule="auto"/>
        <w:ind w:right="531"/>
        <w:jc w:val="center"/>
        <w:textAlignment w:val="baseline"/>
        <w:rPr>
          <w:rFonts w:ascii="Arial" w:eastAsia="Times New Roman" w:hAnsi="Arial" w:cs="Arial"/>
          <w:b/>
          <w:bCs/>
          <w:sz w:val="24"/>
          <w:szCs w:val="24"/>
          <w:lang w:eastAsia="en-GB"/>
        </w:rPr>
      </w:pPr>
    </w:p>
    <w:p w14:paraId="65F1FB57" w14:textId="77777777" w:rsidR="00382322" w:rsidRPr="00382322" w:rsidRDefault="00382322" w:rsidP="00382322">
      <w:pPr>
        <w:spacing w:line="360" w:lineRule="auto"/>
        <w:jc w:val="center"/>
        <w:rPr>
          <w:rFonts w:asciiTheme="minorBidi" w:hAnsiTheme="minorBidi"/>
          <w:sz w:val="24"/>
          <w:szCs w:val="24"/>
        </w:rPr>
      </w:pPr>
    </w:p>
    <w:p w14:paraId="0F443045" w14:textId="77777777" w:rsidR="00382322" w:rsidRPr="0023587D" w:rsidRDefault="00382322" w:rsidP="0023587D">
      <w:pPr>
        <w:pStyle w:val="ListParagraph"/>
        <w:numPr>
          <w:ilvl w:val="0"/>
          <w:numId w:val="5"/>
        </w:numPr>
        <w:tabs>
          <w:tab w:val="left" w:pos="6603"/>
        </w:tabs>
        <w:spacing w:line="360" w:lineRule="auto"/>
        <w:rPr>
          <w:rFonts w:ascii="Arial" w:hAnsi="Arial" w:cs="Arial"/>
          <w:sz w:val="24"/>
          <w:szCs w:val="24"/>
        </w:rPr>
      </w:pPr>
      <w:r w:rsidRPr="0023587D">
        <w:rPr>
          <w:rFonts w:ascii="Arial" w:hAnsi="Arial" w:cs="Arial"/>
          <w:sz w:val="24"/>
          <w:szCs w:val="24"/>
        </w:rPr>
        <w:t xml:space="preserve">Andersen, J.P., </w:t>
      </w:r>
      <w:proofErr w:type="spellStart"/>
      <w:r w:rsidRPr="0023587D">
        <w:rPr>
          <w:rFonts w:ascii="Arial" w:hAnsi="Arial" w:cs="Arial"/>
          <w:sz w:val="24"/>
          <w:szCs w:val="24"/>
        </w:rPr>
        <w:t>Papazoglou</w:t>
      </w:r>
      <w:proofErr w:type="spellEnd"/>
      <w:r w:rsidRPr="0023587D">
        <w:rPr>
          <w:rFonts w:ascii="Arial" w:hAnsi="Arial" w:cs="Arial"/>
          <w:sz w:val="24"/>
          <w:szCs w:val="24"/>
        </w:rPr>
        <w:t xml:space="preserve">, K., Nyman, M., </w:t>
      </w:r>
      <w:proofErr w:type="spellStart"/>
      <w:r w:rsidRPr="0023587D">
        <w:rPr>
          <w:rFonts w:ascii="Arial" w:hAnsi="Arial" w:cs="Arial"/>
          <w:sz w:val="24"/>
          <w:szCs w:val="24"/>
        </w:rPr>
        <w:t>Koskelainen</w:t>
      </w:r>
      <w:proofErr w:type="spellEnd"/>
      <w:r w:rsidRPr="0023587D">
        <w:rPr>
          <w:rFonts w:ascii="Arial" w:hAnsi="Arial" w:cs="Arial"/>
          <w:sz w:val="24"/>
          <w:szCs w:val="24"/>
        </w:rPr>
        <w:t xml:space="preserve">, M., &amp; </w:t>
      </w:r>
      <w:proofErr w:type="spellStart"/>
      <w:r w:rsidRPr="0023587D">
        <w:rPr>
          <w:rFonts w:ascii="Arial" w:hAnsi="Arial" w:cs="Arial"/>
          <w:sz w:val="24"/>
          <w:szCs w:val="24"/>
        </w:rPr>
        <w:t>Gustafsberg</w:t>
      </w:r>
      <w:proofErr w:type="spellEnd"/>
      <w:r w:rsidRPr="0023587D">
        <w:rPr>
          <w:rFonts w:ascii="Arial" w:hAnsi="Arial" w:cs="Arial"/>
          <w:sz w:val="24"/>
          <w:szCs w:val="24"/>
        </w:rPr>
        <w:t xml:space="preserve">, H. (2015) Fostering resilience among police. </w:t>
      </w:r>
      <w:r w:rsidRPr="0023587D">
        <w:rPr>
          <w:rFonts w:ascii="Arial" w:hAnsi="Arial" w:cs="Arial"/>
          <w:i/>
          <w:iCs/>
          <w:sz w:val="24"/>
          <w:szCs w:val="24"/>
        </w:rPr>
        <w:t>Journal of Law Enforcement</w:t>
      </w:r>
      <w:r w:rsidRPr="0023587D">
        <w:rPr>
          <w:rFonts w:ascii="Arial" w:hAnsi="Arial" w:cs="Arial"/>
          <w:sz w:val="24"/>
          <w:szCs w:val="24"/>
        </w:rPr>
        <w:t xml:space="preserve">, </w:t>
      </w:r>
      <w:r w:rsidRPr="0023587D">
        <w:rPr>
          <w:rFonts w:ascii="Arial" w:hAnsi="Arial" w:cs="Arial"/>
          <w:i/>
          <w:iCs/>
          <w:sz w:val="24"/>
          <w:szCs w:val="24"/>
        </w:rPr>
        <w:t>5</w:t>
      </w:r>
      <w:r w:rsidRPr="0023587D">
        <w:rPr>
          <w:rFonts w:ascii="Arial" w:hAnsi="Arial" w:cs="Arial"/>
          <w:sz w:val="24"/>
          <w:szCs w:val="24"/>
        </w:rPr>
        <w:t xml:space="preserve">(1). </w:t>
      </w:r>
    </w:p>
    <w:p w14:paraId="45FC7D9D"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Ariel, B., Sutherland, A., </w:t>
      </w:r>
      <w:proofErr w:type="spellStart"/>
      <w:r w:rsidRPr="0023587D">
        <w:rPr>
          <w:rFonts w:ascii="Arial" w:hAnsi="Arial" w:cs="Arial"/>
          <w:sz w:val="24"/>
          <w:szCs w:val="24"/>
        </w:rPr>
        <w:t>Henstock</w:t>
      </w:r>
      <w:proofErr w:type="spellEnd"/>
      <w:r w:rsidRPr="0023587D">
        <w:rPr>
          <w:rFonts w:ascii="Arial" w:hAnsi="Arial" w:cs="Arial"/>
          <w:sz w:val="24"/>
          <w:szCs w:val="24"/>
        </w:rPr>
        <w:t xml:space="preserve">, D. et al (2018) The deterrence spectrum: explaining why police body-worn cameras ‘work’ or ‘backfire’ in aggressive police-public encounters. </w:t>
      </w:r>
      <w:r w:rsidRPr="0023587D">
        <w:rPr>
          <w:rFonts w:ascii="Arial" w:hAnsi="Arial" w:cs="Arial"/>
          <w:i/>
          <w:iCs/>
          <w:sz w:val="24"/>
          <w:szCs w:val="24"/>
        </w:rPr>
        <w:t xml:space="preserve">Policing: A Journal of Policy and Practice </w:t>
      </w:r>
      <w:r w:rsidRPr="0023587D">
        <w:rPr>
          <w:rFonts w:ascii="Arial" w:hAnsi="Arial" w:cs="Arial"/>
          <w:sz w:val="24"/>
          <w:szCs w:val="24"/>
        </w:rPr>
        <w:t>12(1): 6-26.</w:t>
      </w:r>
    </w:p>
    <w:p w14:paraId="026BD2DF"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Boag-Munroe, F. (2019). Career Progression Expectations and Aspirations of Female Police Officers in England and Wales. </w:t>
      </w:r>
      <w:proofErr w:type="gramStart"/>
      <w:r w:rsidRPr="0023587D">
        <w:rPr>
          <w:rFonts w:ascii="Arial" w:hAnsi="Arial" w:cs="Arial"/>
          <w:i/>
          <w:iCs/>
          <w:sz w:val="24"/>
          <w:szCs w:val="24"/>
        </w:rPr>
        <w:t>Policing :</w:t>
      </w:r>
      <w:proofErr w:type="gramEnd"/>
      <w:r w:rsidRPr="0023587D">
        <w:rPr>
          <w:rFonts w:ascii="Arial" w:hAnsi="Arial" w:cs="Arial"/>
          <w:i/>
          <w:iCs/>
          <w:sz w:val="24"/>
          <w:szCs w:val="24"/>
        </w:rPr>
        <w:t xml:space="preserve"> A Journal of Policy and Practice</w:t>
      </w:r>
      <w:r w:rsidRPr="0023587D">
        <w:rPr>
          <w:rFonts w:ascii="Arial" w:hAnsi="Arial" w:cs="Arial"/>
          <w:sz w:val="24"/>
          <w:szCs w:val="24"/>
        </w:rPr>
        <w:t>, </w:t>
      </w:r>
      <w:r w:rsidRPr="0023587D">
        <w:rPr>
          <w:rFonts w:ascii="Arial" w:hAnsi="Arial" w:cs="Arial"/>
          <w:i/>
          <w:iCs/>
          <w:sz w:val="24"/>
          <w:szCs w:val="24"/>
        </w:rPr>
        <w:t>13</w:t>
      </w:r>
      <w:r w:rsidRPr="0023587D">
        <w:rPr>
          <w:rFonts w:ascii="Arial" w:hAnsi="Arial" w:cs="Arial"/>
          <w:sz w:val="24"/>
          <w:szCs w:val="24"/>
        </w:rPr>
        <w:t>(4), 426–440</w:t>
      </w:r>
    </w:p>
    <w:p w14:paraId="7D855886"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Brewin, C. R., Miller, J. K., </w:t>
      </w:r>
      <w:proofErr w:type="spellStart"/>
      <w:r w:rsidRPr="0023587D">
        <w:rPr>
          <w:rFonts w:ascii="Arial" w:hAnsi="Arial" w:cs="Arial"/>
          <w:sz w:val="24"/>
          <w:szCs w:val="24"/>
        </w:rPr>
        <w:t>Soffia</w:t>
      </w:r>
      <w:proofErr w:type="spellEnd"/>
      <w:r w:rsidRPr="0023587D">
        <w:rPr>
          <w:rFonts w:ascii="Arial" w:hAnsi="Arial" w:cs="Arial"/>
          <w:sz w:val="24"/>
          <w:szCs w:val="24"/>
        </w:rPr>
        <w:t xml:space="preserve">, M., Peart, A., and Burchell, B. (2022) </w:t>
      </w:r>
      <w:proofErr w:type="gramStart"/>
      <w:r w:rsidRPr="0023587D">
        <w:rPr>
          <w:rFonts w:ascii="Arial" w:hAnsi="Arial" w:cs="Arial"/>
          <w:sz w:val="24"/>
          <w:szCs w:val="24"/>
        </w:rPr>
        <w:t>Posttraumatic stress disorder</w:t>
      </w:r>
      <w:proofErr w:type="gramEnd"/>
      <w:r w:rsidRPr="0023587D">
        <w:rPr>
          <w:rFonts w:ascii="Arial" w:hAnsi="Arial" w:cs="Arial"/>
          <w:sz w:val="24"/>
          <w:szCs w:val="24"/>
        </w:rPr>
        <w:t xml:space="preserve"> and complex posttraumatic stress disorder in UK police officers. </w:t>
      </w:r>
      <w:r w:rsidRPr="0023587D">
        <w:rPr>
          <w:rFonts w:ascii="Arial" w:hAnsi="Arial" w:cs="Arial"/>
          <w:i/>
          <w:iCs/>
          <w:sz w:val="24"/>
          <w:szCs w:val="24"/>
        </w:rPr>
        <w:t>Psychological Medicine</w:t>
      </w:r>
      <w:r w:rsidRPr="0023587D">
        <w:rPr>
          <w:rFonts w:ascii="Arial" w:hAnsi="Arial" w:cs="Arial"/>
          <w:sz w:val="24"/>
          <w:szCs w:val="24"/>
        </w:rPr>
        <w:t>, </w:t>
      </w:r>
      <w:r w:rsidRPr="0023587D">
        <w:rPr>
          <w:rFonts w:ascii="Arial" w:hAnsi="Arial" w:cs="Arial"/>
          <w:i/>
          <w:iCs/>
          <w:sz w:val="24"/>
          <w:szCs w:val="24"/>
        </w:rPr>
        <w:t>52</w:t>
      </w:r>
      <w:r w:rsidRPr="0023587D">
        <w:rPr>
          <w:rFonts w:ascii="Arial" w:hAnsi="Arial" w:cs="Arial"/>
          <w:sz w:val="24"/>
          <w:szCs w:val="24"/>
        </w:rPr>
        <w:t>(7), 1287–1295.</w:t>
      </w:r>
    </w:p>
    <w:p w14:paraId="7FA210A1"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Carleton, R.N., </w:t>
      </w:r>
      <w:proofErr w:type="spellStart"/>
      <w:r w:rsidRPr="0023587D">
        <w:rPr>
          <w:rFonts w:ascii="Arial" w:hAnsi="Arial" w:cs="Arial"/>
          <w:sz w:val="24"/>
          <w:szCs w:val="24"/>
        </w:rPr>
        <w:t>Korol</w:t>
      </w:r>
      <w:proofErr w:type="spellEnd"/>
      <w:r w:rsidRPr="0023587D">
        <w:rPr>
          <w:rFonts w:ascii="Arial" w:hAnsi="Arial" w:cs="Arial"/>
          <w:sz w:val="24"/>
          <w:szCs w:val="24"/>
        </w:rPr>
        <w:t xml:space="preserve">, S., Mason, J.E., </w:t>
      </w:r>
      <w:proofErr w:type="spellStart"/>
      <w:r w:rsidRPr="0023587D">
        <w:rPr>
          <w:rFonts w:ascii="Arial" w:hAnsi="Arial" w:cs="Arial"/>
          <w:sz w:val="24"/>
          <w:szCs w:val="24"/>
        </w:rPr>
        <w:t>Hozempa</w:t>
      </w:r>
      <w:proofErr w:type="spellEnd"/>
      <w:r w:rsidRPr="0023587D">
        <w:rPr>
          <w:rFonts w:ascii="Arial" w:hAnsi="Arial" w:cs="Arial"/>
          <w:sz w:val="24"/>
          <w:szCs w:val="24"/>
        </w:rPr>
        <w:t>, K., Anderson, G.S., Jones, N.A., Dobson, K.S., Szeto, A. and Bailey, S. (2018) A longitudinal assessment of the road to mental readiness training among municipal police. </w:t>
      </w:r>
      <w:r w:rsidRPr="0023587D">
        <w:rPr>
          <w:rFonts w:ascii="Arial" w:hAnsi="Arial" w:cs="Arial"/>
          <w:i/>
          <w:iCs/>
          <w:sz w:val="24"/>
          <w:szCs w:val="24"/>
        </w:rPr>
        <w:t>Cognitive behaviour therapy</w:t>
      </w:r>
      <w:r w:rsidRPr="0023587D">
        <w:rPr>
          <w:rFonts w:ascii="Arial" w:hAnsi="Arial" w:cs="Arial"/>
          <w:sz w:val="24"/>
          <w:szCs w:val="24"/>
        </w:rPr>
        <w:t>, </w:t>
      </w:r>
      <w:r w:rsidRPr="0023587D">
        <w:rPr>
          <w:rFonts w:ascii="Arial" w:hAnsi="Arial" w:cs="Arial"/>
          <w:i/>
          <w:iCs/>
          <w:sz w:val="24"/>
          <w:szCs w:val="24"/>
        </w:rPr>
        <w:t>47</w:t>
      </w:r>
      <w:r w:rsidRPr="0023587D">
        <w:rPr>
          <w:rFonts w:ascii="Arial" w:hAnsi="Arial" w:cs="Arial"/>
          <w:sz w:val="24"/>
          <w:szCs w:val="24"/>
        </w:rPr>
        <w:t>(6), pp.508-528</w:t>
      </w:r>
    </w:p>
    <w:p w14:paraId="0764DC50" w14:textId="133B7F2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Casey, L. (2023). </w:t>
      </w:r>
      <w:r w:rsidRPr="0023587D">
        <w:rPr>
          <w:rFonts w:ascii="Arial" w:hAnsi="Arial" w:cs="Arial"/>
          <w:i/>
          <w:iCs/>
          <w:sz w:val="24"/>
          <w:szCs w:val="24"/>
        </w:rPr>
        <w:t>An independent review into the standards of behaviour and internal culture of the Metropolitan Police Service</w:t>
      </w:r>
      <w:r w:rsidRPr="0023587D">
        <w:rPr>
          <w:rFonts w:ascii="Arial" w:hAnsi="Arial" w:cs="Arial"/>
          <w:sz w:val="24"/>
          <w:szCs w:val="24"/>
        </w:rPr>
        <w:t>. Metropolitan Police.</w:t>
      </w:r>
      <w:r w:rsidR="0023587D">
        <w:rPr>
          <w:rFonts w:ascii="Arial" w:hAnsi="Arial" w:cs="Arial"/>
          <w:sz w:val="24"/>
          <w:szCs w:val="24"/>
        </w:rPr>
        <w:t xml:space="preserve"> [Online]</w:t>
      </w:r>
      <w:r w:rsidRPr="0023587D">
        <w:rPr>
          <w:rFonts w:ascii="Arial" w:hAnsi="Arial" w:cs="Arial"/>
          <w:sz w:val="24"/>
          <w:szCs w:val="24"/>
        </w:rPr>
        <w:t xml:space="preserve"> </w:t>
      </w:r>
      <w:hyperlink r:id="rId5" w:history="1">
        <w:r w:rsidRPr="0023587D">
          <w:rPr>
            <w:rStyle w:val="Hyperlink"/>
            <w:rFonts w:ascii="Arial" w:hAnsi="Arial" w:cs="Arial"/>
            <w:sz w:val="24"/>
            <w:szCs w:val="24"/>
          </w:rPr>
          <w:t>https://www.met.police.uk/police-forces/metropolitan-police/areas/about-us/about-the-met/bcr/baroness-casey-review/</w:t>
        </w:r>
      </w:hyperlink>
      <w:r w:rsidRPr="0023587D">
        <w:rPr>
          <w:rFonts w:ascii="Arial" w:hAnsi="Arial" w:cs="Arial"/>
          <w:sz w:val="24"/>
          <w:szCs w:val="24"/>
        </w:rPr>
        <w:t xml:space="preserve"> Accessed: 17</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4364AB39" w14:textId="05BA33D4" w:rsidR="00382322" w:rsidRPr="0023587D" w:rsidRDefault="00382322" w:rsidP="0023587D">
      <w:pPr>
        <w:pStyle w:val="ListParagraph"/>
        <w:numPr>
          <w:ilvl w:val="0"/>
          <w:numId w:val="5"/>
        </w:numPr>
        <w:tabs>
          <w:tab w:val="left" w:pos="6603"/>
        </w:tabs>
        <w:spacing w:line="360" w:lineRule="auto"/>
        <w:rPr>
          <w:rFonts w:ascii="Arial" w:hAnsi="Arial" w:cs="Arial"/>
          <w:sz w:val="24"/>
          <w:szCs w:val="24"/>
        </w:rPr>
      </w:pPr>
      <w:r w:rsidRPr="0023587D">
        <w:rPr>
          <w:rFonts w:ascii="Arial" w:hAnsi="Arial" w:cs="Arial"/>
          <w:sz w:val="24"/>
          <w:szCs w:val="24"/>
        </w:rPr>
        <w:t xml:space="preserve">College of Policing (2018) </w:t>
      </w:r>
      <w:r w:rsidRPr="0023587D">
        <w:rPr>
          <w:rFonts w:ascii="Arial" w:hAnsi="Arial" w:cs="Arial"/>
          <w:i/>
          <w:iCs/>
          <w:sz w:val="24"/>
          <w:szCs w:val="24"/>
        </w:rPr>
        <w:t>Responding to trauma in policing</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6" w:history="1">
        <w:r w:rsidRPr="0023587D">
          <w:rPr>
            <w:rStyle w:val="Hyperlink"/>
            <w:rFonts w:ascii="Arial" w:hAnsi="Arial" w:cs="Arial"/>
            <w:sz w:val="24"/>
            <w:szCs w:val="24"/>
          </w:rPr>
          <w:t>https://assets.college.police.uk/s3fs-public/2021-02/responding-to-trauma-in-policing.pdf</w:t>
        </w:r>
      </w:hyperlink>
      <w:r w:rsidRPr="0023587D">
        <w:rPr>
          <w:rFonts w:ascii="Arial" w:hAnsi="Arial" w:cs="Arial"/>
          <w:sz w:val="24"/>
          <w:szCs w:val="24"/>
        </w:rPr>
        <w:t xml:space="preserve"> (accessed 21st October 2024)</w:t>
      </w:r>
    </w:p>
    <w:p w14:paraId="08099276" w14:textId="5E06E05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College of Policing (2021) </w:t>
      </w:r>
      <w:r w:rsidRPr="0023587D">
        <w:rPr>
          <w:rFonts w:ascii="Arial" w:hAnsi="Arial" w:cs="Arial"/>
          <w:i/>
          <w:iCs/>
          <w:sz w:val="24"/>
          <w:szCs w:val="24"/>
        </w:rPr>
        <w:t xml:space="preserve">Introduction and types of critical incidents.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7" w:history="1">
        <w:r w:rsidRPr="0023587D">
          <w:rPr>
            <w:rStyle w:val="Hyperlink"/>
            <w:rFonts w:ascii="Arial" w:hAnsi="Arial" w:cs="Arial"/>
            <w:sz w:val="24"/>
            <w:szCs w:val="24"/>
          </w:rPr>
          <w:t>https://www.college.police.uk/app/critical-incident-management/introduction-and-types-critical-incidents</w:t>
        </w:r>
      </w:hyperlink>
      <w:r w:rsidRPr="0023587D">
        <w:rPr>
          <w:rFonts w:ascii="Arial" w:hAnsi="Arial" w:cs="Arial"/>
          <w:sz w:val="24"/>
          <w:szCs w:val="24"/>
        </w:rPr>
        <w:t xml:space="preserve"> Accessed: 20</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724469CB" w14:textId="71381F5E"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College of Policing (2023) </w:t>
      </w:r>
      <w:r w:rsidRPr="0023587D">
        <w:rPr>
          <w:rFonts w:ascii="Arial" w:hAnsi="Arial" w:cs="Arial"/>
          <w:i/>
          <w:iCs/>
          <w:sz w:val="24"/>
          <w:szCs w:val="24"/>
        </w:rPr>
        <w:t>Counter Terrorism, Authorised Professional Practice</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8" w:history="1">
        <w:r w:rsidR="0023587D" w:rsidRPr="00355558">
          <w:rPr>
            <w:rStyle w:val="Hyperlink"/>
            <w:rFonts w:ascii="Arial" w:hAnsi="Arial" w:cs="Arial"/>
            <w:sz w:val="24"/>
            <w:szCs w:val="24"/>
          </w:rPr>
          <w:t>https://www.college.police.uk/app/public-order-</w:t>
        </w:r>
        <w:r w:rsidR="0023587D" w:rsidRPr="00355558">
          <w:rPr>
            <w:rStyle w:val="Hyperlink"/>
            <w:rFonts w:ascii="Arial" w:hAnsi="Arial" w:cs="Arial"/>
            <w:sz w:val="24"/>
            <w:szCs w:val="24"/>
          </w:rPr>
          <w:lastRenderedPageBreak/>
          <w:t xml:space="preserve">public-safety/developing-policing-plan/counter-terrorism </w:t>
        </w:r>
      </w:hyperlink>
      <w:r w:rsidR="0023587D">
        <w:rPr>
          <w:rFonts w:ascii="Arial" w:hAnsi="Arial" w:cs="Arial"/>
          <w:sz w:val="24"/>
          <w:szCs w:val="24"/>
        </w:rPr>
        <w:t>Accessed: 18</w:t>
      </w:r>
      <w:r w:rsidR="0023587D" w:rsidRPr="0023587D">
        <w:rPr>
          <w:rFonts w:ascii="Arial" w:hAnsi="Arial" w:cs="Arial"/>
          <w:sz w:val="24"/>
          <w:szCs w:val="24"/>
          <w:vertAlign w:val="superscript"/>
        </w:rPr>
        <w:t>th</w:t>
      </w:r>
      <w:r w:rsidR="0023587D">
        <w:rPr>
          <w:rFonts w:ascii="Arial" w:hAnsi="Arial" w:cs="Arial"/>
          <w:sz w:val="24"/>
          <w:szCs w:val="24"/>
        </w:rPr>
        <w:t xml:space="preserve"> November 2024</w:t>
      </w:r>
    </w:p>
    <w:p w14:paraId="459B820A" w14:textId="39280662"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College of Policing (2023) Guidance on outcomes in police misconduct proceedings.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9" w:history="1">
        <w:r w:rsidRPr="0023587D">
          <w:rPr>
            <w:rStyle w:val="Hyperlink"/>
            <w:rFonts w:ascii="Arial" w:hAnsi="Arial" w:cs="Arial"/>
            <w:sz w:val="24"/>
            <w:szCs w:val="24"/>
          </w:rPr>
          <w:t>https://assets.college.police.uk/s3fs-public/2022-08/Guidance-on-outcomes-in-police-misconduct-proceedings.pdf</w:t>
        </w:r>
      </w:hyperlink>
      <w:r w:rsidRPr="0023587D">
        <w:rPr>
          <w:rFonts w:ascii="Arial" w:hAnsi="Arial" w:cs="Arial"/>
          <w:sz w:val="24"/>
          <w:szCs w:val="24"/>
        </w:rPr>
        <w:t xml:space="preserve"> Accessed: 20</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79D885AF"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College of Policing (2024) </w:t>
      </w:r>
      <w:r w:rsidRPr="0023587D">
        <w:rPr>
          <w:rFonts w:ascii="Arial" w:hAnsi="Arial" w:cs="Arial"/>
          <w:i/>
          <w:iCs/>
          <w:sz w:val="24"/>
          <w:szCs w:val="24"/>
        </w:rPr>
        <w:t xml:space="preserve">Civil Contingences </w:t>
      </w:r>
      <w:r w:rsidRPr="0023587D">
        <w:rPr>
          <w:rFonts w:ascii="Arial" w:hAnsi="Arial" w:cs="Arial"/>
          <w:sz w:val="24"/>
          <w:szCs w:val="24"/>
        </w:rPr>
        <w:t xml:space="preserve">[Online] Available at: </w:t>
      </w:r>
      <w:hyperlink r:id="rId10" w:anchor="major-incident-920cf582-9e9e-4412-b258-74e0cbd43f38" w:history="1">
        <w:r w:rsidRPr="0023587D">
          <w:rPr>
            <w:rStyle w:val="Hyperlink"/>
            <w:rFonts w:ascii="Arial" w:hAnsi="Arial" w:cs="Arial"/>
            <w:sz w:val="24"/>
            <w:szCs w:val="24"/>
          </w:rPr>
          <w:t>https://www.college.police.uk/app/civil-emergencies/civil-contingencies#major-incident-920cf582-9e9e-4412-b258-74e0cbd43f38</w:t>
        </w:r>
      </w:hyperlink>
      <w:r w:rsidRPr="0023587D">
        <w:rPr>
          <w:rFonts w:ascii="Arial" w:hAnsi="Arial" w:cs="Arial"/>
          <w:sz w:val="24"/>
          <w:szCs w:val="24"/>
        </w:rPr>
        <w:t xml:space="preserve"> Last Accessed: 16</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028D726E" w14:textId="0CEB6A76"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College of Policing (2024) </w:t>
      </w:r>
      <w:r w:rsidRPr="0023587D">
        <w:rPr>
          <w:rFonts w:ascii="Arial" w:hAnsi="Arial" w:cs="Arial"/>
          <w:i/>
          <w:iCs/>
          <w:sz w:val="24"/>
          <w:szCs w:val="24"/>
        </w:rPr>
        <w:t xml:space="preserve">Code of Ethics.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1" w:history="1">
        <w:r w:rsidRPr="0023587D">
          <w:rPr>
            <w:rStyle w:val="Hyperlink"/>
            <w:rFonts w:ascii="Arial" w:hAnsi="Arial" w:cs="Arial"/>
            <w:sz w:val="24"/>
            <w:szCs w:val="24"/>
          </w:rPr>
          <w:t>https://www.college.police.uk/ethics/code-of-ethics</w:t>
        </w:r>
      </w:hyperlink>
      <w:r w:rsidRPr="0023587D">
        <w:rPr>
          <w:rFonts w:ascii="Arial" w:hAnsi="Arial" w:cs="Arial"/>
          <w:sz w:val="24"/>
          <w:szCs w:val="24"/>
        </w:rPr>
        <w:t xml:space="preserve"> Accessed: 20</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076B9026"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Evans, R., </w:t>
      </w:r>
      <w:proofErr w:type="spellStart"/>
      <w:r w:rsidRPr="0023587D">
        <w:rPr>
          <w:rFonts w:ascii="Arial" w:hAnsi="Arial" w:cs="Arial"/>
          <w:sz w:val="24"/>
          <w:szCs w:val="24"/>
        </w:rPr>
        <w:t>Pistrang</w:t>
      </w:r>
      <w:proofErr w:type="spellEnd"/>
      <w:r w:rsidRPr="0023587D">
        <w:rPr>
          <w:rFonts w:ascii="Arial" w:hAnsi="Arial" w:cs="Arial"/>
          <w:sz w:val="24"/>
          <w:szCs w:val="24"/>
        </w:rPr>
        <w:t>, N., &amp; Billings, J. (2013) Police officers’ experiences of supportive and unsupportive social interactions following traumatic incidents. </w:t>
      </w:r>
      <w:r w:rsidRPr="0023587D">
        <w:rPr>
          <w:rFonts w:ascii="Arial" w:hAnsi="Arial" w:cs="Arial"/>
          <w:i/>
          <w:iCs/>
          <w:sz w:val="24"/>
          <w:szCs w:val="24"/>
        </w:rPr>
        <w:t xml:space="preserve">European Journal of </w:t>
      </w:r>
      <w:proofErr w:type="spellStart"/>
      <w:r w:rsidRPr="0023587D">
        <w:rPr>
          <w:rFonts w:ascii="Arial" w:hAnsi="Arial" w:cs="Arial"/>
          <w:i/>
          <w:iCs/>
          <w:sz w:val="24"/>
          <w:szCs w:val="24"/>
        </w:rPr>
        <w:t>Psychotraumatology</w:t>
      </w:r>
      <w:proofErr w:type="spellEnd"/>
      <w:r w:rsidRPr="0023587D">
        <w:rPr>
          <w:rFonts w:ascii="Arial" w:hAnsi="Arial" w:cs="Arial"/>
          <w:sz w:val="24"/>
          <w:szCs w:val="24"/>
        </w:rPr>
        <w:t>, </w:t>
      </w:r>
      <w:r w:rsidRPr="0023587D">
        <w:rPr>
          <w:rFonts w:ascii="Arial" w:hAnsi="Arial" w:cs="Arial"/>
          <w:i/>
          <w:iCs/>
          <w:sz w:val="24"/>
          <w:szCs w:val="24"/>
        </w:rPr>
        <w:t>4</w:t>
      </w:r>
      <w:r w:rsidRPr="0023587D">
        <w:rPr>
          <w:rFonts w:ascii="Arial" w:hAnsi="Arial" w:cs="Arial"/>
          <w:sz w:val="24"/>
          <w:szCs w:val="24"/>
        </w:rPr>
        <w:t>(1), 1–9.</w:t>
      </w:r>
    </w:p>
    <w:p w14:paraId="4485BF66"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Fix, R. L. and Powell, Z. A. (2024) Policing Stress, Burnout, and Mental Health in a Wake of Rapidly Changing Policies. </w:t>
      </w:r>
      <w:r w:rsidRPr="0023587D">
        <w:rPr>
          <w:rFonts w:ascii="Arial" w:hAnsi="Arial" w:cs="Arial"/>
          <w:i/>
          <w:iCs/>
          <w:sz w:val="24"/>
          <w:szCs w:val="24"/>
        </w:rPr>
        <w:t>Journal of Police and Criminal Psychology</w:t>
      </w:r>
      <w:r w:rsidRPr="0023587D">
        <w:rPr>
          <w:rFonts w:ascii="Arial" w:hAnsi="Arial" w:cs="Arial"/>
          <w:sz w:val="24"/>
          <w:szCs w:val="24"/>
        </w:rPr>
        <w:t>, </w:t>
      </w:r>
      <w:r w:rsidRPr="0023587D">
        <w:rPr>
          <w:rFonts w:ascii="Arial" w:hAnsi="Arial" w:cs="Arial"/>
          <w:i/>
          <w:iCs/>
          <w:sz w:val="24"/>
          <w:szCs w:val="24"/>
        </w:rPr>
        <w:t>39</w:t>
      </w:r>
      <w:r w:rsidRPr="0023587D">
        <w:rPr>
          <w:rFonts w:ascii="Arial" w:hAnsi="Arial" w:cs="Arial"/>
          <w:sz w:val="24"/>
          <w:szCs w:val="24"/>
        </w:rPr>
        <w:t>(2), 370–382. </w:t>
      </w:r>
    </w:p>
    <w:p w14:paraId="5A0C825D"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Foley, J., </w:t>
      </w:r>
      <w:proofErr w:type="spellStart"/>
      <w:r w:rsidRPr="0023587D">
        <w:rPr>
          <w:rFonts w:ascii="Arial" w:hAnsi="Arial" w:cs="Arial"/>
          <w:sz w:val="24"/>
          <w:szCs w:val="24"/>
        </w:rPr>
        <w:t>Hassett</w:t>
      </w:r>
      <w:proofErr w:type="spellEnd"/>
      <w:r w:rsidRPr="0023587D">
        <w:rPr>
          <w:rFonts w:ascii="Arial" w:hAnsi="Arial" w:cs="Arial"/>
          <w:sz w:val="24"/>
          <w:szCs w:val="24"/>
        </w:rPr>
        <w:t>, A., and Williams, E. (2022) ‘Getting on with the job’: A systematised literature review of secondary trauma and post-traumatic stress disorder (PTSD) in policing within the United Kingdom (UK). </w:t>
      </w:r>
      <w:r w:rsidRPr="0023587D">
        <w:rPr>
          <w:rFonts w:ascii="Arial" w:hAnsi="Arial" w:cs="Arial"/>
          <w:i/>
          <w:iCs/>
          <w:sz w:val="24"/>
          <w:szCs w:val="24"/>
        </w:rPr>
        <w:t>Police Journal (Chichester)</w:t>
      </w:r>
      <w:r w:rsidRPr="0023587D">
        <w:rPr>
          <w:rFonts w:ascii="Arial" w:hAnsi="Arial" w:cs="Arial"/>
          <w:sz w:val="24"/>
          <w:szCs w:val="24"/>
        </w:rPr>
        <w:t>, </w:t>
      </w:r>
      <w:r w:rsidRPr="0023587D">
        <w:rPr>
          <w:rFonts w:ascii="Arial" w:hAnsi="Arial" w:cs="Arial"/>
          <w:i/>
          <w:iCs/>
          <w:sz w:val="24"/>
          <w:szCs w:val="24"/>
        </w:rPr>
        <w:t>95</w:t>
      </w:r>
      <w:r w:rsidRPr="0023587D">
        <w:rPr>
          <w:rFonts w:ascii="Arial" w:hAnsi="Arial" w:cs="Arial"/>
          <w:sz w:val="24"/>
          <w:szCs w:val="24"/>
        </w:rPr>
        <w:t>(1), 224–252. </w:t>
      </w:r>
      <w:r w:rsidRPr="0023587D">
        <w:rPr>
          <w:rFonts w:ascii="Arial" w:hAnsi="Arial" w:cs="Arial"/>
          <w:vanish/>
          <w:sz w:val="24"/>
          <w:szCs w:val="24"/>
        </w:rPr>
        <w:t>Top of Form</w:t>
      </w:r>
    </w:p>
    <w:p w14:paraId="2CF1FDEE"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Galatzer</w:t>
      </w:r>
      <w:proofErr w:type="spellEnd"/>
      <w:r w:rsidRPr="0023587D">
        <w:rPr>
          <w:rFonts w:ascii="Arial" w:hAnsi="Arial" w:cs="Arial"/>
          <w:sz w:val="24"/>
          <w:szCs w:val="24"/>
        </w:rPr>
        <w:t xml:space="preserve">-Levy, I. R., Madan, A., </w:t>
      </w:r>
      <w:proofErr w:type="spellStart"/>
      <w:r w:rsidRPr="0023587D">
        <w:rPr>
          <w:rFonts w:ascii="Arial" w:hAnsi="Arial" w:cs="Arial"/>
          <w:sz w:val="24"/>
          <w:szCs w:val="24"/>
        </w:rPr>
        <w:t>Neylan</w:t>
      </w:r>
      <w:proofErr w:type="spellEnd"/>
      <w:r w:rsidRPr="0023587D">
        <w:rPr>
          <w:rFonts w:ascii="Arial" w:hAnsi="Arial" w:cs="Arial"/>
          <w:sz w:val="24"/>
          <w:szCs w:val="24"/>
        </w:rPr>
        <w:t>, T. C., Henn-</w:t>
      </w:r>
      <w:proofErr w:type="spellStart"/>
      <w:r w:rsidRPr="0023587D">
        <w:rPr>
          <w:rFonts w:ascii="Arial" w:hAnsi="Arial" w:cs="Arial"/>
          <w:sz w:val="24"/>
          <w:szCs w:val="24"/>
        </w:rPr>
        <w:t>Haase</w:t>
      </w:r>
      <w:proofErr w:type="spellEnd"/>
      <w:r w:rsidRPr="0023587D">
        <w:rPr>
          <w:rFonts w:ascii="Arial" w:hAnsi="Arial" w:cs="Arial"/>
          <w:sz w:val="24"/>
          <w:szCs w:val="24"/>
        </w:rPr>
        <w:t xml:space="preserve">, C. and </w:t>
      </w:r>
      <w:proofErr w:type="spellStart"/>
      <w:r w:rsidRPr="0023587D">
        <w:rPr>
          <w:rFonts w:ascii="Arial" w:hAnsi="Arial" w:cs="Arial"/>
          <w:sz w:val="24"/>
          <w:szCs w:val="24"/>
        </w:rPr>
        <w:t>Marmar</w:t>
      </w:r>
      <w:proofErr w:type="spellEnd"/>
      <w:r w:rsidRPr="0023587D">
        <w:rPr>
          <w:rFonts w:ascii="Arial" w:hAnsi="Arial" w:cs="Arial"/>
          <w:sz w:val="24"/>
          <w:szCs w:val="24"/>
        </w:rPr>
        <w:t>, C. R. (2011) Peritraumatic and trait dissociation differentiate police officers with resilient versus symptomatic trajectories of posttraumatic stress symptoms. </w:t>
      </w:r>
      <w:r w:rsidRPr="0023587D">
        <w:rPr>
          <w:rFonts w:ascii="Arial" w:hAnsi="Arial" w:cs="Arial"/>
          <w:i/>
          <w:iCs/>
          <w:sz w:val="24"/>
          <w:szCs w:val="24"/>
        </w:rPr>
        <w:t>Journal of Traumatic Stress</w:t>
      </w:r>
      <w:r w:rsidRPr="0023587D">
        <w:rPr>
          <w:rFonts w:ascii="Arial" w:hAnsi="Arial" w:cs="Arial"/>
          <w:sz w:val="24"/>
          <w:szCs w:val="24"/>
        </w:rPr>
        <w:t>, </w:t>
      </w:r>
      <w:r w:rsidRPr="0023587D">
        <w:rPr>
          <w:rFonts w:ascii="Arial" w:hAnsi="Arial" w:cs="Arial"/>
          <w:i/>
          <w:iCs/>
          <w:sz w:val="24"/>
          <w:szCs w:val="24"/>
        </w:rPr>
        <w:t>24</w:t>
      </w:r>
      <w:r w:rsidRPr="0023587D">
        <w:rPr>
          <w:rFonts w:ascii="Arial" w:hAnsi="Arial" w:cs="Arial"/>
          <w:sz w:val="24"/>
          <w:szCs w:val="24"/>
        </w:rPr>
        <w:t xml:space="preserve">(5), 557–565. </w:t>
      </w:r>
    </w:p>
    <w:p w14:paraId="5AA76CA0"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Hakik</w:t>
      </w:r>
      <w:proofErr w:type="spellEnd"/>
      <w:r w:rsidRPr="0023587D">
        <w:rPr>
          <w:rFonts w:ascii="Arial" w:hAnsi="Arial" w:cs="Arial"/>
          <w:sz w:val="24"/>
          <w:szCs w:val="24"/>
        </w:rPr>
        <w:t>, S. and Langlois, K. (2020) “To Serve and Protect Their Mental Health”: The Effects of Police Occupational Culture on Police Officers Mental Health. </w:t>
      </w:r>
      <w:r w:rsidRPr="0023587D">
        <w:rPr>
          <w:rFonts w:ascii="Arial" w:hAnsi="Arial" w:cs="Arial"/>
          <w:i/>
          <w:iCs/>
          <w:sz w:val="24"/>
          <w:szCs w:val="24"/>
        </w:rPr>
        <w:t>Salus Journal</w:t>
      </w:r>
      <w:r w:rsidRPr="0023587D">
        <w:rPr>
          <w:rFonts w:ascii="Arial" w:hAnsi="Arial" w:cs="Arial"/>
          <w:sz w:val="24"/>
          <w:szCs w:val="24"/>
        </w:rPr>
        <w:t>, </w:t>
      </w:r>
      <w:r w:rsidRPr="0023587D">
        <w:rPr>
          <w:rFonts w:ascii="Arial" w:hAnsi="Arial" w:cs="Arial"/>
          <w:i/>
          <w:iCs/>
          <w:sz w:val="24"/>
          <w:szCs w:val="24"/>
        </w:rPr>
        <w:t>8</w:t>
      </w:r>
      <w:r w:rsidRPr="0023587D">
        <w:rPr>
          <w:rFonts w:ascii="Arial" w:hAnsi="Arial" w:cs="Arial"/>
          <w:sz w:val="24"/>
          <w:szCs w:val="24"/>
        </w:rPr>
        <w:t>(2), 117–151.</w:t>
      </w:r>
    </w:p>
    <w:p w14:paraId="63FF15CE"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Haslam, J. D, Russel, P, Hill, S, Emmet, S. R, Blain, P (2022) Chemical, biological, radiological, and nuclear mass casualty medicine: </w:t>
      </w:r>
      <w:r w:rsidRPr="0023587D">
        <w:rPr>
          <w:rFonts w:ascii="Arial" w:hAnsi="Arial" w:cs="Arial"/>
          <w:i/>
          <w:iCs/>
          <w:sz w:val="24"/>
          <w:szCs w:val="24"/>
        </w:rPr>
        <w:t>a review of lessons from the Salisbury and Amesbury Novichok nerve agent incidents</w:t>
      </w:r>
      <w:r w:rsidRPr="0023587D">
        <w:rPr>
          <w:rFonts w:ascii="Arial" w:hAnsi="Arial" w:cs="Arial"/>
          <w:sz w:val="24"/>
          <w:szCs w:val="24"/>
        </w:rPr>
        <w:t>. British Journal of Anaesthesia, Volume 128, Issue 2, e200 - e205</w:t>
      </w:r>
    </w:p>
    <w:p w14:paraId="4BF47E51" w14:textId="77777777" w:rsidR="00382322" w:rsidRPr="0023587D" w:rsidRDefault="00382322" w:rsidP="0023587D">
      <w:pPr>
        <w:pStyle w:val="ListParagraph"/>
        <w:numPr>
          <w:ilvl w:val="0"/>
          <w:numId w:val="5"/>
        </w:numPr>
        <w:tabs>
          <w:tab w:val="left" w:pos="6603"/>
        </w:tabs>
        <w:spacing w:line="360" w:lineRule="auto"/>
        <w:rPr>
          <w:rFonts w:ascii="Arial" w:hAnsi="Arial" w:cs="Arial"/>
          <w:sz w:val="24"/>
          <w:szCs w:val="24"/>
        </w:rPr>
      </w:pPr>
      <w:r w:rsidRPr="0023587D">
        <w:rPr>
          <w:rFonts w:ascii="Arial" w:hAnsi="Arial" w:cs="Arial"/>
          <w:sz w:val="24"/>
          <w:szCs w:val="24"/>
        </w:rPr>
        <w:lastRenderedPageBreak/>
        <w:t xml:space="preserve">Hesketh, I &amp; </w:t>
      </w:r>
      <w:proofErr w:type="spellStart"/>
      <w:r w:rsidRPr="0023587D">
        <w:rPr>
          <w:rFonts w:ascii="Arial" w:hAnsi="Arial" w:cs="Arial"/>
          <w:sz w:val="24"/>
          <w:szCs w:val="24"/>
        </w:rPr>
        <w:t>Ãã</w:t>
      </w:r>
      <w:proofErr w:type="spellEnd"/>
      <w:r w:rsidRPr="0023587D">
        <w:rPr>
          <w:rFonts w:ascii="Arial" w:hAnsi="Arial" w:cs="Arial"/>
          <w:sz w:val="24"/>
          <w:szCs w:val="24"/>
        </w:rPr>
        <w:t xml:space="preserve">, N. (2018) Psychological Trauma Risk Management in the UK Police Service. </w:t>
      </w:r>
      <w:r w:rsidRPr="0023587D">
        <w:rPr>
          <w:rFonts w:ascii="Arial" w:hAnsi="Arial" w:cs="Arial"/>
          <w:i/>
          <w:iCs/>
          <w:sz w:val="24"/>
          <w:szCs w:val="24"/>
        </w:rPr>
        <w:t>Policing: A Journal of Policy and Practice.</w:t>
      </w:r>
    </w:p>
    <w:p w14:paraId="7D9EB447" w14:textId="2DCFC394"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HM Government (2021). </w:t>
      </w:r>
      <w:r w:rsidRPr="0023587D">
        <w:rPr>
          <w:rFonts w:ascii="Arial" w:hAnsi="Arial" w:cs="Arial"/>
          <w:i/>
          <w:iCs/>
          <w:sz w:val="24"/>
          <w:szCs w:val="24"/>
        </w:rPr>
        <w:t xml:space="preserve">Tackling violence against women and </w:t>
      </w:r>
      <w:proofErr w:type="gramStart"/>
      <w:r w:rsidRPr="0023587D">
        <w:rPr>
          <w:rFonts w:ascii="Arial" w:hAnsi="Arial" w:cs="Arial"/>
          <w:i/>
          <w:iCs/>
          <w:sz w:val="24"/>
          <w:szCs w:val="24"/>
        </w:rPr>
        <w:t>girls</w:t>
      </w:r>
      <w:proofErr w:type="gramEnd"/>
      <w:r w:rsidRPr="0023587D">
        <w:rPr>
          <w:rFonts w:ascii="Arial" w:hAnsi="Arial" w:cs="Arial"/>
          <w:i/>
          <w:iCs/>
          <w:sz w:val="24"/>
          <w:szCs w:val="24"/>
        </w:rPr>
        <w:t xml:space="preserve"> strategy</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2" w:history="1">
        <w:r w:rsidRPr="0023587D">
          <w:rPr>
            <w:rStyle w:val="Hyperlink"/>
            <w:rFonts w:ascii="Arial" w:hAnsi="Arial" w:cs="Arial"/>
            <w:sz w:val="24"/>
            <w:szCs w:val="24"/>
          </w:rPr>
          <w:t>https://assets.publishing.service.gov.uk/media/6194d05bd3bf7f054f43e011/Tackling_Violence_Against_Women_and_Girls_Strategy_-_July_2021.pdf</w:t>
        </w:r>
      </w:hyperlink>
      <w:r w:rsidRPr="0023587D">
        <w:rPr>
          <w:rFonts w:ascii="Arial" w:hAnsi="Arial" w:cs="Arial"/>
          <w:sz w:val="24"/>
          <w:szCs w:val="24"/>
        </w:rPr>
        <w:t xml:space="preserve"> Accessed 20</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4C76F33D" w14:textId="65AF5711"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HMICFRS (2022). </w:t>
      </w:r>
      <w:r w:rsidRPr="0023587D">
        <w:rPr>
          <w:rFonts w:ascii="Arial" w:hAnsi="Arial" w:cs="Arial"/>
          <w:i/>
          <w:iCs/>
          <w:sz w:val="24"/>
          <w:szCs w:val="24"/>
        </w:rPr>
        <w:t>An inspection of vetting, misconduct, and misogyny in the police service</w:t>
      </w:r>
      <w:r w:rsidRPr="0023587D">
        <w:rPr>
          <w:rFonts w:ascii="Arial" w:hAnsi="Arial" w:cs="Arial"/>
          <w:b/>
          <w:bCs/>
          <w:i/>
          <w:iCs/>
          <w:sz w:val="24"/>
          <w:szCs w:val="24"/>
        </w:rPr>
        <w:t>.</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3" w:history="1">
        <w:r w:rsidRPr="0023587D">
          <w:rPr>
            <w:rStyle w:val="Hyperlink"/>
            <w:rFonts w:ascii="Arial" w:hAnsi="Arial" w:cs="Arial"/>
            <w:sz w:val="24"/>
            <w:szCs w:val="24"/>
          </w:rPr>
          <w:t>https://hmicfrs.justiceinspectorates.gov.uk/publications/an-inspection-of-vetting-misconduct-and-misogyny-in-the-police-service/</w:t>
        </w:r>
      </w:hyperlink>
      <w:r w:rsidRPr="0023587D">
        <w:rPr>
          <w:rFonts w:ascii="Arial" w:hAnsi="Arial" w:cs="Arial"/>
          <w:sz w:val="24"/>
          <w:szCs w:val="24"/>
        </w:rPr>
        <w:t xml:space="preserve"> Accessed: 20</w:t>
      </w:r>
      <w:r w:rsidRPr="0023587D">
        <w:rPr>
          <w:rFonts w:ascii="Arial" w:hAnsi="Arial" w:cs="Arial"/>
          <w:sz w:val="24"/>
          <w:szCs w:val="24"/>
          <w:vertAlign w:val="superscript"/>
        </w:rPr>
        <w:t xml:space="preserve">th </w:t>
      </w:r>
      <w:r w:rsidRPr="0023587D">
        <w:rPr>
          <w:rFonts w:ascii="Arial" w:hAnsi="Arial" w:cs="Arial"/>
          <w:sz w:val="24"/>
          <w:szCs w:val="24"/>
        </w:rPr>
        <w:t>November 2024.</w:t>
      </w:r>
    </w:p>
    <w:p w14:paraId="0A5E5749" w14:textId="62EE4664" w:rsidR="00382322" w:rsidRPr="0023587D" w:rsidRDefault="00382322" w:rsidP="0023587D">
      <w:pPr>
        <w:pStyle w:val="ListParagraph"/>
        <w:numPr>
          <w:ilvl w:val="0"/>
          <w:numId w:val="5"/>
        </w:numPr>
        <w:spacing w:line="360" w:lineRule="auto"/>
        <w:rPr>
          <w:rFonts w:ascii="Arial" w:hAnsi="Arial" w:cs="Arial"/>
          <w:i/>
          <w:iCs/>
          <w:sz w:val="24"/>
          <w:szCs w:val="24"/>
        </w:rPr>
      </w:pPr>
      <w:r w:rsidRPr="0023587D">
        <w:rPr>
          <w:rFonts w:ascii="Arial" w:hAnsi="Arial" w:cs="Arial"/>
          <w:sz w:val="24"/>
          <w:szCs w:val="24"/>
        </w:rPr>
        <w:t xml:space="preserve">Home Office (2012) </w:t>
      </w:r>
      <w:r w:rsidRPr="0023587D">
        <w:rPr>
          <w:rFonts w:ascii="Arial" w:hAnsi="Arial" w:cs="Arial"/>
          <w:i/>
          <w:iCs/>
          <w:sz w:val="24"/>
          <w:szCs w:val="24"/>
        </w:rPr>
        <w:t>Definition of policing by consent.</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4" w:history="1">
        <w:r w:rsidRPr="0023587D">
          <w:rPr>
            <w:rStyle w:val="Hyperlink"/>
            <w:rFonts w:ascii="Arial" w:hAnsi="Arial" w:cs="Arial"/>
            <w:sz w:val="24"/>
            <w:szCs w:val="24"/>
          </w:rPr>
          <w:t>https://www.gov.uk/government/publications/policing-by-consent/definition-of-policing-by-consent</w:t>
        </w:r>
      </w:hyperlink>
      <w:r w:rsidRPr="0023587D">
        <w:rPr>
          <w:rFonts w:ascii="Arial" w:hAnsi="Arial" w:cs="Arial"/>
          <w:sz w:val="24"/>
          <w:szCs w:val="24"/>
        </w:rPr>
        <w:t xml:space="preserve"> Accessed: 17</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6047431D" w14:textId="77777777" w:rsidR="00382322" w:rsidRPr="0023587D" w:rsidRDefault="00382322" w:rsidP="0023587D">
      <w:pPr>
        <w:pStyle w:val="ListParagraph"/>
        <w:numPr>
          <w:ilvl w:val="0"/>
          <w:numId w:val="5"/>
        </w:numPr>
        <w:tabs>
          <w:tab w:val="left" w:pos="6603"/>
        </w:tabs>
        <w:spacing w:line="360" w:lineRule="auto"/>
        <w:rPr>
          <w:rFonts w:ascii="Arial" w:hAnsi="Arial" w:cs="Arial"/>
          <w:sz w:val="24"/>
          <w:szCs w:val="24"/>
        </w:rPr>
      </w:pPr>
      <w:r w:rsidRPr="0023587D">
        <w:rPr>
          <w:rFonts w:ascii="Arial" w:hAnsi="Arial" w:cs="Arial"/>
          <w:sz w:val="24"/>
          <w:szCs w:val="24"/>
        </w:rPr>
        <w:t xml:space="preserve">Hunt, E., Jones, N., Hastings, V. and Greenberg, N. (2013) </w:t>
      </w:r>
      <w:proofErr w:type="spellStart"/>
      <w:r w:rsidRPr="0023587D">
        <w:rPr>
          <w:rFonts w:ascii="Arial" w:hAnsi="Arial" w:cs="Arial"/>
          <w:sz w:val="24"/>
          <w:szCs w:val="24"/>
        </w:rPr>
        <w:t>TRiM</w:t>
      </w:r>
      <w:proofErr w:type="spellEnd"/>
      <w:r w:rsidRPr="0023587D">
        <w:rPr>
          <w:rFonts w:ascii="Arial" w:hAnsi="Arial" w:cs="Arial"/>
          <w:sz w:val="24"/>
          <w:szCs w:val="24"/>
        </w:rPr>
        <w:t>: an organizational response to traumatic events in Cumbria Constabulary. </w:t>
      </w:r>
      <w:r w:rsidRPr="0023587D">
        <w:rPr>
          <w:rFonts w:ascii="Arial" w:hAnsi="Arial" w:cs="Arial"/>
          <w:i/>
          <w:iCs/>
          <w:sz w:val="24"/>
          <w:szCs w:val="24"/>
        </w:rPr>
        <w:t>Occupational Medicine (Oxford)</w:t>
      </w:r>
      <w:r w:rsidRPr="0023587D">
        <w:rPr>
          <w:rFonts w:ascii="Arial" w:hAnsi="Arial" w:cs="Arial"/>
          <w:sz w:val="24"/>
          <w:szCs w:val="24"/>
        </w:rPr>
        <w:t>, </w:t>
      </w:r>
      <w:r w:rsidRPr="0023587D">
        <w:rPr>
          <w:rFonts w:ascii="Arial" w:hAnsi="Arial" w:cs="Arial"/>
          <w:i/>
          <w:iCs/>
          <w:sz w:val="24"/>
          <w:szCs w:val="24"/>
        </w:rPr>
        <w:t>63</w:t>
      </w:r>
      <w:r w:rsidRPr="0023587D">
        <w:rPr>
          <w:rFonts w:ascii="Arial" w:hAnsi="Arial" w:cs="Arial"/>
          <w:sz w:val="24"/>
          <w:szCs w:val="24"/>
        </w:rPr>
        <w:t>(8), 549–555. </w:t>
      </w:r>
    </w:p>
    <w:p w14:paraId="28E6A733" w14:textId="77777777" w:rsidR="00382322" w:rsidRPr="0023587D" w:rsidRDefault="00382322" w:rsidP="0023587D">
      <w:pPr>
        <w:pStyle w:val="ListParagraph"/>
        <w:numPr>
          <w:ilvl w:val="0"/>
          <w:numId w:val="5"/>
        </w:numPr>
        <w:spacing w:line="360" w:lineRule="auto"/>
        <w:rPr>
          <w:rFonts w:ascii="Arial" w:hAnsi="Arial" w:cs="Arial"/>
          <w:i/>
          <w:iCs/>
          <w:sz w:val="24"/>
          <w:szCs w:val="24"/>
        </w:rPr>
      </w:pPr>
      <w:r w:rsidRPr="0023587D">
        <w:rPr>
          <w:rFonts w:ascii="Arial" w:hAnsi="Arial" w:cs="Arial"/>
          <w:sz w:val="24"/>
          <w:szCs w:val="24"/>
        </w:rPr>
        <w:t xml:space="preserve">Intelligence and Security Committee of Parliament (2017) </w:t>
      </w:r>
      <w:r w:rsidRPr="0023587D">
        <w:rPr>
          <w:rFonts w:ascii="Arial" w:hAnsi="Arial" w:cs="Arial"/>
          <w:i/>
          <w:iCs/>
          <w:sz w:val="24"/>
          <w:szCs w:val="24"/>
        </w:rPr>
        <w:t>The 2017 Attacks:</w:t>
      </w:r>
      <w:r w:rsidRPr="0023587D">
        <w:rPr>
          <w:rFonts w:ascii="Arial" w:hAnsi="Arial" w:cs="Arial"/>
          <w:i/>
          <w:iCs/>
          <w:sz w:val="24"/>
          <w:szCs w:val="24"/>
        </w:rPr>
        <w:br/>
        <w:t>What needs to change? Westminster, Manchester Arena, London Bridge, Finsbury Park, Parsons Green.</w:t>
      </w:r>
    </w:p>
    <w:p w14:paraId="33A90614"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Irizar, P., Gage, S.H., Field, M., Fallon, V. and Goodwin, L. (2021) The prevalence of hazardous and harmful drinking in the UK Police Service, and their co-occurrence with job strain and mental health problems. </w:t>
      </w:r>
      <w:r w:rsidRPr="0023587D">
        <w:rPr>
          <w:rFonts w:ascii="Arial" w:hAnsi="Arial" w:cs="Arial"/>
          <w:i/>
          <w:iCs/>
          <w:sz w:val="24"/>
          <w:szCs w:val="24"/>
        </w:rPr>
        <w:t>Epidemiology and Psychiatric Sciences</w:t>
      </w:r>
      <w:r w:rsidRPr="0023587D">
        <w:rPr>
          <w:rFonts w:ascii="Arial" w:hAnsi="Arial" w:cs="Arial"/>
          <w:sz w:val="24"/>
          <w:szCs w:val="24"/>
        </w:rPr>
        <w:t>. 2021;</w:t>
      </w:r>
      <w:proofErr w:type="gramStart"/>
      <w:r w:rsidRPr="0023587D">
        <w:rPr>
          <w:rFonts w:ascii="Arial" w:hAnsi="Arial" w:cs="Arial"/>
          <w:sz w:val="24"/>
          <w:szCs w:val="24"/>
        </w:rPr>
        <w:t>30:e</w:t>
      </w:r>
      <w:proofErr w:type="gramEnd"/>
      <w:r w:rsidRPr="0023587D">
        <w:rPr>
          <w:rFonts w:ascii="Arial" w:hAnsi="Arial" w:cs="Arial"/>
          <w:sz w:val="24"/>
          <w:szCs w:val="24"/>
        </w:rPr>
        <w:t>51</w:t>
      </w:r>
    </w:p>
    <w:p w14:paraId="765AE9BB"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Irizar, P., Jackson, L., Gage, S., Bell, S., Piper, R., Fallon, V. and Goodwin, L. (2023) ‘It’s a crutch’: A qualitative exploration of UK police employees’ experiences of at-risk alcohol consumption or abstinence, </w:t>
      </w:r>
      <w:r w:rsidRPr="0023587D">
        <w:rPr>
          <w:rFonts w:ascii="Arial" w:hAnsi="Arial" w:cs="Arial"/>
          <w:i/>
          <w:iCs/>
          <w:sz w:val="24"/>
          <w:szCs w:val="24"/>
        </w:rPr>
        <w:t>Policing: A Journal of Policy and Practice</w:t>
      </w:r>
      <w:r w:rsidRPr="0023587D">
        <w:rPr>
          <w:rFonts w:ascii="Arial" w:hAnsi="Arial" w:cs="Arial"/>
          <w:sz w:val="24"/>
          <w:szCs w:val="24"/>
        </w:rPr>
        <w:t>, Volume 17, 2023, </w:t>
      </w:r>
    </w:p>
    <w:p w14:paraId="18C59B2E"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lang w:val="nb-NO"/>
        </w:rPr>
        <w:t xml:space="preserve">Jennings, W. G., </w:t>
      </w:r>
      <w:proofErr w:type="spellStart"/>
      <w:r w:rsidRPr="0023587D">
        <w:rPr>
          <w:rFonts w:ascii="Arial" w:hAnsi="Arial" w:cs="Arial"/>
          <w:sz w:val="24"/>
          <w:szCs w:val="24"/>
          <w:lang w:val="nb-NO"/>
        </w:rPr>
        <w:t>Fridell</w:t>
      </w:r>
      <w:proofErr w:type="spellEnd"/>
      <w:r w:rsidRPr="0023587D">
        <w:rPr>
          <w:rFonts w:ascii="Arial" w:hAnsi="Arial" w:cs="Arial"/>
          <w:sz w:val="24"/>
          <w:szCs w:val="24"/>
          <w:lang w:val="nb-NO"/>
        </w:rPr>
        <w:t xml:space="preserve">, L. A., &amp; Lynch, M. D. (2014). </w:t>
      </w:r>
      <w:r w:rsidRPr="0023587D">
        <w:rPr>
          <w:rFonts w:ascii="Arial" w:hAnsi="Arial" w:cs="Arial"/>
          <w:sz w:val="24"/>
          <w:szCs w:val="24"/>
        </w:rPr>
        <w:t>Cops and cameras: Officer perceptions of the use of body-worn cameras in law enforcement. </w:t>
      </w:r>
      <w:r w:rsidRPr="0023587D">
        <w:rPr>
          <w:rFonts w:ascii="Arial" w:hAnsi="Arial" w:cs="Arial"/>
          <w:i/>
          <w:iCs/>
          <w:sz w:val="24"/>
          <w:szCs w:val="24"/>
        </w:rPr>
        <w:t>Journal of Criminal Justice</w:t>
      </w:r>
      <w:r w:rsidRPr="0023587D">
        <w:rPr>
          <w:rFonts w:ascii="Arial" w:hAnsi="Arial" w:cs="Arial"/>
          <w:sz w:val="24"/>
          <w:szCs w:val="24"/>
        </w:rPr>
        <w:t>, </w:t>
      </w:r>
      <w:r w:rsidRPr="0023587D">
        <w:rPr>
          <w:rFonts w:ascii="Arial" w:hAnsi="Arial" w:cs="Arial"/>
          <w:i/>
          <w:iCs/>
          <w:sz w:val="24"/>
          <w:szCs w:val="24"/>
        </w:rPr>
        <w:t>42</w:t>
      </w:r>
      <w:r w:rsidRPr="0023587D">
        <w:rPr>
          <w:rFonts w:ascii="Arial" w:hAnsi="Arial" w:cs="Arial"/>
          <w:sz w:val="24"/>
          <w:szCs w:val="24"/>
        </w:rPr>
        <w:t>(6), 549–556. </w:t>
      </w:r>
    </w:p>
    <w:p w14:paraId="6FDEEB15" w14:textId="77777777" w:rsidR="00382322" w:rsidRPr="0023587D" w:rsidRDefault="00382322" w:rsidP="0023587D">
      <w:pPr>
        <w:pStyle w:val="ListParagraph"/>
        <w:numPr>
          <w:ilvl w:val="0"/>
          <w:numId w:val="5"/>
        </w:numPr>
        <w:spacing w:line="360" w:lineRule="auto"/>
        <w:rPr>
          <w:rFonts w:ascii="Arial" w:hAnsi="Arial" w:cs="Arial"/>
          <w:i/>
          <w:iCs/>
          <w:sz w:val="24"/>
          <w:szCs w:val="24"/>
        </w:rPr>
      </w:pPr>
      <w:r w:rsidRPr="0023587D">
        <w:rPr>
          <w:rFonts w:ascii="Arial" w:hAnsi="Arial" w:cs="Arial"/>
          <w:sz w:val="24"/>
          <w:szCs w:val="24"/>
        </w:rPr>
        <w:lastRenderedPageBreak/>
        <w:t xml:space="preserve">Joint Emergency Services Interoperability Principles (JESIP) (2006) </w:t>
      </w:r>
      <w:r w:rsidRPr="0023587D">
        <w:rPr>
          <w:rFonts w:ascii="Arial" w:hAnsi="Arial" w:cs="Arial"/>
          <w:i/>
          <w:iCs/>
          <w:sz w:val="24"/>
          <w:szCs w:val="24"/>
        </w:rPr>
        <w:t xml:space="preserve">Addressing lessons from the emergency response to the </w:t>
      </w:r>
      <w:proofErr w:type="gramStart"/>
      <w:r w:rsidRPr="0023587D">
        <w:rPr>
          <w:rFonts w:ascii="Arial" w:hAnsi="Arial" w:cs="Arial"/>
          <w:i/>
          <w:iCs/>
          <w:sz w:val="24"/>
          <w:szCs w:val="24"/>
        </w:rPr>
        <w:t>7</w:t>
      </w:r>
      <w:r w:rsidRPr="0023587D">
        <w:rPr>
          <w:rFonts w:ascii="Arial" w:hAnsi="Arial" w:cs="Arial"/>
          <w:i/>
          <w:iCs/>
          <w:sz w:val="24"/>
          <w:szCs w:val="24"/>
          <w:vertAlign w:val="superscript"/>
        </w:rPr>
        <w:t>th</w:t>
      </w:r>
      <w:proofErr w:type="gramEnd"/>
      <w:r w:rsidRPr="0023587D">
        <w:rPr>
          <w:rFonts w:ascii="Arial" w:hAnsi="Arial" w:cs="Arial"/>
          <w:i/>
          <w:iCs/>
          <w:sz w:val="24"/>
          <w:szCs w:val="24"/>
        </w:rPr>
        <w:t xml:space="preserve"> July 2005 London bombings</w:t>
      </w:r>
      <w:r w:rsidRPr="0023587D">
        <w:rPr>
          <w:rFonts w:ascii="Arial" w:hAnsi="Arial" w:cs="Arial"/>
          <w:b/>
          <w:bCs/>
          <w:i/>
          <w:iCs/>
          <w:sz w:val="24"/>
          <w:szCs w:val="24"/>
        </w:rPr>
        <w:t xml:space="preserve">: </w:t>
      </w:r>
      <w:r w:rsidRPr="0023587D">
        <w:rPr>
          <w:rFonts w:ascii="Arial" w:hAnsi="Arial" w:cs="Arial"/>
          <w:i/>
          <w:iCs/>
          <w:sz w:val="24"/>
          <w:szCs w:val="24"/>
        </w:rPr>
        <w:t>What we learned and what we are doing about it</w:t>
      </w:r>
      <w:r w:rsidRPr="0023587D">
        <w:rPr>
          <w:rFonts w:ascii="Arial" w:hAnsi="Arial" w:cs="Arial"/>
          <w:b/>
          <w:bCs/>
          <w:i/>
          <w:iCs/>
          <w:sz w:val="24"/>
          <w:szCs w:val="24"/>
        </w:rPr>
        <w:t>.</w:t>
      </w:r>
    </w:p>
    <w:p w14:paraId="55ED6762"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Kane, E. and Evans, E. (2018) Mental health and policing interventions: Implementation and impact. </w:t>
      </w:r>
      <w:r w:rsidRPr="0023587D">
        <w:rPr>
          <w:rFonts w:ascii="Arial" w:hAnsi="Arial" w:cs="Arial"/>
          <w:i/>
          <w:iCs/>
          <w:sz w:val="24"/>
          <w:szCs w:val="24"/>
        </w:rPr>
        <w:t>Mental Health Review Journal</w:t>
      </w:r>
      <w:r w:rsidRPr="0023587D">
        <w:rPr>
          <w:rFonts w:ascii="Arial" w:hAnsi="Arial" w:cs="Arial"/>
          <w:sz w:val="24"/>
          <w:szCs w:val="24"/>
        </w:rPr>
        <w:t>, </w:t>
      </w:r>
      <w:r w:rsidRPr="0023587D">
        <w:rPr>
          <w:rFonts w:ascii="Arial" w:hAnsi="Arial" w:cs="Arial"/>
          <w:i/>
          <w:iCs/>
          <w:sz w:val="24"/>
          <w:szCs w:val="24"/>
        </w:rPr>
        <w:t>23</w:t>
      </w:r>
      <w:r w:rsidRPr="0023587D">
        <w:rPr>
          <w:rFonts w:ascii="Arial" w:hAnsi="Arial" w:cs="Arial"/>
          <w:sz w:val="24"/>
          <w:szCs w:val="24"/>
        </w:rPr>
        <w:t>(2), pp.86-93</w:t>
      </w:r>
    </w:p>
    <w:p w14:paraId="0FA40407" w14:textId="12960E1E"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Lamb, H.R., Weinberger, L.E. and </w:t>
      </w:r>
      <w:proofErr w:type="spellStart"/>
      <w:r w:rsidRPr="0023587D">
        <w:rPr>
          <w:rFonts w:ascii="Arial" w:hAnsi="Arial" w:cs="Arial"/>
          <w:sz w:val="24"/>
          <w:szCs w:val="24"/>
        </w:rPr>
        <w:t>DeCuir</w:t>
      </w:r>
      <w:proofErr w:type="spellEnd"/>
      <w:r w:rsidRPr="0023587D">
        <w:rPr>
          <w:rFonts w:ascii="Arial" w:hAnsi="Arial" w:cs="Arial"/>
          <w:sz w:val="24"/>
          <w:szCs w:val="24"/>
        </w:rPr>
        <w:t xml:space="preserve"> Jr, W.J. (2002) The police and mental health. </w:t>
      </w:r>
      <w:r w:rsidRPr="0023587D">
        <w:rPr>
          <w:rFonts w:ascii="Arial" w:hAnsi="Arial" w:cs="Arial"/>
          <w:i/>
          <w:iCs/>
          <w:sz w:val="24"/>
          <w:szCs w:val="24"/>
        </w:rPr>
        <w:t>Psychiatric services</w:t>
      </w:r>
      <w:r w:rsidRPr="0023587D">
        <w:rPr>
          <w:rFonts w:ascii="Arial" w:hAnsi="Arial" w:cs="Arial"/>
          <w:sz w:val="24"/>
          <w:szCs w:val="24"/>
        </w:rPr>
        <w:t>, </w:t>
      </w:r>
      <w:r w:rsidRPr="0023587D">
        <w:rPr>
          <w:rFonts w:ascii="Arial" w:hAnsi="Arial" w:cs="Arial"/>
          <w:i/>
          <w:iCs/>
          <w:sz w:val="24"/>
          <w:szCs w:val="24"/>
        </w:rPr>
        <w:t>53</w:t>
      </w:r>
      <w:r w:rsidRPr="0023587D">
        <w:rPr>
          <w:rFonts w:ascii="Arial" w:hAnsi="Arial" w:cs="Arial"/>
          <w:sz w:val="24"/>
          <w:szCs w:val="24"/>
        </w:rPr>
        <w:t>(10), pp.1266-1271.</w:t>
      </w:r>
    </w:p>
    <w:p w14:paraId="223B49D3" w14:textId="2B811882"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Legislation.gov (2024) </w:t>
      </w:r>
      <w:r w:rsidRPr="0023587D">
        <w:rPr>
          <w:rFonts w:ascii="Arial" w:hAnsi="Arial" w:cs="Arial"/>
          <w:i/>
          <w:iCs/>
          <w:sz w:val="24"/>
          <w:szCs w:val="24"/>
        </w:rPr>
        <w:t>Terrorism Act 2006</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5" w:history="1">
        <w:r w:rsidRPr="0023587D">
          <w:rPr>
            <w:rStyle w:val="Hyperlink"/>
            <w:rFonts w:ascii="Arial" w:hAnsi="Arial" w:cs="Arial"/>
            <w:sz w:val="24"/>
            <w:szCs w:val="24"/>
          </w:rPr>
          <w:t>https://www.legislation.gov.uk/ukpga/2006/11/contents</w:t>
        </w:r>
      </w:hyperlink>
      <w:r w:rsidRPr="0023587D">
        <w:rPr>
          <w:rFonts w:ascii="Arial" w:hAnsi="Arial" w:cs="Arial"/>
          <w:sz w:val="24"/>
          <w:szCs w:val="24"/>
        </w:rPr>
        <w:t xml:space="preserve"> Accessed: 19</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578BEFDA" w14:textId="77777777" w:rsidR="00382322" w:rsidRPr="0023587D" w:rsidRDefault="00382322" w:rsidP="0023587D">
      <w:pPr>
        <w:pStyle w:val="ListParagraph"/>
        <w:numPr>
          <w:ilvl w:val="0"/>
          <w:numId w:val="5"/>
        </w:numPr>
        <w:spacing w:line="360" w:lineRule="auto"/>
        <w:rPr>
          <w:rFonts w:ascii="Arial" w:hAnsi="Arial" w:cs="Arial"/>
          <w:i/>
          <w:iCs/>
          <w:sz w:val="24"/>
          <w:szCs w:val="24"/>
        </w:rPr>
      </w:pPr>
      <w:r w:rsidRPr="0023587D">
        <w:rPr>
          <w:rFonts w:ascii="Arial" w:hAnsi="Arial" w:cs="Arial"/>
          <w:sz w:val="24"/>
          <w:szCs w:val="24"/>
        </w:rPr>
        <w:t xml:space="preserve">London Assembly (2006) </w:t>
      </w:r>
      <w:r w:rsidRPr="0023587D">
        <w:rPr>
          <w:rFonts w:ascii="Arial" w:hAnsi="Arial" w:cs="Arial"/>
          <w:i/>
          <w:iCs/>
          <w:sz w:val="24"/>
          <w:szCs w:val="24"/>
        </w:rPr>
        <w:t>Report of the 7 July Review Committee</w:t>
      </w:r>
      <w:r w:rsidRPr="0023587D">
        <w:rPr>
          <w:rFonts w:ascii="Arial" w:hAnsi="Arial" w:cs="Arial"/>
          <w:sz w:val="24"/>
          <w:szCs w:val="24"/>
        </w:rPr>
        <w:t xml:space="preserve">, </w:t>
      </w:r>
      <w:r w:rsidRPr="0023587D">
        <w:rPr>
          <w:rFonts w:ascii="Arial" w:hAnsi="Arial" w:cs="Arial"/>
          <w:i/>
          <w:iCs/>
          <w:sz w:val="24"/>
          <w:szCs w:val="24"/>
        </w:rPr>
        <w:t>Greater London Authority.</w:t>
      </w:r>
    </w:p>
    <w:p w14:paraId="2E7D73FC"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Lord </w:t>
      </w:r>
      <w:proofErr w:type="spellStart"/>
      <w:r w:rsidRPr="0023587D">
        <w:rPr>
          <w:rFonts w:ascii="Arial" w:hAnsi="Arial" w:cs="Arial"/>
          <w:sz w:val="24"/>
          <w:szCs w:val="24"/>
        </w:rPr>
        <w:t>Kerslake</w:t>
      </w:r>
      <w:proofErr w:type="spellEnd"/>
      <w:r w:rsidRPr="0023587D">
        <w:rPr>
          <w:rFonts w:ascii="Arial" w:hAnsi="Arial" w:cs="Arial"/>
          <w:sz w:val="24"/>
          <w:szCs w:val="24"/>
        </w:rPr>
        <w:t xml:space="preserve">, B (2018) The </w:t>
      </w:r>
      <w:proofErr w:type="spellStart"/>
      <w:r w:rsidRPr="0023587D">
        <w:rPr>
          <w:rFonts w:ascii="Arial" w:hAnsi="Arial" w:cs="Arial"/>
          <w:sz w:val="24"/>
          <w:szCs w:val="24"/>
        </w:rPr>
        <w:t>Kerslake</w:t>
      </w:r>
      <w:proofErr w:type="spellEnd"/>
      <w:r w:rsidRPr="0023587D">
        <w:rPr>
          <w:rFonts w:ascii="Arial" w:hAnsi="Arial" w:cs="Arial"/>
          <w:sz w:val="24"/>
          <w:szCs w:val="24"/>
        </w:rPr>
        <w:t xml:space="preserve"> Report: </w:t>
      </w:r>
      <w:r w:rsidRPr="0023587D">
        <w:rPr>
          <w:rFonts w:ascii="Arial" w:hAnsi="Arial" w:cs="Arial"/>
          <w:i/>
          <w:iCs/>
          <w:sz w:val="24"/>
          <w:szCs w:val="24"/>
        </w:rPr>
        <w:t>An independent review into the preparedness for and emergency response to the Manchester Arena Attack on 22nd May 2017</w:t>
      </w:r>
    </w:p>
    <w:p w14:paraId="1DD752B5"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Lowerson</w:t>
      </w:r>
      <w:proofErr w:type="spellEnd"/>
      <w:r w:rsidRPr="0023587D">
        <w:rPr>
          <w:rFonts w:ascii="Arial" w:hAnsi="Arial" w:cs="Arial"/>
          <w:sz w:val="24"/>
          <w:szCs w:val="24"/>
        </w:rPr>
        <w:t xml:space="preserve">, A. J. (2022). Proportionate? The Metropolitan Police Service Response to the Sarah Everard Vigil: Leigh v Commissioner of Police of the Metropolis [2022] EWHC 527 (Admin). </w:t>
      </w:r>
      <w:r w:rsidRPr="0023587D">
        <w:rPr>
          <w:rFonts w:ascii="Arial" w:hAnsi="Arial" w:cs="Arial"/>
          <w:i/>
          <w:iCs/>
          <w:sz w:val="24"/>
          <w:szCs w:val="24"/>
        </w:rPr>
        <w:t>The Journal of Criminal Law</w:t>
      </w:r>
      <w:r w:rsidRPr="0023587D">
        <w:rPr>
          <w:rFonts w:ascii="Arial" w:hAnsi="Arial" w:cs="Arial"/>
          <w:sz w:val="24"/>
          <w:szCs w:val="24"/>
        </w:rPr>
        <w:t xml:space="preserve">, </w:t>
      </w:r>
      <w:r w:rsidRPr="0023587D">
        <w:rPr>
          <w:rFonts w:ascii="Arial" w:hAnsi="Arial" w:cs="Arial"/>
          <w:i/>
          <w:iCs/>
          <w:sz w:val="24"/>
          <w:szCs w:val="24"/>
        </w:rPr>
        <w:t>86</w:t>
      </w:r>
      <w:r w:rsidRPr="0023587D">
        <w:rPr>
          <w:rFonts w:ascii="Arial" w:hAnsi="Arial" w:cs="Arial"/>
          <w:sz w:val="24"/>
          <w:szCs w:val="24"/>
        </w:rPr>
        <w:t>(4), 287-291</w:t>
      </w:r>
    </w:p>
    <w:p w14:paraId="688C9A28" w14:textId="60C93A39" w:rsidR="00382322" w:rsidRPr="0023587D" w:rsidRDefault="00382322" w:rsidP="0023587D">
      <w:pPr>
        <w:pStyle w:val="ListParagraph"/>
        <w:numPr>
          <w:ilvl w:val="0"/>
          <w:numId w:val="5"/>
        </w:numPr>
        <w:spacing w:line="360" w:lineRule="auto"/>
        <w:rPr>
          <w:rFonts w:ascii="Arial" w:hAnsi="Arial" w:cs="Arial"/>
          <w:i/>
          <w:iCs/>
          <w:sz w:val="24"/>
          <w:szCs w:val="24"/>
        </w:rPr>
      </w:pPr>
      <w:r w:rsidRPr="0023587D">
        <w:rPr>
          <w:rFonts w:ascii="Arial" w:hAnsi="Arial" w:cs="Arial"/>
          <w:sz w:val="24"/>
          <w:szCs w:val="24"/>
        </w:rPr>
        <w:t>Manchester Arena Inquiry</w:t>
      </w:r>
      <w:r w:rsidRPr="0023587D">
        <w:rPr>
          <w:rFonts w:ascii="Arial" w:hAnsi="Arial" w:cs="Arial"/>
          <w:i/>
          <w:iCs/>
          <w:sz w:val="24"/>
          <w:szCs w:val="24"/>
        </w:rPr>
        <w:t xml:space="preserve"> </w:t>
      </w:r>
      <w:r w:rsidRPr="0023587D">
        <w:rPr>
          <w:rFonts w:ascii="Arial" w:hAnsi="Arial" w:cs="Arial"/>
          <w:sz w:val="24"/>
          <w:szCs w:val="24"/>
        </w:rPr>
        <w:t xml:space="preserve">(2022) </w:t>
      </w:r>
      <w:r w:rsidRPr="0023587D">
        <w:rPr>
          <w:rFonts w:ascii="Arial" w:hAnsi="Arial" w:cs="Arial"/>
          <w:i/>
          <w:iCs/>
          <w:sz w:val="24"/>
          <w:szCs w:val="24"/>
        </w:rPr>
        <w:t>Manchester Arena Inquiry Volume 2: Emergency Response</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6" w:history="1">
        <w:r w:rsidRPr="0023587D">
          <w:rPr>
            <w:rStyle w:val="Hyperlink"/>
            <w:rFonts w:ascii="Arial" w:hAnsi="Arial" w:cs="Arial"/>
            <w:sz w:val="24"/>
            <w:szCs w:val="24"/>
          </w:rPr>
          <w:t>https://assets.publishing.service.gov.uk/media/6363d113e90e0705a7012946/_HC_757-II__-_Manchester_Arena_Inquiry_Report___Volume_2__Volume_2-II_.pdf</w:t>
        </w:r>
      </w:hyperlink>
      <w:r w:rsidRPr="0023587D">
        <w:rPr>
          <w:rFonts w:ascii="Arial" w:hAnsi="Arial" w:cs="Arial"/>
          <w:sz w:val="24"/>
          <w:szCs w:val="24"/>
        </w:rPr>
        <w:t xml:space="preserve"> Accessed 18</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7502D768"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McGeough, E. and Foster, R. (2018) </w:t>
      </w:r>
      <w:r w:rsidRPr="0023587D">
        <w:rPr>
          <w:rFonts w:ascii="Arial" w:hAnsi="Arial" w:cs="Arial"/>
          <w:i/>
          <w:iCs/>
          <w:sz w:val="24"/>
          <w:szCs w:val="24"/>
        </w:rPr>
        <w:t>What works? Collaborative police and health interventions for mental health distress</w:t>
      </w:r>
      <w:r w:rsidRPr="0023587D">
        <w:rPr>
          <w:rFonts w:ascii="Arial" w:hAnsi="Arial" w:cs="Arial"/>
          <w:sz w:val="24"/>
          <w:szCs w:val="24"/>
        </w:rPr>
        <w:t>.</w:t>
      </w:r>
    </w:p>
    <w:p w14:paraId="090E99AF" w14:textId="0777F1BF"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Metropolitan Police Authority (2005) </w:t>
      </w:r>
      <w:r w:rsidRPr="0023587D">
        <w:rPr>
          <w:rFonts w:ascii="Arial" w:hAnsi="Arial" w:cs="Arial"/>
          <w:i/>
          <w:iCs/>
          <w:sz w:val="24"/>
          <w:szCs w:val="24"/>
        </w:rPr>
        <w:t xml:space="preserve">Operation Kratos: Internal Briefing not.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7" w:history="1">
        <w:r w:rsidRPr="0023587D">
          <w:rPr>
            <w:rStyle w:val="Hyperlink"/>
            <w:rFonts w:ascii="Arial" w:hAnsi="Arial" w:cs="Arial"/>
            <w:sz w:val="24"/>
            <w:szCs w:val="24"/>
          </w:rPr>
          <w:t>https://www.legislation.gov.uk/ukpga/2006/11/contents</w:t>
        </w:r>
      </w:hyperlink>
      <w:r w:rsidRPr="0023587D">
        <w:rPr>
          <w:rFonts w:ascii="Arial" w:hAnsi="Arial" w:cs="Arial"/>
          <w:i/>
          <w:iCs/>
          <w:sz w:val="24"/>
          <w:szCs w:val="24"/>
        </w:rPr>
        <w:t xml:space="preserve"> </w:t>
      </w:r>
      <w:r w:rsidRPr="0023587D">
        <w:rPr>
          <w:rFonts w:ascii="Arial" w:hAnsi="Arial" w:cs="Arial"/>
          <w:sz w:val="24"/>
          <w:szCs w:val="24"/>
        </w:rPr>
        <w:t>Accessed: 19</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102A8D71" w14:textId="4B986DA6" w:rsidR="00382322" w:rsidRPr="0023587D" w:rsidRDefault="00382322" w:rsidP="0023587D">
      <w:pPr>
        <w:numPr>
          <w:ilvl w:val="0"/>
          <w:numId w:val="5"/>
        </w:numPr>
        <w:spacing w:line="360" w:lineRule="auto"/>
        <w:rPr>
          <w:rFonts w:ascii="Arial" w:hAnsi="Arial" w:cs="Arial"/>
          <w:sz w:val="24"/>
          <w:szCs w:val="24"/>
        </w:rPr>
      </w:pPr>
      <w:r w:rsidRPr="0023587D">
        <w:rPr>
          <w:rFonts w:ascii="Arial" w:hAnsi="Arial" w:cs="Arial"/>
          <w:sz w:val="24"/>
          <w:szCs w:val="24"/>
        </w:rPr>
        <w:t xml:space="preserve">Metropolitan Police. (2023) </w:t>
      </w:r>
      <w:r w:rsidR="0023587D" w:rsidRPr="0023587D">
        <w:rPr>
          <w:rFonts w:ascii="Arial" w:hAnsi="Arial" w:cs="Arial"/>
          <w:i/>
          <w:iCs/>
          <w:sz w:val="24"/>
          <w:szCs w:val="24"/>
        </w:rPr>
        <w:t>T</w:t>
      </w:r>
      <w:r w:rsidRPr="0023587D">
        <w:rPr>
          <w:rFonts w:ascii="Arial" w:hAnsi="Arial" w:cs="Arial"/>
          <w:i/>
          <w:iCs/>
          <w:sz w:val="24"/>
          <w:szCs w:val="24"/>
        </w:rPr>
        <w:t>ackling violence against women and girls action plan</w:t>
      </w:r>
      <w:r w:rsidRPr="0023587D">
        <w:rPr>
          <w:rFonts w:ascii="Arial" w:hAnsi="Arial" w:cs="Arial"/>
          <w:sz w:val="24"/>
          <w:szCs w:val="24"/>
        </w:rPr>
        <w:t xml:space="preserve">.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8" w:history="1">
        <w:r w:rsidRPr="0023587D">
          <w:rPr>
            <w:rStyle w:val="Hyperlink"/>
            <w:rFonts w:ascii="Arial" w:hAnsi="Arial" w:cs="Arial"/>
            <w:sz w:val="24"/>
            <w:szCs w:val="24"/>
          </w:rPr>
          <w:t>https://www.met.police.uk/SysSiteAssets/media/downloads/force-</w:t>
        </w:r>
        <w:r w:rsidRPr="0023587D">
          <w:rPr>
            <w:rStyle w:val="Hyperlink"/>
            <w:rFonts w:ascii="Arial" w:hAnsi="Arial" w:cs="Arial"/>
            <w:sz w:val="24"/>
            <w:szCs w:val="24"/>
          </w:rPr>
          <w:lastRenderedPageBreak/>
          <w:t>content/met/about-us/vawg/vawg-action-plan-2023.pdf</w:t>
        </w:r>
      </w:hyperlink>
      <w:r w:rsidRPr="0023587D">
        <w:rPr>
          <w:rFonts w:ascii="Arial" w:hAnsi="Arial" w:cs="Arial"/>
          <w:sz w:val="24"/>
          <w:szCs w:val="24"/>
        </w:rPr>
        <w:t xml:space="preserve"> Accessed: 20</w:t>
      </w:r>
      <w:r w:rsidRPr="0023587D">
        <w:rPr>
          <w:rFonts w:ascii="Arial" w:hAnsi="Arial" w:cs="Arial"/>
          <w:sz w:val="24"/>
          <w:szCs w:val="24"/>
          <w:vertAlign w:val="superscript"/>
        </w:rPr>
        <w:t>th</w:t>
      </w:r>
      <w:r w:rsidRPr="0023587D">
        <w:rPr>
          <w:rFonts w:ascii="Arial" w:hAnsi="Arial" w:cs="Arial"/>
          <w:sz w:val="24"/>
          <w:szCs w:val="24"/>
        </w:rPr>
        <w:t xml:space="preserve"> November 2024.</w:t>
      </w:r>
    </w:p>
    <w:p w14:paraId="4B80EABD"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Neal, S. (2003) ‘The Scarman Report, the Macpherson Report and the Media: How Newspapers Respond to Race-centred Social Policy Interventions’, </w:t>
      </w:r>
      <w:r w:rsidRPr="0023587D">
        <w:rPr>
          <w:rFonts w:ascii="Arial" w:hAnsi="Arial" w:cs="Arial"/>
          <w:i/>
          <w:iCs/>
          <w:sz w:val="24"/>
          <w:szCs w:val="24"/>
        </w:rPr>
        <w:t>Journal of Social Policy</w:t>
      </w:r>
      <w:r w:rsidRPr="0023587D">
        <w:rPr>
          <w:rFonts w:ascii="Arial" w:hAnsi="Arial" w:cs="Arial"/>
          <w:sz w:val="24"/>
          <w:szCs w:val="24"/>
        </w:rPr>
        <w:t xml:space="preserve">, 32(1), pp. 55–74. </w:t>
      </w:r>
    </w:p>
    <w:p w14:paraId="2BBA2177"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Papazoglou</w:t>
      </w:r>
      <w:proofErr w:type="spellEnd"/>
      <w:r w:rsidRPr="0023587D">
        <w:rPr>
          <w:rFonts w:ascii="Arial" w:hAnsi="Arial" w:cs="Arial"/>
          <w:sz w:val="24"/>
          <w:szCs w:val="24"/>
        </w:rPr>
        <w:t>, K. and Blumberg, D. M. (2020) </w:t>
      </w:r>
      <w:proofErr w:type="gramStart"/>
      <w:r w:rsidRPr="0023587D">
        <w:rPr>
          <w:rFonts w:ascii="Arial" w:hAnsi="Arial" w:cs="Arial"/>
          <w:i/>
          <w:iCs/>
          <w:sz w:val="24"/>
          <w:szCs w:val="24"/>
        </w:rPr>
        <w:t>Power :</w:t>
      </w:r>
      <w:proofErr w:type="gramEnd"/>
      <w:r w:rsidRPr="0023587D">
        <w:rPr>
          <w:rFonts w:ascii="Arial" w:hAnsi="Arial" w:cs="Arial"/>
          <w:i/>
          <w:iCs/>
          <w:sz w:val="24"/>
          <w:szCs w:val="24"/>
        </w:rPr>
        <w:t xml:space="preserve"> police officer wellness, ethics, and resilience</w:t>
      </w:r>
      <w:r w:rsidRPr="0023587D">
        <w:rPr>
          <w:rFonts w:ascii="Arial" w:hAnsi="Arial" w:cs="Arial"/>
          <w:sz w:val="24"/>
          <w:szCs w:val="24"/>
        </w:rPr>
        <w:t>. Elsevier.</w:t>
      </w:r>
    </w:p>
    <w:p w14:paraId="1EA28CAD" w14:textId="77777777" w:rsidR="00382322" w:rsidRPr="0023587D" w:rsidRDefault="00382322" w:rsidP="0023587D">
      <w:pPr>
        <w:pStyle w:val="ListParagraph"/>
        <w:numPr>
          <w:ilvl w:val="0"/>
          <w:numId w:val="5"/>
        </w:numPr>
        <w:spacing w:line="360" w:lineRule="auto"/>
        <w:rPr>
          <w:rFonts w:ascii="Arial" w:hAnsi="Arial" w:cs="Arial"/>
          <w:vanish/>
          <w:sz w:val="24"/>
          <w:szCs w:val="24"/>
        </w:rPr>
      </w:pPr>
      <w:proofErr w:type="spellStart"/>
      <w:r w:rsidRPr="0023587D">
        <w:rPr>
          <w:rFonts w:ascii="Arial" w:hAnsi="Arial" w:cs="Arial"/>
          <w:sz w:val="24"/>
          <w:szCs w:val="24"/>
        </w:rPr>
        <w:t>Papazoglou</w:t>
      </w:r>
      <w:proofErr w:type="spellEnd"/>
      <w:r w:rsidRPr="0023587D">
        <w:rPr>
          <w:rFonts w:ascii="Arial" w:hAnsi="Arial" w:cs="Arial"/>
          <w:sz w:val="24"/>
          <w:szCs w:val="24"/>
        </w:rPr>
        <w:t>, K. and Tuttle, B. M. (2018) Fighting Police Trauma: Practical Approaches to Addressing Psychological Needs of Officers. </w:t>
      </w:r>
      <w:r w:rsidRPr="0023587D">
        <w:rPr>
          <w:rFonts w:ascii="Arial" w:hAnsi="Arial" w:cs="Arial"/>
          <w:i/>
          <w:iCs/>
          <w:sz w:val="24"/>
          <w:szCs w:val="24"/>
        </w:rPr>
        <w:t>SAGE Open</w:t>
      </w:r>
      <w:r w:rsidRPr="0023587D">
        <w:rPr>
          <w:rFonts w:ascii="Arial" w:hAnsi="Arial" w:cs="Arial"/>
          <w:sz w:val="24"/>
          <w:szCs w:val="24"/>
        </w:rPr>
        <w:t>, </w:t>
      </w:r>
      <w:r w:rsidRPr="0023587D">
        <w:rPr>
          <w:rFonts w:ascii="Arial" w:hAnsi="Arial" w:cs="Arial"/>
          <w:i/>
          <w:iCs/>
          <w:sz w:val="24"/>
          <w:szCs w:val="24"/>
        </w:rPr>
        <w:t>8</w:t>
      </w:r>
      <w:r w:rsidRPr="0023587D">
        <w:rPr>
          <w:rFonts w:ascii="Arial" w:hAnsi="Arial" w:cs="Arial"/>
          <w:sz w:val="24"/>
          <w:szCs w:val="24"/>
        </w:rPr>
        <w:t>(3).</w:t>
      </w:r>
    </w:p>
    <w:p w14:paraId="5CFB9666"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Paton, D. (2003) Stress in disaster response: a risk management approach. </w:t>
      </w:r>
      <w:r w:rsidRPr="0023587D">
        <w:rPr>
          <w:rFonts w:ascii="Arial" w:hAnsi="Arial" w:cs="Arial"/>
          <w:i/>
          <w:iCs/>
          <w:sz w:val="24"/>
          <w:szCs w:val="24"/>
        </w:rPr>
        <w:t>Disaster Prevention and Management: An International Journal</w:t>
      </w:r>
      <w:r w:rsidRPr="0023587D">
        <w:rPr>
          <w:rFonts w:ascii="Arial" w:hAnsi="Arial" w:cs="Arial"/>
          <w:sz w:val="24"/>
          <w:szCs w:val="24"/>
        </w:rPr>
        <w:t>, </w:t>
      </w:r>
      <w:r w:rsidRPr="0023587D">
        <w:rPr>
          <w:rFonts w:ascii="Arial" w:hAnsi="Arial" w:cs="Arial"/>
          <w:i/>
          <w:iCs/>
          <w:sz w:val="24"/>
          <w:szCs w:val="24"/>
        </w:rPr>
        <w:t>12</w:t>
      </w:r>
      <w:r w:rsidRPr="0023587D">
        <w:rPr>
          <w:rFonts w:ascii="Arial" w:hAnsi="Arial" w:cs="Arial"/>
          <w:sz w:val="24"/>
          <w:szCs w:val="24"/>
        </w:rPr>
        <w:t>(3), pp.203-209</w:t>
      </w:r>
    </w:p>
    <w:p w14:paraId="3AC5A0D2"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Roche, S.P., Jones, A.M., Hewitt, A.N. and Vaughan, A., (2024) Procedurally just policing and persons in behavioural crises: investigating public perceptions, stigma and emotion. </w:t>
      </w:r>
      <w:r w:rsidRPr="0023587D">
        <w:rPr>
          <w:rFonts w:ascii="Arial" w:hAnsi="Arial" w:cs="Arial"/>
          <w:i/>
          <w:iCs/>
          <w:sz w:val="24"/>
          <w:szCs w:val="24"/>
        </w:rPr>
        <w:t>Policing: An International Journal</w:t>
      </w:r>
      <w:r w:rsidRPr="0023587D">
        <w:rPr>
          <w:rFonts w:ascii="Arial" w:hAnsi="Arial" w:cs="Arial"/>
          <w:sz w:val="24"/>
          <w:szCs w:val="24"/>
        </w:rPr>
        <w:t>, </w:t>
      </w:r>
      <w:r w:rsidRPr="0023587D">
        <w:rPr>
          <w:rFonts w:ascii="Arial" w:hAnsi="Arial" w:cs="Arial"/>
          <w:i/>
          <w:iCs/>
          <w:sz w:val="24"/>
          <w:szCs w:val="24"/>
        </w:rPr>
        <w:t>47</w:t>
      </w:r>
      <w:r w:rsidRPr="0023587D">
        <w:rPr>
          <w:rFonts w:ascii="Arial" w:hAnsi="Arial" w:cs="Arial"/>
          <w:sz w:val="24"/>
          <w:szCs w:val="24"/>
        </w:rPr>
        <w:t>(1), pp.126-142</w:t>
      </w:r>
    </w:p>
    <w:p w14:paraId="4AB762FE" w14:textId="43570C58" w:rsidR="00382322" w:rsidRPr="0023587D" w:rsidRDefault="00382322" w:rsidP="0023587D">
      <w:pPr>
        <w:pStyle w:val="ListParagraph"/>
        <w:numPr>
          <w:ilvl w:val="0"/>
          <w:numId w:val="5"/>
        </w:numPr>
        <w:spacing w:line="360" w:lineRule="auto"/>
        <w:rPr>
          <w:rFonts w:ascii="Arial" w:hAnsi="Arial" w:cs="Arial"/>
          <w:b/>
          <w:bCs/>
          <w:sz w:val="24"/>
          <w:szCs w:val="24"/>
        </w:rPr>
      </w:pPr>
      <w:r w:rsidRPr="0023587D">
        <w:rPr>
          <w:rFonts w:ascii="Arial" w:hAnsi="Arial" w:cs="Arial"/>
          <w:sz w:val="24"/>
          <w:szCs w:val="24"/>
        </w:rPr>
        <w:t>Royal United Services Institute (2017)</w:t>
      </w:r>
      <w:r w:rsidRPr="0023587D">
        <w:rPr>
          <w:rFonts w:ascii="Arial" w:hAnsi="Arial" w:cs="Arial"/>
          <w:i/>
          <w:iCs/>
          <w:sz w:val="24"/>
          <w:szCs w:val="24"/>
        </w:rPr>
        <w:t xml:space="preserve"> What Policy Changes Are Needed after the Manchester Attack? </w:t>
      </w:r>
      <w:r w:rsidR="0023587D">
        <w:rPr>
          <w:rFonts w:ascii="Arial" w:hAnsi="Arial" w:cs="Arial"/>
          <w:sz w:val="24"/>
          <w:szCs w:val="24"/>
        </w:rPr>
        <w:t xml:space="preserve">[Online] </w:t>
      </w:r>
      <w:r w:rsidRPr="0023587D">
        <w:rPr>
          <w:rFonts w:ascii="Arial" w:hAnsi="Arial" w:cs="Arial"/>
          <w:sz w:val="24"/>
          <w:szCs w:val="24"/>
        </w:rPr>
        <w:t xml:space="preserve">Available at: </w:t>
      </w:r>
      <w:hyperlink r:id="rId19" w:history="1">
        <w:r w:rsidRPr="0023587D">
          <w:rPr>
            <w:rStyle w:val="Hyperlink"/>
            <w:rFonts w:ascii="Arial" w:hAnsi="Arial" w:cs="Arial"/>
            <w:sz w:val="24"/>
            <w:szCs w:val="24"/>
          </w:rPr>
          <w:t>https://rusi.org/explo</w:t>
        </w:r>
        <w:r w:rsidRPr="0023587D">
          <w:rPr>
            <w:rStyle w:val="Hyperlink"/>
            <w:rFonts w:ascii="Arial" w:hAnsi="Arial" w:cs="Arial"/>
            <w:sz w:val="24"/>
            <w:szCs w:val="24"/>
          </w:rPr>
          <w:t>r</w:t>
        </w:r>
        <w:r w:rsidRPr="0023587D">
          <w:rPr>
            <w:rStyle w:val="Hyperlink"/>
            <w:rFonts w:ascii="Arial" w:hAnsi="Arial" w:cs="Arial"/>
            <w:sz w:val="24"/>
            <w:szCs w:val="24"/>
          </w:rPr>
          <w:t>e-our-research/publications/commentary/what-policy-changes-are-needed-after-manchester-attack</w:t>
        </w:r>
      </w:hyperlink>
      <w:r w:rsidRPr="0023587D">
        <w:rPr>
          <w:rFonts w:ascii="Arial" w:hAnsi="Arial" w:cs="Arial"/>
          <w:sz w:val="24"/>
          <w:szCs w:val="24"/>
        </w:rPr>
        <w:t xml:space="preserve"> Accessed: 18th November 2024</w:t>
      </w:r>
    </w:p>
    <w:p w14:paraId="785D87C8"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Rubin, G.J., Webster, R., </w:t>
      </w:r>
      <w:proofErr w:type="spellStart"/>
      <w:r w:rsidRPr="0023587D">
        <w:rPr>
          <w:rFonts w:ascii="Arial" w:hAnsi="Arial" w:cs="Arial"/>
          <w:sz w:val="24"/>
          <w:szCs w:val="24"/>
        </w:rPr>
        <w:t>Amlot</w:t>
      </w:r>
      <w:proofErr w:type="spellEnd"/>
      <w:r w:rsidRPr="0023587D">
        <w:rPr>
          <w:rFonts w:ascii="Arial" w:hAnsi="Arial" w:cs="Arial"/>
          <w:sz w:val="24"/>
          <w:szCs w:val="24"/>
        </w:rPr>
        <w:t xml:space="preserve">, R., Carter, H., Weston, D. and </w:t>
      </w:r>
      <w:proofErr w:type="spellStart"/>
      <w:r w:rsidRPr="0023587D">
        <w:rPr>
          <w:rFonts w:ascii="Arial" w:hAnsi="Arial" w:cs="Arial"/>
          <w:sz w:val="24"/>
          <w:szCs w:val="24"/>
        </w:rPr>
        <w:t>Wessely</w:t>
      </w:r>
      <w:proofErr w:type="spellEnd"/>
      <w:r w:rsidRPr="0023587D">
        <w:rPr>
          <w:rFonts w:ascii="Arial" w:hAnsi="Arial" w:cs="Arial"/>
          <w:sz w:val="24"/>
          <w:szCs w:val="24"/>
        </w:rPr>
        <w:t xml:space="preserve">, S., (2020). Public responses to the Salisbury Novichok incident: </w:t>
      </w:r>
      <w:r w:rsidRPr="0023587D">
        <w:rPr>
          <w:rFonts w:ascii="Arial" w:hAnsi="Arial" w:cs="Arial"/>
          <w:i/>
          <w:iCs/>
          <w:sz w:val="24"/>
          <w:szCs w:val="24"/>
        </w:rPr>
        <w:t>A cross-sectional survey of anxiety, anger, uncertainty, perceived risk and avoidance behaviour in the local communit</w:t>
      </w:r>
      <w:r w:rsidRPr="0023587D">
        <w:rPr>
          <w:rFonts w:ascii="Arial" w:hAnsi="Arial" w:cs="Arial"/>
          <w:sz w:val="24"/>
          <w:szCs w:val="24"/>
        </w:rPr>
        <w:t>y. </w:t>
      </w:r>
      <w:r w:rsidRPr="0023587D">
        <w:rPr>
          <w:rFonts w:ascii="Arial" w:hAnsi="Arial" w:cs="Arial"/>
          <w:i/>
          <w:iCs/>
          <w:sz w:val="24"/>
          <w:szCs w:val="24"/>
        </w:rPr>
        <w:t>BMJ open</w:t>
      </w:r>
      <w:r w:rsidRPr="0023587D">
        <w:rPr>
          <w:rFonts w:ascii="Arial" w:hAnsi="Arial" w:cs="Arial"/>
          <w:sz w:val="24"/>
          <w:szCs w:val="24"/>
        </w:rPr>
        <w:t>, </w:t>
      </w:r>
      <w:r w:rsidRPr="0023587D">
        <w:rPr>
          <w:rFonts w:ascii="Arial" w:hAnsi="Arial" w:cs="Arial"/>
          <w:i/>
          <w:iCs/>
          <w:sz w:val="24"/>
          <w:szCs w:val="24"/>
        </w:rPr>
        <w:t>10</w:t>
      </w:r>
      <w:r w:rsidRPr="0023587D">
        <w:rPr>
          <w:rFonts w:ascii="Arial" w:hAnsi="Arial" w:cs="Arial"/>
          <w:sz w:val="24"/>
          <w:szCs w:val="24"/>
        </w:rPr>
        <w:t>(9), p.e036071.</w:t>
      </w:r>
    </w:p>
    <w:p w14:paraId="372EF7DF"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Smith, C.J., Han, Y., Dupré, K.E. and Sears, G.J. (2022) Perceived organizational support and its interaction with voice on police officers' organizational cynicism, stress and emotional exhaustion. </w:t>
      </w:r>
      <w:r w:rsidRPr="0023587D">
        <w:rPr>
          <w:rFonts w:ascii="Arial" w:hAnsi="Arial" w:cs="Arial"/>
          <w:i/>
          <w:iCs/>
          <w:sz w:val="24"/>
          <w:szCs w:val="24"/>
        </w:rPr>
        <w:t>Policing: An International Journal</w:t>
      </w:r>
      <w:r w:rsidRPr="0023587D">
        <w:rPr>
          <w:rFonts w:ascii="Arial" w:hAnsi="Arial" w:cs="Arial"/>
          <w:sz w:val="24"/>
          <w:szCs w:val="24"/>
        </w:rPr>
        <w:t>, </w:t>
      </w:r>
      <w:r w:rsidRPr="0023587D">
        <w:rPr>
          <w:rFonts w:ascii="Arial" w:hAnsi="Arial" w:cs="Arial"/>
          <w:i/>
          <w:iCs/>
          <w:sz w:val="24"/>
          <w:szCs w:val="24"/>
        </w:rPr>
        <w:t>45</w:t>
      </w:r>
      <w:r w:rsidRPr="0023587D">
        <w:rPr>
          <w:rFonts w:ascii="Arial" w:hAnsi="Arial" w:cs="Arial"/>
          <w:sz w:val="24"/>
          <w:szCs w:val="24"/>
        </w:rPr>
        <w:t>(2), pp.200-217</w:t>
      </w:r>
    </w:p>
    <w:p w14:paraId="1FE7F55D"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Thompson, J. (2023) Police well-being interventions: Using awe narratives to promote resilience: This article is related directly to the First European Conference on Law Enforcement and Public Health (LEPH) held in Umea, Sweden in May 2023. </w:t>
      </w:r>
      <w:r w:rsidRPr="0023587D">
        <w:rPr>
          <w:rFonts w:ascii="Arial" w:hAnsi="Arial" w:cs="Arial"/>
          <w:i/>
          <w:iCs/>
          <w:sz w:val="24"/>
          <w:szCs w:val="24"/>
        </w:rPr>
        <w:t>Journal of Community Safety and Well-Being</w:t>
      </w:r>
      <w:r w:rsidRPr="0023587D">
        <w:rPr>
          <w:rFonts w:ascii="Arial" w:hAnsi="Arial" w:cs="Arial"/>
          <w:sz w:val="24"/>
          <w:szCs w:val="24"/>
        </w:rPr>
        <w:t>, </w:t>
      </w:r>
      <w:r w:rsidRPr="0023587D">
        <w:rPr>
          <w:rFonts w:ascii="Arial" w:hAnsi="Arial" w:cs="Arial"/>
          <w:i/>
          <w:iCs/>
          <w:sz w:val="24"/>
          <w:szCs w:val="24"/>
        </w:rPr>
        <w:t>8</w:t>
      </w:r>
      <w:r w:rsidRPr="0023587D">
        <w:rPr>
          <w:rFonts w:ascii="Arial" w:hAnsi="Arial" w:cs="Arial"/>
          <w:sz w:val="24"/>
          <w:szCs w:val="24"/>
        </w:rPr>
        <w:t>(4).</w:t>
      </w:r>
    </w:p>
    <w:p w14:paraId="20BCB1FA"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lastRenderedPageBreak/>
        <w:t>Velazquez, E. and Hernandez, M. (2019) Effects of police officer exposure to traumatic experiences and recognizing the stigma associated with police officer mental health: A state-of-the-art review. </w:t>
      </w:r>
      <w:proofErr w:type="gramStart"/>
      <w:r w:rsidRPr="0023587D">
        <w:rPr>
          <w:rFonts w:ascii="Arial" w:hAnsi="Arial" w:cs="Arial"/>
          <w:i/>
          <w:iCs/>
          <w:sz w:val="24"/>
          <w:szCs w:val="24"/>
        </w:rPr>
        <w:t>Policing :</w:t>
      </w:r>
      <w:proofErr w:type="gramEnd"/>
      <w:r w:rsidRPr="0023587D">
        <w:rPr>
          <w:rFonts w:ascii="Arial" w:hAnsi="Arial" w:cs="Arial"/>
          <w:i/>
          <w:iCs/>
          <w:sz w:val="24"/>
          <w:szCs w:val="24"/>
        </w:rPr>
        <w:t xml:space="preserve"> An International Journal of Police Strategies &amp; Management</w:t>
      </w:r>
      <w:r w:rsidRPr="0023587D">
        <w:rPr>
          <w:rFonts w:ascii="Arial" w:hAnsi="Arial" w:cs="Arial"/>
          <w:sz w:val="24"/>
          <w:szCs w:val="24"/>
        </w:rPr>
        <w:t>, </w:t>
      </w:r>
      <w:r w:rsidRPr="0023587D">
        <w:rPr>
          <w:rFonts w:ascii="Arial" w:hAnsi="Arial" w:cs="Arial"/>
          <w:i/>
          <w:iCs/>
          <w:sz w:val="24"/>
          <w:szCs w:val="24"/>
        </w:rPr>
        <w:t>42</w:t>
      </w:r>
      <w:r w:rsidRPr="0023587D">
        <w:rPr>
          <w:rFonts w:ascii="Arial" w:hAnsi="Arial" w:cs="Arial"/>
          <w:sz w:val="24"/>
          <w:szCs w:val="24"/>
        </w:rPr>
        <w:t>(4), 711–724</w:t>
      </w:r>
    </w:p>
    <w:p w14:paraId="02047859"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Violanti</w:t>
      </w:r>
      <w:proofErr w:type="spellEnd"/>
      <w:r w:rsidRPr="0023587D">
        <w:rPr>
          <w:rFonts w:ascii="Arial" w:hAnsi="Arial" w:cs="Arial"/>
          <w:sz w:val="24"/>
          <w:szCs w:val="24"/>
        </w:rPr>
        <w:t xml:space="preserve">, J. M., </w:t>
      </w:r>
      <w:proofErr w:type="spellStart"/>
      <w:r w:rsidRPr="0023587D">
        <w:rPr>
          <w:rFonts w:ascii="Arial" w:hAnsi="Arial" w:cs="Arial"/>
          <w:sz w:val="24"/>
          <w:szCs w:val="24"/>
        </w:rPr>
        <w:t>Fekedulegn</w:t>
      </w:r>
      <w:proofErr w:type="spellEnd"/>
      <w:r w:rsidRPr="0023587D">
        <w:rPr>
          <w:rFonts w:ascii="Arial" w:hAnsi="Arial" w:cs="Arial"/>
          <w:sz w:val="24"/>
          <w:szCs w:val="24"/>
        </w:rPr>
        <w:t xml:space="preserve">, D., Andrew, M. E., Charles, L. E., Hartley, T. A., Vila, B., and </w:t>
      </w:r>
      <w:proofErr w:type="spellStart"/>
      <w:r w:rsidRPr="0023587D">
        <w:rPr>
          <w:rFonts w:ascii="Arial" w:hAnsi="Arial" w:cs="Arial"/>
          <w:sz w:val="24"/>
          <w:szCs w:val="24"/>
        </w:rPr>
        <w:t>Burchfiel</w:t>
      </w:r>
      <w:proofErr w:type="spellEnd"/>
      <w:r w:rsidRPr="0023587D">
        <w:rPr>
          <w:rFonts w:ascii="Arial" w:hAnsi="Arial" w:cs="Arial"/>
          <w:sz w:val="24"/>
          <w:szCs w:val="24"/>
        </w:rPr>
        <w:t>, C. M. (2013). Shift Work and Long-Term Injury among Police Officers. </w:t>
      </w:r>
      <w:r w:rsidRPr="0023587D">
        <w:rPr>
          <w:rFonts w:ascii="Arial" w:hAnsi="Arial" w:cs="Arial"/>
          <w:i/>
          <w:iCs/>
          <w:sz w:val="24"/>
          <w:szCs w:val="24"/>
        </w:rPr>
        <w:t xml:space="preserve">Scandinavian Journal of Work, Environment </w:t>
      </w:r>
      <w:r w:rsidRPr="0023587D">
        <w:rPr>
          <w:rFonts w:ascii="Arial" w:eastAsia="MS Gothic" w:hAnsi="Arial" w:cs="Arial"/>
          <w:i/>
          <w:iCs/>
          <w:sz w:val="24"/>
          <w:szCs w:val="24"/>
        </w:rPr>
        <w:t>＆</w:t>
      </w:r>
      <w:r w:rsidRPr="0023587D">
        <w:rPr>
          <w:rFonts w:ascii="Arial" w:hAnsi="Arial" w:cs="Arial"/>
          <w:i/>
          <w:iCs/>
          <w:sz w:val="24"/>
          <w:szCs w:val="24"/>
        </w:rPr>
        <w:t xml:space="preserve"> Health</w:t>
      </w:r>
      <w:r w:rsidRPr="0023587D">
        <w:rPr>
          <w:rFonts w:ascii="Arial" w:hAnsi="Arial" w:cs="Arial"/>
          <w:sz w:val="24"/>
          <w:szCs w:val="24"/>
        </w:rPr>
        <w:t>, </w:t>
      </w:r>
      <w:r w:rsidRPr="0023587D">
        <w:rPr>
          <w:rFonts w:ascii="Arial" w:hAnsi="Arial" w:cs="Arial"/>
          <w:i/>
          <w:iCs/>
          <w:sz w:val="24"/>
          <w:szCs w:val="24"/>
        </w:rPr>
        <w:t>39</w:t>
      </w:r>
      <w:r w:rsidRPr="0023587D">
        <w:rPr>
          <w:rFonts w:ascii="Arial" w:hAnsi="Arial" w:cs="Arial"/>
          <w:sz w:val="24"/>
          <w:szCs w:val="24"/>
        </w:rPr>
        <w:t>(4), 361–368</w:t>
      </w:r>
    </w:p>
    <w:p w14:paraId="0089AE7A"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Violanti</w:t>
      </w:r>
      <w:proofErr w:type="spellEnd"/>
      <w:r w:rsidRPr="0023587D">
        <w:rPr>
          <w:rFonts w:ascii="Arial" w:hAnsi="Arial" w:cs="Arial"/>
          <w:sz w:val="24"/>
          <w:szCs w:val="24"/>
        </w:rPr>
        <w:t>, J.M. and Paton, D. (2016) Policing disasters: A conceptual model and case study of police resilience. In </w:t>
      </w:r>
      <w:r w:rsidRPr="0023587D">
        <w:rPr>
          <w:rFonts w:ascii="Arial" w:hAnsi="Arial" w:cs="Arial"/>
          <w:i/>
          <w:iCs/>
          <w:sz w:val="24"/>
          <w:szCs w:val="24"/>
        </w:rPr>
        <w:t>Stress in Policing</w:t>
      </w:r>
      <w:r w:rsidRPr="0023587D">
        <w:rPr>
          <w:rFonts w:ascii="Arial" w:hAnsi="Arial" w:cs="Arial"/>
          <w:sz w:val="24"/>
          <w:szCs w:val="24"/>
        </w:rPr>
        <w:t> (pp. 95-114). Routledge.</w:t>
      </w:r>
    </w:p>
    <w:p w14:paraId="3CF71E05" w14:textId="77777777"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Violanti</w:t>
      </w:r>
      <w:proofErr w:type="spellEnd"/>
      <w:r w:rsidRPr="0023587D">
        <w:rPr>
          <w:rFonts w:ascii="Arial" w:hAnsi="Arial" w:cs="Arial"/>
          <w:sz w:val="24"/>
          <w:szCs w:val="24"/>
        </w:rPr>
        <w:t xml:space="preserve">, J.M., </w:t>
      </w:r>
      <w:proofErr w:type="spellStart"/>
      <w:r w:rsidRPr="0023587D">
        <w:rPr>
          <w:rFonts w:ascii="Arial" w:hAnsi="Arial" w:cs="Arial"/>
          <w:sz w:val="24"/>
          <w:szCs w:val="24"/>
        </w:rPr>
        <w:t>Mnatsakanova</w:t>
      </w:r>
      <w:proofErr w:type="spellEnd"/>
      <w:r w:rsidRPr="0023587D">
        <w:rPr>
          <w:rFonts w:ascii="Arial" w:hAnsi="Arial" w:cs="Arial"/>
          <w:sz w:val="24"/>
          <w:szCs w:val="24"/>
        </w:rPr>
        <w:t xml:space="preserve">, A., Andrew, M.E., Allison, P., Gu, J.K. and </w:t>
      </w:r>
      <w:proofErr w:type="spellStart"/>
      <w:r w:rsidRPr="0023587D">
        <w:rPr>
          <w:rFonts w:ascii="Arial" w:hAnsi="Arial" w:cs="Arial"/>
          <w:sz w:val="24"/>
          <w:szCs w:val="24"/>
        </w:rPr>
        <w:t>Fekedulegn</w:t>
      </w:r>
      <w:proofErr w:type="spellEnd"/>
      <w:r w:rsidRPr="0023587D">
        <w:rPr>
          <w:rFonts w:ascii="Arial" w:hAnsi="Arial" w:cs="Arial"/>
          <w:sz w:val="24"/>
          <w:szCs w:val="24"/>
        </w:rPr>
        <w:t>, D. (2018) Effort–reward imbalance and overcommitment at work: associations with police burnout. </w:t>
      </w:r>
      <w:r w:rsidRPr="0023587D">
        <w:rPr>
          <w:rFonts w:ascii="Arial" w:hAnsi="Arial" w:cs="Arial"/>
          <w:i/>
          <w:iCs/>
          <w:sz w:val="24"/>
          <w:szCs w:val="24"/>
        </w:rPr>
        <w:t>Police quarterly</w:t>
      </w:r>
      <w:r w:rsidRPr="0023587D">
        <w:rPr>
          <w:rFonts w:ascii="Arial" w:hAnsi="Arial" w:cs="Arial"/>
          <w:sz w:val="24"/>
          <w:szCs w:val="24"/>
        </w:rPr>
        <w:t>, </w:t>
      </w:r>
      <w:r w:rsidRPr="0023587D">
        <w:rPr>
          <w:rFonts w:ascii="Arial" w:hAnsi="Arial" w:cs="Arial"/>
          <w:i/>
          <w:iCs/>
          <w:sz w:val="24"/>
          <w:szCs w:val="24"/>
        </w:rPr>
        <w:t>21</w:t>
      </w:r>
      <w:r w:rsidRPr="0023587D">
        <w:rPr>
          <w:rFonts w:ascii="Arial" w:hAnsi="Arial" w:cs="Arial"/>
          <w:sz w:val="24"/>
          <w:szCs w:val="24"/>
        </w:rPr>
        <w:t>(4), pp.440-460.</w:t>
      </w:r>
    </w:p>
    <w:p w14:paraId="6F4769EB" w14:textId="737F800F"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W</w:t>
      </w:r>
      <w:r w:rsidR="0023587D">
        <w:rPr>
          <w:rFonts w:ascii="Arial" w:hAnsi="Arial" w:cs="Arial"/>
          <w:sz w:val="24"/>
          <w:szCs w:val="24"/>
        </w:rPr>
        <w:t>alker</w:t>
      </w:r>
      <w:r w:rsidRPr="0023587D">
        <w:rPr>
          <w:rFonts w:ascii="Arial" w:hAnsi="Arial" w:cs="Arial"/>
          <w:sz w:val="24"/>
          <w:szCs w:val="24"/>
        </w:rPr>
        <w:t>, C. (2005). Intelligence and anti-terrorism legislation in the United Kingdom. </w:t>
      </w:r>
      <w:r w:rsidRPr="0023587D">
        <w:rPr>
          <w:rFonts w:ascii="Arial" w:hAnsi="Arial" w:cs="Arial"/>
          <w:i/>
          <w:iCs/>
          <w:sz w:val="24"/>
          <w:szCs w:val="24"/>
        </w:rPr>
        <w:t>Crime, Law, and Social Change</w:t>
      </w:r>
      <w:r w:rsidRPr="0023587D">
        <w:rPr>
          <w:rFonts w:ascii="Arial" w:hAnsi="Arial" w:cs="Arial"/>
          <w:sz w:val="24"/>
          <w:szCs w:val="24"/>
        </w:rPr>
        <w:t>, </w:t>
      </w:r>
      <w:r w:rsidRPr="0023587D">
        <w:rPr>
          <w:rFonts w:ascii="Arial" w:hAnsi="Arial" w:cs="Arial"/>
          <w:i/>
          <w:iCs/>
          <w:sz w:val="24"/>
          <w:szCs w:val="24"/>
        </w:rPr>
        <w:t>44</w:t>
      </w:r>
      <w:r w:rsidRPr="0023587D">
        <w:rPr>
          <w:rFonts w:ascii="Arial" w:hAnsi="Arial" w:cs="Arial"/>
          <w:sz w:val="24"/>
          <w:szCs w:val="24"/>
        </w:rPr>
        <w:t xml:space="preserve">(4–5), 387–422. </w:t>
      </w:r>
    </w:p>
    <w:p w14:paraId="21B74DBD" w14:textId="38811818" w:rsidR="00382322" w:rsidRPr="0023587D" w:rsidRDefault="00382322" w:rsidP="0023587D">
      <w:pPr>
        <w:pStyle w:val="ListParagraph"/>
        <w:numPr>
          <w:ilvl w:val="0"/>
          <w:numId w:val="5"/>
        </w:numPr>
        <w:spacing w:line="360" w:lineRule="auto"/>
        <w:rPr>
          <w:rFonts w:ascii="Arial" w:hAnsi="Arial" w:cs="Arial"/>
          <w:sz w:val="24"/>
          <w:szCs w:val="24"/>
        </w:rPr>
      </w:pPr>
      <w:proofErr w:type="spellStart"/>
      <w:r w:rsidRPr="0023587D">
        <w:rPr>
          <w:rFonts w:ascii="Arial" w:hAnsi="Arial" w:cs="Arial"/>
          <w:sz w:val="24"/>
          <w:szCs w:val="24"/>
        </w:rPr>
        <w:t>Wengler</w:t>
      </w:r>
      <w:proofErr w:type="spellEnd"/>
      <w:r w:rsidRPr="0023587D">
        <w:rPr>
          <w:rFonts w:ascii="Arial" w:hAnsi="Arial" w:cs="Arial"/>
          <w:sz w:val="24"/>
          <w:szCs w:val="24"/>
        </w:rPr>
        <w:t xml:space="preserve">, P. </w:t>
      </w:r>
      <w:r w:rsidR="0023587D">
        <w:rPr>
          <w:rFonts w:ascii="Arial" w:hAnsi="Arial" w:cs="Arial"/>
          <w:sz w:val="24"/>
          <w:szCs w:val="24"/>
        </w:rPr>
        <w:t>(</w:t>
      </w:r>
      <w:r w:rsidRPr="0023587D">
        <w:rPr>
          <w:rFonts w:ascii="Arial" w:hAnsi="Arial" w:cs="Arial"/>
          <w:sz w:val="24"/>
          <w:szCs w:val="24"/>
        </w:rPr>
        <w:t>2023</w:t>
      </w:r>
      <w:r w:rsidR="0023587D">
        <w:rPr>
          <w:rFonts w:ascii="Arial" w:hAnsi="Arial" w:cs="Arial"/>
          <w:sz w:val="24"/>
          <w:szCs w:val="24"/>
        </w:rPr>
        <w:t>)</w:t>
      </w:r>
      <w:r w:rsidRPr="0023587D">
        <w:rPr>
          <w:rFonts w:ascii="Arial" w:hAnsi="Arial" w:cs="Arial"/>
          <w:sz w:val="24"/>
          <w:szCs w:val="24"/>
        </w:rPr>
        <w:t>. </w:t>
      </w:r>
      <w:r w:rsidRPr="0023587D">
        <w:rPr>
          <w:rFonts w:ascii="Arial" w:hAnsi="Arial" w:cs="Arial"/>
          <w:i/>
          <w:iCs/>
          <w:sz w:val="24"/>
          <w:szCs w:val="24"/>
        </w:rPr>
        <w:t>Policing and CBRN Hazards: Advancing CBRN Competence in Police Education</w:t>
      </w:r>
      <w:r w:rsidRPr="0023587D">
        <w:rPr>
          <w:rFonts w:ascii="Arial" w:hAnsi="Arial" w:cs="Arial"/>
          <w:sz w:val="24"/>
          <w:szCs w:val="24"/>
        </w:rPr>
        <w:t>. Taylor &amp; Francis.</w:t>
      </w:r>
    </w:p>
    <w:p w14:paraId="102E1EC2" w14:textId="6DDE710D"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Willis, J.J. and </w:t>
      </w:r>
      <w:proofErr w:type="spellStart"/>
      <w:r w:rsidRPr="0023587D">
        <w:rPr>
          <w:rFonts w:ascii="Arial" w:hAnsi="Arial" w:cs="Arial"/>
          <w:sz w:val="24"/>
          <w:szCs w:val="24"/>
        </w:rPr>
        <w:t>Mastrofski</w:t>
      </w:r>
      <w:proofErr w:type="spellEnd"/>
      <w:r w:rsidRPr="0023587D">
        <w:rPr>
          <w:rFonts w:ascii="Arial" w:hAnsi="Arial" w:cs="Arial"/>
          <w:sz w:val="24"/>
          <w:szCs w:val="24"/>
        </w:rPr>
        <w:t xml:space="preserve">, S.D. </w:t>
      </w:r>
      <w:r w:rsidR="0023587D">
        <w:rPr>
          <w:rFonts w:ascii="Arial" w:hAnsi="Arial" w:cs="Arial"/>
          <w:sz w:val="24"/>
          <w:szCs w:val="24"/>
        </w:rPr>
        <w:t>(</w:t>
      </w:r>
      <w:r w:rsidRPr="0023587D">
        <w:rPr>
          <w:rFonts w:ascii="Arial" w:hAnsi="Arial" w:cs="Arial"/>
          <w:sz w:val="24"/>
          <w:szCs w:val="24"/>
        </w:rPr>
        <w:t>2011</w:t>
      </w:r>
      <w:r w:rsidR="0023587D">
        <w:rPr>
          <w:rFonts w:ascii="Arial" w:hAnsi="Arial" w:cs="Arial"/>
          <w:sz w:val="24"/>
          <w:szCs w:val="24"/>
        </w:rPr>
        <w:t>)</w:t>
      </w:r>
      <w:r w:rsidRPr="0023587D">
        <w:rPr>
          <w:rFonts w:ascii="Arial" w:hAnsi="Arial" w:cs="Arial"/>
          <w:sz w:val="24"/>
          <w:szCs w:val="24"/>
        </w:rPr>
        <w:t xml:space="preserve">. Innovations in policing: Meanings, structures, and processes. </w:t>
      </w:r>
      <w:r w:rsidRPr="0023587D">
        <w:rPr>
          <w:rFonts w:ascii="Arial" w:hAnsi="Arial" w:cs="Arial"/>
          <w:i/>
          <w:iCs/>
          <w:sz w:val="24"/>
          <w:szCs w:val="24"/>
        </w:rPr>
        <w:t>Annual review of law and social science</w:t>
      </w:r>
      <w:r w:rsidRPr="0023587D">
        <w:rPr>
          <w:rFonts w:ascii="Arial" w:hAnsi="Arial" w:cs="Arial"/>
          <w:sz w:val="24"/>
          <w:szCs w:val="24"/>
        </w:rPr>
        <w:t xml:space="preserve">, </w:t>
      </w:r>
      <w:r w:rsidRPr="0023587D">
        <w:rPr>
          <w:rFonts w:ascii="Arial" w:hAnsi="Arial" w:cs="Arial"/>
          <w:i/>
          <w:iCs/>
          <w:sz w:val="24"/>
          <w:szCs w:val="24"/>
        </w:rPr>
        <w:t>7</w:t>
      </w:r>
      <w:r w:rsidRPr="0023587D">
        <w:rPr>
          <w:rFonts w:ascii="Arial" w:hAnsi="Arial" w:cs="Arial"/>
          <w:sz w:val="24"/>
          <w:szCs w:val="24"/>
        </w:rPr>
        <w:t>(1), pp.309-334.</w:t>
      </w:r>
    </w:p>
    <w:p w14:paraId="545EBCCF" w14:textId="77777777" w:rsidR="00382322" w:rsidRPr="0023587D" w:rsidRDefault="00382322" w:rsidP="0023587D">
      <w:pPr>
        <w:pStyle w:val="ListParagraph"/>
        <w:numPr>
          <w:ilvl w:val="0"/>
          <w:numId w:val="5"/>
        </w:numPr>
        <w:spacing w:line="360" w:lineRule="auto"/>
        <w:rPr>
          <w:rFonts w:ascii="Arial" w:hAnsi="Arial" w:cs="Arial"/>
          <w:sz w:val="24"/>
          <w:szCs w:val="24"/>
        </w:rPr>
      </w:pPr>
      <w:r w:rsidRPr="0023587D">
        <w:rPr>
          <w:rFonts w:ascii="Arial" w:hAnsi="Arial" w:cs="Arial"/>
          <w:sz w:val="24"/>
          <w:szCs w:val="24"/>
        </w:rPr>
        <w:t xml:space="preserve">Wittmann, L., Groen, G., Hampel, P., Petersen, R. and </w:t>
      </w:r>
      <w:proofErr w:type="spellStart"/>
      <w:r w:rsidRPr="0023587D">
        <w:rPr>
          <w:rFonts w:ascii="Arial" w:hAnsi="Arial" w:cs="Arial"/>
          <w:sz w:val="24"/>
          <w:szCs w:val="24"/>
        </w:rPr>
        <w:t>Jörns-Presentati</w:t>
      </w:r>
      <w:proofErr w:type="spellEnd"/>
      <w:r w:rsidRPr="0023587D">
        <w:rPr>
          <w:rFonts w:ascii="Arial" w:hAnsi="Arial" w:cs="Arial"/>
          <w:sz w:val="24"/>
          <w:szCs w:val="24"/>
        </w:rPr>
        <w:t>, A. (2021) Police Officers’ Ability in Recognizing Relevant Mental Health Conditions. </w:t>
      </w:r>
      <w:r w:rsidRPr="0023587D">
        <w:rPr>
          <w:rFonts w:ascii="Arial" w:hAnsi="Arial" w:cs="Arial"/>
          <w:i/>
          <w:iCs/>
          <w:sz w:val="24"/>
          <w:szCs w:val="24"/>
        </w:rPr>
        <w:t>Frontiers in Psychology</w:t>
      </w:r>
      <w:r w:rsidRPr="0023587D">
        <w:rPr>
          <w:rFonts w:ascii="Arial" w:hAnsi="Arial" w:cs="Arial"/>
          <w:sz w:val="24"/>
          <w:szCs w:val="24"/>
        </w:rPr>
        <w:t>, </w:t>
      </w:r>
      <w:r w:rsidRPr="0023587D">
        <w:rPr>
          <w:rFonts w:ascii="Arial" w:hAnsi="Arial" w:cs="Arial"/>
          <w:i/>
          <w:iCs/>
          <w:sz w:val="24"/>
          <w:szCs w:val="24"/>
        </w:rPr>
        <w:t>12</w:t>
      </w:r>
      <w:r w:rsidRPr="0023587D">
        <w:rPr>
          <w:rFonts w:ascii="Arial" w:hAnsi="Arial" w:cs="Arial"/>
          <w:sz w:val="24"/>
          <w:szCs w:val="24"/>
        </w:rPr>
        <w:t>.</w:t>
      </w:r>
    </w:p>
    <w:p w14:paraId="23D4EAA2" w14:textId="77777777" w:rsidR="00382322" w:rsidRPr="0023587D" w:rsidRDefault="00382322" w:rsidP="0023587D">
      <w:pPr>
        <w:overflowPunct w:val="0"/>
        <w:autoSpaceDE w:val="0"/>
        <w:autoSpaceDN w:val="0"/>
        <w:adjustRightInd w:val="0"/>
        <w:spacing w:after="0" w:line="360" w:lineRule="auto"/>
        <w:ind w:right="531"/>
        <w:jc w:val="center"/>
        <w:textAlignment w:val="baseline"/>
        <w:rPr>
          <w:rFonts w:ascii="Arial" w:eastAsia="Times New Roman" w:hAnsi="Arial" w:cs="Arial"/>
          <w:b/>
          <w:bCs/>
          <w:sz w:val="24"/>
          <w:szCs w:val="24"/>
          <w:lang w:eastAsia="en-GB"/>
        </w:rPr>
      </w:pPr>
    </w:p>
    <w:p w14:paraId="1C1DE048" w14:textId="77777777" w:rsidR="008275F0" w:rsidRDefault="008275F0" w:rsidP="008275F0">
      <w:pPr>
        <w:overflowPunct w:val="0"/>
        <w:autoSpaceDE w:val="0"/>
        <w:autoSpaceDN w:val="0"/>
        <w:adjustRightInd w:val="0"/>
        <w:spacing w:after="0" w:line="276" w:lineRule="auto"/>
        <w:ind w:left="567" w:right="531"/>
        <w:jc w:val="center"/>
        <w:textAlignment w:val="baseline"/>
        <w:rPr>
          <w:rFonts w:ascii="Arial" w:eastAsia="Times New Roman" w:hAnsi="Arial" w:cs="Arial"/>
          <w:b/>
          <w:bCs/>
          <w:sz w:val="24"/>
          <w:szCs w:val="24"/>
          <w:lang w:eastAsia="en-GB"/>
        </w:rPr>
      </w:pPr>
    </w:p>
    <w:p w14:paraId="6192B82D" w14:textId="631E911A" w:rsidR="008617DA" w:rsidRDefault="008617DA" w:rsidP="007A4747">
      <w:pPr>
        <w:overflowPunct w:val="0"/>
        <w:autoSpaceDE w:val="0"/>
        <w:autoSpaceDN w:val="0"/>
        <w:adjustRightInd w:val="0"/>
        <w:spacing w:after="0" w:line="360" w:lineRule="auto"/>
        <w:ind w:right="531"/>
        <w:jc w:val="both"/>
        <w:textAlignment w:val="baseline"/>
      </w:pPr>
    </w:p>
    <w:sectPr w:rsidR="00861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7A05A6"/>
    <w:multiLevelType w:val="multilevel"/>
    <w:tmpl w:val="E806D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254CCF"/>
    <w:multiLevelType w:val="hybridMultilevel"/>
    <w:tmpl w:val="5FE2D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7969A0"/>
    <w:multiLevelType w:val="multilevel"/>
    <w:tmpl w:val="C23C2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24465F"/>
    <w:multiLevelType w:val="hybridMultilevel"/>
    <w:tmpl w:val="C4E89470"/>
    <w:lvl w:ilvl="0" w:tplc="18B8941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6C6B1C88"/>
    <w:multiLevelType w:val="hybridMultilevel"/>
    <w:tmpl w:val="89C84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7417198">
    <w:abstractNumId w:val="3"/>
  </w:num>
  <w:num w:numId="2" w16cid:durableId="1409614862">
    <w:abstractNumId w:val="1"/>
  </w:num>
  <w:num w:numId="3" w16cid:durableId="1973056778">
    <w:abstractNumId w:val="0"/>
  </w:num>
  <w:num w:numId="4" w16cid:durableId="1975329099">
    <w:abstractNumId w:val="2"/>
  </w:num>
  <w:num w:numId="5" w16cid:durableId="9927614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0E8"/>
    <w:rsid w:val="00012E52"/>
    <w:rsid w:val="0004624B"/>
    <w:rsid w:val="00076FCD"/>
    <w:rsid w:val="0008019A"/>
    <w:rsid w:val="000D3D23"/>
    <w:rsid w:val="000E1268"/>
    <w:rsid w:val="000F5D40"/>
    <w:rsid w:val="0010590C"/>
    <w:rsid w:val="00130ADD"/>
    <w:rsid w:val="001B1B9B"/>
    <w:rsid w:val="002035DA"/>
    <w:rsid w:val="00215EFA"/>
    <w:rsid w:val="0023587D"/>
    <w:rsid w:val="0027332E"/>
    <w:rsid w:val="002A7798"/>
    <w:rsid w:val="002C0E13"/>
    <w:rsid w:val="002D72EA"/>
    <w:rsid w:val="002F1CC8"/>
    <w:rsid w:val="00344B40"/>
    <w:rsid w:val="0036477C"/>
    <w:rsid w:val="00382322"/>
    <w:rsid w:val="003A1B85"/>
    <w:rsid w:val="004F2C1C"/>
    <w:rsid w:val="004F41DF"/>
    <w:rsid w:val="00534D72"/>
    <w:rsid w:val="0055177A"/>
    <w:rsid w:val="005604A0"/>
    <w:rsid w:val="00572682"/>
    <w:rsid w:val="005C70A7"/>
    <w:rsid w:val="005E3F3D"/>
    <w:rsid w:val="00611D29"/>
    <w:rsid w:val="00650E29"/>
    <w:rsid w:val="00665B98"/>
    <w:rsid w:val="006843F3"/>
    <w:rsid w:val="00690C80"/>
    <w:rsid w:val="00697F89"/>
    <w:rsid w:val="006B50E8"/>
    <w:rsid w:val="006C7B6A"/>
    <w:rsid w:val="006D7D3A"/>
    <w:rsid w:val="006F421D"/>
    <w:rsid w:val="00782816"/>
    <w:rsid w:val="007A4747"/>
    <w:rsid w:val="007B2AA2"/>
    <w:rsid w:val="007F7C21"/>
    <w:rsid w:val="008258AF"/>
    <w:rsid w:val="008275F0"/>
    <w:rsid w:val="00850A57"/>
    <w:rsid w:val="00860449"/>
    <w:rsid w:val="008617DA"/>
    <w:rsid w:val="00894CDA"/>
    <w:rsid w:val="008E4FE0"/>
    <w:rsid w:val="009075B4"/>
    <w:rsid w:val="009B2289"/>
    <w:rsid w:val="009B73D5"/>
    <w:rsid w:val="00A164C0"/>
    <w:rsid w:val="00A250DA"/>
    <w:rsid w:val="00A8520A"/>
    <w:rsid w:val="00AE23FA"/>
    <w:rsid w:val="00B166EA"/>
    <w:rsid w:val="00B26F44"/>
    <w:rsid w:val="00B65313"/>
    <w:rsid w:val="00B65698"/>
    <w:rsid w:val="00BB45F7"/>
    <w:rsid w:val="00C628FA"/>
    <w:rsid w:val="00C6514A"/>
    <w:rsid w:val="00CD6AF4"/>
    <w:rsid w:val="00D30273"/>
    <w:rsid w:val="00D43FF4"/>
    <w:rsid w:val="00D51947"/>
    <w:rsid w:val="00D636D7"/>
    <w:rsid w:val="00D7750B"/>
    <w:rsid w:val="00D8386E"/>
    <w:rsid w:val="00DA1733"/>
    <w:rsid w:val="00DC1A8B"/>
    <w:rsid w:val="00DD100A"/>
    <w:rsid w:val="00DF61F8"/>
    <w:rsid w:val="00DF7005"/>
    <w:rsid w:val="00E13F15"/>
    <w:rsid w:val="00E30E18"/>
    <w:rsid w:val="00E470CD"/>
    <w:rsid w:val="00E6379D"/>
    <w:rsid w:val="00E75E4F"/>
    <w:rsid w:val="00E8318A"/>
    <w:rsid w:val="00E92CDD"/>
    <w:rsid w:val="00E97AFB"/>
    <w:rsid w:val="00EE2281"/>
    <w:rsid w:val="00EF0F5F"/>
    <w:rsid w:val="00F37565"/>
    <w:rsid w:val="00F4221C"/>
    <w:rsid w:val="00F72A63"/>
    <w:rsid w:val="00FA16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74882"/>
  <w15:chartTrackingRefBased/>
  <w15:docId w15:val="{E902D6F9-6229-4326-87E7-2706C70B2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14A"/>
    <w:pPr>
      <w:ind w:left="720"/>
      <w:contextualSpacing/>
    </w:pPr>
  </w:style>
  <w:style w:type="character" w:styleId="Hyperlink">
    <w:name w:val="Hyperlink"/>
    <w:basedOn w:val="DefaultParagraphFont"/>
    <w:uiPriority w:val="99"/>
    <w:unhideWhenUsed/>
    <w:rsid w:val="00DC1A8B"/>
    <w:rPr>
      <w:color w:val="0563C1" w:themeColor="hyperlink"/>
      <w:u w:val="single"/>
    </w:rPr>
  </w:style>
  <w:style w:type="character" w:styleId="UnresolvedMention">
    <w:name w:val="Unresolved Mention"/>
    <w:basedOn w:val="DefaultParagraphFont"/>
    <w:uiPriority w:val="99"/>
    <w:semiHidden/>
    <w:unhideWhenUsed/>
    <w:rsid w:val="00DC1A8B"/>
    <w:rPr>
      <w:color w:val="605E5C"/>
      <w:shd w:val="clear" w:color="auto" w:fill="E1DFDD"/>
    </w:rPr>
  </w:style>
  <w:style w:type="character" w:styleId="Emphasis">
    <w:name w:val="Emphasis"/>
    <w:basedOn w:val="DefaultParagraphFont"/>
    <w:uiPriority w:val="20"/>
    <w:qFormat/>
    <w:rsid w:val="00D30273"/>
    <w:rPr>
      <w:i/>
      <w:iCs/>
    </w:rPr>
  </w:style>
  <w:style w:type="paragraph" w:styleId="NormalWeb">
    <w:name w:val="Normal (Web)"/>
    <w:basedOn w:val="Normal"/>
    <w:uiPriority w:val="99"/>
    <w:unhideWhenUsed/>
    <w:rsid w:val="0038232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customStyle="1" w:styleId="placeholder">
    <w:name w:val="placeholder"/>
    <w:basedOn w:val="Normal"/>
    <w:rsid w:val="0038232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styleId="FollowedHyperlink">
    <w:name w:val="FollowedHyperlink"/>
    <w:basedOn w:val="DefaultParagraphFont"/>
    <w:uiPriority w:val="99"/>
    <w:semiHidden/>
    <w:unhideWhenUsed/>
    <w:rsid w:val="002358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13536">
      <w:bodyDiv w:val="1"/>
      <w:marLeft w:val="0"/>
      <w:marRight w:val="0"/>
      <w:marTop w:val="0"/>
      <w:marBottom w:val="0"/>
      <w:divBdr>
        <w:top w:val="none" w:sz="0" w:space="0" w:color="auto"/>
        <w:left w:val="none" w:sz="0" w:space="0" w:color="auto"/>
        <w:bottom w:val="none" w:sz="0" w:space="0" w:color="auto"/>
        <w:right w:val="none" w:sz="0" w:space="0" w:color="auto"/>
      </w:divBdr>
      <w:divsChild>
        <w:div w:id="603420083">
          <w:marLeft w:val="0"/>
          <w:marRight w:val="0"/>
          <w:marTop w:val="0"/>
          <w:marBottom w:val="0"/>
          <w:divBdr>
            <w:top w:val="none" w:sz="0" w:space="0" w:color="auto"/>
            <w:left w:val="none" w:sz="0" w:space="0" w:color="auto"/>
            <w:bottom w:val="none" w:sz="0" w:space="0" w:color="auto"/>
            <w:right w:val="none" w:sz="0" w:space="0" w:color="auto"/>
          </w:divBdr>
          <w:divsChild>
            <w:div w:id="809250537">
              <w:marLeft w:val="0"/>
              <w:marRight w:val="0"/>
              <w:marTop w:val="0"/>
              <w:marBottom w:val="0"/>
              <w:divBdr>
                <w:top w:val="none" w:sz="0" w:space="0" w:color="auto"/>
                <w:left w:val="none" w:sz="0" w:space="0" w:color="auto"/>
                <w:bottom w:val="none" w:sz="0" w:space="0" w:color="auto"/>
                <w:right w:val="none" w:sz="0" w:space="0" w:color="auto"/>
              </w:divBdr>
              <w:divsChild>
                <w:div w:id="4079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86602">
      <w:bodyDiv w:val="1"/>
      <w:marLeft w:val="0"/>
      <w:marRight w:val="0"/>
      <w:marTop w:val="0"/>
      <w:marBottom w:val="0"/>
      <w:divBdr>
        <w:top w:val="none" w:sz="0" w:space="0" w:color="auto"/>
        <w:left w:val="none" w:sz="0" w:space="0" w:color="auto"/>
        <w:bottom w:val="none" w:sz="0" w:space="0" w:color="auto"/>
        <w:right w:val="none" w:sz="0" w:space="0" w:color="auto"/>
      </w:divBdr>
      <w:divsChild>
        <w:div w:id="1356076968">
          <w:marLeft w:val="0"/>
          <w:marRight w:val="0"/>
          <w:marTop w:val="0"/>
          <w:marBottom w:val="0"/>
          <w:divBdr>
            <w:top w:val="none" w:sz="0" w:space="0" w:color="auto"/>
            <w:left w:val="none" w:sz="0" w:space="0" w:color="auto"/>
            <w:bottom w:val="none" w:sz="0" w:space="0" w:color="auto"/>
            <w:right w:val="none" w:sz="0" w:space="0" w:color="auto"/>
          </w:divBdr>
          <w:divsChild>
            <w:div w:id="1399867175">
              <w:marLeft w:val="0"/>
              <w:marRight w:val="0"/>
              <w:marTop w:val="0"/>
              <w:marBottom w:val="0"/>
              <w:divBdr>
                <w:top w:val="none" w:sz="0" w:space="0" w:color="auto"/>
                <w:left w:val="none" w:sz="0" w:space="0" w:color="auto"/>
                <w:bottom w:val="none" w:sz="0" w:space="0" w:color="auto"/>
                <w:right w:val="none" w:sz="0" w:space="0" w:color="auto"/>
              </w:divBdr>
              <w:divsChild>
                <w:div w:id="210799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379868">
      <w:bodyDiv w:val="1"/>
      <w:marLeft w:val="0"/>
      <w:marRight w:val="0"/>
      <w:marTop w:val="0"/>
      <w:marBottom w:val="0"/>
      <w:divBdr>
        <w:top w:val="none" w:sz="0" w:space="0" w:color="auto"/>
        <w:left w:val="none" w:sz="0" w:space="0" w:color="auto"/>
        <w:bottom w:val="none" w:sz="0" w:space="0" w:color="auto"/>
        <w:right w:val="none" w:sz="0" w:space="0" w:color="auto"/>
      </w:divBdr>
      <w:divsChild>
        <w:div w:id="1205291502">
          <w:marLeft w:val="0"/>
          <w:marRight w:val="0"/>
          <w:marTop w:val="0"/>
          <w:marBottom w:val="0"/>
          <w:divBdr>
            <w:top w:val="none" w:sz="0" w:space="0" w:color="auto"/>
            <w:left w:val="none" w:sz="0" w:space="0" w:color="auto"/>
            <w:bottom w:val="none" w:sz="0" w:space="0" w:color="auto"/>
            <w:right w:val="none" w:sz="0" w:space="0" w:color="auto"/>
          </w:divBdr>
          <w:divsChild>
            <w:div w:id="1089155641">
              <w:marLeft w:val="0"/>
              <w:marRight w:val="0"/>
              <w:marTop w:val="0"/>
              <w:marBottom w:val="0"/>
              <w:divBdr>
                <w:top w:val="none" w:sz="0" w:space="0" w:color="auto"/>
                <w:left w:val="none" w:sz="0" w:space="0" w:color="auto"/>
                <w:bottom w:val="none" w:sz="0" w:space="0" w:color="auto"/>
                <w:right w:val="none" w:sz="0" w:space="0" w:color="auto"/>
              </w:divBdr>
              <w:divsChild>
                <w:div w:id="89666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922758">
      <w:bodyDiv w:val="1"/>
      <w:marLeft w:val="0"/>
      <w:marRight w:val="0"/>
      <w:marTop w:val="0"/>
      <w:marBottom w:val="0"/>
      <w:divBdr>
        <w:top w:val="none" w:sz="0" w:space="0" w:color="auto"/>
        <w:left w:val="none" w:sz="0" w:space="0" w:color="auto"/>
        <w:bottom w:val="none" w:sz="0" w:space="0" w:color="auto"/>
        <w:right w:val="none" w:sz="0" w:space="0" w:color="auto"/>
      </w:divBdr>
      <w:divsChild>
        <w:div w:id="1069621506">
          <w:marLeft w:val="0"/>
          <w:marRight w:val="0"/>
          <w:marTop w:val="0"/>
          <w:marBottom w:val="0"/>
          <w:divBdr>
            <w:top w:val="none" w:sz="0" w:space="0" w:color="auto"/>
            <w:left w:val="none" w:sz="0" w:space="0" w:color="auto"/>
            <w:bottom w:val="none" w:sz="0" w:space="0" w:color="auto"/>
            <w:right w:val="none" w:sz="0" w:space="0" w:color="auto"/>
          </w:divBdr>
          <w:divsChild>
            <w:div w:id="1056585984">
              <w:marLeft w:val="0"/>
              <w:marRight w:val="0"/>
              <w:marTop w:val="0"/>
              <w:marBottom w:val="0"/>
              <w:divBdr>
                <w:top w:val="none" w:sz="0" w:space="0" w:color="auto"/>
                <w:left w:val="none" w:sz="0" w:space="0" w:color="auto"/>
                <w:bottom w:val="none" w:sz="0" w:space="0" w:color="auto"/>
                <w:right w:val="none" w:sz="0" w:space="0" w:color="auto"/>
              </w:divBdr>
              <w:divsChild>
                <w:div w:id="116432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49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public-order-public-safety/developing-policing-plan/counter-terrorism%20" TargetMode="External"/><Relationship Id="rId13" Type="http://schemas.openxmlformats.org/officeDocument/2006/relationships/hyperlink" Target="https://hmicfrs.justiceinspectorates.gov.uk/publications/an-inspection-of-vetting-misconduct-and-misogyny-in-the-police-service/" TargetMode="External"/><Relationship Id="rId18" Type="http://schemas.openxmlformats.org/officeDocument/2006/relationships/hyperlink" Target="https://www.met.police.uk/SysSiteAssets/media/downloads/force-content/met/about-us/vawg/vawg-action-plan-2023.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hyperlink" Target="https://assets.publishing.service.gov.uk/media/6194d05bd3bf7f054f43e011/Tackling_Violence_Against_Women_and_Girls_Strategy_-_July_2021.pdf" TargetMode="External"/><Relationship Id="rId17" Type="http://schemas.openxmlformats.org/officeDocument/2006/relationships/hyperlink" Target="https://www.legislation.gov.uk/ukpga/2006/11/contents" TargetMode="External"/><Relationship Id="rId2" Type="http://schemas.openxmlformats.org/officeDocument/2006/relationships/styles" Target="styles.xml"/><Relationship Id="rId16" Type="http://schemas.openxmlformats.org/officeDocument/2006/relationships/hyperlink" Target="https://assets.publishing.service.gov.uk/media/6363d113e90e0705a7012946/_HC_757-II__-_Manchester_Arena_Inquiry_Report___Volume_2__Volume_2-II_.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college.police.uk/s3fs-public/2021-02/responding-to-trauma-in-policing.pdf" TargetMode="External"/><Relationship Id="rId11" Type="http://schemas.openxmlformats.org/officeDocument/2006/relationships/hyperlink" Target="https://www.college.police.uk/ethics/code-of-ethics" TargetMode="External"/><Relationship Id="rId5" Type="http://schemas.openxmlformats.org/officeDocument/2006/relationships/hyperlink" Target="https://www.met.police.uk/police-forces/metropolitan-police/areas/about-us/about-the-met/bcr/baroness-casey-review/" TargetMode="External"/><Relationship Id="rId15" Type="http://schemas.openxmlformats.org/officeDocument/2006/relationships/hyperlink" Target="https://www.legislation.gov.uk/ukpga/2006/11/contents" TargetMode="External"/><Relationship Id="rId10" Type="http://schemas.openxmlformats.org/officeDocument/2006/relationships/hyperlink" Target="https://www.college.police.uk/app/civil-emergencies/civil-contingencies" TargetMode="External"/><Relationship Id="rId19" Type="http://schemas.openxmlformats.org/officeDocument/2006/relationships/hyperlink" Target="https://rusi.org/explore-our-research/publications/commentary/what-policy-changes-are-needed-after-manchester-attack" TargetMode="External"/><Relationship Id="rId4" Type="http://schemas.openxmlformats.org/officeDocument/2006/relationships/webSettings" Target="webSettings.xml"/><Relationship Id="rId9" Type="http://schemas.openxmlformats.org/officeDocument/2006/relationships/hyperlink" Target="https://assets.college.police.uk/s3fs-public/2022-08/Guidance-on-outcomes-in-police-misconduct-proceedings.pdf" TargetMode="External"/><Relationship Id="rId14" Type="http://schemas.openxmlformats.org/officeDocument/2006/relationships/hyperlink" Target="https://www.gov.uk/government/publications/policing-by-consent/definition-of-policing-by-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20</Pages>
  <Words>6341</Words>
  <Characters>36144</Characters>
  <Application>Microsoft Office Word</Application>
  <DocSecurity>0</DocSecurity>
  <Lines>301</Lines>
  <Paragraphs>84</Paragraphs>
  <ScaleCrop>false</ScaleCrop>
  <Company/>
  <LinksUpToDate>false</LinksUpToDate>
  <CharactersWithSpaces>42401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Drew</dc:creator>
  <cp:keywords/>
  <dc:description/>
  <cp:lastModifiedBy>Andrew Evans</cp:lastModifiedBy>
  <cp:revision>83</cp:revision>
  <dcterms:created xsi:type="dcterms:W3CDTF">2024-07-29T15:31:00Z</dcterms:created>
  <dcterms:modified xsi:type="dcterms:W3CDTF">2024-11-24T23:46:00Z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2024-07-29T15:31:36Z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b96d8a43-bee3-40b7-bbaa-491da58aed10</vt:lpwstr>
  </property>
  <property fmtid="{D5CDD505-2E9C-101B-9397-08002B2CF9AE}" pid="8" name="MSIP_Label_f2acd28b-79a3-4a0f-b0ff-4b75658b1549_ContentBits">
    <vt:lpwstr>0</vt:lpwstr>
  </property>
</Properties>
</file>