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90" w:rsidRPr="00DC0A90" w:rsidRDefault="00DC0A90" w:rsidP="00DC0A90">
      <w:pPr>
        <w:spacing w:line="360" w:lineRule="auto"/>
        <w:rPr>
          <w:rFonts w:ascii="Times New Roman" w:hAnsi="Times New Roman" w:cs="Times New Roman"/>
          <w:sz w:val="24"/>
          <w:szCs w:val="24"/>
        </w:rPr>
      </w:pPr>
      <w:r w:rsidRPr="00DC0A90">
        <w:rPr>
          <w:rFonts w:ascii="Times New Roman" w:hAnsi="Times New Roman" w:cs="Times New Roman"/>
          <w:sz w:val="24"/>
          <w:szCs w:val="24"/>
        </w:rPr>
        <w:t>Anna Bolek, u2222499</w:t>
      </w:r>
    </w:p>
    <w:p w:rsidR="00DC0A90" w:rsidRPr="00DC0A90" w:rsidRDefault="00DC0A90" w:rsidP="00DC0A90">
      <w:pPr>
        <w:spacing w:line="360" w:lineRule="auto"/>
        <w:rPr>
          <w:rFonts w:ascii="Times New Roman" w:eastAsia="Times New Roman" w:hAnsi="Times New Roman" w:cs="Times New Roman"/>
          <w:sz w:val="24"/>
          <w:szCs w:val="24"/>
          <w:lang w:eastAsia="en-GB"/>
        </w:rPr>
      </w:pPr>
      <w:r w:rsidRPr="00DC0A90">
        <w:rPr>
          <w:rFonts w:ascii="Times New Roman" w:hAnsi="Times New Roman" w:cs="Times New Roman"/>
          <w:sz w:val="24"/>
          <w:szCs w:val="24"/>
        </w:rPr>
        <w:t xml:space="preserve">Module: </w:t>
      </w:r>
      <w:r w:rsidRPr="00DC0A90">
        <w:rPr>
          <w:rFonts w:ascii="Times New Roman" w:eastAsia="Times New Roman" w:hAnsi="Times New Roman" w:cs="Times New Roman"/>
          <w:color w:val="000000"/>
          <w:sz w:val="24"/>
          <w:szCs w:val="24"/>
          <w:lang w:eastAsia="en-GB"/>
        </w:rPr>
        <w:t>Therapeutic and nature-based play</w:t>
      </w:r>
    </w:p>
    <w:p w:rsidR="00DC0A90" w:rsidRPr="00DC0A90" w:rsidRDefault="00DC0A90" w:rsidP="00DC0A90">
      <w:pPr>
        <w:spacing w:line="360" w:lineRule="auto"/>
        <w:rPr>
          <w:rFonts w:ascii="Times New Roman" w:eastAsia="Times New Roman" w:hAnsi="Times New Roman" w:cs="Times New Roman"/>
          <w:sz w:val="24"/>
          <w:szCs w:val="24"/>
          <w:lang w:eastAsia="en-GB"/>
        </w:rPr>
      </w:pPr>
      <w:r w:rsidRPr="00DC0A90">
        <w:rPr>
          <w:rFonts w:ascii="Times New Roman" w:hAnsi="Times New Roman" w:cs="Times New Roman"/>
          <w:sz w:val="24"/>
          <w:szCs w:val="24"/>
        </w:rPr>
        <w:t xml:space="preserve">Module code: </w:t>
      </w:r>
      <w:r w:rsidRPr="00DC0A90">
        <w:rPr>
          <w:rFonts w:ascii="Times New Roman" w:eastAsia="Times New Roman" w:hAnsi="Times New Roman" w:cs="Times New Roman"/>
          <w:color w:val="000000"/>
          <w:sz w:val="24"/>
          <w:szCs w:val="24"/>
          <w:lang w:eastAsia="en-GB"/>
        </w:rPr>
        <w:t>ECCY7008</w:t>
      </w:r>
    </w:p>
    <w:p w:rsidR="00DC0A90" w:rsidRPr="00DC0A90" w:rsidRDefault="00DC0A90" w:rsidP="00DC0A90">
      <w:pPr>
        <w:spacing w:line="360" w:lineRule="auto"/>
        <w:rPr>
          <w:rFonts w:ascii="Times New Roman" w:eastAsia="Times New Roman" w:hAnsi="Times New Roman" w:cs="Times New Roman"/>
          <w:sz w:val="24"/>
          <w:szCs w:val="24"/>
          <w:lang w:eastAsia="en-GB"/>
        </w:rPr>
      </w:pPr>
      <w:r w:rsidRPr="00DC0A90">
        <w:rPr>
          <w:rFonts w:ascii="Times New Roman" w:hAnsi="Times New Roman" w:cs="Times New Roman"/>
          <w:sz w:val="24"/>
          <w:szCs w:val="24"/>
        </w:rPr>
        <w:t xml:space="preserve">Lecturer: </w:t>
      </w:r>
      <w:r w:rsidRPr="00DC0A90">
        <w:rPr>
          <w:rFonts w:ascii="Times New Roman" w:eastAsia="Times New Roman" w:hAnsi="Times New Roman" w:cs="Times New Roman"/>
          <w:color w:val="000000"/>
          <w:sz w:val="24"/>
          <w:szCs w:val="24"/>
          <w:lang w:eastAsia="en-GB"/>
        </w:rPr>
        <w:t>Dr Charlotte Greenway</w:t>
      </w:r>
    </w:p>
    <w:p w:rsidR="00DC0A90" w:rsidRPr="00DC0A90" w:rsidRDefault="00DC0A90" w:rsidP="00DC0A90">
      <w:pPr>
        <w:spacing w:after="0" w:line="360" w:lineRule="auto"/>
        <w:rPr>
          <w:rFonts w:ascii="Times New Roman" w:eastAsia="Times New Roman" w:hAnsi="Times New Roman" w:cs="Times New Roman"/>
          <w:sz w:val="24"/>
          <w:szCs w:val="24"/>
          <w:lang w:eastAsia="en-GB"/>
        </w:rPr>
      </w:pPr>
      <w:r w:rsidRPr="00DC0A90">
        <w:rPr>
          <w:rFonts w:ascii="Times New Roman" w:eastAsia="Times New Roman" w:hAnsi="Times New Roman" w:cs="Times New Roman"/>
          <w:color w:val="000000"/>
          <w:sz w:val="24"/>
          <w:szCs w:val="24"/>
          <w:lang w:eastAsia="en-GB"/>
        </w:rPr>
        <w:t>Essay: How effective is therapeutic play in supporting the emotional and social development of children from diverse backgrounds, and what are the implications for inclusive practice?</w:t>
      </w:r>
    </w:p>
    <w:p w:rsidR="00DC0A90" w:rsidRPr="00DC0A90" w:rsidRDefault="00DC0A90" w:rsidP="00DC0A90">
      <w:pPr>
        <w:spacing w:after="0" w:line="360" w:lineRule="auto"/>
        <w:rPr>
          <w:rFonts w:ascii="Times New Roman" w:eastAsia="Times New Roman" w:hAnsi="Times New Roman" w:cs="Times New Roman"/>
          <w:color w:val="000000"/>
          <w:sz w:val="24"/>
          <w:szCs w:val="24"/>
          <w:lang w:eastAsia="en-GB"/>
        </w:rPr>
      </w:pPr>
    </w:p>
    <w:p w:rsidR="00DC0A90" w:rsidRPr="00DC0A90" w:rsidRDefault="00DC0A90" w:rsidP="00DC0A90">
      <w:pPr>
        <w:spacing w:after="0" w:line="36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Pr="00770AD7" w:rsidRDefault="00DC0A90" w:rsidP="00DC0A90">
      <w:pPr>
        <w:spacing w:after="0" w:line="480" w:lineRule="auto"/>
        <w:rPr>
          <w:rFonts w:ascii="Times New Roman" w:eastAsia="Times New Roman" w:hAnsi="Times New Roman" w:cs="Times New Roman"/>
          <w:color w:val="000000"/>
          <w:sz w:val="24"/>
          <w:szCs w:val="24"/>
          <w:lang w:eastAsia="en-GB"/>
        </w:rPr>
      </w:pPr>
    </w:p>
    <w:p w:rsidR="00DC0A90" w:rsidRDefault="00DC0A90" w:rsidP="00DC0A90">
      <w:pPr>
        <w:spacing w:line="480" w:lineRule="auto"/>
        <w:rPr>
          <w:rFonts w:ascii="Times New Roman" w:hAnsi="Times New Roman" w:cs="Times New Roman"/>
          <w:sz w:val="24"/>
          <w:szCs w:val="24"/>
        </w:rPr>
      </w:pPr>
    </w:p>
    <w:p w:rsidR="00DC0A90" w:rsidRDefault="00DC0A90" w:rsidP="00DC0A90">
      <w:pPr>
        <w:spacing w:line="480" w:lineRule="auto"/>
        <w:rPr>
          <w:rFonts w:ascii="Times New Roman" w:hAnsi="Times New Roman" w:cs="Times New Roman"/>
          <w:sz w:val="24"/>
          <w:szCs w:val="24"/>
        </w:rPr>
      </w:pPr>
    </w:p>
    <w:p w:rsidR="00DC0A90" w:rsidRDefault="00DC0A90" w:rsidP="00DC0A90">
      <w:pPr>
        <w:spacing w:line="480" w:lineRule="auto"/>
        <w:rPr>
          <w:rFonts w:ascii="Times New Roman" w:hAnsi="Times New Roman" w:cs="Times New Roman"/>
          <w:sz w:val="24"/>
          <w:szCs w:val="24"/>
        </w:rPr>
      </w:pPr>
    </w:p>
    <w:p w:rsidR="00DC0A90" w:rsidRPr="00770AD7" w:rsidRDefault="00DC0A90" w:rsidP="00DC0A90">
      <w:pPr>
        <w:spacing w:line="480" w:lineRule="auto"/>
        <w:rPr>
          <w:rFonts w:ascii="Times New Roman" w:hAnsi="Times New Roman" w:cs="Times New Roman"/>
          <w:sz w:val="24"/>
          <w:szCs w:val="24"/>
        </w:rPr>
      </w:pPr>
      <w:r w:rsidRPr="00770AD7">
        <w:rPr>
          <w:rFonts w:ascii="Times New Roman" w:hAnsi="Times New Roman" w:cs="Times New Roman"/>
          <w:sz w:val="24"/>
          <w:szCs w:val="24"/>
        </w:rPr>
        <w:lastRenderedPageBreak/>
        <w:t>I acknowledge the use of  AI tools.</w:t>
      </w:r>
    </w:p>
    <w:p w:rsidR="00DC0A90" w:rsidRPr="00770AD7" w:rsidRDefault="00DC0A90" w:rsidP="00DC0A90">
      <w:pPr>
        <w:spacing w:line="480" w:lineRule="auto"/>
        <w:rPr>
          <w:rFonts w:ascii="Times New Roman" w:hAnsi="Times New Roman" w:cs="Times New Roman"/>
          <w:sz w:val="24"/>
          <w:szCs w:val="24"/>
        </w:rPr>
      </w:pPr>
      <w:r w:rsidRPr="00770AD7">
        <w:rPr>
          <w:rFonts w:ascii="Times New Roman" w:hAnsi="Times New Roman" w:cs="Times New Roman"/>
          <w:sz w:val="24"/>
          <w:szCs w:val="24"/>
        </w:rPr>
        <w:t>I used :</w:t>
      </w:r>
    </w:p>
    <w:p w:rsidR="00DC0A90" w:rsidRPr="00770AD7" w:rsidRDefault="00DC0A90" w:rsidP="00DC0A90">
      <w:pPr>
        <w:pStyle w:val="Akapitzlist"/>
        <w:numPr>
          <w:ilvl w:val="0"/>
          <w:numId w:val="2"/>
        </w:numPr>
        <w:spacing w:after="200" w:line="480" w:lineRule="auto"/>
        <w:rPr>
          <w:rFonts w:ascii="Times New Roman" w:hAnsi="Times New Roman" w:cs="Times New Roman"/>
        </w:rPr>
      </w:pPr>
      <w:hyperlink r:id="rId7" w:history="1">
        <w:r w:rsidRPr="00770AD7">
          <w:rPr>
            <w:rStyle w:val="Hipercze"/>
            <w:rFonts w:ascii="Times New Roman" w:hAnsi="Times New Roman" w:cs="Times New Roman"/>
          </w:rPr>
          <w:t>https://app.grammarly.com</w:t>
        </w:r>
      </w:hyperlink>
      <w:r w:rsidRPr="00770AD7">
        <w:rPr>
          <w:rFonts w:ascii="Times New Roman" w:hAnsi="Times New Roman" w:cs="Times New Roman"/>
        </w:rPr>
        <w:t xml:space="preserve"> -I used Grammarly to check and improve the grammar and style.</w:t>
      </w:r>
    </w:p>
    <w:p w:rsidR="00DC0A90" w:rsidRPr="00770AD7" w:rsidRDefault="00DC0A90" w:rsidP="00DC0A90">
      <w:pPr>
        <w:pStyle w:val="Akapitzlist"/>
        <w:numPr>
          <w:ilvl w:val="0"/>
          <w:numId w:val="2"/>
        </w:numPr>
        <w:spacing w:after="200" w:line="480" w:lineRule="auto"/>
        <w:rPr>
          <w:rFonts w:ascii="Times New Roman" w:hAnsi="Times New Roman" w:cs="Times New Roman"/>
        </w:rPr>
      </w:pPr>
      <w:hyperlink r:id="rId8" w:history="1">
        <w:r w:rsidRPr="00770AD7">
          <w:rPr>
            <w:rStyle w:val="Hipercze"/>
            <w:rFonts w:ascii="Times New Roman" w:hAnsi="Times New Roman" w:cs="Times New Roman"/>
          </w:rPr>
          <w:t>https://translate.google.com/?sl=pl&amp;tl=en&amp;op=translate-</w:t>
        </w:r>
      </w:hyperlink>
      <w:r w:rsidRPr="00770AD7">
        <w:rPr>
          <w:rFonts w:ascii="Times New Roman" w:hAnsi="Times New Roman" w:cs="Times New Roman"/>
        </w:rPr>
        <w:t xml:space="preserve"> I used Google Translate to understand difficult English phrases and translate some Polish sentences.</w:t>
      </w:r>
    </w:p>
    <w:p w:rsidR="00DC0A90" w:rsidRPr="00770AD7" w:rsidRDefault="00DC0A90" w:rsidP="00DC0A90">
      <w:pPr>
        <w:pStyle w:val="Akapitzlist"/>
        <w:numPr>
          <w:ilvl w:val="0"/>
          <w:numId w:val="2"/>
        </w:numPr>
        <w:spacing w:after="200" w:line="480" w:lineRule="auto"/>
        <w:rPr>
          <w:rFonts w:ascii="Times New Roman" w:hAnsi="Times New Roman" w:cs="Times New Roman"/>
        </w:rPr>
      </w:pPr>
      <w:hyperlink r:id="rId9" w:history="1">
        <w:r w:rsidRPr="00770AD7">
          <w:rPr>
            <w:rStyle w:val="Hipercze"/>
            <w:rFonts w:ascii="Times New Roman" w:hAnsi="Times New Roman" w:cs="Times New Roman"/>
          </w:rPr>
          <w:t>https://www.scribbr.com/</w:t>
        </w:r>
      </w:hyperlink>
      <w:r w:rsidRPr="00770AD7">
        <w:rPr>
          <w:rFonts w:ascii="Times New Roman" w:hAnsi="Times New Roman" w:cs="Times New Roman"/>
        </w:rPr>
        <w:t xml:space="preserve"> - to generate reference</w:t>
      </w:r>
    </w:p>
    <w:p w:rsidR="00DC0A90" w:rsidRPr="00770AD7" w:rsidRDefault="00DC0A90" w:rsidP="00DC0A90">
      <w:pPr>
        <w:pStyle w:val="Akapitzlist"/>
        <w:numPr>
          <w:ilvl w:val="0"/>
          <w:numId w:val="2"/>
        </w:numPr>
        <w:spacing w:after="200" w:line="480" w:lineRule="auto"/>
        <w:rPr>
          <w:rFonts w:ascii="Times New Roman" w:hAnsi="Times New Roman" w:cs="Times New Roman"/>
        </w:rPr>
      </w:pPr>
      <w:hyperlink r:id="rId10" w:history="1">
        <w:r w:rsidRPr="00770AD7">
          <w:rPr>
            <w:rStyle w:val="Hipercze"/>
            <w:rFonts w:ascii="Times New Roman" w:hAnsi="Times New Roman" w:cs="Times New Roman"/>
          </w:rPr>
          <w:t>https://scholar.google.com/-</w:t>
        </w:r>
      </w:hyperlink>
      <w:r w:rsidRPr="00770AD7">
        <w:rPr>
          <w:rFonts w:ascii="Times New Roman" w:hAnsi="Times New Roman" w:cs="Times New Roman"/>
        </w:rPr>
        <w:t xml:space="preserve"> I used Google Scholar to find reliable academic articles and sources.</w:t>
      </w:r>
    </w:p>
    <w:p w:rsidR="00DC0A90" w:rsidRPr="00770AD7" w:rsidRDefault="00DC0A90" w:rsidP="00DC0A90">
      <w:pPr>
        <w:pStyle w:val="Akapitzlist"/>
        <w:spacing w:line="480" w:lineRule="auto"/>
        <w:rPr>
          <w:rFonts w:ascii="Times New Roman" w:hAnsi="Times New Roman" w:cs="Times New Roman"/>
        </w:rPr>
      </w:pPr>
      <w:r w:rsidRPr="00770AD7">
        <w:rPr>
          <w:rFonts w:ascii="Times New Roman" w:hAnsi="Times New Roman" w:cs="Times New Roman"/>
        </w:rPr>
        <w:t>I confirm that I have not presented any AI generated text as my own work.</w:t>
      </w:r>
    </w:p>
    <w:p w:rsidR="00DC0A90" w:rsidRPr="00770AD7" w:rsidRDefault="00DC0A90" w:rsidP="00DC0A90">
      <w:pPr>
        <w:pStyle w:val="Akapitzlist"/>
        <w:spacing w:line="480" w:lineRule="auto"/>
        <w:rPr>
          <w:rFonts w:ascii="Times New Roman" w:hAnsi="Times New Roman" w:cs="Times New Roman"/>
        </w:rPr>
      </w:pPr>
    </w:p>
    <w:p w:rsidR="00DC0A90" w:rsidRPr="00770AD7" w:rsidRDefault="00DC0A90" w:rsidP="00DC0A90">
      <w:pPr>
        <w:spacing w:before="100" w:beforeAutospacing="1" w:after="100" w:afterAutospacing="1" w:line="480" w:lineRule="auto"/>
        <w:rPr>
          <w:rFonts w:ascii="Times New Roman" w:eastAsia="Times New Roman" w:hAnsi="Times New Roman" w:cs="Times New Roman"/>
          <w:b/>
          <w:bCs/>
          <w:sz w:val="24"/>
          <w:szCs w:val="24"/>
        </w:rPr>
      </w:pPr>
    </w:p>
    <w:p w:rsidR="00DC0A90" w:rsidRPr="00770AD7" w:rsidRDefault="00DC0A90" w:rsidP="00DC0A90">
      <w:pPr>
        <w:spacing w:line="480" w:lineRule="auto"/>
        <w:rPr>
          <w:rFonts w:ascii="Times New Roman" w:hAnsi="Times New Roman" w:cs="Times New Roman"/>
          <w:sz w:val="24"/>
          <w:szCs w:val="24"/>
        </w:rPr>
      </w:pPr>
    </w:p>
    <w:p w:rsidR="00DC0A90" w:rsidRPr="00770AD7" w:rsidRDefault="00DC0A90" w:rsidP="00DC0A90">
      <w:pPr>
        <w:spacing w:line="480" w:lineRule="auto"/>
        <w:rPr>
          <w:rFonts w:ascii="Times New Roman" w:hAnsi="Times New Roman" w:cs="Times New Roman"/>
          <w:sz w:val="24"/>
          <w:szCs w:val="24"/>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2452DC" w:rsidRDefault="002452DC"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4F707F" w:rsidRPr="00017D20" w:rsidRDefault="00933960" w:rsidP="00017D20">
      <w:pPr>
        <w:spacing w:beforeAutospacing="1" w:after="100" w:afterAutospacing="1" w:line="360" w:lineRule="auto"/>
        <w:rPr>
          <w:rFonts w:ascii="Times New Roman" w:eastAsia="Times New Roman" w:hAnsi="Times New Roman" w:cs="Times New Roman"/>
          <w:sz w:val="24"/>
          <w:szCs w:val="24"/>
          <w:lang w:eastAsia="en-GB"/>
        </w:rPr>
      </w:pPr>
      <w:r w:rsidRPr="00017D20">
        <w:rPr>
          <w:rFonts w:ascii="Times New Roman" w:eastAsia="Times New Roman" w:hAnsi="Times New Roman" w:cs="Times New Roman"/>
          <w:sz w:val="24"/>
          <w:szCs w:val="24"/>
          <w:lang w:eastAsia="en-GB"/>
        </w:rPr>
        <w:lastRenderedPageBreak/>
        <w:t xml:space="preserve">Childhood is a sensitive period in a child’s emotional and social development </w:t>
      </w:r>
      <w:r w:rsidR="00017D20" w:rsidRPr="00017D20">
        <w:rPr>
          <w:rFonts w:ascii="Times New Roman" w:eastAsia="Times New Roman" w:hAnsi="Times New Roman" w:cs="Times New Roman"/>
          <w:iCs/>
          <w:sz w:val="24"/>
          <w:szCs w:val="24"/>
          <w:lang w:eastAsia="en-GB"/>
        </w:rPr>
        <w:t>when they begin to recognise, identify, express, and understand their emotions, form relationships, and interact with the world</w:t>
      </w:r>
      <w:r w:rsidR="00017D20">
        <w:rPr>
          <w:rFonts w:ascii="Times New Roman" w:eastAsia="Times New Roman" w:hAnsi="Times New Roman" w:cs="Times New Roman"/>
          <w:b/>
          <w:sz w:val="24"/>
          <w:szCs w:val="24"/>
          <w:lang w:eastAsia="en-GB"/>
        </w:rPr>
        <w:t xml:space="preserve"> </w:t>
      </w:r>
      <w:r w:rsidRPr="00017D20">
        <w:rPr>
          <w:rFonts w:ascii="Times New Roman" w:eastAsia="Times New Roman" w:hAnsi="Times New Roman" w:cs="Times New Roman"/>
          <w:sz w:val="24"/>
          <w:szCs w:val="24"/>
          <w:lang w:eastAsia="en-GB"/>
        </w:rPr>
        <w:t xml:space="preserve">(Denham, 2006; Shonkoff &amp; Phillips, 2000). But </w:t>
      </w:r>
      <w:r w:rsidR="00017D20" w:rsidRPr="00017D20">
        <w:rPr>
          <w:rFonts w:ascii="Times New Roman" w:eastAsia="Times New Roman" w:hAnsi="Times New Roman" w:cs="Times New Roman"/>
          <w:iCs/>
          <w:sz w:val="24"/>
          <w:szCs w:val="24"/>
          <w:lang w:eastAsia="en-GB"/>
        </w:rPr>
        <w:t>children do not constitute a homogeneous group</w:t>
      </w:r>
      <w:r w:rsidRPr="00933960">
        <w:rPr>
          <w:rFonts w:ascii="Times New Roman" w:eastAsia="Times New Roman" w:hAnsi="Times New Roman" w:cs="Times New Roman"/>
          <w:sz w:val="24"/>
          <w:szCs w:val="24"/>
          <w:lang w:eastAsia="en-GB"/>
        </w:rPr>
        <w:t xml:space="preserve"> either; their perspective of the world is influenced by a constellation of cultural, social, and familial backgrounds. Some develop early developmental issues, such as disabilities or adverse childhood experiences (Bronfenbrenner, 1979; Felitti et al., 1998; Shonkoff et al., 2012). These differences may be particularly meaningful for guiding child emotional expression, relationships with others, or responses to traditional forms of </w:t>
      </w:r>
      <w:r w:rsidR="00017D20" w:rsidRPr="00017D20">
        <w:rPr>
          <w:rFonts w:ascii="Times New Roman" w:eastAsia="Times New Roman" w:hAnsi="Times New Roman" w:cs="Times New Roman"/>
          <w:iCs/>
          <w:sz w:val="24"/>
          <w:szCs w:val="24"/>
          <w:lang w:eastAsia="en-GB"/>
        </w:rPr>
        <w:t>therapeutic support</w:t>
      </w:r>
      <w:r w:rsidR="00017D20">
        <w:rPr>
          <w:rFonts w:ascii="Times New Roman" w:eastAsia="Times New Roman" w:hAnsi="Times New Roman" w:cs="Times New Roman"/>
          <w:iCs/>
          <w:sz w:val="24"/>
          <w:szCs w:val="24"/>
          <w:lang w:eastAsia="en-GB"/>
        </w:rPr>
        <w:t xml:space="preserve">. </w:t>
      </w:r>
      <w:r w:rsidRPr="00933960">
        <w:rPr>
          <w:rFonts w:ascii="Times New Roman" w:eastAsia="Times New Roman" w:hAnsi="Times New Roman" w:cs="Times New Roman"/>
          <w:sz w:val="24"/>
          <w:szCs w:val="24"/>
          <w:lang w:eastAsia="en-GB"/>
        </w:rPr>
        <w:t xml:space="preserve">Thus, more work is being done now for developmentally appropriate, inclusive interventions. </w:t>
      </w:r>
    </w:p>
    <w:p w:rsidR="004F707F" w:rsidRDefault="00017D20" w:rsidP="00017D20">
      <w:pPr>
        <w:spacing w:beforeAutospacing="1" w:after="100" w:afterAutospacing="1" w:line="360" w:lineRule="auto"/>
        <w:rPr>
          <w:rFonts w:ascii="Times New Roman" w:eastAsia="Times New Roman" w:hAnsi="Times New Roman" w:cs="Times New Roman"/>
          <w:sz w:val="24"/>
          <w:szCs w:val="24"/>
          <w:lang w:eastAsia="en-GB"/>
        </w:rPr>
      </w:pPr>
      <w:r w:rsidRPr="00ED2129">
        <w:rPr>
          <w:rFonts w:ascii="Times New Roman" w:eastAsia="Times New Roman" w:hAnsi="Times New Roman" w:cs="Times New Roman"/>
          <w:iCs/>
          <w:sz w:val="24"/>
          <w:szCs w:val="24"/>
          <w:lang w:eastAsia="en-GB"/>
        </w:rPr>
        <w:t>Therapeutic play is widely regarded as an effective intervention</w:t>
      </w:r>
      <w:r>
        <w:rPr>
          <w:rFonts w:ascii="Times New Roman" w:eastAsia="Times New Roman" w:hAnsi="Times New Roman" w:cs="Times New Roman"/>
          <w:sz w:val="24"/>
          <w:szCs w:val="24"/>
          <w:lang w:eastAsia="en-GB"/>
        </w:rPr>
        <w:t xml:space="preserve"> </w:t>
      </w:r>
      <w:r w:rsidR="00933960" w:rsidRPr="00933960">
        <w:rPr>
          <w:rFonts w:ascii="Times New Roman" w:eastAsia="Times New Roman" w:hAnsi="Times New Roman" w:cs="Times New Roman"/>
          <w:sz w:val="24"/>
          <w:szCs w:val="24"/>
          <w:lang w:eastAsia="en-GB"/>
        </w:rPr>
        <w:t xml:space="preserve">where children communicate using their own form of expression, and this way can also help in shaping their skills and attitudes towards therapy (Landreth, 2012). Therapeutic play is an appropriate approach informed by play therapy principles in relation to a child's emotional expression, behaviour regulation and relational development in a manner consistent with those of the child’s cognitive and emotional abilities (Byrd, Christensen, &amp; Luke, 2020). Children do not have that luxury the way adults express their complex emotions. Play provides children words for gaining in-depth comprehension of feelings, to express those feelings, to make connections and to think about relationships, to make sense of challenging situations and to process through complex experiences (Ginsburg, 2007).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Play in a therapeutic frame is not only recreational if, indeed, </w:t>
      </w:r>
      <w:r w:rsidR="004F707F">
        <w:rPr>
          <w:rFonts w:ascii="Times New Roman" w:eastAsia="Times New Roman" w:hAnsi="Times New Roman" w:cs="Times New Roman"/>
          <w:sz w:val="24"/>
          <w:szCs w:val="24"/>
          <w:lang w:eastAsia="en-GB"/>
        </w:rPr>
        <w:t>it does not have intentionality-</w:t>
      </w:r>
      <w:r w:rsidRPr="00933960">
        <w:rPr>
          <w:rFonts w:ascii="Times New Roman" w:eastAsia="Times New Roman" w:hAnsi="Times New Roman" w:cs="Times New Roman"/>
          <w:sz w:val="24"/>
          <w:szCs w:val="24"/>
          <w:lang w:eastAsia="en-GB"/>
        </w:rPr>
        <w:t xml:space="preserve">the play should be purposeful in order to be used as a means of emotional (or social) healing (Axline, 1989; Wood &amp; Attfield, 2005). This principle is relevant with regard to children who have suffered a trauma or </w:t>
      </w:r>
      <w:r w:rsidR="004F707F" w:rsidRPr="00933960">
        <w:rPr>
          <w:rFonts w:ascii="Times New Roman" w:eastAsia="Times New Roman" w:hAnsi="Times New Roman" w:cs="Times New Roman"/>
          <w:sz w:val="24"/>
          <w:szCs w:val="24"/>
          <w:lang w:eastAsia="en-GB"/>
        </w:rPr>
        <w:t>neurodevelopment</w:t>
      </w:r>
      <w:r w:rsidRPr="00933960">
        <w:rPr>
          <w:rFonts w:ascii="Times New Roman" w:eastAsia="Times New Roman" w:hAnsi="Times New Roman" w:cs="Times New Roman"/>
          <w:sz w:val="24"/>
          <w:szCs w:val="24"/>
          <w:lang w:eastAsia="en-GB"/>
        </w:rPr>
        <w:t xml:space="preserve"> differences or are socially marginalised as they are more likely to struggle to engage productively with verbally based therapeutic interventions (Bratton et al., 2005; Perry, 2006).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Therapeutic play is also of special relevance to inclusive work together in the context of its developmental appropriateness. Inclusion is: treating each child — no matter where they’re from, no matter whether they have any ability or who they are as a person — fairly and equitably (Slee, 2011), which can include honouring differences, adapting interventions and implementing them to fit the needs of population. It has the potential to build inclusive practice whilst enabling flexibility and cultural responsiveness and access to schools, </w:t>
      </w:r>
      <w:r w:rsidRPr="00933960">
        <w:rPr>
          <w:rFonts w:ascii="Times New Roman" w:eastAsia="Times New Roman" w:hAnsi="Times New Roman" w:cs="Times New Roman"/>
          <w:sz w:val="24"/>
          <w:szCs w:val="24"/>
          <w:lang w:eastAsia="en-GB"/>
        </w:rPr>
        <w:lastRenderedPageBreak/>
        <w:t xml:space="preserve">community services and clinical settings (Lester &amp; Russell, 2010). What is to be determined is practical application therapeutic play works for, and also does its application truly encourage, inclusion, rather than that reproduce (or challenge) existing social (besides class and race) inequalities (Slee, 2011). As a result, therapeutic play should not be viewed as intrinsically inclusive, however, rather must be critically explored when applied to a range of contexts (Wood &amp; Attfield, 2005). </w:t>
      </w:r>
    </w:p>
    <w:p w:rsidR="00263A8D"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Hence, this essay will attempt to scrutinize the therapeutic play that helps develop the emotional and social development of the children from multiple racial, ethnic and spiritual backgrounds. It will analyse the relationship between therapeutic play, emotional regulation, self-expression, empathy and social skills and an assessment of the evidence base within which therapeutic play can be built. The essay will also consider the role of therapeutic play for inclusive practice and its implementation in adapting therapies to the individual culture and needs of each child. Finally, review of limitations of what is already described to be part of the research-practice of inclusion, barriers to inclusion and suggestions for extending and strengthening the impact of therapeutic play for all children.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The history of therapeutic play is the reason it retains its relevance, even now. Its previous ties have informed how it works now to help children heal emotionally. Pioneers including Anna Freud, Margaret Lowenfeld, and Melanie Klein (Freud, 1965; Lowenfeld, 1970; Klein, 1987) were key to shaping the therapeutic potential in children's play. For example, Klein (1961) argued that spontaneous play is the child’s personal free association in adult psychoanalysis, a conduit to the child’s internal mental states, desires, and feelings.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From that angle, play was conceived to be, at least in that perspective, less a developmental process as the language of development alone and more of one of the essential ways of communicating those inner </w:t>
      </w:r>
      <w:r w:rsidR="00017D20">
        <w:rPr>
          <w:rFonts w:ascii="Times New Roman" w:eastAsia="Times New Roman" w:hAnsi="Times New Roman" w:cs="Times New Roman"/>
          <w:sz w:val="24"/>
          <w:szCs w:val="24"/>
          <w:lang w:eastAsia="en-GB"/>
        </w:rPr>
        <w:t xml:space="preserve">conflicts, feelings </w:t>
      </w:r>
      <w:r w:rsidRPr="00933960">
        <w:rPr>
          <w:rFonts w:ascii="Times New Roman" w:eastAsia="Times New Roman" w:hAnsi="Times New Roman" w:cs="Times New Roman"/>
          <w:sz w:val="24"/>
          <w:szCs w:val="24"/>
          <w:lang w:eastAsia="en-GB"/>
        </w:rPr>
        <w:t xml:space="preserve"> </w:t>
      </w:r>
      <w:r w:rsidR="00263A8D" w:rsidRPr="00933960">
        <w:rPr>
          <w:rFonts w:ascii="Times New Roman" w:eastAsia="Times New Roman" w:hAnsi="Times New Roman" w:cs="Times New Roman"/>
          <w:sz w:val="24"/>
          <w:szCs w:val="24"/>
          <w:lang w:eastAsia="en-GB"/>
        </w:rPr>
        <w:t>those words</w:t>
      </w:r>
      <w:r w:rsidRPr="00933960">
        <w:rPr>
          <w:rFonts w:ascii="Times New Roman" w:eastAsia="Times New Roman" w:hAnsi="Times New Roman" w:cs="Times New Roman"/>
          <w:sz w:val="24"/>
          <w:szCs w:val="24"/>
          <w:lang w:eastAsia="en-GB"/>
        </w:rPr>
        <w:t xml:space="preserve"> alone cannot do, they said: play.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Humanistic psychology and attachment theory have influenced the development of therapeutic play. Two landmark texts of the 1950s – Carl Rogers’ work in establishing the role of client-centred therapy (also called person-centred therapy) – established the relational role of the therapeutic relationship (Rogers, 1951, 1957). Genuineness, unconditional positive regard, acceptance, and trust were the primary preconditions for psychological growth and transformation. These guidelines represent a central change in this area of therapy when play was viewed as transformative and moved the emphasis of interpretation (the play) further to </w:t>
      </w:r>
      <w:r w:rsidRPr="00933960">
        <w:rPr>
          <w:rFonts w:ascii="Times New Roman" w:eastAsia="Times New Roman" w:hAnsi="Times New Roman" w:cs="Times New Roman"/>
          <w:sz w:val="24"/>
          <w:szCs w:val="24"/>
          <w:lang w:eastAsia="en-GB"/>
        </w:rPr>
        <w:lastRenderedPageBreak/>
        <w:t xml:space="preserve">the quality of the relationship between therapist and child (Landreth, 2012). This is to say that play became a source of emotional safety, affirmation and autonomy for children. These concepts situate therapeutic play in a growth-oriented context and show how they are an important avenue for assistance and, in parallel with children, </w:t>
      </w:r>
      <w:r w:rsidR="004F707F" w:rsidRPr="00933960">
        <w:rPr>
          <w:rFonts w:ascii="Times New Roman" w:eastAsia="Times New Roman" w:hAnsi="Times New Roman" w:cs="Times New Roman"/>
          <w:sz w:val="24"/>
          <w:szCs w:val="24"/>
          <w:lang w:eastAsia="en-GB"/>
        </w:rPr>
        <w:t>honour</w:t>
      </w:r>
      <w:r w:rsidRPr="00933960">
        <w:rPr>
          <w:rFonts w:ascii="Times New Roman" w:eastAsia="Times New Roman" w:hAnsi="Times New Roman" w:cs="Times New Roman"/>
          <w:sz w:val="24"/>
          <w:szCs w:val="24"/>
          <w:lang w:eastAsia="en-GB"/>
        </w:rPr>
        <w:t xml:space="preserve"> the ways they communicate and understand their environment.</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 In this way, therapists are able, through play as an expression, to give children a space for their unconscious experience, emotion and behaviour to be expressed and interpreted in therapeutic relationships that are supportive (Axline, 1989). As a result history of this practice will underpin present day practice and underpin it within the view that therapeutic play is an intervention-led practice as well as an interventionist therapy that celebrates the child’s growing and emotionally responsive needs in multiple ways. Yet these founding theories were largely generated in Western clinical settings and did not explicitly consider cultural, linguistic or socio-economic differences.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Practitioners who have been trained to help facilitate play in therapeutic practices intentionally arrange emotionally supportive environments (Axline, 1989; Landreth, 2012). Well trained practitioners who are well versed in child emotional development facilitate these moments and keep all that engagement meaningful and developmentally appropriate (Landreth, 2012). Guided by studies around emotional development, reflections from care conversations keep the pace, moving lightness, and on their own (Denham, 2006; Ginsburg, 2007). So much of what children do is a manifestation of deep feelings, even if they do not verbalise this (Ginsburg, 2007). Not just for entertainment, the focus of these moments is on directed learning via the watchful eye (Axline, 1989). The key is the way play assists, not the plan behind it. And when a child is given something and not directed to choose, the effect shifts — curiosity takes over instead (Wood &amp; Attfield, 2005). Still, planning for play digs into things like fear, resistance or connection issues (Axline, 1989). One type is for development in multiple areas, while the second is for repair work in specific places (Wood &amp; Attfield, 2005). </w:t>
      </w:r>
    </w:p>
    <w:p w:rsidR="004F707F"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When the child appears happy and self-confident during an engagement, the adult selects what to include, organizes the environment with purpose, and reacts with cues drawn from behaviour elicited through playing with the toy (Landreth, 2012). What jumps out does not go unnoticed – play therapy acts intentionally, shaped to do so, as opposed to one-off events falling by the wayside (Axline, 1989). </w:t>
      </w:r>
    </w:p>
    <w:p w:rsidR="007F1A23"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lastRenderedPageBreak/>
        <w:t xml:space="preserve">Not every type of approach is appropriate – play therapy is different from traditional approaches like CBT, and conversation-based therapies. Sometimes it’s not linear how someone thinks and shows what they’re feeling either; words don’t do it and play plays a role. When emotions can be challenging to express, pretend play offers a welcome entry line (Landreth, 2012). Rather than voice, imagination picks up what falls down emotional strings. With puppets, crayons, books or imagination on the page, or imaginary scenarios we make-believe, children show inside storms (and often don’t say them aloud) with puppets, crayons, books, or imagine life together (Ginsburg, 2007). </w:t>
      </w:r>
    </w:p>
    <w:p w:rsidR="007F1A23"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Nevertheless, evidence about the effectiveness of therapeutic play’s success seems often felt as an incomplete picture. The vast majority of the research was based upon small projects, typically in schools or clinics around the Western world (Bratton et al., 2005; Slee, 2011). That said, counting on therapeutic play to involve everyone wouldn’t work. The value of the system is determined less by what is said and much more by how it is used (Slee, 2011). This is the key to success, to let each child grow at his or her own pace. Normal everyday things do daily </w:t>
      </w:r>
      <w:r w:rsidR="007F1A23" w:rsidRPr="00933960">
        <w:rPr>
          <w:rFonts w:ascii="Times New Roman" w:eastAsia="Times New Roman" w:hAnsi="Times New Roman" w:cs="Times New Roman"/>
          <w:sz w:val="24"/>
          <w:szCs w:val="24"/>
          <w:lang w:eastAsia="en-GB"/>
        </w:rPr>
        <w:t>use that creates</w:t>
      </w:r>
      <w:r w:rsidRPr="00933960">
        <w:rPr>
          <w:rFonts w:ascii="Times New Roman" w:eastAsia="Times New Roman" w:hAnsi="Times New Roman" w:cs="Times New Roman"/>
          <w:sz w:val="24"/>
          <w:szCs w:val="24"/>
          <w:lang w:eastAsia="en-GB"/>
        </w:rPr>
        <w:t xml:space="preserve"> close connections. Accustomed structures are therefore safe, and so trust develops without noise (Perry, 2006). For young people especially those who are the most vulnerable or have been shaped by marginal spaces — it’s crucial – the credibility of grown-ups and institutions dies rapidly (Perry, 2006). Things that users keep up with outmoded methods – materials, conversing or giving spaces – rather than a fading away tend to heighten and compound that which is problematic (Slee, 2011). For this reason, therapeutic play has been seen by many as an approach that only supports children in their current condition, so that no one is left to be left to their own devices (Lester &amp; Russell, 2010). These defining attributes generate interest to explore whether such approaches actually amplify emotional closeness through different segments of society. To determine whether and to what extent therapeutic play is effective, it is necessary to explicate what is in fact children’s social and emotional development as a component for all children in this essay. Social and emotional development is the increased ability of a child to identify and manage emotions, to respond and express emotions and to build relationships. Emotional regulation, self-expression, empathy, and interpersonal skills comprise key components of the development of key elements, which vary and build up gradually through interaction with caregiver, peer and wider environmental development and development through interacting with care (Denham, 2006; Shonkoff &amp; Phillips, 2000). Crucially, these processes are not only cognitive or verbal in character. Looking at social and emotional development through an evolving lens </w:t>
      </w:r>
      <w:r w:rsidRPr="00933960">
        <w:rPr>
          <w:rFonts w:ascii="Times New Roman" w:eastAsia="Times New Roman" w:hAnsi="Times New Roman" w:cs="Times New Roman"/>
          <w:sz w:val="24"/>
          <w:szCs w:val="24"/>
          <w:lang w:eastAsia="en-GB"/>
        </w:rPr>
        <w:lastRenderedPageBreak/>
        <w:t>of connection, expression and silent signals creates a key perspective to view therapeutic play is how we can look at how the social and emotional learning works. This is particularly true for children with developmental differences, language-based barriers or who have experienced adversity, for whom traditional, verbal mediated strategies might be more challenging to access.</w:t>
      </w:r>
    </w:p>
    <w:p w:rsidR="007F1A23" w:rsidRDefault="00933960" w:rsidP="008F791C">
      <w:pPr>
        <w:spacing w:before="100" w:beforeAutospacing="1" w:after="100" w:afterAutospacing="1" w:line="360" w:lineRule="auto"/>
        <w:rPr>
          <w:rFonts w:ascii="Times New Roman" w:eastAsia="Times New Roman" w:hAnsi="Times New Roman" w:cs="Times New Roman"/>
          <w:sz w:val="24"/>
          <w:szCs w:val="24"/>
          <w:lang w:eastAsia="en-GB"/>
        </w:rPr>
      </w:pPr>
      <w:r w:rsidRPr="00933960">
        <w:rPr>
          <w:rFonts w:ascii="Times New Roman" w:eastAsia="Times New Roman" w:hAnsi="Times New Roman" w:cs="Times New Roman"/>
          <w:sz w:val="24"/>
          <w:szCs w:val="24"/>
          <w:lang w:eastAsia="en-GB"/>
        </w:rPr>
        <w:t xml:space="preserve"> Considering social and emotional development as a dynamically changing, relationship-based and most of the time non-verbal process provides an important perspective for explaining when therapeutic play could assist the emotional and social functioning of children from different social backgrounds.. Central to therapeutic play is the concept of symbolic expression, that is, the opportunity for children to express affective experiences through the use of materials, narratives and role-plays. Symbolic play offers an approachable means of transferring emotion from internal to external and, for some children who might not be cognitively or linguistically able to verbalise complex feelings they do have, involves a space in which to externalise, to examine internal states (Axline, 1989; Landreth, 2012). This helps the child to become aware of their feelings and to express their emotions, which if buried in self-controlled anger may be overwhelming or unexpressed.</w:t>
      </w:r>
      <w:r w:rsidR="00F753A3" w:rsidRPr="00637A53">
        <w:rPr>
          <w:rFonts w:ascii="Times New Roman" w:eastAsia="Times New Roman" w:hAnsi="Times New Roman" w:cs="Times New Roman"/>
          <w:sz w:val="24"/>
          <w:szCs w:val="24"/>
          <w:lang w:eastAsia="en-GB"/>
        </w:rPr>
        <w:br/>
      </w:r>
      <w:r w:rsidR="008F791C" w:rsidRPr="008F791C">
        <w:rPr>
          <w:rFonts w:ascii="Times New Roman" w:eastAsia="Times New Roman" w:hAnsi="Times New Roman" w:cs="Times New Roman"/>
          <w:sz w:val="24"/>
          <w:szCs w:val="24"/>
          <w:lang w:eastAsia="en-GB"/>
        </w:rPr>
        <w:t>Finally, another mechanism that is crucial is emotional regulation through co-regulation. In the therapeutic play of these moments practitioners are there in a consistent and attuned relationship allowing children to “regulate emotional arousal in a safe</w:t>
      </w:r>
      <w:r w:rsidR="00263A8D">
        <w:rPr>
          <w:rFonts w:ascii="Times New Roman" w:eastAsia="Times New Roman" w:hAnsi="Times New Roman" w:cs="Times New Roman"/>
          <w:sz w:val="24"/>
          <w:szCs w:val="24"/>
          <w:lang w:eastAsia="en-GB"/>
        </w:rPr>
        <w:t xml:space="preserve">ly-engaged relational context. </w:t>
      </w:r>
      <w:r w:rsidR="008F791C" w:rsidRPr="008F791C">
        <w:rPr>
          <w:rFonts w:ascii="Times New Roman" w:eastAsia="Times New Roman" w:hAnsi="Times New Roman" w:cs="Times New Roman"/>
          <w:sz w:val="24"/>
          <w:szCs w:val="24"/>
          <w:lang w:eastAsia="en-GB"/>
        </w:rPr>
        <w:t>This co-regulatory experience can also, over time, support the development of self-regulation, as children come to internalise strategies to manage distress, frustration, or anxiety (Perry, 2006). Children who have suffered trauma, adversity and/or the breakdown of attachment are less likely to regulate their emotions in line with the model and thus this is a particularl</w:t>
      </w:r>
      <w:r w:rsidR="007F1A23">
        <w:rPr>
          <w:rFonts w:ascii="Times New Roman" w:eastAsia="Times New Roman" w:hAnsi="Times New Roman" w:cs="Times New Roman"/>
          <w:sz w:val="24"/>
          <w:szCs w:val="24"/>
          <w:lang w:eastAsia="en-GB"/>
        </w:rPr>
        <w:t xml:space="preserve">y relevant mechanism for them. </w:t>
      </w:r>
    </w:p>
    <w:p w:rsidR="00ED2D19" w:rsidRPr="00ED2D19" w:rsidRDefault="007F1A23" w:rsidP="00ED2D19">
      <w:pPr>
        <w:pStyle w:val="w7sjnrxzl6krnffuzhqe"/>
        <w:shd w:val="clear" w:color="auto" w:fill="FFFFFF"/>
        <w:spacing w:before="0" w:beforeAutospacing="0" w:after="120" w:afterAutospacing="0" w:line="360" w:lineRule="auto"/>
        <w:textAlignment w:val="baseline"/>
        <w:rPr>
          <w:spacing w:val="6"/>
        </w:rPr>
      </w:pPr>
      <w:r>
        <w:t>T</w:t>
      </w:r>
      <w:r w:rsidR="008F791C" w:rsidRPr="008F791C">
        <w:t xml:space="preserve">herapeutic play facilitates social interaction and supports relational learning. When they play together, they practice taking turns, showing a change of perspective, collaborating, and negotiating in a low-stakes environment. These interactions allow children to explore social roles and relational dynamics while receiving tailored guidance from the practitioner as they negotiate difficulties (Denham, 2006). Emotional and social </w:t>
      </w:r>
      <w:r w:rsidR="00263A8D" w:rsidRPr="008F791C">
        <w:t>development is</w:t>
      </w:r>
      <w:r w:rsidR="008F791C" w:rsidRPr="008F791C">
        <w:t xml:space="preserve"> intricately interrelated: improvements in emotional regulation can lead to more positive peer interactions, and successful social interactions can bolster emotional confidence and self-efficacy. </w:t>
      </w:r>
      <w:r>
        <w:br/>
      </w:r>
      <w:r w:rsidR="008F791C" w:rsidRPr="008F791C">
        <w:lastRenderedPageBreak/>
        <w:t xml:space="preserve">Lastly, the therapeutic relationship itself serves as a driver of change. In line with humanistic and attachment based modalities of play, therapeutic play involves acceptance, empathy, and emotional security—preconditions for growth (Rogers, 1957; Landreth, 2012). This relationship-based emphasis can be especially salient for children from all cultural, linguistic or socio-economic backgrounds in which practitioners may wish to make interventions sensitive to the individual identity as well as the lived experience of the child. These mechanisms lay a working theoretical groundwork for appraising the evidence base that supports therapeutic play. Studies suggest that while emotional expression comes through symbolic play—often through dolls or role-plays—a child’s emotional regulation and social interactions improve just enough to be noticed by parents and caregivers. </w:t>
      </w:r>
      <w:r>
        <w:br/>
      </w:r>
      <w:r w:rsidR="008F791C" w:rsidRPr="008F791C">
        <w:t xml:space="preserve">A way of expressing inner life via make-believe appears to support children’s ability to manage their feelings, articulate what they really mean and strengthen bonds with peers. Fantasy settings are a sense of safety for young players, enabling them to feel safe exploring reactions they may hold back from because of shyness or fear of being judged or blamed. Rather than encouraging kids to tell how they feel, play therapy allows feelings to surface when they’re involved—techniques that help kids understand emotions without making a formal statement. </w:t>
      </w:r>
      <w:r w:rsidR="000E2190">
        <w:br/>
      </w:r>
      <w:r w:rsidR="008F791C" w:rsidRPr="008F791C">
        <w:t>Some research suggests that kids are more adept at expressing feelings after they play together; and here, too, less pain comes out when play is initiated. Much of what we know is through close-ups of the time between the little ones and their helpers, as games or activities flow with growing-up milestones. Yet the success of this kind of play should be understood critically. The majority of the writings are focused on restricted qualitative exploration, case-by-case reviews or service user-driven evaluations at which many are based in Western schools and health services contexts (Bratton et al., 2005; Slee, 2011). While they represent ‘daily life as the experiences of children’, their low qua</w:t>
      </w:r>
      <w:r>
        <w:t>lity designs limit how generaliz</w:t>
      </w:r>
      <w:r w:rsidR="008F791C" w:rsidRPr="008F791C">
        <w:t xml:space="preserve">able the findings might be. Even so, findings deriving from therapeutic play typically depend on observation or expert </w:t>
      </w:r>
      <w:r w:rsidRPr="008F791C">
        <w:t>judgment that introduces</w:t>
      </w:r>
      <w:r w:rsidR="008F791C" w:rsidRPr="008F791C">
        <w:t xml:space="preserve"> individual bias to evaluation. What you do is you have the insight to know that therapeutic play works quite well in some circumstances, but not everyone in a field.</w:t>
      </w:r>
      <w:r>
        <w:br/>
      </w:r>
      <w:r w:rsidR="008F791C" w:rsidRPr="008F791C">
        <w:t xml:space="preserve"> How much it helps may depend on factors such as how old the child is, whether the individual conducting the session is seasoned and reflective about their decisions, or simply if their doing aligns with where the child is emotionally, culturally or in their native language. But acknowledging these limits is important—so the pledges around success don’t get blown off too far, and the approach can be used prudently and appropriately in diverse formats of </w:t>
      </w:r>
      <w:r w:rsidR="008F791C" w:rsidRPr="008F791C">
        <w:lastRenderedPageBreak/>
        <w:t xml:space="preserve">the world. </w:t>
      </w:r>
      <w:r w:rsidR="000E2190">
        <w:br/>
      </w:r>
      <w:r w:rsidR="008F791C" w:rsidRPr="008F791C">
        <w:t xml:space="preserve">Although therapeutic play has yielded positive effects promoting emotional and social development, it ought to be considered alongside other therapeutically based methods frequently implemented with children. Interventions that work in this way, such as cognitive behavioural therapy or counselling, often rely on talking and thinking in abstract terms, which may make them difficult for younger children or those with learning difficulties, language difficulties or different ways of communicating to manage. </w:t>
      </w:r>
      <w:r w:rsidR="000E2190">
        <w:br/>
      </w:r>
      <w:r w:rsidR="008F791C" w:rsidRPr="008F791C">
        <w:t xml:space="preserve">On the other hand, therapeutic play is more consistent with children’s developmental strengths because play is a primary means of expression. But of course an observation like this doesn’t mean therapeutic play is better at all. It is not likely to be effective in all cases; as indicated by practitioners’ training, the therapeutic relationship, and adaptation of interventions to children’s cultural and contextual contexts, which influence children’s response (Slee, 2011). </w:t>
      </w:r>
      <w:r w:rsidR="000E2190">
        <w:br/>
      </w:r>
      <w:r w:rsidR="008F791C" w:rsidRPr="008F791C">
        <w:t xml:space="preserve">Older or more advanced verbalised methods may even be more suitable for older children or ones having better verbal development when it comes around to verbally mediated approaches. A critical lens, therefore, should position therapeutic play as being one element of interventions and not an integral part of an overall intervention programme, and selection can be made according to an individual-level rather than universal needs. </w:t>
      </w:r>
      <w:r w:rsidR="000E2190">
        <w:br/>
      </w:r>
      <w:r w:rsidR="008F791C" w:rsidRPr="008F791C">
        <w:t xml:space="preserve">There is already available evidence that portrays both promise and danger of therapeutic play and raises broader questions about its place in inclusive practice. </w:t>
      </w:r>
      <w:r w:rsidR="000E2190">
        <w:br/>
      </w:r>
      <w:r w:rsidR="008F791C" w:rsidRPr="008F791C">
        <w:t>Although research indicates that therapeutic play may facilitate the regulation of emotion and social engagement, especially for children who have difficulties with language or verbal communication, these benefits cannot be generalized across populations (Bratton et al., 2005).</w:t>
      </w:r>
      <w:r w:rsidR="000E2190">
        <w:br/>
      </w:r>
      <w:r w:rsidR="008F791C" w:rsidRPr="008F791C">
        <w:t xml:space="preserve"> The prevalence of Western, middle-class studies fails to capture how therapeutic play works for children from marginalised or under-represented groups. Therefore, it cannot be concluded how effective the interventions are based on a fact alone, but should also focus on how this is practised in various settings. This demands practitioners to consider, critically, whether play materials, communication styles and therapeutic expectations reflect children’s culture and experiences (Wood &amp; Attfield, 2005). This is why there is an urgent need for linking evidence base to inclusive practice through understanding that effectiveness is not only the result of the intervention but also of the circumstances in which it is provided. So this approach offers a requisite link for exploring therapeutic play with children from a variety of backgrounds. Not all children have equitable access to high-quality therapeutic </w:t>
      </w:r>
      <w:r w:rsidR="008F791C" w:rsidRPr="008F791C">
        <w:lastRenderedPageBreak/>
        <w:t xml:space="preserve">play interventions. For children with modest words—those with learning disabilities, on the autism spectrum, or developing English—non-verbal opportunities for play like 'pretend' are frequently more successful (Ginsburg, 2007; Landreth, 2012). Feelings are more subtle forms of non-verbal expression and are communicated, not verbally but by actions or "re-enacted moments" rather than speech explanation. Yet diverting responsibility out of the speaker facilitates communication and yet maintains a warm atmosphere among individuals (Axline, 1989; Wood &amp; Attfield, 2005). Flexible responses are appealing to kids who struggle on the margins (Perry, 2006) and who have previously experienced hardship or exclusion (for some, flexibility comes first when control methods don’t work). </w:t>
      </w:r>
      <w:r w:rsidR="006E7282">
        <w:br/>
      </w:r>
      <w:r w:rsidR="008F791C" w:rsidRPr="008F791C">
        <w:t xml:space="preserve">The therapeutic effects of play depend on context, including culture, language, and physical environment. The objects, the concepts, the meanings attached to play that are heavily influenced by Western ideas around childhood, the expression of emotion and attachment often are not relevant to the cultural frames that all children may hold (Slee, 2011; Lester &amp; Russell, 2010). Unaware practitioners who do not know the culture of a young person’s background may misinterpret the symbolic meaning of play, that can then be interpreted inappropriately by practitioners without knowledge of the child’s cultural background (Wood &amp; Attfield, 2005). But because studies typically focus on similar populations, it’s difficult to know if and how teens from lower-income households respond to therapy play (Bratton et al., 2005). Yet creative therapy might benefit children from diverse cultural backgrounds, even if not all children — but it doesn’t work every time. What it does very well depends on how well those who are helping shape activities, words, and spaces — around that children’s lived context (their background, growth, real-world challenges), are (Slee, 2011). If minimal change occurs, the cycle could remain the same, rather than moving closer to being </w:t>
      </w:r>
      <w:r w:rsidR="00263A8D" w:rsidRPr="008F791C">
        <w:t>fairer</w:t>
      </w:r>
      <w:r w:rsidR="008F791C" w:rsidRPr="008F791C">
        <w:t>. A closer look shows that the reality is still more complicated — calling play therapy normal isn’t enough. The thing that matters is demonstrating how it connects kids beyond their more normal avenues of society. That said, understanding what is going on in play matters when therapy happens. Leave it that way, and then routines may assist children with everyday rhythms they already know. But some match poorly at all — how they feel is the way they show emotions, their background that often becomes lost in the shuffle. Where therapy matters, fairness isn’t simply a problem of good luck; it’s a formula: how we join matters, first response influences outcome, and each individual arrives clear-eyedly. Skip past judgement? Team learning could even reduce among groups. Yet when focus comes along, the ripple of consequences goes through school equity, local connections and straight into medical workflows</w:t>
      </w:r>
      <w:r w:rsidR="00C573ED" w:rsidRPr="00C573ED">
        <w:rPr>
          <w:rFonts w:ascii="Arial" w:hAnsi="Arial" w:cs="Arial"/>
          <w:color w:val="2E2B29"/>
          <w:sz w:val="27"/>
          <w:szCs w:val="27"/>
          <w:shd w:val="clear" w:color="auto" w:fill="FCFAF8"/>
        </w:rPr>
        <w:t xml:space="preserve"> </w:t>
      </w:r>
      <w:r w:rsidR="00C573ED" w:rsidRPr="00D636AD">
        <w:rPr>
          <w:color w:val="2E2B29"/>
          <w:shd w:val="clear" w:color="auto" w:fill="FCFAF8"/>
        </w:rPr>
        <w:t xml:space="preserve">Through the analysis in this essay it is proposed that therapeutic play can </w:t>
      </w:r>
      <w:r w:rsidR="00C573ED" w:rsidRPr="00D636AD">
        <w:rPr>
          <w:color w:val="2E2B29"/>
          <w:shd w:val="clear" w:color="auto" w:fill="FCFAF8"/>
        </w:rPr>
        <w:lastRenderedPageBreak/>
        <w:t>support inclusive practice</w:t>
      </w:r>
      <w:r w:rsidR="008F791C" w:rsidRPr="008F791C">
        <w:t xml:space="preserve">, albeit it can only do so if employed in a reflective, flexible and context sensitive way (Landreth, 2012; Wood &amp; Attfield, 2005). Practitioners must be more aware, informed, and inclusive of the developmental trajectories cultural backgrounds, linguistic resources and lived experience are embedded in the emotional and social development of children (Denham, 2006; Shonkoff &amp; Phillips, 2000). Natural play as well as expressive therapies have much to offer inclusive practice through flexible, sensory-rich (e.g., visual, auditory) and non-verbal experiences that help with emotional support and connecting with other children from all communities (Courtney et al., 2022). </w:t>
      </w:r>
      <w:r w:rsidR="006E7282">
        <w:br/>
      </w:r>
      <w:r w:rsidR="008F791C" w:rsidRPr="008F791C">
        <w:t>Thus, therapeutic play should not be considered an all-encompassing practice, but the response to children is relative (Slee, 2011). In other words, the philosophy demands that practitioners adjust materials, ways of communicating and the spaces in which children play rather than expecting them to conform to adult-defined systems (Lester &amp; Russell, 2010). Such modifications may include offering alternative forms of emotional expression to spoken language, offering culturally relevant play materials, as well as the flexibility with which children participate in play experiences (Axline, 1989; Landreth, 2012). These adaptations may be particularly beneficial for children with additional learning needs, neurodivergent children, and English as an additional language (EAL) students, for whom older and more traditional, conversational means of engagement are not readily obtainable (Ginsburg, 2007; Bratton et al., 2005). But, to be inclusive, practice must also recognize its limitations and the ethical possibilities of therapeutic playing. Excluding consideration, however, leads to a privileging of communication and cultural expectations that allow play-sustained interventions that favour the children that fit to the dominant and marginalise others (Slee, 2011).</w:t>
      </w:r>
      <w:r w:rsidR="006E7282">
        <w:br/>
      </w:r>
      <w:r w:rsidR="008F791C" w:rsidRPr="008F791C">
        <w:t xml:space="preserve"> Thus, practitioners must reflect continuously: for instance, they must constantly be looking at and judging how their assumptions and interpretations of children’s participation are changing which impacts the way that they are active (Wood &amp; Attfield, 2005). Partnership with families and professionals can also aid in promoting an accurate representation of children’s experiences and intervention design remains proportional and ethically relevant (Perry, 2006). </w:t>
      </w:r>
      <w:r w:rsidR="006E7282">
        <w:br/>
      </w:r>
      <w:r w:rsidR="008F791C" w:rsidRPr="008F791C">
        <w:t xml:space="preserve">The implications for inclusive practices are that therapeutic play appears to be most effective as part of an equity-centered model, which prioritizes responsiveness over standardisation (Lester &amp; Russell, 2010). </w:t>
      </w:r>
      <w:r w:rsidR="008F791C" w:rsidRPr="00ED2D19">
        <w:t>When reflexively and flexibly used, therapeutic play might enhance emotional and social development in many different age and groups; when applied uncritically, it can have limited power in promoting inclusion (Slee, 2011).</w:t>
      </w:r>
      <w:r w:rsidR="006E7282" w:rsidRPr="00ED2D19">
        <w:br/>
      </w:r>
      <w:r w:rsidR="00F753A3" w:rsidRPr="00ED2D19">
        <w:lastRenderedPageBreak/>
        <w:t xml:space="preserve">Therapeutic play, despite its potential benefits, is subject to significant limitations and ethical considerations that require acknowledgement. </w:t>
      </w:r>
      <w:r w:rsidR="00ED2D19" w:rsidRPr="00ED2D19">
        <w:rPr>
          <w:spacing w:val="6"/>
        </w:rPr>
        <w:t>Much of the existing evidence base is small-scale studies, practitioner-led evaluations, or studies done in Western, middle-class settings. This also significantly restricts the generalisability of findings to children from various cultural, socioeconomic, and linguistic backgrounds (Bratton et al., 2005; Slee, 2011). Moreover, the results have been often assessed via observation or interpretive criteria, which could pose challenges of subjectivity and practitioner bias (Wood &amp; Attfield, 2005). Ethically, therapeutic play requires clear professional boundaries, appropriate training, and reflective supervision so that play-based interventions do not make unstructured play and therapeutic support indistinguishable. As a practitioner, there is also a risk of misinterpretation, especially where cultural meanings, communication styles, or lived experiences differ from dominant norms.</w:t>
      </w:r>
    </w:p>
    <w:p w:rsidR="00FB3D9C" w:rsidRDefault="00FB3D9C" w:rsidP="00ED2D19">
      <w:pPr>
        <w:spacing w:before="100" w:beforeAutospacing="1" w:after="100" w:afterAutospacing="1" w:line="360" w:lineRule="auto"/>
        <w:rPr>
          <w:rFonts w:ascii="Times New Roman" w:eastAsia="Times New Roman" w:hAnsi="Times New Roman" w:cs="Times New Roman"/>
          <w:sz w:val="24"/>
          <w:szCs w:val="24"/>
          <w:lang w:eastAsia="en-GB"/>
        </w:rPr>
      </w:pPr>
      <w:r w:rsidRPr="00FB3D9C">
        <w:rPr>
          <w:rFonts w:ascii="Times New Roman" w:eastAsia="Times New Roman" w:hAnsi="Times New Roman" w:cs="Times New Roman"/>
          <w:sz w:val="24"/>
          <w:szCs w:val="24"/>
          <w:lang w:eastAsia="en-GB"/>
        </w:rPr>
        <w:t xml:space="preserve"> If consent, emotional safety, and cultural responsiveness are not meticulously considered, therapeutic play may inadvertently perpetuate power imbalances and cause harm (Lester &amp; Russell, 2010; Perry, 2006). Acknowledging and adapting to such constraints is essential to using therapeutic play in a responsible, ethical, and effective manner to nurture and promote children's emotional and social development. </w:t>
      </w:r>
    </w:p>
    <w:p w:rsidR="00E628B9" w:rsidRPr="005B5026" w:rsidRDefault="00FB3D9C" w:rsidP="005B5026">
      <w:pPr>
        <w:spacing w:after="0" w:line="360" w:lineRule="auto"/>
        <w:rPr>
          <w:rFonts w:ascii="Times New Roman" w:eastAsia="Times New Roman" w:hAnsi="Times New Roman" w:cs="Times New Roman"/>
          <w:color w:val="2E2B29"/>
          <w:sz w:val="24"/>
          <w:szCs w:val="24"/>
          <w:shd w:val="clear" w:color="auto" w:fill="FCFAF8"/>
          <w:lang w:eastAsia="en-GB"/>
        </w:rPr>
      </w:pPr>
      <w:r w:rsidRPr="00FB3D9C">
        <w:rPr>
          <w:rFonts w:ascii="Times New Roman" w:eastAsia="Times New Roman" w:hAnsi="Times New Roman" w:cs="Times New Roman"/>
          <w:sz w:val="24"/>
          <w:szCs w:val="24"/>
          <w:lang w:eastAsia="en-GB"/>
        </w:rPr>
        <w:t xml:space="preserve">This essay demonstrated how therapeutic play facilitates the emotional and social development of children from diverse backgrounds and explores the social implications regarding its use and possible inclusion. The findings suggest that therapeutic play may promote emotional regulation, self-expression, and social engagement for children who encounter barriers to verbal communication or those with additional learning needs, neurodivergent traits, or linguistic differences. </w:t>
      </w:r>
      <w:r w:rsidR="006E7282">
        <w:rPr>
          <w:rFonts w:ascii="Times New Roman" w:eastAsia="Times New Roman" w:hAnsi="Times New Roman" w:cs="Times New Roman"/>
          <w:sz w:val="24"/>
          <w:szCs w:val="24"/>
          <w:lang w:eastAsia="en-GB"/>
        </w:rPr>
        <w:br/>
      </w:r>
      <w:r w:rsidR="005B5026" w:rsidRPr="00D636AD">
        <w:rPr>
          <w:rFonts w:ascii="Times New Roman" w:eastAsia="Times New Roman" w:hAnsi="Times New Roman" w:cs="Times New Roman"/>
          <w:color w:val="2E2B29"/>
          <w:sz w:val="24"/>
          <w:szCs w:val="24"/>
          <w:shd w:val="clear" w:color="auto" w:fill="FCFAF8"/>
          <w:lang w:eastAsia="en-GB"/>
        </w:rPr>
        <w:t>Therapeutic play shoul</w:t>
      </w:r>
      <w:r w:rsidR="005B5026" w:rsidRPr="005B5026">
        <w:rPr>
          <w:rFonts w:ascii="Times New Roman" w:eastAsia="Times New Roman" w:hAnsi="Times New Roman" w:cs="Times New Roman"/>
          <w:color w:val="2E2B29"/>
          <w:sz w:val="24"/>
          <w:szCs w:val="24"/>
          <w:shd w:val="clear" w:color="auto" w:fill="FCFAF8"/>
          <w:lang w:eastAsia="en-GB"/>
        </w:rPr>
        <w:t>d therefore be interpreted as</w:t>
      </w:r>
      <w:r w:rsidRPr="005B5026">
        <w:rPr>
          <w:rFonts w:ascii="Times New Roman" w:eastAsia="Times New Roman" w:hAnsi="Times New Roman" w:cs="Times New Roman"/>
          <w:sz w:val="24"/>
          <w:szCs w:val="24"/>
          <w:lang w:eastAsia="en-GB"/>
        </w:rPr>
        <w:t xml:space="preserve"> conditionally effective based on outcomes that are contingent on contextual factors including practitioner skill, cultural responsiveness, and how well interventions are adapted to the unique needs of the children. The conversation around inclusive practice stresses that therapeutic play is not inherently inclusive, and that its ability to advance equity requires careful, considered, and adaptable use. </w:t>
      </w:r>
      <w:r w:rsidR="006E7282" w:rsidRPr="005B5026">
        <w:rPr>
          <w:rFonts w:ascii="Times New Roman" w:eastAsia="Times New Roman" w:hAnsi="Times New Roman" w:cs="Times New Roman"/>
          <w:sz w:val="24"/>
          <w:szCs w:val="24"/>
          <w:lang w:eastAsia="en-GB"/>
        </w:rPr>
        <w:br/>
      </w:r>
      <w:r w:rsidRPr="005B5026">
        <w:rPr>
          <w:rFonts w:ascii="Times New Roman" w:eastAsia="Times New Roman" w:hAnsi="Times New Roman" w:cs="Times New Roman"/>
          <w:sz w:val="24"/>
          <w:szCs w:val="24"/>
          <w:lang w:eastAsia="en-GB"/>
        </w:rPr>
        <w:t xml:space="preserve">In short, therapeutic play seems most effective when situated within a framework of inclusion, where responsiveness—rather than standardisation—is paramount to children’s emotional and social development. Among educators, this research identifies the significance of therapeutic play as an important aspect of inclusive education, as its principles can help </w:t>
      </w:r>
      <w:r w:rsidRPr="005B5026">
        <w:rPr>
          <w:rFonts w:ascii="Times New Roman" w:eastAsia="Times New Roman" w:hAnsi="Times New Roman" w:cs="Times New Roman"/>
          <w:sz w:val="24"/>
          <w:szCs w:val="24"/>
          <w:lang w:eastAsia="en-GB"/>
        </w:rPr>
        <w:lastRenderedPageBreak/>
        <w:t>educators make interventions in the classroom, pastoral settings, and school settings relevant to emotional regulation, social participation, and a sense of belonging for children from varied backgrounds. Yet, the implementation of therapeutic play as a vehicle for enhancing emotional and social development within inclusive education depends on its implementation reflecting, responding to cultural experiences and context, rather than assuming its successful implementation among all students.</w:t>
      </w:r>
    </w:p>
    <w:p w:rsidR="00E628B9" w:rsidRPr="00637A53" w:rsidRDefault="00E628B9"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E628B9" w:rsidRPr="00637A53" w:rsidRDefault="00E628B9"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E628B9" w:rsidRPr="00637A53" w:rsidRDefault="00E628B9"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DC0A90" w:rsidRDefault="00DC0A90"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5B5026" w:rsidRDefault="005B5026"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F753A3" w:rsidRPr="00637A53" w:rsidRDefault="00F753A3" w:rsidP="00637A53">
      <w:pPr>
        <w:spacing w:before="100" w:beforeAutospacing="1" w:after="100" w:afterAutospacing="1" w:line="360" w:lineRule="auto"/>
        <w:rPr>
          <w:rFonts w:ascii="Times New Roman" w:eastAsia="Times New Roman" w:hAnsi="Times New Roman" w:cs="Times New Roman"/>
          <w:sz w:val="24"/>
          <w:szCs w:val="24"/>
          <w:lang w:eastAsia="en-GB"/>
        </w:rPr>
      </w:pPr>
      <w:r w:rsidRPr="00637A53">
        <w:rPr>
          <w:rFonts w:ascii="Times New Roman" w:eastAsia="Times New Roman" w:hAnsi="Times New Roman" w:cs="Times New Roman"/>
          <w:sz w:val="24"/>
          <w:szCs w:val="24"/>
          <w:lang w:eastAsia="en-GB"/>
        </w:rPr>
        <w:lastRenderedPageBreak/>
        <w:t> </w:t>
      </w:r>
      <w:r w:rsidRPr="00637A53">
        <w:rPr>
          <w:rStyle w:val="Pogrubienie"/>
          <w:rFonts w:ascii="Times New Roman" w:hAnsi="Times New Roman" w:cs="Times New Roman"/>
          <w:b w:val="0"/>
          <w:bCs w:val="0"/>
          <w:sz w:val="24"/>
          <w:szCs w:val="24"/>
        </w:rPr>
        <w:t xml:space="preserve">References </w:t>
      </w:r>
      <w:r w:rsidR="00667280">
        <w:rPr>
          <w:rStyle w:val="Pogrubienie"/>
          <w:rFonts w:ascii="Times New Roman" w:hAnsi="Times New Roman" w:cs="Times New Roman"/>
          <w:b w:val="0"/>
          <w:bCs w:val="0"/>
          <w:sz w:val="24"/>
          <w:szCs w:val="24"/>
        </w:rPr>
        <w:t>:</w:t>
      </w:r>
    </w:p>
    <w:p w:rsidR="00F753A3" w:rsidRPr="00637A53" w:rsidRDefault="00F753A3" w:rsidP="00637A53">
      <w:pPr>
        <w:pStyle w:val="NormalnyWeb"/>
        <w:spacing w:line="360" w:lineRule="auto"/>
      </w:pPr>
      <w:r w:rsidRPr="00637A53">
        <w:t xml:space="preserve">Axline, V. M. (1989). </w:t>
      </w:r>
      <w:r w:rsidRPr="00637A53">
        <w:rPr>
          <w:rStyle w:val="Uwydatnienie"/>
        </w:rPr>
        <w:t>Play therapy</w:t>
      </w:r>
      <w:r w:rsidRPr="00637A53">
        <w:t>. Ballantine Books.</w:t>
      </w:r>
    </w:p>
    <w:p w:rsidR="00F753A3" w:rsidRPr="00637A53" w:rsidRDefault="00C05B47" w:rsidP="00637A53">
      <w:pPr>
        <w:pStyle w:val="NormalnyWeb"/>
        <w:spacing w:line="360" w:lineRule="auto"/>
      </w:pPr>
      <w:r w:rsidRPr="00637A53">
        <w:t xml:space="preserve">Bratton, S. C., Ray, D., Rhine, T., &amp; Jones, L. (2005). </w:t>
      </w:r>
      <w:r w:rsidR="00F753A3" w:rsidRPr="00637A53">
        <w:t xml:space="preserve">The efficacy of play therapy with children: A meta-analytic review of treatment outcomes. </w:t>
      </w:r>
      <w:r w:rsidR="00F753A3" w:rsidRPr="00637A53">
        <w:rPr>
          <w:rStyle w:val="Uwydatnienie"/>
        </w:rPr>
        <w:t>Professional Psychology: Research and Practice, 36</w:t>
      </w:r>
      <w:r w:rsidR="00F753A3" w:rsidRPr="00637A53">
        <w:t xml:space="preserve">(4), 376–390. </w:t>
      </w:r>
      <w:hyperlink r:id="rId11" w:tgtFrame="_new" w:history="1">
        <w:r w:rsidR="00F753A3" w:rsidRPr="00637A53">
          <w:rPr>
            <w:rStyle w:val="Hipercze"/>
          </w:rPr>
          <w:t>https://doi.org/10.1037/0735-7028.36.4.376</w:t>
        </w:r>
      </w:hyperlink>
    </w:p>
    <w:p w:rsidR="00F753A3" w:rsidRPr="00637A53" w:rsidRDefault="00F753A3" w:rsidP="00637A53">
      <w:pPr>
        <w:pStyle w:val="NormalnyWeb"/>
        <w:spacing w:line="360" w:lineRule="auto"/>
      </w:pPr>
      <w:r w:rsidRPr="00637A53">
        <w:t xml:space="preserve">Bronfenbrenner, U. (1979). </w:t>
      </w:r>
      <w:r w:rsidRPr="00637A53">
        <w:rPr>
          <w:rStyle w:val="Uwydatnienie"/>
        </w:rPr>
        <w:t>The ecology of human development: Experiments by nature and design</w:t>
      </w:r>
      <w:r w:rsidRPr="00637A53">
        <w:t>. Harvard University Press.</w:t>
      </w:r>
    </w:p>
    <w:p w:rsidR="00E628B9" w:rsidRPr="00637A53" w:rsidRDefault="00E628B9" w:rsidP="00637A53">
      <w:pPr>
        <w:pStyle w:val="NormalnyWeb"/>
        <w:spacing w:line="360" w:lineRule="auto"/>
      </w:pPr>
      <w:r w:rsidRPr="00637A53">
        <w:t xml:space="preserve">Byrd, R., Christensen, T., &amp; Luke, C. (2020). </w:t>
      </w:r>
      <w:r w:rsidRPr="00637A53">
        <w:rPr>
          <w:rStyle w:val="Uwydatnienie"/>
        </w:rPr>
        <w:t>Play therapy</w:t>
      </w:r>
      <w:r w:rsidRPr="00637A53">
        <w:t xml:space="preserve">. In R. Byrd, T. Christensen, &amp; C. Luke (Eds.), </w:t>
      </w:r>
      <w:r w:rsidR="0064336F" w:rsidRPr="00637A53">
        <w:rPr>
          <w:rStyle w:val="Uwydatnienie"/>
        </w:rPr>
        <w:t>Counselling</w:t>
      </w:r>
      <w:r w:rsidRPr="00637A53">
        <w:rPr>
          <w:rStyle w:val="Uwydatnienie"/>
        </w:rPr>
        <w:t xml:space="preserve"> children and adolescents</w:t>
      </w:r>
      <w:r w:rsidRPr="00637A53">
        <w:t>. Routledge.</w:t>
      </w:r>
    </w:p>
    <w:p w:rsidR="00E628B9" w:rsidRPr="00637A53" w:rsidRDefault="00E628B9" w:rsidP="00637A53">
      <w:pPr>
        <w:pStyle w:val="NormalnyWeb"/>
        <w:spacing w:line="360" w:lineRule="auto"/>
      </w:pPr>
      <w:r w:rsidRPr="00637A53">
        <w:t>Courtney, J. A., Langley, J. L., Wonders, L. L., Heiko, R., &amp;</w:t>
      </w:r>
      <w:r w:rsidR="0064336F" w:rsidRPr="00637A53">
        <w:t xml:space="preserve"> </w:t>
      </w:r>
      <w:r w:rsidRPr="00637A53">
        <w:t xml:space="preserve">LaPiere, R. (Eds.). (2022). </w:t>
      </w:r>
      <w:r w:rsidRPr="00637A53">
        <w:rPr>
          <w:rStyle w:val="Uwydatnienie"/>
        </w:rPr>
        <w:t>Nature-based play and expressive therapies: Interventions for working with children, teens, and families</w:t>
      </w:r>
      <w:r w:rsidRPr="00637A53">
        <w:t>. Routledge.</w:t>
      </w:r>
    </w:p>
    <w:p w:rsidR="00F753A3" w:rsidRPr="00637A53" w:rsidRDefault="00F753A3" w:rsidP="00637A53">
      <w:pPr>
        <w:pStyle w:val="NormalnyWeb"/>
        <w:spacing w:line="360" w:lineRule="auto"/>
      </w:pPr>
      <w:r w:rsidRPr="00637A53">
        <w:t>Denham, S. A. (2006). Social–emotional competence as support f</w:t>
      </w:r>
      <w:r w:rsidR="0064336F" w:rsidRPr="00637A53">
        <w:t xml:space="preserve">or school readiness: What is it, </w:t>
      </w:r>
      <w:r w:rsidRPr="00637A53">
        <w:t xml:space="preserve">and how do we assess it? </w:t>
      </w:r>
      <w:r w:rsidRPr="00637A53">
        <w:rPr>
          <w:rStyle w:val="Uwydatnienie"/>
        </w:rPr>
        <w:t>Early Education and Development, 17</w:t>
      </w:r>
      <w:r w:rsidRPr="00637A53">
        <w:t xml:space="preserve">(1), 57–89. </w:t>
      </w:r>
      <w:hyperlink r:id="rId12" w:tgtFrame="_new" w:history="1">
        <w:r w:rsidRPr="00637A53">
          <w:rPr>
            <w:rStyle w:val="Hipercze"/>
          </w:rPr>
          <w:t>https://doi.org/10.1207/s15566935eed1701_4</w:t>
        </w:r>
      </w:hyperlink>
    </w:p>
    <w:p w:rsidR="00F753A3" w:rsidRPr="00637A53" w:rsidRDefault="00F753A3" w:rsidP="00637A53">
      <w:pPr>
        <w:pStyle w:val="NormalnyWeb"/>
        <w:spacing w:line="360" w:lineRule="auto"/>
      </w:pPr>
      <w:r w:rsidRPr="00637A53">
        <w:t xml:space="preserve">Felitti, V. J., Anda, R. F., Nordenberg, D., Williamson, D. F., Spitz, A. M., Edwards, V., Koss, M. P., &amp; Marks, J. S. (1998). Relationship of childhood abuse and household dysfunction to many of the leading causes of death in adults. </w:t>
      </w:r>
      <w:r w:rsidRPr="00637A53">
        <w:rPr>
          <w:rStyle w:val="Uwydatnienie"/>
        </w:rPr>
        <w:t>American Journal of Preventive Medicine, 14</w:t>
      </w:r>
      <w:r w:rsidRPr="00637A53">
        <w:t>(4), 245–258. https://doi.org/10.1016/S0749-3797(98)00017-8</w:t>
      </w:r>
    </w:p>
    <w:p w:rsidR="00F753A3" w:rsidRPr="00637A53" w:rsidRDefault="00F753A3" w:rsidP="00637A53">
      <w:pPr>
        <w:pStyle w:val="NormalnyWeb"/>
        <w:spacing w:line="360" w:lineRule="auto"/>
      </w:pPr>
      <w:r w:rsidRPr="00637A53">
        <w:t xml:space="preserve">Ginsburg, K. R. (2007). The importance of play in promoting healthy child development and maintaining strong parent–child bonds. </w:t>
      </w:r>
      <w:r w:rsidRPr="00637A53">
        <w:rPr>
          <w:rStyle w:val="Uwydatnienie"/>
        </w:rPr>
        <w:t>P</w:t>
      </w:r>
      <w:r w:rsidR="0064336F" w:rsidRPr="00637A53">
        <w:rPr>
          <w:rStyle w:val="Uwydatnienie"/>
        </w:rPr>
        <w:t>a</w:t>
      </w:r>
      <w:r w:rsidRPr="00637A53">
        <w:rPr>
          <w:rStyle w:val="Uwydatnienie"/>
        </w:rPr>
        <w:t>ediatrics, 119</w:t>
      </w:r>
      <w:r w:rsidRPr="00637A53">
        <w:t xml:space="preserve">(1), 182–191. </w:t>
      </w:r>
      <w:hyperlink r:id="rId13" w:tgtFrame="_new" w:history="1">
        <w:r w:rsidRPr="00637A53">
          <w:rPr>
            <w:rStyle w:val="Hipercze"/>
          </w:rPr>
          <w:t>https://doi.org/10.1542/peds.2006-2697</w:t>
        </w:r>
      </w:hyperlink>
    </w:p>
    <w:p w:rsidR="00F753A3" w:rsidRPr="00637A53" w:rsidRDefault="00F753A3" w:rsidP="00637A53">
      <w:pPr>
        <w:pStyle w:val="NormalnyWeb"/>
        <w:spacing w:line="360" w:lineRule="auto"/>
      </w:pPr>
      <w:r w:rsidRPr="00637A53">
        <w:t xml:space="preserve">Klein, M. (1961). </w:t>
      </w:r>
      <w:r w:rsidRPr="00637A53">
        <w:rPr>
          <w:rStyle w:val="Uwydatnienie"/>
        </w:rPr>
        <w:t>Narrative of a child analysis</w:t>
      </w:r>
      <w:r w:rsidRPr="00637A53">
        <w:t>. Hogarth Press.</w:t>
      </w:r>
    </w:p>
    <w:p w:rsidR="00F753A3" w:rsidRPr="00637A53" w:rsidRDefault="00F753A3" w:rsidP="00637A53">
      <w:pPr>
        <w:pStyle w:val="NormalnyWeb"/>
        <w:spacing w:line="360" w:lineRule="auto"/>
      </w:pPr>
      <w:r w:rsidRPr="00637A53">
        <w:t xml:space="preserve">Klein, M. (1987). </w:t>
      </w:r>
      <w:r w:rsidRPr="00637A53">
        <w:rPr>
          <w:rStyle w:val="Uwydatnienie"/>
        </w:rPr>
        <w:t>The psycho-analysis of children</w:t>
      </w:r>
      <w:r w:rsidRPr="00637A53">
        <w:t>. Vintage.</w:t>
      </w:r>
    </w:p>
    <w:p w:rsidR="00F753A3" w:rsidRPr="00637A53" w:rsidRDefault="00F753A3" w:rsidP="00637A53">
      <w:pPr>
        <w:pStyle w:val="NormalnyWeb"/>
        <w:spacing w:line="360" w:lineRule="auto"/>
      </w:pPr>
      <w:r w:rsidRPr="00637A53">
        <w:t xml:space="preserve">Landreth, G. L. (2012). </w:t>
      </w:r>
      <w:r w:rsidRPr="00637A53">
        <w:rPr>
          <w:rStyle w:val="Uwydatnienie"/>
        </w:rPr>
        <w:t>Play therapy: The art of the relationship</w:t>
      </w:r>
      <w:r w:rsidRPr="00637A53">
        <w:t xml:space="preserve"> (3rd ed.). Routledge.</w:t>
      </w:r>
    </w:p>
    <w:p w:rsidR="00F753A3" w:rsidRPr="00637A53" w:rsidRDefault="00F753A3" w:rsidP="00637A53">
      <w:pPr>
        <w:pStyle w:val="NormalnyWeb"/>
        <w:spacing w:line="360" w:lineRule="auto"/>
      </w:pPr>
      <w:r w:rsidRPr="00637A53">
        <w:lastRenderedPageBreak/>
        <w:t xml:space="preserve">Lester, S., &amp; Russell, W. (2010). </w:t>
      </w:r>
      <w:r w:rsidRPr="00637A53">
        <w:rPr>
          <w:rStyle w:val="Uwydatnienie"/>
        </w:rPr>
        <w:t>Children’s right to play: An examination of the importance of play in the lives of children worldwide</w:t>
      </w:r>
      <w:r w:rsidRPr="00637A53">
        <w:t>. Bernard van Leer Foundation.</w:t>
      </w:r>
    </w:p>
    <w:p w:rsidR="00F753A3" w:rsidRPr="00637A53" w:rsidRDefault="00F753A3" w:rsidP="00637A53">
      <w:pPr>
        <w:pStyle w:val="NormalnyWeb"/>
        <w:spacing w:line="360" w:lineRule="auto"/>
      </w:pPr>
      <w:r w:rsidRPr="00637A53">
        <w:t xml:space="preserve">Lowenfeld, M. (1970). </w:t>
      </w:r>
      <w:r w:rsidRPr="00637A53">
        <w:rPr>
          <w:rStyle w:val="Uwydatnienie"/>
        </w:rPr>
        <w:t>Play in childhood</w:t>
      </w:r>
      <w:r w:rsidRPr="00637A53">
        <w:t>. Cambridge University Press.</w:t>
      </w:r>
    </w:p>
    <w:p w:rsidR="00F753A3" w:rsidRPr="00637A53" w:rsidRDefault="00F753A3" w:rsidP="00637A53">
      <w:pPr>
        <w:pStyle w:val="NormalnyWeb"/>
        <w:spacing w:line="360" w:lineRule="auto"/>
      </w:pPr>
      <w:r w:rsidRPr="00637A53">
        <w:t>Perry, B. D. (2006). Applying principles of neurodevelopment to clinical wo</w:t>
      </w:r>
      <w:r w:rsidR="00A723AA" w:rsidRPr="00637A53">
        <w:t>rk with maltreated and traumatis</w:t>
      </w:r>
      <w:r w:rsidRPr="00637A53">
        <w:t xml:space="preserve">ed children. In N. Boyd Webb (Ed.), </w:t>
      </w:r>
      <w:r w:rsidRPr="00637A53">
        <w:rPr>
          <w:rStyle w:val="Uwydatnienie"/>
        </w:rPr>
        <w:t>Working with traumatized youth in child welfare</w:t>
      </w:r>
      <w:r w:rsidRPr="00637A53">
        <w:t xml:space="preserve"> (pp. 27–52). Guilford Press.</w:t>
      </w:r>
    </w:p>
    <w:p w:rsidR="00F753A3" w:rsidRPr="00637A53" w:rsidRDefault="00F753A3" w:rsidP="00637A53">
      <w:pPr>
        <w:pStyle w:val="NormalnyWeb"/>
        <w:spacing w:line="360" w:lineRule="auto"/>
      </w:pPr>
      <w:r w:rsidRPr="00637A53">
        <w:t xml:space="preserve">Rogers, C. R. (1951). </w:t>
      </w:r>
      <w:r w:rsidR="00A723AA" w:rsidRPr="00637A53">
        <w:rPr>
          <w:rStyle w:val="Uwydatnienie"/>
        </w:rPr>
        <w:t>Client-cent</w:t>
      </w:r>
      <w:r w:rsidRPr="00637A53">
        <w:rPr>
          <w:rStyle w:val="Uwydatnienie"/>
        </w:rPr>
        <w:t>red therapy</w:t>
      </w:r>
      <w:r w:rsidRPr="00637A53">
        <w:t>. Houghton Mifflin.</w:t>
      </w:r>
    </w:p>
    <w:p w:rsidR="00F753A3" w:rsidRPr="00637A53" w:rsidRDefault="00F753A3" w:rsidP="00637A53">
      <w:pPr>
        <w:pStyle w:val="NormalnyWeb"/>
        <w:spacing w:line="360" w:lineRule="auto"/>
      </w:pPr>
      <w:r w:rsidRPr="00637A53">
        <w:t xml:space="preserve">Rogers, C. R. (1957). The necessary and sufficient conditions of therapeutic personality change. </w:t>
      </w:r>
      <w:r w:rsidRPr="00637A53">
        <w:rPr>
          <w:rStyle w:val="Uwydatnienie"/>
        </w:rPr>
        <w:t>Journal of Consulting Psychology, 21</w:t>
      </w:r>
      <w:r w:rsidRPr="00637A53">
        <w:t xml:space="preserve">(2), 95–103. </w:t>
      </w:r>
      <w:hyperlink r:id="rId14" w:tgtFrame="_new" w:history="1">
        <w:r w:rsidRPr="00637A53">
          <w:rPr>
            <w:rStyle w:val="Hipercze"/>
          </w:rPr>
          <w:t>https://doi.org/10.1037/h0045357</w:t>
        </w:r>
      </w:hyperlink>
    </w:p>
    <w:p w:rsidR="00F753A3" w:rsidRPr="00637A53" w:rsidRDefault="00F753A3" w:rsidP="00637A53">
      <w:pPr>
        <w:pStyle w:val="NormalnyWeb"/>
        <w:spacing w:line="360" w:lineRule="auto"/>
      </w:pPr>
      <w:r w:rsidRPr="00637A53">
        <w:t xml:space="preserve">Shonkoff, J. P., &amp; Phillips, D. A. (Eds.). (2000). </w:t>
      </w:r>
      <w:r w:rsidRPr="00637A53">
        <w:rPr>
          <w:rStyle w:val="Uwydatnienie"/>
        </w:rPr>
        <w:t>From neuron</w:t>
      </w:r>
      <w:r w:rsidR="00A723AA" w:rsidRPr="00637A53">
        <w:rPr>
          <w:rStyle w:val="Uwydatnienie"/>
        </w:rPr>
        <w:t>e</w:t>
      </w:r>
      <w:r w:rsidRPr="00637A53">
        <w:rPr>
          <w:rStyle w:val="Uwydatnienie"/>
        </w:rPr>
        <w:t>s to neighbo</w:t>
      </w:r>
      <w:r w:rsidR="00A723AA" w:rsidRPr="00637A53">
        <w:rPr>
          <w:rStyle w:val="Uwydatnienie"/>
        </w:rPr>
        <w:t>u</w:t>
      </w:r>
      <w:r w:rsidRPr="00637A53">
        <w:rPr>
          <w:rStyle w:val="Uwydatnienie"/>
        </w:rPr>
        <w:t>rhoods: The science of early childhood development</w:t>
      </w:r>
      <w:r w:rsidRPr="00637A53">
        <w:t>. National Academy Press.</w:t>
      </w:r>
    </w:p>
    <w:p w:rsidR="00F753A3" w:rsidRPr="00637A53" w:rsidRDefault="00F753A3" w:rsidP="00637A53">
      <w:pPr>
        <w:pStyle w:val="NormalnyWeb"/>
        <w:spacing w:line="360" w:lineRule="auto"/>
      </w:pPr>
      <w:r w:rsidRPr="00637A53">
        <w:t xml:space="preserve">Shonkoff, J. P., Garner, A. S., Siegel, B. S., Dobbins, M. I., Earls, M. F., McGuinn, L., Pascoe, J., &amp; Wood, D. L. (2012). The lifelong effects of early childhood adversity and toxic stress. </w:t>
      </w:r>
      <w:r w:rsidRPr="00637A53">
        <w:rPr>
          <w:rStyle w:val="Uwydatnienie"/>
        </w:rPr>
        <w:t>Pediatrics, 129</w:t>
      </w:r>
      <w:r w:rsidRPr="00637A53">
        <w:t xml:space="preserve">(1), e232–e246. </w:t>
      </w:r>
      <w:hyperlink r:id="rId15" w:tgtFrame="_new" w:history="1">
        <w:r w:rsidRPr="00637A53">
          <w:rPr>
            <w:rStyle w:val="Hipercze"/>
          </w:rPr>
          <w:t>https://doi.org/10.1542/peds.2011-2663</w:t>
        </w:r>
      </w:hyperlink>
    </w:p>
    <w:p w:rsidR="00F753A3" w:rsidRPr="00637A53" w:rsidRDefault="00F753A3" w:rsidP="00637A53">
      <w:pPr>
        <w:pStyle w:val="NormalnyWeb"/>
        <w:spacing w:line="360" w:lineRule="auto"/>
      </w:pPr>
      <w:r w:rsidRPr="00637A53">
        <w:t xml:space="preserve">Slee, R. (2011). </w:t>
      </w:r>
      <w:r w:rsidRPr="00637A53">
        <w:rPr>
          <w:rStyle w:val="Uwydatnienie"/>
        </w:rPr>
        <w:t>The irregular school: Exclusion, schooling and inclusive education</w:t>
      </w:r>
      <w:r w:rsidRPr="00637A53">
        <w:t>. Routledge.</w:t>
      </w:r>
    </w:p>
    <w:p w:rsidR="00F753A3" w:rsidRPr="00637A53" w:rsidRDefault="00F753A3" w:rsidP="00637A53">
      <w:pPr>
        <w:pStyle w:val="NormalnyWeb"/>
        <w:spacing w:line="360" w:lineRule="auto"/>
      </w:pPr>
      <w:r w:rsidRPr="00637A53">
        <w:t xml:space="preserve">Wood, E., &amp; Attfield, J. (2005). </w:t>
      </w:r>
      <w:r w:rsidRPr="00637A53">
        <w:rPr>
          <w:rStyle w:val="Uwydatnienie"/>
        </w:rPr>
        <w:t>Play, learning and the early childhood curriculum</w:t>
      </w:r>
      <w:r w:rsidRPr="00637A53">
        <w:t xml:space="preserve"> (2nd ed.). SAGE.</w:t>
      </w:r>
    </w:p>
    <w:p w:rsidR="00F753A3" w:rsidRPr="00637A53" w:rsidRDefault="00F753A3" w:rsidP="00637A53">
      <w:pPr>
        <w:spacing w:before="100" w:beforeAutospacing="1" w:after="100" w:afterAutospacing="1" w:line="360" w:lineRule="auto"/>
        <w:rPr>
          <w:rFonts w:ascii="Times New Roman" w:eastAsia="Times New Roman" w:hAnsi="Times New Roman" w:cs="Times New Roman"/>
          <w:sz w:val="24"/>
          <w:szCs w:val="24"/>
          <w:lang w:eastAsia="en-GB"/>
        </w:rPr>
      </w:pPr>
    </w:p>
    <w:p w:rsidR="00F753A3" w:rsidRPr="00637A53" w:rsidRDefault="00F753A3" w:rsidP="00637A53">
      <w:pPr>
        <w:spacing w:line="360" w:lineRule="auto"/>
        <w:rPr>
          <w:rFonts w:ascii="Times New Roman" w:hAnsi="Times New Roman" w:cs="Times New Roman"/>
          <w:sz w:val="24"/>
          <w:szCs w:val="24"/>
        </w:rPr>
      </w:pPr>
    </w:p>
    <w:p w:rsidR="00BE3036" w:rsidRPr="00637A53" w:rsidRDefault="00BE3036" w:rsidP="00637A53">
      <w:pPr>
        <w:spacing w:line="360" w:lineRule="auto"/>
        <w:rPr>
          <w:rFonts w:ascii="Times New Roman" w:hAnsi="Times New Roman" w:cs="Times New Roman"/>
          <w:sz w:val="24"/>
          <w:szCs w:val="24"/>
        </w:rPr>
      </w:pPr>
    </w:p>
    <w:p w:rsidR="00E628B9" w:rsidRPr="00637A53" w:rsidRDefault="00E628B9" w:rsidP="00637A53">
      <w:pPr>
        <w:spacing w:line="360" w:lineRule="auto"/>
        <w:rPr>
          <w:rFonts w:ascii="Times New Roman" w:hAnsi="Times New Roman" w:cs="Times New Roman"/>
          <w:sz w:val="24"/>
          <w:szCs w:val="24"/>
        </w:rPr>
      </w:pPr>
    </w:p>
    <w:sectPr w:rsidR="00E628B9" w:rsidRPr="00637A53" w:rsidSect="00BE303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B13" w:rsidRDefault="00401B13" w:rsidP="00176C1B">
      <w:pPr>
        <w:spacing w:after="0" w:line="240" w:lineRule="auto"/>
      </w:pPr>
      <w:r>
        <w:separator/>
      </w:r>
    </w:p>
  </w:endnote>
  <w:endnote w:type="continuationSeparator" w:id="1">
    <w:p w:rsidR="00401B13" w:rsidRDefault="00401B13" w:rsidP="00176C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B13" w:rsidRDefault="00401B13" w:rsidP="00176C1B">
      <w:pPr>
        <w:spacing w:after="0" w:line="240" w:lineRule="auto"/>
      </w:pPr>
      <w:r>
        <w:separator/>
      </w:r>
    </w:p>
  </w:footnote>
  <w:footnote w:type="continuationSeparator" w:id="1">
    <w:p w:rsidR="00401B13" w:rsidRDefault="00401B13" w:rsidP="00176C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42164"/>
    <w:multiLevelType w:val="multilevel"/>
    <w:tmpl w:val="7A36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1F544F"/>
    <w:multiLevelType w:val="hybridMultilevel"/>
    <w:tmpl w:val="3F528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753A3"/>
    <w:rsid w:val="00017D20"/>
    <w:rsid w:val="00071DA9"/>
    <w:rsid w:val="000E2190"/>
    <w:rsid w:val="00176C1B"/>
    <w:rsid w:val="001F73FB"/>
    <w:rsid w:val="002452DC"/>
    <w:rsid w:val="00263A8D"/>
    <w:rsid w:val="00401B13"/>
    <w:rsid w:val="004F707F"/>
    <w:rsid w:val="005B2DF7"/>
    <w:rsid w:val="005B5026"/>
    <w:rsid w:val="005C048C"/>
    <w:rsid w:val="00603180"/>
    <w:rsid w:val="006375E8"/>
    <w:rsid w:val="00637A53"/>
    <w:rsid w:val="0064336F"/>
    <w:rsid w:val="00667280"/>
    <w:rsid w:val="006E7282"/>
    <w:rsid w:val="007C7D0E"/>
    <w:rsid w:val="007F1A23"/>
    <w:rsid w:val="00816700"/>
    <w:rsid w:val="00834A99"/>
    <w:rsid w:val="008F791C"/>
    <w:rsid w:val="00933960"/>
    <w:rsid w:val="00A723AA"/>
    <w:rsid w:val="00A92409"/>
    <w:rsid w:val="00BE3036"/>
    <w:rsid w:val="00C05B47"/>
    <w:rsid w:val="00C1382F"/>
    <w:rsid w:val="00C573ED"/>
    <w:rsid w:val="00CC073B"/>
    <w:rsid w:val="00CD09E0"/>
    <w:rsid w:val="00D277D2"/>
    <w:rsid w:val="00DC0A90"/>
    <w:rsid w:val="00E16057"/>
    <w:rsid w:val="00E628B9"/>
    <w:rsid w:val="00EC7E90"/>
    <w:rsid w:val="00ED2D19"/>
    <w:rsid w:val="00F01505"/>
    <w:rsid w:val="00F753A3"/>
    <w:rsid w:val="00FB3D9C"/>
    <w:rsid w:val="00FC5B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52D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753A3"/>
    <w:rPr>
      <w:color w:val="0000FF"/>
      <w:u w:val="single"/>
    </w:rPr>
  </w:style>
  <w:style w:type="paragraph" w:styleId="NormalnyWeb">
    <w:name w:val="Normal (Web)"/>
    <w:basedOn w:val="Normalny"/>
    <w:uiPriority w:val="99"/>
    <w:unhideWhenUsed/>
    <w:rsid w:val="00F753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ogrubienie">
    <w:name w:val="Strong"/>
    <w:basedOn w:val="Domylnaczcionkaakapitu"/>
    <w:uiPriority w:val="22"/>
    <w:qFormat/>
    <w:rsid w:val="00F753A3"/>
    <w:rPr>
      <w:b/>
      <w:bCs/>
    </w:rPr>
  </w:style>
  <w:style w:type="character" w:styleId="Uwydatnienie">
    <w:name w:val="Emphasis"/>
    <w:basedOn w:val="Domylnaczcionkaakapitu"/>
    <w:uiPriority w:val="20"/>
    <w:qFormat/>
    <w:rsid w:val="00F753A3"/>
    <w:rPr>
      <w:i/>
      <w:iCs/>
    </w:rPr>
  </w:style>
  <w:style w:type="paragraph" w:styleId="Nagwek">
    <w:name w:val="header"/>
    <w:basedOn w:val="Normalny"/>
    <w:link w:val="NagwekZnak"/>
    <w:uiPriority w:val="99"/>
    <w:semiHidden/>
    <w:unhideWhenUsed/>
    <w:rsid w:val="00176C1B"/>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176C1B"/>
  </w:style>
  <w:style w:type="paragraph" w:styleId="Stopka">
    <w:name w:val="footer"/>
    <w:basedOn w:val="Normalny"/>
    <w:link w:val="StopkaZnak"/>
    <w:uiPriority w:val="99"/>
    <w:semiHidden/>
    <w:unhideWhenUsed/>
    <w:rsid w:val="00176C1B"/>
    <w:pPr>
      <w:tabs>
        <w:tab w:val="center" w:pos="4513"/>
        <w:tab w:val="right" w:pos="9026"/>
      </w:tabs>
      <w:spacing w:after="0" w:line="240" w:lineRule="auto"/>
    </w:pPr>
  </w:style>
  <w:style w:type="character" w:customStyle="1" w:styleId="StopkaZnak">
    <w:name w:val="Stopka Znak"/>
    <w:basedOn w:val="Domylnaczcionkaakapitu"/>
    <w:link w:val="Stopka"/>
    <w:uiPriority w:val="99"/>
    <w:semiHidden/>
    <w:rsid w:val="00176C1B"/>
  </w:style>
  <w:style w:type="paragraph" w:styleId="Akapitzlist">
    <w:name w:val="List Paragraph"/>
    <w:basedOn w:val="Normalny"/>
    <w:uiPriority w:val="34"/>
    <w:qFormat/>
    <w:rsid w:val="00DC0A90"/>
    <w:pPr>
      <w:spacing w:after="160" w:line="278" w:lineRule="auto"/>
      <w:ind w:left="720"/>
      <w:contextualSpacing/>
    </w:pPr>
    <w:rPr>
      <w:rFonts w:eastAsiaTheme="minorEastAsia"/>
      <w:kern w:val="2"/>
      <w:sz w:val="24"/>
      <w:szCs w:val="24"/>
      <w:lang w:eastAsia="zh-CN"/>
    </w:rPr>
  </w:style>
  <w:style w:type="character" w:customStyle="1" w:styleId="fontstyle01">
    <w:name w:val="fontstyle01"/>
    <w:basedOn w:val="Domylnaczcionkaakapitu"/>
    <w:rsid w:val="00DC0A90"/>
    <w:rPr>
      <w:rFonts w:ascii="ArialMT" w:hAnsi="ArialMT" w:hint="default"/>
      <w:b w:val="0"/>
      <w:bCs w:val="0"/>
      <w:i w:val="0"/>
      <w:iCs w:val="0"/>
      <w:color w:val="000000"/>
      <w:sz w:val="22"/>
      <w:szCs w:val="22"/>
    </w:rPr>
  </w:style>
  <w:style w:type="paragraph" w:customStyle="1" w:styleId="w7sjnrxzl6krnffuzhqe">
    <w:name w:val="w7sjnrxzl6krnffuzhqe"/>
    <w:basedOn w:val="Normalny"/>
    <w:rsid w:val="00ED2D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640770435">
      <w:bodyDiv w:val="1"/>
      <w:marLeft w:val="0"/>
      <w:marRight w:val="0"/>
      <w:marTop w:val="0"/>
      <w:marBottom w:val="0"/>
      <w:divBdr>
        <w:top w:val="none" w:sz="0" w:space="0" w:color="auto"/>
        <w:left w:val="none" w:sz="0" w:space="0" w:color="auto"/>
        <w:bottom w:val="none" w:sz="0" w:space="0" w:color="auto"/>
        <w:right w:val="none" w:sz="0" w:space="0" w:color="auto"/>
      </w:divBdr>
    </w:div>
    <w:div w:id="677776078">
      <w:bodyDiv w:val="1"/>
      <w:marLeft w:val="0"/>
      <w:marRight w:val="0"/>
      <w:marTop w:val="0"/>
      <w:marBottom w:val="0"/>
      <w:divBdr>
        <w:top w:val="none" w:sz="0" w:space="0" w:color="auto"/>
        <w:left w:val="none" w:sz="0" w:space="0" w:color="auto"/>
        <w:bottom w:val="none" w:sz="0" w:space="0" w:color="auto"/>
        <w:right w:val="none" w:sz="0" w:space="0" w:color="auto"/>
      </w:divBdr>
    </w:div>
    <w:div w:id="946615807">
      <w:bodyDiv w:val="1"/>
      <w:marLeft w:val="0"/>
      <w:marRight w:val="0"/>
      <w:marTop w:val="0"/>
      <w:marBottom w:val="0"/>
      <w:divBdr>
        <w:top w:val="none" w:sz="0" w:space="0" w:color="auto"/>
        <w:left w:val="none" w:sz="0" w:space="0" w:color="auto"/>
        <w:bottom w:val="none" w:sz="0" w:space="0" w:color="auto"/>
        <w:right w:val="none" w:sz="0" w:space="0" w:color="auto"/>
      </w:divBdr>
    </w:div>
    <w:div w:id="1004283268">
      <w:bodyDiv w:val="1"/>
      <w:marLeft w:val="0"/>
      <w:marRight w:val="0"/>
      <w:marTop w:val="0"/>
      <w:marBottom w:val="0"/>
      <w:divBdr>
        <w:top w:val="none" w:sz="0" w:space="0" w:color="auto"/>
        <w:left w:val="none" w:sz="0" w:space="0" w:color="auto"/>
        <w:bottom w:val="none" w:sz="0" w:space="0" w:color="auto"/>
        <w:right w:val="none" w:sz="0" w:space="0" w:color="auto"/>
      </w:divBdr>
    </w:div>
    <w:div w:id="1177770740">
      <w:bodyDiv w:val="1"/>
      <w:marLeft w:val="0"/>
      <w:marRight w:val="0"/>
      <w:marTop w:val="0"/>
      <w:marBottom w:val="0"/>
      <w:divBdr>
        <w:top w:val="none" w:sz="0" w:space="0" w:color="auto"/>
        <w:left w:val="none" w:sz="0" w:space="0" w:color="auto"/>
        <w:bottom w:val="none" w:sz="0" w:space="0" w:color="auto"/>
        <w:right w:val="none" w:sz="0" w:space="0" w:color="auto"/>
      </w:divBdr>
    </w:div>
    <w:div w:id="1781947475">
      <w:bodyDiv w:val="1"/>
      <w:marLeft w:val="0"/>
      <w:marRight w:val="0"/>
      <w:marTop w:val="0"/>
      <w:marBottom w:val="0"/>
      <w:divBdr>
        <w:top w:val="none" w:sz="0" w:space="0" w:color="auto"/>
        <w:left w:val="none" w:sz="0" w:space="0" w:color="auto"/>
        <w:bottom w:val="none" w:sz="0" w:space="0" w:color="auto"/>
        <w:right w:val="none" w:sz="0" w:space="0" w:color="auto"/>
      </w:divBdr>
      <w:divsChild>
        <w:div w:id="1868567942">
          <w:marLeft w:val="0"/>
          <w:marRight w:val="0"/>
          <w:marTop w:val="0"/>
          <w:marBottom w:val="0"/>
          <w:divBdr>
            <w:top w:val="none" w:sz="0" w:space="0" w:color="auto"/>
            <w:left w:val="none" w:sz="0" w:space="0" w:color="auto"/>
            <w:bottom w:val="none" w:sz="0" w:space="0" w:color="auto"/>
            <w:right w:val="none" w:sz="0" w:space="0" w:color="auto"/>
          </w:divBdr>
          <w:divsChild>
            <w:div w:id="704524561">
              <w:marLeft w:val="0"/>
              <w:marRight w:val="0"/>
              <w:marTop w:val="0"/>
              <w:marBottom w:val="0"/>
              <w:divBdr>
                <w:top w:val="none" w:sz="0" w:space="0" w:color="auto"/>
                <w:left w:val="none" w:sz="0" w:space="0" w:color="auto"/>
                <w:bottom w:val="none" w:sz="0" w:space="0" w:color="auto"/>
                <w:right w:val="none" w:sz="0" w:space="0" w:color="auto"/>
              </w:divBdr>
              <w:divsChild>
                <w:div w:id="1265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6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com/?sl=pl&amp;tl=en&amp;op=translate-" TargetMode="External"/><Relationship Id="rId13" Type="http://schemas.openxmlformats.org/officeDocument/2006/relationships/hyperlink" Target="https://doi.org/10.1542/peds.2006-2697" TargetMode="External"/><Relationship Id="rId3" Type="http://schemas.openxmlformats.org/officeDocument/2006/relationships/settings" Target="settings.xml"/><Relationship Id="rId7" Type="http://schemas.openxmlformats.org/officeDocument/2006/relationships/hyperlink" Target="https://app.grammarly.com" TargetMode="External"/><Relationship Id="rId12" Type="http://schemas.openxmlformats.org/officeDocument/2006/relationships/hyperlink" Target="https://doi.org/10.1207/s15566935eed1701_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0735-7028.36.4.376" TargetMode="External"/><Relationship Id="rId5" Type="http://schemas.openxmlformats.org/officeDocument/2006/relationships/footnotes" Target="footnotes.xml"/><Relationship Id="rId15" Type="http://schemas.openxmlformats.org/officeDocument/2006/relationships/hyperlink" Target="https://doi.org/10.1542/peds.2011-2663" TargetMode="External"/><Relationship Id="rId10" Type="http://schemas.openxmlformats.org/officeDocument/2006/relationships/hyperlink" Target="https://scholar.google.com/-" TargetMode="External"/><Relationship Id="rId4" Type="http://schemas.openxmlformats.org/officeDocument/2006/relationships/webSettings" Target="webSettings.xml"/><Relationship Id="rId9" Type="http://schemas.openxmlformats.org/officeDocument/2006/relationships/hyperlink" Target="https://www.scribbr.com/" TargetMode="External"/><Relationship Id="rId14" Type="http://schemas.openxmlformats.org/officeDocument/2006/relationships/hyperlink" Target="https://doi.org/10.1037/h004535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15</Pages>
  <Words>4954</Words>
  <Characters>28242</Characters>
  <Application>Microsoft Office Word</Application>
  <DocSecurity>0</DocSecurity>
  <Lines>235</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3</cp:revision>
  <cp:lastPrinted>2026-02-10T13:19:00Z</cp:lastPrinted>
  <dcterms:created xsi:type="dcterms:W3CDTF">2026-02-10T17:51:00Z</dcterms:created>
  <dcterms:modified xsi:type="dcterms:W3CDTF">2026-02-10T18:08:00Z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45cb2e89-fbda-495a-9ab6-f5eec696fc68</vt:lpwstr>
  </property>
</Properties>
</file>