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1FE84" w14:textId="21AE839A" w:rsidR="00D37BA0" w:rsidRPr="00D37BA0" w:rsidRDefault="00D37BA0" w:rsidP="00D37BA0">
      <w:pPr>
        <w:spacing w:after="0"/>
        <w:rPr>
          <w:rFonts w:cs="Times New Roman"/>
          <w:b/>
          <w:bCs/>
          <w:color w:val="1F3864"/>
          <w:sz w:val="28"/>
          <w:szCs w:val="28"/>
        </w:rPr>
      </w:pPr>
      <w:r w:rsidRPr="00D37BA0">
        <w:rPr>
          <w:rFonts w:cs="Times New Roman"/>
          <w:b/>
          <w:bCs/>
          <w:color w:val="1F3864"/>
          <w:sz w:val="28"/>
          <w:szCs w:val="28"/>
        </w:rPr>
        <w:drawing>
          <wp:inline distT="0" distB="0" distL="0" distR="0" wp14:anchorId="3EFB67A3" wp14:editId="24DDF125">
            <wp:extent cx="5731510" cy="2393950"/>
            <wp:effectExtent l="0" t="0" r="2540" b="6350"/>
            <wp:docPr id="780302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02143" name="Picture 78030214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393950"/>
                    </a:xfrm>
                    <a:prstGeom prst="rect">
                      <a:avLst/>
                    </a:prstGeom>
                    <a:ln>
                      <a:noFill/>
                    </a:ln>
                    <a:effectLst>
                      <a:softEdge rad="112500"/>
                    </a:effectLst>
                  </pic:spPr>
                </pic:pic>
              </a:graphicData>
            </a:graphic>
          </wp:inline>
        </w:drawing>
      </w:r>
    </w:p>
    <w:p w14:paraId="79DA3B18" w14:textId="13B42DC6" w:rsidR="00D37BA0" w:rsidRPr="00126A70" w:rsidRDefault="00D37BA0" w:rsidP="00126A70">
      <w:pPr>
        <w:spacing w:after="0"/>
        <w:jc w:val="center"/>
        <w:rPr>
          <w:rFonts w:ascii="Arial" w:hAnsi="Arial" w:cs="Arial"/>
          <w:b/>
          <w:szCs w:val="24"/>
        </w:rPr>
      </w:pPr>
      <w:r w:rsidRPr="00126A70">
        <w:rPr>
          <w:rFonts w:ascii="Arial" w:hAnsi="Arial" w:cs="Arial"/>
          <w:b/>
          <w:szCs w:val="24"/>
        </w:rPr>
        <w:t>Programme:</w:t>
      </w:r>
      <w:r w:rsidRPr="00126A70">
        <w:rPr>
          <w:rFonts w:ascii="Arial" w:hAnsi="Arial" w:cs="Arial"/>
          <w:b/>
          <w:szCs w:val="24"/>
        </w:rPr>
        <w:t xml:space="preserve"> </w:t>
      </w:r>
      <w:r w:rsidRPr="00126A70">
        <w:rPr>
          <w:rFonts w:ascii="Arial" w:hAnsi="Arial" w:cs="Arial"/>
          <w:b/>
          <w:szCs w:val="24"/>
        </w:rPr>
        <w:t>Master of Business Administration</w:t>
      </w:r>
    </w:p>
    <w:p w14:paraId="44D27571" w14:textId="448B1DBB" w:rsidR="00D37BA0" w:rsidRPr="00126A70" w:rsidRDefault="00D37BA0" w:rsidP="00126A70">
      <w:pPr>
        <w:spacing w:after="0"/>
        <w:jc w:val="center"/>
        <w:rPr>
          <w:rFonts w:ascii="Arial" w:hAnsi="Arial" w:cs="Arial"/>
          <w:b/>
          <w:szCs w:val="24"/>
        </w:rPr>
      </w:pPr>
      <w:r w:rsidRPr="00126A70">
        <w:rPr>
          <w:rFonts w:ascii="Arial" w:hAnsi="Arial" w:cs="Arial"/>
          <w:b/>
          <w:szCs w:val="24"/>
        </w:rPr>
        <w:t>Module:</w:t>
      </w:r>
      <w:r w:rsidRPr="00126A70">
        <w:rPr>
          <w:rFonts w:ascii="Arial" w:hAnsi="Arial" w:cs="Arial"/>
          <w:b/>
          <w:szCs w:val="24"/>
        </w:rPr>
        <w:t xml:space="preserve"> </w:t>
      </w:r>
      <w:r w:rsidRPr="00126A70">
        <w:rPr>
          <w:rFonts w:ascii="Arial" w:hAnsi="Arial" w:cs="Arial"/>
          <w:b/>
          <w:szCs w:val="24"/>
        </w:rPr>
        <w:t>Human Capital Management</w:t>
      </w:r>
      <w:r w:rsidRPr="00126A70">
        <w:rPr>
          <w:rFonts w:ascii="Arial" w:hAnsi="Arial" w:cs="Arial"/>
          <w:b/>
          <w:szCs w:val="24"/>
        </w:rPr>
        <w:t xml:space="preserve"> </w:t>
      </w:r>
      <w:r w:rsidRPr="00126A70">
        <w:rPr>
          <w:rFonts w:ascii="Arial" w:hAnsi="Arial" w:cs="Arial"/>
          <w:b/>
          <w:szCs w:val="24"/>
        </w:rPr>
        <w:t>LCMB7023</w:t>
      </w:r>
    </w:p>
    <w:p w14:paraId="2F8D5415" w14:textId="343C0567" w:rsidR="00D37BA0" w:rsidRPr="00126A70" w:rsidRDefault="00126A70" w:rsidP="00126A70">
      <w:pPr>
        <w:spacing w:after="0"/>
        <w:jc w:val="center"/>
        <w:rPr>
          <w:rFonts w:ascii="Arial" w:hAnsi="Arial" w:cs="Arial"/>
          <w:b/>
          <w:szCs w:val="24"/>
        </w:rPr>
      </w:pPr>
      <w:r w:rsidRPr="00126A70">
        <w:rPr>
          <w:rFonts w:ascii="Arial" w:hAnsi="Arial" w:cs="Arial"/>
          <w:b/>
          <w:szCs w:val="24"/>
        </w:rPr>
        <w:t>Assignment Title:</w:t>
      </w:r>
      <w:r w:rsidRPr="00126A70">
        <w:rPr>
          <w:rFonts w:ascii="Arial" w:hAnsi="Arial" w:cs="Arial"/>
          <w:b/>
          <w:szCs w:val="24"/>
        </w:rPr>
        <w:t xml:space="preserve"> </w:t>
      </w:r>
      <w:r w:rsidRPr="00126A70">
        <w:rPr>
          <w:rFonts w:ascii="Arial" w:hAnsi="Arial" w:cs="Arial"/>
          <w:b/>
          <w:szCs w:val="24"/>
        </w:rPr>
        <w:t>Assessment component 1: Individual report</w:t>
      </w:r>
    </w:p>
    <w:p w14:paraId="542DEC78" w14:textId="6DB1B28A" w:rsidR="00126A70" w:rsidRPr="00126A70" w:rsidRDefault="00126A70" w:rsidP="00126A70">
      <w:pPr>
        <w:spacing w:after="0"/>
        <w:jc w:val="center"/>
        <w:rPr>
          <w:rFonts w:ascii="Arial" w:hAnsi="Arial" w:cs="Arial"/>
          <w:b/>
          <w:szCs w:val="24"/>
        </w:rPr>
      </w:pPr>
      <w:r w:rsidRPr="00126A70">
        <w:rPr>
          <w:rFonts w:ascii="Arial" w:hAnsi="Arial" w:cs="Arial"/>
          <w:b/>
          <w:szCs w:val="24"/>
        </w:rPr>
        <w:t>Lecturer:</w:t>
      </w:r>
      <w:r w:rsidRPr="00126A70">
        <w:rPr>
          <w:rFonts w:ascii="Arial" w:hAnsi="Arial" w:cs="Arial"/>
          <w:b/>
          <w:szCs w:val="24"/>
        </w:rPr>
        <w:t xml:space="preserve"> DR </w:t>
      </w:r>
      <w:r w:rsidRPr="00126A70">
        <w:rPr>
          <w:rFonts w:ascii="Arial" w:hAnsi="Arial" w:cs="Arial"/>
          <w:b/>
          <w:szCs w:val="24"/>
        </w:rPr>
        <w:t>Eno Maycock</w:t>
      </w:r>
    </w:p>
    <w:p w14:paraId="67D59860" w14:textId="551B406F" w:rsidR="00126A70" w:rsidRPr="00126A70" w:rsidRDefault="00126A70" w:rsidP="00126A70">
      <w:pPr>
        <w:widowControl w:val="0"/>
        <w:tabs>
          <w:tab w:val="left" w:pos="940"/>
          <w:tab w:val="left" w:pos="941"/>
        </w:tabs>
        <w:spacing w:after="0" w:line="360" w:lineRule="auto"/>
        <w:contextualSpacing/>
        <w:jc w:val="center"/>
        <w:rPr>
          <w:rFonts w:ascii="Arial" w:hAnsi="Arial" w:cs="Arial"/>
          <w:b/>
          <w:szCs w:val="24"/>
          <w:lang w:val="da-DK"/>
        </w:rPr>
      </w:pPr>
      <w:r w:rsidRPr="00126A70">
        <w:rPr>
          <w:rFonts w:ascii="Arial" w:hAnsi="Arial" w:cs="Arial"/>
          <w:b/>
          <w:szCs w:val="24"/>
          <w:lang w:val="da-DK"/>
        </w:rPr>
        <w:t>Student’s</w:t>
      </w:r>
      <w:r w:rsidRPr="00126A70">
        <w:rPr>
          <w:rFonts w:ascii="Arial" w:hAnsi="Arial" w:cs="Arial"/>
          <w:b/>
          <w:szCs w:val="24"/>
          <w:lang w:val="da-DK"/>
        </w:rPr>
        <w:t xml:space="preserve"> name and ID</w:t>
      </w:r>
      <w:r w:rsidRPr="00126A70">
        <w:rPr>
          <w:rFonts w:ascii="Arial" w:hAnsi="Arial" w:cs="Arial"/>
          <w:b/>
          <w:szCs w:val="24"/>
          <w:lang w:val="da-DK"/>
        </w:rPr>
        <w:t>: HAMAD AL-JORANI 2310312</w:t>
      </w:r>
    </w:p>
    <w:p w14:paraId="7C6583D3" w14:textId="1183B62C" w:rsidR="00126A70" w:rsidRPr="00126A70" w:rsidRDefault="00126A70" w:rsidP="00126A70">
      <w:pPr>
        <w:widowControl w:val="0"/>
        <w:tabs>
          <w:tab w:val="left" w:pos="940"/>
          <w:tab w:val="left" w:pos="941"/>
        </w:tabs>
        <w:spacing w:after="0" w:line="360" w:lineRule="auto"/>
        <w:contextualSpacing/>
        <w:jc w:val="center"/>
        <w:rPr>
          <w:rFonts w:ascii="Arial" w:hAnsi="Arial" w:cs="Arial"/>
          <w:b/>
          <w:szCs w:val="24"/>
        </w:rPr>
      </w:pPr>
      <w:r w:rsidRPr="00126A70">
        <w:rPr>
          <w:rFonts w:ascii="Arial" w:hAnsi="Arial" w:cs="Arial"/>
          <w:b/>
          <w:szCs w:val="24"/>
        </w:rPr>
        <w:t>final word count</w:t>
      </w:r>
      <w:r w:rsidRPr="00126A70">
        <w:rPr>
          <w:rFonts w:ascii="Arial" w:hAnsi="Arial" w:cs="Arial"/>
          <w:b/>
          <w:szCs w:val="24"/>
        </w:rPr>
        <w:t>: 2672 Words</w:t>
      </w:r>
    </w:p>
    <w:p w14:paraId="5E79A6D5" w14:textId="7E0C66BF" w:rsidR="00126A70" w:rsidRPr="00126A70" w:rsidRDefault="00126A70" w:rsidP="00126A70">
      <w:pPr>
        <w:widowControl w:val="0"/>
        <w:tabs>
          <w:tab w:val="left" w:pos="940"/>
          <w:tab w:val="left" w:pos="941"/>
        </w:tabs>
        <w:spacing w:after="0" w:line="360" w:lineRule="auto"/>
        <w:contextualSpacing/>
        <w:jc w:val="center"/>
        <w:rPr>
          <w:rFonts w:ascii="Arial" w:hAnsi="Arial" w:cs="Arial"/>
          <w:b/>
          <w:szCs w:val="24"/>
          <w:lang w:val="da-DK"/>
        </w:rPr>
      </w:pPr>
      <w:r w:rsidRPr="00126A70">
        <w:rPr>
          <w:rFonts w:ascii="Arial" w:hAnsi="Arial" w:cs="Arial"/>
          <w:b/>
          <w:szCs w:val="24"/>
        </w:rPr>
        <w:t>submission date</w:t>
      </w:r>
      <w:r w:rsidRPr="00126A70">
        <w:rPr>
          <w:rFonts w:ascii="Arial" w:hAnsi="Arial" w:cs="Arial"/>
          <w:b/>
          <w:szCs w:val="24"/>
        </w:rPr>
        <w:t xml:space="preserve"> 15/10/2026</w:t>
      </w:r>
    </w:p>
    <w:p w14:paraId="3576624D" w14:textId="72927639" w:rsidR="00126A70" w:rsidRPr="00126A70" w:rsidRDefault="00126A70" w:rsidP="008324AA">
      <w:pPr>
        <w:spacing w:after="0"/>
        <w:jc w:val="center"/>
        <w:rPr>
          <w:rFonts w:cs="Times New Roman"/>
          <w:b/>
          <w:bCs/>
          <w:color w:val="1F3864"/>
          <w:sz w:val="28"/>
          <w:szCs w:val="28"/>
          <w:lang w:val="da-DK"/>
        </w:rPr>
      </w:pPr>
      <w:r w:rsidRPr="00126A70">
        <w:rPr>
          <w:rFonts w:cs="Times New Roman"/>
          <w:b/>
          <w:bCs/>
          <w:color w:val="1F3864"/>
          <w:sz w:val="28"/>
          <w:szCs w:val="28"/>
          <w:lang w:val="da-DK"/>
        </w:rPr>
        <w:t xml:space="preserve"> </w:t>
      </w:r>
    </w:p>
    <w:p w14:paraId="353E9F73" w14:textId="77777777" w:rsidR="00D37BA0" w:rsidRPr="00126A70" w:rsidRDefault="00D37BA0" w:rsidP="008324AA">
      <w:pPr>
        <w:spacing w:after="0"/>
        <w:jc w:val="center"/>
        <w:rPr>
          <w:rFonts w:cs="Times New Roman"/>
          <w:b/>
          <w:bCs/>
          <w:color w:val="1F3864"/>
          <w:sz w:val="28"/>
          <w:szCs w:val="28"/>
          <w:lang w:val="da-DK"/>
        </w:rPr>
      </w:pPr>
    </w:p>
    <w:p w14:paraId="17C38B4E" w14:textId="77777777" w:rsidR="00D37BA0" w:rsidRPr="00126A70" w:rsidRDefault="00D37BA0" w:rsidP="008324AA">
      <w:pPr>
        <w:spacing w:after="0"/>
        <w:jc w:val="center"/>
        <w:rPr>
          <w:rFonts w:cs="Times New Roman"/>
          <w:b/>
          <w:bCs/>
          <w:color w:val="1F3864"/>
          <w:sz w:val="28"/>
          <w:szCs w:val="28"/>
          <w:lang w:val="da-DK"/>
        </w:rPr>
      </w:pPr>
    </w:p>
    <w:p w14:paraId="4E1A6923" w14:textId="77777777" w:rsidR="00D37BA0" w:rsidRPr="00126A70" w:rsidRDefault="00D37BA0" w:rsidP="008324AA">
      <w:pPr>
        <w:spacing w:after="0"/>
        <w:jc w:val="center"/>
        <w:rPr>
          <w:rFonts w:cs="Times New Roman"/>
          <w:b/>
          <w:bCs/>
          <w:color w:val="1F3864"/>
          <w:sz w:val="28"/>
          <w:szCs w:val="28"/>
          <w:lang w:val="da-DK"/>
        </w:rPr>
      </w:pPr>
    </w:p>
    <w:p w14:paraId="4B214FC4" w14:textId="77777777" w:rsidR="00D37BA0" w:rsidRPr="00126A70" w:rsidRDefault="00D37BA0" w:rsidP="008324AA">
      <w:pPr>
        <w:spacing w:after="0"/>
        <w:jc w:val="center"/>
        <w:rPr>
          <w:rFonts w:cs="Times New Roman"/>
          <w:b/>
          <w:bCs/>
          <w:color w:val="1F3864"/>
          <w:sz w:val="28"/>
          <w:szCs w:val="28"/>
          <w:lang w:val="da-DK"/>
        </w:rPr>
      </w:pPr>
    </w:p>
    <w:p w14:paraId="41302C5F" w14:textId="77777777" w:rsidR="00D37BA0" w:rsidRPr="00126A70" w:rsidRDefault="00D37BA0" w:rsidP="008324AA">
      <w:pPr>
        <w:spacing w:after="0"/>
        <w:jc w:val="center"/>
        <w:rPr>
          <w:rFonts w:cs="Times New Roman"/>
          <w:b/>
          <w:bCs/>
          <w:color w:val="1F3864"/>
          <w:sz w:val="28"/>
          <w:szCs w:val="28"/>
          <w:lang w:val="da-DK"/>
        </w:rPr>
      </w:pPr>
    </w:p>
    <w:p w14:paraId="09AC9917" w14:textId="77777777" w:rsidR="00D37BA0" w:rsidRPr="00126A70" w:rsidRDefault="00D37BA0" w:rsidP="008324AA">
      <w:pPr>
        <w:spacing w:after="0"/>
        <w:jc w:val="center"/>
        <w:rPr>
          <w:rFonts w:cs="Times New Roman"/>
          <w:b/>
          <w:bCs/>
          <w:color w:val="1F3864"/>
          <w:sz w:val="28"/>
          <w:szCs w:val="28"/>
          <w:lang w:val="da-DK"/>
        </w:rPr>
      </w:pPr>
    </w:p>
    <w:p w14:paraId="02F883EF" w14:textId="77777777" w:rsidR="00D37BA0" w:rsidRPr="00126A70" w:rsidRDefault="00D37BA0" w:rsidP="008324AA">
      <w:pPr>
        <w:spacing w:after="0"/>
        <w:jc w:val="center"/>
        <w:rPr>
          <w:rFonts w:cs="Times New Roman"/>
          <w:b/>
          <w:bCs/>
          <w:color w:val="1F3864"/>
          <w:sz w:val="28"/>
          <w:szCs w:val="28"/>
          <w:lang w:val="da-DK"/>
        </w:rPr>
      </w:pPr>
    </w:p>
    <w:p w14:paraId="38B63B34" w14:textId="77777777" w:rsidR="00D37BA0" w:rsidRPr="00126A70" w:rsidRDefault="00D37BA0" w:rsidP="008324AA">
      <w:pPr>
        <w:spacing w:after="0"/>
        <w:jc w:val="center"/>
        <w:rPr>
          <w:rFonts w:cs="Times New Roman"/>
          <w:b/>
          <w:bCs/>
          <w:color w:val="1F3864"/>
          <w:sz w:val="28"/>
          <w:szCs w:val="28"/>
          <w:lang w:val="da-DK"/>
        </w:rPr>
      </w:pPr>
    </w:p>
    <w:p w14:paraId="13D54A73" w14:textId="77777777" w:rsidR="00D37BA0" w:rsidRPr="00126A70" w:rsidRDefault="00D37BA0" w:rsidP="008324AA">
      <w:pPr>
        <w:spacing w:after="0"/>
        <w:jc w:val="center"/>
        <w:rPr>
          <w:rFonts w:cs="Times New Roman"/>
          <w:b/>
          <w:bCs/>
          <w:color w:val="1F3864"/>
          <w:sz w:val="28"/>
          <w:szCs w:val="28"/>
          <w:lang w:val="da-DK"/>
        </w:rPr>
      </w:pPr>
    </w:p>
    <w:sdt>
      <w:sdtPr>
        <w:id w:val="-1468886964"/>
        <w:docPartObj>
          <w:docPartGallery w:val="Table of Contents"/>
          <w:docPartUnique/>
        </w:docPartObj>
      </w:sdtPr>
      <w:sdtEndPr>
        <w:rPr>
          <w:rFonts w:ascii="Times New Roman" w:eastAsia="Calibri" w:hAnsi="Times New Roman" w:cs="Calibri"/>
          <w:b/>
          <w:bCs/>
          <w:color w:val="auto"/>
          <w:sz w:val="24"/>
          <w:szCs w:val="23"/>
          <w:lang w:eastAsia="en-US"/>
        </w:rPr>
      </w:sdtEndPr>
      <w:sdtContent>
        <w:p w14:paraId="5E14829F" w14:textId="719B2E86" w:rsidR="00126A70" w:rsidRDefault="00126A70">
          <w:pPr>
            <w:pStyle w:val="TOCHeading"/>
          </w:pPr>
          <w:r>
            <w:t>Contents</w:t>
          </w:r>
        </w:p>
        <w:p w14:paraId="12667EDF" w14:textId="05A8A374" w:rsidR="00126A70" w:rsidRDefault="00126A70">
          <w:pPr>
            <w:pStyle w:val="TOC1"/>
            <w:tabs>
              <w:tab w:val="right" w:leader="dot" w:pos="9016"/>
            </w:tabs>
            <w:rPr>
              <w:noProof/>
            </w:rPr>
          </w:pPr>
          <w:r>
            <w:fldChar w:fldCharType="begin"/>
          </w:r>
          <w:r>
            <w:instrText xml:space="preserve"> TOC \o "1-3" \h \z \u </w:instrText>
          </w:r>
          <w:r>
            <w:fldChar w:fldCharType="separate"/>
          </w:r>
          <w:hyperlink w:anchor="_Toc242880496" w:history="1">
            <w:r w:rsidRPr="00864188">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_Toc242880496 \h </w:instrText>
            </w:r>
            <w:r>
              <w:rPr>
                <w:noProof/>
                <w:webHidden/>
              </w:rPr>
            </w:r>
            <w:r>
              <w:rPr>
                <w:noProof/>
                <w:webHidden/>
              </w:rPr>
              <w:fldChar w:fldCharType="separate"/>
            </w:r>
            <w:r>
              <w:rPr>
                <w:noProof/>
                <w:webHidden/>
              </w:rPr>
              <w:t>4</w:t>
            </w:r>
            <w:r>
              <w:rPr>
                <w:noProof/>
                <w:webHidden/>
              </w:rPr>
              <w:fldChar w:fldCharType="end"/>
            </w:r>
          </w:hyperlink>
        </w:p>
        <w:p w14:paraId="011DEB4F" w14:textId="78CA13C5" w:rsidR="00126A70" w:rsidRDefault="00126A70">
          <w:pPr>
            <w:pStyle w:val="TOC1"/>
            <w:tabs>
              <w:tab w:val="right" w:leader="dot" w:pos="9016"/>
            </w:tabs>
            <w:rPr>
              <w:noProof/>
            </w:rPr>
          </w:pPr>
          <w:hyperlink w:anchor="_Toc242880497" w:history="1">
            <w:r w:rsidRPr="00864188">
              <w:rPr>
                <w:rStyle w:val="Hyperlink"/>
                <w:rFonts w:asciiTheme="minorBidi" w:hAnsiTheme="minorBidi"/>
                <w:noProof/>
              </w:rPr>
              <w:t>Task A: Designing Innovative Working Practices</w:t>
            </w:r>
            <w:r>
              <w:rPr>
                <w:noProof/>
                <w:webHidden/>
              </w:rPr>
              <w:tab/>
            </w:r>
            <w:r>
              <w:rPr>
                <w:noProof/>
                <w:webHidden/>
              </w:rPr>
              <w:fldChar w:fldCharType="begin"/>
            </w:r>
            <w:r>
              <w:rPr>
                <w:noProof/>
                <w:webHidden/>
              </w:rPr>
              <w:instrText xml:space="preserve"> PAGEREF _Toc242880497 \h </w:instrText>
            </w:r>
            <w:r>
              <w:rPr>
                <w:noProof/>
                <w:webHidden/>
              </w:rPr>
            </w:r>
            <w:r>
              <w:rPr>
                <w:noProof/>
                <w:webHidden/>
              </w:rPr>
              <w:fldChar w:fldCharType="separate"/>
            </w:r>
            <w:r>
              <w:rPr>
                <w:noProof/>
                <w:webHidden/>
              </w:rPr>
              <w:t>4</w:t>
            </w:r>
            <w:r>
              <w:rPr>
                <w:noProof/>
                <w:webHidden/>
              </w:rPr>
              <w:fldChar w:fldCharType="end"/>
            </w:r>
          </w:hyperlink>
        </w:p>
        <w:p w14:paraId="73D8F54F" w14:textId="7A33541B" w:rsidR="00126A70" w:rsidRDefault="00126A70">
          <w:pPr>
            <w:pStyle w:val="TOC2"/>
            <w:tabs>
              <w:tab w:val="right" w:leader="dot" w:pos="9016"/>
            </w:tabs>
            <w:rPr>
              <w:noProof/>
            </w:rPr>
          </w:pPr>
          <w:hyperlink w:anchor="_Toc242880498" w:history="1">
            <w:r w:rsidRPr="00864188">
              <w:rPr>
                <w:rStyle w:val="Hyperlink"/>
                <w:rFonts w:asciiTheme="minorBidi" w:hAnsiTheme="minorBidi"/>
                <w:noProof/>
              </w:rPr>
              <w:t>A1. Traditional versus contemporary work design</w:t>
            </w:r>
            <w:r>
              <w:rPr>
                <w:noProof/>
                <w:webHidden/>
              </w:rPr>
              <w:tab/>
            </w:r>
            <w:r>
              <w:rPr>
                <w:noProof/>
                <w:webHidden/>
              </w:rPr>
              <w:fldChar w:fldCharType="begin"/>
            </w:r>
            <w:r>
              <w:rPr>
                <w:noProof/>
                <w:webHidden/>
              </w:rPr>
              <w:instrText xml:space="preserve"> PAGEREF _Toc242880498 \h </w:instrText>
            </w:r>
            <w:r>
              <w:rPr>
                <w:noProof/>
                <w:webHidden/>
              </w:rPr>
            </w:r>
            <w:r>
              <w:rPr>
                <w:noProof/>
                <w:webHidden/>
              </w:rPr>
              <w:fldChar w:fldCharType="separate"/>
            </w:r>
            <w:r>
              <w:rPr>
                <w:noProof/>
                <w:webHidden/>
              </w:rPr>
              <w:t>4</w:t>
            </w:r>
            <w:r>
              <w:rPr>
                <w:noProof/>
                <w:webHidden/>
              </w:rPr>
              <w:fldChar w:fldCharType="end"/>
            </w:r>
          </w:hyperlink>
        </w:p>
        <w:p w14:paraId="6547E011" w14:textId="78A5B3DF" w:rsidR="00126A70" w:rsidRDefault="00126A70">
          <w:pPr>
            <w:pStyle w:val="TOC2"/>
            <w:tabs>
              <w:tab w:val="right" w:leader="dot" w:pos="9016"/>
            </w:tabs>
            <w:rPr>
              <w:noProof/>
            </w:rPr>
          </w:pPr>
          <w:hyperlink w:anchor="_Toc242880499" w:history="1">
            <w:r w:rsidRPr="00864188">
              <w:rPr>
                <w:rStyle w:val="Hyperlink"/>
                <w:rFonts w:asciiTheme="minorBidi" w:hAnsiTheme="minorBidi"/>
                <w:noProof/>
              </w:rPr>
              <w:t>A2. Recommended framework: the "Connected Squad" model</w:t>
            </w:r>
            <w:r>
              <w:rPr>
                <w:noProof/>
                <w:webHidden/>
              </w:rPr>
              <w:tab/>
            </w:r>
            <w:r>
              <w:rPr>
                <w:noProof/>
                <w:webHidden/>
              </w:rPr>
              <w:fldChar w:fldCharType="begin"/>
            </w:r>
            <w:r>
              <w:rPr>
                <w:noProof/>
                <w:webHidden/>
              </w:rPr>
              <w:instrText xml:space="preserve"> PAGEREF _Toc242880499 \h </w:instrText>
            </w:r>
            <w:r>
              <w:rPr>
                <w:noProof/>
                <w:webHidden/>
              </w:rPr>
            </w:r>
            <w:r>
              <w:rPr>
                <w:noProof/>
                <w:webHidden/>
              </w:rPr>
              <w:fldChar w:fldCharType="separate"/>
            </w:r>
            <w:r>
              <w:rPr>
                <w:noProof/>
                <w:webHidden/>
              </w:rPr>
              <w:t>6</w:t>
            </w:r>
            <w:r>
              <w:rPr>
                <w:noProof/>
                <w:webHidden/>
              </w:rPr>
              <w:fldChar w:fldCharType="end"/>
            </w:r>
          </w:hyperlink>
        </w:p>
        <w:p w14:paraId="116BE809" w14:textId="7ACC9D08" w:rsidR="00126A70" w:rsidRDefault="00126A70">
          <w:pPr>
            <w:pStyle w:val="TOC2"/>
            <w:tabs>
              <w:tab w:val="right" w:leader="dot" w:pos="9016"/>
            </w:tabs>
            <w:rPr>
              <w:noProof/>
            </w:rPr>
          </w:pPr>
          <w:hyperlink w:anchor="_Toc242880500" w:history="1">
            <w:r w:rsidRPr="00864188">
              <w:rPr>
                <w:rStyle w:val="Hyperlink"/>
                <w:rFonts w:asciiTheme="minorBidi" w:hAnsiTheme="minorBidi"/>
                <w:noProof/>
              </w:rPr>
              <w:t>A3. How the framework improves performance</w:t>
            </w:r>
            <w:r>
              <w:rPr>
                <w:noProof/>
                <w:webHidden/>
              </w:rPr>
              <w:tab/>
            </w:r>
            <w:r>
              <w:rPr>
                <w:noProof/>
                <w:webHidden/>
              </w:rPr>
              <w:fldChar w:fldCharType="begin"/>
            </w:r>
            <w:r>
              <w:rPr>
                <w:noProof/>
                <w:webHidden/>
              </w:rPr>
              <w:instrText xml:space="preserve"> PAGEREF _Toc242880500 \h </w:instrText>
            </w:r>
            <w:r>
              <w:rPr>
                <w:noProof/>
                <w:webHidden/>
              </w:rPr>
            </w:r>
            <w:r>
              <w:rPr>
                <w:noProof/>
                <w:webHidden/>
              </w:rPr>
              <w:fldChar w:fldCharType="separate"/>
            </w:r>
            <w:r>
              <w:rPr>
                <w:noProof/>
                <w:webHidden/>
              </w:rPr>
              <w:t>8</w:t>
            </w:r>
            <w:r>
              <w:rPr>
                <w:noProof/>
                <w:webHidden/>
              </w:rPr>
              <w:fldChar w:fldCharType="end"/>
            </w:r>
          </w:hyperlink>
        </w:p>
        <w:p w14:paraId="73B15E68" w14:textId="28926D8A" w:rsidR="00126A70" w:rsidRDefault="00126A70">
          <w:pPr>
            <w:pStyle w:val="TOC1"/>
            <w:tabs>
              <w:tab w:val="right" w:leader="dot" w:pos="9016"/>
            </w:tabs>
            <w:rPr>
              <w:noProof/>
            </w:rPr>
          </w:pPr>
          <w:hyperlink w:anchor="_Toc242880501" w:history="1">
            <w:r w:rsidRPr="00864188">
              <w:rPr>
                <w:rStyle w:val="Hyperlink"/>
                <w:rFonts w:asciiTheme="minorBidi" w:hAnsiTheme="minorBidi"/>
                <w:noProof/>
              </w:rPr>
              <w:t>Task B: Breeding an Environment Where Talent May Grow</w:t>
            </w:r>
            <w:r>
              <w:rPr>
                <w:noProof/>
                <w:webHidden/>
              </w:rPr>
              <w:tab/>
            </w:r>
            <w:r>
              <w:rPr>
                <w:noProof/>
                <w:webHidden/>
              </w:rPr>
              <w:fldChar w:fldCharType="begin"/>
            </w:r>
            <w:r>
              <w:rPr>
                <w:noProof/>
                <w:webHidden/>
              </w:rPr>
              <w:instrText xml:space="preserve"> PAGEREF _Toc242880501 \h </w:instrText>
            </w:r>
            <w:r>
              <w:rPr>
                <w:noProof/>
                <w:webHidden/>
              </w:rPr>
            </w:r>
            <w:r>
              <w:rPr>
                <w:noProof/>
                <w:webHidden/>
              </w:rPr>
              <w:fldChar w:fldCharType="separate"/>
            </w:r>
            <w:r>
              <w:rPr>
                <w:noProof/>
                <w:webHidden/>
              </w:rPr>
              <w:t>8</w:t>
            </w:r>
            <w:r>
              <w:rPr>
                <w:noProof/>
                <w:webHidden/>
              </w:rPr>
              <w:fldChar w:fldCharType="end"/>
            </w:r>
          </w:hyperlink>
        </w:p>
        <w:p w14:paraId="767FC45F" w14:textId="34E40FC8" w:rsidR="00126A70" w:rsidRDefault="00126A70">
          <w:pPr>
            <w:pStyle w:val="TOC2"/>
            <w:tabs>
              <w:tab w:val="right" w:leader="dot" w:pos="9016"/>
            </w:tabs>
            <w:rPr>
              <w:noProof/>
            </w:rPr>
          </w:pPr>
          <w:hyperlink w:anchor="_Toc242880502" w:history="1">
            <w:r w:rsidRPr="00864188">
              <w:rPr>
                <w:rStyle w:val="Hyperlink"/>
                <w:rFonts w:asciiTheme="minorBidi" w:hAnsiTheme="minorBidi"/>
                <w:noProof/>
              </w:rPr>
              <w:t>B1. How organisations create environments where talent flourishes</w:t>
            </w:r>
            <w:r>
              <w:rPr>
                <w:noProof/>
                <w:webHidden/>
              </w:rPr>
              <w:tab/>
            </w:r>
            <w:r>
              <w:rPr>
                <w:noProof/>
                <w:webHidden/>
              </w:rPr>
              <w:fldChar w:fldCharType="begin"/>
            </w:r>
            <w:r>
              <w:rPr>
                <w:noProof/>
                <w:webHidden/>
              </w:rPr>
              <w:instrText xml:space="preserve"> PAGEREF _Toc242880502 \h </w:instrText>
            </w:r>
            <w:r>
              <w:rPr>
                <w:noProof/>
                <w:webHidden/>
              </w:rPr>
            </w:r>
            <w:r>
              <w:rPr>
                <w:noProof/>
                <w:webHidden/>
              </w:rPr>
              <w:fldChar w:fldCharType="separate"/>
            </w:r>
            <w:r>
              <w:rPr>
                <w:noProof/>
                <w:webHidden/>
              </w:rPr>
              <w:t>8</w:t>
            </w:r>
            <w:r>
              <w:rPr>
                <w:noProof/>
                <w:webHidden/>
              </w:rPr>
              <w:fldChar w:fldCharType="end"/>
            </w:r>
          </w:hyperlink>
        </w:p>
        <w:p w14:paraId="1E9D75D0" w14:textId="6B75D0E2" w:rsidR="00126A70" w:rsidRDefault="00126A70">
          <w:pPr>
            <w:pStyle w:val="TOC2"/>
            <w:tabs>
              <w:tab w:val="right" w:leader="dot" w:pos="9016"/>
            </w:tabs>
            <w:rPr>
              <w:noProof/>
            </w:rPr>
          </w:pPr>
          <w:hyperlink w:anchor="_Toc242880503" w:history="1">
            <w:r w:rsidRPr="00864188">
              <w:rPr>
                <w:rStyle w:val="Hyperlink"/>
                <w:rFonts w:asciiTheme="minorBidi" w:hAnsiTheme="minorBidi"/>
                <w:noProof/>
              </w:rPr>
              <w:t>B2. Talent growth strategy for NHSX</w:t>
            </w:r>
            <w:r>
              <w:rPr>
                <w:noProof/>
                <w:webHidden/>
              </w:rPr>
              <w:tab/>
            </w:r>
            <w:r>
              <w:rPr>
                <w:noProof/>
                <w:webHidden/>
              </w:rPr>
              <w:fldChar w:fldCharType="begin"/>
            </w:r>
            <w:r>
              <w:rPr>
                <w:noProof/>
                <w:webHidden/>
              </w:rPr>
              <w:instrText xml:space="preserve"> PAGEREF _Toc242880503 \h </w:instrText>
            </w:r>
            <w:r>
              <w:rPr>
                <w:noProof/>
                <w:webHidden/>
              </w:rPr>
            </w:r>
            <w:r>
              <w:rPr>
                <w:noProof/>
                <w:webHidden/>
              </w:rPr>
              <w:fldChar w:fldCharType="separate"/>
            </w:r>
            <w:r>
              <w:rPr>
                <w:noProof/>
                <w:webHidden/>
              </w:rPr>
              <w:t>10</w:t>
            </w:r>
            <w:r>
              <w:rPr>
                <w:noProof/>
                <w:webHidden/>
              </w:rPr>
              <w:fldChar w:fldCharType="end"/>
            </w:r>
          </w:hyperlink>
        </w:p>
        <w:p w14:paraId="19BD6570" w14:textId="7A5A15B2" w:rsidR="00126A70" w:rsidRDefault="00126A70">
          <w:pPr>
            <w:pStyle w:val="TOC1"/>
            <w:tabs>
              <w:tab w:val="right" w:leader="dot" w:pos="9016"/>
            </w:tabs>
            <w:rPr>
              <w:noProof/>
            </w:rPr>
          </w:pPr>
          <w:hyperlink w:anchor="_Toc242880504" w:history="1">
            <w:r w:rsidRPr="00864188">
              <w:rPr>
                <w:rStyle w:val="Hyperlink"/>
                <w:rFonts w:asciiTheme="minorBidi" w:hAnsiTheme="minorBidi"/>
                <w:noProof/>
              </w:rPr>
              <w:t>Task C: Reflective Report</w:t>
            </w:r>
            <w:r>
              <w:rPr>
                <w:noProof/>
                <w:webHidden/>
              </w:rPr>
              <w:tab/>
            </w:r>
            <w:r>
              <w:rPr>
                <w:noProof/>
                <w:webHidden/>
              </w:rPr>
              <w:fldChar w:fldCharType="begin"/>
            </w:r>
            <w:r>
              <w:rPr>
                <w:noProof/>
                <w:webHidden/>
              </w:rPr>
              <w:instrText xml:space="preserve"> PAGEREF _Toc242880504 \h </w:instrText>
            </w:r>
            <w:r>
              <w:rPr>
                <w:noProof/>
                <w:webHidden/>
              </w:rPr>
            </w:r>
            <w:r>
              <w:rPr>
                <w:noProof/>
                <w:webHidden/>
              </w:rPr>
              <w:fldChar w:fldCharType="separate"/>
            </w:r>
            <w:r>
              <w:rPr>
                <w:noProof/>
                <w:webHidden/>
              </w:rPr>
              <w:t>12</w:t>
            </w:r>
            <w:r>
              <w:rPr>
                <w:noProof/>
                <w:webHidden/>
              </w:rPr>
              <w:fldChar w:fldCharType="end"/>
            </w:r>
          </w:hyperlink>
        </w:p>
        <w:p w14:paraId="11E927FF" w14:textId="1B241AE9" w:rsidR="00126A70" w:rsidRDefault="00126A70">
          <w:pPr>
            <w:pStyle w:val="TOC2"/>
            <w:tabs>
              <w:tab w:val="right" w:leader="dot" w:pos="9016"/>
            </w:tabs>
            <w:rPr>
              <w:noProof/>
            </w:rPr>
          </w:pPr>
          <w:hyperlink w:anchor="_Toc242880505" w:history="1">
            <w:r w:rsidRPr="00864188">
              <w:rPr>
                <w:rStyle w:val="Hyperlink"/>
                <w:rFonts w:asciiTheme="minorBidi" w:hAnsiTheme="minorBidi"/>
                <w:noProof/>
              </w:rPr>
              <w:t>C1. AI as a strategic decision-support tool in HRM</w:t>
            </w:r>
            <w:r>
              <w:rPr>
                <w:noProof/>
                <w:webHidden/>
              </w:rPr>
              <w:tab/>
            </w:r>
            <w:r>
              <w:rPr>
                <w:noProof/>
                <w:webHidden/>
              </w:rPr>
              <w:fldChar w:fldCharType="begin"/>
            </w:r>
            <w:r>
              <w:rPr>
                <w:noProof/>
                <w:webHidden/>
              </w:rPr>
              <w:instrText xml:space="preserve"> PAGEREF _Toc242880505 \h </w:instrText>
            </w:r>
            <w:r>
              <w:rPr>
                <w:noProof/>
                <w:webHidden/>
              </w:rPr>
            </w:r>
            <w:r>
              <w:rPr>
                <w:noProof/>
                <w:webHidden/>
              </w:rPr>
              <w:fldChar w:fldCharType="separate"/>
            </w:r>
            <w:r>
              <w:rPr>
                <w:noProof/>
                <w:webHidden/>
              </w:rPr>
              <w:t>12</w:t>
            </w:r>
            <w:r>
              <w:rPr>
                <w:noProof/>
                <w:webHidden/>
              </w:rPr>
              <w:fldChar w:fldCharType="end"/>
            </w:r>
          </w:hyperlink>
        </w:p>
        <w:p w14:paraId="38B01EDB" w14:textId="6AEEB4D3" w:rsidR="00126A70" w:rsidRDefault="00126A70">
          <w:pPr>
            <w:pStyle w:val="TOC2"/>
            <w:tabs>
              <w:tab w:val="right" w:leader="dot" w:pos="9016"/>
            </w:tabs>
            <w:rPr>
              <w:noProof/>
            </w:rPr>
          </w:pPr>
          <w:hyperlink w:anchor="_Toc242880506" w:history="1">
            <w:r w:rsidRPr="00864188">
              <w:rPr>
                <w:rStyle w:val="Hyperlink"/>
                <w:rFonts w:asciiTheme="minorBidi" w:hAnsiTheme="minorBidi"/>
                <w:noProof/>
              </w:rPr>
              <w:t>C2. Reflective analysis: three examples of my AI use</w:t>
            </w:r>
            <w:r>
              <w:rPr>
                <w:noProof/>
                <w:webHidden/>
              </w:rPr>
              <w:tab/>
            </w:r>
            <w:r>
              <w:rPr>
                <w:noProof/>
                <w:webHidden/>
              </w:rPr>
              <w:fldChar w:fldCharType="begin"/>
            </w:r>
            <w:r>
              <w:rPr>
                <w:noProof/>
                <w:webHidden/>
              </w:rPr>
              <w:instrText xml:space="preserve"> PAGEREF _Toc242880506 \h </w:instrText>
            </w:r>
            <w:r>
              <w:rPr>
                <w:noProof/>
                <w:webHidden/>
              </w:rPr>
            </w:r>
            <w:r>
              <w:rPr>
                <w:noProof/>
                <w:webHidden/>
              </w:rPr>
              <w:fldChar w:fldCharType="separate"/>
            </w:r>
            <w:r>
              <w:rPr>
                <w:noProof/>
                <w:webHidden/>
              </w:rPr>
              <w:t>13</w:t>
            </w:r>
            <w:r>
              <w:rPr>
                <w:noProof/>
                <w:webHidden/>
              </w:rPr>
              <w:fldChar w:fldCharType="end"/>
            </w:r>
          </w:hyperlink>
        </w:p>
        <w:p w14:paraId="579C7A65" w14:textId="15DBA0AC" w:rsidR="00126A70" w:rsidRDefault="00126A70">
          <w:pPr>
            <w:pStyle w:val="TOC2"/>
            <w:tabs>
              <w:tab w:val="right" w:leader="dot" w:pos="9016"/>
            </w:tabs>
            <w:rPr>
              <w:noProof/>
            </w:rPr>
          </w:pPr>
          <w:hyperlink w:anchor="_Toc242880507" w:history="1">
            <w:r w:rsidRPr="00864188">
              <w:rPr>
                <w:rStyle w:val="Hyperlink"/>
                <w:rFonts w:asciiTheme="minorBidi" w:hAnsiTheme="minorBidi"/>
                <w:noProof/>
              </w:rPr>
              <w:t>C3. Personal capability development plan</w:t>
            </w:r>
            <w:r>
              <w:rPr>
                <w:noProof/>
                <w:webHidden/>
              </w:rPr>
              <w:tab/>
            </w:r>
            <w:r>
              <w:rPr>
                <w:noProof/>
                <w:webHidden/>
              </w:rPr>
              <w:fldChar w:fldCharType="begin"/>
            </w:r>
            <w:r>
              <w:rPr>
                <w:noProof/>
                <w:webHidden/>
              </w:rPr>
              <w:instrText xml:space="preserve"> PAGEREF _Toc242880507 \h </w:instrText>
            </w:r>
            <w:r>
              <w:rPr>
                <w:noProof/>
                <w:webHidden/>
              </w:rPr>
            </w:r>
            <w:r>
              <w:rPr>
                <w:noProof/>
                <w:webHidden/>
              </w:rPr>
              <w:fldChar w:fldCharType="separate"/>
            </w:r>
            <w:r>
              <w:rPr>
                <w:noProof/>
                <w:webHidden/>
              </w:rPr>
              <w:t>14</w:t>
            </w:r>
            <w:r>
              <w:rPr>
                <w:noProof/>
                <w:webHidden/>
              </w:rPr>
              <w:fldChar w:fldCharType="end"/>
            </w:r>
          </w:hyperlink>
        </w:p>
        <w:p w14:paraId="29104F6E" w14:textId="5C7BA67F" w:rsidR="00126A70" w:rsidRDefault="00126A70">
          <w:pPr>
            <w:pStyle w:val="TOC1"/>
            <w:tabs>
              <w:tab w:val="right" w:leader="dot" w:pos="9016"/>
            </w:tabs>
            <w:rPr>
              <w:noProof/>
            </w:rPr>
          </w:pPr>
          <w:hyperlink w:anchor="_Toc242880508" w:history="1">
            <w:r w:rsidRPr="00864188">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_Toc242880508 \h </w:instrText>
            </w:r>
            <w:r>
              <w:rPr>
                <w:noProof/>
                <w:webHidden/>
              </w:rPr>
            </w:r>
            <w:r>
              <w:rPr>
                <w:noProof/>
                <w:webHidden/>
              </w:rPr>
              <w:fldChar w:fldCharType="separate"/>
            </w:r>
            <w:r>
              <w:rPr>
                <w:noProof/>
                <w:webHidden/>
              </w:rPr>
              <w:t>15</w:t>
            </w:r>
            <w:r>
              <w:rPr>
                <w:noProof/>
                <w:webHidden/>
              </w:rPr>
              <w:fldChar w:fldCharType="end"/>
            </w:r>
          </w:hyperlink>
        </w:p>
        <w:p w14:paraId="71C40786" w14:textId="71FB798D" w:rsidR="00126A70" w:rsidRDefault="00126A70">
          <w:pPr>
            <w:pStyle w:val="TOC1"/>
            <w:tabs>
              <w:tab w:val="right" w:leader="dot" w:pos="9016"/>
            </w:tabs>
            <w:rPr>
              <w:noProof/>
            </w:rPr>
          </w:pPr>
          <w:hyperlink w:anchor="_Toc242880509" w:history="1">
            <w:r w:rsidRPr="00864188">
              <w:rPr>
                <w:rStyle w:val="Hyperlink"/>
                <w:rFonts w:cs="Times New Roman"/>
                <w:noProof/>
              </w:rPr>
              <w:t>References</w:t>
            </w:r>
            <w:r>
              <w:rPr>
                <w:noProof/>
                <w:webHidden/>
              </w:rPr>
              <w:tab/>
            </w:r>
            <w:r>
              <w:rPr>
                <w:noProof/>
                <w:webHidden/>
              </w:rPr>
              <w:fldChar w:fldCharType="begin"/>
            </w:r>
            <w:r>
              <w:rPr>
                <w:noProof/>
                <w:webHidden/>
              </w:rPr>
              <w:instrText xml:space="preserve"> PAGEREF _Toc242880509 \h </w:instrText>
            </w:r>
            <w:r>
              <w:rPr>
                <w:noProof/>
                <w:webHidden/>
              </w:rPr>
            </w:r>
            <w:r>
              <w:rPr>
                <w:noProof/>
                <w:webHidden/>
              </w:rPr>
              <w:fldChar w:fldCharType="separate"/>
            </w:r>
            <w:r>
              <w:rPr>
                <w:noProof/>
                <w:webHidden/>
              </w:rPr>
              <w:t>15</w:t>
            </w:r>
            <w:r>
              <w:rPr>
                <w:noProof/>
                <w:webHidden/>
              </w:rPr>
              <w:fldChar w:fldCharType="end"/>
            </w:r>
          </w:hyperlink>
        </w:p>
        <w:p w14:paraId="28DC8184" w14:textId="0BCB765A" w:rsidR="00D37BA0" w:rsidRPr="00126A70" w:rsidRDefault="00126A70" w:rsidP="00126A70">
          <w:r>
            <w:rPr>
              <w:b/>
              <w:bCs/>
            </w:rPr>
            <w:fldChar w:fldCharType="end"/>
          </w:r>
        </w:p>
      </w:sdtContent>
    </w:sdt>
    <w:p w14:paraId="6BDFD3B6" w14:textId="77777777" w:rsidR="00D37BA0" w:rsidRPr="00126A70" w:rsidRDefault="00D37BA0" w:rsidP="008324AA">
      <w:pPr>
        <w:spacing w:after="0"/>
        <w:jc w:val="center"/>
        <w:rPr>
          <w:rFonts w:cs="Times New Roman"/>
          <w:b/>
          <w:bCs/>
          <w:color w:val="1F3864"/>
          <w:sz w:val="28"/>
          <w:szCs w:val="28"/>
          <w:lang w:val="da-DK"/>
        </w:rPr>
      </w:pPr>
    </w:p>
    <w:p w14:paraId="4EE4D417" w14:textId="77777777" w:rsidR="00D37BA0" w:rsidRPr="00126A70" w:rsidRDefault="00D37BA0" w:rsidP="008324AA">
      <w:pPr>
        <w:spacing w:after="0"/>
        <w:jc w:val="center"/>
        <w:rPr>
          <w:rFonts w:cs="Times New Roman"/>
          <w:b/>
          <w:bCs/>
          <w:color w:val="1F3864"/>
          <w:sz w:val="28"/>
          <w:szCs w:val="28"/>
          <w:lang w:val="da-DK"/>
        </w:rPr>
      </w:pPr>
    </w:p>
    <w:p w14:paraId="6BA6E69D" w14:textId="77777777" w:rsidR="00D37BA0" w:rsidRPr="00126A70" w:rsidRDefault="00D37BA0" w:rsidP="008324AA">
      <w:pPr>
        <w:spacing w:after="0"/>
        <w:jc w:val="center"/>
        <w:rPr>
          <w:rFonts w:cs="Times New Roman"/>
          <w:b/>
          <w:bCs/>
          <w:color w:val="1F3864"/>
          <w:sz w:val="28"/>
          <w:szCs w:val="28"/>
          <w:lang w:val="da-DK"/>
        </w:rPr>
      </w:pPr>
    </w:p>
    <w:p w14:paraId="3B79F41E" w14:textId="77777777" w:rsidR="00D37BA0" w:rsidRPr="00126A70" w:rsidRDefault="00D37BA0" w:rsidP="008324AA">
      <w:pPr>
        <w:spacing w:after="0"/>
        <w:jc w:val="center"/>
        <w:rPr>
          <w:rFonts w:cs="Times New Roman"/>
          <w:b/>
          <w:bCs/>
          <w:color w:val="1F3864"/>
          <w:sz w:val="28"/>
          <w:szCs w:val="28"/>
          <w:lang w:val="da-DK"/>
        </w:rPr>
      </w:pPr>
    </w:p>
    <w:p w14:paraId="49E3C1EC" w14:textId="77777777" w:rsidR="00D37BA0" w:rsidRPr="00126A70" w:rsidRDefault="00D37BA0" w:rsidP="008324AA">
      <w:pPr>
        <w:spacing w:after="0"/>
        <w:jc w:val="center"/>
        <w:rPr>
          <w:rFonts w:cs="Times New Roman"/>
          <w:b/>
          <w:bCs/>
          <w:color w:val="1F3864"/>
          <w:sz w:val="28"/>
          <w:szCs w:val="28"/>
          <w:lang w:val="da-DK"/>
        </w:rPr>
      </w:pPr>
    </w:p>
    <w:p w14:paraId="58E821D5" w14:textId="77777777" w:rsidR="00126A70" w:rsidRDefault="00126A70" w:rsidP="00126A70">
      <w:pPr>
        <w:spacing w:after="0"/>
        <w:rPr>
          <w:rFonts w:cs="Times New Roman"/>
          <w:b/>
          <w:bCs/>
          <w:color w:val="1F3864"/>
          <w:sz w:val="28"/>
          <w:szCs w:val="28"/>
          <w:lang w:val="da-DK"/>
        </w:rPr>
      </w:pPr>
    </w:p>
    <w:p w14:paraId="6176DB06" w14:textId="00F883E2" w:rsidR="001A55C0" w:rsidRDefault="008254AA" w:rsidP="00126A70">
      <w:pPr>
        <w:spacing w:after="0"/>
        <w:jc w:val="center"/>
        <w:rPr>
          <w:rFonts w:asciiTheme="minorBidi" w:hAnsiTheme="minorBidi" w:cstheme="minorBidi"/>
          <w:i/>
          <w:iCs/>
          <w:szCs w:val="24"/>
        </w:rPr>
      </w:pPr>
      <w:r w:rsidRPr="00126A70">
        <w:rPr>
          <w:rFonts w:asciiTheme="minorBidi" w:hAnsiTheme="minorBidi" w:cstheme="minorBidi"/>
          <w:i/>
          <w:iCs/>
          <w:szCs w:val="24"/>
        </w:rPr>
        <w:lastRenderedPageBreak/>
        <w:t>Strategic Human Capital Report for the Board of NexSpace Health Systems (NHSX)</w:t>
      </w:r>
    </w:p>
    <w:p w14:paraId="270F0DBA" w14:textId="77777777" w:rsidR="001A55C0" w:rsidRPr="00126A70" w:rsidRDefault="008254AA" w:rsidP="008324AA">
      <w:pPr>
        <w:pStyle w:val="Heading1"/>
        <w:spacing w:before="0" w:after="0"/>
        <w:rPr>
          <w:rFonts w:asciiTheme="minorBidi" w:hAnsiTheme="minorBidi" w:cstheme="minorBidi"/>
          <w:color w:val="auto"/>
          <w:szCs w:val="24"/>
          <w:lang w:val="en-GB"/>
        </w:rPr>
      </w:pPr>
      <w:bookmarkStart w:id="0" w:name="_Toc242880496"/>
      <w:r w:rsidRPr="00126A70">
        <w:rPr>
          <w:rFonts w:asciiTheme="minorBidi" w:hAnsiTheme="minorBidi" w:cstheme="minorBidi"/>
          <w:color w:val="auto"/>
          <w:szCs w:val="24"/>
          <w:lang w:val="en-GB"/>
        </w:rPr>
        <w:t>Introduction</w:t>
      </w:r>
      <w:bookmarkEnd w:id="0"/>
    </w:p>
    <w:p w14:paraId="078E6BD2" w14:textId="0636BA15" w:rsidR="001A55C0" w:rsidRPr="00126A70" w:rsidRDefault="00DF6170" w:rsidP="00A44C71">
      <w:pPr>
        <w:spacing w:after="0"/>
        <w:rPr>
          <w:rFonts w:asciiTheme="minorBidi" w:hAnsiTheme="minorBidi" w:cstheme="minorBidi"/>
          <w:szCs w:val="24"/>
        </w:rPr>
      </w:pPr>
      <w:r w:rsidRPr="00126A70">
        <w:rPr>
          <w:rFonts w:asciiTheme="minorBidi" w:hAnsiTheme="minorBidi" w:cstheme="minorBidi"/>
          <w:szCs w:val="24"/>
        </w:rPr>
        <w:t xml:space="preserve">NexSpace Health Systems (NHSX) is a healthcare technology firm with about 600 employees in the United Kingdom, India and the United Arab Emirates. It </w:t>
      </w:r>
      <w:r w:rsidR="00A44C71" w:rsidRPr="00126A70">
        <w:rPr>
          <w:rFonts w:asciiTheme="minorBidi" w:hAnsiTheme="minorBidi" w:cstheme="minorBidi"/>
          <w:szCs w:val="24"/>
        </w:rPr>
        <w:t xml:space="preserve">faces five significant people issues: (a) a slow hierarchy, (b) limited opportunities for creativity, (c) poor collaboration when working from home, (d) top talent leaving due to a </w:t>
      </w:r>
      <w:r w:rsidRPr="00126A70">
        <w:rPr>
          <w:rFonts w:asciiTheme="minorBidi" w:hAnsiTheme="minorBidi" w:cstheme="minorBidi"/>
          <w:szCs w:val="24"/>
        </w:rPr>
        <w:t xml:space="preserve">lack of development, and (e) managers feeling constrained between wellbeing and performance. </w:t>
      </w:r>
      <w:r w:rsidR="00186B05" w:rsidRPr="00126A70">
        <w:rPr>
          <w:rFonts w:asciiTheme="minorBidi" w:hAnsiTheme="minorBidi" w:cstheme="minorBidi"/>
          <w:szCs w:val="24"/>
        </w:rPr>
        <w:t>As an external Strategic Human Capital Consultant</w:t>
      </w:r>
      <w:r w:rsidR="00A410AD" w:rsidRPr="00126A70">
        <w:rPr>
          <w:rFonts w:asciiTheme="minorBidi" w:hAnsiTheme="minorBidi" w:cstheme="minorBidi"/>
          <w:szCs w:val="24"/>
        </w:rPr>
        <w:t>,</w:t>
      </w:r>
      <w:r w:rsidR="00186B05" w:rsidRPr="00126A70">
        <w:rPr>
          <w:rFonts w:asciiTheme="minorBidi" w:hAnsiTheme="minorBidi" w:cstheme="minorBidi"/>
          <w:szCs w:val="24"/>
        </w:rPr>
        <w:t xml:space="preserve"> I propose ideas for how work is done (Task A) and how talent grows (Task B), then reflect on the use of AI in HR and how I have further developed my own talent (Task C).</w:t>
      </w:r>
    </w:p>
    <w:p w14:paraId="7DCB0332" w14:textId="77777777" w:rsidR="001A55C0" w:rsidRPr="00126A70" w:rsidRDefault="008254AA" w:rsidP="008324AA">
      <w:pPr>
        <w:pStyle w:val="Heading1"/>
        <w:spacing w:before="0" w:after="0"/>
        <w:rPr>
          <w:rFonts w:asciiTheme="minorBidi" w:hAnsiTheme="minorBidi" w:cstheme="minorBidi"/>
          <w:color w:val="auto"/>
          <w:szCs w:val="24"/>
          <w:lang w:val="en-GB"/>
        </w:rPr>
      </w:pPr>
      <w:bookmarkStart w:id="1" w:name="_Toc242880497"/>
      <w:r w:rsidRPr="00126A70">
        <w:rPr>
          <w:rFonts w:asciiTheme="minorBidi" w:hAnsiTheme="minorBidi" w:cstheme="minorBidi"/>
          <w:color w:val="auto"/>
          <w:szCs w:val="24"/>
          <w:lang w:val="en-GB"/>
        </w:rPr>
        <w:t>Task A: Designing Innovative Working Practices</w:t>
      </w:r>
      <w:bookmarkEnd w:id="1"/>
    </w:p>
    <w:p w14:paraId="70467FEF" w14:textId="77777777" w:rsidR="001A55C0" w:rsidRPr="00126A70" w:rsidRDefault="008254AA" w:rsidP="008324AA">
      <w:pPr>
        <w:pStyle w:val="Heading2"/>
        <w:spacing w:before="0" w:after="0" w:line="480" w:lineRule="auto"/>
        <w:rPr>
          <w:rFonts w:asciiTheme="minorBidi" w:hAnsiTheme="minorBidi" w:cstheme="minorBidi"/>
          <w:color w:val="auto"/>
          <w:sz w:val="24"/>
          <w:szCs w:val="24"/>
          <w:lang w:val="en-GB"/>
        </w:rPr>
      </w:pPr>
      <w:bookmarkStart w:id="2" w:name="_Toc242880498"/>
      <w:r w:rsidRPr="00126A70">
        <w:rPr>
          <w:rFonts w:asciiTheme="minorBidi" w:hAnsiTheme="minorBidi" w:cstheme="minorBidi"/>
          <w:color w:val="auto"/>
          <w:sz w:val="24"/>
          <w:szCs w:val="24"/>
          <w:lang w:val="en-GB"/>
        </w:rPr>
        <w:t>A1. Traditional versus contemporary work design</w:t>
      </w:r>
      <w:bookmarkEnd w:id="2"/>
    </w:p>
    <w:p w14:paraId="5BA6EDE2" w14:textId="0B5A0A41" w:rsidR="001A55C0" w:rsidRPr="00126A70" w:rsidRDefault="00993D5E" w:rsidP="00A44C71">
      <w:pPr>
        <w:spacing w:after="0"/>
        <w:rPr>
          <w:rFonts w:asciiTheme="minorBidi" w:hAnsiTheme="minorBidi" w:cstheme="minorBidi"/>
          <w:szCs w:val="24"/>
        </w:rPr>
      </w:pPr>
      <w:r w:rsidRPr="00126A70">
        <w:rPr>
          <w:rFonts w:asciiTheme="minorBidi" w:hAnsiTheme="minorBidi" w:cstheme="minorBidi"/>
          <w:szCs w:val="24"/>
        </w:rPr>
        <w:t xml:space="preserve">NHSX's traditional design is </w:t>
      </w:r>
      <w:r w:rsidR="00D37BA0" w:rsidRPr="00126A70">
        <w:rPr>
          <w:rFonts w:asciiTheme="minorBidi" w:hAnsiTheme="minorBidi" w:cstheme="minorBidi"/>
          <w:szCs w:val="24"/>
        </w:rPr>
        <w:t>hierarchical: managers plan and control, and staff follow instructions within</w:t>
      </w:r>
      <w:r w:rsidRPr="00126A70">
        <w:rPr>
          <w:rFonts w:asciiTheme="minorBidi" w:hAnsiTheme="minorBidi" w:cstheme="minorBidi"/>
          <w:szCs w:val="24"/>
        </w:rPr>
        <w:t xml:space="preserve"> separate departments. This provides clarity and control—both very important in regulated healthcare. </w:t>
      </w:r>
      <w:r w:rsidR="00A44C71" w:rsidRPr="00126A70">
        <w:rPr>
          <w:rFonts w:asciiTheme="minorBidi" w:hAnsiTheme="minorBidi" w:cstheme="minorBidi"/>
          <w:szCs w:val="24"/>
        </w:rPr>
        <w:t>Ideas still have to move back and forth through multiple layers, though, which slows decision-making and reduces</w:t>
      </w:r>
      <w:r w:rsidRPr="00126A70">
        <w:rPr>
          <w:rFonts w:asciiTheme="minorBidi" w:hAnsiTheme="minorBidi" w:cstheme="minorBidi"/>
          <w:szCs w:val="24"/>
        </w:rPr>
        <w:t xml:space="preserve"> creativity (problems a and b). </w:t>
      </w:r>
      <w:r w:rsidR="00A44C71" w:rsidRPr="00126A70">
        <w:rPr>
          <w:rFonts w:asciiTheme="minorBidi" w:hAnsiTheme="minorBidi" w:cstheme="minorBidi"/>
          <w:szCs w:val="24"/>
        </w:rPr>
        <w:t>Modern designs, however, use self-managing teams instead of departmental structures that require hierarchical supervision</w:t>
      </w:r>
      <w:r w:rsidRPr="00126A70">
        <w:rPr>
          <w:rFonts w:asciiTheme="minorBidi" w:hAnsiTheme="minorBidi" w:cstheme="minorBidi"/>
          <w:szCs w:val="24"/>
        </w:rPr>
        <w:t xml:space="preserve"> (Junker et al., 2022).</w:t>
      </w:r>
    </w:p>
    <w:p w14:paraId="18E0C524" w14:textId="77777777" w:rsidR="00A44C71" w:rsidRPr="00126A70" w:rsidRDefault="008254AA" w:rsidP="00A44C71">
      <w:pPr>
        <w:spacing w:after="0"/>
        <w:rPr>
          <w:rFonts w:asciiTheme="minorBidi" w:hAnsiTheme="minorBidi" w:cstheme="minorBidi"/>
          <w:szCs w:val="24"/>
        </w:rPr>
      </w:pPr>
      <w:r w:rsidRPr="00126A70">
        <w:rPr>
          <w:rFonts w:asciiTheme="minorBidi" w:hAnsiTheme="minorBidi" w:cstheme="minorBidi"/>
          <w:b/>
          <w:bCs/>
          <w:szCs w:val="24"/>
        </w:rPr>
        <w:t>High-Performance Work Systems (HPWS).</w:t>
      </w:r>
      <w:r w:rsidRPr="00126A70">
        <w:rPr>
          <w:rFonts w:asciiTheme="minorBidi" w:hAnsiTheme="minorBidi" w:cstheme="minorBidi"/>
          <w:szCs w:val="24"/>
        </w:rPr>
        <w:t xml:space="preserve"> </w:t>
      </w:r>
    </w:p>
    <w:p w14:paraId="2E00CCE5" w14:textId="3E92624E" w:rsidR="001A55C0" w:rsidRPr="00126A70" w:rsidRDefault="000D5284" w:rsidP="00A44C71">
      <w:pPr>
        <w:spacing w:after="0"/>
        <w:rPr>
          <w:rFonts w:asciiTheme="minorBidi" w:hAnsiTheme="minorBidi" w:cstheme="minorBidi"/>
          <w:szCs w:val="24"/>
        </w:rPr>
      </w:pPr>
      <w:r w:rsidRPr="00126A70">
        <w:rPr>
          <w:rFonts w:asciiTheme="minorBidi" w:hAnsiTheme="minorBidi" w:cstheme="minorBidi"/>
          <w:szCs w:val="24"/>
        </w:rPr>
        <w:t xml:space="preserve">HRP packages are a </w:t>
      </w:r>
      <w:r w:rsidR="00A44C71" w:rsidRPr="00126A70">
        <w:rPr>
          <w:rFonts w:asciiTheme="minorBidi" w:hAnsiTheme="minorBidi" w:cstheme="minorBidi"/>
          <w:szCs w:val="24"/>
        </w:rPr>
        <w:t>set of HR practices, including selection, training, pay, performance review, job design,</w:t>
      </w:r>
      <w:r w:rsidRPr="00126A70">
        <w:rPr>
          <w:rFonts w:asciiTheme="minorBidi" w:hAnsiTheme="minorBidi" w:cstheme="minorBidi"/>
          <w:szCs w:val="24"/>
        </w:rPr>
        <w:t xml:space="preserve"> and participation (Ehrnrooth et al., 2023). HPWS </w:t>
      </w:r>
      <w:r w:rsidR="00A44C71" w:rsidRPr="00126A70">
        <w:rPr>
          <w:rFonts w:asciiTheme="minorBidi" w:hAnsiTheme="minorBidi" w:cstheme="minorBidi"/>
          <w:szCs w:val="24"/>
        </w:rPr>
        <w:t>was positively related to innovation behaviour among 227 employees, though this relationship was stronger</w:t>
      </w:r>
      <w:r w:rsidRPr="00126A70">
        <w:rPr>
          <w:rFonts w:asciiTheme="minorBidi" w:hAnsiTheme="minorBidi" w:cstheme="minorBidi"/>
          <w:szCs w:val="24"/>
        </w:rPr>
        <w:t xml:space="preserve"> when employees also perceived high organisational support (Zhu, Gao and Chen, 2022). The authors call this "tough love": high goals plus real help. </w:t>
      </w:r>
      <w:r w:rsidR="00A44C71" w:rsidRPr="00126A70">
        <w:rPr>
          <w:rFonts w:asciiTheme="minorBidi" w:hAnsiTheme="minorBidi" w:cstheme="minorBidi"/>
          <w:szCs w:val="24"/>
        </w:rPr>
        <w:t xml:space="preserve">Critics argue that HPWS overburdens workers, but </w:t>
      </w:r>
      <w:r w:rsidR="00D37BA0" w:rsidRPr="00126A70">
        <w:rPr>
          <w:rFonts w:asciiTheme="minorBidi" w:hAnsiTheme="minorBidi" w:cstheme="minorBidi"/>
          <w:szCs w:val="24"/>
        </w:rPr>
        <w:t>among</w:t>
      </w:r>
      <w:r w:rsidR="00A44C71" w:rsidRPr="00126A70">
        <w:rPr>
          <w:rFonts w:asciiTheme="minorBidi" w:hAnsiTheme="minorBidi" w:cstheme="minorBidi"/>
          <w:szCs w:val="24"/>
        </w:rPr>
        <w:t xml:space="preserve"> 308 white-collar staff </w:t>
      </w:r>
      <w:r w:rsidR="00A44C71" w:rsidRPr="00126A70">
        <w:rPr>
          <w:rFonts w:asciiTheme="minorBidi" w:hAnsiTheme="minorBidi" w:cstheme="minorBidi"/>
          <w:szCs w:val="24"/>
        </w:rPr>
        <w:lastRenderedPageBreak/>
        <w:t xml:space="preserve">in Finland, HPWS correlated with reduced emotional exhaustion and </w:t>
      </w:r>
      <w:r w:rsidRPr="00126A70">
        <w:rPr>
          <w:rFonts w:asciiTheme="minorBidi" w:hAnsiTheme="minorBidi" w:cstheme="minorBidi"/>
          <w:szCs w:val="24"/>
        </w:rPr>
        <w:t xml:space="preserve">job demands (Ehrnrooth et al., 2023). So, HPWS </w:t>
      </w:r>
      <w:r w:rsidR="00A44C71" w:rsidRPr="00126A70">
        <w:rPr>
          <w:rFonts w:asciiTheme="minorBidi" w:hAnsiTheme="minorBidi" w:cstheme="minorBidi"/>
          <w:szCs w:val="24"/>
        </w:rPr>
        <w:t xml:space="preserve">helps only when resources are scarce </w:t>
      </w:r>
      <w:r w:rsidR="00D37BA0" w:rsidRPr="00126A70">
        <w:rPr>
          <w:rFonts w:asciiTheme="minorBidi" w:hAnsiTheme="minorBidi" w:cstheme="minorBidi"/>
          <w:szCs w:val="24"/>
        </w:rPr>
        <w:t>and demands are high</w:t>
      </w:r>
      <w:r w:rsidRPr="00126A70">
        <w:rPr>
          <w:rFonts w:asciiTheme="minorBidi" w:hAnsiTheme="minorBidi" w:cstheme="minorBidi"/>
          <w:szCs w:val="24"/>
        </w:rPr>
        <w:t>.</w:t>
      </w:r>
    </w:p>
    <w:p w14:paraId="6FC14634" w14:textId="326CC858" w:rsidR="001A55C0" w:rsidRPr="00126A70" w:rsidRDefault="008254AA" w:rsidP="00A44C71">
      <w:pPr>
        <w:spacing w:after="0"/>
        <w:rPr>
          <w:rFonts w:asciiTheme="minorBidi" w:hAnsiTheme="minorBidi" w:cstheme="minorBidi"/>
          <w:szCs w:val="24"/>
        </w:rPr>
      </w:pPr>
      <w:r w:rsidRPr="00126A70">
        <w:rPr>
          <w:rFonts w:asciiTheme="minorBidi" w:hAnsiTheme="minorBidi" w:cstheme="minorBidi"/>
          <w:b/>
          <w:bCs/>
          <w:szCs w:val="24"/>
        </w:rPr>
        <w:t>High-Involvement Work Systems (HIWS).</w:t>
      </w:r>
      <w:r w:rsidRPr="00126A70">
        <w:rPr>
          <w:rFonts w:asciiTheme="minorBidi" w:hAnsiTheme="minorBidi" w:cstheme="minorBidi"/>
          <w:szCs w:val="24"/>
        </w:rPr>
        <w:t xml:space="preserve"> </w:t>
      </w:r>
      <w:r w:rsidR="0070305C" w:rsidRPr="00126A70">
        <w:rPr>
          <w:rFonts w:asciiTheme="minorBidi" w:hAnsiTheme="minorBidi" w:cstheme="minorBidi"/>
          <w:szCs w:val="24"/>
        </w:rPr>
        <w:t xml:space="preserve">HIWS (Jiang et al., 2024) focuses on empowerment, skill building, information sharing, recognition, and fair rewards. They delegate downward; appropriate for problem (a). Involvement practices, however, led to small, incremental innovation, </w:t>
      </w:r>
      <w:r w:rsidR="00A44C71" w:rsidRPr="00126A70">
        <w:rPr>
          <w:rFonts w:asciiTheme="minorBidi" w:hAnsiTheme="minorBidi" w:cstheme="minorBidi"/>
          <w:szCs w:val="24"/>
        </w:rPr>
        <w:t>not radical innovation, among</w:t>
      </w:r>
      <w:r w:rsidR="0070305C" w:rsidRPr="00126A70">
        <w:rPr>
          <w:rFonts w:asciiTheme="minorBidi" w:hAnsiTheme="minorBidi" w:cstheme="minorBidi"/>
          <w:szCs w:val="24"/>
        </w:rPr>
        <w:t xml:space="preserve"> 278 technology workers, and high inspirational leadership mitigated involvement's effect in this group (Jiang et al., 2024). Participation</w:t>
      </w:r>
      <w:r w:rsidR="00D06B0F" w:rsidRPr="00126A70">
        <w:rPr>
          <w:rFonts w:asciiTheme="minorBidi" w:hAnsiTheme="minorBidi" w:cstheme="minorBidi"/>
          <w:szCs w:val="24"/>
        </w:rPr>
        <w:t xml:space="preserve"> alone</w:t>
      </w:r>
      <w:r w:rsidR="0070305C" w:rsidRPr="00126A70">
        <w:rPr>
          <w:rFonts w:asciiTheme="minorBidi" w:hAnsiTheme="minorBidi" w:cstheme="minorBidi"/>
          <w:szCs w:val="24"/>
        </w:rPr>
        <w:t xml:space="preserve"> does not lead to breakthroughs.</w:t>
      </w:r>
    </w:p>
    <w:p w14:paraId="64AF3100" w14:textId="6AD61672" w:rsidR="001A55C0" w:rsidRPr="00126A70" w:rsidRDefault="008254AA" w:rsidP="00A44C71">
      <w:pPr>
        <w:spacing w:after="0"/>
        <w:rPr>
          <w:rFonts w:asciiTheme="minorBidi" w:hAnsiTheme="minorBidi" w:cstheme="minorBidi"/>
          <w:szCs w:val="24"/>
        </w:rPr>
      </w:pPr>
      <w:r w:rsidRPr="00126A70">
        <w:rPr>
          <w:rFonts w:asciiTheme="minorBidi" w:hAnsiTheme="minorBidi" w:cstheme="minorBidi"/>
          <w:b/>
          <w:bCs/>
          <w:szCs w:val="24"/>
        </w:rPr>
        <w:t>Agile working.</w:t>
      </w:r>
      <w:r w:rsidRPr="00126A70">
        <w:rPr>
          <w:rFonts w:asciiTheme="minorBidi" w:hAnsiTheme="minorBidi" w:cstheme="minorBidi"/>
          <w:szCs w:val="24"/>
        </w:rPr>
        <w:t xml:space="preserve"> </w:t>
      </w:r>
      <w:r w:rsidR="00A44C71" w:rsidRPr="00126A70">
        <w:rPr>
          <w:rFonts w:asciiTheme="minorBidi" w:hAnsiTheme="minorBidi" w:cstheme="minorBidi"/>
          <w:szCs w:val="24"/>
        </w:rPr>
        <w:t>Agile teams collaborate in short "sprints", develop prototypes, and hold daily standing meetings of no more than 15 minutes,</w:t>
      </w:r>
      <w:r w:rsidR="00E962A7" w:rsidRPr="00126A70">
        <w:rPr>
          <w:rFonts w:asciiTheme="minorBidi" w:hAnsiTheme="minorBidi" w:cstheme="minorBidi"/>
          <w:szCs w:val="24"/>
        </w:rPr>
        <w:t xml:space="preserve"> as well as retrospectives (Junker et al., 2022). </w:t>
      </w:r>
      <w:r w:rsidR="00A44C71" w:rsidRPr="00126A70">
        <w:rPr>
          <w:rFonts w:asciiTheme="minorBidi" w:hAnsiTheme="minorBidi" w:cstheme="minorBidi"/>
          <w:szCs w:val="24"/>
        </w:rPr>
        <w:t>Across 114 teams, proactivity norms were positively related to agile taskwork and led to</w:t>
      </w:r>
      <w:r w:rsidR="00E962A7" w:rsidRPr="00126A70">
        <w:rPr>
          <w:rFonts w:asciiTheme="minorBidi" w:hAnsiTheme="minorBidi" w:cstheme="minorBidi"/>
          <w:szCs w:val="24"/>
        </w:rPr>
        <w:t xml:space="preserve"> higher team performance. </w:t>
      </w:r>
      <w:r w:rsidR="00A44C71" w:rsidRPr="00126A70">
        <w:rPr>
          <w:rFonts w:asciiTheme="minorBidi" w:hAnsiTheme="minorBidi" w:cstheme="minorBidi"/>
          <w:szCs w:val="24"/>
        </w:rPr>
        <w:t>However, agile theory is not fully developed, and pressure to be proactive within the team can become</w:t>
      </w:r>
      <w:r w:rsidR="00E962A7" w:rsidRPr="00126A70">
        <w:rPr>
          <w:rFonts w:asciiTheme="minorBidi" w:hAnsiTheme="minorBidi" w:cstheme="minorBidi"/>
          <w:szCs w:val="24"/>
        </w:rPr>
        <w:t xml:space="preserve"> a form of peer control.</w:t>
      </w:r>
    </w:p>
    <w:p w14:paraId="4B33DBE0" w14:textId="77777777" w:rsidR="00A44C71" w:rsidRPr="00126A70" w:rsidRDefault="008254AA" w:rsidP="00A44C71">
      <w:pPr>
        <w:spacing w:after="0"/>
        <w:rPr>
          <w:rFonts w:asciiTheme="minorBidi" w:hAnsiTheme="minorBidi" w:cstheme="minorBidi"/>
          <w:szCs w:val="24"/>
        </w:rPr>
      </w:pPr>
      <w:r w:rsidRPr="00126A70">
        <w:rPr>
          <w:rFonts w:asciiTheme="minorBidi" w:hAnsiTheme="minorBidi" w:cstheme="minorBidi"/>
          <w:b/>
          <w:bCs/>
          <w:szCs w:val="24"/>
        </w:rPr>
        <w:t>Hybrid and flexible working.</w:t>
      </w:r>
    </w:p>
    <w:p w14:paraId="2FF7AD6F" w14:textId="1A54E95A" w:rsidR="001A55C0" w:rsidRPr="00126A70" w:rsidRDefault="00223D9E" w:rsidP="00A44C71">
      <w:pPr>
        <w:spacing w:after="0"/>
        <w:rPr>
          <w:rFonts w:asciiTheme="minorBidi" w:hAnsiTheme="minorBidi" w:cstheme="minorBidi"/>
          <w:szCs w:val="24"/>
        </w:rPr>
      </w:pPr>
      <w:r w:rsidRPr="00126A70">
        <w:rPr>
          <w:rFonts w:asciiTheme="minorBidi" w:hAnsiTheme="minorBidi" w:cstheme="minorBidi"/>
          <w:szCs w:val="24"/>
        </w:rPr>
        <w:t>As Microsoft's workforce moved to full remote work, collaboration became "more static and siloed"</w:t>
      </w:r>
      <w:r w:rsidR="008F021C" w:rsidRPr="00126A70">
        <w:rPr>
          <w:rFonts w:asciiTheme="minorBidi" w:hAnsiTheme="minorBidi" w:cstheme="minorBidi"/>
          <w:szCs w:val="24"/>
        </w:rPr>
        <w:t>,</w:t>
      </w:r>
      <w:r w:rsidRPr="00126A70">
        <w:rPr>
          <w:rFonts w:asciiTheme="minorBidi" w:hAnsiTheme="minorBidi" w:cstheme="minorBidi"/>
          <w:szCs w:val="24"/>
        </w:rPr>
        <w:t xml:space="preserve"> and ties between groups waned (Yang et al., 2022). In contrast, a </w:t>
      </w:r>
      <w:r w:rsidR="009E29B2" w:rsidRPr="00126A70">
        <w:rPr>
          <w:rFonts w:asciiTheme="minorBidi" w:hAnsiTheme="minorBidi" w:cstheme="minorBidi"/>
          <w:szCs w:val="24"/>
        </w:rPr>
        <w:t>randomised</w:t>
      </w:r>
      <w:r w:rsidRPr="00126A70">
        <w:rPr>
          <w:rFonts w:asciiTheme="minorBidi" w:hAnsiTheme="minorBidi" w:cstheme="minorBidi"/>
          <w:szCs w:val="24"/>
        </w:rPr>
        <w:t xml:space="preserve"> experiment of 1,612 Trip.com graduates who </w:t>
      </w:r>
      <w:r w:rsidR="00D37BA0" w:rsidRPr="00126A70">
        <w:rPr>
          <w:rFonts w:asciiTheme="minorBidi" w:hAnsiTheme="minorBidi" w:cstheme="minorBidi"/>
          <w:szCs w:val="24"/>
        </w:rPr>
        <w:t>worked from home two days a week saw resignations drop by a third,</w:t>
      </w:r>
      <w:r w:rsidRPr="00126A70">
        <w:rPr>
          <w:rFonts w:asciiTheme="minorBidi" w:hAnsiTheme="minorBidi" w:cstheme="minorBidi"/>
          <w:szCs w:val="24"/>
        </w:rPr>
        <w:t xml:space="preserve"> with no impact on performance ratings, promotions, or innovation scores over 2 years (Bloom, Han and Liang, 2024). The CIPD (2025) found that 74% of </w:t>
      </w:r>
      <w:r w:rsidR="00D37BA0" w:rsidRPr="00126A70">
        <w:rPr>
          <w:rFonts w:asciiTheme="minorBidi" w:hAnsiTheme="minorBidi" w:cstheme="minorBidi"/>
          <w:szCs w:val="24"/>
        </w:rPr>
        <w:t>UK organisations support hybrid working, and approximately 1.1 million employees quit their roles in the last year because of</w:t>
      </w:r>
      <w:r w:rsidR="00A44C71" w:rsidRPr="00126A70">
        <w:rPr>
          <w:rFonts w:asciiTheme="minorBidi" w:hAnsiTheme="minorBidi" w:cstheme="minorBidi"/>
          <w:szCs w:val="24"/>
        </w:rPr>
        <w:t xml:space="preserve"> a</w:t>
      </w:r>
      <w:r w:rsidRPr="00126A70">
        <w:rPr>
          <w:rFonts w:asciiTheme="minorBidi" w:hAnsiTheme="minorBidi" w:cstheme="minorBidi"/>
          <w:szCs w:val="24"/>
        </w:rPr>
        <w:t xml:space="preserve"> lack of flexibility. Employers, however, report that hybrid working is damaging managers' </w:t>
      </w:r>
      <w:r w:rsidRPr="00126A70">
        <w:rPr>
          <w:rFonts w:asciiTheme="minorBidi" w:hAnsiTheme="minorBidi" w:cstheme="minorBidi"/>
          <w:szCs w:val="24"/>
        </w:rPr>
        <w:lastRenderedPageBreak/>
        <w:t xml:space="preserve">leadership capabilities, working culture and employee engagement with purpose (CIPD, 2025). Hybrid </w:t>
      </w:r>
      <w:r w:rsidR="00A44C71" w:rsidRPr="00126A70">
        <w:rPr>
          <w:rFonts w:asciiTheme="minorBidi" w:hAnsiTheme="minorBidi" w:cstheme="minorBidi"/>
          <w:szCs w:val="24"/>
        </w:rPr>
        <w:t xml:space="preserve">work </w:t>
      </w:r>
      <w:r w:rsidRPr="00126A70">
        <w:rPr>
          <w:rFonts w:asciiTheme="minorBidi" w:hAnsiTheme="minorBidi" w:cstheme="minorBidi"/>
          <w:szCs w:val="24"/>
        </w:rPr>
        <w:t>works when structured, not fully remote.</w:t>
      </w:r>
    </w:p>
    <w:p w14:paraId="1ABBE7B2" w14:textId="77777777" w:rsidR="00A44C71" w:rsidRPr="00126A70" w:rsidRDefault="008254AA" w:rsidP="00A44C71">
      <w:pPr>
        <w:spacing w:after="0"/>
        <w:rPr>
          <w:rFonts w:asciiTheme="minorBidi" w:hAnsiTheme="minorBidi" w:cstheme="minorBidi"/>
          <w:szCs w:val="24"/>
        </w:rPr>
      </w:pPr>
      <w:r w:rsidRPr="00126A70">
        <w:rPr>
          <w:rFonts w:asciiTheme="minorBidi" w:hAnsiTheme="minorBidi" w:cstheme="minorBidi"/>
          <w:b/>
          <w:bCs/>
          <w:szCs w:val="24"/>
        </w:rPr>
        <w:t>Sociotechnical Systems Theory.</w:t>
      </w:r>
    </w:p>
    <w:p w14:paraId="4BC54C65" w14:textId="609996EA" w:rsidR="00223D9E" w:rsidRPr="00126A70" w:rsidRDefault="00D64E72" w:rsidP="00A44C71">
      <w:pPr>
        <w:spacing w:after="0"/>
        <w:rPr>
          <w:rFonts w:asciiTheme="minorBidi" w:hAnsiTheme="minorBidi" w:cstheme="minorBidi"/>
          <w:szCs w:val="24"/>
        </w:rPr>
      </w:pPr>
      <w:r w:rsidRPr="00126A70">
        <w:rPr>
          <w:rFonts w:asciiTheme="minorBidi" w:hAnsiTheme="minorBidi" w:cstheme="minorBidi"/>
          <w:szCs w:val="24"/>
        </w:rPr>
        <w:t>The social system (people, roles, teams) and the technical system (technologies, data, artificial intelligence) have to be developed in conjunction with one another ("joint optimisation"). Oeij, Dhondt</w:t>
      </w:r>
      <w:r w:rsidR="00A44C71" w:rsidRPr="00126A70">
        <w:rPr>
          <w:rFonts w:asciiTheme="minorBidi" w:hAnsiTheme="minorBidi" w:cstheme="minorBidi"/>
          <w:szCs w:val="24"/>
        </w:rPr>
        <w:t>, and Vaas (2025) argue that technology must be designed for people, and they warn against half-baked solutions (Training without Change) that fail when structures don't change</w:t>
      </w:r>
      <w:r w:rsidRPr="00126A70">
        <w:rPr>
          <w:rFonts w:asciiTheme="minorBidi" w:hAnsiTheme="minorBidi" w:cstheme="minorBidi"/>
          <w:szCs w:val="24"/>
        </w:rPr>
        <w:t>. Tools must increase autonomy, not just surveillance, for an AI business.</w:t>
      </w:r>
    </w:p>
    <w:p w14:paraId="6B10AD0F" w14:textId="29ABA5B3" w:rsidR="001A55C0" w:rsidRPr="00126A70" w:rsidRDefault="00223D9E" w:rsidP="00A44C71">
      <w:pPr>
        <w:spacing w:after="0"/>
        <w:rPr>
          <w:rFonts w:asciiTheme="minorBidi" w:hAnsiTheme="minorBidi" w:cstheme="minorBidi"/>
          <w:szCs w:val="24"/>
        </w:rPr>
      </w:pPr>
      <w:r w:rsidRPr="00126A70">
        <w:rPr>
          <w:rFonts w:asciiTheme="minorBidi" w:hAnsiTheme="minorBidi" w:cstheme="minorBidi"/>
          <w:szCs w:val="24"/>
        </w:rPr>
        <w:t xml:space="preserve">Each model addresses </w:t>
      </w:r>
      <w:r w:rsidR="00A44C71" w:rsidRPr="00126A70">
        <w:rPr>
          <w:rFonts w:asciiTheme="minorBidi" w:hAnsiTheme="minorBidi" w:cstheme="minorBidi"/>
          <w:szCs w:val="24"/>
        </w:rPr>
        <w:t>part of the problem, but NHSX needs</w:t>
      </w:r>
      <w:r w:rsidRPr="00126A70">
        <w:rPr>
          <w:rFonts w:asciiTheme="minorBidi" w:hAnsiTheme="minorBidi" w:cstheme="minorBidi"/>
          <w:szCs w:val="24"/>
        </w:rPr>
        <w:t xml:space="preserve"> one unified model. However, one word of warning: the evidence is predominantly from China, Egypt, Finland</w:t>
      </w:r>
      <w:r w:rsidR="00A44C71" w:rsidRPr="00126A70">
        <w:rPr>
          <w:rFonts w:asciiTheme="minorBidi" w:hAnsiTheme="minorBidi" w:cstheme="minorBidi"/>
          <w:szCs w:val="24"/>
        </w:rPr>
        <w:t>, and Germany, and NHSX needs to test changes in its own UK, India, and UAE teams and review</w:t>
      </w:r>
      <w:r w:rsidRPr="00126A70">
        <w:rPr>
          <w:rFonts w:asciiTheme="minorBidi" w:hAnsiTheme="minorBidi" w:cstheme="minorBidi"/>
          <w:szCs w:val="24"/>
        </w:rPr>
        <w:t xml:space="preserve"> the results.</w:t>
      </w:r>
    </w:p>
    <w:p w14:paraId="79CC07A4" w14:textId="77777777" w:rsidR="001A55C0" w:rsidRPr="00126A70" w:rsidRDefault="008254AA" w:rsidP="008324AA">
      <w:pPr>
        <w:pStyle w:val="Heading2"/>
        <w:spacing w:before="0" w:after="0" w:line="480" w:lineRule="auto"/>
        <w:rPr>
          <w:rFonts w:asciiTheme="minorBidi" w:hAnsiTheme="minorBidi" w:cstheme="minorBidi"/>
          <w:color w:val="auto"/>
          <w:sz w:val="24"/>
          <w:szCs w:val="24"/>
          <w:lang w:val="en-GB"/>
        </w:rPr>
      </w:pPr>
      <w:bookmarkStart w:id="3" w:name="_Toc242880499"/>
      <w:r w:rsidRPr="00126A70">
        <w:rPr>
          <w:rFonts w:asciiTheme="minorBidi" w:hAnsiTheme="minorBidi" w:cstheme="minorBidi"/>
          <w:color w:val="auto"/>
          <w:sz w:val="24"/>
          <w:szCs w:val="24"/>
          <w:lang w:val="en-GB"/>
        </w:rPr>
        <w:t>A2. Recommended framework: the "Connected Squad" model</w:t>
      </w:r>
      <w:bookmarkEnd w:id="3"/>
    </w:p>
    <w:p w14:paraId="234E0DB3" w14:textId="5011FE28" w:rsidR="001A55C0" w:rsidRPr="00126A70" w:rsidRDefault="008254AA" w:rsidP="008324AA">
      <w:pPr>
        <w:pStyle w:val="ListParagraph"/>
        <w:numPr>
          <w:ilvl w:val="0"/>
          <w:numId w:val="2"/>
        </w:numPr>
        <w:spacing w:after="0"/>
        <w:rPr>
          <w:rFonts w:asciiTheme="minorBidi" w:hAnsiTheme="minorBidi" w:cstheme="minorBidi"/>
          <w:szCs w:val="24"/>
          <w:lang w:val="en-GB"/>
        </w:rPr>
      </w:pPr>
      <w:r w:rsidRPr="00126A70">
        <w:rPr>
          <w:rFonts w:asciiTheme="minorBidi" w:hAnsiTheme="minorBidi" w:cstheme="minorBidi"/>
          <w:b/>
          <w:bCs/>
          <w:szCs w:val="24"/>
          <w:lang w:val="en-GB"/>
        </w:rPr>
        <w:t>Cross-functional product squads.</w:t>
      </w:r>
      <w:r w:rsidRPr="00126A70">
        <w:rPr>
          <w:rFonts w:asciiTheme="minorBidi" w:hAnsiTheme="minorBidi" w:cstheme="minorBidi"/>
          <w:szCs w:val="24"/>
          <w:lang w:val="en-GB"/>
        </w:rPr>
        <w:t xml:space="preserve"> </w:t>
      </w:r>
      <w:r w:rsidR="00F85980" w:rsidRPr="00126A70">
        <w:rPr>
          <w:rFonts w:asciiTheme="minorBidi" w:hAnsiTheme="minorBidi" w:cstheme="minorBidi"/>
          <w:szCs w:val="24"/>
          <w:lang w:val="en-GB"/>
        </w:rPr>
        <w:t xml:space="preserve">Eliminate functional departments and replace them with teams of 7-9 engineers, data scientists, clinical advisers, product and regulatory personnel working on a single product (like a remote patient monitoring system). Within an agreed budget and clinical-safety rules, each squad determines their product owner. This removes the need </w:t>
      </w:r>
      <w:r w:rsidR="00DD4398" w:rsidRPr="00126A70">
        <w:rPr>
          <w:rFonts w:asciiTheme="minorBidi" w:hAnsiTheme="minorBidi" w:cstheme="minorBidi"/>
          <w:szCs w:val="24"/>
          <w:lang w:val="en-GB"/>
        </w:rPr>
        <w:t>for</w:t>
      </w:r>
      <w:r w:rsidR="00F85980" w:rsidRPr="00126A70">
        <w:rPr>
          <w:rFonts w:asciiTheme="minorBidi" w:hAnsiTheme="minorBidi" w:cstheme="minorBidi"/>
          <w:szCs w:val="24"/>
          <w:lang w:val="en-GB"/>
        </w:rPr>
        <w:t xml:space="preserve"> approval layers (problem a). For staff, each team should </w:t>
      </w:r>
      <w:r w:rsidR="00A44C71" w:rsidRPr="00126A70">
        <w:rPr>
          <w:rFonts w:asciiTheme="minorBidi" w:hAnsiTheme="minorBidi" w:cstheme="minorBidi"/>
          <w:szCs w:val="24"/>
          <w:lang w:val="en-GB"/>
        </w:rPr>
        <w:t xml:space="preserve">include UK, India, and UAE staff to ensure </w:t>
      </w:r>
      <w:r w:rsidR="00D37BA0" w:rsidRPr="00126A70">
        <w:rPr>
          <w:rFonts w:asciiTheme="minorBidi" w:hAnsiTheme="minorBidi" w:cstheme="minorBidi"/>
          <w:szCs w:val="24"/>
          <w:lang w:val="en-GB"/>
        </w:rPr>
        <w:t>remote work does not undermine cross-team connections</w:t>
      </w:r>
      <w:r w:rsidR="00F85980" w:rsidRPr="00126A70">
        <w:rPr>
          <w:rFonts w:asciiTheme="minorBidi" w:hAnsiTheme="minorBidi" w:cstheme="minorBidi"/>
          <w:szCs w:val="24"/>
          <w:lang w:val="en-GB"/>
        </w:rPr>
        <w:t xml:space="preserve"> (Yang et al., 2022).</w:t>
      </w:r>
    </w:p>
    <w:p w14:paraId="04704DE5" w14:textId="1602B656" w:rsidR="001A55C0" w:rsidRPr="00126A70" w:rsidRDefault="008254AA" w:rsidP="008324AA">
      <w:pPr>
        <w:pStyle w:val="ListParagraph"/>
        <w:numPr>
          <w:ilvl w:val="0"/>
          <w:numId w:val="2"/>
        </w:numPr>
        <w:spacing w:after="0"/>
        <w:rPr>
          <w:rFonts w:asciiTheme="minorBidi" w:hAnsiTheme="minorBidi" w:cstheme="minorBidi"/>
          <w:szCs w:val="24"/>
          <w:lang w:val="en-GB"/>
        </w:rPr>
      </w:pPr>
      <w:r w:rsidRPr="00126A70">
        <w:rPr>
          <w:rFonts w:asciiTheme="minorBidi" w:hAnsiTheme="minorBidi" w:cstheme="minorBidi"/>
          <w:b/>
          <w:bCs/>
          <w:szCs w:val="24"/>
          <w:lang w:val="en-GB"/>
        </w:rPr>
        <w:t>Agile project teams.</w:t>
      </w:r>
      <w:r w:rsidRPr="00126A70">
        <w:rPr>
          <w:rFonts w:asciiTheme="minorBidi" w:hAnsiTheme="minorBidi" w:cstheme="minorBidi"/>
          <w:szCs w:val="24"/>
          <w:lang w:val="en-GB"/>
        </w:rPr>
        <w:t xml:space="preserve"> </w:t>
      </w:r>
      <w:r w:rsidR="00743EC6" w:rsidRPr="00126A70">
        <w:rPr>
          <w:rFonts w:asciiTheme="minorBidi" w:hAnsiTheme="minorBidi" w:cstheme="minorBidi"/>
          <w:szCs w:val="24"/>
          <w:lang w:val="en-GB"/>
        </w:rPr>
        <w:t xml:space="preserve">Squads </w:t>
      </w:r>
      <w:r w:rsidR="00D37BA0" w:rsidRPr="00126A70">
        <w:rPr>
          <w:rFonts w:asciiTheme="minorBidi" w:hAnsiTheme="minorBidi" w:cstheme="minorBidi"/>
          <w:szCs w:val="24"/>
          <w:lang w:val="en-GB"/>
        </w:rPr>
        <w:t>run 2-week sprints</w:t>
      </w:r>
      <w:r w:rsidR="008F021C" w:rsidRPr="00126A70">
        <w:rPr>
          <w:rFonts w:asciiTheme="minorBidi" w:hAnsiTheme="minorBidi" w:cstheme="minorBidi"/>
          <w:szCs w:val="24"/>
          <w:lang w:val="en-GB"/>
        </w:rPr>
        <w:t xml:space="preserve"> </w:t>
      </w:r>
      <w:r w:rsidR="00A44C71" w:rsidRPr="00126A70">
        <w:rPr>
          <w:rFonts w:asciiTheme="minorBidi" w:hAnsiTheme="minorBidi" w:cstheme="minorBidi"/>
          <w:szCs w:val="24"/>
          <w:lang w:val="en-GB"/>
        </w:rPr>
        <w:t>with daily stand-ups</w:t>
      </w:r>
      <w:r w:rsidR="00743EC6" w:rsidRPr="00126A70">
        <w:rPr>
          <w:rFonts w:asciiTheme="minorBidi" w:hAnsiTheme="minorBidi" w:cstheme="minorBidi"/>
          <w:szCs w:val="24"/>
          <w:lang w:val="en-GB"/>
        </w:rPr>
        <w:t xml:space="preserve"> and retrospectives (Junker et al., 2022). Additionally, retrospectives review workload</w:t>
      </w:r>
      <w:r w:rsidR="00A44C71" w:rsidRPr="00126A70">
        <w:rPr>
          <w:rFonts w:asciiTheme="minorBidi" w:hAnsiTheme="minorBidi" w:cstheme="minorBidi"/>
          <w:szCs w:val="24"/>
          <w:lang w:val="en-GB"/>
        </w:rPr>
        <w:t xml:space="preserve"> so proactivity doesn't</w:t>
      </w:r>
      <w:r w:rsidR="00743EC6" w:rsidRPr="00126A70">
        <w:rPr>
          <w:rFonts w:asciiTheme="minorBidi" w:hAnsiTheme="minorBidi" w:cstheme="minorBidi"/>
          <w:szCs w:val="24"/>
          <w:lang w:val="en-GB"/>
        </w:rPr>
        <w:t xml:space="preserve"> become “underhanded pressure”.</w:t>
      </w:r>
      <w:r w:rsidR="009E676E" w:rsidRPr="00126A70">
        <w:rPr>
          <w:rFonts w:asciiTheme="minorBidi" w:hAnsiTheme="minorBidi" w:cstheme="minorBidi"/>
          <w:szCs w:val="24"/>
          <w:lang w:val="en-GB"/>
        </w:rPr>
        <w:t xml:space="preserve"> </w:t>
      </w:r>
    </w:p>
    <w:p w14:paraId="6368F0B4" w14:textId="6C0D46A9" w:rsidR="001A55C0" w:rsidRPr="00126A70" w:rsidRDefault="008254AA" w:rsidP="008324AA">
      <w:pPr>
        <w:pStyle w:val="ListParagraph"/>
        <w:numPr>
          <w:ilvl w:val="0"/>
          <w:numId w:val="2"/>
        </w:numPr>
        <w:spacing w:after="0"/>
        <w:rPr>
          <w:rFonts w:asciiTheme="minorBidi" w:hAnsiTheme="minorBidi" w:cstheme="minorBidi"/>
          <w:szCs w:val="24"/>
          <w:lang w:val="en-GB"/>
        </w:rPr>
      </w:pPr>
      <w:r w:rsidRPr="00126A70">
        <w:rPr>
          <w:rFonts w:asciiTheme="minorBidi" w:hAnsiTheme="minorBidi" w:cstheme="minorBidi"/>
          <w:b/>
          <w:bCs/>
          <w:szCs w:val="24"/>
          <w:lang w:val="en-GB"/>
        </w:rPr>
        <w:lastRenderedPageBreak/>
        <w:t>Structured hybrid and flexible working.</w:t>
      </w:r>
      <w:r w:rsidRPr="00126A70">
        <w:rPr>
          <w:rFonts w:asciiTheme="minorBidi" w:hAnsiTheme="minorBidi" w:cstheme="minorBidi"/>
          <w:szCs w:val="24"/>
          <w:lang w:val="en-GB"/>
        </w:rPr>
        <w:t xml:space="preserve"> </w:t>
      </w:r>
      <w:r w:rsidR="005E4695" w:rsidRPr="00126A70">
        <w:rPr>
          <w:rFonts w:asciiTheme="minorBidi" w:hAnsiTheme="minorBidi" w:cstheme="minorBidi"/>
          <w:szCs w:val="24"/>
          <w:lang w:val="en-GB"/>
        </w:rPr>
        <w:t xml:space="preserve">Adopt a "3 + 2" model: three anchor days in the office or local hub for </w:t>
      </w:r>
      <w:r w:rsidR="008F021C" w:rsidRPr="00126A70">
        <w:rPr>
          <w:rFonts w:asciiTheme="minorBidi" w:hAnsiTheme="minorBidi" w:cstheme="minorBidi"/>
          <w:szCs w:val="24"/>
          <w:lang w:val="en-GB"/>
        </w:rPr>
        <w:t>teamwork</w:t>
      </w:r>
      <w:r w:rsidR="005E4695" w:rsidRPr="00126A70">
        <w:rPr>
          <w:rFonts w:asciiTheme="minorBidi" w:hAnsiTheme="minorBidi" w:cstheme="minorBidi"/>
          <w:szCs w:val="24"/>
          <w:lang w:val="en-GB"/>
        </w:rPr>
        <w:t xml:space="preserve">, and two days at home for focused work. This replicates the design that maintained stable performance and reduced quits at Trip.com (Bloom, Han and Liang, 2024). Apply it to everyone: women in that trial avoided volunteering in case it signalled low ambition. Include flexi-time and compressed hours, which </w:t>
      </w:r>
      <w:r w:rsidR="00D37BA0" w:rsidRPr="00126A70">
        <w:rPr>
          <w:rFonts w:asciiTheme="minorBidi" w:hAnsiTheme="minorBidi" w:cstheme="minorBidi"/>
          <w:szCs w:val="24"/>
          <w:lang w:val="en-GB"/>
        </w:rPr>
        <w:t xml:space="preserve">staff still want and which are among the most sought-after features </w:t>
      </w:r>
      <w:r w:rsidR="005E4695" w:rsidRPr="00126A70">
        <w:rPr>
          <w:rFonts w:asciiTheme="minorBidi" w:hAnsiTheme="minorBidi" w:cstheme="minorBidi"/>
          <w:szCs w:val="24"/>
          <w:lang w:val="en-GB"/>
        </w:rPr>
        <w:t xml:space="preserve">(CIPD, 2025). </w:t>
      </w:r>
      <w:r w:rsidR="00A44C71" w:rsidRPr="00126A70">
        <w:rPr>
          <w:rFonts w:asciiTheme="minorBidi" w:hAnsiTheme="minorBidi" w:cstheme="minorBidi"/>
          <w:szCs w:val="24"/>
          <w:lang w:val="en-GB"/>
        </w:rPr>
        <w:t>Run a six-month trial first, as managers reported more positive</w:t>
      </w:r>
      <w:r w:rsidR="005E4695" w:rsidRPr="00126A70">
        <w:rPr>
          <w:rFonts w:asciiTheme="minorBidi" w:hAnsiTheme="minorBidi" w:cstheme="minorBidi"/>
          <w:szCs w:val="24"/>
          <w:lang w:val="en-GB"/>
        </w:rPr>
        <w:t xml:space="preserve"> views after the trial (Bloom, Han and Liang, 2024).</w:t>
      </w:r>
    </w:p>
    <w:p w14:paraId="4BE7112A" w14:textId="3A28BB4B" w:rsidR="001A55C0" w:rsidRPr="00126A70" w:rsidRDefault="008254AA" w:rsidP="008324AA">
      <w:pPr>
        <w:pStyle w:val="ListParagraph"/>
        <w:numPr>
          <w:ilvl w:val="0"/>
          <w:numId w:val="2"/>
        </w:numPr>
        <w:spacing w:after="0"/>
        <w:rPr>
          <w:rFonts w:asciiTheme="minorBidi" w:hAnsiTheme="minorBidi" w:cstheme="minorBidi"/>
          <w:szCs w:val="24"/>
          <w:lang w:val="en-GB"/>
        </w:rPr>
      </w:pPr>
      <w:r w:rsidRPr="00126A70">
        <w:rPr>
          <w:rFonts w:asciiTheme="minorBidi" w:hAnsiTheme="minorBidi" w:cstheme="minorBidi"/>
          <w:b/>
          <w:bCs/>
          <w:szCs w:val="24"/>
          <w:lang w:val="en-GB"/>
        </w:rPr>
        <w:t>Employee autonomy.</w:t>
      </w:r>
      <w:r w:rsidRPr="00126A70">
        <w:rPr>
          <w:rFonts w:asciiTheme="minorBidi" w:hAnsiTheme="minorBidi" w:cstheme="minorBidi"/>
          <w:szCs w:val="24"/>
          <w:lang w:val="en-GB"/>
        </w:rPr>
        <w:t xml:space="preserve"> </w:t>
      </w:r>
      <w:r w:rsidR="005E4695" w:rsidRPr="00126A70">
        <w:rPr>
          <w:rFonts w:asciiTheme="minorBidi" w:hAnsiTheme="minorBidi" w:cstheme="minorBidi"/>
          <w:szCs w:val="24"/>
          <w:lang w:val="en-GB"/>
        </w:rPr>
        <w:t xml:space="preserve">Squads make choices about how they operate and spend 10% of their time on experiments. </w:t>
      </w:r>
      <w:r w:rsidR="00D37BA0" w:rsidRPr="00126A70">
        <w:rPr>
          <w:rFonts w:asciiTheme="minorBidi" w:hAnsiTheme="minorBidi" w:cstheme="minorBidi"/>
          <w:szCs w:val="24"/>
          <w:lang w:val="en-GB"/>
        </w:rPr>
        <w:t>Beyond</w:t>
      </w:r>
      <w:r w:rsidR="005E4695" w:rsidRPr="00126A70">
        <w:rPr>
          <w:rFonts w:asciiTheme="minorBidi" w:hAnsiTheme="minorBidi" w:cstheme="minorBidi"/>
          <w:szCs w:val="24"/>
          <w:lang w:val="en-GB"/>
        </w:rPr>
        <w:t xml:space="preserve"> HIWS, they </w:t>
      </w:r>
      <w:r w:rsidR="00A44C71" w:rsidRPr="00126A70">
        <w:rPr>
          <w:rFonts w:asciiTheme="minorBidi" w:hAnsiTheme="minorBidi" w:cstheme="minorBidi"/>
          <w:szCs w:val="24"/>
          <w:lang w:val="en-GB"/>
        </w:rPr>
        <w:t>receive complete information and recognition (Jiang et al., 2024), and each stretch target comes with</w:t>
      </w:r>
      <w:r w:rsidR="005E4695" w:rsidRPr="00126A70">
        <w:rPr>
          <w:rFonts w:asciiTheme="minorBidi" w:hAnsiTheme="minorBidi" w:cstheme="minorBidi"/>
          <w:szCs w:val="24"/>
          <w:lang w:val="en-GB"/>
        </w:rPr>
        <w:t xml:space="preserve"> support (Zhu, Gao and Chen, 2022).</w:t>
      </w:r>
    </w:p>
    <w:p w14:paraId="7A8A680C" w14:textId="3D96BEC9" w:rsidR="001A55C0" w:rsidRPr="00126A70" w:rsidRDefault="008254AA" w:rsidP="008324AA">
      <w:pPr>
        <w:pStyle w:val="ListParagraph"/>
        <w:numPr>
          <w:ilvl w:val="0"/>
          <w:numId w:val="2"/>
        </w:numPr>
        <w:spacing w:after="0"/>
        <w:rPr>
          <w:rFonts w:asciiTheme="minorBidi" w:hAnsiTheme="minorBidi" w:cstheme="minorBidi"/>
          <w:szCs w:val="24"/>
          <w:lang w:val="en-GB"/>
        </w:rPr>
      </w:pPr>
      <w:r w:rsidRPr="00126A70">
        <w:rPr>
          <w:rFonts w:asciiTheme="minorBidi" w:hAnsiTheme="minorBidi" w:cstheme="minorBidi"/>
          <w:b/>
          <w:bCs/>
          <w:szCs w:val="24"/>
          <w:lang w:val="en-GB"/>
        </w:rPr>
        <w:t>Digital collaboration technologies.</w:t>
      </w:r>
      <w:r w:rsidRPr="00126A70">
        <w:rPr>
          <w:rFonts w:asciiTheme="minorBidi" w:hAnsiTheme="minorBidi" w:cstheme="minorBidi"/>
          <w:szCs w:val="24"/>
          <w:lang w:val="en-GB"/>
        </w:rPr>
        <w:t xml:space="preserve"> </w:t>
      </w:r>
      <w:r w:rsidR="005E4695" w:rsidRPr="00126A70">
        <w:rPr>
          <w:rFonts w:asciiTheme="minorBidi" w:hAnsiTheme="minorBidi" w:cstheme="minorBidi"/>
          <w:szCs w:val="24"/>
          <w:lang w:val="en-GB"/>
        </w:rPr>
        <w:t xml:space="preserve">Use one shared platform for chat, video and documents, with clear rules on response times. </w:t>
      </w:r>
      <w:r w:rsidR="00A44C71" w:rsidRPr="00126A70">
        <w:rPr>
          <w:rFonts w:asciiTheme="minorBidi" w:hAnsiTheme="minorBidi" w:cstheme="minorBidi"/>
          <w:szCs w:val="24"/>
          <w:lang w:val="en-GB"/>
        </w:rPr>
        <w:t>A review of 31 studies identified trust, cultural diversity, effective tools, leadership, and communication guidelines as key factors in the successful functioning of virtual teams</w:t>
      </w:r>
      <w:r w:rsidR="005E4695" w:rsidRPr="00126A70">
        <w:rPr>
          <w:rFonts w:asciiTheme="minorBidi" w:hAnsiTheme="minorBidi" w:cstheme="minorBidi"/>
          <w:szCs w:val="24"/>
          <w:lang w:val="en-GB"/>
        </w:rPr>
        <w:t xml:space="preserve"> (Swart, Bond-Barnard and Chugh, 2022). In multicultural virtual teams, trust can erode over time</w:t>
      </w:r>
      <w:r w:rsidR="00A44C71" w:rsidRPr="00126A70">
        <w:rPr>
          <w:rFonts w:asciiTheme="minorBidi" w:hAnsiTheme="minorBidi" w:cstheme="minorBidi"/>
          <w:szCs w:val="24"/>
          <w:lang w:val="en-GB"/>
        </w:rPr>
        <w:t>, and language, work schedules, and attitudes to hierarchy can lead to</w:t>
      </w:r>
      <w:r w:rsidR="005E4695" w:rsidRPr="00126A70">
        <w:rPr>
          <w:rFonts w:asciiTheme="minorBidi" w:hAnsiTheme="minorBidi" w:cstheme="minorBidi"/>
          <w:szCs w:val="24"/>
          <w:lang w:val="en-GB"/>
        </w:rPr>
        <w:t xml:space="preserve"> knowledge hoarding (Swart, Bond-Barnard and Chugh, 2022). </w:t>
      </w:r>
      <w:r w:rsidR="00A44C71" w:rsidRPr="00126A70">
        <w:rPr>
          <w:rFonts w:asciiTheme="minorBidi" w:hAnsiTheme="minorBidi" w:cstheme="minorBidi"/>
          <w:szCs w:val="24"/>
          <w:lang w:val="en-GB"/>
        </w:rPr>
        <w:t xml:space="preserve">Consequently, every new team begins with an in-person launch, cross-cultural coaching, consensus on two hours of daily overlap </w:t>
      </w:r>
      <w:r w:rsidR="005E4695" w:rsidRPr="00126A70">
        <w:rPr>
          <w:rFonts w:asciiTheme="minorBidi" w:hAnsiTheme="minorBidi" w:cstheme="minorBidi"/>
          <w:szCs w:val="24"/>
          <w:lang w:val="en-GB"/>
        </w:rPr>
        <w:t>among the three countries, and video for decisions on complex issues. In line with sociotechnical theory, staff help choose the tools (Oeij, Dhondt and Vaas, 2025).</w:t>
      </w:r>
    </w:p>
    <w:p w14:paraId="2AC694DD" w14:textId="77777777" w:rsidR="001A55C0" w:rsidRPr="00126A70" w:rsidRDefault="008254AA" w:rsidP="008324AA">
      <w:pPr>
        <w:pStyle w:val="Heading2"/>
        <w:spacing w:before="0" w:after="0" w:line="480" w:lineRule="auto"/>
        <w:rPr>
          <w:rFonts w:asciiTheme="minorBidi" w:hAnsiTheme="minorBidi" w:cstheme="minorBidi"/>
          <w:color w:val="auto"/>
          <w:sz w:val="24"/>
          <w:szCs w:val="24"/>
          <w:lang w:val="en-GB"/>
        </w:rPr>
      </w:pPr>
      <w:bookmarkStart w:id="4" w:name="_Toc242880500"/>
      <w:r w:rsidRPr="00126A70">
        <w:rPr>
          <w:rFonts w:asciiTheme="minorBidi" w:hAnsiTheme="minorBidi" w:cstheme="minorBidi"/>
          <w:color w:val="auto"/>
          <w:sz w:val="24"/>
          <w:szCs w:val="24"/>
          <w:lang w:val="en-GB"/>
        </w:rPr>
        <w:lastRenderedPageBreak/>
        <w:t>A3. How the framework improves performance</w:t>
      </w:r>
      <w:bookmarkEnd w:id="4"/>
    </w:p>
    <w:p w14:paraId="1F49A98B" w14:textId="7859E34B" w:rsidR="001A55C0" w:rsidRPr="00126A70" w:rsidRDefault="00370431" w:rsidP="00A44C71">
      <w:pPr>
        <w:spacing w:after="0"/>
        <w:rPr>
          <w:rFonts w:asciiTheme="minorBidi" w:hAnsiTheme="minorBidi" w:cstheme="minorBidi"/>
          <w:szCs w:val="24"/>
        </w:rPr>
      </w:pPr>
      <w:r w:rsidRPr="00126A70">
        <w:rPr>
          <w:rFonts w:asciiTheme="minorBidi" w:hAnsiTheme="minorBidi" w:cstheme="minorBidi"/>
          <w:szCs w:val="24"/>
        </w:rPr>
        <w:t xml:space="preserve">First, squads decide locally, so decisions are faster. Second, innovation is increased when teams combine knowledge from different functions and countries, and proactivity norms boost team performance (Junker et al., 2022). Third, costs fall: each quit </w:t>
      </w:r>
      <w:r w:rsidR="008F021C" w:rsidRPr="00126A70">
        <w:rPr>
          <w:rFonts w:asciiTheme="minorBidi" w:hAnsiTheme="minorBidi" w:cstheme="minorBidi"/>
          <w:szCs w:val="24"/>
        </w:rPr>
        <w:t>costs Trip.com about US$20,000, and hybrid working cuts</w:t>
      </w:r>
      <w:r w:rsidRPr="00126A70">
        <w:rPr>
          <w:rFonts w:asciiTheme="minorBidi" w:hAnsiTheme="minorBidi" w:cstheme="minorBidi"/>
          <w:szCs w:val="24"/>
        </w:rPr>
        <w:t xml:space="preserve"> quits by one-third (Bloom, Han and Liang, 2024). Fourth, wellbeing </w:t>
      </w:r>
      <w:r w:rsidR="00A44C71" w:rsidRPr="00126A70">
        <w:rPr>
          <w:rFonts w:asciiTheme="minorBidi" w:hAnsiTheme="minorBidi" w:cstheme="minorBidi"/>
          <w:szCs w:val="24"/>
        </w:rPr>
        <w:t xml:space="preserve">improves when demands and resources align </w:t>
      </w:r>
      <w:r w:rsidRPr="00126A70">
        <w:rPr>
          <w:rFonts w:asciiTheme="minorBidi" w:hAnsiTheme="minorBidi" w:cstheme="minorBidi"/>
          <w:szCs w:val="24"/>
        </w:rPr>
        <w:t xml:space="preserve">(Ehrnrooth et al., 2023). </w:t>
      </w:r>
      <w:r w:rsidR="00A44C71" w:rsidRPr="00126A70">
        <w:rPr>
          <w:rFonts w:asciiTheme="minorBidi" w:hAnsiTheme="minorBidi" w:cstheme="minorBidi"/>
          <w:szCs w:val="24"/>
        </w:rPr>
        <w:t xml:space="preserve">NHSX should monitor decision speed, release frequency, experiments, </w:t>
      </w:r>
      <w:r w:rsidR="00D37BA0" w:rsidRPr="00126A70">
        <w:rPr>
          <w:rFonts w:asciiTheme="minorBidi" w:hAnsiTheme="minorBidi" w:cstheme="minorBidi"/>
          <w:szCs w:val="24"/>
        </w:rPr>
        <w:t>quit rate, and engagement quarterly</w:t>
      </w:r>
      <w:r w:rsidRPr="00126A70">
        <w:rPr>
          <w:rFonts w:asciiTheme="minorBidi" w:hAnsiTheme="minorBidi" w:cstheme="minorBidi"/>
          <w:szCs w:val="24"/>
        </w:rPr>
        <w:t>.</w:t>
      </w:r>
    </w:p>
    <w:p w14:paraId="67FA095E" w14:textId="77777777" w:rsidR="001A55C0" w:rsidRPr="00126A70" w:rsidRDefault="008254AA" w:rsidP="008324AA">
      <w:pPr>
        <w:pStyle w:val="Heading1"/>
        <w:spacing w:before="0" w:after="0"/>
        <w:rPr>
          <w:rFonts w:asciiTheme="minorBidi" w:hAnsiTheme="minorBidi" w:cstheme="minorBidi"/>
          <w:color w:val="auto"/>
          <w:szCs w:val="24"/>
          <w:lang w:val="en-GB"/>
        </w:rPr>
      </w:pPr>
      <w:bookmarkStart w:id="5" w:name="_Toc242880501"/>
      <w:r w:rsidRPr="00126A70">
        <w:rPr>
          <w:rFonts w:asciiTheme="minorBidi" w:hAnsiTheme="minorBidi" w:cstheme="minorBidi"/>
          <w:color w:val="auto"/>
          <w:szCs w:val="24"/>
          <w:lang w:val="en-GB"/>
        </w:rPr>
        <w:t>Task B: Breeding an Environment Where Talent May Grow</w:t>
      </w:r>
      <w:bookmarkEnd w:id="5"/>
    </w:p>
    <w:p w14:paraId="7E464D1C" w14:textId="77777777" w:rsidR="001A55C0" w:rsidRPr="00126A70" w:rsidRDefault="008254AA" w:rsidP="008324AA">
      <w:pPr>
        <w:pStyle w:val="Heading2"/>
        <w:spacing w:before="0" w:after="0" w:line="480" w:lineRule="auto"/>
        <w:rPr>
          <w:rFonts w:asciiTheme="minorBidi" w:hAnsiTheme="minorBidi" w:cstheme="minorBidi"/>
          <w:color w:val="auto"/>
          <w:sz w:val="24"/>
          <w:szCs w:val="24"/>
          <w:lang w:val="en-GB"/>
        </w:rPr>
      </w:pPr>
      <w:bookmarkStart w:id="6" w:name="_Toc242880502"/>
      <w:r w:rsidRPr="00126A70">
        <w:rPr>
          <w:rFonts w:asciiTheme="minorBidi" w:hAnsiTheme="minorBidi" w:cstheme="minorBidi"/>
          <w:color w:val="auto"/>
          <w:sz w:val="24"/>
          <w:szCs w:val="24"/>
          <w:lang w:val="en-GB"/>
        </w:rPr>
        <w:t>B1. How organisations create environments where talent flourishes</w:t>
      </w:r>
      <w:bookmarkEnd w:id="6"/>
    </w:p>
    <w:p w14:paraId="6A0935F0" w14:textId="3F1713B5" w:rsidR="001A55C0" w:rsidRPr="00126A70" w:rsidRDefault="008254AA" w:rsidP="00A44C71">
      <w:pPr>
        <w:spacing w:after="0"/>
        <w:rPr>
          <w:rFonts w:asciiTheme="minorBidi" w:hAnsiTheme="minorBidi" w:cstheme="minorBidi"/>
          <w:szCs w:val="24"/>
        </w:rPr>
      </w:pPr>
      <w:r w:rsidRPr="00126A70">
        <w:rPr>
          <w:rFonts w:asciiTheme="minorBidi" w:hAnsiTheme="minorBidi" w:cstheme="minorBidi"/>
          <w:b/>
          <w:bCs/>
          <w:szCs w:val="24"/>
        </w:rPr>
        <w:t>Learning Organisation (Senge).</w:t>
      </w:r>
      <w:r w:rsidRPr="00126A70">
        <w:rPr>
          <w:rFonts w:asciiTheme="minorBidi" w:hAnsiTheme="minorBidi" w:cstheme="minorBidi"/>
          <w:szCs w:val="24"/>
        </w:rPr>
        <w:t xml:space="preserve"> </w:t>
      </w:r>
      <w:r w:rsidR="00793642" w:rsidRPr="00126A70">
        <w:rPr>
          <w:rFonts w:asciiTheme="minorBidi" w:hAnsiTheme="minorBidi" w:cstheme="minorBidi"/>
          <w:szCs w:val="24"/>
        </w:rPr>
        <w:t xml:space="preserve">A learning organisation is one that "continually expands its capacity to create its future" (Senge, 1990, cited in Mohammad, Sağsan and Şeşen, 2024). </w:t>
      </w:r>
      <w:r w:rsidR="00A44C71" w:rsidRPr="00126A70">
        <w:rPr>
          <w:rFonts w:asciiTheme="minorBidi" w:hAnsiTheme="minorBidi" w:cstheme="minorBidi"/>
          <w:szCs w:val="24"/>
        </w:rPr>
        <w:t>It includes</w:t>
      </w:r>
      <w:r w:rsidR="00793642" w:rsidRPr="00126A70">
        <w:rPr>
          <w:rFonts w:asciiTheme="minorBidi" w:hAnsiTheme="minorBidi" w:cstheme="minorBidi"/>
          <w:szCs w:val="24"/>
        </w:rPr>
        <w:t xml:space="preserve"> continuous learning, dialogue, team learning, knowledge-sharing systems, and supportive leaders. Mohammad et al. (2024) found that in 430 employees, a learning organisation </w:t>
      </w:r>
      <w:r w:rsidR="00A44C71" w:rsidRPr="00126A70">
        <w:rPr>
          <w:rFonts w:asciiTheme="minorBidi" w:hAnsiTheme="minorBidi" w:cstheme="minorBidi"/>
          <w:szCs w:val="24"/>
        </w:rPr>
        <w:t>increased</w:t>
      </w:r>
      <w:r w:rsidR="00793642" w:rsidRPr="00126A70">
        <w:rPr>
          <w:rFonts w:asciiTheme="minorBidi" w:hAnsiTheme="minorBidi" w:cstheme="minorBidi"/>
          <w:szCs w:val="24"/>
        </w:rPr>
        <w:t xml:space="preserve"> innovation, work engagement, and resilience. However, they can become cautious, struggle to balance daily work with innovation, and stall under a blame culture. </w:t>
      </w:r>
      <w:r w:rsidR="00A44C71" w:rsidRPr="00126A70">
        <w:rPr>
          <w:rFonts w:asciiTheme="minorBidi" w:hAnsiTheme="minorBidi" w:cstheme="minorBidi"/>
          <w:szCs w:val="24"/>
        </w:rPr>
        <w:t>NHSX needs to integrate learning into its work, rather than treating it as</w:t>
      </w:r>
      <w:r w:rsidR="00793642" w:rsidRPr="00126A70">
        <w:rPr>
          <w:rFonts w:asciiTheme="minorBidi" w:hAnsiTheme="minorBidi" w:cstheme="minorBidi"/>
          <w:szCs w:val="24"/>
        </w:rPr>
        <w:t xml:space="preserve"> extra courses.</w:t>
      </w:r>
    </w:p>
    <w:p w14:paraId="3EDBECCD" w14:textId="77777777" w:rsidR="00A44C71" w:rsidRPr="00126A70" w:rsidRDefault="008254AA" w:rsidP="00A44C71">
      <w:pPr>
        <w:spacing w:after="0"/>
        <w:rPr>
          <w:rFonts w:asciiTheme="minorBidi" w:hAnsiTheme="minorBidi" w:cstheme="minorBidi"/>
          <w:szCs w:val="24"/>
        </w:rPr>
      </w:pPr>
      <w:r w:rsidRPr="00126A70">
        <w:rPr>
          <w:rFonts w:asciiTheme="minorBidi" w:hAnsiTheme="minorBidi" w:cstheme="minorBidi"/>
          <w:b/>
          <w:bCs/>
          <w:szCs w:val="24"/>
        </w:rPr>
        <w:t>Growth Mindset (Dweck).</w:t>
      </w:r>
    </w:p>
    <w:p w14:paraId="7E67214F" w14:textId="14D808F2" w:rsidR="001A55C0" w:rsidRPr="00126A70" w:rsidRDefault="00793642" w:rsidP="00A44C71">
      <w:pPr>
        <w:spacing w:after="0"/>
        <w:rPr>
          <w:rFonts w:asciiTheme="minorBidi" w:hAnsiTheme="minorBidi" w:cstheme="minorBidi"/>
          <w:szCs w:val="24"/>
        </w:rPr>
      </w:pPr>
      <w:r w:rsidRPr="00126A70">
        <w:rPr>
          <w:rFonts w:asciiTheme="minorBidi" w:hAnsiTheme="minorBidi" w:cstheme="minorBidi"/>
          <w:szCs w:val="24"/>
        </w:rPr>
        <w:t xml:space="preserve">People with a growth mindset believe abilities can be developed, so they learn from mistakes. In </w:t>
      </w:r>
      <w:r w:rsidR="00A44C71" w:rsidRPr="00126A70">
        <w:rPr>
          <w:rFonts w:asciiTheme="minorBidi" w:hAnsiTheme="minorBidi" w:cstheme="minorBidi"/>
          <w:szCs w:val="24"/>
        </w:rPr>
        <w:t xml:space="preserve">a sample of 244 employees, a growth mindset was associated with increased innovative behaviour, and this effect </w:t>
      </w:r>
      <w:r w:rsidRPr="00126A70">
        <w:rPr>
          <w:rFonts w:asciiTheme="minorBidi" w:hAnsiTheme="minorBidi" w:cstheme="minorBidi"/>
          <w:szCs w:val="24"/>
        </w:rPr>
        <w:t>doubled in the presence of strengths-based leadership (0.34 compared to 0.17) (Liu and Tong, 2022). Without supportive managers, though, mindset is a personal quality and has limited impact.</w:t>
      </w:r>
    </w:p>
    <w:p w14:paraId="74C6CCD8" w14:textId="77777777" w:rsidR="00A44C71" w:rsidRPr="00126A70" w:rsidRDefault="008254AA" w:rsidP="00A44C71">
      <w:pPr>
        <w:spacing w:after="0"/>
        <w:rPr>
          <w:rFonts w:asciiTheme="minorBidi" w:hAnsiTheme="minorBidi" w:cstheme="minorBidi"/>
          <w:szCs w:val="24"/>
        </w:rPr>
      </w:pPr>
      <w:r w:rsidRPr="00126A70">
        <w:rPr>
          <w:rFonts w:asciiTheme="minorBidi" w:hAnsiTheme="minorBidi" w:cstheme="minorBidi"/>
          <w:b/>
          <w:bCs/>
          <w:szCs w:val="24"/>
        </w:rPr>
        <w:t>Psychological Safety (Edmondson).</w:t>
      </w:r>
    </w:p>
    <w:p w14:paraId="5575CDD5" w14:textId="48ACA43E" w:rsidR="001A55C0" w:rsidRPr="00126A70" w:rsidRDefault="00793642" w:rsidP="00A44C71">
      <w:pPr>
        <w:spacing w:after="0"/>
        <w:rPr>
          <w:rFonts w:asciiTheme="minorBidi" w:hAnsiTheme="minorBidi" w:cstheme="minorBidi"/>
          <w:szCs w:val="24"/>
        </w:rPr>
      </w:pPr>
      <w:r w:rsidRPr="00126A70">
        <w:rPr>
          <w:rFonts w:asciiTheme="minorBidi" w:hAnsiTheme="minorBidi" w:cstheme="minorBidi"/>
          <w:szCs w:val="24"/>
        </w:rPr>
        <w:lastRenderedPageBreak/>
        <w:t xml:space="preserve">Psychological safety is "a state of reduced interpersonal risk", where people feel able to speak up. A systematic review of 185 studies </w:t>
      </w:r>
      <w:r w:rsidR="005B509C" w:rsidRPr="00126A70">
        <w:rPr>
          <w:rFonts w:asciiTheme="minorBidi" w:hAnsiTheme="minorBidi" w:cstheme="minorBidi"/>
          <w:szCs w:val="24"/>
        </w:rPr>
        <w:t>found that it helps organisations learn and perform in dynamic environments, with healthcare among the two most studied settings</w:t>
      </w:r>
      <w:r w:rsidRPr="00126A70">
        <w:rPr>
          <w:rFonts w:asciiTheme="minorBidi" w:hAnsiTheme="minorBidi" w:cstheme="minorBidi"/>
          <w:szCs w:val="24"/>
        </w:rPr>
        <w:t xml:space="preserve"> (Edmondson and Bransby, 2023). Psychological safety among 315 technology employees explained </w:t>
      </w:r>
      <w:r w:rsidR="00D37BA0" w:rsidRPr="00126A70">
        <w:rPr>
          <w:rFonts w:asciiTheme="minorBidi" w:hAnsiTheme="minorBidi" w:cstheme="minorBidi"/>
          <w:szCs w:val="24"/>
        </w:rPr>
        <w:t xml:space="preserve">increases in innovative behaviour because employees were willing to make mistakes, </w:t>
      </w:r>
      <w:r w:rsidR="005B509C" w:rsidRPr="00126A70">
        <w:rPr>
          <w:rFonts w:asciiTheme="minorBidi" w:hAnsiTheme="minorBidi" w:cstheme="minorBidi"/>
          <w:szCs w:val="24"/>
        </w:rPr>
        <w:t>particularly when innovation</w:t>
      </w:r>
      <w:r w:rsidRPr="00126A70">
        <w:rPr>
          <w:rFonts w:asciiTheme="minorBidi" w:hAnsiTheme="minorBidi" w:cstheme="minorBidi"/>
          <w:szCs w:val="24"/>
        </w:rPr>
        <w:t xml:space="preserve"> was explicitly encouraged (Elsayed et al., 2023). However, most </w:t>
      </w:r>
      <w:r w:rsidR="005B509C" w:rsidRPr="00126A70">
        <w:rPr>
          <w:rFonts w:asciiTheme="minorBidi" w:hAnsiTheme="minorBidi" w:cstheme="minorBidi"/>
          <w:szCs w:val="24"/>
        </w:rPr>
        <w:t xml:space="preserve">studies are cross-sectional, and innovation </w:t>
      </w:r>
      <w:r w:rsidR="00D37BA0" w:rsidRPr="00126A70">
        <w:rPr>
          <w:rFonts w:asciiTheme="minorBidi" w:hAnsiTheme="minorBidi" w:cstheme="minorBidi"/>
          <w:szCs w:val="24"/>
        </w:rPr>
        <w:t>requires</w:t>
      </w:r>
      <w:r w:rsidRPr="00126A70">
        <w:rPr>
          <w:rFonts w:asciiTheme="minorBidi" w:hAnsiTheme="minorBidi" w:cstheme="minorBidi"/>
          <w:szCs w:val="24"/>
        </w:rPr>
        <w:t xml:space="preserve"> resources.</w:t>
      </w:r>
    </w:p>
    <w:p w14:paraId="69D92114" w14:textId="77777777" w:rsidR="005B509C" w:rsidRPr="00126A70" w:rsidRDefault="005B509C" w:rsidP="005B509C">
      <w:pPr>
        <w:spacing w:after="0"/>
        <w:rPr>
          <w:rFonts w:asciiTheme="minorBidi" w:hAnsiTheme="minorBidi" w:cstheme="minorBidi"/>
          <w:b/>
          <w:bCs/>
          <w:szCs w:val="24"/>
        </w:rPr>
      </w:pPr>
    </w:p>
    <w:p w14:paraId="56D72251" w14:textId="77777777" w:rsidR="005B509C" w:rsidRPr="00126A70" w:rsidRDefault="005B509C" w:rsidP="005B509C">
      <w:pPr>
        <w:spacing w:after="0"/>
        <w:rPr>
          <w:rFonts w:asciiTheme="minorBidi" w:hAnsiTheme="minorBidi" w:cstheme="minorBidi"/>
          <w:b/>
          <w:bCs/>
          <w:szCs w:val="24"/>
        </w:rPr>
      </w:pPr>
    </w:p>
    <w:p w14:paraId="083AE150" w14:textId="49D6F739" w:rsidR="005B509C" w:rsidRPr="00126A70" w:rsidRDefault="008254AA" w:rsidP="005B509C">
      <w:pPr>
        <w:spacing w:after="0"/>
        <w:rPr>
          <w:rFonts w:asciiTheme="minorBidi" w:hAnsiTheme="minorBidi" w:cstheme="minorBidi"/>
          <w:szCs w:val="24"/>
        </w:rPr>
      </w:pPr>
      <w:r w:rsidRPr="00126A70">
        <w:rPr>
          <w:rFonts w:asciiTheme="minorBidi" w:hAnsiTheme="minorBidi" w:cstheme="minorBidi"/>
          <w:b/>
          <w:bCs/>
          <w:szCs w:val="24"/>
        </w:rPr>
        <w:t>Talent Management Frameworks.</w:t>
      </w:r>
    </w:p>
    <w:p w14:paraId="23664138" w14:textId="605717DA" w:rsidR="001A55C0" w:rsidRPr="00126A70" w:rsidRDefault="00793642" w:rsidP="005B509C">
      <w:pPr>
        <w:spacing w:after="0"/>
        <w:rPr>
          <w:rFonts w:asciiTheme="minorBidi" w:hAnsiTheme="minorBidi" w:cstheme="minorBidi"/>
          <w:szCs w:val="24"/>
        </w:rPr>
      </w:pPr>
      <w:r w:rsidRPr="00126A70">
        <w:rPr>
          <w:rFonts w:asciiTheme="minorBidi" w:hAnsiTheme="minorBidi" w:cstheme="minorBidi"/>
          <w:szCs w:val="24"/>
        </w:rPr>
        <w:t>Based on a review of 43 studies, talent management practices increase engagement in 89% and reduce intention to quit in 89% (Sinisterra, Peñalver and Salanova, 2024). Selection, training, performance management, rewards and career development make up the five core practices. However, there is no agreed definition: some firms focus only on a small "talent pool", which can make other staff feel excluded.</w:t>
      </w:r>
    </w:p>
    <w:p w14:paraId="2371D0D7" w14:textId="77777777" w:rsidR="005B509C" w:rsidRPr="00126A70" w:rsidRDefault="008254AA" w:rsidP="005B509C">
      <w:pPr>
        <w:spacing w:after="0"/>
        <w:rPr>
          <w:rFonts w:asciiTheme="minorBidi" w:hAnsiTheme="minorBidi" w:cstheme="minorBidi"/>
          <w:szCs w:val="24"/>
        </w:rPr>
      </w:pPr>
      <w:r w:rsidRPr="00126A70">
        <w:rPr>
          <w:rFonts w:asciiTheme="minorBidi" w:hAnsiTheme="minorBidi" w:cstheme="minorBidi"/>
          <w:b/>
          <w:bCs/>
          <w:szCs w:val="24"/>
        </w:rPr>
        <w:t>Job Crafting Theory.</w:t>
      </w:r>
    </w:p>
    <w:p w14:paraId="24E0B6D8" w14:textId="1FE73CD1" w:rsidR="001A55C0" w:rsidRPr="00126A70" w:rsidRDefault="00793642" w:rsidP="005B509C">
      <w:pPr>
        <w:spacing w:after="0"/>
        <w:rPr>
          <w:rFonts w:asciiTheme="minorBidi" w:hAnsiTheme="minorBidi" w:cstheme="minorBidi"/>
          <w:szCs w:val="24"/>
        </w:rPr>
      </w:pPr>
      <w:r w:rsidRPr="00126A70">
        <w:rPr>
          <w:rFonts w:asciiTheme="minorBidi" w:hAnsiTheme="minorBidi" w:cstheme="minorBidi"/>
          <w:szCs w:val="24"/>
        </w:rPr>
        <w:t>Job crafting involves workers altering their own tasks, relationships, and perceptions of their jobs. In a six-week study, job crafting was followed by increases in next-week engagement, which</w:t>
      </w:r>
      <w:r w:rsidR="005B509C" w:rsidRPr="00126A70">
        <w:rPr>
          <w:rFonts w:asciiTheme="minorBidi" w:hAnsiTheme="minorBidi" w:cstheme="minorBidi"/>
          <w:szCs w:val="24"/>
        </w:rPr>
        <w:t xml:space="preserve"> in turn led to more</w:t>
      </w:r>
      <w:r w:rsidRPr="00126A70">
        <w:rPr>
          <w:rFonts w:asciiTheme="minorBidi" w:hAnsiTheme="minorBidi" w:cstheme="minorBidi"/>
          <w:szCs w:val="24"/>
        </w:rPr>
        <w:t xml:space="preserve"> job crafting (Lopper et al., 2023). </w:t>
      </w:r>
      <w:r w:rsidR="005B509C" w:rsidRPr="00126A70">
        <w:rPr>
          <w:rFonts w:asciiTheme="minorBidi" w:hAnsiTheme="minorBidi" w:cstheme="minorBidi"/>
          <w:szCs w:val="24"/>
        </w:rPr>
        <w:t>However, results varied across</w:t>
      </w:r>
      <w:r w:rsidR="008F021C" w:rsidRPr="00126A70">
        <w:rPr>
          <w:rFonts w:asciiTheme="minorBidi" w:hAnsiTheme="minorBidi" w:cstheme="minorBidi"/>
          <w:szCs w:val="24"/>
        </w:rPr>
        <w:t xml:space="preserve"> individuals,</w:t>
      </w:r>
      <w:r w:rsidRPr="00126A70">
        <w:rPr>
          <w:rFonts w:asciiTheme="minorBidi" w:hAnsiTheme="minorBidi" w:cstheme="minorBidi"/>
          <w:szCs w:val="24"/>
        </w:rPr>
        <w:t xml:space="preserve"> and </w:t>
      </w:r>
      <w:r w:rsidR="00D37BA0" w:rsidRPr="00126A70">
        <w:rPr>
          <w:rFonts w:asciiTheme="minorBidi" w:hAnsiTheme="minorBidi" w:cstheme="minorBidi"/>
          <w:szCs w:val="24"/>
        </w:rPr>
        <w:t>crafting cannot fix a poorly designed structure</w:t>
      </w:r>
      <w:r w:rsidRPr="00126A70">
        <w:rPr>
          <w:rFonts w:asciiTheme="minorBidi" w:hAnsiTheme="minorBidi" w:cstheme="minorBidi"/>
          <w:szCs w:val="24"/>
        </w:rPr>
        <w:t xml:space="preserve"> (Oeij, Dhondt and Vaas, 2025).</w:t>
      </w:r>
    </w:p>
    <w:p w14:paraId="6EEDC6E9" w14:textId="77777777" w:rsidR="005B509C" w:rsidRPr="00126A70" w:rsidRDefault="008254AA" w:rsidP="005B509C">
      <w:pPr>
        <w:spacing w:after="0"/>
        <w:rPr>
          <w:rFonts w:asciiTheme="minorBidi" w:hAnsiTheme="minorBidi" w:cstheme="minorBidi"/>
          <w:szCs w:val="24"/>
        </w:rPr>
      </w:pPr>
      <w:r w:rsidRPr="00126A70">
        <w:rPr>
          <w:rFonts w:asciiTheme="minorBidi" w:hAnsiTheme="minorBidi" w:cstheme="minorBidi"/>
          <w:b/>
          <w:bCs/>
          <w:szCs w:val="24"/>
        </w:rPr>
        <w:t>Self-Determination Theory (SDT).</w:t>
      </w:r>
      <w:r w:rsidRPr="00126A70">
        <w:rPr>
          <w:rFonts w:asciiTheme="minorBidi" w:hAnsiTheme="minorBidi" w:cstheme="minorBidi"/>
          <w:szCs w:val="24"/>
        </w:rPr>
        <w:t xml:space="preserve"> </w:t>
      </w:r>
    </w:p>
    <w:p w14:paraId="5BD34A78" w14:textId="6C0BD554" w:rsidR="001A55C0" w:rsidRPr="00126A70" w:rsidRDefault="00793642" w:rsidP="005B509C">
      <w:pPr>
        <w:spacing w:after="0"/>
        <w:rPr>
          <w:rFonts w:asciiTheme="minorBidi" w:hAnsiTheme="minorBidi" w:cstheme="minorBidi"/>
          <w:szCs w:val="24"/>
        </w:rPr>
      </w:pPr>
      <w:r w:rsidRPr="00126A70">
        <w:rPr>
          <w:rFonts w:asciiTheme="minorBidi" w:hAnsiTheme="minorBidi" w:cstheme="minorBidi"/>
          <w:szCs w:val="24"/>
        </w:rPr>
        <w:t>According to SDT, people require autonomy, competence and relatedness. Loneliness (low relatedness) decreased engagement, support</w:t>
      </w:r>
      <w:r w:rsidR="00D37BA0" w:rsidRPr="00126A70">
        <w:rPr>
          <w:rFonts w:asciiTheme="minorBidi" w:hAnsiTheme="minorBidi" w:cstheme="minorBidi"/>
          <w:szCs w:val="24"/>
        </w:rPr>
        <w:t xml:space="preserve">, and performance among 391 </w:t>
      </w:r>
      <w:r w:rsidR="00D37BA0" w:rsidRPr="00126A70">
        <w:rPr>
          <w:rFonts w:asciiTheme="minorBidi" w:hAnsiTheme="minorBidi" w:cstheme="minorBidi"/>
          <w:szCs w:val="24"/>
        </w:rPr>
        <w:lastRenderedPageBreak/>
        <w:t>workers,</w:t>
      </w:r>
      <w:r w:rsidRPr="00126A70">
        <w:rPr>
          <w:rFonts w:asciiTheme="minorBidi" w:hAnsiTheme="minorBidi" w:cstheme="minorBidi"/>
          <w:szCs w:val="24"/>
        </w:rPr>
        <w:t xml:space="preserve"> and working from home exacerbated this effect on helping behaviour (Wax et al., 2022). </w:t>
      </w:r>
      <w:r w:rsidR="008F021C" w:rsidRPr="00126A70">
        <w:rPr>
          <w:rFonts w:asciiTheme="minorBidi" w:hAnsiTheme="minorBidi" w:cstheme="minorBidi"/>
          <w:szCs w:val="24"/>
        </w:rPr>
        <w:t>A real</w:t>
      </w:r>
      <w:r w:rsidRPr="00126A70">
        <w:rPr>
          <w:rFonts w:asciiTheme="minorBidi" w:hAnsiTheme="minorBidi" w:cstheme="minorBidi"/>
          <w:szCs w:val="24"/>
        </w:rPr>
        <w:t xml:space="preserve"> connection is needed in hybrid freedom.</w:t>
      </w:r>
    </w:p>
    <w:p w14:paraId="39760E1C" w14:textId="77777777" w:rsidR="005B509C" w:rsidRPr="00126A70" w:rsidRDefault="008254AA" w:rsidP="005B509C">
      <w:pPr>
        <w:spacing w:after="0"/>
        <w:rPr>
          <w:rFonts w:asciiTheme="minorBidi" w:hAnsiTheme="minorBidi" w:cstheme="minorBidi"/>
          <w:szCs w:val="24"/>
        </w:rPr>
      </w:pPr>
      <w:r w:rsidRPr="00126A70">
        <w:rPr>
          <w:rFonts w:asciiTheme="minorBidi" w:hAnsiTheme="minorBidi" w:cstheme="minorBidi"/>
          <w:b/>
          <w:bCs/>
          <w:szCs w:val="24"/>
        </w:rPr>
        <w:t>Employee Experience (EX).</w:t>
      </w:r>
    </w:p>
    <w:p w14:paraId="53DCBACE" w14:textId="71E0003D" w:rsidR="00793642" w:rsidRPr="00126A70" w:rsidRDefault="00793642" w:rsidP="005B509C">
      <w:pPr>
        <w:spacing w:after="0"/>
        <w:rPr>
          <w:rFonts w:asciiTheme="minorBidi" w:hAnsiTheme="minorBidi" w:cstheme="minorBidi"/>
          <w:szCs w:val="24"/>
        </w:rPr>
      </w:pPr>
      <w:r w:rsidRPr="00126A70">
        <w:rPr>
          <w:rFonts w:asciiTheme="minorBidi" w:hAnsiTheme="minorBidi" w:cstheme="minorBidi"/>
          <w:szCs w:val="24"/>
        </w:rPr>
        <w:t>EX integrates health and safety, wellbeing, engagement, HRM, and culture in a single perspective of the employee journey (Andrés-Reina, Díaz-Muñoz and Rodríguez-Fernández, 2024). The research is still in its early stages and should not supplant evidence; EX should be used to inform design.</w:t>
      </w:r>
    </w:p>
    <w:p w14:paraId="55F7492D" w14:textId="2F27A91C" w:rsidR="001A55C0" w:rsidRPr="00126A70" w:rsidRDefault="00793642" w:rsidP="005B509C">
      <w:pPr>
        <w:spacing w:after="0"/>
        <w:rPr>
          <w:rFonts w:asciiTheme="minorBidi" w:hAnsiTheme="minorBidi" w:cstheme="minorBidi"/>
          <w:szCs w:val="24"/>
        </w:rPr>
      </w:pPr>
      <w:r w:rsidRPr="00126A70">
        <w:rPr>
          <w:rFonts w:asciiTheme="minorBidi" w:hAnsiTheme="minorBidi" w:cstheme="minorBidi"/>
          <w:szCs w:val="24"/>
        </w:rPr>
        <w:t xml:space="preserve">In general, talent develops where motivated individuals (mindset, crafting, SDT) operate in a safe, learning environment in an organisation. Without these conditions, any individual </w:t>
      </w:r>
      <w:r w:rsidR="008F021C" w:rsidRPr="00126A70">
        <w:rPr>
          <w:rFonts w:asciiTheme="minorBidi" w:hAnsiTheme="minorBidi" w:cstheme="minorBidi"/>
          <w:szCs w:val="24"/>
        </w:rPr>
        <w:t xml:space="preserve">tool would fail, so </w:t>
      </w:r>
      <w:r w:rsidR="005B509C" w:rsidRPr="00126A70">
        <w:rPr>
          <w:rFonts w:asciiTheme="minorBidi" w:hAnsiTheme="minorBidi" w:cstheme="minorBidi"/>
          <w:szCs w:val="24"/>
        </w:rPr>
        <w:t>NHSX should integrate these theories into one system</w:t>
      </w:r>
      <w:r w:rsidRPr="00126A70">
        <w:rPr>
          <w:rFonts w:asciiTheme="minorBidi" w:hAnsiTheme="minorBidi" w:cstheme="minorBidi"/>
          <w:szCs w:val="24"/>
        </w:rPr>
        <w:t>.</w:t>
      </w:r>
    </w:p>
    <w:p w14:paraId="0ABF231C" w14:textId="77777777" w:rsidR="001A55C0" w:rsidRPr="00126A70" w:rsidRDefault="008254AA" w:rsidP="008324AA">
      <w:pPr>
        <w:pStyle w:val="Heading2"/>
        <w:spacing w:before="0" w:after="0" w:line="480" w:lineRule="auto"/>
        <w:rPr>
          <w:rFonts w:asciiTheme="minorBidi" w:hAnsiTheme="minorBidi" w:cstheme="minorBidi"/>
          <w:color w:val="auto"/>
          <w:sz w:val="24"/>
          <w:szCs w:val="24"/>
          <w:lang w:val="en-GB"/>
        </w:rPr>
      </w:pPr>
      <w:bookmarkStart w:id="7" w:name="_Toc242880503"/>
      <w:r w:rsidRPr="00126A70">
        <w:rPr>
          <w:rFonts w:asciiTheme="minorBidi" w:hAnsiTheme="minorBidi" w:cstheme="minorBidi"/>
          <w:color w:val="auto"/>
          <w:sz w:val="24"/>
          <w:szCs w:val="24"/>
          <w:lang w:val="en-GB"/>
        </w:rPr>
        <w:t>B2. Talent growth strategy for NHSX</w:t>
      </w:r>
      <w:bookmarkEnd w:id="7"/>
    </w:p>
    <w:p w14:paraId="61B2A1E4"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szCs w:val="24"/>
        </w:rPr>
        <w:t>The strategy has five pillars linked to the NHSX problems.</w:t>
      </w:r>
    </w:p>
    <w:p w14:paraId="1CF994ED" w14:textId="5A94EB7B" w:rsidR="001A55C0" w:rsidRPr="00126A70" w:rsidRDefault="008254AA" w:rsidP="008324AA">
      <w:pPr>
        <w:pStyle w:val="ListParagraph"/>
        <w:numPr>
          <w:ilvl w:val="0"/>
          <w:numId w:val="3"/>
        </w:numPr>
        <w:spacing w:after="0"/>
        <w:rPr>
          <w:rFonts w:asciiTheme="minorBidi" w:hAnsiTheme="minorBidi" w:cstheme="minorBidi"/>
          <w:szCs w:val="24"/>
          <w:lang w:val="en-GB"/>
        </w:rPr>
      </w:pPr>
      <w:r w:rsidRPr="00126A70">
        <w:rPr>
          <w:rFonts w:asciiTheme="minorBidi" w:hAnsiTheme="minorBidi" w:cstheme="minorBidi"/>
          <w:b/>
          <w:bCs/>
          <w:szCs w:val="24"/>
          <w:lang w:val="en-GB"/>
        </w:rPr>
        <w:t>Psychological safety and learning from failure (problems b and e).</w:t>
      </w:r>
      <w:r w:rsidRPr="00126A70">
        <w:rPr>
          <w:rFonts w:asciiTheme="minorBidi" w:hAnsiTheme="minorBidi" w:cstheme="minorBidi"/>
          <w:szCs w:val="24"/>
          <w:lang w:val="en-GB"/>
        </w:rPr>
        <w:t xml:space="preserve"> </w:t>
      </w:r>
      <w:r w:rsidR="005461E9" w:rsidRPr="00126A70">
        <w:rPr>
          <w:rFonts w:asciiTheme="minorBidi" w:hAnsiTheme="minorBidi" w:cstheme="minorBidi"/>
          <w:szCs w:val="24"/>
          <w:lang w:val="en-GB"/>
        </w:rPr>
        <w:t xml:space="preserve">Train every manager in inclusive, safe leadership. </w:t>
      </w:r>
      <w:r w:rsidR="005B509C" w:rsidRPr="00126A70">
        <w:rPr>
          <w:rFonts w:asciiTheme="minorBidi" w:hAnsiTheme="minorBidi" w:cstheme="minorBidi"/>
          <w:szCs w:val="24"/>
          <w:lang w:val="en-GB"/>
        </w:rPr>
        <w:t>After failed experiments, conduct blame-free reviews, provide error-management training, and hold</w:t>
      </w:r>
      <w:r w:rsidR="005461E9" w:rsidRPr="00126A70">
        <w:rPr>
          <w:rFonts w:asciiTheme="minorBidi" w:hAnsiTheme="minorBidi" w:cstheme="minorBidi"/>
          <w:szCs w:val="24"/>
          <w:lang w:val="en-GB"/>
        </w:rPr>
        <w:t xml:space="preserve"> learning meetings following failure (Elsayed et al., 2023). Clinical-safety rules stay strict, but product ideas may fail safely.</w:t>
      </w:r>
    </w:p>
    <w:p w14:paraId="0704616E" w14:textId="77777777" w:rsidR="005B509C" w:rsidRPr="00126A70" w:rsidRDefault="008254AA" w:rsidP="008324AA">
      <w:pPr>
        <w:pStyle w:val="ListParagraph"/>
        <w:numPr>
          <w:ilvl w:val="0"/>
          <w:numId w:val="3"/>
        </w:numPr>
        <w:spacing w:after="0"/>
        <w:rPr>
          <w:rFonts w:asciiTheme="minorBidi" w:hAnsiTheme="minorBidi" w:cstheme="minorBidi"/>
          <w:szCs w:val="24"/>
          <w:lang w:val="en-GB"/>
        </w:rPr>
      </w:pPr>
      <w:r w:rsidRPr="00126A70">
        <w:rPr>
          <w:rFonts w:asciiTheme="minorBidi" w:hAnsiTheme="minorBidi" w:cstheme="minorBidi"/>
          <w:b/>
          <w:bCs/>
          <w:szCs w:val="24"/>
          <w:lang w:val="en-GB"/>
        </w:rPr>
        <w:t>Clear careers and internal mobility (problem d).</w:t>
      </w:r>
    </w:p>
    <w:p w14:paraId="2DD30D8F" w14:textId="66F573E6" w:rsidR="001A55C0" w:rsidRPr="00126A70" w:rsidRDefault="005461E9" w:rsidP="005B509C">
      <w:pPr>
        <w:pStyle w:val="ListParagraph"/>
        <w:spacing w:after="0"/>
        <w:ind w:left="850"/>
        <w:rPr>
          <w:rFonts w:asciiTheme="minorBidi" w:hAnsiTheme="minorBidi" w:cstheme="minorBidi"/>
          <w:szCs w:val="24"/>
          <w:lang w:val="en-GB"/>
        </w:rPr>
      </w:pPr>
      <w:r w:rsidRPr="00126A70">
        <w:rPr>
          <w:rFonts w:asciiTheme="minorBidi" w:hAnsiTheme="minorBidi" w:cstheme="minorBidi"/>
          <w:szCs w:val="24"/>
          <w:lang w:val="en-GB"/>
        </w:rPr>
        <w:t xml:space="preserve">Provide each staff member with a staff development plan, updated annually. Post every job to an in-house job board, and provide 6-month rotations between squads and countries. LinkedIn found that only one in five employees feels confident moving internally, partly because managers "hoard talent" (LinkedIn Learning, 2024). NHSX should thus </w:t>
      </w:r>
      <w:r w:rsidR="008A1CA8" w:rsidRPr="00126A70">
        <w:rPr>
          <w:rFonts w:asciiTheme="minorBidi" w:hAnsiTheme="minorBidi" w:cstheme="minorBidi"/>
          <w:szCs w:val="24"/>
          <w:lang w:val="en-GB"/>
        </w:rPr>
        <w:t>incentivise managers to develop people who leave the organisation</w:t>
      </w:r>
      <w:r w:rsidRPr="00126A70">
        <w:rPr>
          <w:rFonts w:asciiTheme="minorBidi" w:hAnsiTheme="minorBidi" w:cstheme="minorBidi"/>
          <w:szCs w:val="24"/>
          <w:lang w:val="en-GB"/>
        </w:rPr>
        <w:t xml:space="preserve">. Implement mentoring for all new hires and </w:t>
      </w:r>
      <w:r w:rsidRPr="00126A70">
        <w:rPr>
          <w:rFonts w:asciiTheme="minorBidi" w:hAnsiTheme="minorBidi" w:cstheme="minorBidi"/>
          <w:szCs w:val="24"/>
          <w:lang w:val="en-GB"/>
        </w:rPr>
        <w:lastRenderedPageBreak/>
        <w:t xml:space="preserve">high performers (as done by 57% of companies; LinkedIn Learning, 2024). This </w:t>
      </w:r>
      <w:r w:rsidR="005B509C" w:rsidRPr="00126A70">
        <w:rPr>
          <w:rFonts w:asciiTheme="minorBidi" w:hAnsiTheme="minorBidi" w:cstheme="minorBidi"/>
          <w:szCs w:val="24"/>
          <w:lang w:val="en-GB"/>
        </w:rPr>
        <w:t>holistic solution does not lock staff into</w:t>
      </w:r>
      <w:r w:rsidRPr="00126A70">
        <w:rPr>
          <w:rFonts w:asciiTheme="minorBidi" w:hAnsiTheme="minorBidi" w:cstheme="minorBidi"/>
          <w:szCs w:val="24"/>
          <w:lang w:val="en-GB"/>
        </w:rPr>
        <w:t xml:space="preserve"> a limited talent pool.</w:t>
      </w:r>
    </w:p>
    <w:p w14:paraId="14BBE90A" w14:textId="01E4820C" w:rsidR="001A55C0" w:rsidRPr="00126A70" w:rsidRDefault="008254AA" w:rsidP="008324AA">
      <w:pPr>
        <w:pStyle w:val="ListParagraph"/>
        <w:numPr>
          <w:ilvl w:val="0"/>
          <w:numId w:val="3"/>
        </w:numPr>
        <w:spacing w:after="0"/>
        <w:rPr>
          <w:rFonts w:asciiTheme="minorBidi" w:hAnsiTheme="minorBidi" w:cstheme="minorBidi"/>
          <w:szCs w:val="24"/>
          <w:lang w:val="en-GB"/>
        </w:rPr>
      </w:pPr>
      <w:r w:rsidRPr="00126A70">
        <w:rPr>
          <w:rFonts w:asciiTheme="minorBidi" w:hAnsiTheme="minorBidi" w:cstheme="minorBidi"/>
          <w:b/>
          <w:bCs/>
          <w:szCs w:val="24"/>
          <w:lang w:val="en-GB"/>
        </w:rPr>
        <w:t>Continuous, personal learning (problems b and d).</w:t>
      </w:r>
      <w:r w:rsidRPr="00126A70">
        <w:rPr>
          <w:rFonts w:asciiTheme="minorBidi" w:hAnsiTheme="minorBidi" w:cstheme="minorBidi"/>
          <w:szCs w:val="24"/>
          <w:lang w:val="en-GB"/>
        </w:rPr>
        <w:t xml:space="preserve"> </w:t>
      </w:r>
      <w:r w:rsidR="00745ADF" w:rsidRPr="00126A70">
        <w:rPr>
          <w:rFonts w:asciiTheme="minorBidi" w:hAnsiTheme="minorBidi" w:cstheme="minorBidi"/>
          <w:szCs w:val="24"/>
          <w:lang w:val="en-GB"/>
        </w:rPr>
        <w:t xml:space="preserve">Reserve 4 hours/month of learning time. Learning opportunities are the </w:t>
      </w:r>
      <w:r w:rsidR="00D37BA0" w:rsidRPr="00126A70">
        <w:rPr>
          <w:rFonts w:asciiTheme="minorBidi" w:hAnsiTheme="minorBidi" w:cstheme="minorBidi"/>
          <w:szCs w:val="24"/>
          <w:lang w:val="en-GB"/>
        </w:rPr>
        <w:t xml:space="preserve">strongest retention strategy and are used four times more </w:t>
      </w:r>
      <w:r w:rsidR="00745ADF" w:rsidRPr="00126A70">
        <w:rPr>
          <w:rFonts w:asciiTheme="minorBidi" w:hAnsiTheme="minorBidi" w:cstheme="minorBidi"/>
          <w:szCs w:val="24"/>
          <w:lang w:val="en-GB"/>
        </w:rPr>
        <w:t>by learners with career goals (LinkedIn Learning, 2024). Create an AI Skills Academy, because only 39% of AI users have received training from their employer (Microsoft and LinkedIn, 2024). Establish communities of practice and a shared knowledge library in the three countries, based on the learning organisation model (Mohammad, Sağsan and Şeşen, 2024).</w:t>
      </w:r>
    </w:p>
    <w:p w14:paraId="07E7E00E" w14:textId="77777777" w:rsidR="001A55C0" w:rsidRPr="00126A70" w:rsidRDefault="008254AA" w:rsidP="008324AA">
      <w:pPr>
        <w:pStyle w:val="ListParagraph"/>
        <w:numPr>
          <w:ilvl w:val="0"/>
          <w:numId w:val="3"/>
        </w:numPr>
        <w:spacing w:after="0"/>
        <w:rPr>
          <w:rFonts w:asciiTheme="minorBidi" w:hAnsiTheme="minorBidi" w:cstheme="minorBidi"/>
          <w:szCs w:val="24"/>
          <w:lang w:val="en-GB"/>
        </w:rPr>
      </w:pPr>
      <w:r w:rsidRPr="00126A70">
        <w:rPr>
          <w:rFonts w:asciiTheme="minorBidi" w:hAnsiTheme="minorBidi" w:cstheme="minorBidi"/>
          <w:b/>
          <w:bCs/>
          <w:szCs w:val="24"/>
          <w:lang w:val="en-GB"/>
        </w:rPr>
        <w:t>Strengths and job crafting (problems b and d).</w:t>
      </w:r>
      <w:r w:rsidRPr="00126A70">
        <w:rPr>
          <w:rFonts w:asciiTheme="minorBidi" w:hAnsiTheme="minorBidi" w:cstheme="minorBidi"/>
          <w:szCs w:val="24"/>
          <w:lang w:val="en-GB"/>
        </w:rPr>
        <w:t xml:space="preserve"> </w:t>
      </w:r>
      <w:r w:rsidR="009527B6" w:rsidRPr="00126A70">
        <w:rPr>
          <w:rFonts w:asciiTheme="minorBidi" w:hAnsiTheme="minorBidi" w:cstheme="minorBidi"/>
          <w:szCs w:val="24"/>
          <w:lang w:val="en-GB"/>
        </w:rPr>
        <w:t>Hold quarterly "crafting conversations" where employees and managers adjust tasks to strengths and interests (Lopper et al., 2023). Train managers in strengths-based leadership (Liu and Tong, 2022). For instance, an engineer with a focus on patient safety may participate for a portion of a sprint with clinical advisers.</w:t>
      </w:r>
    </w:p>
    <w:p w14:paraId="658B2E22" w14:textId="77777777" w:rsidR="001A55C0" w:rsidRPr="00126A70" w:rsidRDefault="008254AA" w:rsidP="008324AA">
      <w:pPr>
        <w:pStyle w:val="ListParagraph"/>
        <w:numPr>
          <w:ilvl w:val="0"/>
          <w:numId w:val="3"/>
        </w:numPr>
        <w:spacing w:after="0"/>
        <w:rPr>
          <w:rFonts w:asciiTheme="minorBidi" w:hAnsiTheme="minorBidi" w:cstheme="minorBidi"/>
          <w:szCs w:val="24"/>
          <w:lang w:val="en-GB"/>
        </w:rPr>
      </w:pPr>
      <w:r w:rsidRPr="00126A70">
        <w:rPr>
          <w:rFonts w:asciiTheme="minorBidi" w:hAnsiTheme="minorBidi" w:cstheme="minorBidi"/>
          <w:b/>
          <w:bCs/>
          <w:szCs w:val="24"/>
          <w:lang w:val="en-GB"/>
        </w:rPr>
        <w:t>Wellbeing and employee experience (problems c and e).</w:t>
      </w:r>
      <w:r w:rsidRPr="00126A70">
        <w:rPr>
          <w:rFonts w:asciiTheme="minorBidi" w:hAnsiTheme="minorBidi" w:cstheme="minorBidi"/>
          <w:szCs w:val="24"/>
          <w:lang w:val="en-GB"/>
        </w:rPr>
        <w:t xml:space="preserve"> </w:t>
      </w:r>
      <w:r w:rsidR="009527B6" w:rsidRPr="00126A70">
        <w:rPr>
          <w:rFonts w:asciiTheme="minorBidi" w:hAnsiTheme="minorBidi" w:cstheme="minorBidi"/>
          <w:szCs w:val="24"/>
          <w:lang w:val="en-GB"/>
        </w:rPr>
        <w:t xml:space="preserve">Monitor workload for each sprint review. Conduct monthly in-person team days and online “connection hours” to alleviate feelings of loneliness (Wax et al., 2022). </w:t>
      </w:r>
      <w:r w:rsidR="008A1CA8" w:rsidRPr="00126A70">
        <w:rPr>
          <w:rFonts w:asciiTheme="minorBidi" w:hAnsiTheme="minorBidi" w:cstheme="minorBidi"/>
          <w:szCs w:val="24"/>
          <w:lang w:val="en-GB"/>
        </w:rPr>
        <w:t>Analyse</w:t>
      </w:r>
      <w:r w:rsidR="009527B6" w:rsidRPr="00126A70">
        <w:rPr>
          <w:rFonts w:asciiTheme="minorBidi" w:hAnsiTheme="minorBidi" w:cstheme="minorBidi"/>
          <w:szCs w:val="24"/>
          <w:lang w:val="en-GB"/>
        </w:rPr>
        <w:t xml:space="preserve"> the employee lifecycle journey (from hire to exit), and identify the leaky parts (Andrés-Reina, Díaz-Muñoz and Rodríguez-Fernández, 2024). Because 46% of knowledge workers report feeling burned out, managers receive a toolkit to identify it early. (Microsoft and LinkedIn, 2024)</w:t>
      </w:r>
    </w:p>
    <w:p w14:paraId="2775BF45"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szCs w:val="24"/>
        </w:rPr>
        <w:t>Implementation runs in three phases: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1100"/>
        <w:gridCol w:w="4126"/>
        <w:gridCol w:w="2300"/>
      </w:tblGrid>
      <w:tr w:rsidR="001A55C0" w:rsidRPr="00126A70" w14:paraId="18698F72" w14:textId="77777777">
        <w:trPr>
          <w:tblHeader/>
        </w:trPr>
        <w:tc>
          <w:tcPr>
            <w:tcW w:w="1500" w:type="dxa"/>
            <w:tcBorders>
              <w:top w:val="single" w:sz="4" w:space="0" w:color="A6A6A6"/>
              <w:left w:val="single" w:sz="4" w:space="0" w:color="A6A6A6"/>
              <w:bottom w:val="single" w:sz="4" w:space="0" w:color="A6A6A6"/>
              <w:right w:val="single" w:sz="4" w:space="0" w:color="A6A6A6"/>
            </w:tcBorders>
            <w:shd w:val="clear" w:color="auto" w:fill="1F3864"/>
            <w:tcMar>
              <w:top w:w="80" w:type="dxa"/>
              <w:left w:w="110" w:type="dxa"/>
              <w:bottom w:w="80" w:type="dxa"/>
              <w:right w:w="110" w:type="dxa"/>
            </w:tcMar>
          </w:tcPr>
          <w:p w14:paraId="6B3789A3"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b/>
                <w:bCs/>
                <w:szCs w:val="24"/>
              </w:rPr>
              <w:lastRenderedPageBreak/>
              <w:t>Phase</w:t>
            </w:r>
          </w:p>
        </w:tc>
        <w:tc>
          <w:tcPr>
            <w:tcW w:w="1100" w:type="dxa"/>
            <w:tcBorders>
              <w:top w:val="single" w:sz="4" w:space="0" w:color="A6A6A6"/>
              <w:left w:val="single" w:sz="4" w:space="0" w:color="A6A6A6"/>
              <w:bottom w:val="single" w:sz="4" w:space="0" w:color="A6A6A6"/>
              <w:right w:val="single" w:sz="4" w:space="0" w:color="A6A6A6"/>
            </w:tcBorders>
            <w:shd w:val="clear" w:color="auto" w:fill="1F3864"/>
            <w:tcMar>
              <w:top w:w="80" w:type="dxa"/>
              <w:left w:w="110" w:type="dxa"/>
              <w:bottom w:w="80" w:type="dxa"/>
              <w:right w:w="110" w:type="dxa"/>
            </w:tcMar>
          </w:tcPr>
          <w:p w14:paraId="4CA82EAC"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b/>
                <w:bCs/>
                <w:szCs w:val="24"/>
              </w:rPr>
              <w:t>Months</w:t>
            </w:r>
          </w:p>
        </w:tc>
        <w:tc>
          <w:tcPr>
            <w:tcW w:w="4126" w:type="dxa"/>
            <w:tcBorders>
              <w:top w:val="single" w:sz="4" w:space="0" w:color="A6A6A6"/>
              <w:left w:val="single" w:sz="4" w:space="0" w:color="A6A6A6"/>
              <w:bottom w:val="single" w:sz="4" w:space="0" w:color="A6A6A6"/>
              <w:right w:val="single" w:sz="4" w:space="0" w:color="A6A6A6"/>
            </w:tcBorders>
            <w:shd w:val="clear" w:color="auto" w:fill="1F3864"/>
            <w:tcMar>
              <w:top w:w="80" w:type="dxa"/>
              <w:left w:w="110" w:type="dxa"/>
              <w:bottom w:w="80" w:type="dxa"/>
              <w:right w:w="110" w:type="dxa"/>
            </w:tcMar>
          </w:tcPr>
          <w:p w14:paraId="6B134B15"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b/>
                <w:bCs/>
                <w:szCs w:val="24"/>
              </w:rPr>
              <w:t>Main actions</w:t>
            </w:r>
          </w:p>
        </w:tc>
        <w:tc>
          <w:tcPr>
            <w:tcW w:w="2300" w:type="dxa"/>
            <w:tcBorders>
              <w:top w:val="single" w:sz="4" w:space="0" w:color="A6A6A6"/>
              <w:left w:val="single" w:sz="4" w:space="0" w:color="A6A6A6"/>
              <w:bottom w:val="single" w:sz="4" w:space="0" w:color="A6A6A6"/>
              <w:right w:val="single" w:sz="4" w:space="0" w:color="A6A6A6"/>
            </w:tcBorders>
            <w:shd w:val="clear" w:color="auto" w:fill="1F3864"/>
            <w:tcMar>
              <w:top w:w="80" w:type="dxa"/>
              <w:left w:w="110" w:type="dxa"/>
              <w:bottom w:w="80" w:type="dxa"/>
              <w:right w:w="110" w:type="dxa"/>
            </w:tcMar>
          </w:tcPr>
          <w:p w14:paraId="5E345339"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b/>
                <w:bCs/>
                <w:szCs w:val="24"/>
              </w:rPr>
              <w:t>Owner</w:t>
            </w:r>
          </w:p>
        </w:tc>
      </w:tr>
      <w:tr w:rsidR="001A55C0" w:rsidRPr="00126A70" w14:paraId="137A8CC1" w14:textId="77777777">
        <w:tc>
          <w:tcPr>
            <w:tcW w:w="1500"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24B0C4CF"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szCs w:val="24"/>
              </w:rPr>
              <w:t>1. Prepare</w:t>
            </w:r>
          </w:p>
        </w:tc>
        <w:tc>
          <w:tcPr>
            <w:tcW w:w="1100"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2C7AFC1D"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szCs w:val="24"/>
              </w:rPr>
              <w:t>0–6</w:t>
            </w:r>
          </w:p>
        </w:tc>
        <w:tc>
          <w:tcPr>
            <w:tcW w:w="4126"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05269FE2"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szCs w:val="24"/>
              </w:rPr>
              <w:t>Manager training; career plans for all; protected learning time</w:t>
            </w:r>
          </w:p>
        </w:tc>
        <w:tc>
          <w:tcPr>
            <w:tcW w:w="2300"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35D04F2F"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szCs w:val="24"/>
              </w:rPr>
              <w:t>HR Director and line managers</w:t>
            </w:r>
          </w:p>
        </w:tc>
      </w:tr>
      <w:tr w:rsidR="001A55C0" w:rsidRPr="00126A70" w14:paraId="74F17F93" w14:textId="77777777">
        <w:tc>
          <w:tcPr>
            <w:tcW w:w="1500" w:type="dxa"/>
            <w:tcBorders>
              <w:top w:val="single" w:sz="4" w:space="0" w:color="A6A6A6"/>
              <w:left w:val="single" w:sz="4" w:space="0" w:color="A6A6A6"/>
              <w:bottom w:val="single" w:sz="4" w:space="0" w:color="A6A6A6"/>
              <w:right w:val="single" w:sz="4" w:space="0" w:color="A6A6A6"/>
            </w:tcBorders>
            <w:shd w:val="clear" w:color="auto" w:fill="EEF2F8"/>
            <w:tcMar>
              <w:top w:w="80" w:type="dxa"/>
              <w:left w:w="110" w:type="dxa"/>
              <w:bottom w:w="80" w:type="dxa"/>
              <w:right w:w="110" w:type="dxa"/>
            </w:tcMar>
          </w:tcPr>
          <w:p w14:paraId="5F7670F3"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szCs w:val="24"/>
              </w:rPr>
              <w:t>2. Build</w:t>
            </w:r>
          </w:p>
        </w:tc>
        <w:tc>
          <w:tcPr>
            <w:tcW w:w="1100" w:type="dxa"/>
            <w:tcBorders>
              <w:top w:val="single" w:sz="4" w:space="0" w:color="A6A6A6"/>
              <w:left w:val="single" w:sz="4" w:space="0" w:color="A6A6A6"/>
              <w:bottom w:val="single" w:sz="4" w:space="0" w:color="A6A6A6"/>
              <w:right w:val="single" w:sz="4" w:space="0" w:color="A6A6A6"/>
            </w:tcBorders>
            <w:shd w:val="clear" w:color="auto" w:fill="EEF2F8"/>
            <w:tcMar>
              <w:top w:w="80" w:type="dxa"/>
              <w:left w:w="110" w:type="dxa"/>
              <w:bottom w:w="80" w:type="dxa"/>
              <w:right w:w="110" w:type="dxa"/>
            </w:tcMar>
          </w:tcPr>
          <w:p w14:paraId="5DD7F3E4"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szCs w:val="24"/>
              </w:rPr>
              <w:t>6–12</w:t>
            </w:r>
          </w:p>
        </w:tc>
        <w:tc>
          <w:tcPr>
            <w:tcW w:w="4126" w:type="dxa"/>
            <w:tcBorders>
              <w:top w:val="single" w:sz="4" w:space="0" w:color="A6A6A6"/>
              <w:left w:val="single" w:sz="4" w:space="0" w:color="A6A6A6"/>
              <w:bottom w:val="single" w:sz="4" w:space="0" w:color="A6A6A6"/>
              <w:right w:val="single" w:sz="4" w:space="0" w:color="A6A6A6"/>
            </w:tcBorders>
            <w:shd w:val="clear" w:color="auto" w:fill="EEF2F8"/>
            <w:tcMar>
              <w:top w:w="80" w:type="dxa"/>
              <w:left w:w="110" w:type="dxa"/>
              <w:bottom w:w="80" w:type="dxa"/>
              <w:right w:w="110" w:type="dxa"/>
            </w:tcMar>
          </w:tcPr>
          <w:p w14:paraId="40B454F5"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szCs w:val="24"/>
              </w:rPr>
              <w:t>Internal job board, rotations, mentoring, AI Skills Academy</w:t>
            </w:r>
          </w:p>
        </w:tc>
        <w:tc>
          <w:tcPr>
            <w:tcW w:w="2300" w:type="dxa"/>
            <w:tcBorders>
              <w:top w:val="single" w:sz="4" w:space="0" w:color="A6A6A6"/>
              <w:left w:val="single" w:sz="4" w:space="0" w:color="A6A6A6"/>
              <w:bottom w:val="single" w:sz="4" w:space="0" w:color="A6A6A6"/>
              <w:right w:val="single" w:sz="4" w:space="0" w:color="A6A6A6"/>
            </w:tcBorders>
            <w:shd w:val="clear" w:color="auto" w:fill="EEF2F8"/>
            <w:tcMar>
              <w:top w:w="80" w:type="dxa"/>
              <w:left w:w="110" w:type="dxa"/>
              <w:bottom w:w="80" w:type="dxa"/>
              <w:right w:w="110" w:type="dxa"/>
            </w:tcMar>
          </w:tcPr>
          <w:p w14:paraId="612C20C1"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szCs w:val="24"/>
              </w:rPr>
              <w:t>HR Director and Chief Technology Officer</w:t>
            </w:r>
          </w:p>
        </w:tc>
      </w:tr>
      <w:tr w:rsidR="001A55C0" w:rsidRPr="00126A70" w14:paraId="4E7253CA" w14:textId="77777777">
        <w:tc>
          <w:tcPr>
            <w:tcW w:w="1500"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6FB82715"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szCs w:val="24"/>
              </w:rPr>
              <w:t>3. Embed</w:t>
            </w:r>
          </w:p>
        </w:tc>
        <w:tc>
          <w:tcPr>
            <w:tcW w:w="1100"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06C03410"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szCs w:val="24"/>
              </w:rPr>
              <w:t>12–18</w:t>
            </w:r>
          </w:p>
        </w:tc>
        <w:tc>
          <w:tcPr>
            <w:tcW w:w="4126"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1699FECA"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szCs w:val="24"/>
              </w:rPr>
              <w:t>Employee journey mapping, crafting conversations, Board review</w:t>
            </w:r>
          </w:p>
        </w:tc>
        <w:tc>
          <w:tcPr>
            <w:tcW w:w="2300"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2CD04EF8"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szCs w:val="24"/>
              </w:rPr>
              <w:t>Board, HR and squad leads</w:t>
            </w:r>
          </w:p>
        </w:tc>
      </w:tr>
    </w:tbl>
    <w:p w14:paraId="1305421B" w14:textId="77777777" w:rsidR="001A55C0" w:rsidRPr="00126A70" w:rsidRDefault="001A55C0" w:rsidP="008324AA">
      <w:pPr>
        <w:spacing w:after="0"/>
        <w:rPr>
          <w:rFonts w:asciiTheme="minorBidi" w:hAnsiTheme="minorBidi" w:cstheme="minorBidi"/>
          <w:szCs w:val="24"/>
        </w:rPr>
      </w:pPr>
    </w:p>
    <w:p w14:paraId="4BC5B17E" w14:textId="77777777" w:rsidR="001A55C0" w:rsidRPr="00126A70" w:rsidRDefault="009527B6" w:rsidP="005B509C">
      <w:pPr>
        <w:spacing w:after="0"/>
        <w:rPr>
          <w:rFonts w:asciiTheme="minorBidi" w:hAnsiTheme="minorBidi" w:cstheme="minorBidi"/>
          <w:szCs w:val="24"/>
        </w:rPr>
      </w:pPr>
      <w:r w:rsidRPr="00126A70">
        <w:rPr>
          <w:rFonts w:asciiTheme="minorBidi" w:hAnsiTheme="minorBidi" w:cstheme="minorBidi"/>
          <w:szCs w:val="24"/>
        </w:rPr>
        <w:t>Success measures are high-performer quit rate, share of roles filled internally, engagement scores, learning hours and psychological safety scores, reported to the Board every quarter. The key early warning indicator is engagement, since it is connected to talent practices and retention (Sinisterra, Peñalver and Salanova, 2024).</w:t>
      </w:r>
    </w:p>
    <w:p w14:paraId="7A3704A3" w14:textId="77777777" w:rsidR="001A55C0" w:rsidRPr="00126A70" w:rsidRDefault="008254AA" w:rsidP="008324AA">
      <w:pPr>
        <w:pStyle w:val="Heading1"/>
        <w:spacing w:before="0" w:after="0"/>
        <w:rPr>
          <w:rFonts w:asciiTheme="minorBidi" w:hAnsiTheme="minorBidi" w:cstheme="minorBidi"/>
          <w:color w:val="auto"/>
          <w:szCs w:val="24"/>
          <w:lang w:val="en-GB"/>
        </w:rPr>
      </w:pPr>
      <w:bookmarkStart w:id="8" w:name="_Toc242880504"/>
      <w:r w:rsidRPr="00126A70">
        <w:rPr>
          <w:rFonts w:asciiTheme="minorBidi" w:hAnsiTheme="minorBidi" w:cstheme="minorBidi"/>
          <w:color w:val="auto"/>
          <w:szCs w:val="24"/>
          <w:lang w:val="en-GB"/>
        </w:rPr>
        <w:t>Task C: Reflective Report</w:t>
      </w:r>
      <w:bookmarkEnd w:id="8"/>
    </w:p>
    <w:p w14:paraId="2BB9E790" w14:textId="77777777" w:rsidR="001A55C0" w:rsidRPr="00126A70" w:rsidRDefault="008254AA" w:rsidP="008324AA">
      <w:pPr>
        <w:pStyle w:val="Heading2"/>
        <w:spacing w:before="0" w:after="0" w:line="480" w:lineRule="auto"/>
        <w:rPr>
          <w:rFonts w:asciiTheme="minorBidi" w:hAnsiTheme="minorBidi" w:cstheme="minorBidi"/>
          <w:color w:val="auto"/>
          <w:sz w:val="24"/>
          <w:szCs w:val="24"/>
          <w:lang w:val="en-GB"/>
        </w:rPr>
      </w:pPr>
      <w:bookmarkStart w:id="9" w:name="_Toc242880505"/>
      <w:r w:rsidRPr="00126A70">
        <w:rPr>
          <w:rFonts w:asciiTheme="minorBidi" w:hAnsiTheme="minorBidi" w:cstheme="minorBidi"/>
          <w:color w:val="auto"/>
          <w:sz w:val="24"/>
          <w:szCs w:val="24"/>
          <w:lang w:val="en-GB"/>
        </w:rPr>
        <w:t>C1. AI as a strategic decision-support tool in HRM</w:t>
      </w:r>
      <w:bookmarkEnd w:id="9"/>
    </w:p>
    <w:p w14:paraId="15F54D04" w14:textId="59BCF6E3" w:rsidR="001A55C0" w:rsidRPr="00126A70" w:rsidRDefault="00225490" w:rsidP="005B509C">
      <w:pPr>
        <w:spacing w:after="0"/>
        <w:rPr>
          <w:rFonts w:asciiTheme="minorBidi" w:hAnsiTheme="minorBidi" w:cstheme="minorBidi"/>
          <w:szCs w:val="24"/>
        </w:rPr>
      </w:pPr>
      <w:r w:rsidRPr="00126A70">
        <w:rPr>
          <w:rFonts w:asciiTheme="minorBidi" w:hAnsiTheme="minorBidi" w:cstheme="minorBidi"/>
          <w:szCs w:val="24"/>
        </w:rPr>
        <w:t xml:space="preserve">AI can </w:t>
      </w:r>
      <w:r w:rsidR="005B509C" w:rsidRPr="00126A70">
        <w:rPr>
          <w:rFonts w:asciiTheme="minorBidi" w:hAnsiTheme="minorBidi" w:cstheme="minorBidi"/>
          <w:szCs w:val="24"/>
        </w:rPr>
        <w:t>help HR predict turnover, screen large volumes of applicants, suggest learning paths, and even respond</w:t>
      </w:r>
      <w:r w:rsidRPr="00126A70">
        <w:rPr>
          <w:rFonts w:asciiTheme="minorBidi" w:hAnsiTheme="minorBidi" w:cstheme="minorBidi"/>
          <w:szCs w:val="24"/>
        </w:rPr>
        <w:t xml:space="preserve"> to employee questions via chatbots (Rodgers et al., 2023). It is useful </w:t>
      </w:r>
      <w:r w:rsidR="00D37BA0" w:rsidRPr="00126A70">
        <w:rPr>
          <w:rFonts w:asciiTheme="minorBidi" w:hAnsiTheme="minorBidi" w:cstheme="minorBidi"/>
          <w:szCs w:val="24"/>
        </w:rPr>
        <w:t>when time is limited and data volumes are</w:t>
      </w:r>
      <w:r w:rsidRPr="00126A70">
        <w:rPr>
          <w:rFonts w:asciiTheme="minorBidi" w:hAnsiTheme="minorBidi" w:cstheme="minorBidi"/>
          <w:szCs w:val="24"/>
        </w:rPr>
        <w:t xml:space="preserve"> enormous. Currently, 75% of knowledge workers </w:t>
      </w:r>
      <w:r w:rsidR="005B509C" w:rsidRPr="00126A70">
        <w:rPr>
          <w:rFonts w:asciiTheme="minorBidi" w:hAnsiTheme="minorBidi" w:cstheme="minorBidi"/>
          <w:szCs w:val="24"/>
        </w:rPr>
        <w:t>already work with AI, and 78% use their own tools, raising privacy risks</w:t>
      </w:r>
      <w:r w:rsidRPr="00126A70">
        <w:rPr>
          <w:rFonts w:asciiTheme="minorBidi" w:hAnsiTheme="minorBidi" w:cstheme="minorBidi"/>
          <w:szCs w:val="24"/>
        </w:rPr>
        <w:t xml:space="preserve"> (Microsoft and LinkedIn, 2024).</w:t>
      </w:r>
    </w:p>
    <w:p w14:paraId="7E9853C9" w14:textId="371FB18C" w:rsidR="009351E9" w:rsidRPr="00126A70" w:rsidRDefault="008A1CA8" w:rsidP="005B509C">
      <w:pPr>
        <w:spacing w:after="0"/>
        <w:rPr>
          <w:rFonts w:asciiTheme="minorBidi" w:hAnsiTheme="minorBidi" w:cstheme="minorBidi"/>
          <w:szCs w:val="24"/>
        </w:rPr>
      </w:pPr>
      <w:r w:rsidRPr="00126A70">
        <w:rPr>
          <w:rFonts w:asciiTheme="minorBidi" w:hAnsiTheme="minorBidi" w:cstheme="minorBidi"/>
          <w:szCs w:val="24"/>
        </w:rPr>
        <w:t>However,</w:t>
      </w:r>
      <w:r w:rsidR="009351E9" w:rsidRPr="00126A70">
        <w:rPr>
          <w:rFonts w:asciiTheme="minorBidi" w:hAnsiTheme="minorBidi" w:cstheme="minorBidi"/>
          <w:szCs w:val="24"/>
        </w:rPr>
        <w:t xml:space="preserve"> </w:t>
      </w:r>
      <w:r w:rsidR="005B509C" w:rsidRPr="00126A70">
        <w:rPr>
          <w:rFonts w:asciiTheme="minorBidi" w:hAnsiTheme="minorBidi" w:cstheme="minorBidi"/>
          <w:szCs w:val="24"/>
        </w:rPr>
        <w:t>AI faces serious limitations</w:t>
      </w:r>
      <w:r w:rsidR="009351E9" w:rsidRPr="00126A70">
        <w:rPr>
          <w:rFonts w:asciiTheme="minorBidi" w:hAnsiTheme="minorBidi" w:cstheme="minorBidi"/>
          <w:szCs w:val="24"/>
        </w:rPr>
        <w:t xml:space="preserve">. It can be biased, </w:t>
      </w:r>
      <w:r w:rsidR="005B509C" w:rsidRPr="00126A70">
        <w:rPr>
          <w:rFonts w:asciiTheme="minorBidi" w:hAnsiTheme="minorBidi" w:cstheme="minorBidi"/>
          <w:szCs w:val="24"/>
        </w:rPr>
        <w:t>produce false "hallucinated" answers, ignore context, threaten privacy, and fail to</w:t>
      </w:r>
      <w:r w:rsidR="009351E9" w:rsidRPr="00126A70">
        <w:rPr>
          <w:rFonts w:asciiTheme="minorBidi" w:hAnsiTheme="minorBidi" w:cstheme="minorBidi"/>
          <w:szCs w:val="24"/>
        </w:rPr>
        <w:t xml:space="preserve"> explain how it reaches its answers (Budhwar et al., 2023). When HR merely follows the algorithm, managers </w:t>
      </w:r>
      <w:r w:rsidR="009351E9" w:rsidRPr="00126A70">
        <w:rPr>
          <w:rFonts w:asciiTheme="minorBidi" w:hAnsiTheme="minorBidi" w:cstheme="minorBidi"/>
          <w:szCs w:val="24"/>
        </w:rPr>
        <w:lastRenderedPageBreak/>
        <w:t>shift the responsibility to the machine, and employees feel disconnected from decisions (Rodgers et al., 2023). Fairness also cannot be reduced to a formula.</w:t>
      </w:r>
    </w:p>
    <w:p w14:paraId="34D35535" w14:textId="69790D5A" w:rsidR="001A55C0" w:rsidRPr="00126A70" w:rsidRDefault="009351E9" w:rsidP="005B509C">
      <w:pPr>
        <w:spacing w:after="0"/>
        <w:rPr>
          <w:rFonts w:asciiTheme="minorBidi" w:hAnsiTheme="minorBidi" w:cstheme="minorBidi"/>
          <w:szCs w:val="24"/>
        </w:rPr>
      </w:pPr>
      <w:r w:rsidRPr="00126A70">
        <w:rPr>
          <w:rFonts w:asciiTheme="minorBidi" w:hAnsiTheme="minorBidi" w:cstheme="minorBidi"/>
          <w:szCs w:val="24"/>
        </w:rPr>
        <w:t>Thus, AI should give recommendations</w:t>
      </w:r>
      <w:r w:rsidR="008F021C" w:rsidRPr="00126A70">
        <w:rPr>
          <w:rFonts w:asciiTheme="minorBidi" w:hAnsiTheme="minorBidi" w:cstheme="minorBidi"/>
          <w:szCs w:val="24"/>
        </w:rPr>
        <w:t>,</w:t>
      </w:r>
      <w:r w:rsidRPr="00126A70">
        <w:rPr>
          <w:rFonts w:asciiTheme="minorBidi" w:hAnsiTheme="minorBidi" w:cstheme="minorBidi"/>
          <w:szCs w:val="24"/>
        </w:rPr>
        <w:t xml:space="preserve"> and humans should make the decision. At NHSX, </w:t>
      </w:r>
      <w:r w:rsidR="005B509C" w:rsidRPr="00126A70">
        <w:rPr>
          <w:rFonts w:asciiTheme="minorBidi" w:hAnsiTheme="minorBidi" w:cstheme="minorBidi"/>
          <w:szCs w:val="24"/>
        </w:rPr>
        <w:t xml:space="preserve">attrition prediction should start an honest discussion about a career in caring, not </w:t>
      </w:r>
      <w:r w:rsidRPr="00126A70">
        <w:rPr>
          <w:rFonts w:asciiTheme="minorBidi" w:hAnsiTheme="minorBidi" w:cstheme="minorBidi"/>
          <w:szCs w:val="24"/>
        </w:rPr>
        <w:t>secret surveillance. HR should have tools to explain, ensure that they are not biased, be sure to inform workers what data is used, and have "trust, but verify" (Budhwar et al., 2023). Empathy, ethical judgement and accountability remain with people.</w:t>
      </w:r>
    </w:p>
    <w:p w14:paraId="2A78B097" w14:textId="77777777" w:rsidR="001A55C0" w:rsidRPr="00126A70" w:rsidRDefault="008254AA" w:rsidP="008324AA">
      <w:pPr>
        <w:pStyle w:val="Heading2"/>
        <w:spacing w:before="0" w:after="0" w:line="480" w:lineRule="auto"/>
        <w:rPr>
          <w:rFonts w:asciiTheme="minorBidi" w:hAnsiTheme="minorBidi" w:cstheme="minorBidi"/>
          <w:color w:val="auto"/>
          <w:sz w:val="24"/>
          <w:szCs w:val="24"/>
          <w:lang w:val="en-GB"/>
        </w:rPr>
      </w:pPr>
      <w:bookmarkStart w:id="10" w:name="_Toc242880506"/>
      <w:r w:rsidRPr="00126A70">
        <w:rPr>
          <w:rFonts w:asciiTheme="minorBidi" w:hAnsiTheme="minorBidi" w:cstheme="minorBidi"/>
          <w:color w:val="auto"/>
          <w:sz w:val="24"/>
          <w:szCs w:val="24"/>
          <w:lang w:val="en-GB"/>
        </w:rPr>
        <w:t>C2. Reflective analysis: three examples of my AI use</w:t>
      </w:r>
      <w:bookmarkEnd w:id="10"/>
    </w:p>
    <w:p w14:paraId="731B5EA1" w14:textId="77777777" w:rsidR="001A55C0" w:rsidRPr="00126A70" w:rsidRDefault="00307828" w:rsidP="008324AA">
      <w:pPr>
        <w:spacing w:after="0"/>
        <w:rPr>
          <w:rFonts w:asciiTheme="minorBidi" w:hAnsiTheme="minorBidi" w:cstheme="minorBidi"/>
          <w:szCs w:val="24"/>
        </w:rPr>
      </w:pPr>
      <w:r w:rsidRPr="00126A70">
        <w:rPr>
          <w:rFonts w:asciiTheme="minorBidi" w:hAnsiTheme="minorBidi" w:cstheme="minorBidi"/>
          <w:szCs w:val="24"/>
        </w:rPr>
        <w:t xml:space="preserve">For every example, I consider the events leading up to it, how AI supported or hindered me, and what </w:t>
      </w:r>
      <w:r w:rsidR="008A1CA8" w:rsidRPr="00126A70">
        <w:rPr>
          <w:rFonts w:asciiTheme="minorBidi" w:hAnsiTheme="minorBidi" w:cstheme="minorBidi"/>
          <w:szCs w:val="24"/>
        </w:rPr>
        <w:t>I have</w:t>
      </w:r>
      <w:r w:rsidRPr="00126A70">
        <w:rPr>
          <w:rFonts w:asciiTheme="minorBidi" w:hAnsiTheme="minorBidi" w:cstheme="minorBidi"/>
          <w:szCs w:val="24"/>
        </w:rPr>
        <w:t xml:space="preserve"> learned.</w:t>
      </w:r>
    </w:p>
    <w:p w14:paraId="7C0A3527" w14:textId="341B24AD" w:rsidR="001A55C0" w:rsidRPr="00126A70" w:rsidRDefault="008254AA" w:rsidP="008324AA">
      <w:pPr>
        <w:pStyle w:val="ListParagraph"/>
        <w:numPr>
          <w:ilvl w:val="0"/>
          <w:numId w:val="4"/>
        </w:numPr>
        <w:spacing w:after="0"/>
        <w:rPr>
          <w:rFonts w:asciiTheme="minorBidi" w:hAnsiTheme="minorBidi" w:cstheme="minorBidi"/>
          <w:szCs w:val="24"/>
          <w:lang w:val="en-GB"/>
        </w:rPr>
      </w:pPr>
      <w:r w:rsidRPr="00126A70">
        <w:rPr>
          <w:rFonts w:asciiTheme="minorBidi" w:hAnsiTheme="minorBidi" w:cstheme="minorBidi"/>
          <w:b/>
          <w:bCs/>
          <w:szCs w:val="24"/>
          <w:lang w:val="en-GB"/>
        </w:rPr>
        <w:t>Grammar and spelling checking.</w:t>
      </w:r>
      <w:r w:rsidRPr="00126A70">
        <w:rPr>
          <w:rFonts w:asciiTheme="minorBidi" w:hAnsiTheme="minorBidi" w:cstheme="minorBidi"/>
          <w:szCs w:val="24"/>
          <w:lang w:val="en-GB"/>
        </w:rPr>
        <w:t xml:space="preserve"> </w:t>
      </w:r>
      <w:r w:rsidR="00307828" w:rsidRPr="00126A70">
        <w:rPr>
          <w:rFonts w:asciiTheme="minorBidi" w:hAnsiTheme="minorBidi" w:cstheme="minorBidi"/>
          <w:szCs w:val="24"/>
          <w:lang w:val="en-GB"/>
        </w:rPr>
        <w:t xml:space="preserve">I used an AI grammar checker on each draft section. It spotted spelling mistakes and </w:t>
      </w:r>
      <w:r w:rsidR="005B509C" w:rsidRPr="00126A70">
        <w:rPr>
          <w:rFonts w:asciiTheme="minorBidi" w:hAnsiTheme="minorBidi" w:cstheme="minorBidi"/>
          <w:szCs w:val="24"/>
          <w:lang w:val="en-GB"/>
        </w:rPr>
        <w:t>long sentences, which helped me</w:t>
      </w:r>
      <w:r w:rsidR="00307828" w:rsidRPr="00126A70">
        <w:rPr>
          <w:rFonts w:asciiTheme="minorBidi" w:hAnsiTheme="minorBidi" w:cstheme="minorBidi"/>
          <w:szCs w:val="24"/>
          <w:lang w:val="en-GB"/>
        </w:rPr>
        <w:t xml:space="preserve"> improve my writing. However, it sometimes suggested wording that changed the meaning of a research finding, and accepting changes automatically would stop me </w:t>
      </w:r>
      <w:r w:rsidR="008F021C" w:rsidRPr="00126A70">
        <w:rPr>
          <w:rFonts w:asciiTheme="minorBidi" w:hAnsiTheme="minorBidi" w:cstheme="minorBidi"/>
          <w:szCs w:val="24"/>
          <w:lang w:val="en-GB"/>
        </w:rPr>
        <w:t xml:space="preserve">from </w:t>
      </w:r>
      <w:r w:rsidR="00307828" w:rsidRPr="00126A70">
        <w:rPr>
          <w:rFonts w:asciiTheme="minorBidi" w:hAnsiTheme="minorBidi" w:cstheme="minorBidi"/>
          <w:szCs w:val="24"/>
          <w:lang w:val="en-GB"/>
        </w:rPr>
        <w:t>learning from my own mistakes. I had to edit them myself</w:t>
      </w:r>
      <w:r w:rsidR="005B509C" w:rsidRPr="00126A70">
        <w:rPr>
          <w:rFonts w:asciiTheme="minorBidi" w:hAnsiTheme="minorBidi" w:cstheme="minorBidi"/>
          <w:szCs w:val="24"/>
          <w:lang w:val="en-GB"/>
        </w:rPr>
        <w:t xml:space="preserve">, </w:t>
      </w:r>
      <w:r w:rsidR="00D37BA0" w:rsidRPr="00126A70">
        <w:rPr>
          <w:rFonts w:asciiTheme="minorBidi" w:hAnsiTheme="minorBidi" w:cstheme="minorBidi"/>
          <w:szCs w:val="24"/>
          <w:lang w:val="en-GB"/>
        </w:rPr>
        <w:t>which strengthened</w:t>
      </w:r>
      <w:r w:rsidR="00307828" w:rsidRPr="00126A70">
        <w:rPr>
          <w:rFonts w:asciiTheme="minorBidi" w:hAnsiTheme="minorBidi" w:cstheme="minorBidi"/>
          <w:szCs w:val="24"/>
          <w:lang w:val="en-GB"/>
        </w:rPr>
        <w:t xml:space="preserve"> my editing </w:t>
      </w:r>
      <w:r w:rsidR="008F021C" w:rsidRPr="00126A70">
        <w:rPr>
          <w:rFonts w:asciiTheme="minorBidi" w:hAnsiTheme="minorBidi" w:cstheme="minorBidi"/>
          <w:szCs w:val="24"/>
          <w:lang w:val="en-GB"/>
        </w:rPr>
        <w:t>skills</w:t>
      </w:r>
      <w:r w:rsidR="00307828" w:rsidRPr="00126A70">
        <w:rPr>
          <w:rFonts w:asciiTheme="minorBidi" w:hAnsiTheme="minorBidi" w:cstheme="minorBidi"/>
          <w:szCs w:val="24"/>
          <w:lang w:val="en-GB"/>
        </w:rPr>
        <w:t>.</w:t>
      </w:r>
    </w:p>
    <w:p w14:paraId="2EA62450" w14:textId="7DEE7747" w:rsidR="001A55C0" w:rsidRPr="00126A70" w:rsidRDefault="008254AA" w:rsidP="008324AA">
      <w:pPr>
        <w:pStyle w:val="ListParagraph"/>
        <w:numPr>
          <w:ilvl w:val="0"/>
          <w:numId w:val="4"/>
        </w:numPr>
        <w:spacing w:after="0"/>
        <w:rPr>
          <w:rFonts w:asciiTheme="minorBidi" w:hAnsiTheme="minorBidi" w:cstheme="minorBidi"/>
          <w:szCs w:val="24"/>
          <w:lang w:val="en-GB"/>
        </w:rPr>
      </w:pPr>
      <w:r w:rsidRPr="00126A70">
        <w:rPr>
          <w:rFonts w:asciiTheme="minorBidi" w:hAnsiTheme="minorBidi" w:cstheme="minorBidi"/>
          <w:b/>
          <w:bCs/>
          <w:szCs w:val="24"/>
          <w:lang w:val="en-GB"/>
        </w:rPr>
        <w:t>Finding and summarising research sources.</w:t>
      </w:r>
      <w:r w:rsidRPr="00126A70">
        <w:rPr>
          <w:rFonts w:asciiTheme="minorBidi" w:hAnsiTheme="minorBidi" w:cstheme="minorBidi"/>
          <w:szCs w:val="24"/>
          <w:lang w:val="en-GB"/>
        </w:rPr>
        <w:t xml:space="preserve"> </w:t>
      </w:r>
      <w:r w:rsidR="00F146E9" w:rsidRPr="00126A70">
        <w:rPr>
          <w:rFonts w:asciiTheme="minorBidi" w:hAnsiTheme="minorBidi" w:cstheme="minorBidi"/>
          <w:szCs w:val="24"/>
          <w:lang w:val="en-GB"/>
        </w:rPr>
        <w:t>I used AI to find open-access studies from 2021 to 2026 and summarise them. This saved time and enabled the mapping of 21 sources to NHSX's 5 problems. Some summaries</w:t>
      </w:r>
      <w:r w:rsidR="0044183C" w:rsidRPr="00126A70">
        <w:rPr>
          <w:rFonts w:asciiTheme="minorBidi" w:hAnsiTheme="minorBidi" w:cstheme="minorBidi"/>
          <w:szCs w:val="24"/>
          <w:lang w:val="en-GB"/>
        </w:rPr>
        <w:t>, however,</w:t>
      </w:r>
      <w:r w:rsidR="00F146E9" w:rsidRPr="00126A70">
        <w:rPr>
          <w:rFonts w:asciiTheme="minorBidi" w:hAnsiTheme="minorBidi" w:cstheme="minorBidi"/>
          <w:szCs w:val="24"/>
          <w:lang w:val="en-GB"/>
        </w:rPr>
        <w:t xml:space="preserve"> were found lacking</w:t>
      </w:r>
      <w:r w:rsidR="0044183C" w:rsidRPr="00126A70">
        <w:rPr>
          <w:rFonts w:asciiTheme="minorBidi" w:hAnsiTheme="minorBidi" w:cstheme="minorBidi"/>
          <w:szCs w:val="24"/>
          <w:lang w:val="en-GB"/>
        </w:rPr>
        <w:t xml:space="preserve">; </w:t>
      </w:r>
      <w:r w:rsidR="00F146E9" w:rsidRPr="00126A70">
        <w:rPr>
          <w:rFonts w:asciiTheme="minorBidi" w:hAnsiTheme="minorBidi" w:cstheme="minorBidi"/>
          <w:szCs w:val="24"/>
          <w:lang w:val="en-GB"/>
        </w:rPr>
        <w:t xml:space="preserve">one provided incorrect page numbers for Swart, Bond-Barnard and Chugh (2022). Budhwar et al. (2023) </w:t>
      </w:r>
      <w:r w:rsidR="005B509C" w:rsidRPr="00126A70">
        <w:rPr>
          <w:rFonts w:asciiTheme="minorBidi" w:hAnsiTheme="minorBidi" w:cstheme="minorBidi"/>
          <w:szCs w:val="24"/>
          <w:lang w:val="en-GB"/>
        </w:rPr>
        <w:t>correctly suggest that you must verify all facts against the source, which</w:t>
      </w:r>
      <w:r w:rsidR="00F146E9" w:rsidRPr="00126A70">
        <w:rPr>
          <w:rFonts w:asciiTheme="minorBidi" w:hAnsiTheme="minorBidi" w:cstheme="minorBidi"/>
          <w:szCs w:val="24"/>
          <w:lang w:val="en-GB"/>
        </w:rPr>
        <w:t xml:space="preserve"> reinforced my critical evaluation skills.</w:t>
      </w:r>
    </w:p>
    <w:p w14:paraId="36CBD061" w14:textId="77777777" w:rsidR="001A55C0" w:rsidRPr="00126A70" w:rsidRDefault="008254AA" w:rsidP="008324AA">
      <w:pPr>
        <w:pStyle w:val="Heading2"/>
        <w:spacing w:before="0" w:after="0" w:line="480" w:lineRule="auto"/>
        <w:rPr>
          <w:rFonts w:asciiTheme="minorBidi" w:hAnsiTheme="minorBidi" w:cstheme="minorBidi"/>
          <w:color w:val="auto"/>
          <w:sz w:val="24"/>
          <w:szCs w:val="24"/>
          <w:lang w:val="en-GB"/>
        </w:rPr>
      </w:pPr>
      <w:bookmarkStart w:id="11" w:name="_Toc242880507"/>
      <w:r w:rsidRPr="00126A70">
        <w:rPr>
          <w:rFonts w:asciiTheme="minorBidi" w:hAnsiTheme="minorBidi" w:cstheme="minorBidi"/>
          <w:color w:val="auto"/>
          <w:sz w:val="24"/>
          <w:szCs w:val="24"/>
          <w:lang w:val="en-GB"/>
        </w:rPr>
        <w:lastRenderedPageBreak/>
        <w:t>C3. Personal capability development plan</w:t>
      </w:r>
      <w:bookmarkEnd w:id="11"/>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0"/>
        <w:gridCol w:w="3426"/>
        <w:gridCol w:w="1500"/>
        <w:gridCol w:w="2000"/>
      </w:tblGrid>
      <w:tr w:rsidR="001A55C0" w:rsidRPr="00126A70" w14:paraId="0B3F8BFC" w14:textId="77777777">
        <w:trPr>
          <w:tblHeader/>
        </w:trPr>
        <w:tc>
          <w:tcPr>
            <w:tcW w:w="2100" w:type="dxa"/>
            <w:tcBorders>
              <w:top w:val="single" w:sz="4" w:space="0" w:color="A6A6A6"/>
              <w:left w:val="single" w:sz="4" w:space="0" w:color="A6A6A6"/>
              <w:bottom w:val="single" w:sz="4" w:space="0" w:color="A6A6A6"/>
              <w:right w:val="single" w:sz="4" w:space="0" w:color="A6A6A6"/>
            </w:tcBorders>
            <w:shd w:val="clear" w:color="auto" w:fill="1F3864"/>
            <w:tcMar>
              <w:top w:w="80" w:type="dxa"/>
              <w:left w:w="110" w:type="dxa"/>
              <w:bottom w:w="80" w:type="dxa"/>
              <w:right w:w="110" w:type="dxa"/>
            </w:tcMar>
          </w:tcPr>
          <w:p w14:paraId="4405DF5F"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b/>
                <w:bCs/>
                <w:szCs w:val="24"/>
              </w:rPr>
              <w:t>Capability</w:t>
            </w:r>
          </w:p>
        </w:tc>
        <w:tc>
          <w:tcPr>
            <w:tcW w:w="3426" w:type="dxa"/>
            <w:tcBorders>
              <w:top w:val="single" w:sz="4" w:space="0" w:color="A6A6A6"/>
              <w:left w:val="single" w:sz="4" w:space="0" w:color="A6A6A6"/>
              <w:bottom w:val="single" w:sz="4" w:space="0" w:color="A6A6A6"/>
              <w:right w:val="single" w:sz="4" w:space="0" w:color="A6A6A6"/>
            </w:tcBorders>
            <w:shd w:val="clear" w:color="auto" w:fill="1F3864"/>
            <w:tcMar>
              <w:top w:w="80" w:type="dxa"/>
              <w:left w:w="110" w:type="dxa"/>
              <w:bottom w:w="80" w:type="dxa"/>
              <w:right w:w="110" w:type="dxa"/>
            </w:tcMar>
          </w:tcPr>
          <w:p w14:paraId="305719F4"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b/>
                <w:bCs/>
                <w:szCs w:val="24"/>
              </w:rPr>
              <w:t>Action</w:t>
            </w:r>
          </w:p>
        </w:tc>
        <w:tc>
          <w:tcPr>
            <w:tcW w:w="1500" w:type="dxa"/>
            <w:tcBorders>
              <w:top w:val="single" w:sz="4" w:space="0" w:color="A6A6A6"/>
              <w:left w:val="single" w:sz="4" w:space="0" w:color="A6A6A6"/>
              <w:bottom w:val="single" w:sz="4" w:space="0" w:color="A6A6A6"/>
              <w:right w:val="single" w:sz="4" w:space="0" w:color="A6A6A6"/>
            </w:tcBorders>
            <w:shd w:val="clear" w:color="auto" w:fill="1F3864"/>
            <w:tcMar>
              <w:top w:w="80" w:type="dxa"/>
              <w:left w:w="110" w:type="dxa"/>
              <w:bottom w:w="80" w:type="dxa"/>
              <w:right w:w="110" w:type="dxa"/>
            </w:tcMar>
          </w:tcPr>
          <w:p w14:paraId="188B6256"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b/>
                <w:bCs/>
                <w:szCs w:val="24"/>
              </w:rPr>
              <w:t>Timeline</w:t>
            </w:r>
          </w:p>
        </w:tc>
        <w:tc>
          <w:tcPr>
            <w:tcW w:w="2000" w:type="dxa"/>
            <w:tcBorders>
              <w:top w:val="single" w:sz="4" w:space="0" w:color="A6A6A6"/>
              <w:left w:val="single" w:sz="4" w:space="0" w:color="A6A6A6"/>
              <w:bottom w:val="single" w:sz="4" w:space="0" w:color="A6A6A6"/>
              <w:right w:val="single" w:sz="4" w:space="0" w:color="A6A6A6"/>
            </w:tcBorders>
            <w:shd w:val="clear" w:color="auto" w:fill="1F3864"/>
            <w:tcMar>
              <w:top w:w="80" w:type="dxa"/>
              <w:left w:w="110" w:type="dxa"/>
              <w:bottom w:w="80" w:type="dxa"/>
              <w:right w:w="110" w:type="dxa"/>
            </w:tcMar>
          </w:tcPr>
          <w:p w14:paraId="364835AA" w14:textId="77777777" w:rsidR="001A55C0" w:rsidRPr="00126A70" w:rsidRDefault="008254AA" w:rsidP="008324AA">
            <w:pPr>
              <w:spacing w:after="0"/>
              <w:rPr>
                <w:rFonts w:asciiTheme="minorBidi" w:hAnsiTheme="minorBidi" w:cstheme="minorBidi"/>
                <w:szCs w:val="24"/>
              </w:rPr>
            </w:pPr>
            <w:r w:rsidRPr="00126A70">
              <w:rPr>
                <w:rFonts w:asciiTheme="minorBidi" w:hAnsiTheme="minorBidi" w:cstheme="minorBidi"/>
                <w:b/>
                <w:bCs/>
                <w:szCs w:val="24"/>
              </w:rPr>
              <w:t>Evidence of success</w:t>
            </w:r>
          </w:p>
        </w:tc>
      </w:tr>
      <w:tr w:rsidR="00E537E9" w:rsidRPr="00126A70" w14:paraId="4B69B447" w14:textId="77777777">
        <w:tc>
          <w:tcPr>
            <w:tcW w:w="2100"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1FE9F221" w14:textId="77777777" w:rsidR="00E537E9" w:rsidRPr="00126A70" w:rsidRDefault="00E537E9" w:rsidP="00E537E9">
            <w:pPr>
              <w:spacing w:after="0"/>
              <w:rPr>
                <w:rFonts w:asciiTheme="minorBidi" w:hAnsiTheme="minorBidi" w:cstheme="minorBidi"/>
                <w:szCs w:val="24"/>
              </w:rPr>
            </w:pPr>
            <w:r w:rsidRPr="00126A70">
              <w:rPr>
                <w:rFonts w:asciiTheme="minorBidi" w:hAnsiTheme="minorBidi" w:cstheme="minorBidi"/>
                <w:szCs w:val="24"/>
              </w:rPr>
              <w:t>AI and people analytics</w:t>
            </w:r>
          </w:p>
        </w:tc>
        <w:tc>
          <w:tcPr>
            <w:tcW w:w="3426"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6CFA9C93" w14:textId="77777777" w:rsidR="00E537E9" w:rsidRPr="00126A70" w:rsidRDefault="00E537E9" w:rsidP="00E537E9">
            <w:pPr>
              <w:rPr>
                <w:rFonts w:asciiTheme="minorBidi" w:hAnsiTheme="minorBidi" w:cstheme="minorBidi"/>
                <w:szCs w:val="24"/>
              </w:rPr>
            </w:pPr>
            <w:r w:rsidRPr="00126A70">
              <w:rPr>
                <w:rFonts w:asciiTheme="minorBidi" w:hAnsiTheme="minorBidi" w:cstheme="minorBidi"/>
                <w:szCs w:val="24"/>
              </w:rPr>
              <w:t>Take an online HR analytics and responsible AI course.</w:t>
            </w:r>
          </w:p>
        </w:tc>
        <w:tc>
          <w:tcPr>
            <w:tcW w:w="1500"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6555A345" w14:textId="77777777" w:rsidR="00E537E9" w:rsidRPr="00126A70" w:rsidRDefault="00E537E9" w:rsidP="00E537E9">
            <w:pPr>
              <w:spacing w:after="0"/>
              <w:rPr>
                <w:rFonts w:asciiTheme="minorBidi" w:hAnsiTheme="minorBidi" w:cstheme="minorBidi"/>
                <w:szCs w:val="24"/>
              </w:rPr>
            </w:pPr>
            <w:r w:rsidRPr="00126A70">
              <w:rPr>
                <w:rFonts w:asciiTheme="minorBidi" w:hAnsiTheme="minorBidi" w:cstheme="minorBidi"/>
                <w:szCs w:val="24"/>
              </w:rPr>
              <w:t>Within 6 months</w:t>
            </w:r>
          </w:p>
        </w:tc>
        <w:tc>
          <w:tcPr>
            <w:tcW w:w="2000"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21656F40" w14:textId="77777777" w:rsidR="00E537E9" w:rsidRPr="00126A70" w:rsidRDefault="00E537E9" w:rsidP="00E537E9">
            <w:pPr>
              <w:rPr>
                <w:rFonts w:asciiTheme="minorBidi" w:hAnsiTheme="minorBidi" w:cstheme="minorBidi"/>
                <w:szCs w:val="24"/>
              </w:rPr>
            </w:pPr>
            <w:r w:rsidRPr="00126A70">
              <w:rPr>
                <w:rFonts w:asciiTheme="minorBidi" w:hAnsiTheme="minorBidi" w:cstheme="minorBidi"/>
                <w:szCs w:val="24"/>
              </w:rPr>
              <w:t>Certificate and one analytics project</w:t>
            </w:r>
          </w:p>
        </w:tc>
      </w:tr>
      <w:tr w:rsidR="00E537E9" w:rsidRPr="00126A70" w14:paraId="4CA31CFC" w14:textId="77777777">
        <w:tc>
          <w:tcPr>
            <w:tcW w:w="2100" w:type="dxa"/>
            <w:tcBorders>
              <w:top w:val="single" w:sz="4" w:space="0" w:color="A6A6A6"/>
              <w:left w:val="single" w:sz="4" w:space="0" w:color="A6A6A6"/>
              <w:bottom w:val="single" w:sz="4" w:space="0" w:color="A6A6A6"/>
              <w:right w:val="single" w:sz="4" w:space="0" w:color="A6A6A6"/>
            </w:tcBorders>
            <w:shd w:val="clear" w:color="auto" w:fill="EEF2F8"/>
            <w:tcMar>
              <w:top w:w="80" w:type="dxa"/>
              <w:left w:w="110" w:type="dxa"/>
              <w:bottom w:w="80" w:type="dxa"/>
              <w:right w:w="110" w:type="dxa"/>
            </w:tcMar>
          </w:tcPr>
          <w:p w14:paraId="3135F351" w14:textId="77777777" w:rsidR="00E537E9" w:rsidRPr="00126A70" w:rsidRDefault="00E537E9" w:rsidP="00E537E9">
            <w:pPr>
              <w:spacing w:after="0"/>
              <w:rPr>
                <w:rFonts w:asciiTheme="minorBidi" w:hAnsiTheme="minorBidi" w:cstheme="minorBidi"/>
                <w:szCs w:val="24"/>
              </w:rPr>
            </w:pPr>
            <w:r w:rsidRPr="00126A70">
              <w:rPr>
                <w:rFonts w:asciiTheme="minorBidi" w:hAnsiTheme="minorBidi" w:cstheme="minorBidi"/>
                <w:szCs w:val="24"/>
              </w:rPr>
              <w:t>Professional HR knowledge</w:t>
            </w:r>
          </w:p>
        </w:tc>
        <w:tc>
          <w:tcPr>
            <w:tcW w:w="3426" w:type="dxa"/>
            <w:tcBorders>
              <w:top w:val="single" w:sz="4" w:space="0" w:color="A6A6A6"/>
              <w:left w:val="single" w:sz="4" w:space="0" w:color="A6A6A6"/>
              <w:bottom w:val="single" w:sz="4" w:space="0" w:color="A6A6A6"/>
              <w:right w:val="single" w:sz="4" w:space="0" w:color="A6A6A6"/>
            </w:tcBorders>
            <w:shd w:val="clear" w:color="auto" w:fill="EEF2F8"/>
            <w:tcMar>
              <w:top w:w="80" w:type="dxa"/>
              <w:left w:w="110" w:type="dxa"/>
              <w:bottom w:w="80" w:type="dxa"/>
              <w:right w:w="110" w:type="dxa"/>
            </w:tcMar>
          </w:tcPr>
          <w:p w14:paraId="7DC43700" w14:textId="77777777" w:rsidR="00E537E9" w:rsidRPr="00126A70" w:rsidRDefault="00E537E9" w:rsidP="00E537E9">
            <w:pPr>
              <w:rPr>
                <w:rFonts w:asciiTheme="minorBidi" w:hAnsiTheme="minorBidi" w:cstheme="minorBidi"/>
                <w:szCs w:val="24"/>
              </w:rPr>
            </w:pPr>
            <w:r w:rsidRPr="00126A70">
              <w:rPr>
                <w:rFonts w:asciiTheme="minorBidi" w:hAnsiTheme="minorBidi" w:cstheme="minorBidi"/>
                <w:szCs w:val="24"/>
              </w:rPr>
              <w:t>Start a CIPD Level 7 qualification</w:t>
            </w:r>
          </w:p>
        </w:tc>
        <w:tc>
          <w:tcPr>
            <w:tcW w:w="1500" w:type="dxa"/>
            <w:tcBorders>
              <w:top w:val="single" w:sz="4" w:space="0" w:color="A6A6A6"/>
              <w:left w:val="single" w:sz="4" w:space="0" w:color="A6A6A6"/>
              <w:bottom w:val="single" w:sz="4" w:space="0" w:color="A6A6A6"/>
              <w:right w:val="single" w:sz="4" w:space="0" w:color="A6A6A6"/>
            </w:tcBorders>
            <w:shd w:val="clear" w:color="auto" w:fill="EEF2F8"/>
            <w:tcMar>
              <w:top w:w="80" w:type="dxa"/>
              <w:left w:w="110" w:type="dxa"/>
              <w:bottom w:w="80" w:type="dxa"/>
              <w:right w:w="110" w:type="dxa"/>
            </w:tcMar>
          </w:tcPr>
          <w:p w14:paraId="6B7EED43" w14:textId="77777777" w:rsidR="00E537E9" w:rsidRPr="00126A70" w:rsidRDefault="00E537E9" w:rsidP="00E537E9">
            <w:pPr>
              <w:spacing w:after="0"/>
              <w:rPr>
                <w:rFonts w:asciiTheme="minorBidi" w:hAnsiTheme="minorBidi" w:cstheme="minorBidi"/>
                <w:szCs w:val="24"/>
              </w:rPr>
            </w:pPr>
            <w:r w:rsidRPr="00126A70">
              <w:rPr>
                <w:rFonts w:asciiTheme="minorBidi" w:hAnsiTheme="minorBidi" w:cstheme="minorBidi"/>
                <w:szCs w:val="24"/>
              </w:rPr>
              <w:t>Within 12 months</w:t>
            </w:r>
          </w:p>
        </w:tc>
        <w:tc>
          <w:tcPr>
            <w:tcW w:w="2000" w:type="dxa"/>
            <w:tcBorders>
              <w:top w:val="single" w:sz="4" w:space="0" w:color="A6A6A6"/>
              <w:left w:val="single" w:sz="4" w:space="0" w:color="A6A6A6"/>
              <w:bottom w:val="single" w:sz="4" w:space="0" w:color="A6A6A6"/>
              <w:right w:val="single" w:sz="4" w:space="0" w:color="A6A6A6"/>
            </w:tcBorders>
            <w:shd w:val="clear" w:color="auto" w:fill="EEF2F8"/>
            <w:tcMar>
              <w:top w:w="80" w:type="dxa"/>
              <w:left w:w="110" w:type="dxa"/>
              <w:bottom w:w="80" w:type="dxa"/>
              <w:right w:w="110" w:type="dxa"/>
            </w:tcMar>
          </w:tcPr>
          <w:p w14:paraId="7F6123B0" w14:textId="77777777" w:rsidR="00E537E9" w:rsidRPr="00126A70" w:rsidRDefault="00E537E9" w:rsidP="00E537E9">
            <w:pPr>
              <w:rPr>
                <w:rFonts w:asciiTheme="minorBidi" w:hAnsiTheme="minorBidi" w:cstheme="minorBidi"/>
                <w:szCs w:val="24"/>
              </w:rPr>
            </w:pPr>
            <w:r w:rsidRPr="00126A70">
              <w:rPr>
                <w:rFonts w:asciiTheme="minorBidi" w:hAnsiTheme="minorBidi" w:cstheme="minorBidi"/>
                <w:szCs w:val="24"/>
              </w:rPr>
              <w:t>Passed the initial module and enrolled</w:t>
            </w:r>
          </w:p>
        </w:tc>
      </w:tr>
      <w:tr w:rsidR="00E537E9" w:rsidRPr="00126A70" w14:paraId="099AEB5A" w14:textId="77777777">
        <w:tc>
          <w:tcPr>
            <w:tcW w:w="2100"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289BC7BD" w14:textId="77777777" w:rsidR="00E537E9" w:rsidRPr="00126A70" w:rsidRDefault="00E537E9" w:rsidP="00E537E9">
            <w:pPr>
              <w:spacing w:after="0"/>
              <w:rPr>
                <w:rFonts w:asciiTheme="minorBidi" w:hAnsiTheme="minorBidi" w:cstheme="minorBidi"/>
                <w:szCs w:val="24"/>
              </w:rPr>
            </w:pPr>
            <w:r w:rsidRPr="00126A70">
              <w:rPr>
                <w:rFonts w:asciiTheme="minorBidi" w:hAnsiTheme="minorBidi" w:cstheme="minorBidi"/>
                <w:szCs w:val="24"/>
              </w:rPr>
              <w:t>Ethical judgement</w:t>
            </w:r>
          </w:p>
        </w:tc>
        <w:tc>
          <w:tcPr>
            <w:tcW w:w="3426"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7B4A6F7B" w14:textId="77777777" w:rsidR="00E537E9" w:rsidRPr="00126A70" w:rsidRDefault="00E537E9" w:rsidP="00E537E9">
            <w:pPr>
              <w:rPr>
                <w:rFonts w:asciiTheme="minorBidi" w:hAnsiTheme="minorBidi" w:cstheme="minorBidi"/>
                <w:szCs w:val="24"/>
              </w:rPr>
            </w:pPr>
            <w:r w:rsidRPr="00126A70">
              <w:rPr>
                <w:rFonts w:asciiTheme="minorBidi" w:hAnsiTheme="minorBidi" w:cstheme="minorBidi"/>
                <w:szCs w:val="24"/>
              </w:rPr>
              <w:t>Read and understand the CIPD Code of Professional Conduct; discuss cases with a mentor;</w:t>
            </w:r>
          </w:p>
        </w:tc>
        <w:tc>
          <w:tcPr>
            <w:tcW w:w="1500"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71A3A902" w14:textId="77777777" w:rsidR="00E537E9" w:rsidRPr="00126A70" w:rsidRDefault="00E537E9" w:rsidP="00E537E9">
            <w:pPr>
              <w:spacing w:after="0"/>
              <w:rPr>
                <w:rFonts w:asciiTheme="minorBidi" w:hAnsiTheme="minorBidi" w:cstheme="minorBidi"/>
                <w:szCs w:val="24"/>
              </w:rPr>
            </w:pPr>
            <w:r w:rsidRPr="00126A70">
              <w:rPr>
                <w:rFonts w:asciiTheme="minorBidi" w:hAnsiTheme="minorBidi" w:cstheme="minorBidi"/>
                <w:szCs w:val="24"/>
              </w:rPr>
              <w:t>Ongoing, monthly</w:t>
            </w:r>
          </w:p>
        </w:tc>
        <w:tc>
          <w:tcPr>
            <w:tcW w:w="2000"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2E979E26" w14:textId="77777777" w:rsidR="00E537E9" w:rsidRPr="00126A70" w:rsidRDefault="00E537E9" w:rsidP="00E537E9">
            <w:pPr>
              <w:rPr>
                <w:rFonts w:asciiTheme="minorBidi" w:hAnsiTheme="minorBidi" w:cstheme="minorBidi"/>
                <w:szCs w:val="24"/>
              </w:rPr>
            </w:pPr>
            <w:r w:rsidRPr="00126A70">
              <w:rPr>
                <w:rFonts w:asciiTheme="minorBidi" w:hAnsiTheme="minorBidi" w:cstheme="minorBidi"/>
                <w:szCs w:val="24"/>
              </w:rPr>
              <w:t>Reflective log of cases</w:t>
            </w:r>
          </w:p>
        </w:tc>
      </w:tr>
      <w:tr w:rsidR="00E537E9" w:rsidRPr="00126A70" w14:paraId="6CDAE29D" w14:textId="77777777">
        <w:tc>
          <w:tcPr>
            <w:tcW w:w="2100" w:type="dxa"/>
            <w:tcBorders>
              <w:top w:val="single" w:sz="4" w:space="0" w:color="A6A6A6"/>
              <w:left w:val="single" w:sz="4" w:space="0" w:color="A6A6A6"/>
              <w:bottom w:val="single" w:sz="4" w:space="0" w:color="A6A6A6"/>
              <w:right w:val="single" w:sz="4" w:space="0" w:color="A6A6A6"/>
            </w:tcBorders>
            <w:shd w:val="clear" w:color="auto" w:fill="EEF2F8"/>
            <w:tcMar>
              <w:top w:w="80" w:type="dxa"/>
              <w:left w:w="110" w:type="dxa"/>
              <w:bottom w:w="80" w:type="dxa"/>
              <w:right w:w="110" w:type="dxa"/>
            </w:tcMar>
          </w:tcPr>
          <w:p w14:paraId="1743A37B" w14:textId="77777777" w:rsidR="00E537E9" w:rsidRPr="00126A70" w:rsidRDefault="00E537E9" w:rsidP="00E537E9">
            <w:pPr>
              <w:spacing w:after="0"/>
              <w:rPr>
                <w:rFonts w:asciiTheme="minorBidi" w:hAnsiTheme="minorBidi" w:cstheme="minorBidi"/>
                <w:szCs w:val="24"/>
              </w:rPr>
            </w:pPr>
            <w:r w:rsidRPr="00126A70">
              <w:rPr>
                <w:rFonts w:asciiTheme="minorBidi" w:hAnsiTheme="minorBidi" w:cstheme="minorBidi"/>
                <w:szCs w:val="24"/>
              </w:rPr>
              <w:t>Cross-cultural and virtual teamwork</w:t>
            </w:r>
          </w:p>
        </w:tc>
        <w:tc>
          <w:tcPr>
            <w:tcW w:w="3426" w:type="dxa"/>
            <w:tcBorders>
              <w:top w:val="single" w:sz="4" w:space="0" w:color="A6A6A6"/>
              <w:left w:val="single" w:sz="4" w:space="0" w:color="A6A6A6"/>
              <w:bottom w:val="single" w:sz="4" w:space="0" w:color="A6A6A6"/>
              <w:right w:val="single" w:sz="4" w:space="0" w:color="A6A6A6"/>
            </w:tcBorders>
            <w:shd w:val="clear" w:color="auto" w:fill="EEF2F8"/>
            <w:tcMar>
              <w:top w:w="80" w:type="dxa"/>
              <w:left w:w="110" w:type="dxa"/>
              <w:bottom w:w="80" w:type="dxa"/>
              <w:right w:w="110" w:type="dxa"/>
            </w:tcMar>
          </w:tcPr>
          <w:p w14:paraId="18E3599D" w14:textId="77777777" w:rsidR="00E537E9" w:rsidRPr="00126A70" w:rsidRDefault="00E537E9" w:rsidP="00E537E9">
            <w:pPr>
              <w:rPr>
                <w:rFonts w:asciiTheme="minorBidi" w:hAnsiTheme="minorBidi" w:cstheme="minorBidi"/>
                <w:szCs w:val="24"/>
              </w:rPr>
            </w:pPr>
            <w:r w:rsidRPr="00126A70">
              <w:rPr>
                <w:rFonts w:asciiTheme="minorBidi" w:hAnsiTheme="minorBidi" w:cstheme="minorBidi"/>
                <w:szCs w:val="24"/>
              </w:rPr>
              <w:t>Participate in an international project team.</w:t>
            </w:r>
          </w:p>
        </w:tc>
        <w:tc>
          <w:tcPr>
            <w:tcW w:w="1500" w:type="dxa"/>
            <w:tcBorders>
              <w:top w:val="single" w:sz="4" w:space="0" w:color="A6A6A6"/>
              <w:left w:val="single" w:sz="4" w:space="0" w:color="A6A6A6"/>
              <w:bottom w:val="single" w:sz="4" w:space="0" w:color="A6A6A6"/>
              <w:right w:val="single" w:sz="4" w:space="0" w:color="A6A6A6"/>
            </w:tcBorders>
            <w:shd w:val="clear" w:color="auto" w:fill="EEF2F8"/>
            <w:tcMar>
              <w:top w:w="80" w:type="dxa"/>
              <w:left w:w="110" w:type="dxa"/>
              <w:bottom w:w="80" w:type="dxa"/>
              <w:right w:w="110" w:type="dxa"/>
            </w:tcMar>
          </w:tcPr>
          <w:p w14:paraId="64F18ACA" w14:textId="77777777" w:rsidR="00E537E9" w:rsidRPr="00126A70" w:rsidRDefault="00E537E9" w:rsidP="00E537E9">
            <w:pPr>
              <w:spacing w:after="0"/>
              <w:rPr>
                <w:rFonts w:asciiTheme="minorBidi" w:hAnsiTheme="minorBidi" w:cstheme="minorBidi"/>
                <w:szCs w:val="24"/>
              </w:rPr>
            </w:pPr>
            <w:r w:rsidRPr="00126A70">
              <w:rPr>
                <w:rFonts w:asciiTheme="minorBidi" w:hAnsiTheme="minorBidi" w:cstheme="minorBidi"/>
                <w:szCs w:val="24"/>
              </w:rPr>
              <w:t>Within 12 months</w:t>
            </w:r>
          </w:p>
        </w:tc>
        <w:tc>
          <w:tcPr>
            <w:tcW w:w="2000" w:type="dxa"/>
            <w:tcBorders>
              <w:top w:val="single" w:sz="4" w:space="0" w:color="A6A6A6"/>
              <w:left w:val="single" w:sz="4" w:space="0" w:color="A6A6A6"/>
              <w:bottom w:val="single" w:sz="4" w:space="0" w:color="A6A6A6"/>
              <w:right w:val="single" w:sz="4" w:space="0" w:color="A6A6A6"/>
            </w:tcBorders>
            <w:shd w:val="clear" w:color="auto" w:fill="EEF2F8"/>
            <w:tcMar>
              <w:top w:w="80" w:type="dxa"/>
              <w:left w:w="110" w:type="dxa"/>
              <w:bottom w:w="80" w:type="dxa"/>
              <w:right w:w="110" w:type="dxa"/>
            </w:tcMar>
          </w:tcPr>
          <w:p w14:paraId="21664E69" w14:textId="77777777" w:rsidR="00E537E9" w:rsidRPr="00126A70" w:rsidRDefault="00E537E9" w:rsidP="00E537E9">
            <w:pPr>
              <w:rPr>
                <w:rFonts w:asciiTheme="minorBidi" w:hAnsiTheme="minorBidi" w:cstheme="minorBidi"/>
                <w:szCs w:val="24"/>
              </w:rPr>
            </w:pPr>
            <w:r w:rsidRPr="00126A70">
              <w:rPr>
                <w:rFonts w:asciiTheme="minorBidi" w:hAnsiTheme="minorBidi" w:cstheme="minorBidi"/>
                <w:szCs w:val="24"/>
              </w:rPr>
              <w:t>Positive peer feedback</w:t>
            </w:r>
          </w:p>
        </w:tc>
      </w:tr>
      <w:tr w:rsidR="00E537E9" w:rsidRPr="00126A70" w14:paraId="73FB2232" w14:textId="77777777">
        <w:tc>
          <w:tcPr>
            <w:tcW w:w="2100"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2434A463" w14:textId="77777777" w:rsidR="00E537E9" w:rsidRPr="00126A70" w:rsidRDefault="00E537E9" w:rsidP="00E537E9">
            <w:pPr>
              <w:spacing w:after="0"/>
              <w:rPr>
                <w:rFonts w:asciiTheme="minorBidi" w:hAnsiTheme="minorBidi" w:cstheme="minorBidi"/>
                <w:szCs w:val="24"/>
              </w:rPr>
            </w:pPr>
            <w:r w:rsidRPr="00126A70">
              <w:rPr>
                <w:rFonts w:asciiTheme="minorBidi" w:hAnsiTheme="minorBidi" w:cstheme="minorBidi"/>
                <w:szCs w:val="24"/>
              </w:rPr>
              <w:t>Coaching and empathy</w:t>
            </w:r>
          </w:p>
        </w:tc>
        <w:tc>
          <w:tcPr>
            <w:tcW w:w="3426"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12932D7A" w14:textId="77777777" w:rsidR="00E537E9" w:rsidRPr="00126A70" w:rsidRDefault="00E537E9" w:rsidP="00E537E9">
            <w:pPr>
              <w:rPr>
                <w:rFonts w:asciiTheme="minorBidi" w:hAnsiTheme="minorBidi" w:cstheme="minorBidi"/>
                <w:szCs w:val="24"/>
              </w:rPr>
            </w:pPr>
            <w:r w:rsidRPr="00126A70">
              <w:rPr>
                <w:rFonts w:asciiTheme="minorBidi" w:hAnsiTheme="minorBidi" w:cstheme="minorBidi"/>
                <w:szCs w:val="24"/>
              </w:rPr>
              <w:t>Complete a short coaching skills course</w:t>
            </w:r>
          </w:p>
        </w:tc>
        <w:tc>
          <w:tcPr>
            <w:tcW w:w="1500"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33446E0C" w14:textId="77777777" w:rsidR="00E537E9" w:rsidRPr="00126A70" w:rsidRDefault="00E537E9" w:rsidP="00E537E9">
            <w:pPr>
              <w:spacing w:after="0"/>
              <w:rPr>
                <w:rFonts w:asciiTheme="minorBidi" w:hAnsiTheme="minorBidi" w:cstheme="minorBidi"/>
                <w:szCs w:val="24"/>
              </w:rPr>
            </w:pPr>
            <w:r w:rsidRPr="00126A70">
              <w:rPr>
                <w:rFonts w:asciiTheme="minorBidi" w:hAnsiTheme="minorBidi" w:cstheme="minorBidi"/>
                <w:szCs w:val="24"/>
              </w:rPr>
              <w:t>Within 9 months</w:t>
            </w:r>
          </w:p>
        </w:tc>
        <w:tc>
          <w:tcPr>
            <w:tcW w:w="2000" w:type="dxa"/>
            <w:tcBorders>
              <w:top w:val="single" w:sz="4" w:space="0" w:color="A6A6A6"/>
              <w:left w:val="single" w:sz="4" w:space="0" w:color="A6A6A6"/>
              <w:bottom w:val="single" w:sz="4" w:space="0" w:color="A6A6A6"/>
              <w:right w:val="single" w:sz="4" w:space="0" w:color="A6A6A6"/>
            </w:tcBorders>
            <w:tcMar>
              <w:top w:w="80" w:type="dxa"/>
              <w:left w:w="110" w:type="dxa"/>
              <w:bottom w:w="80" w:type="dxa"/>
              <w:right w:w="110" w:type="dxa"/>
            </w:tcMar>
          </w:tcPr>
          <w:p w14:paraId="633E9C32" w14:textId="77777777" w:rsidR="00E537E9" w:rsidRPr="00126A70" w:rsidRDefault="00E537E9" w:rsidP="00E537E9">
            <w:pPr>
              <w:rPr>
                <w:rFonts w:asciiTheme="minorBidi" w:hAnsiTheme="minorBidi" w:cstheme="minorBidi"/>
                <w:szCs w:val="24"/>
              </w:rPr>
            </w:pPr>
            <w:r w:rsidRPr="00126A70">
              <w:rPr>
                <w:rFonts w:asciiTheme="minorBidi" w:hAnsiTheme="minorBidi" w:cstheme="minorBidi"/>
                <w:szCs w:val="24"/>
              </w:rPr>
              <w:t>Coach three colleagues</w:t>
            </w:r>
          </w:p>
        </w:tc>
      </w:tr>
    </w:tbl>
    <w:p w14:paraId="045BD7EC" w14:textId="77777777" w:rsidR="001A55C0" w:rsidRPr="00126A70" w:rsidRDefault="001A55C0" w:rsidP="008324AA">
      <w:pPr>
        <w:spacing w:after="0"/>
        <w:rPr>
          <w:rFonts w:asciiTheme="minorBidi" w:hAnsiTheme="minorBidi" w:cstheme="minorBidi"/>
          <w:szCs w:val="24"/>
        </w:rPr>
      </w:pPr>
    </w:p>
    <w:p w14:paraId="527720AC" w14:textId="2FEA9508" w:rsidR="001A55C0" w:rsidRPr="00126A70" w:rsidRDefault="00F070CE" w:rsidP="008324AA">
      <w:pPr>
        <w:spacing w:after="0"/>
        <w:rPr>
          <w:rFonts w:asciiTheme="minorBidi" w:hAnsiTheme="minorBidi" w:cstheme="minorBidi"/>
          <w:szCs w:val="24"/>
        </w:rPr>
      </w:pPr>
      <w:r w:rsidRPr="00126A70">
        <w:rPr>
          <w:rFonts w:asciiTheme="minorBidi" w:hAnsiTheme="minorBidi" w:cstheme="minorBidi"/>
          <w:szCs w:val="24"/>
        </w:rPr>
        <w:t xml:space="preserve">This plan develops the technical, ethical, and human competencies </w:t>
      </w:r>
      <w:r w:rsidR="00D37BA0" w:rsidRPr="00126A70">
        <w:rPr>
          <w:rFonts w:asciiTheme="minorBidi" w:hAnsiTheme="minorBidi" w:cstheme="minorBidi"/>
          <w:szCs w:val="24"/>
        </w:rPr>
        <w:t xml:space="preserve">employers value today: 66% of leaders would not </w:t>
      </w:r>
      <w:r w:rsidRPr="00126A70">
        <w:rPr>
          <w:rFonts w:asciiTheme="minorBidi" w:hAnsiTheme="minorBidi" w:cstheme="minorBidi"/>
          <w:szCs w:val="24"/>
        </w:rPr>
        <w:t>hire someone without AI skills (Microsoft and LinkedIn, 2024).</w:t>
      </w:r>
    </w:p>
    <w:p w14:paraId="3F2D3935" w14:textId="77777777" w:rsidR="001A55C0" w:rsidRPr="00126A70" w:rsidRDefault="008254AA" w:rsidP="008324AA">
      <w:pPr>
        <w:pStyle w:val="Heading1"/>
        <w:spacing w:before="0" w:after="0"/>
        <w:rPr>
          <w:rFonts w:asciiTheme="minorBidi" w:hAnsiTheme="minorBidi" w:cstheme="minorBidi"/>
          <w:color w:val="auto"/>
          <w:szCs w:val="24"/>
          <w:lang w:val="en-GB"/>
        </w:rPr>
      </w:pPr>
      <w:bookmarkStart w:id="12" w:name="_Toc242880508"/>
      <w:r w:rsidRPr="00126A70">
        <w:rPr>
          <w:rFonts w:asciiTheme="minorBidi" w:hAnsiTheme="minorBidi" w:cstheme="minorBidi"/>
          <w:color w:val="auto"/>
          <w:szCs w:val="24"/>
          <w:lang w:val="en-GB"/>
        </w:rPr>
        <w:lastRenderedPageBreak/>
        <w:t>Conclusion</w:t>
      </w:r>
      <w:bookmarkEnd w:id="12"/>
    </w:p>
    <w:p w14:paraId="44F86E1C" w14:textId="4F7FCBA1" w:rsidR="001A55C0" w:rsidRPr="00126A70" w:rsidRDefault="00B3696A" w:rsidP="005B509C">
      <w:pPr>
        <w:spacing w:after="0"/>
        <w:rPr>
          <w:rFonts w:asciiTheme="minorBidi" w:hAnsiTheme="minorBidi" w:cstheme="minorBidi"/>
          <w:szCs w:val="24"/>
        </w:rPr>
      </w:pPr>
      <w:r w:rsidRPr="00126A70">
        <w:rPr>
          <w:rFonts w:asciiTheme="minorBidi" w:hAnsiTheme="minorBidi" w:cstheme="minorBidi"/>
          <w:szCs w:val="24"/>
        </w:rPr>
        <w:t xml:space="preserve">NHSX's advantage will come from its people, not only its technology. The Connected Squad model eliminates slow </w:t>
      </w:r>
      <w:r w:rsidR="00D37BA0" w:rsidRPr="00126A70">
        <w:rPr>
          <w:rFonts w:asciiTheme="minorBidi" w:hAnsiTheme="minorBidi" w:cstheme="minorBidi"/>
          <w:szCs w:val="24"/>
        </w:rPr>
        <w:t>hierarchies and restores collaboration by establishing structured hybrid work</w:t>
      </w:r>
      <w:r w:rsidRPr="00126A70">
        <w:rPr>
          <w:rFonts w:asciiTheme="minorBidi" w:hAnsiTheme="minorBidi" w:cstheme="minorBidi"/>
          <w:szCs w:val="24"/>
        </w:rPr>
        <w:t xml:space="preserve">. The talent strategy </w:t>
      </w:r>
      <w:r w:rsidR="00D37BA0" w:rsidRPr="00126A70">
        <w:rPr>
          <w:rFonts w:asciiTheme="minorBidi" w:hAnsiTheme="minorBidi" w:cstheme="minorBidi"/>
          <w:szCs w:val="24"/>
        </w:rPr>
        <w:t>focuses on staff safety, learning, and careers, with clear visibility and retention of</w:t>
      </w:r>
      <w:r w:rsidRPr="00126A70">
        <w:rPr>
          <w:rFonts w:asciiTheme="minorBidi" w:hAnsiTheme="minorBidi" w:cstheme="minorBidi"/>
          <w:szCs w:val="24"/>
        </w:rPr>
        <w:t xml:space="preserve"> high performers. AI should support HR decisions, while people keep ethical judgement and empathy. </w:t>
      </w:r>
      <w:r w:rsidR="00D37BA0" w:rsidRPr="00126A70">
        <w:rPr>
          <w:rFonts w:asciiTheme="minorBidi" w:hAnsiTheme="minorBidi" w:cstheme="minorBidi"/>
          <w:szCs w:val="24"/>
        </w:rPr>
        <w:t>The Board should pilot, measure, and scale these changes over 18 months</w:t>
      </w:r>
      <w:r w:rsidRPr="00126A70">
        <w:rPr>
          <w:rFonts w:asciiTheme="minorBidi" w:hAnsiTheme="minorBidi" w:cstheme="minorBidi"/>
          <w:szCs w:val="24"/>
        </w:rPr>
        <w:t>.</w:t>
      </w:r>
    </w:p>
    <w:p w14:paraId="09A5096F" w14:textId="77777777" w:rsidR="0048586B" w:rsidRPr="00D37BA0" w:rsidRDefault="0048586B" w:rsidP="0048586B">
      <w:pPr>
        <w:spacing w:after="0"/>
        <w:rPr>
          <w:rFonts w:cs="Times New Roman"/>
        </w:rPr>
      </w:pPr>
    </w:p>
    <w:p w14:paraId="1B6791F6" w14:textId="77777777" w:rsidR="001A55C0" w:rsidRPr="00D37BA0" w:rsidRDefault="008254AA" w:rsidP="0094190B">
      <w:pPr>
        <w:pStyle w:val="Heading1"/>
        <w:spacing w:before="0" w:after="0"/>
        <w:jc w:val="center"/>
        <w:rPr>
          <w:rFonts w:cs="Times New Roman"/>
          <w:lang w:val="en-GB"/>
        </w:rPr>
      </w:pPr>
      <w:bookmarkStart w:id="13" w:name="_Toc242880509"/>
      <w:r w:rsidRPr="00D37BA0">
        <w:rPr>
          <w:rFonts w:cs="Times New Roman"/>
          <w:lang w:val="en-GB"/>
        </w:rPr>
        <w:t>References</w:t>
      </w:r>
      <w:bookmarkEnd w:id="13"/>
    </w:p>
    <w:p w14:paraId="6F574B67" w14:textId="77777777" w:rsidR="001A55C0" w:rsidRPr="00D37BA0" w:rsidRDefault="008254AA" w:rsidP="0094190B">
      <w:pPr>
        <w:spacing w:after="0"/>
        <w:ind w:left="567" w:hanging="567"/>
        <w:jc w:val="left"/>
        <w:rPr>
          <w:rFonts w:cs="Times New Roman"/>
        </w:rPr>
      </w:pPr>
      <w:r w:rsidRPr="00D37BA0">
        <w:rPr>
          <w:rFonts w:cs="Times New Roman"/>
        </w:rPr>
        <w:t xml:space="preserve">Andrés-Reina, M.P., Díaz-Muñoz, R. and Rodríguez-Fernández, M. (2024) 'Employee experience: a systematic review', </w:t>
      </w:r>
      <w:r w:rsidRPr="00D37BA0">
        <w:rPr>
          <w:rFonts w:cs="Times New Roman"/>
          <w:i/>
          <w:iCs/>
        </w:rPr>
        <w:t>European Public &amp; Social Innovation Review</w:t>
      </w:r>
      <w:r w:rsidRPr="00D37BA0">
        <w:rPr>
          <w:rFonts w:cs="Times New Roman"/>
        </w:rPr>
        <w:t xml:space="preserve">, 9, pp. 1–20. Available at: </w:t>
      </w:r>
      <w:hyperlink r:id="rId9" w:history="1">
        <w:r w:rsidRPr="00D37BA0">
          <w:rPr>
            <w:rStyle w:val="Hyperlink"/>
            <w:rFonts w:cs="Times New Roman"/>
          </w:rPr>
          <w:t>https://doi.org/10.31637/epsir-2024-398</w:t>
        </w:r>
      </w:hyperlink>
      <w:r w:rsidRPr="00D37BA0">
        <w:rPr>
          <w:rFonts w:cs="Times New Roman"/>
        </w:rPr>
        <w:t xml:space="preserve"> (Accessed: 10 October 2026).</w:t>
      </w:r>
    </w:p>
    <w:p w14:paraId="02F4A1BD" w14:textId="77777777" w:rsidR="001A55C0" w:rsidRPr="00D37BA0" w:rsidRDefault="008254AA" w:rsidP="0094190B">
      <w:pPr>
        <w:spacing w:after="0"/>
        <w:ind w:left="567" w:hanging="567"/>
        <w:jc w:val="left"/>
        <w:rPr>
          <w:rFonts w:cs="Times New Roman"/>
        </w:rPr>
      </w:pPr>
      <w:r w:rsidRPr="00D37BA0">
        <w:rPr>
          <w:rFonts w:cs="Times New Roman"/>
        </w:rPr>
        <w:t xml:space="preserve">Bloom, N., Han, R. and Liang, J. (2024) 'Hybrid working from home improves retention without damaging performance', </w:t>
      </w:r>
      <w:r w:rsidRPr="00D37BA0">
        <w:rPr>
          <w:rFonts w:cs="Times New Roman"/>
          <w:i/>
          <w:iCs/>
        </w:rPr>
        <w:t>Nature</w:t>
      </w:r>
      <w:r w:rsidRPr="00D37BA0">
        <w:rPr>
          <w:rFonts w:cs="Times New Roman"/>
        </w:rPr>
        <w:t xml:space="preserve">, 630, pp. 920–925. Available at: </w:t>
      </w:r>
      <w:hyperlink r:id="rId10" w:history="1">
        <w:r w:rsidRPr="00D37BA0">
          <w:rPr>
            <w:rStyle w:val="Hyperlink"/>
            <w:rFonts w:cs="Times New Roman"/>
          </w:rPr>
          <w:t>https://doi.org/10.1038/s41586-024-07500-2</w:t>
        </w:r>
      </w:hyperlink>
      <w:r w:rsidRPr="00D37BA0">
        <w:rPr>
          <w:rFonts w:cs="Times New Roman"/>
        </w:rPr>
        <w:t xml:space="preserve"> (Accessed: 10 October 2026).</w:t>
      </w:r>
    </w:p>
    <w:p w14:paraId="7DED71C0" w14:textId="77777777" w:rsidR="001A55C0" w:rsidRPr="00D37BA0" w:rsidRDefault="008254AA" w:rsidP="0094190B">
      <w:pPr>
        <w:spacing w:after="0"/>
        <w:ind w:left="567" w:hanging="567"/>
        <w:jc w:val="left"/>
        <w:rPr>
          <w:rFonts w:cs="Times New Roman"/>
        </w:rPr>
      </w:pPr>
      <w:r w:rsidRPr="00D37BA0">
        <w:rPr>
          <w:rFonts w:cs="Times New Roman"/>
        </w:rPr>
        <w:t xml:space="preserve">Budhwar, P., Chowdhury, S., Wood, G., Aguinis, H., Bamber, G.J., Beltran, J.R., Boselie, P., Cooke, F.L., Decker, S., DeNisi, A. et al. (2023) 'Human resource management in the age of generative artificial intelligence: perspectives and research directions on ChatGPT', </w:t>
      </w:r>
      <w:r w:rsidRPr="00D37BA0">
        <w:rPr>
          <w:rFonts w:cs="Times New Roman"/>
          <w:i/>
          <w:iCs/>
        </w:rPr>
        <w:t>Human Resource Management Journal</w:t>
      </w:r>
      <w:r w:rsidRPr="00D37BA0">
        <w:rPr>
          <w:rFonts w:cs="Times New Roman"/>
        </w:rPr>
        <w:t xml:space="preserve">, 33(3), pp. 606–659. Available at: </w:t>
      </w:r>
      <w:hyperlink r:id="rId11" w:history="1">
        <w:r w:rsidRPr="00D37BA0">
          <w:rPr>
            <w:rStyle w:val="Hyperlink"/>
            <w:rFonts w:cs="Times New Roman"/>
          </w:rPr>
          <w:t>https://doi.org/10.1111/1748-8583.12524</w:t>
        </w:r>
      </w:hyperlink>
      <w:r w:rsidRPr="00D37BA0">
        <w:rPr>
          <w:rFonts w:cs="Times New Roman"/>
        </w:rPr>
        <w:t xml:space="preserve"> (Accessed: 10 October 2026).</w:t>
      </w:r>
    </w:p>
    <w:p w14:paraId="1931C565" w14:textId="77777777" w:rsidR="001A55C0" w:rsidRPr="00D37BA0" w:rsidRDefault="008254AA" w:rsidP="0094190B">
      <w:pPr>
        <w:spacing w:after="0"/>
        <w:ind w:left="567" w:hanging="567"/>
        <w:jc w:val="left"/>
        <w:rPr>
          <w:rFonts w:cs="Times New Roman"/>
        </w:rPr>
      </w:pPr>
      <w:r w:rsidRPr="00D37BA0">
        <w:rPr>
          <w:rFonts w:cs="Times New Roman"/>
        </w:rPr>
        <w:t xml:space="preserve">CIPD (2025) </w:t>
      </w:r>
      <w:r w:rsidRPr="00D37BA0">
        <w:rPr>
          <w:rFonts w:cs="Times New Roman"/>
          <w:i/>
          <w:iCs/>
        </w:rPr>
        <w:t>Flexible and hybrid working practices in 2025</w:t>
      </w:r>
      <w:r w:rsidRPr="00D37BA0">
        <w:rPr>
          <w:rFonts w:cs="Times New Roman"/>
        </w:rPr>
        <w:t xml:space="preserve">. London: Chartered Institute of Personnel and Development. Available at: </w:t>
      </w:r>
      <w:hyperlink r:id="rId12" w:history="1">
        <w:r w:rsidRPr="00D37BA0">
          <w:rPr>
            <w:rStyle w:val="Hyperlink"/>
            <w:rFonts w:cs="Times New Roman"/>
          </w:rPr>
          <w:t>https://www.cipd.org/en/knowledge/reports/flexible-hybrid-working/</w:t>
        </w:r>
      </w:hyperlink>
      <w:r w:rsidRPr="00D37BA0">
        <w:rPr>
          <w:rFonts w:cs="Times New Roman"/>
        </w:rPr>
        <w:t xml:space="preserve"> (Accessed: 10 October 2026).</w:t>
      </w:r>
    </w:p>
    <w:p w14:paraId="256E7ACD" w14:textId="77777777" w:rsidR="001A55C0" w:rsidRPr="00D37BA0" w:rsidRDefault="008254AA" w:rsidP="0094190B">
      <w:pPr>
        <w:spacing w:after="0"/>
        <w:ind w:left="567" w:hanging="567"/>
        <w:jc w:val="left"/>
        <w:rPr>
          <w:rFonts w:cs="Times New Roman"/>
        </w:rPr>
      </w:pPr>
      <w:r w:rsidRPr="00D37BA0">
        <w:rPr>
          <w:rFonts w:cs="Times New Roman"/>
        </w:rPr>
        <w:lastRenderedPageBreak/>
        <w:t xml:space="preserve">Edmondson, A.C. and Bransby, D.P. (2023) 'Psychological safety comes of age: observed themes in an established literature', </w:t>
      </w:r>
      <w:r w:rsidRPr="00D37BA0">
        <w:rPr>
          <w:rFonts w:cs="Times New Roman"/>
          <w:i/>
          <w:iCs/>
        </w:rPr>
        <w:t xml:space="preserve">Annual Review of </w:t>
      </w:r>
      <w:r w:rsidR="008A1CA8" w:rsidRPr="00D37BA0">
        <w:rPr>
          <w:rFonts w:cs="Times New Roman"/>
          <w:i/>
          <w:iCs/>
        </w:rPr>
        <w:t>Organisational Psychology and Organisational Behaviour</w:t>
      </w:r>
      <w:r w:rsidRPr="00D37BA0">
        <w:rPr>
          <w:rFonts w:cs="Times New Roman"/>
        </w:rPr>
        <w:t xml:space="preserve">, 10, pp. 55–78. Available at: </w:t>
      </w:r>
      <w:hyperlink r:id="rId13" w:history="1">
        <w:r w:rsidRPr="00D37BA0">
          <w:rPr>
            <w:rStyle w:val="Hyperlink"/>
            <w:rFonts w:cs="Times New Roman"/>
          </w:rPr>
          <w:t>https://doi.org/10.1146/annurev-orgpsych-120920-055217</w:t>
        </w:r>
      </w:hyperlink>
      <w:r w:rsidRPr="00D37BA0">
        <w:rPr>
          <w:rFonts w:cs="Times New Roman"/>
        </w:rPr>
        <w:t xml:space="preserve"> (Accessed: 10 October 2026).</w:t>
      </w:r>
    </w:p>
    <w:p w14:paraId="1A69CC6A" w14:textId="77777777" w:rsidR="001A55C0" w:rsidRPr="00D37BA0" w:rsidRDefault="008254AA" w:rsidP="0094190B">
      <w:pPr>
        <w:spacing w:after="0"/>
        <w:ind w:left="567" w:hanging="567"/>
        <w:jc w:val="left"/>
        <w:rPr>
          <w:rFonts w:cs="Times New Roman"/>
        </w:rPr>
      </w:pPr>
      <w:r w:rsidRPr="00D37BA0">
        <w:rPr>
          <w:rFonts w:cs="Times New Roman"/>
        </w:rPr>
        <w:t xml:space="preserve">Ehrnrooth, M., Koveshnikov, A., Wechtler, H. and Hauff, S. (2023) 'High performance work system and transformational leadership: revisiting and questioning their implications for health-related wellbeing', </w:t>
      </w:r>
      <w:r w:rsidRPr="00D37BA0">
        <w:rPr>
          <w:rFonts w:cs="Times New Roman"/>
          <w:i/>
          <w:iCs/>
        </w:rPr>
        <w:t>Frontiers in Psychology</w:t>
      </w:r>
      <w:r w:rsidRPr="00D37BA0">
        <w:rPr>
          <w:rFonts w:cs="Times New Roman"/>
        </w:rPr>
        <w:t xml:space="preserve">, 14, 1072065. Available at: </w:t>
      </w:r>
      <w:hyperlink r:id="rId14" w:history="1">
        <w:r w:rsidRPr="00D37BA0">
          <w:rPr>
            <w:rStyle w:val="Hyperlink"/>
            <w:rFonts w:cs="Times New Roman"/>
          </w:rPr>
          <w:t>https://doi.org/10.3389/fpsyg.2023.1072065</w:t>
        </w:r>
      </w:hyperlink>
      <w:r w:rsidRPr="00D37BA0">
        <w:rPr>
          <w:rFonts w:cs="Times New Roman"/>
        </w:rPr>
        <w:t xml:space="preserve"> (Accessed: 10 October 2026).</w:t>
      </w:r>
    </w:p>
    <w:p w14:paraId="67D3ABFD" w14:textId="77777777" w:rsidR="001A55C0" w:rsidRPr="00D37BA0" w:rsidRDefault="008254AA" w:rsidP="0094190B">
      <w:pPr>
        <w:spacing w:after="0"/>
        <w:ind w:left="567" w:hanging="567"/>
        <w:jc w:val="left"/>
        <w:rPr>
          <w:rFonts w:cs="Times New Roman"/>
        </w:rPr>
      </w:pPr>
      <w:r w:rsidRPr="00D37BA0">
        <w:rPr>
          <w:rFonts w:cs="Times New Roman"/>
        </w:rPr>
        <w:t xml:space="preserve">Elsayed, A.M., Zhao, B., Goda, A.E. and Elsetouhi, A.M. (2023) 'The role of error risk taking and perceived </w:t>
      </w:r>
      <w:r w:rsidR="008A1CA8" w:rsidRPr="00D37BA0">
        <w:rPr>
          <w:rFonts w:cs="Times New Roman"/>
        </w:rPr>
        <w:t>organisational innovation climate in the relationship between perceived psychological safety and innovative work behaviour</w:t>
      </w:r>
      <w:r w:rsidRPr="00D37BA0">
        <w:rPr>
          <w:rFonts w:cs="Times New Roman"/>
        </w:rPr>
        <w:t xml:space="preserve">: a moderated mediation model', </w:t>
      </w:r>
      <w:r w:rsidRPr="00D37BA0">
        <w:rPr>
          <w:rFonts w:cs="Times New Roman"/>
          <w:i/>
          <w:iCs/>
        </w:rPr>
        <w:t>Frontiers in Psychology</w:t>
      </w:r>
      <w:r w:rsidRPr="00D37BA0">
        <w:rPr>
          <w:rFonts w:cs="Times New Roman"/>
        </w:rPr>
        <w:t xml:space="preserve">, 14, 1042911. Available at: </w:t>
      </w:r>
      <w:hyperlink r:id="rId15" w:history="1">
        <w:r w:rsidRPr="00D37BA0">
          <w:rPr>
            <w:rStyle w:val="Hyperlink"/>
            <w:rFonts w:cs="Times New Roman"/>
          </w:rPr>
          <w:t>https://doi.org/10.3389/fpsyg.2023.1042911</w:t>
        </w:r>
      </w:hyperlink>
      <w:r w:rsidRPr="00D37BA0">
        <w:rPr>
          <w:rFonts w:cs="Times New Roman"/>
        </w:rPr>
        <w:t xml:space="preserve"> (Accessed: 10 October 2026).</w:t>
      </w:r>
    </w:p>
    <w:p w14:paraId="3E79EC91" w14:textId="77777777" w:rsidR="001A55C0" w:rsidRPr="00D37BA0" w:rsidRDefault="008254AA" w:rsidP="0094190B">
      <w:pPr>
        <w:spacing w:after="0"/>
        <w:ind w:left="567" w:hanging="567"/>
        <w:jc w:val="left"/>
        <w:rPr>
          <w:rFonts w:cs="Times New Roman"/>
        </w:rPr>
      </w:pPr>
      <w:r w:rsidRPr="00D37BA0">
        <w:rPr>
          <w:rFonts w:cs="Times New Roman"/>
        </w:rPr>
        <w:t xml:space="preserve">Jiang, D., Zhang, Y., Zhu, H. and Wang, X. (2024) 'Effect of empowerment: how and when do high-involvement work practices influence elder employees' innovative performance?', </w:t>
      </w:r>
      <w:r w:rsidRPr="00D37BA0">
        <w:rPr>
          <w:rFonts w:cs="Times New Roman"/>
          <w:i/>
          <w:iCs/>
        </w:rPr>
        <w:t>Frontiers in Psychology</w:t>
      </w:r>
      <w:r w:rsidRPr="00D37BA0">
        <w:rPr>
          <w:rFonts w:cs="Times New Roman"/>
        </w:rPr>
        <w:t xml:space="preserve">, 15, 1336120. Available at: </w:t>
      </w:r>
      <w:hyperlink r:id="rId16" w:history="1">
        <w:r w:rsidRPr="00D37BA0">
          <w:rPr>
            <w:rStyle w:val="Hyperlink"/>
            <w:rFonts w:cs="Times New Roman"/>
          </w:rPr>
          <w:t>https://doi.org/10.3389/fpsyg.2024.1336120</w:t>
        </w:r>
      </w:hyperlink>
      <w:r w:rsidRPr="00D37BA0">
        <w:rPr>
          <w:rFonts w:cs="Times New Roman"/>
        </w:rPr>
        <w:t xml:space="preserve"> (Accessed: 10 October 2026).</w:t>
      </w:r>
    </w:p>
    <w:p w14:paraId="6675407A" w14:textId="77777777" w:rsidR="001A55C0" w:rsidRPr="00D37BA0" w:rsidRDefault="008254AA" w:rsidP="0094190B">
      <w:pPr>
        <w:spacing w:after="0"/>
        <w:ind w:left="567" w:hanging="567"/>
        <w:jc w:val="left"/>
        <w:rPr>
          <w:rFonts w:cs="Times New Roman"/>
        </w:rPr>
      </w:pPr>
      <w:r w:rsidRPr="00D37BA0">
        <w:rPr>
          <w:rFonts w:cs="Times New Roman"/>
        </w:rPr>
        <w:t xml:space="preserve">Junker, T.L., Bakker, A.B., Gorgievski, M.J. and Derks, D. (2022) 'Agile work practices and employee proactivity: a multilevel study', </w:t>
      </w:r>
      <w:r w:rsidRPr="00D37BA0">
        <w:rPr>
          <w:rFonts w:cs="Times New Roman"/>
          <w:i/>
          <w:iCs/>
        </w:rPr>
        <w:t>Human Relations</w:t>
      </w:r>
      <w:r w:rsidRPr="00D37BA0">
        <w:rPr>
          <w:rFonts w:cs="Times New Roman"/>
        </w:rPr>
        <w:t xml:space="preserve">, 75(12). Available at: </w:t>
      </w:r>
      <w:hyperlink r:id="rId17" w:history="1">
        <w:r w:rsidRPr="00D37BA0">
          <w:rPr>
            <w:rStyle w:val="Hyperlink"/>
            <w:rFonts w:cs="Times New Roman"/>
          </w:rPr>
          <w:t>https://doi.org/10.1177/00187267211030101</w:t>
        </w:r>
      </w:hyperlink>
      <w:r w:rsidRPr="00D37BA0">
        <w:rPr>
          <w:rFonts w:cs="Times New Roman"/>
        </w:rPr>
        <w:t xml:space="preserve"> (Accessed: 10 October 2026).</w:t>
      </w:r>
    </w:p>
    <w:p w14:paraId="3B37854D" w14:textId="77777777" w:rsidR="001A55C0" w:rsidRPr="00D37BA0" w:rsidRDefault="008254AA" w:rsidP="0094190B">
      <w:pPr>
        <w:spacing w:after="0"/>
        <w:ind w:left="567" w:hanging="567"/>
        <w:jc w:val="left"/>
        <w:rPr>
          <w:rFonts w:cs="Times New Roman"/>
        </w:rPr>
      </w:pPr>
      <w:r w:rsidRPr="00D37BA0">
        <w:rPr>
          <w:rFonts w:cs="Times New Roman"/>
        </w:rPr>
        <w:t xml:space="preserve">LinkedIn Learning (2024) </w:t>
      </w:r>
      <w:r w:rsidRPr="00D37BA0">
        <w:rPr>
          <w:rFonts w:cs="Times New Roman"/>
          <w:i/>
          <w:iCs/>
        </w:rPr>
        <w:t>Workplace Learning Report 2024: L&amp;D powers the AI future</w:t>
      </w:r>
      <w:r w:rsidRPr="00D37BA0">
        <w:rPr>
          <w:rFonts w:cs="Times New Roman"/>
        </w:rPr>
        <w:t xml:space="preserve">. LinkedIn. Available at: </w:t>
      </w:r>
      <w:hyperlink r:id="rId18" w:history="1">
        <w:r w:rsidRPr="00D37BA0">
          <w:rPr>
            <w:rStyle w:val="Hyperlink"/>
            <w:rFonts w:cs="Times New Roman"/>
          </w:rPr>
          <w:t>https://learning.linkedin.com/resources/workplace-learning-report-2024</w:t>
        </w:r>
      </w:hyperlink>
      <w:r w:rsidRPr="00D37BA0">
        <w:rPr>
          <w:rFonts w:cs="Times New Roman"/>
        </w:rPr>
        <w:t xml:space="preserve"> (Accessed: 10 October 2026).</w:t>
      </w:r>
    </w:p>
    <w:p w14:paraId="5C01B3E9" w14:textId="77777777" w:rsidR="001A55C0" w:rsidRPr="00D37BA0" w:rsidRDefault="008254AA" w:rsidP="0094190B">
      <w:pPr>
        <w:spacing w:after="0"/>
        <w:ind w:left="567" w:hanging="567"/>
        <w:jc w:val="left"/>
        <w:rPr>
          <w:rFonts w:cs="Times New Roman"/>
        </w:rPr>
      </w:pPr>
      <w:r w:rsidRPr="00D37BA0">
        <w:rPr>
          <w:rFonts w:cs="Times New Roman"/>
        </w:rPr>
        <w:lastRenderedPageBreak/>
        <w:t xml:space="preserve">Liu, Q. and Tong, Y. (2022) 'Employee growth mindset and innovative </w:t>
      </w:r>
      <w:r w:rsidR="008A1CA8" w:rsidRPr="00D37BA0">
        <w:rPr>
          <w:rFonts w:cs="Times New Roman"/>
        </w:rPr>
        <w:t>behaviour</w:t>
      </w:r>
      <w:r w:rsidRPr="00D37BA0">
        <w:rPr>
          <w:rFonts w:cs="Times New Roman"/>
        </w:rPr>
        <w:t xml:space="preserve">: the roles of employee strengths use and strengths-based leadership', </w:t>
      </w:r>
      <w:r w:rsidRPr="00D37BA0">
        <w:rPr>
          <w:rFonts w:cs="Times New Roman"/>
          <w:i/>
          <w:iCs/>
        </w:rPr>
        <w:t>Frontiers in Psychology</w:t>
      </w:r>
      <w:r w:rsidRPr="00D37BA0">
        <w:rPr>
          <w:rFonts w:cs="Times New Roman"/>
        </w:rPr>
        <w:t xml:space="preserve">, 13, 814154. Available at: </w:t>
      </w:r>
      <w:hyperlink r:id="rId19" w:history="1">
        <w:r w:rsidRPr="00D37BA0">
          <w:rPr>
            <w:rStyle w:val="Hyperlink"/>
            <w:rFonts w:cs="Times New Roman"/>
          </w:rPr>
          <w:t>https://doi.org/10.3389/fpsyg.2022.814154</w:t>
        </w:r>
      </w:hyperlink>
      <w:r w:rsidRPr="00D37BA0">
        <w:rPr>
          <w:rFonts w:cs="Times New Roman"/>
        </w:rPr>
        <w:t xml:space="preserve"> (Accessed: 10 October 2026).</w:t>
      </w:r>
    </w:p>
    <w:p w14:paraId="485FE2C9" w14:textId="77777777" w:rsidR="001A55C0" w:rsidRPr="00D37BA0" w:rsidRDefault="008254AA" w:rsidP="0094190B">
      <w:pPr>
        <w:spacing w:after="0"/>
        <w:ind w:left="567" w:hanging="567"/>
        <w:jc w:val="left"/>
        <w:rPr>
          <w:rFonts w:cs="Times New Roman"/>
        </w:rPr>
      </w:pPr>
      <w:r w:rsidRPr="00D37BA0">
        <w:rPr>
          <w:rFonts w:cs="Times New Roman"/>
        </w:rPr>
        <w:t xml:space="preserve">Lopper, E., Milius, M., Reis, D., Nitz, S. and Hoppe, A. (2023) 'Weekly reciprocal relationships between job crafting, work engagement, and performance: a within-person approach', </w:t>
      </w:r>
      <w:r w:rsidRPr="00D37BA0">
        <w:rPr>
          <w:rFonts w:cs="Times New Roman"/>
          <w:i/>
          <w:iCs/>
        </w:rPr>
        <w:t xml:space="preserve">Frontiers in </w:t>
      </w:r>
      <w:r w:rsidR="008A1CA8" w:rsidRPr="00D37BA0">
        <w:rPr>
          <w:rFonts w:cs="Times New Roman"/>
          <w:i/>
          <w:iCs/>
        </w:rPr>
        <w:t>Organisational</w:t>
      </w:r>
      <w:r w:rsidRPr="00D37BA0">
        <w:rPr>
          <w:rFonts w:cs="Times New Roman"/>
          <w:i/>
          <w:iCs/>
        </w:rPr>
        <w:t xml:space="preserve"> Psychology</w:t>
      </w:r>
      <w:r w:rsidRPr="00D37BA0">
        <w:rPr>
          <w:rFonts w:cs="Times New Roman"/>
        </w:rPr>
        <w:t xml:space="preserve">, 1, 1200117. Available at: </w:t>
      </w:r>
      <w:hyperlink r:id="rId20" w:history="1">
        <w:r w:rsidRPr="00D37BA0">
          <w:rPr>
            <w:rStyle w:val="Hyperlink"/>
            <w:rFonts w:cs="Times New Roman"/>
          </w:rPr>
          <w:t>https://doi.org/10.3389/forgp.2023.1200117</w:t>
        </w:r>
      </w:hyperlink>
      <w:r w:rsidRPr="00D37BA0">
        <w:rPr>
          <w:rFonts w:cs="Times New Roman"/>
        </w:rPr>
        <w:t xml:space="preserve"> (Accessed: 10 October 2026).</w:t>
      </w:r>
    </w:p>
    <w:p w14:paraId="218C1D80" w14:textId="77777777" w:rsidR="001A55C0" w:rsidRPr="00D37BA0" w:rsidRDefault="008254AA" w:rsidP="0094190B">
      <w:pPr>
        <w:spacing w:after="0"/>
        <w:ind w:left="567" w:hanging="567"/>
        <w:jc w:val="left"/>
        <w:rPr>
          <w:rFonts w:cs="Times New Roman"/>
        </w:rPr>
      </w:pPr>
      <w:r w:rsidRPr="00D37BA0">
        <w:rPr>
          <w:rFonts w:cs="Times New Roman"/>
        </w:rPr>
        <w:t xml:space="preserve">Microsoft and LinkedIn (2024) </w:t>
      </w:r>
      <w:r w:rsidRPr="00D37BA0">
        <w:rPr>
          <w:rFonts w:cs="Times New Roman"/>
          <w:i/>
          <w:iCs/>
        </w:rPr>
        <w:t>2024 Work Trend Index Annual Report: AI at work is here. Now comes the hard part</w:t>
      </w:r>
      <w:r w:rsidRPr="00D37BA0">
        <w:rPr>
          <w:rFonts w:cs="Times New Roman"/>
        </w:rPr>
        <w:t xml:space="preserve">. Microsoft WorkLab. Available at: </w:t>
      </w:r>
      <w:hyperlink r:id="rId21" w:history="1">
        <w:r w:rsidRPr="00D37BA0">
          <w:rPr>
            <w:rStyle w:val="Hyperlink"/>
            <w:rFonts w:cs="Times New Roman"/>
          </w:rPr>
          <w:t>https://www.microsoft.com/en-us/worklab/work-trend-index/ai-at-work-is-here-now-comes-the-hard-part</w:t>
        </w:r>
      </w:hyperlink>
      <w:r w:rsidRPr="00D37BA0">
        <w:rPr>
          <w:rFonts w:cs="Times New Roman"/>
        </w:rPr>
        <w:t xml:space="preserve"> (Accessed: 10 October 2026).</w:t>
      </w:r>
    </w:p>
    <w:p w14:paraId="1754813B" w14:textId="77777777" w:rsidR="001A55C0" w:rsidRPr="00D37BA0" w:rsidRDefault="008254AA" w:rsidP="0094190B">
      <w:pPr>
        <w:spacing w:after="0"/>
        <w:ind w:left="567" w:hanging="567"/>
        <w:jc w:val="left"/>
        <w:rPr>
          <w:rFonts w:cs="Times New Roman"/>
        </w:rPr>
      </w:pPr>
      <w:r w:rsidRPr="00D37BA0">
        <w:rPr>
          <w:rFonts w:cs="Times New Roman"/>
        </w:rPr>
        <w:t xml:space="preserve">Mohammad, S., Sağsan, M. and Şeşen, H. (2024) 'The impact of "learning </w:t>
      </w:r>
      <w:r w:rsidR="008A1CA8" w:rsidRPr="00D37BA0">
        <w:rPr>
          <w:rFonts w:cs="Times New Roman"/>
        </w:rPr>
        <w:t>organisations</w:t>
      </w:r>
      <w:r w:rsidRPr="00D37BA0">
        <w:rPr>
          <w:rFonts w:cs="Times New Roman"/>
        </w:rPr>
        <w:t xml:space="preserve">" on innovation: the mediating role of "employee resilience" and work engagement', </w:t>
      </w:r>
      <w:r w:rsidRPr="00D37BA0">
        <w:rPr>
          <w:rFonts w:cs="Times New Roman"/>
          <w:i/>
          <w:iCs/>
        </w:rPr>
        <w:t>SAGE Open</w:t>
      </w:r>
      <w:r w:rsidRPr="00D37BA0">
        <w:rPr>
          <w:rFonts w:cs="Times New Roman"/>
        </w:rPr>
        <w:t xml:space="preserve">, 14(4). Available at: </w:t>
      </w:r>
      <w:hyperlink r:id="rId22" w:history="1">
        <w:r w:rsidRPr="00D37BA0">
          <w:rPr>
            <w:rStyle w:val="Hyperlink"/>
            <w:rFonts w:cs="Times New Roman"/>
          </w:rPr>
          <w:t>https://doi.org/10.1177/21582440241289185</w:t>
        </w:r>
      </w:hyperlink>
      <w:r w:rsidRPr="00D37BA0">
        <w:rPr>
          <w:rFonts w:cs="Times New Roman"/>
        </w:rPr>
        <w:t xml:space="preserve"> (Accessed: 10 October 2026).</w:t>
      </w:r>
    </w:p>
    <w:p w14:paraId="1FEE8416" w14:textId="77777777" w:rsidR="001A55C0" w:rsidRPr="00D37BA0" w:rsidRDefault="008254AA" w:rsidP="0094190B">
      <w:pPr>
        <w:spacing w:after="0"/>
        <w:ind w:left="567" w:hanging="567"/>
        <w:jc w:val="left"/>
        <w:rPr>
          <w:rFonts w:cs="Times New Roman"/>
        </w:rPr>
      </w:pPr>
      <w:r w:rsidRPr="00D37BA0">
        <w:rPr>
          <w:rFonts w:cs="Times New Roman"/>
        </w:rPr>
        <w:t xml:space="preserve">Oeij, P.R.A., Dhondt, S. and Vaas, F. (2025) 'SMART work design and modern sociotechnical theory: a marriage made in heaven?', </w:t>
      </w:r>
      <w:r w:rsidRPr="00D37BA0">
        <w:rPr>
          <w:rFonts w:cs="Times New Roman"/>
          <w:i/>
          <w:iCs/>
        </w:rPr>
        <w:t>European Journal of Workplace Innovation</w:t>
      </w:r>
      <w:r w:rsidRPr="00D37BA0">
        <w:rPr>
          <w:rFonts w:cs="Times New Roman"/>
        </w:rPr>
        <w:t xml:space="preserve">, 10(1), pp. 7–33. Available at: </w:t>
      </w:r>
      <w:hyperlink r:id="rId23" w:history="1">
        <w:r w:rsidRPr="00D37BA0">
          <w:rPr>
            <w:rStyle w:val="Hyperlink"/>
            <w:rFonts w:cs="Times New Roman"/>
          </w:rPr>
          <w:t>https://publications.tno.nl/publication/34644496/31ko9wsK/oeij-2025-smart.pdf</w:t>
        </w:r>
      </w:hyperlink>
      <w:r w:rsidRPr="00D37BA0">
        <w:rPr>
          <w:rFonts w:cs="Times New Roman"/>
        </w:rPr>
        <w:t xml:space="preserve"> (Accessed: 10 October 2026).</w:t>
      </w:r>
    </w:p>
    <w:p w14:paraId="1C4DF6B1" w14:textId="77777777" w:rsidR="001A55C0" w:rsidRPr="00D37BA0" w:rsidRDefault="008254AA" w:rsidP="0094190B">
      <w:pPr>
        <w:spacing w:after="0"/>
        <w:ind w:left="567" w:hanging="567"/>
        <w:jc w:val="left"/>
        <w:rPr>
          <w:rFonts w:cs="Times New Roman"/>
        </w:rPr>
      </w:pPr>
      <w:r w:rsidRPr="00D37BA0">
        <w:rPr>
          <w:rFonts w:cs="Times New Roman"/>
        </w:rPr>
        <w:t xml:space="preserve">Rodgers, W., Murray, J.M., Stefanidis, A., Degbey, W.Y. and Tarba, S.Y. (2023) 'An artificial intelligence algorithmic approach to ethical decision-making in human resource management processes', </w:t>
      </w:r>
      <w:r w:rsidRPr="00D37BA0">
        <w:rPr>
          <w:rFonts w:cs="Times New Roman"/>
          <w:i/>
          <w:iCs/>
        </w:rPr>
        <w:t>Human Resource Management Review</w:t>
      </w:r>
      <w:r w:rsidRPr="00D37BA0">
        <w:rPr>
          <w:rFonts w:cs="Times New Roman"/>
        </w:rPr>
        <w:t xml:space="preserve">, 33(1), </w:t>
      </w:r>
      <w:r w:rsidRPr="00D37BA0">
        <w:rPr>
          <w:rFonts w:cs="Times New Roman"/>
        </w:rPr>
        <w:lastRenderedPageBreak/>
        <w:t xml:space="preserve">100925. Available at: </w:t>
      </w:r>
      <w:hyperlink r:id="rId24" w:history="1">
        <w:r w:rsidRPr="00D37BA0">
          <w:rPr>
            <w:rStyle w:val="Hyperlink"/>
            <w:rFonts w:cs="Times New Roman"/>
          </w:rPr>
          <w:t>https://doi.org/10.1016/j.hrmr.2022.100925</w:t>
        </w:r>
      </w:hyperlink>
      <w:r w:rsidRPr="00D37BA0">
        <w:rPr>
          <w:rFonts w:cs="Times New Roman"/>
        </w:rPr>
        <w:t xml:space="preserve"> (Accessed: 10 October 2026).</w:t>
      </w:r>
    </w:p>
    <w:p w14:paraId="75FDAEB4" w14:textId="77777777" w:rsidR="001A55C0" w:rsidRPr="00D37BA0" w:rsidRDefault="008254AA" w:rsidP="0094190B">
      <w:pPr>
        <w:spacing w:after="0"/>
        <w:ind w:left="567" w:hanging="567"/>
        <w:jc w:val="left"/>
        <w:rPr>
          <w:rFonts w:cs="Times New Roman"/>
        </w:rPr>
      </w:pPr>
      <w:r w:rsidRPr="00D37BA0">
        <w:rPr>
          <w:rFonts w:cs="Times New Roman"/>
        </w:rPr>
        <w:t xml:space="preserve">Sinisterra, L., Peñalver, J. and Salanova, M. (2024) 'Connecting the </w:t>
      </w:r>
      <w:r w:rsidR="008A1CA8" w:rsidRPr="00D37BA0">
        <w:rPr>
          <w:rFonts w:cs="Times New Roman"/>
        </w:rPr>
        <w:t>organisational</w:t>
      </w:r>
      <w:r w:rsidRPr="00D37BA0">
        <w:rPr>
          <w:rFonts w:cs="Times New Roman"/>
        </w:rPr>
        <w:t xml:space="preserve"> incomes and outcomes: a systematic review of the relationship between talent management, employee engagement, and turnover intention', </w:t>
      </w:r>
      <w:r w:rsidRPr="00D37BA0">
        <w:rPr>
          <w:rFonts w:cs="Times New Roman"/>
          <w:i/>
          <w:iCs/>
        </w:rPr>
        <w:t>Frontiers in Psychology</w:t>
      </w:r>
      <w:r w:rsidRPr="00D37BA0">
        <w:rPr>
          <w:rFonts w:cs="Times New Roman"/>
        </w:rPr>
        <w:t xml:space="preserve">, 15, 1439127. Available at: </w:t>
      </w:r>
      <w:hyperlink r:id="rId25" w:history="1">
        <w:r w:rsidRPr="00D37BA0">
          <w:rPr>
            <w:rStyle w:val="Hyperlink"/>
            <w:rFonts w:cs="Times New Roman"/>
          </w:rPr>
          <w:t>https://doi.org/10.3389/fpsyg.2024.1439127</w:t>
        </w:r>
      </w:hyperlink>
      <w:r w:rsidRPr="00D37BA0">
        <w:rPr>
          <w:rFonts w:cs="Times New Roman"/>
        </w:rPr>
        <w:t xml:space="preserve"> (Accessed: 10 October 2026).</w:t>
      </w:r>
    </w:p>
    <w:p w14:paraId="20241765" w14:textId="77777777" w:rsidR="001A55C0" w:rsidRPr="00D37BA0" w:rsidRDefault="008254AA" w:rsidP="0094190B">
      <w:pPr>
        <w:spacing w:after="0"/>
        <w:ind w:left="567" w:hanging="567"/>
        <w:jc w:val="left"/>
        <w:rPr>
          <w:rFonts w:cs="Times New Roman"/>
        </w:rPr>
      </w:pPr>
      <w:r w:rsidRPr="00D37BA0">
        <w:rPr>
          <w:rFonts w:cs="Times New Roman"/>
        </w:rPr>
        <w:t xml:space="preserve">Swart, K., Bond-Barnard, T. and Chugh, R. (2022) 'Challenges and critical success factors of digital communication, collaboration and knowledge sharing in project management virtual teams: a review', </w:t>
      </w:r>
      <w:r w:rsidRPr="00D37BA0">
        <w:rPr>
          <w:rFonts w:cs="Times New Roman"/>
          <w:i/>
          <w:iCs/>
        </w:rPr>
        <w:t>International Journal of Information Systems and Project Management</w:t>
      </w:r>
      <w:r w:rsidRPr="00D37BA0">
        <w:rPr>
          <w:rFonts w:cs="Times New Roman"/>
        </w:rPr>
        <w:t xml:space="preserve">, 10(4), pp. 59–75. Available at: </w:t>
      </w:r>
      <w:hyperlink r:id="rId26" w:history="1">
        <w:r w:rsidRPr="00D37BA0">
          <w:rPr>
            <w:rStyle w:val="Hyperlink"/>
            <w:rFonts w:cs="Times New Roman"/>
          </w:rPr>
          <w:t>https://doi.org/10.12821/ijispm100404</w:t>
        </w:r>
      </w:hyperlink>
      <w:r w:rsidRPr="00D37BA0">
        <w:rPr>
          <w:rFonts w:cs="Times New Roman"/>
        </w:rPr>
        <w:t xml:space="preserve"> (Accessed: 10 October 2026).</w:t>
      </w:r>
    </w:p>
    <w:p w14:paraId="23A235AA" w14:textId="77777777" w:rsidR="001A55C0" w:rsidRPr="00D37BA0" w:rsidRDefault="008254AA" w:rsidP="0094190B">
      <w:pPr>
        <w:spacing w:after="0"/>
        <w:ind w:left="567" w:hanging="567"/>
        <w:jc w:val="left"/>
        <w:rPr>
          <w:rFonts w:cs="Times New Roman"/>
        </w:rPr>
      </w:pPr>
      <w:r w:rsidRPr="00D37BA0">
        <w:rPr>
          <w:rFonts w:cs="Times New Roman"/>
        </w:rPr>
        <w:t xml:space="preserve">Wax, A., Deutsch, C., Lindner, C., Lindner, S.J. and Hopmeyer, A. (2022) 'Workplace loneliness: the benefits and detriments of working from home', </w:t>
      </w:r>
      <w:r w:rsidRPr="00D37BA0">
        <w:rPr>
          <w:rFonts w:cs="Times New Roman"/>
          <w:i/>
          <w:iCs/>
        </w:rPr>
        <w:t>Frontiers in Public Health</w:t>
      </w:r>
      <w:r w:rsidRPr="00D37BA0">
        <w:rPr>
          <w:rFonts w:cs="Times New Roman"/>
        </w:rPr>
        <w:t xml:space="preserve">, 10, 903975. Available at: </w:t>
      </w:r>
      <w:hyperlink r:id="rId27" w:history="1">
        <w:r w:rsidRPr="00D37BA0">
          <w:rPr>
            <w:rStyle w:val="Hyperlink"/>
            <w:rFonts w:cs="Times New Roman"/>
          </w:rPr>
          <w:t>https://doi.org/10.3389/fpubh.2022.903975</w:t>
        </w:r>
      </w:hyperlink>
      <w:r w:rsidRPr="00D37BA0">
        <w:rPr>
          <w:rFonts w:cs="Times New Roman"/>
        </w:rPr>
        <w:t xml:space="preserve"> (Accessed: 10 October 2026).</w:t>
      </w:r>
    </w:p>
    <w:p w14:paraId="20F18889" w14:textId="77777777" w:rsidR="001A55C0" w:rsidRPr="00D37BA0" w:rsidRDefault="008254AA" w:rsidP="0094190B">
      <w:pPr>
        <w:spacing w:after="0"/>
        <w:ind w:left="567" w:hanging="567"/>
        <w:jc w:val="left"/>
        <w:rPr>
          <w:rFonts w:cs="Times New Roman"/>
        </w:rPr>
      </w:pPr>
      <w:r w:rsidRPr="00D37BA0">
        <w:rPr>
          <w:rFonts w:cs="Times New Roman"/>
        </w:rPr>
        <w:t xml:space="preserve">Yang, L., Holtz, D., Jaffe, S., Suri, S., Sinha, S., Weston, J., Joyce, C., Shah, N., Sherman, K., Hecht, B. and Teevan, J. (2022) 'The effects of remote work on collaboration among information workers', </w:t>
      </w:r>
      <w:r w:rsidRPr="00D37BA0">
        <w:rPr>
          <w:rFonts w:cs="Times New Roman"/>
          <w:i/>
          <w:iCs/>
        </w:rPr>
        <w:t>Nature Human Behaviour</w:t>
      </w:r>
      <w:r w:rsidRPr="00D37BA0">
        <w:rPr>
          <w:rFonts w:cs="Times New Roman"/>
        </w:rPr>
        <w:t xml:space="preserve">, 6, pp. 43–54. Available at: </w:t>
      </w:r>
      <w:hyperlink r:id="rId28" w:history="1">
        <w:r w:rsidRPr="00D37BA0">
          <w:rPr>
            <w:rStyle w:val="Hyperlink"/>
            <w:rFonts w:cs="Times New Roman"/>
          </w:rPr>
          <w:t>https://doi.org/10.1038/s41562-021-01196-4</w:t>
        </w:r>
      </w:hyperlink>
      <w:r w:rsidRPr="00D37BA0">
        <w:rPr>
          <w:rFonts w:cs="Times New Roman"/>
        </w:rPr>
        <w:t xml:space="preserve"> (Accessed: 10 October 2026).</w:t>
      </w:r>
    </w:p>
    <w:p w14:paraId="6D0FB813" w14:textId="77777777" w:rsidR="001A55C0" w:rsidRPr="008324AA" w:rsidRDefault="008254AA" w:rsidP="0094190B">
      <w:pPr>
        <w:spacing w:after="0"/>
        <w:ind w:left="567" w:hanging="567"/>
        <w:jc w:val="left"/>
        <w:rPr>
          <w:rFonts w:cs="Times New Roman"/>
        </w:rPr>
      </w:pPr>
      <w:r w:rsidRPr="00D37BA0">
        <w:rPr>
          <w:rFonts w:cs="Times New Roman"/>
        </w:rPr>
        <w:t xml:space="preserve">Zhu, F., Gao, Y. and Chen, X. (2022) 'Tough love: impact of high-performance work system on employee innovation </w:t>
      </w:r>
      <w:r w:rsidR="008A1CA8" w:rsidRPr="00D37BA0">
        <w:rPr>
          <w:rFonts w:cs="Times New Roman"/>
        </w:rPr>
        <w:t>behaviour</w:t>
      </w:r>
      <w:r w:rsidRPr="00D37BA0">
        <w:rPr>
          <w:rFonts w:cs="Times New Roman"/>
        </w:rPr>
        <w:t xml:space="preserve">', </w:t>
      </w:r>
      <w:r w:rsidRPr="00D37BA0">
        <w:rPr>
          <w:rFonts w:cs="Times New Roman"/>
          <w:i/>
          <w:iCs/>
        </w:rPr>
        <w:t>Frontiers in Psychology</w:t>
      </w:r>
      <w:r w:rsidRPr="00D37BA0">
        <w:rPr>
          <w:rFonts w:cs="Times New Roman"/>
        </w:rPr>
        <w:t xml:space="preserve">, 13, 919993. Available at: </w:t>
      </w:r>
      <w:hyperlink r:id="rId29" w:history="1">
        <w:r w:rsidRPr="00D37BA0">
          <w:rPr>
            <w:rStyle w:val="Hyperlink"/>
            <w:rFonts w:cs="Times New Roman"/>
          </w:rPr>
          <w:t>https://doi.org/10.3389/fpsyg.2022.919993</w:t>
        </w:r>
      </w:hyperlink>
      <w:r w:rsidRPr="00D37BA0">
        <w:rPr>
          <w:rFonts w:cs="Times New Roman"/>
        </w:rPr>
        <w:t xml:space="preserve"> (Accessed: 10 October 2026).</w:t>
      </w:r>
    </w:p>
    <w:sectPr w:rsidR="001A55C0" w:rsidRPr="008324AA">
      <w:headerReference w:type="default" r:id="rId30"/>
      <w:footerReference w:type="default" r:id="rId31"/>
      <w:headerReference w:type="first" r:id="rId32"/>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CB53A" w14:textId="77777777" w:rsidR="001D0828" w:rsidRPr="00D37BA0" w:rsidRDefault="001D0828">
      <w:pPr>
        <w:spacing w:after="0" w:line="240" w:lineRule="auto"/>
      </w:pPr>
      <w:r w:rsidRPr="00D37BA0">
        <w:separator/>
      </w:r>
    </w:p>
  </w:endnote>
  <w:endnote w:type="continuationSeparator" w:id="0">
    <w:p w14:paraId="21875783" w14:textId="77777777" w:rsidR="001D0828" w:rsidRPr="00D37BA0" w:rsidRDefault="001D0828">
      <w:pPr>
        <w:spacing w:after="0" w:line="240" w:lineRule="auto"/>
      </w:pPr>
      <w:r w:rsidRPr="00D37BA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369F7" w14:textId="77777777" w:rsidR="001A55C0" w:rsidRPr="00D37BA0" w:rsidRDefault="008254AA">
    <w:pPr>
      <w:jc w:val="center"/>
    </w:pPr>
    <w:r w:rsidRPr="00D37BA0">
      <w:rPr>
        <w:color w:val="7F7F7F"/>
        <w:sz w:val="18"/>
        <w:szCs w:val="18"/>
      </w:rPr>
      <w:fldChar w:fldCharType="begin"/>
    </w:r>
    <w:r w:rsidRPr="00D37BA0">
      <w:rPr>
        <w:color w:val="7F7F7F"/>
        <w:sz w:val="18"/>
        <w:szCs w:val="18"/>
      </w:rPr>
      <w:instrText>PAGE</w:instrText>
    </w:r>
    <w:r w:rsidRPr="00D37BA0">
      <w:rPr>
        <w:color w:val="7F7F7F"/>
        <w:sz w:val="18"/>
        <w:szCs w:val="18"/>
      </w:rPr>
      <w:fldChar w:fldCharType="separate"/>
    </w:r>
    <w:r w:rsidR="00543528" w:rsidRPr="00D37BA0">
      <w:rPr>
        <w:color w:val="7F7F7F"/>
        <w:sz w:val="18"/>
        <w:szCs w:val="18"/>
      </w:rPr>
      <w:t>2</w:t>
    </w:r>
    <w:r w:rsidRPr="00D37BA0">
      <w:rPr>
        <w:color w:val="7F7F7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9852F" w14:textId="77777777" w:rsidR="001D0828" w:rsidRPr="00D37BA0" w:rsidRDefault="001D0828">
      <w:pPr>
        <w:spacing w:after="0" w:line="240" w:lineRule="auto"/>
      </w:pPr>
      <w:r w:rsidRPr="00D37BA0">
        <w:separator/>
      </w:r>
    </w:p>
  </w:footnote>
  <w:footnote w:type="continuationSeparator" w:id="0">
    <w:p w14:paraId="5B423A71" w14:textId="77777777" w:rsidR="001D0828" w:rsidRPr="00D37BA0" w:rsidRDefault="001D0828">
      <w:pPr>
        <w:spacing w:after="0" w:line="240" w:lineRule="auto"/>
      </w:pPr>
      <w:r w:rsidRPr="00D37BA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CB461" w14:textId="77777777" w:rsidR="001A55C0" w:rsidRPr="00D37BA0" w:rsidRDefault="008254AA">
    <w:pPr>
      <w:jc w:val="right"/>
    </w:pPr>
    <w:r w:rsidRPr="00D37BA0">
      <w:rPr>
        <w:color w:val="7F7F7F"/>
        <w:sz w:val="18"/>
        <w:szCs w:val="18"/>
      </w:rPr>
      <w:t>NHSX Strategic Human Capital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9031476"/>
      <w:docPartObj>
        <w:docPartGallery w:val="Page Numbers (Top of Page)"/>
        <w:docPartUnique/>
      </w:docPartObj>
    </w:sdtPr>
    <w:sdtContent>
      <w:p w14:paraId="005C8388" w14:textId="77777777" w:rsidR="00FB25B5" w:rsidRPr="00D37BA0" w:rsidRDefault="00FB25B5">
        <w:pPr>
          <w:pStyle w:val="Header"/>
          <w:jc w:val="right"/>
        </w:pPr>
        <w:r w:rsidRPr="00D37BA0">
          <w:fldChar w:fldCharType="begin"/>
        </w:r>
        <w:r w:rsidRPr="00D37BA0">
          <w:instrText xml:space="preserve"> PAGE   \* MERGEFORMAT </w:instrText>
        </w:r>
        <w:r w:rsidRPr="00D37BA0">
          <w:fldChar w:fldCharType="separate"/>
        </w:r>
        <w:r w:rsidRPr="00D37BA0">
          <w:t>2</w:t>
        </w:r>
        <w:r w:rsidRPr="00D37BA0">
          <w:fldChar w:fldCharType="end"/>
        </w:r>
      </w:p>
    </w:sdtContent>
  </w:sdt>
  <w:p w14:paraId="782EB9BE" w14:textId="77777777" w:rsidR="00FB25B5" w:rsidRPr="00D37BA0" w:rsidRDefault="00FB25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67DCA"/>
    <w:multiLevelType w:val="hybridMultilevel"/>
    <w:tmpl w:val="E2349B14"/>
    <w:lvl w:ilvl="0" w:tplc="F762F3BE">
      <w:start w:val="1"/>
      <w:numFmt w:val="decimal"/>
      <w:lvlText w:val="%1."/>
      <w:lvlJc w:val="left"/>
      <w:pPr>
        <w:ind w:left="850" w:hanging="425"/>
      </w:pPr>
    </w:lvl>
    <w:lvl w:ilvl="1" w:tplc="874007D6">
      <w:numFmt w:val="decimal"/>
      <w:lvlText w:val=""/>
      <w:lvlJc w:val="left"/>
    </w:lvl>
    <w:lvl w:ilvl="2" w:tplc="F5D0E71E">
      <w:numFmt w:val="decimal"/>
      <w:lvlText w:val=""/>
      <w:lvlJc w:val="left"/>
    </w:lvl>
    <w:lvl w:ilvl="3" w:tplc="FC4C868A">
      <w:numFmt w:val="decimal"/>
      <w:lvlText w:val=""/>
      <w:lvlJc w:val="left"/>
    </w:lvl>
    <w:lvl w:ilvl="4" w:tplc="F42272F0">
      <w:numFmt w:val="decimal"/>
      <w:lvlText w:val=""/>
      <w:lvlJc w:val="left"/>
    </w:lvl>
    <w:lvl w:ilvl="5" w:tplc="E5EE849E">
      <w:numFmt w:val="decimal"/>
      <w:lvlText w:val=""/>
      <w:lvlJc w:val="left"/>
    </w:lvl>
    <w:lvl w:ilvl="6" w:tplc="09CE9CF6">
      <w:numFmt w:val="decimal"/>
      <w:lvlText w:val=""/>
      <w:lvlJc w:val="left"/>
    </w:lvl>
    <w:lvl w:ilvl="7" w:tplc="2C8084C2">
      <w:numFmt w:val="decimal"/>
      <w:lvlText w:val=""/>
      <w:lvlJc w:val="left"/>
    </w:lvl>
    <w:lvl w:ilvl="8" w:tplc="67720C38">
      <w:numFmt w:val="decimal"/>
      <w:lvlText w:val=""/>
      <w:lvlJc w:val="left"/>
    </w:lvl>
  </w:abstractNum>
  <w:abstractNum w:abstractNumId="1" w15:restartNumberingAfterBreak="0">
    <w:nsid w:val="1D724E02"/>
    <w:multiLevelType w:val="hybridMultilevel"/>
    <w:tmpl w:val="ED02F60E"/>
    <w:lvl w:ilvl="0" w:tplc="412EE8D0">
      <w:start w:val="1"/>
      <w:numFmt w:val="bullet"/>
      <w:lvlText w:val="●"/>
      <w:lvlJc w:val="left"/>
      <w:pPr>
        <w:ind w:left="720" w:hanging="360"/>
      </w:pPr>
    </w:lvl>
    <w:lvl w:ilvl="1" w:tplc="F4F6025E">
      <w:start w:val="1"/>
      <w:numFmt w:val="bullet"/>
      <w:lvlText w:val="○"/>
      <w:lvlJc w:val="left"/>
      <w:pPr>
        <w:ind w:left="1440" w:hanging="360"/>
      </w:pPr>
    </w:lvl>
    <w:lvl w:ilvl="2" w:tplc="4C1C4B32">
      <w:start w:val="1"/>
      <w:numFmt w:val="bullet"/>
      <w:lvlText w:val="■"/>
      <w:lvlJc w:val="left"/>
      <w:pPr>
        <w:ind w:left="2160" w:hanging="360"/>
      </w:pPr>
    </w:lvl>
    <w:lvl w:ilvl="3" w:tplc="2674B676">
      <w:start w:val="1"/>
      <w:numFmt w:val="bullet"/>
      <w:lvlText w:val="●"/>
      <w:lvlJc w:val="left"/>
      <w:pPr>
        <w:ind w:left="2880" w:hanging="360"/>
      </w:pPr>
    </w:lvl>
    <w:lvl w:ilvl="4" w:tplc="81809C6E">
      <w:start w:val="1"/>
      <w:numFmt w:val="bullet"/>
      <w:lvlText w:val="○"/>
      <w:lvlJc w:val="left"/>
      <w:pPr>
        <w:ind w:left="3600" w:hanging="360"/>
      </w:pPr>
    </w:lvl>
    <w:lvl w:ilvl="5" w:tplc="B73606EC">
      <w:start w:val="1"/>
      <w:numFmt w:val="bullet"/>
      <w:lvlText w:val="■"/>
      <w:lvlJc w:val="left"/>
      <w:pPr>
        <w:ind w:left="4320" w:hanging="360"/>
      </w:pPr>
    </w:lvl>
    <w:lvl w:ilvl="6" w:tplc="F23C92D6">
      <w:start w:val="1"/>
      <w:numFmt w:val="bullet"/>
      <w:lvlText w:val="●"/>
      <w:lvlJc w:val="left"/>
      <w:pPr>
        <w:ind w:left="5040" w:hanging="360"/>
      </w:pPr>
    </w:lvl>
    <w:lvl w:ilvl="7" w:tplc="9A0C611C">
      <w:start w:val="1"/>
      <w:numFmt w:val="bullet"/>
      <w:lvlText w:val="●"/>
      <w:lvlJc w:val="left"/>
      <w:pPr>
        <w:ind w:left="5760" w:hanging="360"/>
      </w:pPr>
    </w:lvl>
    <w:lvl w:ilvl="8" w:tplc="CD2A4136">
      <w:start w:val="1"/>
      <w:numFmt w:val="bullet"/>
      <w:lvlText w:val="●"/>
      <w:lvlJc w:val="left"/>
      <w:pPr>
        <w:ind w:left="6480" w:hanging="360"/>
      </w:pPr>
    </w:lvl>
  </w:abstractNum>
  <w:abstractNum w:abstractNumId="2" w15:restartNumberingAfterBreak="0">
    <w:nsid w:val="6C46112A"/>
    <w:multiLevelType w:val="hybridMultilevel"/>
    <w:tmpl w:val="3D80D198"/>
    <w:lvl w:ilvl="0" w:tplc="3A2E6A9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4386784">
    <w:abstractNumId w:val="1"/>
    <w:lvlOverride w:ilvl="0">
      <w:startOverride w:val="1"/>
    </w:lvlOverride>
  </w:num>
  <w:num w:numId="2" w16cid:durableId="172770037">
    <w:abstractNumId w:val="0"/>
    <w:lvlOverride w:ilvl="0">
      <w:startOverride w:val="1"/>
    </w:lvlOverride>
  </w:num>
  <w:num w:numId="3" w16cid:durableId="589050588">
    <w:abstractNumId w:val="0"/>
    <w:lvlOverride w:ilvl="0">
      <w:startOverride w:val="1"/>
    </w:lvlOverride>
  </w:num>
  <w:num w:numId="4" w16cid:durableId="1224558885">
    <w:abstractNumId w:val="0"/>
    <w:lvlOverride w:ilvl="0">
      <w:startOverride w:val="1"/>
    </w:lvlOverride>
  </w:num>
  <w:num w:numId="5" w16cid:durableId="12965692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5C0"/>
    <w:rsid w:val="000C48F4"/>
    <w:rsid w:val="000D5284"/>
    <w:rsid w:val="00112850"/>
    <w:rsid w:val="001209D2"/>
    <w:rsid w:val="00126A70"/>
    <w:rsid w:val="001576A4"/>
    <w:rsid w:val="00186B05"/>
    <w:rsid w:val="001A55C0"/>
    <w:rsid w:val="001D0828"/>
    <w:rsid w:val="00223D9E"/>
    <w:rsid w:val="002251E9"/>
    <w:rsid w:val="00225490"/>
    <w:rsid w:val="00230AF6"/>
    <w:rsid w:val="00236BB6"/>
    <w:rsid w:val="00245C05"/>
    <w:rsid w:val="00307828"/>
    <w:rsid w:val="00370431"/>
    <w:rsid w:val="00422EBD"/>
    <w:rsid w:val="00425618"/>
    <w:rsid w:val="0044183C"/>
    <w:rsid w:val="0044385A"/>
    <w:rsid w:val="004725B8"/>
    <w:rsid w:val="0048586B"/>
    <w:rsid w:val="00523497"/>
    <w:rsid w:val="00543528"/>
    <w:rsid w:val="005461E9"/>
    <w:rsid w:val="005B509C"/>
    <w:rsid w:val="005E4695"/>
    <w:rsid w:val="0070305C"/>
    <w:rsid w:val="00743EC6"/>
    <w:rsid w:val="00745ADF"/>
    <w:rsid w:val="0076652E"/>
    <w:rsid w:val="007857E1"/>
    <w:rsid w:val="00793642"/>
    <w:rsid w:val="007F04CB"/>
    <w:rsid w:val="00804089"/>
    <w:rsid w:val="008254AA"/>
    <w:rsid w:val="008324AA"/>
    <w:rsid w:val="008A1CA8"/>
    <w:rsid w:val="008C164C"/>
    <w:rsid w:val="008F021C"/>
    <w:rsid w:val="0091295F"/>
    <w:rsid w:val="0091774D"/>
    <w:rsid w:val="009351E9"/>
    <w:rsid w:val="0094190B"/>
    <w:rsid w:val="009527B6"/>
    <w:rsid w:val="00993D5E"/>
    <w:rsid w:val="009E29B2"/>
    <w:rsid w:val="009E676E"/>
    <w:rsid w:val="00A410AD"/>
    <w:rsid w:val="00A44C71"/>
    <w:rsid w:val="00AF076A"/>
    <w:rsid w:val="00B3696A"/>
    <w:rsid w:val="00BC3B3C"/>
    <w:rsid w:val="00BF539B"/>
    <w:rsid w:val="00D06B0F"/>
    <w:rsid w:val="00D37BA0"/>
    <w:rsid w:val="00D47E06"/>
    <w:rsid w:val="00D64E72"/>
    <w:rsid w:val="00DB09BE"/>
    <w:rsid w:val="00DC6864"/>
    <w:rsid w:val="00DD4398"/>
    <w:rsid w:val="00DD4544"/>
    <w:rsid w:val="00DF6170"/>
    <w:rsid w:val="00E40A86"/>
    <w:rsid w:val="00E44F16"/>
    <w:rsid w:val="00E537E9"/>
    <w:rsid w:val="00E53E94"/>
    <w:rsid w:val="00E9529D"/>
    <w:rsid w:val="00E962A7"/>
    <w:rsid w:val="00EF328E"/>
    <w:rsid w:val="00F070CE"/>
    <w:rsid w:val="00F146E9"/>
    <w:rsid w:val="00F85980"/>
    <w:rsid w:val="00FB25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17FE4"/>
  <w15:docId w15:val="{BFD77260-1CFA-43F6-B71C-862921C8E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3"/>
        <w:szCs w:val="23"/>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C05"/>
    <w:pPr>
      <w:spacing w:after="40" w:line="480" w:lineRule="auto"/>
      <w:jc w:val="both"/>
    </w:pPr>
    <w:rPr>
      <w:rFonts w:ascii="Times New Roman" w:hAnsi="Times New Roman"/>
      <w:sz w:val="24"/>
      <w:lang w:val="en-GB"/>
    </w:rPr>
  </w:style>
  <w:style w:type="paragraph" w:styleId="Heading1">
    <w:name w:val="heading 1"/>
    <w:uiPriority w:val="9"/>
    <w:qFormat/>
    <w:rsid w:val="00245C05"/>
    <w:pPr>
      <w:keepNext/>
      <w:spacing w:before="240" w:after="40" w:line="480" w:lineRule="auto"/>
      <w:jc w:val="both"/>
      <w:outlineLvl w:val="0"/>
    </w:pPr>
    <w:rPr>
      <w:rFonts w:ascii="Times New Roman" w:hAnsi="Times New Roman"/>
      <w:b/>
      <w:bCs/>
      <w:color w:val="1F3864"/>
      <w:sz w:val="24"/>
      <w:szCs w:val="32"/>
    </w:rPr>
  </w:style>
  <w:style w:type="paragraph" w:styleId="Heading2">
    <w:name w:val="heading 2"/>
    <w:uiPriority w:val="9"/>
    <w:unhideWhenUsed/>
    <w:qFormat/>
    <w:pPr>
      <w:keepNext/>
      <w:spacing w:before="240" w:after="120" w:line="276" w:lineRule="auto"/>
      <w:outlineLvl w:val="1"/>
    </w:pPr>
    <w:rPr>
      <w:b/>
      <w:bCs/>
      <w:color w:val="2E5597"/>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link w:val="ListParagraphChar"/>
    <w:uiPriority w:val="1"/>
    <w:qFormat/>
    <w:rsid w:val="00245C05"/>
    <w:pPr>
      <w:spacing w:after="40" w:line="480" w:lineRule="auto"/>
      <w:jc w:val="both"/>
    </w:pPr>
    <w:rPr>
      <w:rFonts w:ascii="Times New Roman" w:hAnsi="Times New Roman"/>
      <w:sz w:val="24"/>
    </w:r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FB25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25B5"/>
    <w:rPr>
      <w:rFonts w:ascii="Times New Roman" w:hAnsi="Times New Roman"/>
      <w:sz w:val="24"/>
    </w:rPr>
  </w:style>
  <w:style w:type="paragraph" w:styleId="Footer">
    <w:name w:val="footer"/>
    <w:basedOn w:val="Normal"/>
    <w:link w:val="FooterChar"/>
    <w:uiPriority w:val="99"/>
    <w:unhideWhenUsed/>
    <w:rsid w:val="00FB25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25B5"/>
    <w:rPr>
      <w:rFonts w:ascii="Times New Roman" w:hAnsi="Times New Roman"/>
      <w:sz w:val="24"/>
    </w:rPr>
  </w:style>
  <w:style w:type="character" w:customStyle="1" w:styleId="ListParagraphChar">
    <w:name w:val="List Paragraph Char"/>
    <w:basedOn w:val="DefaultParagraphFont"/>
    <w:link w:val="ListParagraph"/>
    <w:uiPriority w:val="1"/>
    <w:qFormat/>
    <w:locked/>
    <w:rsid w:val="00126A70"/>
    <w:rPr>
      <w:rFonts w:ascii="Times New Roman" w:hAnsi="Times New Roman"/>
      <w:sz w:val="24"/>
    </w:rPr>
  </w:style>
  <w:style w:type="paragraph" w:styleId="TOCHeading">
    <w:name w:val="TOC Heading"/>
    <w:basedOn w:val="Heading1"/>
    <w:next w:val="Normal"/>
    <w:uiPriority w:val="39"/>
    <w:unhideWhenUsed/>
    <w:qFormat/>
    <w:rsid w:val="00126A70"/>
    <w:pPr>
      <w:keepLines/>
      <w:spacing w:after="0" w:line="259" w:lineRule="auto"/>
      <w:jc w:val="left"/>
      <w:outlineLvl w:val="9"/>
    </w:pPr>
    <w:rPr>
      <w:rFonts w:asciiTheme="majorHAnsi" w:eastAsiaTheme="majorEastAsia" w:hAnsiTheme="majorHAnsi" w:cstheme="majorBidi"/>
      <w:b w:val="0"/>
      <w:bCs w:val="0"/>
      <w:color w:val="2F5496" w:themeColor="accent1" w:themeShade="BF"/>
      <w:sz w:val="32"/>
      <w:lang w:val="en-GB" w:eastAsia="en-GB"/>
    </w:rPr>
  </w:style>
  <w:style w:type="paragraph" w:styleId="TOC1">
    <w:name w:val="toc 1"/>
    <w:basedOn w:val="Normal"/>
    <w:next w:val="Normal"/>
    <w:autoRedefine/>
    <w:uiPriority w:val="39"/>
    <w:unhideWhenUsed/>
    <w:rsid w:val="00126A70"/>
    <w:pPr>
      <w:spacing w:after="100"/>
    </w:pPr>
  </w:style>
  <w:style w:type="paragraph" w:styleId="TOC2">
    <w:name w:val="toc 2"/>
    <w:basedOn w:val="Normal"/>
    <w:next w:val="Normal"/>
    <w:autoRedefine/>
    <w:uiPriority w:val="39"/>
    <w:unhideWhenUsed/>
    <w:rsid w:val="00126A7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46/annurev-orgpsych-120920-055217" TargetMode="External"/><Relationship Id="rId18" Type="http://schemas.openxmlformats.org/officeDocument/2006/relationships/hyperlink" Target="https://learning.linkedin.com/resources/workplace-learning-report-2024" TargetMode="External"/><Relationship Id="rId26" Type="http://schemas.openxmlformats.org/officeDocument/2006/relationships/hyperlink" Target="https://doi.org/10.12821/ijispm100404" TargetMode="External"/><Relationship Id="rId3" Type="http://schemas.openxmlformats.org/officeDocument/2006/relationships/styles" Target="styles.xml"/><Relationship Id="rId21" Type="http://schemas.openxmlformats.org/officeDocument/2006/relationships/hyperlink" Target="https://www.microsoft.com/en-us/worklab/work-trend-index/ai-at-work-is-here-now-comes-the-hard-par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ipd.org/en/knowledge/reports/flexible-hybrid-working/" TargetMode="External"/><Relationship Id="rId17" Type="http://schemas.openxmlformats.org/officeDocument/2006/relationships/hyperlink" Target="https://doi.org/10.1177/00187267211030101" TargetMode="External"/><Relationship Id="rId25" Type="http://schemas.openxmlformats.org/officeDocument/2006/relationships/hyperlink" Target="https://doi.org/10.3389/fpsyg.2024.143912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3389/fpsyg.2024.1336120" TargetMode="External"/><Relationship Id="rId20" Type="http://schemas.openxmlformats.org/officeDocument/2006/relationships/hyperlink" Target="https://doi.org/10.3389/forgp.2023.1200117" TargetMode="External"/><Relationship Id="rId29" Type="http://schemas.openxmlformats.org/officeDocument/2006/relationships/hyperlink" Target="https://doi.org/10.3389/fpsyg.2022.91999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1748-8583.12524" TargetMode="External"/><Relationship Id="rId24" Type="http://schemas.openxmlformats.org/officeDocument/2006/relationships/hyperlink" Target="https://doi.org/10.1016/j.hrmr.2022.100925"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i.org/10.3389/fpsyg.2023.1042911" TargetMode="External"/><Relationship Id="rId23" Type="http://schemas.openxmlformats.org/officeDocument/2006/relationships/hyperlink" Target="https://publications.tno.nl/publication/34644496/31ko9wsK/oeij-2025-smart.pdf" TargetMode="External"/><Relationship Id="rId28" Type="http://schemas.openxmlformats.org/officeDocument/2006/relationships/hyperlink" Target="https://doi.org/10.1038/s41562-021-01196-4" TargetMode="External"/><Relationship Id="rId10" Type="http://schemas.openxmlformats.org/officeDocument/2006/relationships/hyperlink" Target="https://doi.org/10.1038/s41586-024-07500-2" TargetMode="External"/><Relationship Id="rId19" Type="http://schemas.openxmlformats.org/officeDocument/2006/relationships/hyperlink" Target="https://doi.org/10.3389/fpsyg.2022.814154"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31637/epsir-2024-398" TargetMode="External"/><Relationship Id="rId14" Type="http://schemas.openxmlformats.org/officeDocument/2006/relationships/hyperlink" Target="https://doi.org/10.3389/fpsyg.2023.1072065" TargetMode="External"/><Relationship Id="rId22" Type="http://schemas.openxmlformats.org/officeDocument/2006/relationships/hyperlink" Target="https://doi.org/10.1177/21582440241289185" TargetMode="External"/><Relationship Id="rId27" Type="http://schemas.openxmlformats.org/officeDocument/2006/relationships/hyperlink" Target="https://doi.org/10.3389/fpubh.2022.903975" TargetMode="External"/><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10B1C-96D9-42A5-9891-752C1EB3E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17</Pages>
  <Words>4103</Words>
  <Characters>23393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hamad al-jorani</cp:lastModifiedBy>
  <cp:revision>4</cp:revision>
  <dcterms:created xsi:type="dcterms:W3CDTF">2026-10-10T19:07:00Z</dcterms:created>
  <dcterms:modified xsi:type="dcterms:W3CDTF">2026-10-14T13:31:00Z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3a58d8d635547751b4380e3ca0f608abaf830b22df2f828ce9a696627949f782</vt:lpwstr>
  </property>
</Properties>
</file>