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0723A8" w14:textId="22621DEA" w:rsidR="00DE061E" w:rsidRPr="004B7897" w:rsidRDefault="00A247B7" w:rsidP="000153BA">
      <w:pPr>
        <w:jc w:val="center"/>
        <w:rPr>
          <w:rFonts w:cstheme="minorHAnsi"/>
          <w:b/>
        </w:rPr>
      </w:pPr>
      <w:r w:rsidRPr="004B7897">
        <w:rPr>
          <w:rFonts w:cstheme="minorHAnsi"/>
          <w:b/>
        </w:rPr>
        <w:t xml:space="preserve">Bibliographic </w:t>
      </w:r>
      <w:r w:rsidR="00BA2C0F" w:rsidRPr="004B7897">
        <w:rPr>
          <w:rFonts w:cstheme="minorHAnsi"/>
          <w:b/>
        </w:rPr>
        <w:t>A</w:t>
      </w:r>
      <w:r w:rsidRPr="004B7897">
        <w:rPr>
          <w:rFonts w:cstheme="minorHAnsi"/>
          <w:b/>
        </w:rPr>
        <w:t>ssessment</w:t>
      </w:r>
    </w:p>
    <w:p w14:paraId="185F7D99" w14:textId="77777777" w:rsidR="000153BA" w:rsidRDefault="000153BA" w:rsidP="000153BA">
      <w:pPr>
        <w:pStyle w:val="FootnoteText"/>
        <w:jc w:val="both"/>
        <w:rPr>
          <w:rFonts w:cstheme="minorHAnsi"/>
          <w:sz w:val="22"/>
          <w:szCs w:val="22"/>
        </w:rPr>
      </w:pPr>
    </w:p>
    <w:p w14:paraId="07997CF4" w14:textId="265B51D7" w:rsidR="000153BA" w:rsidRPr="000153BA" w:rsidRDefault="000153BA" w:rsidP="000153BA">
      <w:pPr>
        <w:pStyle w:val="FootnoteText"/>
        <w:jc w:val="both"/>
        <w:rPr>
          <w:rFonts w:cstheme="minorHAnsi"/>
          <w:sz w:val="22"/>
          <w:szCs w:val="22"/>
        </w:rPr>
      </w:pPr>
      <w:r w:rsidRPr="000153BA">
        <w:rPr>
          <w:rFonts w:cstheme="minorHAnsi"/>
          <w:sz w:val="22"/>
          <w:szCs w:val="22"/>
        </w:rPr>
        <w:t xml:space="preserve">Boccaccio, Giovanni, </w:t>
      </w:r>
      <w:proofErr w:type="spellStart"/>
      <w:r w:rsidRPr="000153BA">
        <w:rPr>
          <w:rFonts w:cstheme="minorHAnsi"/>
          <w:i/>
          <w:sz w:val="22"/>
          <w:szCs w:val="22"/>
        </w:rPr>
        <w:t>Genealogie</w:t>
      </w:r>
      <w:proofErr w:type="spellEnd"/>
      <w:r w:rsidRPr="000153BA">
        <w:rPr>
          <w:rFonts w:cstheme="minorHAnsi"/>
          <w:i/>
          <w:sz w:val="22"/>
          <w:szCs w:val="22"/>
        </w:rPr>
        <w:t xml:space="preserve"> </w:t>
      </w:r>
      <w:proofErr w:type="spellStart"/>
      <w:r w:rsidRPr="000153BA">
        <w:rPr>
          <w:rFonts w:cstheme="minorHAnsi"/>
          <w:i/>
          <w:sz w:val="22"/>
          <w:szCs w:val="22"/>
        </w:rPr>
        <w:t>deorum</w:t>
      </w:r>
      <w:proofErr w:type="spellEnd"/>
      <w:r w:rsidRPr="000153BA">
        <w:rPr>
          <w:rFonts w:cstheme="minorHAnsi"/>
          <w:i/>
          <w:sz w:val="22"/>
          <w:szCs w:val="22"/>
        </w:rPr>
        <w:t xml:space="preserve"> </w:t>
      </w:r>
      <w:proofErr w:type="spellStart"/>
      <w:r w:rsidRPr="000153BA">
        <w:rPr>
          <w:rFonts w:cstheme="minorHAnsi"/>
          <w:i/>
          <w:sz w:val="22"/>
          <w:szCs w:val="22"/>
        </w:rPr>
        <w:t>gentilium</w:t>
      </w:r>
      <w:proofErr w:type="spellEnd"/>
      <w:r w:rsidRPr="000153BA">
        <w:rPr>
          <w:rFonts w:cstheme="minorHAnsi"/>
          <w:i/>
          <w:sz w:val="22"/>
          <w:szCs w:val="22"/>
        </w:rPr>
        <w:t>:</w:t>
      </w:r>
      <w:r>
        <w:rPr>
          <w:rFonts w:cstheme="minorHAnsi"/>
          <w:i/>
          <w:sz w:val="22"/>
          <w:szCs w:val="22"/>
        </w:rPr>
        <w:t xml:space="preserve"> ad </w:t>
      </w:r>
      <w:proofErr w:type="spellStart"/>
      <w:r>
        <w:rPr>
          <w:rFonts w:cstheme="minorHAnsi"/>
          <w:i/>
          <w:sz w:val="22"/>
          <w:szCs w:val="22"/>
        </w:rPr>
        <w:t>Vgonem</w:t>
      </w:r>
      <w:proofErr w:type="spellEnd"/>
      <w:r>
        <w:rPr>
          <w:rFonts w:cstheme="minorHAnsi"/>
          <w:i/>
          <w:sz w:val="22"/>
          <w:szCs w:val="22"/>
        </w:rPr>
        <w:t xml:space="preserve"> </w:t>
      </w:r>
      <w:proofErr w:type="spellStart"/>
      <w:r>
        <w:rPr>
          <w:rFonts w:cstheme="minorHAnsi"/>
          <w:i/>
          <w:sz w:val="22"/>
          <w:szCs w:val="22"/>
        </w:rPr>
        <w:t>inclytum</w:t>
      </w:r>
      <w:proofErr w:type="spellEnd"/>
      <w:r>
        <w:rPr>
          <w:rFonts w:cstheme="minorHAnsi"/>
          <w:i/>
          <w:sz w:val="22"/>
          <w:szCs w:val="22"/>
        </w:rPr>
        <w:t xml:space="preserve"> </w:t>
      </w:r>
      <w:proofErr w:type="spellStart"/>
      <w:r>
        <w:rPr>
          <w:rFonts w:cstheme="minorHAnsi"/>
          <w:i/>
          <w:sz w:val="22"/>
          <w:szCs w:val="22"/>
        </w:rPr>
        <w:t>Hierusalē</w:t>
      </w:r>
      <w:proofErr w:type="spellEnd"/>
      <w:r w:rsidRPr="000153BA">
        <w:rPr>
          <w:rFonts w:cstheme="minorHAnsi"/>
          <w:i/>
          <w:sz w:val="22"/>
          <w:szCs w:val="22"/>
        </w:rPr>
        <w:t xml:space="preserve"> &amp; </w:t>
      </w:r>
      <w:proofErr w:type="spellStart"/>
      <w:r w:rsidRPr="000153BA">
        <w:rPr>
          <w:rFonts w:cstheme="minorHAnsi"/>
          <w:i/>
          <w:sz w:val="22"/>
          <w:szCs w:val="22"/>
        </w:rPr>
        <w:t>Cypri</w:t>
      </w:r>
      <w:proofErr w:type="spellEnd"/>
      <w:r w:rsidRPr="000153BA">
        <w:rPr>
          <w:rFonts w:cstheme="minorHAnsi"/>
          <w:i/>
          <w:sz w:val="22"/>
          <w:szCs w:val="22"/>
        </w:rPr>
        <w:t xml:space="preserve"> </w:t>
      </w:r>
      <w:proofErr w:type="spellStart"/>
      <w:r>
        <w:rPr>
          <w:rFonts w:cstheme="minorHAnsi"/>
          <w:i/>
          <w:sz w:val="22"/>
          <w:szCs w:val="22"/>
        </w:rPr>
        <w:t>regem</w:t>
      </w:r>
      <w:proofErr w:type="spellEnd"/>
      <w:r>
        <w:rPr>
          <w:rFonts w:cstheme="minorHAnsi"/>
          <w:i/>
          <w:sz w:val="22"/>
          <w:szCs w:val="22"/>
        </w:rPr>
        <w:t xml:space="preserve"> </w:t>
      </w:r>
      <w:proofErr w:type="spellStart"/>
      <w:r>
        <w:rPr>
          <w:rFonts w:cstheme="minorHAnsi"/>
          <w:i/>
          <w:sz w:val="22"/>
          <w:szCs w:val="22"/>
        </w:rPr>
        <w:t>secundum</w:t>
      </w:r>
      <w:proofErr w:type="spellEnd"/>
      <w:r>
        <w:rPr>
          <w:rFonts w:cstheme="minorHAnsi"/>
          <w:i/>
          <w:sz w:val="22"/>
          <w:szCs w:val="22"/>
        </w:rPr>
        <w:t xml:space="preserve"> </w:t>
      </w:r>
      <w:proofErr w:type="spellStart"/>
      <w:r>
        <w:rPr>
          <w:rFonts w:cstheme="minorHAnsi"/>
          <w:i/>
          <w:sz w:val="22"/>
          <w:szCs w:val="22"/>
        </w:rPr>
        <w:t>Iohannem</w:t>
      </w:r>
      <w:proofErr w:type="spellEnd"/>
      <w:r>
        <w:rPr>
          <w:rFonts w:cstheme="minorHAnsi"/>
          <w:i/>
          <w:sz w:val="22"/>
          <w:szCs w:val="22"/>
        </w:rPr>
        <w:t xml:space="preserve"> </w:t>
      </w:r>
      <w:proofErr w:type="spellStart"/>
      <w:r>
        <w:rPr>
          <w:rFonts w:cstheme="minorHAnsi"/>
          <w:i/>
          <w:sz w:val="22"/>
          <w:szCs w:val="22"/>
        </w:rPr>
        <w:t>Boccatiū</w:t>
      </w:r>
      <w:proofErr w:type="spellEnd"/>
      <w:r w:rsidRPr="000153BA">
        <w:rPr>
          <w:rFonts w:cstheme="minorHAnsi"/>
          <w:i/>
          <w:sz w:val="22"/>
          <w:szCs w:val="22"/>
        </w:rPr>
        <w:t xml:space="preserve"> de </w:t>
      </w:r>
      <w:proofErr w:type="spellStart"/>
      <w:r w:rsidRPr="000153BA">
        <w:rPr>
          <w:rFonts w:cstheme="minorHAnsi"/>
          <w:i/>
          <w:sz w:val="22"/>
          <w:szCs w:val="22"/>
        </w:rPr>
        <w:t>Certaldo</w:t>
      </w:r>
      <w:proofErr w:type="spellEnd"/>
      <w:r w:rsidRPr="000153BA">
        <w:rPr>
          <w:rFonts w:cstheme="minorHAnsi"/>
          <w:i/>
          <w:sz w:val="22"/>
          <w:szCs w:val="22"/>
        </w:rPr>
        <w:t xml:space="preserve"> liber primus incipit </w:t>
      </w:r>
      <w:proofErr w:type="spellStart"/>
      <w:r w:rsidRPr="000153BA">
        <w:rPr>
          <w:rFonts w:cstheme="minorHAnsi"/>
          <w:i/>
          <w:sz w:val="22"/>
          <w:szCs w:val="22"/>
        </w:rPr>
        <w:t>feliciter</w:t>
      </w:r>
      <w:proofErr w:type="spellEnd"/>
      <w:r w:rsidRPr="000153BA">
        <w:rPr>
          <w:rFonts w:cstheme="minorHAnsi"/>
          <w:i/>
          <w:sz w:val="22"/>
          <w:szCs w:val="22"/>
        </w:rPr>
        <w:t xml:space="preserve"> </w:t>
      </w:r>
      <w:r w:rsidRPr="000153BA">
        <w:rPr>
          <w:rFonts w:cstheme="minorHAnsi"/>
          <w:sz w:val="22"/>
          <w:szCs w:val="22"/>
        </w:rPr>
        <w:t xml:space="preserve">(Venice: </w:t>
      </w:r>
      <w:proofErr w:type="spellStart"/>
      <w:r w:rsidRPr="000153BA">
        <w:rPr>
          <w:rFonts w:cstheme="minorHAnsi"/>
          <w:sz w:val="22"/>
          <w:szCs w:val="22"/>
        </w:rPr>
        <w:t>Vindelinus</w:t>
      </w:r>
      <w:proofErr w:type="spellEnd"/>
      <w:r w:rsidRPr="000153BA">
        <w:rPr>
          <w:rFonts w:cstheme="minorHAnsi"/>
          <w:sz w:val="22"/>
          <w:szCs w:val="22"/>
        </w:rPr>
        <w:t xml:space="preserve"> de </w:t>
      </w:r>
      <w:proofErr w:type="spellStart"/>
      <w:r w:rsidRPr="000153BA">
        <w:rPr>
          <w:rFonts w:cstheme="minorHAnsi"/>
          <w:sz w:val="22"/>
          <w:szCs w:val="22"/>
        </w:rPr>
        <w:t>Spira</w:t>
      </w:r>
      <w:proofErr w:type="spellEnd"/>
      <w:r w:rsidRPr="000153BA">
        <w:rPr>
          <w:rFonts w:cstheme="minorHAnsi"/>
          <w:sz w:val="22"/>
          <w:szCs w:val="22"/>
        </w:rPr>
        <w:t xml:space="preserve">, 1472) </w:t>
      </w:r>
    </w:p>
    <w:p w14:paraId="5B9BB76A" w14:textId="7762FAF7" w:rsidR="00DE061E" w:rsidRPr="004B7897" w:rsidRDefault="00DE061E" w:rsidP="004B7897">
      <w:pPr>
        <w:spacing w:line="360" w:lineRule="auto"/>
        <w:jc w:val="both"/>
        <w:rPr>
          <w:rFonts w:cstheme="minorHAnsi"/>
        </w:rPr>
      </w:pPr>
      <w:bookmarkStart w:id="0" w:name="_GoBack"/>
      <w:bookmarkEnd w:id="0"/>
    </w:p>
    <w:p w14:paraId="41EE4835" w14:textId="4D6FFE78" w:rsidR="009A185E" w:rsidRPr="00BA77C2" w:rsidRDefault="000153BA" w:rsidP="004B7897">
      <w:pPr>
        <w:spacing w:line="360" w:lineRule="auto"/>
        <w:ind w:firstLine="720"/>
        <w:jc w:val="both"/>
        <w:rPr>
          <w:rFonts w:cstheme="minorHAnsi"/>
        </w:rPr>
      </w:pPr>
      <w:r>
        <w:rPr>
          <w:rFonts w:cstheme="minorHAnsi"/>
          <w:i/>
        </w:rPr>
        <w:t xml:space="preserve">The </w:t>
      </w:r>
      <w:proofErr w:type="spellStart"/>
      <w:r>
        <w:rPr>
          <w:rFonts w:cstheme="minorHAnsi"/>
          <w:i/>
        </w:rPr>
        <w:t>Genealogie</w:t>
      </w:r>
      <w:proofErr w:type="spellEnd"/>
      <w:r w:rsidR="009A185E" w:rsidRPr="004B7897">
        <w:rPr>
          <w:rFonts w:cstheme="minorHAnsi"/>
          <w:i/>
        </w:rPr>
        <w:t xml:space="preserve"> </w:t>
      </w:r>
      <w:proofErr w:type="spellStart"/>
      <w:r w:rsidR="009A185E" w:rsidRPr="004B7897">
        <w:rPr>
          <w:rFonts w:cstheme="minorHAnsi"/>
          <w:i/>
        </w:rPr>
        <w:t>deorum</w:t>
      </w:r>
      <w:proofErr w:type="spellEnd"/>
      <w:r w:rsidR="009A185E" w:rsidRPr="004B7897">
        <w:rPr>
          <w:rFonts w:cstheme="minorHAnsi"/>
        </w:rPr>
        <w:t xml:space="preserve"> </w:t>
      </w:r>
      <w:r w:rsidR="00097DCF">
        <w:rPr>
          <w:rFonts w:cstheme="minorHAnsi"/>
        </w:rPr>
        <w:t>translated into English</w:t>
      </w:r>
      <w:r w:rsidR="000A037C">
        <w:rPr>
          <w:rFonts w:cstheme="minorHAnsi"/>
        </w:rPr>
        <w:t>:</w:t>
      </w:r>
      <w:r w:rsidR="00097DCF">
        <w:rPr>
          <w:rFonts w:cstheme="minorHAnsi"/>
        </w:rPr>
        <w:t xml:space="preserve"> The Genealogy of the Gods </w:t>
      </w:r>
      <w:r w:rsidR="009A185E" w:rsidRPr="004B7897">
        <w:rPr>
          <w:rFonts w:cstheme="minorHAnsi"/>
        </w:rPr>
        <w:t xml:space="preserve">was written by Giovanni Boccaccio and </w:t>
      </w:r>
      <w:r w:rsidR="00584A3A" w:rsidRPr="004B7897">
        <w:rPr>
          <w:rFonts w:cstheme="minorHAnsi"/>
        </w:rPr>
        <w:t xml:space="preserve">was first printed in 1472. Giovanni Boccaccio begun his work in 1370 with the </w:t>
      </w:r>
      <w:proofErr w:type="spellStart"/>
      <w:r w:rsidR="00584A3A" w:rsidRPr="004B7897">
        <w:rPr>
          <w:rFonts w:cstheme="minorHAnsi"/>
        </w:rPr>
        <w:t>apograph</w:t>
      </w:r>
      <w:proofErr w:type="spellEnd"/>
      <w:r w:rsidR="00584A3A" w:rsidRPr="004B7897">
        <w:rPr>
          <w:rStyle w:val="FootnoteReference"/>
          <w:rFonts w:cstheme="minorHAnsi"/>
        </w:rPr>
        <w:footnoteReference w:id="2"/>
      </w:r>
      <w:r w:rsidR="00584A3A" w:rsidRPr="004B7897">
        <w:rPr>
          <w:rFonts w:cstheme="minorHAnsi"/>
        </w:rPr>
        <w:t xml:space="preserve"> in manuscript and it was revised and changed slightly </w:t>
      </w:r>
      <w:r w:rsidR="009A185E" w:rsidRPr="004B7897">
        <w:rPr>
          <w:rFonts w:cstheme="minorHAnsi"/>
        </w:rPr>
        <w:t xml:space="preserve">over </w:t>
      </w:r>
      <w:r w:rsidR="00584A3A" w:rsidRPr="004B7897">
        <w:rPr>
          <w:rFonts w:cstheme="minorHAnsi"/>
        </w:rPr>
        <w:t>the</w:t>
      </w:r>
      <w:r w:rsidR="009A185E" w:rsidRPr="004B7897">
        <w:rPr>
          <w:rFonts w:cstheme="minorHAnsi"/>
        </w:rPr>
        <w:t xml:space="preserve"> years </w:t>
      </w:r>
      <w:r w:rsidR="00584A3A" w:rsidRPr="004B7897">
        <w:rPr>
          <w:rFonts w:cstheme="minorHAnsi"/>
        </w:rPr>
        <w:t>even after Boccaccio’s death.</w:t>
      </w:r>
      <w:r w:rsidR="009A185E" w:rsidRPr="004B7897">
        <w:rPr>
          <w:rStyle w:val="FootnoteReference"/>
          <w:rFonts w:cstheme="minorHAnsi"/>
        </w:rPr>
        <w:footnoteReference w:id="3"/>
      </w:r>
      <w:r w:rsidR="009A185E" w:rsidRPr="004B7897">
        <w:rPr>
          <w:rFonts w:cstheme="minorHAnsi"/>
        </w:rPr>
        <w:t xml:space="preserve"> </w:t>
      </w:r>
      <w:r w:rsidR="008B55D7">
        <w:rPr>
          <w:rFonts w:cstheme="minorHAnsi"/>
        </w:rPr>
        <w:t xml:space="preserve">The book was printed in Venice </w:t>
      </w:r>
      <w:r w:rsidR="00060EEA">
        <w:rPr>
          <w:rFonts w:cstheme="minorHAnsi"/>
        </w:rPr>
        <w:t>and written by Giovanni Boccaccio as indicated in the colophon along with the date it was printed. The printer is not mention</w:t>
      </w:r>
      <w:r w:rsidR="004A3C57">
        <w:rPr>
          <w:rFonts w:cstheme="minorHAnsi"/>
        </w:rPr>
        <w:t>ed</w:t>
      </w:r>
      <w:r w:rsidR="00060EEA">
        <w:rPr>
          <w:rFonts w:cstheme="minorHAnsi"/>
        </w:rPr>
        <w:t xml:space="preserve"> in the colophon or anywhere else in the book, however, </w:t>
      </w:r>
      <w:r w:rsidR="004A3C57">
        <w:rPr>
          <w:rFonts w:cstheme="minorHAnsi"/>
        </w:rPr>
        <w:t>in that time,</w:t>
      </w:r>
      <w:r w:rsidR="00BA77C2">
        <w:rPr>
          <w:rFonts w:cstheme="minorHAnsi"/>
        </w:rPr>
        <w:t xml:space="preserve"> there were</w:t>
      </w:r>
      <w:r w:rsidR="004A3C57">
        <w:rPr>
          <w:rFonts w:cstheme="minorHAnsi"/>
        </w:rPr>
        <w:t xml:space="preserve"> two known printers that could have printed this edition. The printers were brothers who were well known in Italy and their names were </w:t>
      </w:r>
      <w:r w:rsidR="004A3C57" w:rsidRPr="004A3C57">
        <w:rPr>
          <w:rFonts w:cstheme="minorHAnsi"/>
          <w:color w:val="000000"/>
        </w:rPr>
        <w:t xml:space="preserve">Johann and </w:t>
      </w:r>
      <w:proofErr w:type="spellStart"/>
      <w:r w:rsidR="004A3C57" w:rsidRPr="004A3C57">
        <w:rPr>
          <w:rFonts w:cstheme="minorHAnsi"/>
          <w:color w:val="000000"/>
        </w:rPr>
        <w:t>Wendelin</w:t>
      </w:r>
      <w:proofErr w:type="spellEnd"/>
      <w:r w:rsidR="004A3C57">
        <w:rPr>
          <w:rFonts w:cstheme="minorHAnsi"/>
          <w:color w:val="000000"/>
        </w:rPr>
        <w:t xml:space="preserve"> d</w:t>
      </w:r>
      <w:r w:rsidR="00C20272">
        <w:rPr>
          <w:rFonts w:cstheme="minorHAnsi"/>
          <w:color w:val="000000"/>
        </w:rPr>
        <w:t xml:space="preserve">a </w:t>
      </w:r>
      <w:proofErr w:type="spellStart"/>
      <w:r w:rsidR="00C20272">
        <w:rPr>
          <w:rFonts w:cstheme="minorHAnsi"/>
          <w:color w:val="000000"/>
        </w:rPr>
        <w:t>Spira</w:t>
      </w:r>
      <w:proofErr w:type="spellEnd"/>
      <w:r w:rsidR="00BA77C2">
        <w:rPr>
          <w:rFonts w:cstheme="minorHAnsi"/>
          <w:color w:val="000000"/>
        </w:rPr>
        <w:t>.</w:t>
      </w:r>
      <w:r w:rsidR="00C20272">
        <w:rPr>
          <w:rFonts w:cstheme="minorHAnsi"/>
          <w:color w:val="000000"/>
        </w:rPr>
        <w:t xml:space="preserve"> </w:t>
      </w:r>
      <w:r w:rsidR="00BA77C2">
        <w:rPr>
          <w:rFonts w:cstheme="minorHAnsi"/>
          <w:color w:val="000000"/>
        </w:rPr>
        <w:t xml:space="preserve">It is believed that </w:t>
      </w:r>
      <w:proofErr w:type="spellStart"/>
      <w:r w:rsidR="00BA77C2">
        <w:rPr>
          <w:rFonts w:cstheme="minorHAnsi"/>
          <w:color w:val="000000"/>
        </w:rPr>
        <w:t>Wendelin</w:t>
      </w:r>
      <w:proofErr w:type="spellEnd"/>
      <w:r w:rsidR="00BA77C2">
        <w:rPr>
          <w:rFonts w:cstheme="minorHAnsi"/>
          <w:color w:val="000000"/>
        </w:rPr>
        <w:t xml:space="preserve"> de </w:t>
      </w:r>
      <w:proofErr w:type="spellStart"/>
      <w:r w:rsidR="00BA77C2">
        <w:rPr>
          <w:rFonts w:cstheme="minorHAnsi"/>
          <w:color w:val="000000"/>
        </w:rPr>
        <w:t>Spira</w:t>
      </w:r>
      <w:proofErr w:type="spellEnd"/>
      <w:r w:rsidR="00BA77C2">
        <w:rPr>
          <w:rFonts w:cstheme="minorHAnsi"/>
          <w:color w:val="000000"/>
        </w:rPr>
        <w:t xml:space="preserve"> printed this edition of The </w:t>
      </w:r>
      <w:proofErr w:type="spellStart"/>
      <w:r w:rsidR="00BA77C2" w:rsidRPr="00BA77C2">
        <w:rPr>
          <w:rFonts w:cstheme="minorHAnsi"/>
          <w:i/>
          <w:color w:val="000000"/>
        </w:rPr>
        <w:t>Genealogia</w:t>
      </w:r>
      <w:proofErr w:type="spellEnd"/>
      <w:r w:rsidR="00BA77C2" w:rsidRPr="00BA77C2">
        <w:rPr>
          <w:rFonts w:cstheme="minorHAnsi"/>
          <w:i/>
          <w:color w:val="000000"/>
        </w:rPr>
        <w:t xml:space="preserve"> </w:t>
      </w:r>
      <w:proofErr w:type="spellStart"/>
      <w:r w:rsidR="00BA77C2" w:rsidRPr="00BA77C2">
        <w:rPr>
          <w:rFonts w:cstheme="minorHAnsi"/>
          <w:i/>
          <w:color w:val="000000"/>
        </w:rPr>
        <w:t>deorum</w:t>
      </w:r>
      <w:proofErr w:type="spellEnd"/>
      <w:r w:rsidR="00BA77C2">
        <w:rPr>
          <w:rFonts w:cstheme="minorHAnsi"/>
          <w:i/>
          <w:color w:val="000000"/>
        </w:rPr>
        <w:t xml:space="preserve"> </w:t>
      </w:r>
      <w:r w:rsidR="00BA77C2">
        <w:rPr>
          <w:rFonts w:cstheme="minorHAnsi"/>
          <w:color w:val="000000"/>
        </w:rPr>
        <w:t>as his brother passed away in 1470, two years before the printing date.</w:t>
      </w:r>
      <w:r w:rsidR="00BA77C2">
        <w:rPr>
          <w:rStyle w:val="FootnoteReference"/>
          <w:rFonts w:cstheme="minorHAnsi"/>
          <w:color w:val="000000"/>
        </w:rPr>
        <w:footnoteReference w:id="4"/>
      </w:r>
    </w:p>
    <w:p w14:paraId="58572FC7" w14:textId="1C2FB6C8" w:rsidR="000A037C" w:rsidRDefault="007D7995" w:rsidP="000A037C">
      <w:pPr>
        <w:spacing w:line="360" w:lineRule="auto"/>
        <w:ind w:firstLine="720"/>
        <w:jc w:val="both"/>
        <w:rPr>
          <w:rFonts w:cstheme="minorHAnsi"/>
        </w:rPr>
      </w:pPr>
      <w:r>
        <w:rPr>
          <w:noProof/>
        </w:rPr>
        <w:drawing>
          <wp:anchor distT="0" distB="0" distL="114300" distR="114300" simplePos="0" relativeHeight="251659776" behindDoc="0" locked="0" layoutInCell="1" allowOverlap="1" wp14:anchorId="4B34981B" wp14:editId="03E47E62">
            <wp:simplePos x="0" y="0"/>
            <wp:positionH relativeFrom="page">
              <wp:posOffset>1428115</wp:posOffset>
            </wp:positionH>
            <wp:positionV relativeFrom="paragraph">
              <wp:posOffset>2253615</wp:posOffset>
            </wp:positionV>
            <wp:extent cx="2200275" cy="2994660"/>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00275" cy="29946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12672" behindDoc="0" locked="0" layoutInCell="1" allowOverlap="1" wp14:anchorId="2D06DE8F" wp14:editId="064D8E4A">
            <wp:simplePos x="0" y="0"/>
            <wp:positionH relativeFrom="column">
              <wp:posOffset>2914015</wp:posOffset>
            </wp:positionH>
            <wp:positionV relativeFrom="paragraph">
              <wp:posOffset>2252980</wp:posOffset>
            </wp:positionV>
            <wp:extent cx="2230755" cy="297497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30755" cy="2974975"/>
                    </a:xfrm>
                    <a:prstGeom prst="rect">
                      <a:avLst/>
                    </a:prstGeom>
                  </pic:spPr>
                </pic:pic>
              </a:graphicData>
            </a:graphic>
            <wp14:sizeRelH relativeFrom="margin">
              <wp14:pctWidth>0</wp14:pctWidth>
            </wp14:sizeRelH>
            <wp14:sizeRelV relativeFrom="margin">
              <wp14:pctHeight>0</wp14:pctHeight>
            </wp14:sizeRelV>
          </wp:anchor>
        </w:drawing>
      </w:r>
      <w:r w:rsidR="00584A3A" w:rsidRPr="004B7897">
        <w:rPr>
          <w:rFonts w:cstheme="minorHAnsi"/>
        </w:rPr>
        <w:t xml:space="preserve">The book is </w:t>
      </w:r>
      <w:r w:rsidR="00B86E33" w:rsidRPr="004B7897">
        <w:rPr>
          <w:rFonts w:cstheme="minorHAnsi"/>
        </w:rPr>
        <w:t xml:space="preserve">an incunabulum and is </w:t>
      </w:r>
      <w:r w:rsidR="00584A3A" w:rsidRPr="004B7897">
        <w:rPr>
          <w:rFonts w:cstheme="minorHAnsi"/>
        </w:rPr>
        <w:t xml:space="preserve">from the cradle of printing which means it was printed between the years of 1400 and 1500. </w:t>
      </w:r>
      <w:r w:rsidR="000A037C">
        <w:rPr>
          <w:rFonts w:cstheme="minorHAnsi"/>
        </w:rPr>
        <w:t>It</w:t>
      </w:r>
      <w:r w:rsidR="00B86E33" w:rsidRPr="004B7897">
        <w:rPr>
          <w:rFonts w:cstheme="minorHAnsi"/>
        </w:rPr>
        <w:t xml:space="preserve"> is one of the earliest compendiums to be held in the Roderick Bowen library indicated by the call up reference </w:t>
      </w:r>
      <w:r w:rsidR="00B86E33" w:rsidRPr="004B7897">
        <w:rPr>
          <w:rFonts w:cstheme="minorHAnsi"/>
          <w:b/>
        </w:rPr>
        <w:t>INC 13/14</w:t>
      </w:r>
      <w:r w:rsidR="00B86E33" w:rsidRPr="004B7897">
        <w:rPr>
          <w:rFonts w:cstheme="minorHAnsi"/>
        </w:rPr>
        <w:t>.</w:t>
      </w:r>
      <w:r w:rsidR="004B7897">
        <w:rPr>
          <w:rStyle w:val="FootnoteReference"/>
          <w:rFonts w:cstheme="minorHAnsi"/>
        </w:rPr>
        <w:footnoteReference w:id="5"/>
      </w:r>
      <w:r w:rsidR="00B86E33" w:rsidRPr="004B7897">
        <w:rPr>
          <w:rFonts w:cstheme="minorHAnsi"/>
        </w:rPr>
        <w:t xml:space="preserve"> </w:t>
      </w:r>
      <w:r w:rsidR="00BD3822">
        <w:rPr>
          <w:rFonts w:cstheme="minorHAnsi"/>
        </w:rPr>
        <w:t xml:space="preserve">It is a compendium of mythological knowledge and was important to the renaissance imagination. </w:t>
      </w:r>
      <w:r w:rsidR="00F507F2">
        <w:rPr>
          <w:rFonts w:cstheme="minorHAnsi"/>
        </w:rPr>
        <w:t>There are numerous notes written in differ</w:t>
      </w:r>
      <w:r w:rsidR="000A037C">
        <w:rPr>
          <w:rFonts w:cstheme="minorHAnsi"/>
        </w:rPr>
        <w:t>ent parts of this copy</w:t>
      </w:r>
      <w:r w:rsidR="00F507F2">
        <w:rPr>
          <w:rFonts w:cstheme="minorHAnsi"/>
        </w:rPr>
        <w:t xml:space="preserve"> in </w:t>
      </w:r>
      <w:r w:rsidR="000A037C">
        <w:rPr>
          <w:rFonts w:cstheme="minorHAnsi"/>
        </w:rPr>
        <w:t>red pen. The notes are</w:t>
      </w:r>
      <w:r w:rsidR="00F507F2">
        <w:rPr>
          <w:rFonts w:cstheme="minorHAnsi"/>
        </w:rPr>
        <w:t xml:space="preserve"> a different language and are more than likely from a previous owner of the boo</w:t>
      </w:r>
      <w:r w:rsidR="000A037C">
        <w:rPr>
          <w:rFonts w:cstheme="minorHAnsi"/>
        </w:rPr>
        <w:t>k,</w:t>
      </w:r>
      <w:r w:rsidR="00F507F2">
        <w:rPr>
          <w:rFonts w:cstheme="minorHAnsi"/>
        </w:rPr>
        <w:t xml:space="preserve"> before it was part of the Roderick Bowen library.</w:t>
      </w:r>
      <w:r w:rsidR="00F60863">
        <w:rPr>
          <w:rFonts w:cstheme="minorHAnsi"/>
        </w:rPr>
        <w:t xml:space="preserve"> When examining </w:t>
      </w:r>
      <w:r w:rsidR="00F60863">
        <w:rPr>
          <w:rFonts w:cstheme="minorHAnsi"/>
        </w:rPr>
        <w:lastRenderedPageBreak/>
        <w:t xml:space="preserve">the first few pages of the book, there are small circular holes that are noticeable. They </w:t>
      </w:r>
      <w:r w:rsidR="004B1353">
        <w:rPr>
          <w:rFonts w:cstheme="minorHAnsi"/>
        </w:rPr>
        <w:t>pierce through</w:t>
      </w:r>
      <w:r w:rsidR="00F60863">
        <w:rPr>
          <w:rFonts w:cstheme="minorHAnsi"/>
        </w:rPr>
        <w:t xml:space="preserve"> the first few p</w:t>
      </w:r>
      <w:r w:rsidR="000A037C">
        <w:rPr>
          <w:rFonts w:cstheme="minorHAnsi"/>
        </w:rPr>
        <w:t>ages signifying</w:t>
      </w:r>
      <w:r w:rsidR="00F60863">
        <w:rPr>
          <w:rFonts w:cstheme="minorHAnsi"/>
        </w:rPr>
        <w:t xml:space="preserve"> that it may be insect damage </w:t>
      </w:r>
      <w:r w:rsidR="000A037C">
        <w:rPr>
          <w:rFonts w:cstheme="minorHAnsi"/>
        </w:rPr>
        <w:t xml:space="preserve">that has happened </w:t>
      </w:r>
      <w:r w:rsidR="00F60863">
        <w:rPr>
          <w:rFonts w:cstheme="minorHAnsi"/>
        </w:rPr>
        <w:t>over time</w:t>
      </w:r>
      <w:r w:rsidR="000A037C">
        <w:rPr>
          <w:rFonts w:cstheme="minorHAnsi"/>
        </w:rPr>
        <w:t>,</w:t>
      </w:r>
      <w:r w:rsidR="00F60863">
        <w:rPr>
          <w:rFonts w:cstheme="minorHAnsi"/>
        </w:rPr>
        <w:t xml:space="preserve"> depending on where the book was </w:t>
      </w:r>
      <w:r w:rsidR="000A037C">
        <w:rPr>
          <w:rFonts w:cstheme="minorHAnsi"/>
        </w:rPr>
        <w:t>stored over the years</w:t>
      </w:r>
      <w:r w:rsidR="00F60863">
        <w:rPr>
          <w:rFonts w:cstheme="minorHAnsi"/>
        </w:rPr>
        <w:t xml:space="preserve">.  </w:t>
      </w:r>
      <w:r w:rsidR="00584A3A" w:rsidRPr="004B7897">
        <w:rPr>
          <w:rFonts w:cstheme="minorHAnsi"/>
        </w:rPr>
        <w:t xml:space="preserve">The </w:t>
      </w:r>
      <w:r w:rsidR="00097DCF">
        <w:rPr>
          <w:rFonts w:cstheme="minorHAnsi"/>
        </w:rPr>
        <w:t xml:space="preserve">first edition of The </w:t>
      </w:r>
      <w:proofErr w:type="spellStart"/>
      <w:r w:rsidR="00584A3A" w:rsidRPr="004B7897">
        <w:rPr>
          <w:rFonts w:cstheme="minorHAnsi"/>
        </w:rPr>
        <w:t>Geonalogia</w:t>
      </w:r>
      <w:proofErr w:type="spellEnd"/>
      <w:r w:rsidR="00B86E33" w:rsidRPr="004B7897">
        <w:rPr>
          <w:rFonts w:cstheme="minorHAnsi"/>
        </w:rPr>
        <w:t xml:space="preserve"> </w:t>
      </w:r>
      <w:proofErr w:type="spellStart"/>
      <w:r w:rsidR="00B86E33" w:rsidRPr="004B7897">
        <w:rPr>
          <w:rFonts w:cstheme="minorHAnsi"/>
        </w:rPr>
        <w:t>deorum</w:t>
      </w:r>
      <w:proofErr w:type="spellEnd"/>
      <w:r w:rsidR="00584A3A" w:rsidRPr="004B7897">
        <w:rPr>
          <w:rFonts w:cstheme="minorHAnsi"/>
        </w:rPr>
        <w:t xml:space="preserve"> </w:t>
      </w:r>
      <w:r w:rsidR="000A037C">
        <w:rPr>
          <w:rFonts w:cstheme="minorHAnsi"/>
        </w:rPr>
        <w:t xml:space="preserve">is the </w:t>
      </w:r>
      <w:r w:rsidR="00097DCF">
        <w:rPr>
          <w:rFonts w:cstheme="minorHAnsi"/>
        </w:rPr>
        <w:t xml:space="preserve">book I have been examining and </w:t>
      </w:r>
      <w:r w:rsidR="00584A3A" w:rsidRPr="004B7897">
        <w:rPr>
          <w:rFonts w:cstheme="minorHAnsi"/>
        </w:rPr>
        <w:t xml:space="preserve">does not have a title page </w:t>
      </w:r>
      <w:r w:rsidR="00097DCF">
        <w:rPr>
          <w:rFonts w:cstheme="minorHAnsi"/>
        </w:rPr>
        <w:t>unlike some of the other</w:t>
      </w:r>
      <w:r w:rsidR="00076EF0">
        <w:rPr>
          <w:rFonts w:cstheme="minorHAnsi"/>
        </w:rPr>
        <w:t xml:space="preserve"> </w:t>
      </w:r>
      <w:r w:rsidR="00097DCF">
        <w:rPr>
          <w:rFonts w:cstheme="minorHAnsi"/>
        </w:rPr>
        <w:t>early</w:t>
      </w:r>
      <w:r w:rsidR="00076EF0">
        <w:rPr>
          <w:rFonts w:cstheme="minorHAnsi"/>
        </w:rPr>
        <w:t xml:space="preserve"> printed </w:t>
      </w:r>
      <w:r w:rsidR="00097DCF">
        <w:rPr>
          <w:rFonts w:cstheme="minorHAnsi"/>
        </w:rPr>
        <w:t>books of the renaissance period.</w:t>
      </w:r>
      <w:r w:rsidR="00076EF0">
        <w:rPr>
          <w:rFonts w:cstheme="minorHAnsi"/>
        </w:rPr>
        <w:t xml:space="preserve"> </w:t>
      </w:r>
    </w:p>
    <w:p w14:paraId="6D54E108" w14:textId="454DE501" w:rsidR="009A185E" w:rsidRPr="00C52714" w:rsidRDefault="00A54C6C" w:rsidP="000A037C">
      <w:pPr>
        <w:spacing w:line="360" w:lineRule="auto"/>
        <w:ind w:firstLine="720"/>
        <w:jc w:val="both"/>
        <w:rPr>
          <w:rFonts w:cstheme="minorHAnsi"/>
        </w:rPr>
      </w:pPr>
      <w:r>
        <w:t xml:space="preserve">The book begins by going straight into its contents without a title page. </w:t>
      </w:r>
      <w:r w:rsidR="009D39BF">
        <w:rPr>
          <w:rFonts w:cstheme="minorHAnsi"/>
        </w:rPr>
        <w:t xml:space="preserve">The book is written in Latin </w:t>
      </w:r>
      <w:r w:rsidR="00775A16">
        <w:rPr>
          <w:rFonts w:cstheme="minorHAnsi"/>
        </w:rPr>
        <w:t xml:space="preserve">and is known as a vulgate text </w:t>
      </w:r>
      <w:r w:rsidR="009D39BF">
        <w:rPr>
          <w:rFonts w:cstheme="minorHAnsi"/>
        </w:rPr>
        <w:t xml:space="preserve">with some quotations in Greek throughout. This edition of the book contains as Wilkins confirms; </w:t>
      </w:r>
      <w:r w:rsidR="009D39BF">
        <w:t>‘(</w:t>
      </w:r>
      <w:r w:rsidR="009A6338">
        <w:t>…)</w:t>
      </w:r>
      <w:r w:rsidR="009A6338" w:rsidRPr="006200B8">
        <w:t xml:space="preserve"> first</w:t>
      </w:r>
      <w:r w:rsidR="00097DCF" w:rsidRPr="006200B8">
        <w:t xml:space="preserve">, the Table of Rubrics; second, the </w:t>
      </w:r>
      <w:proofErr w:type="spellStart"/>
      <w:r w:rsidR="00097DCF" w:rsidRPr="006200B8">
        <w:t>Genealogia</w:t>
      </w:r>
      <w:proofErr w:type="spellEnd"/>
      <w:r w:rsidR="00097DCF" w:rsidRPr="006200B8">
        <w:t xml:space="preserve"> itself; third, the Alphabetical Index by Domenico Bandini; fourth, the </w:t>
      </w:r>
      <w:r w:rsidR="00097DCF" w:rsidRPr="00490394">
        <w:rPr>
          <w:i/>
        </w:rPr>
        <w:t>Versus</w:t>
      </w:r>
      <w:r w:rsidR="00097DCF">
        <w:t xml:space="preserve"> of Domenico di Silvestro.</w:t>
      </w:r>
      <w:r w:rsidR="009D39BF">
        <w:t>’</w:t>
      </w:r>
      <w:r w:rsidR="00097DCF">
        <w:rPr>
          <w:rStyle w:val="FootnoteReference"/>
        </w:rPr>
        <w:footnoteReference w:id="6"/>
      </w:r>
      <w:r w:rsidR="009A6338">
        <w:t xml:space="preserve"> </w:t>
      </w:r>
    </w:p>
    <w:p w14:paraId="160CEDC5" w14:textId="6F274AB3" w:rsidR="00C52714" w:rsidRDefault="00C52714" w:rsidP="00C52714">
      <w:pPr>
        <w:spacing w:line="360" w:lineRule="auto"/>
        <w:ind w:firstLine="720"/>
        <w:jc w:val="both"/>
      </w:pPr>
      <w:r>
        <w:t>Throughout the book, there are multipl</w:t>
      </w:r>
      <w:r w:rsidR="00E261A1">
        <w:t>e books marks at the top-</w:t>
      </w:r>
      <w:r>
        <w:t xml:space="preserve">middle of the page to indicate which number book it is. The numbers are in roman numerals and are in red ink. The numbers also look to be handwritten in. </w:t>
      </w:r>
    </w:p>
    <w:p w14:paraId="602561D3" w14:textId="4C12D5D0" w:rsidR="007868A4" w:rsidRDefault="007D7995" w:rsidP="007868A4">
      <w:pPr>
        <w:spacing w:line="360" w:lineRule="auto"/>
        <w:ind w:firstLine="720"/>
        <w:jc w:val="both"/>
      </w:pPr>
      <w:r>
        <w:rPr>
          <w:noProof/>
        </w:rPr>
        <w:drawing>
          <wp:anchor distT="0" distB="0" distL="114300" distR="114300" simplePos="0" relativeHeight="251679232" behindDoc="0" locked="0" layoutInCell="1" allowOverlap="1" wp14:anchorId="0F30A03E" wp14:editId="4F65CF50">
            <wp:simplePos x="0" y="0"/>
            <wp:positionH relativeFrom="column">
              <wp:posOffset>981075</wp:posOffset>
            </wp:positionH>
            <wp:positionV relativeFrom="paragraph">
              <wp:posOffset>1089025</wp:posOffset>
            </wp:positionV>
            <wp:extent cx="2228850" cy="29718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28850" cy="2971800"/>
                    </a:xfrm>
                    <a:prstGeom prst="rect">
                      <a:avLst/>
                    </a:prstGeom>
                  </pic:spPr>
                </pic:pic>
              </a:graphicData>
            </a:graphic>
            <wp14:sizeRelH relativeFrom="margin">
              <wp14:pctWidth>0</wp14:pctWidth>
            </wp14:sizeRelH>
            <wp14:sizeRelV relativeFrom="margin">
              <wp14:pctHeight>0</wp14:pctHeight>
            </wp14:sizeRelV>
          </wp:anchor>
        </w:drawing>
      </w:r>
      <w:r w:rsidR="00E261A1">
        <w:t>The book</w:t>
      </w:r>
      <w:r w:rsidR="00C52714">
        <w:t xml:space="preserve"> incorporates the manuscript illumination</w:t>
      </w:r>
      <w:r w:rsidR="00E261A1">
        <w:t>. This can be seen by</w:t>
      </w:r>
      <w:r w:rsidR="00C52714">
        <w:t xml:space="preserve"> </w:t>
      </w:r>
      <w:r w:rsidR="00E261A1">
        <w:t>the hand drawing of</w:t>
      </w:r>
      <w:r w:rsidR="00C52714">
        <w:t xml:space="preserve"> the first letter of a new book</w:t>
      </w:r>
      <w:r w:rsidR="00E261A1">
        <w:t>;</w:t>
      </w:r>
      <w:r w:rsidR="00C52714">
        <w:t xml:space="preserve"> with a capital letter in different colours and a bigger font size from the </w:t>
      </w:r>
      <w:r w:rsidR="00E261A1">
        <w:t>rest</w:t>
      </w:r>
      <w:r w:rsidR="00C52714">
        <w:t xml:space="preserve"> of the text. The text style throughout the book is in Textura</w:t>
      </w:r>
      <w:r w:rsidR="00E261A1">
        <w:t>,</w:t>
      </w:r>
      <w:r w:rsidR="00C52714">
        <w:t xml:space="preserve"> which was common for printers to use in manuscripts at the time. </w:t>
      </w:r>
    </w:p>
    <w:p w14:paraId="5361A582" w14:textId="7CFB686D" w:rsidR="007D7995" w:rsidRDefault="007D7995" w:rsidP="007D7995">
      <w:pPr>
        <w:spacing w:line="360" w:lineRule="auto"/>
        <w:jc w:val="both"/>
      </w:pPr>
    </w:p>
    <w:p w14:paraId="0DCD5DBE" w14:textId="0FAE3757" w:rsidR="007868A4" w:rsidRDefault="00C52714" w:rsidP="007868A4">
      <w:pPr>
        <w:spacing w:line="360" w:lineRule="auto"/>
        <w:ind w:firstLine="720"/>
        <w:jc w:val="both"/>
      </w:pPr>
      <w:r>
        <w:t>Hand drawn illustrations of genealogical trees outlining the descent of the gods of the classical past can be seen at the start of a new book and sometimes in the chapters. These illustrations would have been hand drawn in after the printing had been complete</w:t>
      </w:r>
      <w:r w:rsidR="00E261A1">
        <w:t>, so there were blank pages left</w:t>
      </w:r>
      <w:r>
        <w:t xml:space="preserve"> for the artist to fill in the page. Later editions of the </w:t>
      </w:r>
      <w:proofErr w:type="spellStart"/>
      <w:r w:rsidRPr="004B7897">
        <w:rPr>
          <w:rFonts w:cstheme="minorHAnsi"/>
          <w:i/>
        </w:rPr>
        <w:t>Genealogia</w:t>
      </w:r>
      <w:proofErr w:type="spellEnd"/>
      <w:r w:rsidRPr="004B7897">
        <w:rPr>
          <w:rFonts w:cstheme="minorHAnsi"/>
          <w:i/>
        </w:rPr>
        <w:t xml:space="preserve"> </w:t>
      </w:r>
      <w:proofErr w:type="spellStart"/>
      <w:r w:rsidRPr="004B7897">
        <w:rPr>
          <w:rFonts w:cstheme="minorHAnsi"/>
          <w:i/>
        </w:rPr>
        <w:t>deorum</w:t>
      </w:r>
      <w:proofErr w:type="spellEnd"/>
      <w:r w:rsidRPr="004B7897">
        <w:rPr>
          <w:rFonts w:cstheme="minorHAnsi"/>
        </w:rPr>
        <w:t xml:space="preserve"> </w:t>
      </w:r>
      <w:r>
        <w:t xml:space="preserve">would have woodcut engravings for </w:t>
      </w:r>
      <w:r>
        <w:lastRenderedPageBreak/>
        <w:t xml:space="preserve">the illustrations as the technology evolved over time and made printing more complex illustrations possible. </w:t>
      </w:r>
    </w:p>
    <w:p w14:paraId="12381A57" w14:textId="68913A1C" w:rsidR="00F60863" w:rsidRDefault="00C52714" w:rsidP="004B1353">
      <w:pPr>
        <w:spacing w:line="360" w:lineRule="auto"/>
        <w:ind w:firstLine="720"/>
        <w:jc w:val="both"/>
      </w:pPr>
      <w:r>
        <w:t>Due to limitations on the technology of printing in that period, the printer would not have been able t</w:t>
      </w:r>
      <w:r w:rsidR="00E261A1">
        <w:t>o print illustrated letters. Therefore,</w:t>
      </w:r>
      <w:r>
        <w:t xml:space="preserve"> a visible gap </w:t>
      </w:r>
      <w:r w:rsidR="00E261A1">
        <w:t xml:space="preserve">would be left for the artist to hand draw a bigger and more colourful letter. </w:t>
      </w:r>
      <w:r>
        <w:t>The original letter in the smaller font can be seen behind the hand drawn le</w:t>
      </w:r>
      <w:r w:rsidR="00E261A1">
        <w:t xml:space="preserve">tter </w:t>
      </w:r>
      <w:r>
        <w:t>in this edition.</w:t>
      </w:r>
    </w:p>
    <w:p w14:paraId="7FBF014E" w14:textId="28947AF4" w:rsidR="009D69E9" w:rsidRDefault="00F507F2" w:rsidP="009D69E9">
      <w:pPr>
        <w:spacing w:line="360" w:lineRule="auto"/>
        <w:ind w:firstLine="720"/>
        <w:jc w:val="both"/>
      </w:pPr>
      <w:r>
        <w:t xml:space="preserve">The </w:t>
      </w:r>
      <w:r w:rsidR="00F60863">
        <w:t>book itself is formatted as a</w:t>
      </w:r>
      <w:r>
        <w:t xml:space="preserve"> folio</w:t>
      </w:r>
      <w:r w:rsidR="00E261A1">
        <w:t>,</w:t>
      </w:r>
      <w:r w:rsidR="00F60863">
        <w:rPr>
          <w:rStyle w:val="FootnoteReference"/>
        </w:rPr>
        <w:footnoteReference w:id="7"/>
      </w:r>
      <w:r w:rsidR="00E261A1">
        <w:t xml:space="preserve"> </w:t>
      </w:r>
      <w:r w:rsidR="003B37FE">
        <w:t>meaning that there would be a full sheet of paper folded once</w:t>
      </w:r>
      <w:r w:rsidR="00E261A1">
        <w:t>,</w:t>
      </w:r>
      <w:r w:rsidR="003B37FE">
        <w:t xml:space="preserve"> with four pages of text on both sides to make two leaves of a book.</w:t>
      </w:r>
      <w:r w:rsidR="003673DA">
        <w:t xml:space="preserve"> </w:t>
      </w:r>
      <w:r w:rsidR="003B37FE">
        <w:t xml:space="preserve">On the bottom right of the pages, there would usually be a catchword </w:t>
      </w:r>
      <w:r w:rsidR="00E261A1">
        <w:t xml:space="preserve">and signature </w:t>
      </w:r>
      <w:r w:rsidR="003B37FE">
        <w:t xml:space="preserve">to help the printer or bookbinder </w:t>
      </w:r>
      <w:r w:rsidR="00E9736D">
        <w:t>to piece a book together in its initial form. However, in the case of this book</w:t>
      </w:r>
      <w:r w:rsidR="00D510C1">
        <w:t>,</w:t>
      </w:r>
      <w:r w:rsidR="00E9736D">
        <w:t xml:space="preserve"> there are no catch words or </w:t>
      </w:r>
      <w:r w:rsidR="00D510C1">
        <w:t>signatures</w:t>
      </w:r>
      <w:r w:rsidR="00E9736D">
        <w:t xml:space="preserve"> to identify the order of the pages. </w:t>
      </w:r>
      <w:r w:rsidR="003673DA">
        <w:t>The book does not seem to have numbered pages that make sense</w:t>
      </w:r>
      <w:r w:rsidR="00D510C1">
        <w:t xml:space="preserve"> or a recognised system for order of leaves</w:t>
      </w:r>
      <w:r w:rsidR="003673DA">
        <w:t xml:space="preserve">. </w:t>
      </w:r>
      <w:r w:rsidR="00E9736D">
        <w:t>The book does have some numbers half way through the book that number</w:t>
      </w:r>
      <w:r w:rsidR="00D510C1">
        <w:t>: L1-L2-L3-L4-L5, then blank</w:t>
      </w:r>
      <w:r w:rsidR="00E9736D">
        <w:t xml:space="preserve"> a few pages, and then: M1-M2-M3-M4-M5. </w:t>
      </w:r>
      <w:r w:rsidR="008D7CA9">
        <w:t xml:space="preserve">This continues but strangely, O1-O5 appears twice in book VIII. </w:t>
      </w:r>
      <w:r w:rsidR="00E9736D">
        <w:t>These number</w:t>
      </w:r>
      <w:r w:rsidR="00D510C1">
        <w:t>s</w:t>
      </w:r>
      <w:r w:rsidR="00E9736D">
        <w:t xml:space="preserve"> appear to have been hand written in by someone and seem to be quite arbitrary</w:t>
      </w:r>
      <w:r w:rsidR="003673DA">
        <w:t xml:space="preserve"> as they stop </w:t>
      </w:r>
      <w:r w:rsidR="00D510C1">
        <w:t xml:space="preserve">way </w:t>
      </w:r>
      <w:r w:rsidR="003673DA">
        <w:t>before the end of the book</w:t>
      </w:r>
      <w:r w:rsidR="00E9736D">
        <w:t>.</w:t>
      </w:r>
      <w:r w:rsidR="009D69E9">
        <w:t xml:space="preserve"> </w:t>
      </w:r>
    </w:p>
    <w:p w14:paraId="2A6585C3" w14:textId="5D86964C" w:rsidR="007D7995" w:rsidRDefault="007D7995" w:rsidP="00F05532">
      <w:pPr>
        <w:spacing w:line="360" w:lineRule="auto"/>
        <w:ind w:firstLine="720"/>
        <w:jc w:val="both"/>
      </w:pPr>
      <w:r>
        <w:rPr>
          <w:noProof/>
        </w:rPr>
        <w:drawing>
          <wp:anchor distT="0" distB="0" distL="114300" distR="114300" simplePos="0" relativeHeight="251695616" behindDoc="0" locked="0" layoutInCell="1" allowOverlap="1" wp14:anchorId="7517EEE0" wp14:editId="068DD628">
            <wp:simplePos x="0" y="0"/>
            <wp:positionH relativeFrom="column">
              <wp:posOffset>2994025</wp:posOffset>
            </wp:positionH>
            <wp:positionV relativeFrom="paragraph">
              <wp:posOffset>0</wp:posOffset>
            </wp:positionV>
            <wp:extent cx="1807210" cy="2244725"/>
            <wp:effectExtent l="0" t="0" r="0"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07210" cy="22447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20192" behindDoc="0" locked="0" layoutInCell="1" allowOverlap="1" wp14:anchorId="0A1D8B13" wp14:editId="55AF7084">
            <wp:simplePos x="0" y="0"/>
            <wp:positionH relativeFrom="margin">
              <wp:posOffset>638175</wp:posOffset>
            </wp:positionH>
            <wp:positionV relativeFrom="paragraph">
              <wp:posOffset>0</wp:posOffset>
            </wp:positionV>
            <wp:extent cx="1685925" cy="2249805"/>
            <wp:effectExtent l="0" t="0" r="952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85925" cy="2249805"/>
                    </a:xfrm>
                    <a:prstGeom prst="rect">
                      <a:avLst/>
                    </a:prstGeom>
                  </pic:spPr>
                </pic:pic>
              </a:graphicData>
            </a:graphic>
            <wp14:sizeRelH relativeFrom="margin">
              <wp14:pctWidth>0</wp14:pctWidth>
            </wp14:sizeRelH>
            <wp14:sizeRelV relativeFrom="margin">
              <wp14:pctHeight>0</wp14:pctHeight>
            </wp14:sizeRelV>
          </wp:anchor>
        </w:drawing>
      </w:r>
    </w:p>
    <w:p w14:paraId="745C0C92" w14:textId="3B47513B" w:rsidR="007D7995" w:rsidRDefault="007D7995" w:rsidP="00F05532">
      <w:pPr>
        <w:spacing w:line="360" w:lineRule="auto"/>
        <w:ind w:firstLine="720"/>
        <w:jc w:val="both"/>
      </w:pPr>
    </w:p>
    <w:p w14:paraId="19078EE7" w14:textId="77980AD5" w:rsidR="00F05532" w:rsidRDefault="00D510C1" w:rsidP="00F05532">
      <w:pPr>
        <w:spacing w:line="360" w:lineRule="auto"/>
        <w:ind w:firstLine="720"/>
        <w:jc w:val="both"/>
      </w:pPr>
      <w:r>
        <w:t>Lack of signatures by the printer made</w:t>
      </w:r>
      <w:r w:rsidR="009D69E9">
        <w:t xml:space="preserve"> it quite problematic at the beginning of the examination to identify the format. </w:t>
      </w:r>
      <w:r w:rsidR="00F05532">
        <w:t>The chapters indicated in the main pieces of wr</w:t>
      </w:r>
      <w:r>
        <w:t>iting were the only way to</w:t>
      </w:r>
      <w:r w:rsidR="00F05532">
        <w:t xml:space="preserve"> tell what order the leaves were meant to be in</w:t>
      </w:r>
      <w:r>
        <w:t>.</w:t>
      </w:r>
      <w:r w:rsidR="00F05532">
        <w:t xml:space="preserve"> I would assume that that is the only way the printers would have understood the correct order of how to fold the leaves of the book. </w:t>
      </w:r>
    </w:p>
    <w:p w14:paraId="10527D9A" w14:textId="219B0B51" w:rsidR="00E65D62" w:rsidRDefault="00D510C1" w:rsidP="00E65D62">
      <w:pPr>
        <w:spacing w:line="360" w:lineRule="auto"/>
        <w:ind w:firstLine="720"/>
        <w:jc w:val="both"/>
      </w:pPr>
      <w:r>
        <w:t>This made</w:t>
      </w:r>
      <w:r w:rsidR="00F05532">
        <w:t xml:space="preserve"> </w:t>
      </w:r>
      <w:r w:rsidR="008D7CA9">
        <w:t>It problematic when trying to create a sta</w:t>
      </w:r>
      <w:r w:rsidR="00F05532">
        <w:t>te</w:t>
      </w:r>
      <w:r w:rsidR="008D7CA9">
        <w:t>men</w:t>
      </w:r>
      <w:r w:rsidR="00F05532">
        <w:t>t</w:t>
      </w:r>
      <w:r w:rsidR="008D7CA9">
        <w:t xml:space="preserve"> of signing, although an attempt will be made</w:t>
      </w:r>
      <w:r w:rsidR="00B86375">
        <w:t xml:space="preserve"> in accordance with </w:t>
      </w:r>
      <w:r w:rsidR="00E972F3">
        <w:t>the method I used to count the leaves</w:t>
      </w:r>
      <w:r w:rsidR="008D7CA9">
        <w:t xml:space="preserve">. </w:t>
      </w:r>
      <w:r w:rsidR="002F4557">
        <w:t xml:space="preserve">As there are no signatures, I </w:t>
      </w:r>
      <w:r w:rsidR="002F4557">
        <w:lastRenderedPageBreak/>
        <w:t xml:space="preserve">have created a statement of signatures that I think may have been useful for the printers. </w:t>
      </w:r>
      <w:r w:rsidR="003673DA">
        <w:t xml:space="preserve">The method I </w:t>
      </w:r>
      <w:r w:rsidR="009D69E9">
        <w:t xml:space="preserve">used for understanding what format was used for the book was by </w:t>
      </w:r>
      <w:r w:rsidR="008D7CA9">
        <w:t>checking the stitching of the book and</w:t>
      </w:r>
      <w:r>
        <w:t xml:space="preserve"> the amount of</w:t>
      </w:r>
      <w:r w:rsidR="009D69E9">
        <w:t xml:space="preserve"> leav</w:t>
      </w:r>
      <w:r>
        <w:t>es</w:t>
      </w:r>
      <w:r w:rsidR="009D69E9">
        <w:t xml:space="preserve"> stitched together</w:t>
      </w:r>
      <w:r w:rsidR="008D7CA9">
        <w:t>. This gave me an idea of how many leaves were in the gatherin</w:t>
      </w:r>
      <w:r w:rsidR="00B05CFC">
        <w:t xml:space="preserve">g and how to collate a </w:t>
      </w:r>
      <w:r w:rsidR="009D69E9">
        <w:t>Statement of signing</w:t>
      </w:r>
      <w:r w:rsidR="00E65D62">
        <w:rPr>
          <w:rStyle w:val="FootnoteReference"/>
        </w:rPr>
        <w:footnoteReference w:id="8"/>
      </w:r>
      <w:r>
        <w:t xml:space="preserve"> as calculated below:</w:t>
      </w:r>
    </w:p>
    <w:p w14:paraId="4B613F93" w14:textId="3C1F9E52" w:rsidR="009A185E" w:rsidRPr="00E65D62" w:rsidRDefault="009A185E" w:rsidP="00E65D62">
      <w:pPr>
        <w:spacing w:line="360" w:lineRule="auto"/>
        <w:jc w:val="both"/>
      </w:pPr>
    </w:p>
    <w:p w14:paraId="5CD95A81" w14:textId="719F3719" w:rsidR="009A185E" w:rsidRPr="00E65D62" w:rsidRDefault="00E20147" w:rsidP="00E65D62">
      <w:pPr>
        <w:spacing w:line="360" w:lineRule="auto"/>
        <w:jc w:val="both"/>
      </w:pPr>
      <w:r w:rsidRPr="00E65D62">
        <w:t>A - C⁶, D - H¹⁰, I¹¹ (-I2), K - O¹⁰, P - T¹⁰, U - A₂¹⁰, B₂ - F₂¹⁰, G₂ - L₂¹⁰, M₂ - Q₂¹⁰, R₂ - X₂¹⁰, Y₂ - C₃¹⁰, D₃ - H₃¹⁰, I₃ - N₃¹⁰, O₃ - S₃¹⁰, T₃ - Z₃¹⁰, A₄¹ (-A₄2), B₄ - F₄¹⁰, G₄¹¹ (-G₄2), H₄ - M₄¹⁰, N₄ - R₄¹⁰, S₄ - Y₄¹⁰, Z₄ - D₅¹⁰, E₅ - I₅¹⁰, K₅ - N₅⁸, O₅ - R₅⁸, S₅ - Y₅¹⁰, Z₅ -D₆¹⁰, E₆ - H₆⁸, I₆⁹ (-I₆2), K₆ - N₆⁸, O₆ - R₆⁸, S₆ - X₆⁸, Y₆⁹ (-Y₆2), Z₆ - D₇¹⁰, E₇ - I₇¹⁰, K₇ - O₇¹⁰, P₇ - T₇¹⁰, U₇¹¹ (-U₇2), X₇ - Z₇⁶, A₈ - C₈⁶, D₈⁷ (-D₈2), E₈ - H₈⁸, I₈ (-I₈2), K₈ - O₈¹⁰, P₈ - T₈¹⁰, U₈ - A₉¹⁰, B₉ - E₉⁸, F₉ (-F₉2), G₉ - K₉⁸, L₉⁹ (-L₉2), M₉ - P₉⁸, Q₉⁹ (-Q₉2), R₉ - S₉⁴, T₉⁵ (-T₉2).</w:t>
      </w:r>
    </w:p>
    <w:p w14:paraId="2F58446C" w14:textId="79792911" w:rsidR="00A247B7" w:rsidRDefault="00A247B7"/>
    <w:p w14:paraId="459821F8" w14:textId="52BF9FB5" w:rsidR="000576A7" w:rsidRDefault="000576A7" w:rsidP="000576A7">
      <w:pPr>
        <w:spacing w:line="360" w:lineRule="auto"/>
        <w:ind w:firstLine="720"/>
        <w:jc w:val="both"/>
      </w:pPr>
      <w:r>
        <w:t xml:space="preserve">The statement of signing is irregular from most other folios as some stitches were missing pages. Some of remnants of the page can still be seen in some of the stitches and others cannot. At first it appeared that the pages were torn out and the book damaged. However, Further examination of the book revealed that the sentences followed on correctly from each other without any breaks from the missing pages, indicating that it would have </w:t>
      </w:r>
      <w:r w:rsidR="00994279">
        <w:t>been done by someone on purpose;</w:t>
      </w:r>
      <w:r>
        <w:t xml:space="preserve"> more than li</w:t>
      </w:r>
      <w:r w:rsidR="00994279">
        <w:t>kely the printer during the creation of the book</w:t>
      </w:r>
      <w:r>
        <w:t>.</w:t>
      </w:r>
      <w:r w:rsidR="0097145A">
        <w:t xml:space="preserve"> </w:t>
      </w:r>
    </w:p>
    <w:p w14:paraId="2680F42D" w14:textId="50445215" w:rsidR="008B4A47" w:rsidRPr="007D7995" w:rsidRDefault="00BD32C7" w:rsidP="007D7995">
      <w:pPr>
        <w:spacing w:line="360" w:lineRule="auto"/>
        <w:ind w:firstLine="720"/>
        <w:jc w:val="both"/>
      </w:pPr>
      <w:r>
        <w:t>The ill</w:t>
      </w:r>
      <w:r w:rsidR="00E6510A">
        <w:t>ustrations of the family trees of the Gods are one of the most interesting things about the book. The hand drawn illustrations throughout the book are eye catching and are slightly before the ti</w:t>
      </w:r>
      <w:r w:rsidR="008B4A47">
        <w:t>me of woodcutter engravings</w:t>
      </w:r>
      <w:r w:rsidR="00E6510A">
        <w:t xml:space="preserve">. The printer of the book would have left a page blank for the trees to be drawn in by the artist. </w:t>
      </w:r>
      <w:r w:rsidR="00AD75AE">
        <w:t xml:space="preserve">The trees are described as; ‘(…) </w:t>
      </w:r>
      <w:r w:rsidR="00AD75AE" w:rsidRPr="00877A9D">
        <w:t xml:space="preserve">the earliest secular genealogical trees properly so called: </w:t>
      </w:r>
      <w:proofErr w:type="gramStart"/>
      <w:r w:rsidR="00AD75AE" w:rsidRPr="00877A9D">
        <w:t>that is to say, the</w:t>
      </w:r>
      <w:proofErr w:type="gramEnd"/>
      <w:r w:rsidR="00AD75AE" w:rsidRPr="00877A9D">
        <w:t xml:space="preserve"> first non-biblical genealogical charts in which</w:t>
      </w:r>
      <w:r w:rsidR="00AD75AE">
        <w:t xml:space="preserve"> stems, branches, and leaves ap</w:t>
      </w:r>
      <w:r w:rsidR="00AD75AE" w:rsidRPr="00877A9D">
        <w:t>pear.</w:t>
      </w:r>
      <w:r w:rsidR="00AD75AE">
        <w:t>’</w:t>
      </w:r>
      <w:r w:rsidR="00AD75AE" w:rsidRPr="00AD75AE">
        <w:rPr>
          <w:rStyle w:val="FootnoteReference"/>
        </w:rPr>
        <w:t xml:space="preserve"> </w:t>
      </w:r>
      <w:r w:rsidR="00AD75AE">
        <w:rPr>
          <w:rStyle w:val="FootnoteReference"/>
        </w:rPr>
        <w:footnoteReference w:id="9"/>
      </w:r>
      <w:r w:rsidR="00AD75AE">
        <w:t xml:space="preserve"> </w:t>
      </w:r>
      <w:r w:rsidR="00E6510A">
        <w:t>The artist of these drawing</w:t>
      </w:r>
      <w:r w:rsidR="00994279">
        <w:t>s</w:t>
      </w:r>
      <w:r w:rsidR="00E6510A">
        <w:t xml:space="preserve"> is believed to be Boccaccio himself. This can be assumed </w:t>
      </w:r>
      <w:r w:rsidR="00C60998">
        <w:t>because usually there is an artist’s signature or mark left by the illustrations in books,</w:t>
      </w:r>
      <w:r w:rsidR="00994279">
        <w:t xml:space="preserve"> except </w:t>
      </w:r>
      <w:r w:rsidR="00C60998">
        <w:t xml:space="preserve">there are none in this one. Boccaccio in later years was known to illustrate in his other works and </w:t>
      </w:r>
      <w:r w:rsidR="00994279">
        <w:t xml:space="preserve">it </w:t>
      </w:r>
      <w:r w:rsidR="00C60998">
        <w:t>w</w:t>
      </w:r>
      <w:r w:rsidR="00994279">
        <w:t>as agreed that he was</w:t>
      </w:r>
      <w:r w:rsidR="00C60998">
        <w:t xml:space="preserve"> a fine artist</w:t>
      </w:r>
      <w:r w:rsidR="00994279">
        <w:t xml:space="preserve"> although t</w:t>
      </w:r>
      <w:r w:rsidR="00C60998">
        <w:t xml:space="preserve">here were </w:t>
      </w:r>
      <w:r w:rsidR="00994279">
        <w:t xml:space="preserve">some </w:t>
      </w:r>
      <w:r w:rsidR="00C60998">
        <w:t>denials and doubts that the drawings were done by Bocaccio</w:t>
      </w:r>
      <w:r w:rsidR="00994279">
        <w:t>,</w:t>
      </w:r>
      <w:r w:rsidR="00C60998">
        <w:t xml:space="preserve"> </w:t>
      </w:r>
      <w:r w:rsidR="00994279">
        <w:t>due to</w:t>
      </w:r>
      <w:r w:rsidR="00C60998">
        <w:t xml:space="preserve"> how professional</w:t>
      </w:r>
      <w:r w:rsidR="00AD75AE">
        <w:t xml:space="preserve"> they appeared</w:t>
      </w:r>
      <w:r w:rsidR="00C60998">
        <w:t>.</w:t>
      </w:r>
      <w:r w:rsidR="00C60998">
        <w:rPr>
          <w:rStyle w:val="FootnoteReference"/>
        </w:rPr>
        <w:footnoteReference w:id="10"/>
      </w:r>
      <w:r w:rsidR="00AD75AE">
        <w:t xml:space="preserve"> Further investigation has shown that it is possible that Bocaccio was influenced by the idea of the trees from the </w:t>
      </w:r>
      <w:r w:rsidR="00AD75AE" w:rsidRPr="00D103C8">
        <w:rPr>
          <w:i/>
        </w:rPr>
        <w:t xml:space="preserve">Liber </w:t>
      </w:r>
      <w:proofErr w:type="spellStart"/>
      <w:r w:rsidR="00AD75AE" w:rsidRPr="00D103C8">
        <w:rPr>
          <w:i/>
        </w:rPr>
        <w:t>Collectionum</w:t>
      </w:r>
      <w:proofErr w:type="spellEnd"/>
      <w:r w:rsidR="00AD75AE">
        <w:t xml:space="preserve"> </w:t>
      </w:r>
      <w:r w:rsidR="00D103C8">
        <w:t>of Paolo Perugino; the librarian to the king of Naples when Boccaccio was a</w:t>
      </w:r>
      <w:r w:rsidR="00994279">
        <w:t>n</w:t>
      </w:r>
      <w:r w:rsidR="00D103C8">
        <w:t xml:space="preserve"> </w:t>
      </w:r>
      <w:r w:rsidR="00994279">
        <w:t>early resident of</w:t>
      </w:r>
      <w:r w:rsidR="00D103C8">
        <w:t xml:space="preserve"> the city.</w:t>
      </w:r>
      <w:r w:rsidR="00D103C8">
        <w:rPr>
          <w:rStyle w:val="FootnoteReference"/>
        </w:rPr>
        <w:footnoteReference w:id="11"/>
      </w:r>
      <w:r w:rsidR="00D103C8">
        <w:t xml:space="preserve"> Still, </w:t>
      </w:r>
      <w:r w:rsidR="00D103C8">
        <w:lastRenderedPageBreak/>
        <w:t xml:space="preserve">there is no evidence of this but </w:t>
      </w:r>
      <w:r w:rsidR="00994279">
        <w:t xml:space="preserve">it </w:t>
      </w:r>
      <w:r w:rsidR="00D103C8">
        <w:t>is strongly suspec</w:t>
      </w:r>
      <w:r w:rsidR="00994279">
        <w:t xml:space="preserve">ted as Boccaccio was aware of the </w:t>
      </w:r>
      <w:r w:rsidR="00994279" w:rsidRPr="00D103C8">
        <w:rPr>
          <w:i/>
        </w:rPr>
        <w:t xml:space="preserve">Liber </w:t>
      </w:r>
      <w:r w:rsidR="00994279">
        <w:rPr>
          <w:noProof/>
        </w:rPr>
        <w:drawing>
          <wp:anchor distT="0" distB="0" distL="114300" distR="114300" simplePos="0" relativeHeight="251638272" behindDoc="0" locked="0" layoutInCell="1" allowOverlap="1" wp14:anchorId="6A4AC950" wp14:editId="16B63CEB">
            <wp:simplePos x="0" y="0"/>
            <wp:positionH relativeFrom="column">
              <wp:posOffset>696568</wp:posOffset>
            </wp:positionH>
            <wp:positionV relativeFrom="paragraph">
              <wp:posOffset>666115</wp:posOffset>
            </wp:positionV>
            <wp:extent cx="3857625" cy="5142865"/>
            <wp:effectExtent l="0" t="0" r="9525"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57625" cy="5142865"/>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00994279" w:rsidRPr="00D103C8">
        <w:rPr>
          <w:i/>
        </w:rPr>
        <w:t>Collectionum</w:t>
      </w:r>
      <w:proofErr w:type="spellEnd"/>
      <w:r w:rsidR="00994279">
        <w:rPr>
          <w:i/>
        </w:rPr>
        <w:t>.</w:t>
      </w:r>
    </w:p>
    <w:p w14:paraId="5EE43D7E" w14:textId="10BB9E6E" w:rsidR="00B855AE" w:rsidRDefault="00B855AE" w:rsidP="007D7995">
      <w:pPr>
        <w:spacing w:line="360" w:lineRule="auto"/>
        <w:jc w:val="both"/>
      </w:pPr>
    </w:p>
    <w:p w14:paraId="4AFDD1AC" w14:textId="049CD42A" w:rsidR="007D7995" w:rsidRDefault="007D7995" w:rsidP="007D7995">
      <w:pPr>
        <w:spacing w:line="360" w:lineRule="auto"/>
        <w:jc w:val="both"/>
      </w:pPr>
    </w:p>
    <w:p w14:paraId="4C3871EF" w14:textId="1B4C15E9" w:rsidR="007D7995" w:rsidRDefault="007D7995" w:rsidP="007D7995">
      <w:pPr>
        <w:spacing w:line="360" w:lineRule="auto"/>
        <w:jc w:val="both"/>
      </w:pPr>
    </w:p>
    <w:p w14:paraId="50F144D0" w14:textId="52E9D01B" w:rsidR="007D7995" w:rsidRDefault="007D7995" w:rsidP="007D7995">
      <w:pPr>
        <w:spacing w:line="360" w:lineRule="auto"/>
        <w:jc w:val="both"/>
      </w:pPr>
    </w:p>
    <w:p w14:paraId="6EE16EE7" w14:textId="59687E9D" w:rsidR="007D7995" w:rsidRDefault="007D7995" w:rsidP="007D7995">
      <w:pPr>
        <w:spacing w:line="360" w:lineRule="auto"/>
        <w:jc w:val="both"/>
      </w:pPr>
    </w:p>
    <w:p w14:paraId="18CE400E" w14:textId="3B7C0598" w:rsidR="007D7995" w:rsidRDefault="007D7995" w:rsidP="007D7995">
      <w:pPr>
        <w:spacing w:line="360" w:lineRule="auto"/>
        <w:jc w:val="both"/>
      </w:pPr>
    </w:p>
    <w:p w14:paraId="1FEF6E04" w14:textId="3F5C421B" w:rsidR="007D7995" w:rsidRDefault="007D7995" w:rsidP="007D7995">
      <w:pPr>
        <w:spacing w:line="360" w:lineRule="auto"/>
        <w:jc w:val="both"/>
      </w:pPr>
    </w:p>
    <w:p w14:paraId="5160D78E" w14:textId="0B3A42F3" w:rsidR="007D7995" w:rsidRDefault="007D7995" w:rsidP="007D7995">
      <w:pPr>
        <w:spacing w:line="360" w:lineRule="auto"/>
        <w:jc w:val="both"/>
      </w:pPr>
    </w:p>
    <w:p w14:paraId="55270804" w14:textId="556B73F1" w:rsidR="007D7995" w:rsidRDefault="007D7995" w:rsidP="007D7995">
      <w:pPr>
        <w:spacing w:line="360" w:lineRule="auto"/>
        <w:jc w:val="both"/>
      </w:pPr>
    </w:p>
    <w:p w14:paraId="164BD35F" w14:textId="75F8AFC9" w:rsidR="007D7995" w:rsidRDefault="007D7995" w:rsidP="007D7995">
      <w:pPr>
        <w:spacing w:line="360" w:lineRule="auto"/>
        <w:jc w:val="both"/>
      </w:pPr>
    </w:p>
    <w:p w14:paraId="75D099A8" w14:textId="77777777" w:rsidR="00FA139B" w:rsidRDefault="00FA139B" w:rsidP="007D7995">
      <w:pPr>
        <w:spacing w:line="360" w:lineRule="auto"/>
        <w:jc w:val="both"/>
        <w:rPr>
          <w:b/>
        </w:rPr>
      </w:pPr>
    </w:p>
    <w:p w14:paraId="7C072B3E" w14:textId="77777777" w:rsidR="00FA139B" w:rsidRDefault="00FA139B" w:rsidP="007D7995">
      <w:pPr>
        <w:spacing w:line="360" w:lineRule="auto"/>
        <w:jc w:val="both"/>
        <w:rPr>
          <w:b/>
        </w:rPr>
      </w:pPr>
    </w:p>
    <w:p w14:paraId="607CAEC6" w14:textId="0601542E" w:rsidR="00A669A3" w:rsidRPr="00FA139B" w:rsidRDefault="007D7995" w:rsidP="007D7995">
      <w:pPr>
        <w:spacing w:line="360" w:lineRule="auto"/>
        <w:jc w:val="both"/>
        <w:rPr>
          <w:b/>
        </w:rPr>
      </w:pPr>
      <w:r w:rsidRPr="008B4A47">
        <w:rPr>
          <w:b/>
        </w:rPr>
        <w:lastRenderedPageBreak/>
        <w:t>Bibliography</w:t>
      </w:r>
    </w:p>
    <w:p w14:paraId="7F55F14C" w14:textId="7F0924F1" w:rsidR="00A669A3" w:rsidRDefault="00A669A3" w:rsidP="00A669A3">
      <w:pPr>
        <w:pStyle w:val="FootnoteText"/>
        <w:jc w:val="both"/>
        <w:rPr>
          <w:rFonts w:cstheme="minorHAnsi"/>
          <w:sz w:val="16"/>
          <w:szCs w:val="16"/>
        </w:rPr>
      </w:pPr>
    </w:p>
    <w:p w14:paraId="1F16E0DB" w14:textId="77777777" w:rsidR="00A669A3" w:rsidRDefault="00A669A3" w:rsidP="00A669A3">
      <w:pPr>
        <w:rPr>
          <w:rFonts w:cstheme="minorHAnsi"/>
          <w:sz w:val="16"/>
          <w:szCs w:val="16"/>
        </w:rPr>
      </w:pPr>
    </w:p>
    <w:p w14:paraId="4BBCE8EE" w14:textId="1FB8C8ED" w:rsidR="00A669A3" w:rsidRPr="000153BA" w:rsidRDefault="00A669A3" w:rsidP="00A669A3">
      <w:pPr>
        <w:pStyle w:val="FootnoteText"/>
        <w:jc w:val="both"/>
        <w:rPr>
          <w:rFonts w:cstheme="minorHAnsi"/>
          <w:sz w:val="22"/>
          <w:szCs w:val="22"/>
        </w:rPr>
      </w:pPr>
      <w:r w:rsidRPr="000153BA">
        <w:rPr>
          <w:rFonts w:cstheme="minorHAnsi"/>
          <w:sz w:val="22"/>
          <w:szCs w:val="22"/>
        </w:rPr>
        <w:t xml:space="preserve">Boccaccio, A Critical Guide to the Complete Works. Edited by Victoria Kirkham, Michael </w:t>
      </w:r>
      <w:proofErr w:type="spellStart"/>
      <w:r w:rsidRPr="000153BA">
        <w:rPr>
          <w:rFonts w:cstheme="minorHAnsi"/>
          <w:sz w:val="22"/>
          <w:szCs w:val="22"/>
        </w:rPr>
        <w:t>Sherberg</w:t>
      </w:r>
      <w:proofErr w:type="spellEnd"/>
      <w:r w:rsidRPr="000153BA">
        <w:rPr>
          <w:rFonts w:cstheme="minorHAnsi"/>
          <w:sz w:val="22"/>
          <w:szCs w:val="22"/>
        </w:rPr>
        <w:t xml:space="preserve"> and Janet </w:t>
      </w:r>
      <w:proofErr w:type="spellStart"/>
      <w:r w:rsidRPr="000153BA">
        <w:rPr>
          <w:rFonts w:cstheme="minorHAnsi"/>
          <w:sz w:val="22"/>
          <w:szCs w:val="22"/>
        </w:rPr>
        <w:t>Levarie</w:t>
      </w:r>
      <w:proofErr w:type="spellEnd"/>
      <w:r w:rsidRPr="000153BA">
        <w:rPr>
          <w:rFonts w:cstheme="minorHAnsi"/>
          <w:sz w:val="22"/>
          <w:szCs w:val="22"/>
        </w:rPr>
        <w:t xml:space="preserve"> </w:t>
      </w:r>
      <w:proofErr w:type="spellStart"/>
      <w:r w:rsidRPr="000153BA">
        <w:rPr>
          <w:rFonts w:cstheme="minorHAnsi"/>
          <w:sz w:val="22"/>
          <w:szCs w:val="22"/>
        </w:rPr>
        <w:t>Smarr</w:t>
      </w:r>
      <w:proofErr w:type="spellEnd"/>
      <w:r w:rsidRPr="000153BA">
        <w:rPr>
          <w:rFonts w:cstheme="minorHAnsi"/>
          <w:sz w:val="22"/>
          <w:szCs w:val="22"/>
        </w:rPr>
        <w:t>. (Chicago: University of Chicago Press, 2013.) Pp.321-322</w:t>
      </w:r>
    </w:p>
    <w:p w14:paraId="311A8A3A" w14:textId="77777777" w:rsidR="000153BA" w:rsidRPr="000153BA" w:rsidRDefault="000153BA" w:rsidP="00A669A3">
      <w:pPr>
        <w:pStyle w:val="FootnoteText"/>
        <w:jc w:val="both"/>
        <w:rPr>
          <w:rFonts w:cstheme="minorHAnsi"/>
          <w:sz w:val="22"/>
          <w:szCs w:val="22"/>
        </w:rPr>
      </w:pPr>
    </w:p>
    <w:p w14:paraId="7EECF589" w14:textId="549692DF" w:rsidR="000153BA" w:rsidRPr="000153BA" w:rsidRDefault="000153BA" w:rsidP="00A669A3">
      <w:pPr>
        <w:pStyle w:val="FootnoteText"/>
        <w:jc w:val="both"/>
        <w:rPr>
          <w:rFonts w:cstheme="minorHAnsi"/>
          <w:sz w:val="22"/>
          <w:szCs w:val="22"/>
        </w:rPr>
      </w:pPr>
      <w:r w:rsidRPr="000153BA">
        <w:rPr>
          <w:rFonts w:cstheme="minorHAnsi"/>
          <w:sz w:val="22"/>
          <w:szCs w:val="22"/>
        </w:rPr>
        <w:t xml:space="preserve">Boccaccio, Giovanni, </w:t>
      </w:r>
      <w:proofErr w:type="spellStart"/>
      <w:r w:rsidRPr="000153BA">
        <w:rPr>
          <w:rFonts w:cstheme="minorHAnsi"/>
          <w:i/>
          <w:sz w:val="22"/>
          <w:szCs w:val="22"/>
        </w:rPr>
        <w:t>Genealogie</w:t>
      </w:r>
      <w:proofErr w:type="spellEnd"/>
      <w:r w:rsidRPr="000153BA">
        <w:rPr>
          <w:rFonts w:cstheme="minorHAnsi"/>
          <w:i/>
          <w:sz w:val="22"/>
          <w:szCs w:val="22"/>
        </w:rPr>
        <w:t xml:space="preserve"> </w:t>
      </w:r>
      <w:proofErr w:type="spellStart"/>
      <w:r w:rsidRPr="000153BA">
        <w:rPr>
          <w:rFonts w:cstheme="minorHAnsi"/>
          <w:i/>
          <w:sz w:val="22"/>
          <w:szCs w:val="22"/>
        </w:rPr>
        <w:t>deorum</w:t>
      </w:r>
      <w:proofErr w:type="spellEnd"/>
      <w:r w:rsidRPr="000153BA">
        <w:rPr>
          <w:rFonts w:cstheme="minorHAnsi"/>
          <w:i/>
          <w:sz w:val="22"/>
          <w:szCs w:val="22"/>
        </w:rPr>
        <w:t xml:space="preserve"> </w:t>
      </w:r>
      <w:proofErr w:type="spellStart"/>
      <w:r w:rsidRPr="000153BA">
        <w:rPr>
          <w:rFonts w:cstheme="minorHAnsi"/>
          <w:i/>
          <w:sz w:val="22"/>
          <w:szCs w:val="22"/>
        </w:rPr>
        <w:t>gentilium</w:t>
      </w:r>
      <w:proofErr w:type="spellEnd"/>
      <w:r w:rsidRPr="000153BA">
        <w:rPr>
          <w:rFonts w:cstheme="minorHAnsi"/>
          <w:i/>
          <w:sz w:val="22"/>
          <w:szCs w:val="22"/>
        </w:rPr>
        <w:t>:</w:t>
      </w:r>
      <w:r>
        <w:rPr>
          <w:rFonts w:cstheme="minorHAnsi"/>
          <w:i/>
          <w:sz w:val="22"/>
          <w:szCs w:val="22"/>
        </w:rPr>
        <w:t xml:space="preserve"> ad </w:t>
      </w:r>
      <w:proofErr w:type="spellStart"/>
      <w:r>
        <w:rPr>
          <w:rFonts w:cstheme="minorHAnsi"/>
          <w:i/>
          <w:sz w:val="22"/>
          <w:szCs w:val="22"/>
        </w:rPr>
        <w:t>Vgonem</w:t>
      </w:r>
      <w:proofErr w:type="spellEnd"/>
      <w:r>
        <w:rPr>
          <w:rFonts w:cstheme="minorHAnsi"/>
          <w:i/>
          <w:sz w:val="22"/>
          <w:szCs w:val="22"/>
        </w:rPr>
        <w:t xml:space="preserve"> </w:t>
      </w:r>
      <w:proofErr w:type="spellStart"/>
      <w:r>
        <w:rPr>
          <w:rFonts w:cstheme="minorHAnsi"/>
          <w:i/>
          <w:sz w:val="22"/>
          <w:szCs w:val="22"/>
        </w:rPr>
        <w:t>inclytum</w:t>
      </w:r>
      <w:proofErr w:type="spellEnd"/>
      <w:r>
        <w:rPr>
          <w:rFonts w:cstheme="minorHAnsi"/>
          <w:i/>
          <w:sz w:val="22"/>
          <w:szCs w:val="22"/>
        </w:rPr>
        <w:t xml:space="preserve"> </w:t>
      </w:r>
      <w:proofErr w:type="spellStart"/>
      <w:r>
        <w:rPr>
          <w:rFonts w:cstheme="minorHAnsi"/>
          <w:i/>
          <w:sz w:val="22"/>
          <w:szCs w:val="22"/>
        </w:rPr>
        <w:t>Hierusalē</w:t>
      </w:r>
      <w:proofErr w:type="spellEnd"/>
      <w:r w:rsidRPr="000153BA">
        <w:rPr>
          <w:rFonts w:cstheme="minorHAnsi"/>
          <w:i/>
          <w:sz w:val="22"/>
          <w:szCs w:val="22"/>
        </w:rPr>
        <w:t xml:space="preserve"> &amp; </w:t>
      </w:r>
      <w:proofErr w:type="spellStart"/>
      <w:r w:rsidRPr="000153BA">
        <w:rPr>
          <w:rFonts w:cstheme="minorHAnsi"/>
          <w:i/>
          <w:sz w:val="22"/>
          <w:szCs w:val="22"/>
        </w:rPr>
        <w:t>Cypri</w:t>
      </w:r>
      <w:proofErr w:type="spellEnd"/>
      <w:r w:rsidRPr="000153BA">
        <w:rPr>
          <w:rFonts w:cstheme="minorHAnsi"/>
          <w:i/>
          <w:sz w:val="22"/>
          <w:szCs w:val="22"/>
        </w:rPr>
        <w:t xml:space="preserve"> </w:t>
      </w:r>
      <w:proofErr w:type="spellStart"/>
      <w:r>
        <w:rPr>
          <w:rFonts w:cstheme="minorHAnsi"/>
          <w:i/>
          <w:sz w:val="22"/>
          <w:szCs w:val="22"/>
        </w:rPr>
        <w:t>regem</w:t>
      </w:r>
      <w:proofErr w:type="spellEnd"/>
      <w:r>
        <w:rPr>
          <w:rFonts w:cstheme="minorHAnsi"/>
          <w:i/>
          <w:sz w:val="22"/>
          <w:szCs w:val="22"/>
        </w:rPr>
        <w:t xml:space="preserve"> </w:t>
      </w:r>
      <w:proofErr w:type="spellStart"/>
      <w:r>
        <w:rPr>
          <w:rFonts w:cstheme="minorHAnsi"/>
          <w:i/>
          <w:sz w:val="22"/>
          <w:szCs w:val="22"/>
        </w:rPr>
        <w:t>secundum</w:t>
      </w:r>
      <w:proofErr w:type="spellEnd"/>
      <w:r>
        <w:rPr>
          <w:rFonts w:cstheme="minorHAnsi"/>
          <w:i/>
          <w:sz w:val="22"/>
          <w:szCs w:val="22"/>
        </w:rPr>
        <w:t xml:space="preserve"> </w:t>
      </w:r>
      <w:proofErr w:type="spellStart"/>
      <w:r>
        <w:rPr>
          <w:rFonts w:cstheme="minorHAnsi"/>
          <w:i/>
          <w:sz w:val="22"/>
          <w:szCs w:val="22"/>
        </w:rPr>
        <w:t>Iohannem</w:t>
      </w:r>
      <w:proofErr w:type="spellEnd"/>
      <w:r>
        <w:rPr>
          <w:rFonts w:cstheme="minorHAnsi"/>
          <w:i/>
          <w:sz w:val="22"/>
          <w:szCs w:val="22"/>
        </w:rPr>
        <w:t xml:space="preserve"> </w:t>
      </w:r>
      <w:proofErr w:type="spellStart"/>
      <w:r>
        <w:rPr>
          <w:rFonts w:cstheme="minorHAnsi"/>
          <w:i/>
          <w:sz w:val="22"/>
          <w:szCs w:val="22"/>
        </w:rPr>
        <w:t>Boccatiū</w:t>
      </w:r>
      <w:proofErr w:type="spellEnd"/>
      <w:r w:rsidRPr="000153BA">
        <w:rPr>
          <w:rFonts w:cstheme="minorHAnsi"/>
          <w:i/>
          <w:sz w:val="22"/>
          <w:szCs w:val="22"/>
        </w:rPr>
        <w:t xml:space="preserve"> de </w:t>
      </w:r>
      <w:proofErr w:type="spellStart"/>
      <w:r w:rsidRPr="000153BA">
        <w:rPr>
          <w:rFonts w:cstheme="minorHAnsi"/>
          <w:i/>
          <w:sz w:val="22"/>
          <w:szCs w:val="22"/>
        </w:rPr>
        <w:t>Certaldo</w:t>
      </w:r>
      <w:proofErr w:type="spellEnd"/>
      <w:r w:rsidRPr="000153BA">
        <w:rPr>
          <w:rFonts w:cstheme="minorHAnsi"/>
          <w:i/>
          <w:sz w:val="22"/>
          <w:szCs w:val="22"/>
        </w:rPr>
        <w:t xml:space="preserve"> liber primus incipit </w:t>
      </w:r>
      <w:proofErr w:type="spellStart"/>
      <w:r w:rsidRPr="000153BA">
        <w:rPr>
          <w:rFonts w:cstheme="minorHAnsi"/>
          <w:i/>
          <w:sz w:val="22"/>
          <w:szCs w:val="22"/>
        </w:rPr>
        <w:t>feliciter</w:t>
      </w:r>
      <w:proofErr w:type="spellEnd"/>
      <w:r w:rsidRPr="000153BA">
        <w:rPr>
          <w:rFonts w:cstheme="minorHAnsi"/>
          <w:i/>
          <w:sz w:val="22"/>
          <w:szCs w:val="22"/>
        </w:rPr>
        <w:t xml:space="preserve"> </w:t>
      </w:r>
      <w:r w:rsidRPr="000153BA">
        <w:rPr>
          <w:rFonts w:cstheme="minorHAnsi"/>
          <w:sz w:val="22"/>
          <w:szCs w:val="22"/>
        </w:rPr>
        <w:t xml:space="preserve">(Venice: </w:t>
      </w:r>
      <w:proofErr w:type="spellStart"/>
      <w:r w:rsidRPr="000153BA">
        <w:rPr>
          <w:rFonts w:cstheme="minorHAnsi"/>
          <w:sz w:val="22"/>
          <w:szCs w:val="22"/>
        </w:rPr>
        <w:t>Vindelinus</w:t>
      </w:r>
      <w:proofErr w:type="spellEnd"/>
      <w:r w:rsidRPr="000153BA">
        <w:rPr>
          <w:rFonts w:cstheme="minorHAnsi"/>
          <w:sz w:val="22"/>
          <w:szCs w:val="22"/>
        </w:rPr>
        <w:t xml:space="preserve"> de </w:t>
      </w:r>
      <w:proofErr w:type="spellStart"/>
      <w:r w:rsidRPr="000153BA">
        <w:rPr>
          <w:rFonts w:cstheme="minorHAnsi"/>
          <w:sz w:val="22"/>
          <w:szCs w:val="22"/>
        </w:rPr>
        <w:t>Spira</w:t>
      </w:r>
      <w:proofErr w:type="spellEnd"/>
      <w:r w:rsidRPr="000153BA">
        <w:rPr>
          <w:rFonts w:cstheme="minorHAnsi"/>
          <w:sz w:val="22"/>
          <w:szCs w:val="22"/>
        </w:rPr>
        <w:t xml:space="preserve">, 1472) </w:t>
      </w:r>
    </w:p>
    <w:p w14:paraId="4128AD74" w14:textId="77777777" w:rsidR="000153BA" w:rsidRPr="000153BA" w:rsidRDefault="000153BA" w:rsidP="00A669A3">
      <w:pPr>
        <w:pStyle w:val="FootnoteText"/>
        <w:jc w:val="both"/>
        <w:rPr>
          <w:rFonts w:cstheme="minorHAnsi"/>
          <w:sz w:val="22"/>
          <w:szCs w:val="22"/>
        </w:rPr>
      </w:pPr>
    </w:p>
    <w:p w14:paraId="2940D538" w14:textId="6BC5C07D" w:rsidR="00A669A3" w:rsidRPr="000153BA" w:rsidRDefault="00A669A3" w:rsidP="00A669A3">
      <w:pPr>
        <w:pStyle w:val="FootnoteText"/>
        <w:jc w:val="both"/>
        <w:rPr>
          <w:rFonts w:cstheme="minorHAnsi"/>
          <w:sz w:val="22"/>
          <w:szCs w:val="22"/>
        </w:rPr>
      </w:pPr>
      <w:r w:rsidRPr="000153BA">
        <w:rPr>
          <w:rFonts w:cstheme="minorHAnsi"/>
          <w:sz w:val="22"/>
          <w:szCs w:val="22"/>
        </w:rPr>
        <w:t xml:space="preserve">Morrison, David, </w:t>
      </w:r>
      <w:r w:rsidRPr="000153BA">
        <w:rPr>
          <w:rFonts w:cstheme="minorHAnsi"/>
          <w:i/>
          <w:sz w:val="22"/>
          <w:szCs w:val="22"/>
        </w:rPr>
        <w:t xml:space="preserve">Who Drew the First Family Tree?, </w:t>
      </w:r>
      <w:r w:rsidRPr="000153BA">
        <w:rPr>
          <w:rFonts w:cstheme="minorHAnsi"/>
          <w:sz w:val="22"/>
          <w:szCs w:val="22"/>
        </w:rPr>
        <w:t xml:space="preserve">The Genealogical World of Phylogenetic Networks, 19th April 2016 </w:t>
      </w:r>
      <w:r w:rsidRPr="000153BA">
        <w:rPr>
          <w:rFonts w:cstheme="minorHAnsi"/>
          <w:i/>
          <w:sz w:val="22"/>
          <w:szCs w:val="22"/>
        </w:rPr>
        <w:t xml:space="preserve"> </w:t>
      </w:r>
      <w:r w:rsidR="000153BA">
        <w:rPr>
          <w:rFonts w:cstheme="minorHAnsi"/>
          <w:i/>
          <w:sz w:val="22"/>
          <w:szCs w:val="22"/>
        </w:rPr>
        <w:t>&lt;</w:t>
      </w:r>
      <w:hyperlink r:id="rId12" w:history="1">
        <w:r w:rsidRPr="000153BA">
          <w:rPr>
            <w:rStyle w:val="Hyperlink"/>
            <w:rFonts w:cstheme="minorHAnsi"/>
            <w:sz w:val="22"/>
            <w:szCs w:val="22"/>
          </w:rPr>
          <w:t>http://phylonetworks.blogspot.com/2016/04/who-first-drew-family-tree-as-tree.html</w:t>
        </w:r>
      </w:hyperlink>
      <w:r w:rsidR="000153BA">
        <w:rPr>
          <w:rFonts w:cstheme="minorHAnsi"/>
          <w:sz w:val="22"/>
          <w:szCs w:val="22"/>
        </w:rPr>
        <w:t>&gt;</w:t>
      </w:r>
      <w:r w:rsidRPr="000153BA">
        <w:rPr>
          <w:rFonts w:cstheme="minorHAnsi"/>
          <w:sz w:val="22"/>
          <w:szCs w:val="22"/>
        </w:rPr>
        <w:t xml:space="preserve"> [Accessed 11th December 2018]</w:t>
      </w:r>
    </w:p>
    <w:p w14:paraId="3564F52F" w14:textId="77777777" w:rsidR="000153BA" w:rsidRPr="000153BA" w:rsidRDefault="000153BA" w:rsidP="00A669A3">
      <w:pPr>
        <w:pStyle w:val="FootnoteText"/>
        <w:jc w:val="both"/>
        <w:rPr>
          <w:rFonts w:cstheme="minorHAnsi"/>
          <w:sz w:val="22"/>
          <w:szCs w:val="22"/>
        </w:rPr>
      </w:pPr>
    </w:p>
    <w:p w14:paraId="37408841" w14:textId="509313A1" w:rsidR="00A669A3" w:rsidRPr="000153BA" w:rsidRDefault="00A669A3" w:rsidP="00A669A3">
      <w:pPr>
        <w:pStyle w:val="FootnoteText"/>
        <w:jc w:val="both"/>
        <w:rPr>
          <w:rFonts w:cstheme="minorHAnsi"/>
          <w:sz w:val="22"/>
          <w:szCs w:val="22"/>
        </w:rPr>
      </w:pPr>
      <w:proofErr w:type="spellStart"/>
      <w:r w:rsidRPr="000153BA">
        <w:rPr>
          <w:rFonts w:cstheme="minorHAnsi"/>
          <w:sz w:val="22"/>
          <w:szCs w:val="22"/>
        </w:rPr>
        <w:t>Preece</w:t>
      </w:r>
      <w:proofErr w:type="spellEnd"/>
      <w:r w:rsidRPr="000153BA">
        <w:rPr>
          <w:rFonts w:cstheme="minorHAnsi"/>
          <w:sz w:val="22"/>
          <w:szCs w:val="22"/>
        </w:rPr>
        <w:t xml:space="preserve">, </w:t>
      </w:r>
      <w:proofErr w:type="spellStart"/>
      <w:r w:rsidRPr="000153BA">
        <w:rPr>
          <w:rFonts w:cstheme="minorHAnsi"/>
          <w:sz w:val="22"/>
          <w:szCs w:val="22"/>
        </w:rPr>
        <w:t>Warre</w:t>
      </w:r>
      <w:proofErr w:type="spellEnd"/>
      <w:r w:rsidRPr="000153BA">
        <w:rPr>
          <w:rFonts w:cstheme="minorHAnsi"/>
          <w:sz w:val="22"/>
          <w:szCs w:val="22"/>
        </w:rPr>
        <w:t>, E., and Wells James, M., ,</w:t>
      </w:r>
      <w:r w:rsidRPr="000153BA">
        <w:rPr>
          <w:rFonts w:cstheme="minorHAnsi"/>
          <w:i/>
          <w:sz w:val="22"/>
          <w:szCs w:val="22"/>
        </w:rPr>
        <w:t>Typography</w:t>
      </w:r>
      <w:r w:rsidRPr="000153BA">
        <w:rPr>
          <w:rFonts w:cstheme="minorHAnsi"/>
          <w:sz w:val="22"/>
          <w:szCs w:val="22"/>
        </w:rPr>
        <w:t xml:space="preserve">, </w:t>
      </w:r>
      <w:proofErr w:type="spellStart"/>
      <w:r w:rsidRPr="000153BA">
        <w:rPr>
          <w:rFonts w:cstheme="minorHAnsi"/>
          <w:sz w:val="22"/>
          <w:szCs w:val="22"/>
        </w:rPr>
        <w:t>Encyclopǣdia</w:t>
      </w:r>
      <w:proofErr w:type="spellEnd"/>
      <w:r w:rsidRPr="000153BA">
        <w:rPr>
          <w:rFonts w:cstheme="minorHAnsi"/>
          <w:sz w:val="22"/>
          <w:szCs w:val="22"/>
        </w:rPr>
        <w:t xml:space="preserve"> Britannica, (</w:t>
      </w:r>
      <w:proofErr w:type="spellStart"/>
      <w:r w:rsidRPr="000153BA">
        <w:rPr>
          <w:rFonts w:cstheme="minorHAnsi"/>
          <w:sz w:val="22"/>
          <w:szCs w:val="22"/>
        </w:rPr>
        <w:t>Encyclopǣdia</w:t>
      </w:r>
      <w:proofErr w:type="spellEnd"/>
      <w:r w:rsidRPr="000153BA">
        <w:rPr>
          <w:rFonts w:cstheme="minorHAnsi"/>
          <w:sz w:val="22"/>
          <w:szCs w:val="22"/>
        </w:rPr>
        <w:t xml:space="preserve"> Britannica </w:t>
      </w:r>
      <w:proofErr w:type="spellStart"/>
      <w:r w:rsidRPr="000153BA">
        <w:rPr>
          <w:rFonts w:cstheme="minorHAnsi"/>
          <w:sz w:val="22"/>
          <w:szCs w:val="22"/>
        </w:rPr>
        <w:t>inc</w:t>
      </w:r>
      <w:proofErr w:type="spellEnd"/>
      <w:r w:rsidRPr="000153BA">
        <w:rPr>
          <w:rFonts w:cstheme="minorHAnsi"/>
          <w:sz w:val="22"/>
          <w:szCs w:val="22"/>
        </w:rPr>
        <w:t xml:space="preserve"> 25</w:t>
      </w:r>
      <w:r w:rsidRPr="000153BA">
        <w:rPr>
          <w:rFonts w:cstheme="minorHAnsi"/>
          <w:sz w:val="22"/>
          <w:szCs w:val="22"/>
          <w:vertAlign w:val="superscript"/>
        </w:rPr>
        <w:t>th</w:t>
      </w:r>
      <w:r w:rsidRPr="000153BA">
        <w:rPr>
          <w:rFonts w:cstheme="minorHAnsi"/>
          <w:sz w:val="22"/>
          <w:szCs w:val="22"/>
        </w:rPr>
        <w:t xml:space="preserve"> May 2017) &lt;</w:t>
      </w:r>
      <w:hyperlink r:id="rId13" w:history="1">
        <w:r w:rsidRPr="000153BA">
          <w:rPr>
            <w:rStyle w:val="Hyperlink"/>
            <w:rFonts w:cstheme="minorHAnsi"/>
            <w:sz w:val="22"/>
            <w:szCs w:val="22"/>
          </w:rPr>
          <w:t>https://www.britannica.com/technology/typography/History-of-typography#ref36789</w:t>
        </w:r>
      </w:hyperlink>
      <w:r w:rsidRPr="000153BA">
        <w:rPr>
          <w:rFonts w:cstheme="minorHAnsi"/>
          <w:sz w:val="22"/>
          <w:szCs w:val="22"/>
        </w:rPr>
        <w:t>&gt; [Accessed 11</w:t>
      </w:r>
      <w:r w:rsidRPr="000153BA">
        <w:rPr>
          <w:rFonts w:cstheme="minorHAnsi"/>
          <w:sz w:val="22"/>
          <w:szCs w:val="22"/>
          <w:vertAlign w:val="superscript"/>
        </w:rPr>
        <w:t>th</w:t>
      </w:r>
      <w:r w:rsidRPr="000153BA">
        <w:rPr>
          <w:rFonts w:cstheme="minorHAnsi"/>
          <w:sz w:val="22"/>
          <w:szCs w:val="22"/>
        </w:rPr>
        <w:t xml:space="preserve"> December 2018]</w:t>
      </w:r>
    </w:p>
    <w:p w14:paraId="24F418DB" w14:textId="77777777" w:rsidR="000153BA" w:rsidRPr="000153BA" w:rsidRDefault="000153BA" w:rsidP="00A669A3">
      <w:pPr>
        <w:rPr>
          <w:rFonts w:cstheme="minorHAnsi"/>
        </w:rPr>
      </w:pPr>
    </w:p>
    <w:p w14:paraId="41B80752" w14:textId="3479A3A4" w:rsidR="00A669A3" w:rsidRPr="000153BA" w:rsidRDefault="00A669A3" w:rsidP="00A669A3">
      <w:r w:rsidRPr="000153BA">
        <w:rPr>
          <w:rFonts w:cstheme="minorHAnsi"/>
        </w:rPr>
        <w:t>Wilkins, Ernest H. “The Genealogy of the Editions of the ‘</w:t>
      </w:r>
      <w:proofErr w:type="spellStart"/>
      <w:r w:rsidRPr="000153BA">
        <w:rPr>
          <w:rFonts w:cstheme="minorHAnsi"/>
        </w:rPr>
        <w:t>Genealogia</w:t>
      </w:r>
      <w:proofErr w:type="spellEnd"/>
      <w:r w:rsidRPr="000153BA">
        <w:rPr>
          <w:rFonts w:cstheme="minorHAnsi"/>
        </w:rPr>
        <w:t xml:space="preserve"> </w:t>
      </w:r>
      <w:proofErr w:type="spellStart"/>
      <w:r w:rsidRPr="000153BA">
        <w:rPr>
          <w:rFonts w:cstheme="minorHAnsi"/>
        </w:rPr>
        <w:t>Deorum</w:t>
      </w:r>
      <w:proofErr w:type="spellEnd"/>
      <w:r w:rsidRPr="000153BA">
        <w:rPr>
          <w:rFonts w:cstheme="minorHAnsi"/>
        </w:rPr>
        <w:t xml:space="preserve">.’” </w:t>
      </w:r>
      <w:r w:rsidRPr="000153BA">
        <w:rPr>
          <w:rFonts w:cstheme="minorHAnsi"/>
          <w:i/>
          <w:iCs/>
        </w:rPr>
        <w:t>Modern Philology</w:t>
      </w:r>
      <w:r w:rsidRPr="000153BA">
        <w:rPr>
          <w:rFonts w:cstheme="minorHAnsi"/>
        </w:rPr>
        <w:t xml:space="preserve">, vol. 17, no. 8, 1919, pp. 425–438. </w:t>
      </w:r>
      <w:r w:rsidRPr="000153BA">
        <w:rPr>
          <w:rFonts w:cstheme="minorHAnsi"/>
          <w:i/>
          <w:iCs/>
        </w:rPr>
        <w:t>JSTOR</w:t>
      </w:r>
      <w:r w:rsidRPr="000153BA">
        <w:rPr>
          <w:rFonts w:cstheme="minorHAnsi"/>
        </w:rPr>
        <w:t xml:space="preserve">, JSTOR, </w:t>
      </w:r>
      <w:r w:rsidR="000153BA">
        <w:rPr>
          <w:rFonts w:cstheme="minorHAnsi"/>
        </w:rPr>
        <w:t>&lt;</w:t>
      </w:r>
      <w:r w:rsidRPr="000153BA">
        <w:rPr>
          <w:rFonts w:cstheme="minorHAnsi"/>
        </w:rPr>
        <w:t>www.jstor.org/stable/432869</w:t>
      </w:r>
      <w:r w:rsidR="000153BA">
        <w:rPr>
          <w:rFonts w:cstheme="minorHAnsi"/>
        </w:rPr>
        <w:t>&gt;</w:t>
      </w:r>
      <w:r w:rsidRPr="000153BA">
        <w:rPr>
          <w:rFonts w:cstheme="minorHAnsi"/>
        </w:rPr>
        <w:t>.</w:t>
      </w:r>
    </w:p>
    <w:p w14:paraId="5F5DC0CD" w14:textId="77777777" w:rsidR="000153BA" w:rsidRPr="000153BA" w:rsidRDefault="000153BA" w:rsidP="00A669A3">
      <w:pPr>
        <w:pStyle w:val="FootnoteText"/>
        <w:jc w:val="both"/>
        <w:rPr>
          <w:rFonts w:cstheme="minorHAnsi"/>
          <w:sz w:val="22"/>
          <w:szCs w:val="22"/>
        </w:rPr>
      </w:pPr>
    </w:p>
    <w:p w14:paraId="4BFDA93C" w14:textId="436A4820" w:rsidR="00A669A3" w:rsidRPr="000153BA" w:rsidRDefault="00A669A3" w:rsidP="00A669A3">
      <w:pPr>
        <w:pStyle w:val="FootnoteText"/>
        <w:jc w:val="both"/>
        <w:rPr>
          <w:rFonts w:cstheme="minorHAnsi"/>
          <w:sz w:val="22"/>
          <w:szCs w:val="22"/>
        </w:rPr>
      </w:pPr>
      <w:r w:rsidRPr="000153BA">
        <w:rPr>
          <w:rFonts w:cstheme="minorHAnsi"/>
          <w:sz w:val="22"/>
          <w:szCs w:val="22"/>
        </w:rPr>
        <w:t>Wilkins, Ernest H. “The Genealogy of the Genealogical Trees of the ‘</w:t>
      </w:r>
      <w:proofErr w:type="spellStart"/>
      <w:r w:rsidRPr="000153BA">
        <w:rPr>
          <w:rFonts w:cstheme="minorHAnsi"/>
          <w:sz w:val="22"/>
          <w:szCs w:val="22"/>
        </w:rPr>
        <w:t>Genealogia</w:t>
      </w:r>
      <w:proofErr w:type="spellEnd"/>
      <w:r w:rsidRPr="000153BA">
        <w:rPr>
          <w:rFonts w:cstheme="minorHAnsi"/>
          <w:sz w:val="22"/>
          <w:szCs w:val="22"/>
        </w:rPr>
        <w:t xml:space="preserve"> </w:t>
      </w:r>
      <w:proofErr w:type="spellStart"/>
      <w:r w:rsidRPr="000153BA">
        <w:rPr>
          <w:rFonts w:cstheme="minorHAnsi"/>
          <w:sz w:val="22"/>
          <w:szCs w:val="22"/>
        </w:rPr>
        <w:t>Deorum</w:t>
      </w:r>
      <w:proofErr w:type="spellEnd"/>
      <w:r w:rsidRPr="000153BA">
        <w:rPr>
          <w:rFonts w:cstheme="minorHAnsi"/>
          <w:sz w:val="22"/>
          <w:szCs w:val="22"/>
        </w:rPr>
        <w:t xml:space="preserve">.’” </w:t>
      </w:r>
      <w:r w:rsidRPr="000153BA">
        <w:rPr>
          <w:rFonts w:cstheme="minorHAnsi"/>
          <w:i/>
          <w:iCs/>
          <w:sz w:val="22"/>
          <w:szCs w:val="22"/>
        </w:rPr>
        <w:t>Modern Philology</w:t>
      </w:r>
      <w:r w:rsidRPr="000153BA">
        <w:rPr>
          <w:rFonts w:cstheme="minorHAnsi"/>
          <w:sz w:val="22"/>
          <w:szCs w:val="22"/>
        </w:rPr>
        <w:t xml:space="preserve">, vol. 23, no. 1, 1925, pp. 61–65. </w:t>
      </w:r>
      <w:r w:rsidRPr="000153BA">
        <w:rPr>
          <w:rFonts w:cstheme="minorHAnsi"/>
          <w:i/>
          <w:iCs/>
          <w:sz w:val="22"/>
          <w:szCs w:val="22"/>
        </w:rPr>
        <w:t>JSTOR</w:t>
      </w:r>
      <w:r w:rsidRPr="000153BA">
        <w:rPr>
          <w:rFonts w:cstheme="minorHAnsi"/>
          <w:sz w:val="22"/>
          <w:szCs w:val="22"/>
        </w:rPr>
        <w:t xml:space="preserve">, </w:t>
      </w:r>
      <w:proofErr w:type="gramStart"/>
      <w:r w:rsidRPr="000153BA">
        <w:rPr>
          <w:rFonts w:cstheme="minorHAnsi"/>
          <w:sz w:val="22"/>
          <w:szCs w:val="22"/>
        </w:rPr>
        <w:t>JSTOR,&lt;</w:t>
      </w:r>
      <w:proofErr w:type="gramEnd"/>
      <w:r w:rsidRPr="000153BA">
        <w:rPr>
          <w:rFonts w:cstheme="minorHAnsi"/>
          <w:sz w:val="22"/>
          <w:szCs w:val="22"/>
        </w:rPr>
        <w:t xml:space="preserve"> www.jstor.org/stable/433851.&gt;</w:t>
      </w:r>
    </w:p>
    <w:sectPr w:rsidR="00A669A3" w:rsidRPr="000153BA">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DB1AD2" w14:textId="77777777" w:rsidR="009C3D8A" w:rsidRDefault="009C3D8A" w:rsidP="00DE061E">
      <w:r>
        <w:separator/>
      </w:r>
    </w:p>
  </w:endnote>
  <w:endnote w:type="continuationSeparator" w:id="0">
    <w:p w14:paraId="59738AEA" w14:textId="77777777" w:rsidR="009C3D8A" w:rsidRDefault="009C3D8A" w:rsidP="00DE061E">
      <w:r>
        <w:continuationSeparator/>
      </w:r>
    </w:p>
  </w:endnote>
  <w:endnote w:type="continuationNotice" w:id="1">
    <w:p w14:paraId="15E23E68" w14:textId="77777777" w:rsidR="009C3D8A" w:rsidRDefault="009C3D8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566344" w14:textId="77777777" w:rsidR="009C3D8A" w:rsidRDefault="009C3D8A" w:rsidP="00DE061E">
      <w:r>
        <w:separator/>
      </w:r>
    </w:p>
  </w:footnote>
  <w:footnote w:type="continuationSeparator" w:id="0">
    <w:p w14:paraId="1A7AA1A3" w14:textId="77777777" w:rsidR="009C3D8A" w:rsidRDefault="009C3D8A" w:rsidP="00DE061E">
      <w:r>
        <w:continuationSeparator/>
      </w:r>
    </w:p>
  </w:footnote>
  <w:footnote w:type="continuationNotice" w:id="1">
    <w:p w14:paraId="6BCE8960" w14:textId="77777777" w:rsidR="009C3D8A" w:rsidRDefault="009C3D8A"/>
  </w:footnote>
  <w:footnote w:id="2">
    <w:p w14:paraId="5CCDB98F" w14:textId="77777777" w:rsidR="00584A3A" w:rsidRPr="004466E6" w:rsidRDefault="00584A3A" w:rsidP="008B4A47">
      <w:pPr>
        <w:pStyle w:val="FootnoteText"/>
        <w:jc w:val="both"/>
        <w:rPr>
          <w:rFonts w:cstheme="minorHAnsi"/>
          <w:sz w:val="16"/>
          <w:szCs w:val="16"/>
        </w:rPr>
      </w:pPr>
      <w:r w:rsidRPr="004466E6">
        <w:rPr>
          <w:rStyle w:val="FootnoteReference"/>
          <w:rFonts w:cstheme="minorHAnsi"/>
          <w:sz w:val="16"/>
          <w:szCs w:val="16"/>
        </w:rPr>
        <w:footnoteRef/>
      </w:r>
      <w:r w:rsidRPr="004466E6">
        <w:rPr>
          <w:rFonts w:cstheme="minorHAnsi"/>
          <w:sz w:val="16"/>
          <w:szCs w:val="16"/>
        </w:rPr>
        <w:t xml:space="preserve"> Perfect copy</w:t>
      </w:r>
    </w:p>
  </w:footnote>
  <w:footnote w:id="3">
    <w:p w14:paraId="6B9E7324" w14:textId="7DE26EAA" w:rsidR="009A185E" w:rsidRPr="004466E6" w:rsidRDefault="009A185E" w:rsidP="008B4A47">
      <w:pPr>
        <w:pStyle w:val="FootnoteText"/>
        <w:jc w:val="both"/>
        <w:rPr>
          <w:rFonts w:cstheme="minorHAnsi"/>
          <w:sz w:val="16"/>
          <w:szCs w:val="16"/>
        </w:rPr>
      </w:pPr>
      <w:r w:rsidRPr="004466E6">
        <w:rPr>
          <w:rStyle w:val="FootnoteReference"/>
          <w:rFonts w:cstheme="minorHAnsi"/>
          <w:sz w:val="16"/>
          <w:szCs w:val="16"/>
        </w:rPr>
        <w:footnoteRef/>
      </w:r>
      <w:r w:rsidRPr="004466E6">
        <w:rPr>
          <w:rFonts w:cstheme="minorHAnsi"/>
          <w:sz w:val="16"/>
          <w:szCs w:val="16"/>
        </w:rPr>
        <w:t xml:space="preserve"> </w:t>
      </w:r>
      <w:r w:rsidR="00610A1F">
        <w:rPr>
          <w:rFonts w:cstheme="minorHAnsi"/>
          <w:sz w:val="16"/>
          <w:szCs w:val="16"/>
        </w:rPr>
        <w:t xml:space="preserve">Morrison, David, </w:t>
      </w:r>
      <w:r w:rsidR="00610A1F">
        <w:rPr>
          <w:rFonts w:cstheme="minorHAnsi"/>
          <w:i/>
          <w:sz w:val="16"/>
          <w:szCs w:val="16"/>
        </w:rPr>
        <w:t>Who Drew the First Family Tree?</w:t>
      </w:r>
      <w:r w:rsidR="00651D10">
        <w:rPr>
          <w:rFonts w:cstheme="minorHAnsi"/>
          <w:i/>
          <w:sz w:val="16"/>
          <w:szCs w:val="16"/>
        </w:rPr>
        <w:t>,</w:t>
      </w:r>
      <w:r w:rsidR="00BA57D6">
        <w:rPr>
          <w:rFonts w:cstheme="minorHAnsi"/>
          <w:i/>
          <w:sz w:val="16"/>
          <w:szCs w:val="16"/>
        </w:rPr>
        <w:t xml:space="preserve"> </w:t>
      </w:r>
      <w:r w:rsidR="00BA57D6">
        <w:rPr>
          <w:rFonts w:cstheme="minorHAnsi"/>
          <w:sz w:val="16"/>
          <w:szCs w:val="16"/>
        </w:rPr>
        <w:t xml:space="preserve">The Genealogical World of Phylogenetic Networks, 19th April 2016 </w:t>
      </w:r>
      <w:r w:rsidR="00610A1F">
        <w:rPr>
          <w:rFonts w:cstheme="minorHAnsi"/>
          <w:i/>
          <w:sz w:val="16"/>
          <w:szCs w:val="16"/>
        </w:rPr>
        <w:t xml:space="preserve"> </w:t>
      </w:r>
      <w:r w:rsidR="00135CF0">
        <w:rPr>
          <w:rFonts w:cstheme="minorHAnsi"/>
          <w:i/>
          <w:sz w:val="16"/>
          <w:szCs w:val="16"/>
        </w:rPr>
        <w:t>&lt;</w:t>
      </w:r>
      <w:hyperlink r:id="rId1" w:history="1">
        <w:r w:rsidR="00651D10" w:rsidRPr="00B97D86">
          <w:rPr>
            <w:rStyle w:val="Hyperlink"/>
            <w:rFonts w:cstheme="minorHAnsi"/>
            <w:sz w:val="16"/>
            <w:szCs w:val="16"/>
          </w:rPr>
          <w:t>http://phylonetworks.blogspot.com/2016/04/who-first-drew-family-tree-as-tree.html</w:t>
        </w:r>
      </w:hyperlink>
      <w:r w:rsidR="00135CF0">
        <w:rPr>
          <w:rFonts w:cstheme="minorHAnsi"/>
          <w:sz w:val="16"/>
          <w:szCs w:val="16"/>
        </w:rPr>
        <w:t>&gt;</w:t>
      </w:r>
      <w:r w:rsidR="00651D10">
        <w:rPr>
          <w:rFonts w:cstheme="minorHAnsi"/>
          <w:sz w:val="16"/>
          <w:szCs w:val="16"/>
        </w:rPr>
        <w:t xml:space="preserve"> [Accessed 11th December 2018]</w:t>
      </w:r>
    </w:p>
  </w:footnote>
  <w:footnote w:id="4">
    <w:p w14:paraId="562CE1F9" w14:textId="589AABD5" w:rsidR="00BA77C2" w:rsidRPr="004466E6" w:rsidRDefault="00BA77C2" w:rsidP="008B4A47">
      <w:pPr>
        <w:pStyle w:val="FootnoteText"/>
        <w:jc w:val="both"/>
        <w:rPr>
          <w:rFonts w:cstheme="minorHAnsi"/>
          <w:sz w:val="16"/>
          <w:szCs w:val="16"/>
        </w:rPr>
      </w:pPr>
      <w:r w:rsidRPr="004466E6">
        <w:rPr>
          <w:rStyle w:val="FootnoteReference"/>
          <w:rFonts w:cstheme="minorHAnsi"/>
          <w:sz w:val="16"/>
          <w:szCs w:val="16"/>
        </w:rPr>
        <w:footnoteRef/>
      </w:r>
      <w:proofErr w:type="spellStart"/>
      <w:r w:rsidR="00BA57D6">
        <w:rPr>
          <w:rFonts w:cstheme="minorHAnsi"/>
          <w:sz w:val="16"/>
          <w:szCs w:val="16"/>
        </w:rPr>
        <w:t>Preece</w:t>
      </w:r>
      <w:proofErr w:type="spellEnd"/>
      <w:r w:rsidR="00BA57D6">
        <w:rPr>
          <w:rFonts w:cstheme="minorHAnsi"/>
          <w:sz w:val="16"/>
          <w:szCs w:val="16"/>
        </w:rPr>
        <w:t xml:space="preserve">, </w:t>
      </w:r>
      <w:proofErr w:type="spellStart"/>
      <w:r w:rsidR="00BA57D6">
        <w:rPr>
          <w:rFonts w:cstheme="minorHAnsi"/>
          <w:sz w:val="16"/>
          <w:szCs w:val="16"/>
        </w:rPr>
        <w:t>Warre</w:t>
      </w:r>
      <w:proofErr w:type="spellEnd"/>
      <w:r w:rsidR="00BA57D6">
        <w:rPr>
          <w:rFonts w:cstheme="minorHAnsi"/>
          <w:sz w:val="16"/>
          <w:szCs w:val="16"/>
        </w:rPr>
        <w:t>, E., and Wells James, M.,</w:t>
      </w:r>
      <w:r w:rsidRPr="004466E6">
        <w:rPr>
          <w:rFonts w:cstheme="minorHAnsi"/>
          <w:sz w:val="16"/>
          <w:szCs w:val="16"/>
        </w:rPr>
        <w:t xml:space="preserve"> </w:t>
      </w:r>
      <w:r w:rsidR="00BA57D6">
        <w:rPr>
          <w:rFonts w:cstheme="minorHAnsi"/>
          <w:sz w:val="16"/>
          <w:szCs w:val="16"/>
        </w:rPr>
        <w:t>,</w:t>
      </w:r>
      <w:r w:rsidR="00651D10" w:rsidRPr="00BA57D6">
        <w:rPr>
          <w:rFonts w:cstheme="minorHAnsi"/>
          <w:i/>
          <w:sz w:val="16"/>
          <w:szCs w:val="16"/>
        </w:rPr>
        <w:t>Typography</w:t>
      </w:r>
      <w:r w:rsidR="00BA57D6">
        <w:rPr>
          <w:rFonts w:cstheme="minorHAnsi"/>
          <w:sz w:val="16"/>
          <w:szCs w:val="16"/>
        </w:rPr>
        <w:t xml:space="preserve">, </w:t>
      </w:r>
      <w:proofErr w:type="spellStart"/>
      <w:r w:rsidR="00BA57D6">
        <w:rPr>
          <w:rFonts w:cstheme="minorHAnsi"/>
          <w:sz w:val="16"/>
          <w:szCs w:val="16"/>
        </w:rPr>
        <w:t>E</w:t>
      </w:r>
      <w:r w:rsidR="00651D10">
        <w:rPr>
          <w:rFonts w:cstheme="minorHAnsi"/>
          <w:sz w:val="16"/>
          <w:szCs w:val="16"/>
        </w:rPr>
        <w:t>ncyclo</w:t>
      </w:r>
      <w:r w:rsidR="00BA57D6">
        <w:rPr>
          <w:rFonts w:cstheme="minorHAnsi"/>
          <w:sz w:val="16"/>
          <w:szCs w:val="16"/>
        </w:rPr>
        <w:t>pǣdia</w:t>
      </w:r>
      <w:proofErr w:type="spellEnd"/>
      <w:r w:rsidR="00BA57D6">
        <w:rPr>
          <w:rFonts w:cstheme="minorHAnsi"/>
          <w:sz w:val="16"/>
          <w:szCs w:val="16"/>
        </w:rPr>
        <w:t xml:space="preserve"> Britannica, (</w:t>
      </w:r>
      <w:proofErr w:type="spellStart"/>
      <w:r w:rsidR="00BA57D6">
        <w:rPr>
          <w:rFonts w:cstheme="minorHAnsi"/>
          <w:sz w:val="16"/>
          <w:szCs w:val="16"/>
        </w:rPr>
        <w:t>Encyclopǣdia</w:t>
      </w:r>
      <w:proofErr w:type="spellEnd"/>
      <w:r w:rsidR="00BA57D6">
        <w:rPr>
          <w:rFonts w:cstheme="minorHAnsi"/>
          <w:sz w:val="16"/>
          <w:szCs w:val="16"/>
        </w:rPr>
        <w:t xml:space="preserve"> Britannica</w:t>
      </w:r>
      <w:r w:rsidR="00BA57D6">
        <w:rPr>
          <w:rFonts w:cstheme="minorHAnsi"/>
          <w:sz w:val="16"/>
          <w:szCs w:val="16"/>
        </w:rPr>
        <w:t xml:space="preserve"> </w:t>
      </w:r>
      <w:proofErr w:type="spellStart"/>
      <w:r w:rsidR="00BA57D6">
        <w:rPr>
          <w:rFonts w:cstheme="minorHAnsi"/>
          <w:sz w:val="16"/>
          <w:szCs w:val="16"/>
        </w:rPr>
        <w:t>inc</w:t>
      </w:r>
      <w:proofErr w:type="spellEnd"/>
      <w:r w:rsidR="00BA57D6">
        <w:rPr>
          <w:rFonts w:cstheme="minorHAnsi"/>
          <w:sz w:val="16"/>
          <w:szCs w:val="16"/>
        </w:rPr>
        <w:t xml:space="preserve"> 25</w:t>
      </w:r>
      <w:r w:rsidR="00BA57D6" w:rsidRPr="00BA57D6">
        <w:rPr>
          <w:rFonts w:cstheme="minorHAnsi"/>
          <w:sz w:val="16"/>
          <w:szCs w:val="16"/>
          <w:vertAlign w:val="superscript"/>
        </w:rPr>
        <w:t>th</w:t>
      </w:r>
      <w:r w:rsidR="00BA57D6">
        <w:rPr>
          <w:rFonts w:cstheme="minorHAnsi"/>
          <w:sz w:val="16"/>
          <w:szCs w:val="16"/>
        </w:rPr>
        <w:t xml:space="preserve"> May 2017) </w:t>
      </w:r>
      <w:r w:rsidR="00651D10">
        <w:rPr>
          <w:rFonts w:cstheme="minorHAnsi"/>
          <w:sz w:val="16"/>
          <w:szCs w:val="16"/>
        </w:rPr>
        <w:t>&lt;</w:t>
      </w:r>
      <w:hyperlink r:id="rId2" w:history="1">
        <w:r w:rsidR="00651D10" w:rsidRPr="00B97D86">
          <w:rPr>
            <w:rStyle w:val="Hyperlink"/>
            <w:rFonts w:cstheme="minorHAnsi"/>
            <w:sz w:val="16"/>
            <w:szCs w:val="16"/>
          </w:rPr>
          <w:t>https://www.britannica.com/technology/typography/History-of-typography#ref36789</w:t>
        </w:r>
      </w:hyperlink>
      <w:r w:rsidR="00651D10">
        <w:rPr>
          <w:rFonts w:cstheme="minorHAnsi"/>
          <w:sz w:val="16"/>
          <w:szCs w:val="16"/>
        </w:rPr>
        <w:t>&gt; [Accessed 11</w:t>
      </w:r>
      <w:r w:rsidR="00651D10" w:rsidRPr="00651D10">
        <w:rPr>
          <w:rFonts w:cstheme="minorHAnsi"/>
          <w:sz w:val="16"/>
          <w:szCs w:val="16"/>
          <w:vertAlign w:val="superscript"/>
        </w:rPr>
        <w:t>th</w:t>
      </w:r>
      <w:r w:rsidR="00651D10">
        <w:rPr>
          <w:rFonts w:cstheme="minorHAnsi"/>
          <w:sz w:val="16"/>
          <w:szCs w:val="16"/>
        </w:rPr>
        <w:t xml:space="preserve"> December 2018]</w:t>
      </w:r>
    </w:p>
  </w:footnote>
  <w:footnote w:id="5">
    <w:p w14:paraId="549BBFBF" w14:textId="7CB8F5EC" w:rsidR="004B7897" w:rsidRPr="004466E6" w:rsidRDefault="004B7897" w:rsidP="008B4A47">
      <w:pPr>
        <w:pStyle w:val="FootnoteText"/>
        <w:jc w:val="both"/>
        <w:rPr>
          <w:rFonts w:cstheme="minorHAnsi"/>
          <w:sz w:val="16"/>
          <w:szCs w:val="16"/>
        </w:rPr>
      </w:pPr>
      <w:r w:rsidRPr="004466E6">
        <w:rPr>
          <w:rStyle w:val="FootnoteReference"/>
          <w:rFonts w:cstheme="minorHAnsi"/>
          <w:sz w:val="16"/>
          <w:szCs w:val="16"/>
        </w:rPr>
        <w:footnoteRef/>
      </w:r>
      <w:r w:rsidRPr="004466E6">
        <w:rPr>
          <w:rFonts w:cstheme="minorHAnsi"/>
          <w:sz w:val="16"/>
          <w:szCs w:val="16"/>
        </w:rPr>
        <w:t xml:space="preserve"> </w:t>
      </w:r>
      <w:r w:rsidRPr="004466E6">
        <w:rPr>
          <w:rFonts w:cstheme="minorHAnsi"/>
          <w:b/>
          <w:sz w:val="16"/>
          <w:szCs w:val="16"/>
        </w:rPr>
        <w:t xml:space="preserve">INC </w:t>
      </w:r>
      <w:r w:rsidRPr="004466E6">
        <w:rPr>
          <w:rFonts w:cstheme="minorHAnsi"/>
          <w:sz w:val="16"/>
          <w:szCs w:val="16"/>
        </w:rPr>
        <w:t>being an abbreviation of incunabulum.</w:t>
      </w:r>
    </w:p>
  </w:footnote>
  <w:footnote w:id="6">
    <w:p w14:paraId="6DC67B7B" w14:textId="3EF56696" w:rsidR="00097DCF" w:rsidRPr="004466E6" w:rsidRDefault="00097DCF" w:rsidP="008B4A47">
      <w:pPr>
        <w:pStyle w:val="FootnoteText"/>
        <w:jc w:val="both"/>
        <w:rPr>
          <w:rFonts w:cstheme="minorHAnsi"/>
          <w:sz w:val="16"/>
          <w:szCs w:val="16"/>
        </w:rPr>
      </w:pPr>
      <w:r w:rsidRPr="004466E6">
        <w:rPr>
          <w:rStyle w:val="FootnoteReference"/>
          <w:rFonts w:cstheme="minorHAnsi"/>
          <w:sz w:val="16"/>
          <w:szCs w:val="16"/>
        </w:rPr>
        <w:footnoteRef/>
      </w:r>
      <w:r w:rsidRPr="004466E6">
        <w:rPr>
          <w:rFonts w:cstheme="minorHAnsi"/>
          <w:sz w:val="16"/>
          <w:szCs w:val="16"/>
        </w:rPr>
        <w:t xml:space="preserve"> Wilkins, Ernest H. “The Genealogy of the Editions of the ‘Genealogia Deorum.’” </w:t>
      </w:r>
      <w:r w:rsidRPr="004466E6">
        <w:rPr>
          <w:rFonts w:cstheme="minorHAnsi"/>
          <w:i/>
          <w:iCs/>
          <w:sz w:val="16"/>
          <w:szCs w:val="16"/>
        </w:rPr>
        <w:t>Modern Philology</w:t>
      </w:r>
      <w:r w:rsidRPr="004466E6">
        <w:rPr>
          <w:rFonts w:cstheme="minorHAnsi"/>
          <w:sz w:val="16"/>
          <w:szCs w:val="16"/>
        </w:rPr>
        <w:t xml:space="preserve">, vol. 17, no. 8, 1919, pp. 425–438. </w:t>
      </w:r>
      <w:r w:rsidRPr="004466E6">
        <w:rPr>
          <w:rFonts w:cstheme="minorHAnsi"/>
          <w:i/>
          <w:iCs/>
          <w:sz w:val="16"/>
          <w:szCs w:val="16"/>
        </w:rPr>
        <w:t>JSTOR</w:t>
      </w:r>
      <w:r w:rsidRPr="004466E6">
        <w:rPr>
          <w:rFonts w:cstheme="minorHAnsi"/>
          <w:sz w:val="16"/>
          <w:szCs w:val="16"/>
        </w:rPr>
        <w:t xml:space="preserve">, JSTOR, </w:t>
      </w:r>
      <w:r w:rsidR="00135CF0">
        <w:rPr>
          <w:rFonts w:cstheme="minorHAnsi"/>
          <w:sz w:val="16"/>
          <w:szCs w:val="16"/>
        </w:rPr>
        <w:t>&lt;</w:t>
      </w:r>
      <w:r w:rsidRPr="004466E6">
        <w:rPr>
          <w:rFonts w:cstheme="minorHAnsi"/>
          <w:sz w:val="16"/>
          <w:szCs w:val="16"/>
        </w:rPr>
        <w:t>www.jstor.org/stable/432869</w:t>
      </w:r>
      <w:r w:rsidR="00135CF0">
        <w:rPr>
          <w:rFonts w:cstheme="minorHAnsi"/>
          <w:sz w:val="16"/>
          <w:szCs w:val="16"/>
        </w:rPr>
        <w:t>&gt;</w:t>
      </w:r>
      <w:r w:rsidRPr="004466E6">
        <w:rPr>
          <w:rFonts w:cstheme="minorHAnsi"/>
          <w:sz w:val="16"/>
          <w:szCs w:val="16"/>
        </w:rPr>
        <w:t>.</w:t>
      </w:r>
    </w:p>
  </w:footnote>
  <w:footnote w:id="7">
    <w:p w14:paraId="244BFBF4" w14:textId="508D1CFA" w:rsidR="00F60863" w:rsidRPr="004466E6" w:rsidRDefault="00F60863" w:rsidP="008B4A47">
      <w:pPr>
        <w:pStyle w:val="FootnoteText"/>
        <w:jc w:val="both"/>
        <w:rPr>
          <w:rFonts w:cstheme="minorHAnsi"/>
          <w:sz w:val="16"/>
          <w:szCs w:val="16"/>
        </w:rPr>
      </w:pPr>
      <w:r w:rsidRPr="004466E6">
        <w:rPr>
          <w:rStyle w:val="FootnoteReference"/>
          <w:rFonts w:cstheme="minorHAnsi"/>
          <w:sz w:val="16"/>
          <w:szCs w:val="16"/>
        </w:rPr>
        <w:footnoteRef/>
      </w:r>
      <w:r w:rsidRPr="004466E6">
        <w:rPr>
          <w:rFonts w:cstheme="minorHAnsi"/>
          <w:sz w:val="16"/>
          <w:szCs w:val="16"/>
        </w:rPr>
        <w:t xml:space="preserve"> (fol.) as an abbreviation</w:t>
      </w:r>
    </w:p>
  </w:footnote>
  <w:footnote w:id="8">
    <w:p w14:paraId="58B07BFB" w14:textId="2B1FE55A" w:rsidR="00E65D62" w:rsidRPr="004466E6" w:rsidRDefault="00E65D62" w:rsidP="008B4A47">
      <w:pPr>
        <w:pStyle w:val="FootnoteText"/>
        <w:jc w:val="both"/>
        <w:rPr>
          <w:rFonts w:cstheme="minorHAnsi"/>
          <w:sz w:val="16"/>
          <w:szCs w:val="16"/>
        </w:rPr>
      </w:pPr>
      <w:r w:rsidRPr="004466E6">
        <w:rPr>
          <w:rStyle w:val="FootnoteReference"/>
          <w:rFonts w:cstheme="minorHAnsi"/>
          <w:sz w:val="16"/>
          <w:szCs w:val="16"/>
        </w:rPr>
        <w:footnoteRef/>
      </w:r>
      <w:r w:rsidRPr="004466E6">
        <w:rPr>
          <w:rFonts w:cstheme="minorHAnsi"/>
          <w:sz w:val="16"/>
          <w:szCs w:val="16"/>
        </w:rPr>
        <w:t xml:space="preserve"> </w:t>
      </w:r>
      <w:r w:rsidR="004466E6" w:rsidRPr="004466E6">
        <w:rPr>
          <w:rFonts w:cstheme="minorHAnsi"/>
          <w:sz w:val="16"/>
          <w:szCs w:val="16"/>
        </w:rPr>
        <w:t xml:space="preserve">In my statement of signing, I have opted to place a number at the bottom right of the letter to indicate once the alphabet has passed the 23 letters. For example: A₂ instead of AA or A₄ instead of AAAA to make it easier to understand. With the number of </w:t>
      </w:r>
      <w:proofErr w:type="gramStart"/>
      <w:r w:rsidR="00D510C1">
        <w:rPr>
          <w:rFonts w:cstheme="minorHAnsi"/>
          <w:sz w:val="16"/>
          <w:szCs w:val="16"/>
        </w:rPr>
        <w:t>pages</w:t>
      </w:r>
      <w:proofErr w:type="gramEnd"/>
      <w:r w:rsidR="004466E6" w:rsidRPr="004466E6">
        <w:rPr>
          <w:rFonts w:cstheme="minorHAnsi"/>
          <w:sz w:val="16"/>
          <w:szCs w:val="16"/>
        </w:rPr>
        <w:t xml:space="preserve"> the (fol.) has, the statement of signing would have been too large towards the end of the book and would not have been practical for the printer to print such long signatures, thus I have changed the pattern slightly.</w:t>
      </w:r>
    </w:p>
  </w:footnote>
  <w:footnote w:id="9">
    <w:p w14:paraId="25652494" w14:textId="4B5D2C92" w:rsidR="00AD75AE" w:rsidRPr="004466E6" w:rsidRDefault="00AD75AE" w:rsidP="008B4A47">
      <w:pPr>
        <w:pStyle w:val="FootnoteText"/>
        <w:jc w:val="both"/>
        <w:rPr>
          <w:rFonts w:cstheme="minorHAnsi"/>
          <w:sz w:val="16"/>
          <w:szCs w:val="16"/>
        </w:rPr>
      </w:pPr>
      <w:r w:rsidRPr="004466E6">
        <w:rPr>
          <w:rStyle w:val="FootnoteReference"/>
          <w:rFonts w:cstheme="minorHAnsi"/>
          <w:sz w:val="16"/>
          <w:szCs w:val="16"/>
        </w:rPr>
        <w:footnoteRef/>
      </w:r>
      <w:r w:rsidRPr="004466E6">
        <w:rPr>
          <w:rFonts w:cstheme="minorHAnsi"/>
          <w:sz w:val="16"/>
          <w:szCs w:val="16"/>
        </w:rPr>
        <w:t xml:space="preserve"> Wilkins, Ernest H. “The Genealogy of the Genealogical Trees of the ‘</w:t>
      </w:r>
      <w:proofErr w:type="spellStart"/>
      <w:r w:rsidRPr="004466E6">
        <w:rPr>
          <w:rFonts w:cstheme="minorHAnsi"/>
          <w:sz w:val="16"/>
          <w:szCs w:val="16"/>
        </w:rPr>
        <w:t>Genealogia</w:t>
      </w:r>
      <w:proofErr w:type="spellEnd"/>
      <w:r w:rsidRPr="004466E6">
        <w:rPr>
          <w:rFonts w:cstheme="minorHAnsi"/>
          <w:sz w:val="16"/>
          <w:szCs w:val="16"/>
        </w:rPr>
        <w:t xml:space="preserve"> </w:t>
      </w:r>
      <w:proofErr w:type="spellStart"/>
      <w:r w:rsidRPr="004466E6">
        <w:rPr>
          <w:rFonts w:cstheme="minorHAnsi"/>
          <w:sz w:val="16"/>
          <w:szCs w:val="16"/>
        </w:rPr>
        <w:t>Deorum</w:t>
      </w:r>
      <w:proofErr w:type="spellEnd"/>
      <w:r w:rsidRPr="004466E6">
        <w:rPr>
          <w:rFonts w:cstheme="minorHAnsi"/>
          <w:sz w:val="16"/>
          <w:szCs w:val="16"/>
        </w:rPr>
        <w:t xml:space="preserve">.’” </w:t>
      </w:r>
      <w:r w:rsidRPr="004466E6">
        <w:rPr>
          <w:rFonts w:cstheme="minorHAnsi"/>
          <w:i/>
          <w:iCs/>
          <w:sz w:val="16"/>
          <w:szCs w:val="16"/>
        </w:rPr>
        <w:t>Modern Philology</w:t>
      </w:r>
      <w:r w:rsidRPr="004466E6">
        <w:rPr>
          <w:rFonts w:cstheme="minorHAnsi"/>
          <w:sz w:val="16"/>
          <w:szCs w:val="16"/>
        </w:rPr>
        <w:t xml:space="preserve">, vol. 23, no. 1, 1925, pp. 61–65. </w:t>
      </w:r>
      <w:r w:rsidRPr="004466E6">
        <w:rPr>
          <w:rFonts w:cstheme="minorHAnsi"/>
          <w:i/>
          <w:iCs/>
          <w:sz w:val="16"/>
          <w:szCs w:val="16"/>
        </w:rPr>
        <w:t>JSTOR</w:t>
      </w:r>
      <w:r w:rsidRPr="004466E6">
        <w:rPr>
          <w:rFonts w:cstheme="minorHAnsi"/>
          <w:sz w:val="16"/>
          <w:szCs w:val="16"/>
        </w:rPr>
        <w:t xml:space="preserve">, </w:t>
      </w:r>
      <w:proofErr w:type="gramStart"/>
      <w:r w:rsidRPr="004466E6">
        <w:rPr>
          <w:rFonts w:cstheme="minorHAnsi"/>
          <w:sz w:val="16"/>
          <w:szCs w:val="16"/>
        </w:rPr>
        <w:t>JSTO</w:t>
      </w:r>
      <w:r w:rsidR="00135CF0">
        <w:rPr>
          <w:rFonts w:cstheme="minorHAnsi"/>
          <w:sz w:val="16"/>
          <w:szCs w:val="16"/>
        </w:rPr>
        <w:t>R,&lt;</w:t>
      </w:r>
      <w:proofErr w:type="gramEnd"/>
      <w:r w:rsidR="00135CF0">
        <w:rPr>
          <w:rFonts w:cstheme="minorHAnsi"/>
          <w:sz w:val="16"/>
          <w:szCs w:val="16"/>
        </w:rPr>
        <w:t xml:space="preserve"> www.jstor.org/stable/433851</w:t>
      </w:r>
      <w:r w:rsidRPr="004466E6">
        <w:rPr>
          <w:rFonts w:cstheme="minorHAnsi"/>
          <w:sz w:val="16"/>
          <w:szCs w:val="16"/>
        </w:rPr>
        <w:t>&gt;</w:t>
      </w:r>
      <w:r w:rsidR="00135CF0">
        <w:rPr>
          <w:rFonts w:cstheme="minorHAnsi"/>
          <w:sz w:val="16"/>
          <w:szCs w:val="16"/>
        </w:rPr>
        <w:t>.</w:t>
      </w:r>
    </w:p>
  </w:footnote>
  <w:footnote w:id="10">
    <w:p w14:paraId="0405D231" w14:textId="5C854E94" w:rsidR="00C60998" w:rsidRPr="004466E6" w:rsidRDefault="00C60998" w:rsidP="008B4A47">
      <w:pPr>
        <w:pStyle w:val="FootnoteText"/>
        <w:jc w:val="both"/>
        <w:rPr>
          <w:rFonts w:cstheme="minorHAnsi"/>
          <w:sz w:val="16"/>
          <w:szCs w:val="16"/>
        </w:rPr>
      </w:pPr>
      <w:r w:rsidRPr="004466E6">
        <w:rPr>
          <w:rStyle w:val="FootnoteReference"/>
          <w:rFonts w:cstheme="minorHAnsi"/>
          <w:sz w:val="16"/>
          <w:szCs w:val="16"/>
        </w:rPr>
        <w:footnoteRef/>
      </w:r>
      <w:r w:rsidRPr="004466E6">
        <w:rPr>
          <w:rFonts w:cstheme="minorHAnsi"/>
          <w:sz w:val="16"/>
          <w:szCs w:val="16"/>
        </w:rPr>
        <w:t xml:space="preserve"> </w:t>
      </w:r>
      <w:r w:rsidR="00BA57D6">
        <w:rPr>
          <w:rFonts w:cstheme="minorHAnsi"/>
          <w:sz w:val="16"/>
          <w:szCs w:val="16"/>
        </w:rPr>
        <w:t>Boccaccio,</w:t>
      </w:r>
      <w:r w:rsidR="00AD75AE" w:rsidRPr="004466E6">
        <w:rPr>
          <w:rFonts w:cstheme="minorHAnsi"/>
          <w:sz w:val="16"/>
          <w:szCs w:val="16"/>
        </w:rPr>
        <w:t xml:space="preserve"> A Critical Guide to the Complete Works. Edited by Victoria Kirkham, Michael </w:t>
      </w:r>
      <w:proofErr w:type="spellStart"/>
      <w:r w:rsidR="00AD75AE" w:rsidRPr="004466E6">
        <w:rPr>
          <w:rFonts w:cstheme="minorHAnsi"/>
          <w:sz w:val="16"/>
          <w:szCs w:val="16"/>
        </w:rPr>
        <w:t>Sherberg</w:t>
      </w:r>
      <w:proofErr w:type="spellEnd"/>
      <w:r w:rsidR="00AD75AE" w:rsidRPr="004466E6">
        <w:rPr>
          <w:rFonts w:cstheme="minorHAnsi"/>
          <w:sz w:val="16"/>
          <w:szCs w:val="16"/>
        </w:rPr>
        <w:t xml:space="preserve"> and Janet </w:t>
      </w:r>
      <w:proofErr w:type="spellStart"/>
      <w:r w:rsidR="00AD75AE" w:rsidRPr="004466E6">
        <w:rPr>
          <w:rFonts w:cstheme="minorHAnsi"/>
          <w:sz w:val="16"/>
          <w:szCs w:val="16"/>
        </w:rPr>
        <w:t>Levarie</w:t>
      </w:r>
      <w:proofErr w:type="spellEnd"/>
      <w:r w:rsidR="00AD75AE" w:rsidRPr="004466E6">
        <w:rPr>
          <w:rFonts w:cstheme="minorHAnsi"/>
          <w:sz w:val="16"/>
          <w:szCs w:val="16"/>
        </w:rPr>
        <w:t xml:space="preserve"> </w:t>
      </w:r>
      <w:proofErr w:type="spellStart"/>
      <w:r w:rsidR="00AD75AE" w:rsidRPr="004466E6">
        <w:rPr>
          <w:rFonts w:cstheme="minorHAnsi"/>
          <w:sz w:val="16"/>
          <w:szCs w:val="16"/>
        </w:rPr>
        <w:t>Smarr</w:t>
      </w:r>
      <w:proofErr w:type="spellEnd"/>
      <w:r w:rsidR="00AD75AE" w:rsidRPr="004466E6">
        <w:rPr>
          <w:rFonts w:cstheme="minorHAnsi"/>
          <w:sz w:val="16"/>
          <w:szCs w:val="16"/>
        </w:rPr>
        <w:t xml:space="preserve">. (Chicago: University of Chicago Press, 2013.) </w:t>
      </w:r>
      <w:r w:rsidRPr="004466E6">
        <w:rPr>
          <w:rFonts w:cstheme="minorHAnsi"/>
          <w:sz w:val="16"/>
          <w:szCs w:val="16"/>
        </w:rPr>
        <w:t>Pp.321-322</w:t>
      </w:r>
    </w:p>
  </w:footnote>
  <w:footnote w:id="11">
    <w:p w14:paraId="63D4BD2C" w14:textId="404C629D" w:rsidR="00D103C8" w:rsidRPr="004466E6" w:rsidRDefault="00D103C8" w:rsidP="008B4A47">
      <w:pPr>
        <w:pStyle w:val="FootnoteText"/>
        <w:jc w:val="both"/>
        <w:rPr>
          <w:rFonts w:cstheme="minorHAnsi"/>
          <w:sz w:val="16"/>
          <w:szCs w:val="16"/>
        </w:rPr>
      </w:pPr>
      <w:r w:rsidRPr="004466E6">
        <w:rPr>
          <w:rStyle w:val="FootnoteReference"/>
          <w:rFonts w:cstheme="minorHAnsi"/>
          <w:sz w:val="16"/>
          <w:szCs w:val="16"/>
        </w:rPr>
        <w:footnoteRef/>
      </w:r>
      <w:r w:rsidRPr="004466E6">
        <w:rPr>
          <w:rFonts w:cstheme="minorHAnsi"/>
          <w:sz w:val="16"/>
          <w:szCs w:val="16"/>
        </w:rPr>
        <w:t xml:space="preserve"> </w:t>
      </w:r>
      <w:r w:rsidRPr="004466E6">
        <w:rPr>
          <w:rFonts w:cstheme="minorHAnsi"/>
          <w:sz w:val="16"/>
          <w:szCs w:val="16"/>
        </w:rPr>
        <w:t>Wilkins, Ernest H. “The Genealogy of the Editions of the ‘</w:t>
      </w:r>
      <w:proofErr w:type="spellStart"/>
      <w:r w:rsidRPr="004466E6">
        <w:rPr>
          <w:rFonts w:cstheme="minorHAnsi"/>
          <w:sz w:val="16"/>
          <w:szCs w:val="16"/>
        </w:rPr>
        <w:t>Genealogia</w:t>
      </w:r>
      <w:proofErr w:type="spellEnd"/>
      <w:r w:rsidRPr="004466E6">
        <w:rPr>
          <w:rFonts w:cstheme="minorHAnsi"/>
          <w:sz w:val="16"/>
          <w:szCs w:val="16"/>
        </w:rPr>
        <w:t xml:space="preserve"> </w:t>
      </w:r>
      <w:proofErr w:type="spellStart"/>
      <w:r w:rsidRPr="004466E6">
        <w:rPr>
          <w:rFonts w:cstheme="minorHAnsi"/>
          <w:sz w:val="16"/>
          <w:szCs w:val="16"/>
        </w:rPr>
        <w:t>Deorum</w:t>
      </w:r>
      <w:proofErr w:type="spellEnd"/>
      <w:r w:rsidRPr="004466E6">
        <w:rPr>
          <w:rFonts w:cstheme="minorHAnsi"/>
          <w:sz w:val="16"/>
          <w:szCs w:val="16"/>
        </w:rPr>
        <w:t xml:space="preserve">.’” </w:t>
      </w:r>
      <w:r w:rsidRPr="004466E6">
        <w:rPr>
          <w:rFonts w:cstheme="minorHAnsi"/>
          <w:i/>
          <w:iCs/>
          <w:sz w:val="16"/>
          <w:szCs w:val="16"/>
        </w:rPr>
        <w:t>Modern Philology</w:t>
      </w:r>
      <w:r w:rsidRPr="004466E6">
        <w:rPr>
          <w:rFonts w:cstheme="minorHAnsi"/>
          <w:sz w:val="16"/>
          <w:szCs w:val="16"/>
        </w:rPr>
        <w:t xml:space="preserve">, vol. 17, no. 8, 1919, pp. 425–438. </w:t>
      </w:r>
      <w:r w:rsidRPr="004466E6">
        <w:rPr>
          <w:rFonts w:cstheme="minorHAnsi"/>
          <w:i/>
          <w:iCs/>
          <w:sz w:val="16"/>
          <w:szCs w:val="16"/>
        </w:rPr>
        <w:t>JSTOR</w:t>
      </w:r>
      <w:r w:rsidRPr="004466E6">
        <w:rPr>
          <w:rFonts w:cstheme="minorHAnsi"/>
          <w:sz w:val="16"/>
          <w:szCs w:val="16"/>
        </w:rPr>
        <w:t xml:space="preserve">, JSTOR, </w:t>
      </w:r>
      <w:r w:rsidR="00135CF0">
        <w:rPr>
          <w:rFonts w:cstheme="minorHAnsi"/>
          <w:sz w:val="16"/>
          <w:szCs w:val="16"/>
        </w:rPr>
        <w:t>&lt;</w:t>
      </w:r>
      <w:r w:rsidRPr="004466E6">
        <w:rPr>
          <w:rFonts w:cstheme="minorHAnsi"/>
          <w:sz w:val="16"/>
          <w:szCs w:val="16"/>
        </w:rPr>
        <w:t>www.jstor.org/stable/432869</w:t>
      </w:r>
      <w:r w:rsidR="00135CF0">
        <w:rPr>
          <w:rFonts w:cstheme="minorHAnsi"/>
          <w:sz w:val="16"/>
          <w:szCs w:val="16"/>
        </w:rPr>
        <w:t>&gt;</w:t>
      </w:r>
      <w:r w:rsidRPr="004466E6">
        <w:rPr>
          <w:rFonts w:cstheme="minorHAnsi"/>
          <w:sz w:val="16"/>
          <w:szCs w:val="16"/>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07F250" w14:textId="77777777" w:rsidR="00DE061E" w:rsidRDefault="00DE061E">
    <w:pPr>
      <w:pStyle w:val="Header"/>
    </w:pPr>
    <w:r>
      <w:t>Michael Thomas 0800946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5AE"/>
    <w:rsid w:val="000153BA"/>
    <w:rsid w:val="00016B3F"/>
    <w:rsid w:val="000576A7"/>
    <w:rsid w:val="00060EEA"/>
    <w:rsid w:val="00076EF0"/>
    <w:rsid w:val="00097DCF"/>
    <w:rsid w:val="000A037C"/>
    <w:rsid w:val="000B1320"/>
    <w:rsid w:val="000C20D1"/>
    <w:rsid w:val="00135CF0"/>
    <w:rsid w:val="001506E0"/>
    <w:rsid w:val="00156857"/>
    <w:rsid w:val="001B0BE3"/>
    <w:rsid w:val="001C44E2"/>
    <w:rsid w:val="001E423E"/>
    <w:rsid w:val="001E6813"/>
    <w:rsid w:val="00236276"/>
    <w:rsid w:val="00264FB7"/>
    <w:rsid w:val="002F4557"/>
    <w:rsid w:val="003673DA"/>
    <w:rsid w:val="003B37FE"/>
    <w:rsid w:val="004466E6"/>
    <w:rsid w:val="00490394"/>
    <w:rsid w:val="004A3C57"/>
    <w:rsid w:val="004B1353"/>
    <w:rsid w:val="004B7897"/>
    <w:rsid w:val="004E091F"/>
    <w:rsid w:val="004F5F77"/>
    <w:rsid w:val="0054629A"/>
    <w:rsid w:val="00563E86"/>
    <w:rsid w:val="00584A3A"/>
    <w:rsid w:val="005B47C3"/>
    <w:rsid w:val="005D3C12"/>
    <w:rsid w:val="00610A1F"/>
    <w:rsid w:val="006200B8"/>
    <w:rsid w:val="00651D10"/>
    <w:rsid w:val="006D0984"/>
    <w:rsid w:val="006E3998"/>
    <w:rsid w:val="006F106E"/>
    <w:rsid w:val="00775A16"/>
    <w:rsid w:val="007868A4"/>
    <w:rsid w:val="007B59E0"/>
    <w:rsid w:val="007D7995"/>
    <w:rsid w:val="00800455"/>
    <w:rsid w:val="00877A9D"/>
    <w:rsid w:val="008B2896"/>
    <w:rsid w:val="008B4A47"/>
    <w:rsid w:val="008B55D7"/>
    <w:rsid w:val="008D7CA9"/>
    <w:rsid w:val="00961838"/>
    <w:rsid w:val="0097145A"/>
    <w:rsid w:val="00994279"/>
    <w:rsid w:val="009A185E"/>
    <w:rsid w:val="009A3C31"/>
    <w:rsid w:val="009A6338"/>
    <w:rsid w:val="009C3D8A"/>
    <w:rsid w:val="009C5E5A"/>
    <w:rsid w:val="009D39BF"/>
    <w:rsid w:val="009D69E9"/>
    <w:rsid w:val="009F4983"/>
    <w:rsid w:val="00A05049"/>
    <w:rsid w:val="00A247B7"/>
    <w:rsid w:val="00A3121B"/>
    <w:rsid w:val="00A54C6C"/>
    <w:rsid w:val="00A65AF6"/>
    <w:rsid w:val="00A669A3"/>
    <w:rsid w:val="00AA1F7C"/>
    <w:rsid w:val="00AC404F"/>
    <w:rsid w:val="00AD75AE"/>
    <w:rsid w:val="00B05CFC"/>
    <w:rsid w:val="00B54BAE"/>
    <w:rsid w:val="00B6140F"/>
    <w:rsid w:val="00B855AE"/>
    <w:rsid w:val="00B86375"/>
    <w:rsid w:val="00B86E33"/>
    <w:rsid w:val="00BA2C0F"/>
    <w:rsid w:val="00BA57D6"/>
    <w:rsid w:val="00BA77C2"/>
    <w:rsid w:val="00BB2CC3"/>
    <w:rsid w:val="00BD26B5"/>
    <w:rsid w:val="00BD32C7"/>
    <w:rsid w:val="00BD3822"/>
    <w:rsid w:val="00C20272"/>
    <w:rsid w:val="00C306F5"/>
    <w:rsid w:val="00C52714"/>
    <w:rsid w:val="00C533D9"/>
    <w:rsid w:val="00C60998"/>
    <w:rsid w:val="00C73538"/>
    <w:rsid w:val="00CC609D"/>
    <w:rsid w:val="00D103C8"/>
    <w:rsid w:val="00D510C1"/>
    <w:rsid w:val="00D7687D"/>
    <w:rsid w:val="00DB073A"/>
    <w:rsid w:val="00DC63AF"/>
    <w:rsid w:val="00DE061E"/>
    <w:rsid w:val="00E16BA4"/>
    <w:rsid w:val="00E20147"/>
    <w:rsid w:val="00E261A1"/>
    <w:rsid w:val="00E3503C"/>
    <w:rsid w:val="00E6510A"/>
    <w:rsid w:val="00E65D62"/>
    <w:rsid w:val="00E972F3"/>
    <w:rsid w:val="00E9736D"/>
    <w:rsid w:val="00F05532"/>
    <w:rsid w:val="00F507F2"/>
    <w:rsid w:val="00F60863"/>
    <w:rsid w:val="00F85CAC"/>
    <w:rsid w:val="00FA037C"/>
    <w:rsid w:val="00FA139B"/>
    <w:rsid w:val="00FA2BEC"/>
    <w:rsid w:val="00FC48E7"/>
    <w:rsid w:val="00FD7E04"/>
    <w:rsid w:val="00FF3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0FEF5E"/>
  <w15:chartTrackingRefBased/>
  <w15:docId w15:val="{0E29F812-C938-A04F-A0C5-A41CBEB27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061E"/>
    <w:pPr>
      <w:tabs>
        <w:tab w:val="center" w:pos="4513"/>
        <w:tab w:val="right" w:pos="9026"/>
      </w:tabs>
    </w:pPr>
  </w:style>
  <w:style w:type="character" w:customStyle="1" w:styleId="HeaderChar">
    <w:name w:val="Header Char"/>
    <w:basedOn w:val="DefaultParagraphFont"/>
    <w:link w:val="Header"/>
    <w:uiPriority w:val="99"/>
    <w:rsid w:val="00DE061E"/>
  </w:style>
  <w:style w:type="paragraph" w:styleId="Footer">
    <w:name w:val="footer"/>
    <w:basedOn w:val="Normal"/>
    <w:link w:val="FooterChar"/>
    <w:uiPriority w:val="99"/>
    <w:unhideWhenUsed/>
    <w:rsid w:val="00DE061E"/>
    <w:pPr>
      <w:tabs>
        <w:tab w:val="center" w:pos="4513"/>
        <w:tab w:val="right" w:pos="9026"/>
      </w:tabs>
    </w:pPr>
  </w:style>
  <w:style w:type="character" w:customStyle="1" w:styleId="FooterChar">
    <w:name w:val="Footer Char"/>
    <w:basedOn w:val="DefaultParagraphFont"/>
    <w:link w:val="Footer"/>
    <w:uiPriority w:val="99"/>
    <w:rsid w:val="00DE061E"/>
  </w:style>
  <w:style w:type="paragraph" w:styleId="FootnoteText">
    <w:name w:val="footnote text"/>
    <w:basedOn w:val="Normal"/>
    <w:link w:val="FootnoteTextChar"/>
    <w:uiPriority w:val="99"/>
    <w:semiHidden/>
    <w:unhideWhenUsed/>
    <w:rsid w:val="00B86375"/>
    <w:rPr>
      <w:sz w:val="20"/>
      <w:szCs w:val="20"/>
    </w:rPr>
  </w:style>
  <w:style w:type="character" w:customStyle="1" w:styleId="FootnoteTextChar">
    <w:name w:val="Footnote Text Char"/>
    <w:basedOn w:val="DefaultParagraphFont"/>
    <w:link w:val="FootnoteText"/>
    <w:uiPriority w:val="99"/>
    <w:semiHidden/>
    <w:rsid w:val="00B86375"/>
    <w:rPr>
      <w:sz w:val="20"/>
      <w:szCs w:val="20"/>
    </w:rPr>
  </w:style>
  <w:style w:type="character" w:styleId="FootnoteReference">
    <w:name w:val="footnote reference"/>
    <w:basedOn w:val="DefaultParagraphFont"/>
    <w:uiPriority w:val="99"/>
    <w:semiHidden/>
    <w:unhideWhenUsed/>
    <w:rsid w:val="00B86375"/>
    <w:rPr>
      <w:vertAlign w:val="superscript"/>
    </w:rPr>
  </w:style>
  <w:style w:type="character" w:styleId="Hyperlink">
    <w:name w:val="Hyperlink"/>
    <w:basedOn w:val="DefaultParagraphFont"/>
    <w:uiPriority w:val="99"/>
    <w:unhideWhenUsed/>
    <w:rsid w:val="00B86375"/>
    <w:rPr>
      <w:color w:val="0563C1" w:themeColor="hyperlink"/>
      <w:u w:val="single"/>
    </w:rPr>
  </w:style>
  <w:style w:type="character" w:styleId="UnresolvedMention">
    <w:name w:val="Unresolved Mention"/>
    <w:basedOn w:val="DefaultParagraphFont"/>
    <w:uiPriority w:val="99"/>
    <w:semiHidden/>
    <w:unhideWhenUsed/>
    <w:rsid w:val="00B86375"/>
    <w:rPr>
      <w:color w:val="808080"/>
      <w:shd w:val="clear" w:color="auto" w:fill="E6E6E6"/>
    </w:rPr>
  </w:style>
  <w:style w:type="character" w:styleId="FollowedHyperlink">
    <w:name w:val="FollowedHyperlink"/>
    <w:basedOn w:val="DefaultParagraphFont"/>
    <w:uiPriority w:val="99"/>
    <w:semiHidden/>
    <w:unhideWhenUsed/>
    <w:rsid w:val="00B8637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britannica.com/technology/typography/History-of-typography#ref36789"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phylonetworks.blogspot.com/2016/04/who-first-drew-family-tree-as-tree.htm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2" Type="http://schemas.openxmlformats.org/officeDocument/2006/relationships/hyperlink" Target="https://www.britannica.com/technology/typography/History-of-typography#ref36789" TargetMode="External"/><Relationship Id="rId1" Type="http://schemas.openxmlformats.org/officeDocument/2006/relationships/hyperlink" Target="http://phylonetworks.blogspot.com/2016/04/who-first-drew-family-tree-as-tre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1434</Words>
  <Characters>8177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Thomas (0800946)</dc:creator>
  <cp:keywords/>
  <dc:description/>
  <cp:lastModifiedBy>Michael Thomas (0800946)</cp:lastModifiedBy>
  <cp:revision>2</cp:revision>
  <dcterms:created xsi:type="dcterms:W3CDTF">2018-12-12T23:21:00Z</dcterms:created>
  <dcterms:modified xsi:type="dcterms:W3CDTF">2018-12-12T23:21:00Z</dcterms:modified>
</cp:coreProperties>
</file>