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F8FF65" w14:textId="77777777" w:rsidR="00B45FFE" w:rsidRDefault="000C3BAD">
      <w:pPr>
        <w:spacing w:after="60"/>
      </w:pPr>
      <w:r>
        <w:t>Marian Raducanu</w:t>
      </w:r>
    </w:p>
    <w:p w14:paraId="3FA5AEFE" w14:textId="77777777" w:rsidR="00B45FFE" w:rsidRDefault="000C3BAD">
      <w:pPr>
        <w:spacing w:after="320"/>
      </w:pPr>
      <w:r>
        <w:t>Poster Report</w:t>
      </w:r>
      <w:r w:rsidR="009D04E9" w:rsidRPr="009D04E9">
        <w:t>:</w:t>
      </w:r>
      <w:r>
        <w:t xml:space="preserve"> HPRS 4905: Introduction to Hebrew Bible</w:t>
      </w:r>
    </w:p>
    <w:p w14:paraId="6B1B25B9" w14:textId="77777777" w:rsidR="00B45FFE" w:rsidRDefault="000C3BAD">
      <w:pPr>
        <w:spacing w:after="80"/>
        <w:jc w:val="center"/>
      </w:pPr>
      <w:r>
        <w:rPr>
          <w:b/>
          <w:bCs/>
          <w:sz w:val="32"/>
          <w:szCs w:val="32"/>
        </w:rPr>
        <w:t>Adam and Eve in Genesis</w:t>
      </w:r>
    </w:p>
    <w:p w14:paraId="0B8329E3" w14:textId="77777777" w:rsidR="00B45FFE" w:rsidRDefault="000C3BAD">
      <w:pPr>
        <w:spacing w:after="400"/>
        <w:jc w:val="center"/>
      </w:pPr>
      <w:r>
        <w:rPr>
          <w:i/>
          <w:iCs/>
        </w:rPr>
        <w:t>Is the story ‘a perfect example of misogynism’, or has it simply been read that way?</w:t>
      </w:r>
    </w:p>
    <w:p w14:paraId="41EAB0B9" w14:textId="77777777" w:rsidR="00B45FFE" w:rsidRDefault="000C3BAD">
      <w:pPr>
        <w:pStyle w:val="Heading1"/>
        <w:spacing w:before="320" w:after="140"/>
      </w:pPr>
      <w:r>
        <w:rPr>
          <w:b/>
          <w:bCs/>
          <w:color w:val="000000"/>
          <w:sz w:val="28"/>
          <w:szCs w:val="28"/>
        </w:rPr>
        <w:t>1. Introduction</w:t>
      </w:r>
    </w:p>
    <w:p w14:paraId="638A7914" w14:textId="77777777" w:rsidR="00B45FFE" w:rsidRDefault="000C3BAD">
      <w:pPr>
        <w:spacing w:after="160" w:line="360" w:lineRule="auto"/>
      </w:pPr>
      <w:r>
        <w:t>Few stories have done more to shape how the West thinks about men and women than Genesis 2–3. That is exactly why the claim that the narrative of Adam and Eve is ‘a perfect example of misogynism’ is easy to make and hard to test. The real question underneath it is narrower: is the hostility towards women in the text, or in the people who have read the text?</w:t>
      </w:r>
    </w:p>
    <w:p w14:paraId="5253E63B" w14:textId="343CC7D3" w:rsidR="00B45FFE" w:rsidRDefault="000C3BAD">
      <w:pPr>
        <w:spacing w:after="160" w:line="360" w:lineRule="auto"/>
      </w:pPr>
      <w:r>
        <w:t xml:space="preserve">This report looks at the Hebrew narrative first and then at some of its most influential readers. My argument is straightforward. The story has certainly been used against women, and for a very long time. But the text itself is more open than that use suggests. It is fairer to say that Adam and Eve </w:t>
      </w:r>
      <w:r w:rsidR="00BC370A">
        <w:t>have</w:t>
      </w:r>
      <w:r>
        <w:t xml:space="preserve"> been read misogynistically than to say that it is misogynistic.</w:t>
      </w:r>
    </w:p>
    <w:p w14:paraId="77B449D6" w14:textId="77777777" w:rsidR="00B45FFE" w:rsidRDefault="000C3BAD">
      <w:pPr>
        <w:pStyle w:val="Heading1"/>
        <w:spacing w:before="320" w:after="140"/>
      </w:pPr>
      <w:r>
        <w:rPr>
          <w:b/>
          <w:bCs/>
          <w:color w:val="000000"/>
          <w:sz w:val="28"/>
          <w:szCs w:val="28"/>
        </w:rPr>
        <w:t>2. What the Text Actually Says</w:t>
      </w:r>
    </w:p>
    <w:p w14:paraId="5A817FDE" w14:textId="77777777" w:rsidR="00B45FFE" w:rsidRDefault="000C3BAD">
      <w:pPr>
        <w:pStyle w:val="Heading2"/>
        <w:spacing w:before="220" w:after="100"/>
      </w:pPr>
      <w:r>
        <w:rPr>
          <w:b/>
          <w:bCs/>
          <w:i/>
          <w:iCs/>
          <w:color w:val="000000"/>
          <w:sz w:val="24"/>
          <w:szCs w:val="24"/>
        </w:rPr>
        <w:t>2.1 The creation of the woman</w:t>
      </w:r>
    </w:p>
    <w:p w14:paraId="55C7E0D2" w14:textId="77777777" w:rsidR="00B45FFE" w:rsidRDefault="000C3BAD">
      <w:pPr>
        <w:spacing w:after="160" w:line="360" w:lineRule="auto"/>
      </w:pPr>
      <w:r>
        <w:t>In Genesis 2, God shapes the first human being (</w:t>
      </w:r>
      <w:proofErr w:type="spellStart"/>
      <w:r>
        <w:rPr>
          <w:i/>
          <w:iCs/>
        </w:rPr>
        <w:t>ha’adam</w:t>
      </w:r>
      <w:proofErr w:type="spellEnd"/>
      <w:r>
        <w:t>) out of the dust and breathes life into him. Then comes the line that starts the whole argument: God will make him ‘a helper as his partner’.</w:t>
      </w:r>
      <w:r>
        <w:rPr>
          <w:vertAlign w:val="superscript"/>
        </w:rPr>
        <w:t>1</w:t>
      </w:r>
      <w:r>
        <w:t xml:space="preserve"> Everything turns on the Hebrew phrase </w:t>
      </w:r>
      <w:proofErr w:type="spellStart"/>
      <w:r>
        <w:rPr>
          <w:i/>
          <w:iCs/>
        </w:rPr>
        <w:t>ezer</w:t>
      </w:r>
      <w:proofErr w:type="spellEnd"/>
      <w:r>
        <w:rPr>
          <w:i/>
          <w:iCs/>
        </w:rPr>
        <w:t xml:space="preserve"> </w:t>
      </w:r>
      <w:proofErr w:type="spellStart"/>
      <w:r>
        <w:rPr>
          <w:i/>
          <w:iCs/>
        </w:rPr>
        <w:t>kenegdo</w:t>
      </w:r>
      <w:proofErr w:type="spellEnd"/>
      <w:r>
        <w:t>. In English, ‘helper’ sounds like an assistant</w:t>
      </w:r>
      <w:r w:rsidR="00D072E0" w:rsidRPr="00D072E0">
        <w:t>,</w:t>
      </w:r>
      <w:r>
        <w:t xml:space="preserve"> someone who fetches things. But </w:t>
      </w:r>
      <w:proofErr w:type="spellStart"/>
      <w:r>
        <w:rPr>
          <w:i/>
          <w:iCs/>
        </w:rPr>
        <w:t>ezer</w:t>
      </w:r>
      <w:proofErr w:type="spellEnd"/>
      <w:r>
        <w:t xml:space="preserve"> is the same word used of God helping Israel in Psalm 121, and nobody reads that as God taking the junior role.</w:t>
      </w:r>
      <w:r>
        <w:rPr>
          <w:vertAlign w:val="superscript"/>
        </w:rPr>
        <w:t>2</w:t>
      </w:r>
      <w:r>
        <w:t xml:space="preserve"> The word on its own simply does not prove that the woman is the lesser of the two.</w:t>
      </w:r>
    </w:p>
    <w:p w14:paraId="3DDE346E" w14:textId="77777777" w:rsidR="00B45FFE" w:rsidRDefault="000C3BAD">
      <w:pPr>
        <w:spacing w:after="160" w:line="360" w:lineRule="auto"/>
      </w:pPr>
      <w:r>
        <w:t>It is also worth putting Genesis 1:27 back next to it, where God makes humanity ‘male and female’ at the same moment and in the divine image.</w:t>
      </w:r>
      <w:r>
        <w:rPr>
          <w:vertAlign w:val="superscript"/>
        </w:rPr>
        <w:t>3</w:t>
      </w:r>
      <w:r>
        <w:t xml:space="preserve"> Phyllis Trible reads the two accounts together and finds equality rather than ranking. Carol Meyers adds a practical angle: in an ancient Israelite farming village, the work of women and men was equally necessary, and the text reflects that shared load rather than a chain of command.</w:t>
      </w:r>
      <w:r>
        <w:rPr>
          <w:vertAlign w:val="superscript"/>
        </w:rPr>
        <w:t>4</w:t>
      </w:r>
    </w:p>
    <w:p w14:paraId="108E29C5" w14:textId="77777777" w:rsidR="00B45FFE" w:rsidRDefault="000C3BAD">
      <w:pPr>
        <w:pStyle w:val="Heading2"/>
        <w:spacing w:before="220" w:after="100"/>
      </w:pPr>
      <w:r>
        <w:rPr>
          <w:b/>
          <w:bCs/>
          <w:i/>
          <w:iCs/>
          <w:color w:val="000000"/>
          <w:sz w:val="24"/>
          <w:szCs w:val="24"/>
        </w:rPr>
        <w:t>2.2 The Fall</w:t>
      </w:r>
    </w:p>
    <w:p w14:paraId="52BFDA49" w14:textId="77777777" w:rsidR="00B45FFE" w:rsidRDefault="000C3BAD">
      <w:pPr>
        <w:spacing w:after="160" w:line="360" w:lineRule="auto"/>
      </w:pPr>
      <w:r>
        <w:t>In Genesis 3 the serpent speaks to the woman, and she answers it. She knows the command and can argue about it</w:t>
      </w:r>
      <w:r w:rsidR="008333FE" w:rsidRPr="008333FE">
        <w:t>;</w:t>
      </w:r>
      <w:r>
        <w:t xml:space="preserve"> she is not simply tricked into silence. She then takes the fruit, eats, </w:t>
      </w:r>
      <w:r>
        <w:lastRenderedPageBreak/>
        <w:t>and gives some to her husband, ‘who was with her’.</w:t>
      </w:r>
      <w:r>
        <w:rPr>
          <w:vertAlign w:val="superscript"/>
        </w:rPr>
        <w:t>5</w:t>
      </w:r>
      <w:r>
        <w:t xml:space="preserve"> That short phrase is easy to skip and impossible to unsee. Adam is standing there for the whole conversation, and he says nothing.</w:t>
      </w:r>
    </w:p>
    <w:p w14:paraId="4842C33B" w14:textId="77777777" w:rsidR="00B45FFE" w:rsidRDefault="000C3BAD">
      <w:pPr>
        <w:spacing w:after="160" w:line="360" w:lineRule="auto"/>
      </w:pPr>
      <w:r>
        <w:t>Then the consequences arrive. The woman is told that her husband ‘shall rule over’ her.</w:t>
      </w:r>
      <w:r>
        <w:rPr>
          <w:vertAlign w:val="superscript"/>
        </w:rPr>
        <w:t>6</w:t>
      </w:r>
      <w:r>
        <w:t xml:space="preserve"> This is the verse the whole debate hangs on, and what it means is genuinely unsettled.</w:t>
      </w:r>
    </w:p>
    <w:p w14:paraId="44487936" w14:textId="77777777" w:rsidR="00B45FFE" w:rsidRDefault="000C3BAD">
      <w:pPr>
        <w:pStyle w:val="Heading1"/>
        <w:spacing w:before="320" w:after="140"/>
      </w:pPr>
      <w:r>
        <w:rPr>
          <w:b/>
          <w:bCs/>
          <w:color w:val="000000"/>
          <w:sz w:val="28"/>
          <w:szCs w:val="28"/>
        </w:rPr>
        <w:t>3. How the Story Has Been Read</w:t>
      </w:r>
    </w:p>
    <w:p w14:paraId="2B5EF119" w14:textId="77777777" w:rsidR="00B45FFE" w:rsidRDefault="000C3BAD">
      <w:pPr>
        <w:pStyle w:val="Heading2"/>
        <w:spacing w:before="220" w:after="100"/>
      </w:pPr>
      <w:r>
        <w:rPr>
          <w:b/>
          <w:bCs/>
          <w:i/>
          <w:iCs/>
          <w:color w:val="000000"/>
          <w:sz w:val="24"/>
          <w:szCs w:val="24"/>
        </w:rPr>
        <w:t>3.1 The Church Fathers</w:t>
      </w:r>
    </w:p>
    <w:p w14:paraId="745415CF" w14:textId="77777777" w:rsidR="00B45FFE" w:rsidRDefault="000C3BAD">
      <w:pPr>
        <w:spacing w:after="160" w:line="360" w:lineRule="auto"/>
      </w:pPr>
      <w:r>
        <w:t>Much of the misogyny attached to Genesis arrives later than Genesis. Tertullian addressed women directly as ‘the devil’s gateway’ and laid the Fall at the feet of the female sex.</w:t>
      </w:r>
      <w:r>
        <w:rPr>
          <w:vertAlign w:val="superscript"/>
        </w:rPr>
        <w:t>7</w:t>
      </w:r>
      <w:r>
        <w:t xml:space="preserve"> Augustine was calmer in tone but reached a similar place: Eve being the one deceived showed, for him, a natural order in which women are properly subject to men.</w:t>
      </w:r>
      <w:r>
        <w:rPr>
          <w:vertAlign w:val="superscript"/>
        </w:rPr>
        <w:t>8</w:t>
      </w:r>
      <w:r>
        <w:t xml:space="preserve"> These readings did not stay in books. They fed into canon law, marriage doctrine and everyday attitudes for well over a thousand years.</w:t>
      </w:r>
    </w:p>
    <w:p w14:paraId="58D59C36" w14:textId="77777777" w:rsidR="00B45FFE" w:rsidRDefault="000C3BAD">
      <w:pPr>
        <w:pStyle w:val="Heading2"/>
        <w:spacing w:before="220" w:after="100"/>
      </w:pPr>
      <w:r>
        <w:rPr>
          <w:b/>
          <w:bCs/>
          <w:i/>
          <w:iCs/>
          <w:color w:val="000000"/>
          <w:sz w:val="24"/>
          <w:szCs w:val="24"/>
        </w:rPr>
        <w:t>3.2 Feminist re-readings</w:t>
      </w:r>
    </w:p>
    <w:p w14:paraId="15D6A0C2" w14:textId="77777777" w:rsidR="00B45FFE" w:rsidRDefault="000C3BAD">
      <w:pPr>
        <w:spacing w:after="160" w:line="360" w:lineRule="auto"/>
      </w:pPr>
      <w:r>
        <w:t>Trible’s key move is a distinction between describing and prescribing. On her reading, Genesis 3:16 describes what goes wrong after the disobedience; it is not God’s instruction for how marriage ought to work. If that is right, the verse is a lament about a broken world rather than a rule for running one.</w:t>
      </w:r>
      <w:r>
        <w:rPr>
          <w:vertAlign w:val="superscript"/>
        </w:rPr>
        <w:t>9</w:t>
      </w:r>
    </w:p>
    <w:p w14:paraId="339F1C98" w14:textId="77777777" w:rsidR="00B45FFE" w:rsidRDefault="000C3BAD">
      <w:pPr>
        <w:spacing w:after="160" w:line="360" w:lineRule="auto"/>
      </w:pPr>
      <w:r>
        <w:t xml:space="preserve">Elizabeth Cady Stanton got there earlier and much more bluntly. </w:t>
      </w:r>
      <w:r>
        <w:rPr>
          <w:i/>
          <w:iCs/>
        </w:rPr>
        <w:t>The Woman’s Bible</w:t>
      </w:r>
      <w:r>
        <w:t xml:space="preserve"> (1895) argued that Genesis had been used as a tool to keep women out of education, public life and ministry. Her work is more polemic than close exegesis, but it opened a door that later scholars walked through.</w:t>
      </w:r>
      <w:r>
        <w:rPr>
          <w:vertAlign w:val="superscript"/>
        </w:rPr>
        <w:t>10</w:t>
      </w:r>
      <w:r>
        <w:t xml:space="preserve"> Meyers grounds the discussion in the ancient Near East, and Susan Haddox makes the methodological point plainly: gender in the Hebrew Bible is built out of narrative and social setting, </w:t>
      </w:r>
      <w:r w:rsidR="00317106" w:rsidRPr="00317106">
        <w:t>rather than</w:t>
      </w:r>
      <w:r>
        <w:t xml:space="preserve"> handed down as a fixed divine ruling.</w:t>
      </w:r>
      <w:r>
        <w:rPr>
          <w:vertAlign w:val="superscript"/>
        </w:rPr>
        <w:t>11</w:t>
      </w:r>
    </w:p>
    <w:p w14:paraId="24FAC1EE" w14:textId="77777777" w:rsidR="00B45FFE" w:rsidRDefault="000C3BAD">
      <w:pPr>
        <w:pStyle w:val="Heading1"/>
        <w:spacing w:before="320" w:after="140"/>
      </w:pPr>
      <w:r>
        <w:rPr>
          <w:b/>
          <w:bCs/>
          <w:color w:val="000000"/>
          <w:sz w:val="28"/>
          <w:szCs w:val="28"/>
        </w:rPr>
        <w:t>4. Discussion</w:t>
      </w:r>
    </w:p>
    <w:p w14:paraId="42EE7FCF" w14:textId="77777777" w:rsidR="00B45FFE" w:rsidRDefault="000C3BAD">
      <w:pPr>
        <w:spacing w:after="160" w:line="360" w:lineRule="auto"/>
      </w:pPr>
      <w:r>
        <w:t>Three things push back against the claim that this is a ‘perfect example’ of misogyny.</w:t>
      </w:r>
    </w:p>
    <w:p w14:paraId="52A9F274" w14:textId="77777777" w:rsidR="00B45FFE" w:rsidRDefault="000C3BAD">
      <w:pPr>
        <w:spacing w:after="160" w:line="360" w:lineRule="auto"/>
      </w:pPr>
      <w:r>
        <w:rPr>
          <w:b/>
          <w:bCs/>
        </w:rPr>
        <w:t xml:space="preserve">First, the punishments are matched. </w:t>
      </w:r>
      <w:r>
        <w:t>If Genesis 3:16 belongs to the broken world rather than the created one, then male rule is a symptom in the story, not a design for it. The man’s sentence supports that reading: he is given painful labour in the soil just as she is given pain in childbirth. The two go together.</w:t>
      </w:r>
    </w:p>
    <w:p w14:paraId="5CC72634" w14:textId="11DBBF02" w:rsidR="00B45FFE" w:rsidRDefault="000C3BAD">
      <w:pPr>
        <w:spacing w:after="160" w:line="360" w:lineRule="auto"/>
      </w:pPr>
      <w:r>
        <w:rPr>
          <w:b/>
          <w:bCs/>
        </w:rPr>
        <w:lastRenderedPageBreak/>
        <w:t xml:space="preserve">Second, the blame is shared. </w:t>
      </w:r>
      <w:r>
        <w:t xml:space="preserve">Adam is present. </w:t>
      </w:r>
      <w:r w:rsidR="00BC370A">
        <w:t>Both</w:t>
      </w:r>
      <w:r>
        <w:t xml:space="preserve"> eat, both are questioned, and both are given consequences. Singling Eve out is something readers have done; the chapter itself does not.</w:t>
      </w:r>
    </w:p>
    <w:p w14:paraId="5F117F77" w14:textId="77777777" w:rsidR="00B45FFE" w:rsidRDefault="000C3BAD">
      <w:pPr>
        <w:spacing w:after="160" w:line="360" w:lineRule="auto"/>
      </w:pPr>
      <w:r>
        <w:rPr>
          <w:b/>
          <w:bCs/>
        </w:rPr>
        <w:t xml:space="preserve">Third, the setting is not a gender treatise. </w:t>
      </w:r>
      <w:r>
        <w:t>Genesis was written in and for a subsistence farming society preoccupied with work, childbirth and death. It was later used as an argument about the ranking of the sexes, but it does not read like one.</w:t>
      </w:r>
    </w:p>
    <w:p w14:paraId="57A9E379" w14:textId="684B0A84" w:rsidR="00B45FFE" w:rsidRDefault="000C3BAD">
      <w:pPr>
        <w:spacing w:after="160" w:line="360" w:lineRule="auto"/>
      </w:pPr>
      <w:r>
        <w:t xml:space="preserve">None of this makes the story harmless. The woman made from a rib, the woman reaching for the fruit first, and ‘he shall rule over you’ are all </w:t>
      </w:r>
      <w:r w:rsidR="00BC370A">
        <w:t>there</w:t>
      </w:r>
      <w:r>
        <w:t>, and people have done real damage with them. But the damage sits mostly in the reception</w:t>
      </w:r>
      <w:r w:rsidR="00BC370A" w:rsidRPr="00BC370A">
        <w:t>:</w:t>
      </w:r>
      <w:r>
        <w:t xml:space="preserve"> in Tertullian’s rhetoric, in Augustine’s reasoning, and in centuries of reading habits built on top of them</w:t>
      </w:r>
      <w:r w:rsidR="00BC370A" w:rsidRPr="00BC370A">
        <w:t>,</w:t>
      </w:r>
      <w:r>
        <w:t xml:space="preserve"> rather than unambiguously in the Hebrew.</w:t>
      </w:r>
    </w:p>
    <w:p w14:paraId="5783021C" w14:textId="77777777" w:rsidR="00B45FFE" w:rsidRDefault="000C3BAD">
      <w:pPr>
        <w:pStyle w:val="Heading1"/>
        <w:spacing w:before="320" w:after="140"/>
      </w:pPr>
      <w:r>
        <w:rPr>
          <w:b/>
          <w:bCs/>
          <w:color w:val="000000"/>
          <w:sz w:val="28"/>
          <w:szCs w:val="28"/>
        </w:rPr>
        <w:t>5. Conclusion</w:t>
      </w:r>
    </w:p>
    <w:p w14:paraId="57F4D3B9" w14:textId="77777777" w:rsidR="00B45FFE" w:rsidRDefault="000C3BAD">
      <w:pPr>
        <w:spacing w:after="160" w:line="360" w:lineRule="auto"/>
      </w:pPr>
      <w:r>
        <w:t>Tested against the text, the statement needs heavy qualification. Genesis 2–3 contains material that has been used to subordinate women, but it also supports readings built on mutuality, shared responsibility and a distortion of an order that began as equal. The misogynistic legacy owes more to the interpreters than to the narrative.</w:t>
      </w:r>
    </w:p>
    <w:p w14:paraId="666B3B18" w14:textId="77777777" w:rsidR="00B45FFE" w:rsidRDefault="000C3BAD">
      <w:pPr>
        <w:spacing w:after="160" w:line="360" w:lineRule="auto"/>
      </w:pPr>
      <w:proofErr w:type="gramStart"/>
      <w:r>
        <w:t>So</w:t>
      </w:r>
      <w:proofErr w:type="gramEnd"/>
      <w:r>
        <w:t xml:space="preserve"> the useful question is not really whether Genesis is misogynistic. It is how and why it came to be read that way, and what the story looks like once those assumptions are put down. On that question the debate is still very much open.</w:t>
      </w:r>
    </w:p>
    <w:p w14:paraId="3AC6EE39" w14:textId="77777777" w:rsidR="00B45FFE" w:rsidRDefault="000C3BAD">
      <w:pPr>
        <w:pStyle w:val="Heading1"/>
        <w:spacing w:before="320" w:after="140"/>
      </w:pPr>
      <w:r>
        <w:rPr>
          <w:b/>
          <w:bCs/>
          <w:color w:val="000000"/>
          <w:sz w:val="28"/>
          <w:szCs w:val="28"/>
        </w:rPr>
        <w:t>Notes</w:t>
      </w:r>
    </w:p>
    <w:p w14:paraId="7CADC6C3" w14:textId="77777777" w:rsidR="00B45FFE" w:rsidRDefault="000C3BAD">
      <w:pPr>
        <w:spacing w:after="120"/>
        <w:ind w:left="360" w:hanging="360"/>
      </w:pPr>
      <w:r>
        <w:rPr>
          <w:sz w:val="22"/>
          <w:szCs w:val="22"/>
        </w:rPr>
        <w:t xml:space="preserve">1. Genesis 2:18, </w:t>
      </w:r>
      <w:r>
        <w:rPr>
          <w:i/>
          <w:iCs/>
          <w:sz w:val="22"/>
          <w:szCs w:val="22"/>
        </w:rPr>
        <w:t>The Holy Bible: New Revised Standard Version</w:t>
      </w:r>
      <w:r>
        <w:rPr>
          <w:sz w:val="22"/>
          <w:szCs w:val="22"/>
        </w:rPr>
        <w:t xml:space="preserve"> (Oxford: Oxford University Press, 1989). All biblical quotations follow the NRSV.</w:t>
      </w:r>
    </w:p>
    <w:p w14:paraId="31AF20AD" w14:textId="77777777" w:rsidR="00B45FFE" w:rsidRDefault="000C3BAD">
      <w:pPr>
        <w:spacing w:after="120"/>
        <w:ind w:left="360" w:hanging="360"/>
      </w:pPr>
      <w:r>
        <w:rPr>
          <w:sz w:val="22"/>
          <w:szCs w:val="22"/>
        </w:rPr>
        <w:t xml:space="preserve">2. Phyllis Trible, </w:t>
      </w:r>
      <w:r>
        <w:rPr>
          <w:i/>
          <w:iCs/>
          <w:sz w:val="22"/>
          <w:szCs w:val="22"/>
        </w:rPr>
        <w:t>God and the Rhetoric of Sexuality</w:t>
      </w:r>
      <w:r>
        <w:rPr>
          <w:sz w:val="22"/>
          <w:szCs w:val="22"/>
        </w:rPr>
        <w:t xml:space="preserve"> (Philadelphia: Fortress Press, 1978); compare Psalm 121:1–2.</w:t>
      </w:r>
    </w:p>
    <w:p w14:paraId="26854DD0" w14:textId="77777777" w:rsidR="00B45FFE" w:rsidRDefault="000C3BAD">
      <w:pPr>
        <w:spacing w:after="120"/>
        <w:ind w:left="360" w:hanging="360"/>
      </w:pPr>
      <w:r>
        <w:rPr>
          <w:sz w:val="22"/>
          <w:szCs w:val="22"/>
        </w:rPr>
        <w:t>3. Genesis 1:27.</w:t>
      </w:r>
    </w:p>
    <w:p w14:paraId="6306EA8B" w14:textId="77777777" w:rsidR="00B45FFE" w:rsidRDefault="000C3BAD">
      <w:pPr>
        <w:spacing w:after="120"/>
        <w:ind w:left="360" w:hanging="360"/>
      </w:pPr>
      <w:r>
        <w:rPr>
          <w:sz w:val="22"/>
          <w:szCs w:val="22"/>
        </w:rPr>
        <w:t xml:space="preserve">4. Carol Meyers, </w:t>
      </w:r>
      <w:r>
        <w:rPr>
          <w:i/>
          <w:iCs/>
          <w:sz w:val="22"/>
          <w:szCs w:val="22"/>
        </w:rPr>
        <w:t>Rediscovering Eve: Ancient Israelite Women in Context</w:t>
      </w:r>
      <w:r>
        <w:rPr>
          <w:sz w:val="22"/>
          <w:szCs w:val="22"/>
        </w:rPr>
        <w:t xml:space="preserve"> (Oxford: Oxford University Press, 2013).</w:t>
      </w:r>
    </w:p>
    <w:p w14:paraId="1B60C95D" w14:textId="77777777" w:rsidR="00B45FFE" w:rsidRDefault="000C3BAD">
      <w:pPr>
        <w:spacing w:after="120"/>
        <w:ind w:left="360" w:hanging="360"/>
      </w:pPr>
      <w:r>
        <w:rPr>
          <w:sz w:val="22"/>
          <w:szCs w:val="22"/>
        </w:rPr>
        <w:t>5. Genesis 3:6.</w:t>
      </w:r>
    </w:p>
    <w:p w14:paraId="6B19B9B8" w14:textId="77777777" w:rsidR="00B45FFE" w:rsidRDefault="000C3BAD">
      <w:pPr>
        <w:spacing w:after="120"/>
        <w:ind w:left="360" w:hanging="360"/>
      </w:pPr>
      <w:r>
        <w:rPr>
          <w:sz w:val="22"/>
          <w:szCs w:val="22"/>
        </w:rPr>
        <w:t>6. Genesis 3:16.</w:t>
      </w:r>
    </w:p>
    <w:p w14:paraId="54F6A5E1" w14:textId="77777777" w:rsidR="00B45FFE" w:rsidRDefault="000C3BAD">
      <w:pPr>
        <w:spacing w:after="120"/>
        <w:ind w:left="360" w:hanging="360"/>
      </w:pPr>
      <w:r>
        <w:rPr>
          <w:sz w:val="22"/>
          <w:szCs w:val="22"/>
        </w:rPr>
        <w:t xml:space="preserve">7. Tertullian, </w:t>
      </w:r>
      <w:r>
        <w:rPr>
          <w:i/>
          <w:iCs/>
          <w:sz w:val="22"/>
          <w:szCs w:val="22"/>
        </w:rPr>
        <w:t>On the Apparel of Women</w:t>
      </w:r>
      <w:r>
        <w:rPr>
          <w:sz w:val="22"/>
          <w:szCs w:val="22"/>
        </w:rPr>
        <w:t xml:space="preserve">, trans. by S. Thelwall, in </w:t>
      </w:r>
      <w:r>
        <w:rPr>
          <w:i/>
          <w:iCs/>
          <w:sz w:val="22"/>
          <w:szCs w:val="22"/>
        </w:rPr>
        <w:t>The Ante-Nicene Fathers</w:t>
      </w:r>
      <w:r>
        <w:rPr>
          <w:sz w:val="22"/>
          <w:szCs w:val="22"/>
        </w:rPr>
        <w:t>, vol. 4 (Edinburgh: T&amp;T Clark, 1885), I.1.</w:t>
      </w:r>
    </w:p>
    <w:p w14:paraId="15468115" w14:textId="77777777" w:rsidR="00B45FFE" w:rsidRDefault="000C3BAD">
      <w:pPr>
        <w:spacing w:after="120"/>
        <w:ind w:left="360" w:hanging="360"/>
      </w:pPr>
      <w:r>
        <w:rPr>
          <w:sz w:val="22"/>
          <w:szCs w:val="22"/>
        </w:rPr>
        <w:t xml:space="preserve">8. Augustine, </w:t>
      </w:r>
      <w:r>
        <w:rPr>
          <w:i/>
          <w:iCs/>
          <w:sz w:val="22"/>
          <w:szCs w:val="22"/>
        </w:rPr>
        <w:t>The Literal Meaning of Genesis</w:t>
      </w:r>
      <w:r>
        <w:rPr>
          <w:sz w:val="22"/>
          <w:szCs w:val="22"/>
        </w:rPr>
        <w:t>, trans. by John Hammond Taylor, 2 vols (New York: Newman Press, 1982), XI.</w:t>
      </w:r>
    </w:p>
    <w:p w14:paraId="4CD2BC06" w14:textId="77777777" w:rsidR="00B45FFE" w:rsidRDefault="000C3BAD">
      <w:pPr>
        <w:spacing w:after="120"/>
        <w:ind w:left="360" w:hanging="360"/>
      </w:pPr>
      <w:r>
        <w:rPr>
          <w:sz w:val="22"/>
          <w:szCs w:val="22"/>
        </w:rPr>
        <w:lastRenderedPageBreak/>
        <w:t xml:space="preserve">9. Trible, </w:t>
      </w:r>
      <w:r>
        <w:rPr>
          <w:i/>
          <w:iCs/>
          <w:sz w:val="22"/>
          <w:szCs w:val="22"/>
        </w:rPr>
        <w:t>God and the Rhetoric of Sexuality</w:t>
      </w:r>
      <w:r>
        <w:rPr>
          <w:sz w:val="22"/>
          <w:szCs w:val="22"/>
        </w:rPr>
        <w:t>, on Genesis 3:16 as description rather than prescription.</w:t>
      </w:r>
    </w:p>
    <w:p w14:paraId="4B841143" w14:textId="77777777" w:rsidR="00B45FFE" w:rsidRDefault="000C3BAD">
      <w:pPr>
        <w:spacing w:after="120"/>
        <w:ind w:left="360" w:hanging="360"/>
      </w:pPr>
      <w:r>
        <w:rPr>
          <w:sz w:val="22"/>
          <w:szCs w:val="22"/>
        </w:rPr>
        <w:t xml:space="preserve">10. Elizabeth Cady Stanton, </w:t>
      </w:r>
      <w:r>
        <w:rPr>
          <w:i/>
          <w:iCs/>
          <w:sz w:val="22"/>
          <w:szCs w:val="22"/>
        </w:rPr>
        <w:t>The Woman’s Bible</w:t>
      </w:r>
      <w:r>
        <w:rPr>
          <w:sz w:val="22"/>
          <w:szCs w:val="22"/>
        </w:rPr>
        <w:t xml:space="preserve"> (New York: European Publishing Company, 1895).</w:t>
      </w:r>
    </w:p>
    <w:p w14:paraId="24972470" w14:textId="77777777" w:rsidR="00B45FFE" w:rsidRDefault="000C3BAD">
      <w:pPr>
        <w:spacing w:after="120"/>
        <w:ind w:left="360" w:hanging="360"/>
      </w:pPr>
      <w:r>
        <w:rPr>
          <w:sz w:val="22"/>
          <w:szCs w:val="22"/>
        </w:rPr>
        <w:t xml:space="preserve">11. Susan E. Haddox, ‘The Construction of Gender in the Hebrew Bible’, </w:t>
      </w:r>
      <w:r>
        <w:rPr>
          <w:i/>
          <w:iCs/>
          <w:sz w:val="22"/>
          <w:szCs w:val="22"/>
        </w:rPr>
        <w:t>Religion Compass</w:t>
      </w:r>
      <w:r>
        <w:rPr>
          <w:sz w:val="22"/>
          <w:szCs w:val="22"/>
        </w:rPr>
        <w:t>, 2.5 (2008), 907–21.</w:t>
      </w:r>
    </w:p>
    <w:p w14:paraId="555DA225" w14:textId="77777777" w:rsidR="00B45FFE" w:rsidRDefault="000C3BAD">
      <w:pPr>
        <w:pStyle w:val="Heading1"/>
        <w:spacing w:before="320" w:after="140"/>
      </w:pPr>
      <w:r>
        <w:rPr>
          <w:b/>
          <w:bCs/>
          <w:color w:val="000000"/>
          <w:sz w:val="28"/>
          <w:szCs w:val="28"/>
        </w:rPr>
        <w:t>Bibliography</w:t>
      </w:r>
    </w:p>
    <w:p w14:paraId="04224DE5" w14:textId="77777777" w:rsidR="00B45FFE" w:rsidRDefault="000C3BAD">
      <w:pPr>
        <w:pStyle w:val="Heading2"/>
        <w:spacing w:before="220" w:after="100"/>
      </w:pPr>
      <w:r>
        <w:rPr>
          <w:b/>
          <w:bCs/>
          <w:i/>
          <w:iCs/>
          <w:color w:val="000000"/>
          <w:sz w:val="24"/>
          <w:szCs w:val="24"/>
        </w:rPr>
        <w:t>Primary source</w:t>
      </w:r>
    </w:p>
    <w:p w14:paraId="3313059C" w14:textId="77777777" w:rsidR="00B45FFE" w:rsidRDefault="000C3BAD">
      <w:pPr>
        <w:spacing w:after="120"/>
        <w:ind w:left="360" w:hanging="360"/>
      </w:pPr>
      <w:r>
        <w:rPr>
          <w:i/>
          <w:iCs/>
          <w:sz w:val="22"/>
          <w:szCs w:val="22"/>
        </w:rPr>
        <w:t>The Holy Bible: New Revised Standard Version</w:t>
      </w:r>
      <w:r>
        <w:rPr>
          <w:sz w:val="22"/>
          <w:szCs w:val="22"/>
        </w:rPr>
        <w:t xml:space="preserve"> (Oxford: Oxford University Press, 1989)</w:t>
      </w:r>
    </w:p>
    <w:p w14:paraId="7BCB0D15" w14:textId="77777777" w:rsidR="00B45FFE" w:rsidRDefault="000C3BAD">
      <w:pPr>
        <w:pStyle w:val="Heading2"/>
        <w:spacing w:before="220" w:after="100"/>
      </w:pPr>
      <w:r>
        <w:rPr>
          <w:b/>
          <w:bCs/>
          <w:i/>
          <w:iCs/>
          <w:color w:val="000000"/>
          <w:sz w:val="24"/>
          <w:szCs w:val="24"/>
        </w:rPr>
        <w:t>Secondary sources</w:t>
      </w:r>
    </w:p>
    <w:p w14:paraId="37C1CF8C" w14:textId="77777777" w:rsidR="00B45FFE" w:rsidRDefault="000C3BAD">
      <w:pPr>
        <w:spacing w:after="120"/>
        <w:ind w:left="360" w:hanging="360"/>
      </w:pPr>
      <w:r>
        <w:rPr>
          <w:sz w:val="22"/>
          <w:szCs w:val="22"/>
        </w:rPr>
        <w:t xml:space="preserve">Augustine, </w:t>
      </w:r>
      <w:r>
        <w:rPr>
          <w:i/>
          <w:iCs/>
          <w:sz w:val="22"/>
          <w:szCs w:val="22"/>
        </w:rPr>
        <w:t>The Literal Meaning of Genesis</w:t>
      </w:r>
      <w:r>
        <w:rPr>
          <w:sz w:val="22"/>
          <w:szCs w:val="22"/>
        </w:rPr>
        <w:t>, trans. by John Hammond Taylor, 2 vols (New York: Newman Press, 1982)</w:t>
      </w:r>
    </w:p>
    <w:p w14:paraId="2143FD83" w14:textId="77777777" w:rsidR="00B45FFE" w:rsidRDefault="000C3BAD">
      <w:pPr>
        <w:spacing w:after="120"/>
        <w:ind w:left="360" w:hanging="360"/>
      </w:pPr>
      <w:r>
        <w:rPr>
          <w:sz w:val="22"/>
          <w:szCs w:val="22"/>
        </w:rPr>
        <w:t xml:space="preserve">Haddox, Susan E., ‘The Construction of Gender in the Hebrew Bible’, </w:t>
      </w:r>
      <w:r>
        <w:rPr>
          <w:i/>
          <w:iCs/>
          <w:sz w:val="22"/>
          <w:szCs w:val="22"/>
        </w:rPr>
        <w:t>Religion Compass</w:t>
      </w:r>
      <w:r>
        <w:rPr>
          <w:sz w:val="22"/>
          <w:szCs w:val="22"/>
        </w:rPr>
        <w:t>, 2.5 (2008), 907–21</w:t>
      </w:r>
    </w:p>
    <w:p w14:paraId="4861414A" w14:textId="77777777" w:rsidR="00B45FFE" w:rsidRDefault="000C3BAD">
      <w:pPr>
        <w:spacing w:after="120"/>
        <w:ind w:left="360" w:hanging="360"/>
      </w:pPr>
      <w:r>
        <w:rPr>
          <w:sz w:val="22"/>
          <w:szCs w:val="22"/>
        </w:rPr>
        <w:t xml:space="preserve">Meyers, Carol, </w:t>
      </w:r>
      <w:r>
        <w:rPr>
          <w:i/>
          <w:iCs/>
          <w:sz w:val="22"/>
          <w:szCs w:val="22"/>
        </w:rPr>
        <w:t>Rediscovering Eve: Ancient Israelite Women in Context</w:t>
      </w:r>
      <w:r>
        <w:rPr>
          <w:sz w:val="22"/>
          <w:szCs w:val="22"/>
        </w:rPr>
        <w:t xml:space="preserve"> (Oxford: Oxford University Press, 2013)</w:t>
      </w:r>
    </w:p>
    <w:p w14:paraId="56127E49" w14:textId="77777777" w:rsidR="00B45FFE" w:rsidRDefault="000C3BAD">
      <w:pPr>
        <w:spacing w:after="120"/>
        <w:ind w:left="360" w:hanging="360"/>
      </w:pPr>
      <w:r>
        <w:rPr>
          <w:sz w:val="22"/>
          <w:szCs w:val="22"/>
        </w:rPr>
        <w:t xml:space="preserve">Stanton, Elizabeth Cady, </w:t>
      </w:r>
      <w:r>
        <w:rPr>
          <w:i/>
          <w:iCs/>
          <w:sz w:val="22"/>
          <w:szCs w:val="22"/>
        </w:rPr>
        <w:t>The Woman’s Bible</w:t>
      </w:r>
      <w:r>
        <w:rPr>
          <w:sz w:val="22"/>
          <w:szCs w:val="22"/>
        </w:rPr>
        <w:t xml:space="preserve"> (New York: European Publishing Company, 1895)</w:t>
      </w:r>
    </w:p>
    <w:p w14:paraId="1E839E86" w14:textId="77777777" w:rsidR="00B45FFE" w:rsidRDefault="000C3BAD">
      <w:pPr>
        <w:spacing w:after="120"/>
        <w:ind w:left="360" w:hanging="360"/>
      </w:pPr>
      <w:r>
        <w:rPr>
          <w:sz w:val="22"/>
          <w:szCs w:val="22"/>
        </w:rPr>
        <w:t xml:space="preserve">Tertullian, </w:t>
      </w:r>
      <w:r>
        <w:rPr>
          <w:i/>
          <w:iCs/>
          <w:sz w:val="22"/>
          <w:szCs w:val="22"/>
        </w:rPr>
        <w:t>On the Apparel of Women</w:t>
      </w:r>
      <w:r>
        <w:rPr>
          <w:sz w:val="22"/>
          <w:szCs w:val="22"/>
        </w:rPr>
        <w:t xml:space="preserve">, trans. by S. Thelwall, in </w:t>
      </w:r>
      <w:r>
        <w:rPr>
          <w:i/>
          <w:iCs/>
          <w:sz w:val="22"/>
          <w:szCs w:val="22"/>
        </w:rPr>
        <w:t>The Ante-Nicene Fathers</w:t>
      </w:r>
      <w:r>
        <w:rPr>
          <w:sz w:val="22"/>
          <w:szCs w:val="22"/>
        </w:rPr>
        <w:t>, vol. 4 (Edinburgh: T&amp;T Clark, 1885)</w:t>
      </w:r>
    </w:p>
    <w:p w14:paraId="3A6532A7" w14:textId="77777777" w:rsidR="00B45FFE" w:rsidRDefault="000C3BAD">
      <w:pPr>
        <w:spacing w:after="120"/>
        <w:ind w:left="360" w:hanging="360"/>
      </w:pPr>
      <w:r>
        <w:rPr>
          <w:sz w:val="22"/>
          <w:szCs w:val="22"/>
        </w:rPr>
        <w:t xml:space="preserve">Trible, Phyllis, </w:t>
      </w:r>
      <w:r>
        <w:rPr>
          <w:i/>
          <w:iCs/>
          <w:sz w:val="22"/>
          <w:szCs w:val="22"/>
        </w:rPr>
        <w:t>God and the Rhetoric of Sexuality</w:t>
      </w:r>
      <w:r>
        <w:rPr>
          <w:sz w:val="22"/>
          <w:szCs w:val="22"/>
        </w:rPr>
        <w:t xml:space="preserve"> (Philadelphia: Fortress Press, 1978)</w:t>
      </w:r>
    </w:p>
    <w:p w14:paraId="5754FE71" w14:textId="77777777" w:rsidR="00B45FFE" w:rsidRDefault="000C3BAD">
      <w:pPr>
        <w:pStyle w:val="Heading2"/>
        <w:spacing w:before="220" w:after="100"/>
      </w:pPr>
      <w:r>
        <w:rPr>
          <w:b/>
          <w:bCs/>
          <w:i/>
          <w:iCs/>
          <w:color w:val="000000"/>
          <w:sz w:val="24"/>
          <w:szCs w:val="24"/>
        </w:rPr>
        <w:t>Internet sources</w:t>
      </w:r>
    </w:p>
    <w:p w14:paraId="72B223B8" w14:textId="515E70DA" w:rsidR="00B45FFE" w:rsidRDefault="000C3BAD">
      <w:pPr>
        <w:spacing w:after="120"/>
        <w:ind w:left="360" w:hanging="360"/>
      </w:pPr>
      <w:r>
        <w:rPr>
          <w:sz w:val="22"/>
          <w:szCs w:val="22"/>
        </w:rPr>
        <w:t xml:space="preserve">Bible Gateway &lt;www.biblegateway.com&gt; </w:t>
      </w:r>
    </w:p>
    <w:p w14:paraId="37112E8C" w14:textId="4617162D" w:rsidR="00B45FFE" w:rsidRDefault="000C3BAD">
      <w:pPr>
        <w:spacing w:after="120"/>
        <w:ind w:left="360" w:hanging="360"/>
      </w:pPr>
      <w:r>
        <w:rPr>
          <w:sz w:val="22"/>
          <w:szCs w:val="22"/>
        </w:rPr>
        <w:t xml:space="preserve">Stanford </w:t>
      </w:r>
      <w:proofErr w:type="spellStart"/>
      <w:r>
        <w:rPr>
          <w:sz w:val="22"/>
          <w:szCs w:val="22"/>
        </w:rPr>
        <w:t>Encyclopedia</w:t>
      </w:r>
      <w:proofErr w:type="spellEnd"/>
      <w:r>
        <w:rPr>
          <w:sz w:val="22"/>
          <w:szCs w:val="22"/>
        </w:rPr>
        <w:t xml:space="preserve"> of Philosophy, ‘Feminist Philosophy of Religion’ </w:t>
      </w:r>
    </w:p>
    <w:sectPr w:rsidR="00B45FF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7612B" w14:textId="77777777" w:rsidR="000C3BAD" w:rsidRDefault="000C3BAD">
      <w:r>
        <w:separator/>
      </w:r>
    </w:p>
  </w:endnote>
  <w:endnote w:type="continuationSeparator" w:id="0">
    <w:p w14:paraId="403E0479" w14:textId="77777777" w:rsidR="000C3BAD" w:rsidRDefault="000C3B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6BC9EF" w14:textId="77777777" w:rsidR="008B4942" w:rsidRDefault="008B49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84BE0" w14:textId="7C291E50" w:rsidR="00B45FFE" w:rsidRPr="00A72147" w:rsidRDefault="00B45FFE" w:rsidP="00A721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274E2A" w14:textId="77777777" w:rsidR="008B4942" w:rsidRDefault="008B4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6CD8E" w14:textId="77777777" w:rsidR="000C3BAD" w:rsidRDefault="000C3BAD">
      <w:r>
        <w:separator/>
      </w:r>
    </w:p>
  </w:footnote>
  <w:footnote w:type="continuationSeparator" w:id="0">
    <w:p w14:paraId="67A0C646" w14:textId="77777777" w:rsidR="000C3BAD" w:rsidRDefault="000C3B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D57A9" w14:textId="77777777" w:rsidR="008B4942" w:rsidRDefault="008B49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449E4" w14:textId="77777777" w:rsidR="008B4942" w:rsidRDefault="008B49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F25EF" w14:textId="77777777" w:rsidR="008B4942" w:rsidRDefault="008B49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A253BA"/>
    <w:multiLevelType w:val="hybridMultilevel"/>
    <w:tmpl w:val="438A7B6C"/>
    <w:lvl w:ilvl="0" w:tplc="803E2982">
      <w:start w:val="1"/>
      <w:numFmt w:val="bullet"/>
      <w:lvlText w:val="●"/>
      <w:lvlJc w:val="left"/>
      <w:pPr>
        <w:ind w:left="720" w:hanging="360"/>
      </w:pPr>
    </w:lvl>
    <w:lvl w:ilvl="1" w:tplc="BC5CBE80">
      <w:start w:val="1"/>
      <w:numFmt w:val="bullet"/>
      <w:lvlText w:val="○"/>
      <w:lvlJc w:val="left"/>
      <w:pPr>
        <w:ind w:left="1440" w:hanging="360"/>
      </w:pPr>
    </w:lvl>
    <w:lvl w:ilvl="2" w:tplc="AE3249B6">
      <w:start w:val="1"/>
      <w:numFmt w:val="bullet"/>
      <w:lvlText w:val="■"/>
      <w:lvlJc w:val="left"/>
      <w:pPr>
        <w:ind w:left="2160" w:hanging="360"/>
      </w:pPr>
    </w:lvl>
    <w:lvl w:ilvl="3" w:tplc="469666E6">
      <w:start w:val="1"/>
      <w:numFmt w:val="bullet"/>
      <w:lvlText w:val="●"/>
      <w:lvlJc w:val="left"/>
      <w:pPr>
        <w:ind w:left="2880" w:hanging="360"/>
      </w:pPr>
    </w:lvl>
    <w:lvl w:ilvl="4" w:tplc="250ED5AE">
      <w:start w:val="1"/>
      <w:numFmt w:val="bullet"/>
      <w:lvlText w:val="○"/>
      <w:lvlJc w:val="left"/>
      <w:pPr>
        <w:ind w:left="3600" w:hanging="360"/>
      </w:pPr>
    </w:lvl>
    <w:lvl w:ilvl="5" w:tplc="F5381564">
      <w:start w:val="1"/>
      <w:numFmt w:val="bullet"/>
      <w:lvlText w:val="■"/>
      <w:lvlJc w:val="left"/>
      <w:pPr>
        <w:ind w:left="4320" w:hanging="360"/>
      </w:pPr>
    </w:lvl>
    <w:lvl w:ilvl="6" w:tplc="2234707C">
      <w:start w:val="1"/>
      <w:numFmt w:val="bullet"/>
      <w:lvlText w:val="●"/>
      <w:lvlJc w:val="left"/>
      <w:pPr>
        <w:ind w:left="5040" w:hanging="360"/>
      </w:pPr>
    </w:lvl>
    <w:lvl w:ilvl="7" w:tplc="C19C2236">
      <w:start w:val="1"/>
      <w:numFmt w:val="bullet"/>
      <w:lvlText w:val="●"/>
      <w:lvlJc w:val="left"/>
      <w:pPr>
        <w:ind w:left="5760" w:hanging="360"/>
      </w:pPr>
    </w:lvl>
    <w:lvl w:ilvl="8" w:tplc="FE26974A">
      <w:start w:val="1"/>
      <w:numFmt w:val="bullet"/>
      <w:lvlText w:val="●"/>
      <w:lvlJc w:val="left"/>
      <w:pPr>
        <w:ind w:left="6480" w:hanging="360"/>
      </w:pPr>
    </w:lvl>
  </w:abstractNum>
  <w:num w:numId="1" w16cid:durableId="5524225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5FFE"/>
    <w:rsid w:val="000C3BAD"/>
    <w:rsid w:val="00317106"/>
    <w:rsid w:val="007606C3"/>
    <w:rsid w:val="008333FE"/>
    <w:rsid w:val="008B4942"/>
    <w:rsid w:val="009D04E9"/>
    <w:rsid w:val="00A72147"/>
    <w:rsid w:val="00B45FFE"/>
    <w:rsid w:val="00BC370A"/>
    <w:rsid w:val="00D07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20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8B4942"/>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8B4942"/>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B494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B4942"/>
    <w:pPr>
      <w:tabs>
        <w:tab w:val="center" w:pos="4513"/>
        <w:tab w:val="right" w:pos="9026"/>
      </w:tabs>
    </w:pPr>
  </w:style>
  <w:style w:type="character" w:customStyle="1" w:styleId="HeaderChar">
    <w:name w:val="Header Char"/>
    <w:basedOn w:val="DefaultParagraphFont"/>
    <w:link w:val="Header"/>
    <w:uiPriority w:val="99"/>
    <w:rsid w:val="008B4942"/>
  </w:style>
  <w:style w:type="paragraph" w:styleId="Footer">
    <w:name w:val="footer"/>
    <w:basedOn w:val="Normal"/>
    <w:link w:val="FooterChar"/>
    <w:uiPriority w:val="99"/>
    <w:unhideWhenUsed/>
    <w:rsid w:val="008B4942"/>
    <w:pPr>
      <w:tabs>
        <w:tab w:val="center" w:pos="4513"/>
        <w:tab w:val="right" w:pos="9026"/>
      </w:tabs>
    </w:pPr>
  </w:style>
  <w:style w:type="character" w:customStyle="1" w:styleId="FooterChar">
    <w:name w:val="Footer Char"/>
    <w:basedOn w:val="DefaultParagraphFont"/>
    <w:link w:val="Footer"/>
    <w:uiPriority w:val="99"/>
    <w:rsid w:val="008B4942"/>
  </w:style>
  <w:style w:type="character" w:styleId="BookTitle">
    <w:name w:val="Book Title"/>
    <w:basedOn w:val="DefaultParagraphFont"/>
    <w:uiPriority w:val="33"/>
    <w:qFormat/>
    <w:rsid w:val="008B4942"/>
    <w:rPr>
      <w:b/>
      <w:bCs/>
      <w:i/>
      <w:iCs/>
      <w:spacing w:val="5"/>
    </w:rPr>
  </w:style>
  <w:style w:type="paragraph" w:styleId="Caption">
    <w:name w:val="caption"/>
    <w:basedOn w:val="Normal"/>
    <w:next w:val="Normal"/>
    <w:uiPriority w:val="35"/>
    <w:semiHidden/>
    <w:unhideWhenUsed/>
    <w:qFormat/>
    <w:rsid w:val="008B4942"/>
    <w:pPr>
      <w:spacing w:after="200"/>
    </w:pPr>
    <w:rPr>
      <w:i/>
      <w:iCs/>
      <w:color w:val="0E2841" w:themeColor="text2"/>
      <w:sz w:val="18"/>
      <w:szCs w:val="18"/>
    </w:rPr>
  </w:style>
  <w:style w:type="character" w:styleId="Emphasis">
    <w:name w:val="Emphasis"/>
    <w:basedOn w:val="DefaultParagraphFont"/>
    <w:uiPriority w:val="20"/>
    <w:qFormat/>
    <w:rsid w:val="008B4942"/>
    <w:rPr>
      <w:i/>
      <w:iCs/>
    </w:rPr>
  </w:style>
  <w:style w:type="character" w:customStyle="1" w:styleId="Heading7Char">
    <w:name w:val="Heading 7 Char"/>
    <w:basedOn w:val="DefaultParagraphFont"/>
    <w:link w:val="Heading7"/>
    <w:uiPriority w:val="9"/>
    <w:semiHidden/>
    <w:rsid w:val="008B4942"/>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8B494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B4942"/>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8B4942"/>
    <w:rPr>
      <w:i/>
      <w:iCs/>
      <w:color w:val="156082" w:themeColor="accent1"/>
    </w:rPr>
  </w:style>
  <w:style w:type="paragraph" w:styleId="IntenseQuote">
    <w:name w:val="Intense Quote"/>
    <w:basedOn w:val="Normal"/>
    <w:next w:val="Normal"/>
    <w:link w:val="IntenseQuoteChar"/>
    <w:uiPriority w:val="30"/>
    <w:qFormat/>
    <w:rsid w:val="008B4942"/>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8B4942"/>
    <w:rPr>
      <w:i/>
      <w:iCs/>
      <w:color w:val="156082" w:themeColor="accent1"/>
    </w:rPr>
  </w:style>
  <w:style w:type="character" w:styleId="IntenseReference">
    <w:name w:val="Intense Reference"/>
    <w:basedOn w:val="DefaultParagraphFont"/>
    <w:uiPriority w:val="32"/>
    <w:qFormat/>
    <w:rsid w:val="008B4942"/>
    <w:rPr>
      <w:b/>
      <w:bCs/>
      <w:smallCaps/>
      <w:color w:val="156082" w:themeColor="accent1"/>
      <w:spacing w:val="5"/>
    </w:rPr>
  </w:style>
  <w:style w:type="paragraph" w:styleId="NoSpacing">
    <w:name w:val="No Spacing"/>
    <w:uiPriority w:val="1"/>
    <w:qFormat/>
    <w:rsid w:val="008B4942"/>
  </w:style>
  <w:style w:type="paragraph" w:styleId="Quote">
    <w:name w:val="Quote"/>
    <w:basedOn w:val="Normal"/>
    <w:next w:val="Normal"/>
    <w:link w:val="QuoteChar"/>
    <w:uiPriority w:val="29"/>
    <w:qFormat/>
    <w:rsid w:val="008B494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8B4942"/>
    <w:rPr>
      <w:i/>
      <w:iCs/>
      <w:color w:val="404040" w:themeColor="text1" w:themeTint="BF"/>
    </w:rPr>
  </w:style>
  <w:style w:type="character" w:styleId="Strong">
    <w:name w:val="Strong"/>
    <w:basedOn w:val="DefaultParagraphFont"/>
    <w:uiPriority w:val="22"/>
    <w:qFormat/>
    <w:rsid w:val="008B4942"/>
    <w:rPr>
      <w:b/>
      <w:bCs/>
    </w:rPr>
  </w:style>
  <w:style w:type="paragraph" w:styleId="Subtitle">
    <w:name w:val="Subtitle"/>
    <w:basedOn w:val="Normal"/>
    <w:next w:val="Normal"/>
    <w:link w:val="SubtitleChar"/>
    <w:uiPriority w:val="11"/>
    <w:qFormat/>
    <w:rsid w:val="008B4942"/>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B4942"/>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8B4942"/>
    <w:rPr>
      <w:i/>
      <w:iCs/>
      <w:color w:val="404040" w:themeColor="text1" w:themeTint="BF"/>
    </w:rPr>
  </w:style>
  <w:style w:type="character" w:styleId="SubtleReference">
    <w:name w:val="Subtle Reference"/>
    <w:basedOn w:val="DefaultParagraphFont"/>
    <w:uiPriority w:val="31"/>
    <w:qFormat/>
    <w:rsid w:val="008B4942"/>
    <w:rPr>
      <w:smallCaps/>
      <w:color w:val="5A5A5A" w:themeColor="text1" w:themeTint="A5"/>
    </w:rPr>
  </w:style>
  <w:style w:type="paragraph" w:styleId="TOCHeading">
    <w:name w:val="TOC Heading"/>
    <w:basedOn w:val="Heading1"/>
    <w:next w:val="Normal"/>
    <w:uiPriority w:val="39"/>
    <w:semiHidden/>
    <w:unhideWhenUsed/>
    <w:qFormat/>
    <w:rsid w:val="008B4942"/>
    <w:pPr>
      <w:keepNext/>
      <w:keepLines/>
      <w:spacing w:before="240"/>
      <w:outlineLvl w:val="9"/>
    </w:pPr>
    <w:rPr>
      <w:rFonts w:asciiTheme="majorHAnsi" w:eastAsiaTheme="majorEastAsia" w:hAnsiTheme="majorHAnsi" w:cstheme="majorBidi"/>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1133</Words>
  <Characters>6464</Characters>
  <Application>Microsoft Office Word</Application>
  <DocSecurity>0</DocSecurity>
  <Lines>53</Lines>
  <Paragraphs>15</Paragraphs>
  <ScaleCrop>false</ScaleCrop>
  <Company/>
  <LinksUpToDate>false</LinksUpToDate>
  <CharactersWithSpaces>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2026-08-20T08:19:00Z</dcterms:created>
  <dcterms:modified xsi:type="dcterms:W3CDTF">2026-08-20T08:19:00Z</dcterms:modified>
</cp:coreProperties>
</file>