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774AF" w14:textId="1E4FA762" w:rsidR="000C4916" w:rsidRPr="0076456B" w:rsidRDefault="000C4916" w:rsidP="000C4916">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MSc Digital Transformation</w:t>
      </w:r>
    </w:p>
    <w:p w14:paraId="045446B4" w14:textId="77777777" w:rsidR="000C4916" w:rsidRPr="0076456B" w:rsidRDefault="000C4916" w:rsidP="000C4916">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for the Health and Care Professions</w:t>
      </w:r>
    </w:p>
    <w:p w14:paraId="302914CC" w14:textId="77777777" w:rsidR="000C4916" w:rsidRPr="0076456B" w:rsidRDefault="000C4916" w:rsidP="000C4916">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BMDS7005</w:t>
      </w:r>
    </w:p>
    <w:p w14:paraId="330FB2CC" w14:textId="77777777" w:rsidR="000C4916" w:rsidRDefault="000C4916" w:rsidP="000C4916">
      <w:pPr>
        <w:widowControl w:val="0"/>
        <w:autoSpaceDE w:val="0"/>
        <w:autoSpaceDN w:val="0"/>
        <w:spacing w:line="360" w:lineRule="auto"/>
        <w:jc w:val="center"/>
        <w:rPr>
          <w:rFonts w:ascii="Arial" w:eastAsia="Calibri Light" w:hAnsi="Arial" w:cs="Arial"/>
          <w:i/>
          <w:iCs/>
          <w:lang w:eastAsia="en-GB" w:bidi="en-GB"/>
        </w:rPr>
      </w:pPr>
    </w:p>
    <w:p w14:paraId="7C4B0A08" w14:textId="471162D0" w:rsidR="000C4916" w:rsidRPr="000C4916" w:rsidRDefault="000C4916" w:rsidP="000C4916">
      <w:pPr>
        <w:spacing w:line="360" w:lineRule="auto"/>
        <w:jc w:val="center"/>
        <w:rPr>
          <w:rFonts w:ascii="Arial" w:hAnsi="Arial" w:cs="Arial"/>
          <w:b/>
          <w:sz w:val="40"/>
          <w:szCs w:val="40"/>
        </w:rPr>
      </w:pPr>
      <w:r w:rsidRPr="000C4916">
        <w:rPr>
          <w:rFonts w:ascii="Arial" w:hAnsi="Arial" w:cs="Arial"/>
          <w:bCs/>
          <w:i/>
          <w:iCs/>
          <w:sz w:val="40"/>
          <w:szCs w:val="40"/>
        </w:rPr>
        <w:t>Feasibility of a prognostication aid to promote advance care planning.</w:t>
      </w:r>
    </w:p>
    <w:p w14:paraId="65CCD183" w14:textId="77777777" w:rsidR="000C4916" w:rsidRPr="0076456B" w:rsidRDefault="000C4916" w:rsidP="000C4916">
      <w:pPr>
        <w:widowControl w:val="0"/>
        <w:autoSpaceDE w:val="0"/>
        <w:autoSpaceDN w:val="0"/>
        <w:spacing w:line="360" w:lineRule="auto"/>
        <w:jc w:val="center"/>
        <w:rPr>
          <w:rFonts w:ascii="Arial" w:eastAsia="Calibri Light" w:hAnsi="Arial" w:cs="Arial"/>
          <w:b/>
          <w:bCs/>
          <w:lang w:eastAsia="en-GB" w:bidi="en-GB"/>
        </w:rPr>
      </w:pPr>
    </w:p>
    <w:p w14:paraId="7D8E6B1F" w14:textId="77777777" w:rsidR="000C4916" w:rsidRPr="0076456B" w:rsidRDefault="000C4916" w:rsidP="000C4916">
      <w:pPr>
        <w:widowControl w:val="0"/>
        <w:autoSpaceDE w:val="0"/>
        <w:autoSpaceDN w:val="0"/>
        <w:spacing w:line="360" w:lineRule="auto"/>
        <w:jc w:val="center"/>
        <w:rPr>
          <w:rFonts w:ascii="Arial" w:eastAsia="Calibri Light" w:hAnsi="Arial" w:cs="Arial"/>
          <w:lang w:eastAsia="en-GB" w:bidi="en-GB"/>
        </w:rPr>
      </w:pPr>
      <w:r w:rsidRPr="0076456B">
        <w:rPr>
          <w:rFonts w:ascii="Arial" w:eastAsia="Calibri Light" w:hAnsi="Arial" w:cs="Arial"/>
          <w:lang w:eastAsia="en-GB" w:bidi="en-GB"/>
        </w:rPr>
        <w:t>Dissertation submitted in partial fulfilment of the award of</w:t>
      </w:r>
    </w:p>
    <w:p w14:paraId="5BB090FA" w14:textId="77777777" w:rsidR="000C4916" w:rsidRPr="0076456B" w:rsidRDefault="000C4916" w:rsidP="000C4916">
      <w:pPr>
        <w:widowControl w:val="0"/>
        <w:autoSpaceDE w:val="0"/>
        <w:autoSpaceDN w:val="0"/>
        <w:spacing w:line="360" w:lineRule="auto"/>
        <w:jc w:val="center"/>
        <w:rPr>
          <w:rFonts w:ascii="Arial" w:eastAsia="Calibri Light" w:hAnsi="Arial" w:cs="Arial"/>
          <w:lang w:eastAsia="en-GB" w:bidi="en-GB"/>
        </w:rPr>
      </w:pPr>
      <w:r w:rsidRPr="0076456B">
        <w:rPr>
          <w:rFonts w:ascii="Arial" w:eastAsia="Calibri Light" w:hAnsi="Arial" w:cs="Arial"/>
          <w:lang w:eastAsia="en-GB" w:bidi="en-GB"/>
        </w:rPr>
        <w:t>Master of Science in Digital Transformation for the Health and Care Professions</w:t>
      </w:r>
    </w:p>
    <w:p w14:paraId="1FB6A575" w14:textId="77777777" w:rsidR="000C4916" w:rsidRPr="0076456B" w:rsidRDefault="000C4916" w:rsidP="000C4916">
      <w:pPr>
        <w:widowControl w:val="0"/>
        <w:autoSpaceDE w:val="0"/>
        <w:autoSpaceDN w:val="0"/>
        <w:spacing w:line="360" w:lineRule="auto"/>
        <w:rPr>
          <w:rFonts w:ascii="Arial" w:eastAsia="Calibri Light" w:hAnsi="Arial" w:cs="Arial"/>
          <w:lang w:eastAsia="en-GB" w:bidi="en-GB"/>
        </w:rPr>
      </w:pPr>
    </w:p>
    <w:p w14:paraId="3CF63CCA" w14:textId="77777777" w:rsidR="000C4916" w:rsidRPr="0076456B" w:rsidRDefault="000C4916" w:rsidP="000C4916">
      <w:pPr>
        <w:widowControl w:val="0"/>
        <w:autoSpaceDE w:val="0"/>
        <w:autoSpaceDN w:val="0"/>
        <w:spacing w:line="360" w:lineRule="auto"/>
        <w:rPr>
          <w:rFonts w:ascii="Arial" w:eastAsia="Calibri Light" w:hAnsi="Arial" w:cs="Arial"/>
          <w:lang w:eastAsia="en-GB" w:bidi="en-GB"/>
        </w:rPr>
      </w:pPr>
    </w:p>
    <w:p w14:paraId="4D86EF91" w14:textId="1469F709" w:rsidR="000C4916" w:rsidRPr="0076456B" w:rsidRDefault="000C4916" w:rsidP="000C4916">
      <w:pPr>
        <w:widowControl w:val="0"/>
        <w:autoSpaceDE w:val="0"/>
        <w:autoSpaceDN w:val="0"/>
        <w:spacing w:line="360" w:lineRule="auto"/>
        <w:jc w:val="center"/>
        <w:rPr>
          <w:rFonts w:ascii="Arial" w:eastAsia="Calibri Light" w:hAnsi="Arial" w:cs="Arial"/>
          <w:i/>
          <w:iCs/>
          <w:lang w:eastAsia="en-GB" w:bidi="en-GB"/>
        </w:rPr>
      </w:pPr>
      <w:r>
        <w:rPr>
          <w:rFonts w:ascii="Arial" w:eastAsia="Calibri Light" w:hAnsi="Arial" w:cs="Arial"/>
          <w:i/>
          <w:iCs/>
          <w:lang w:eastAsia="en-GB" w:bidi="en-GB"/>
        </w:rPr>
        <w:t>Dr Andrew Shuler</w:t>
      </w:r>
    </w:p>
    <w:p w14:paraId="68E74F49" w14:textId="3D212CEA" w:rsidR="000C4916" w:rsidRDefault="000C4916" w:rsidP="000C4916">
      <w:pPr>
        <w:widowControl w:val="0"/>
        <w:autoSpaceDE w:val="0"/>
        <w:autoSpaceDN w:val="0"/>
        <w:spacing w:line="360" w:lineRule="auto"/>
        <w:jc w:val="center"/>
        <w:rPr>
          <w:rFonts w:ascii="Arial" w:eastAsia="Calibri Light" w:hAnsi="Arial" w:cs="Arial"/>
          <w:i/>
          <w:iCs/>
          <w:lang w:eastAsia="en-GB" w:bidi="en-GB"/>
        </w:rPr>
      </w:pPr>
      <w:r>
        <w:rPr>
          <w:rFonts w:ascii="Arial" w:eastAsia="Calibri Light" w:hAnsi="Arial" w:cs="Arial"/>
          <w:i/>
          <w:iCs/>
          <w:lang w:eastAsia="en-GB" w:bidi="en-GB"/>
        </w:rPr>
        <w:t xml:space="preserve"> </w:t>
      </w:r>
    </w:p>
    <w:p w14:paraId="0CD9877A" w14:textId="77777777" w:rsidR="000C4916" w:rsidRDefault="000C4916" w:rsidP="000C4916">
      <w:pPr>
        <w:rPr>
          <w:rFonts w:ascii="Arial" w:eastAsia="Calibri Light" w:hAnsi="Arial" w:cs="Arial"/>
          <w:i/>
          <w:iCs/>
          <w:lang w:eastAsia="en-GB" w:bidi="en-GB"/>
        </w:rPr>
      </w:pPr>
      <w:r>
        <w:rPr>
          <w:rFonts w:ascii="Arial" w:eastAsia="Calibri Light" w:hAnsi="Arial" w:cs="Arial"/>
          <w:i/>
          <w:iCs/>
          <w:lang w:eastAsia="en-GB" w:bidi="en-GB"/>
        </w:rPr>
        <w:br w:type="page"/>
      </w:r>
    </w:p>
    <w:p w14:paraId="393CBB6B" w14:textId="00FBE8AA" w:rsidR="000C4916" w:rsidRPr="0000605F" w:rsidRDefault="000C4916" w:rsidP="000C4916">
      <w:pPr>
        <w:widowControl w:val="0"/>
        <w:autoSpaceDE w:val="0"/>
        <w:autoSpaceDN w:val="0"/>
        <w:spacing w:line="360" w:lineRule="auto"/>
        <w:rPr>
          <w:rFonts w:ascii="Arial" w:eastAsia="Arial Unicode MS" w:hAnsi="Arial" w:cs="Arial"/>
          <w:b/>
          <w:lang w:eastAsia="en-GB" w:bidi="en-GB"/>
        </w:rPr>
      </w:pPr>
      <w:r w:rsidRPr="0000605F">
        <w:rPr>
          <w:rFonts w:ascii="Arial" w:eastAsia="Arial Unicode MS" w:hAnsi="Arial" w:cs="Arial"/>
          <w:b/>
          <w:lang w:eastAsia="en-GB" w:bidi="en-GB"/>
        </w:rPr>
        <w:lastRenderedPageBreak/>
        <w:t>Declaration</w:t>
      </w:r>
      <w:r w:rsidR="00A313C0">
        <w:rPr>
          <w:rFonts w:ascii="Arial" w:eastAsia="Arial Unicode MS" w:hAnsi="Arial" w:cs="Arial"/>
          <w:b/>
          <w:lang w:eastAsia="en-GB" w:bidi="en-GB"/>
        </w:rPr>
        <w:t>s</w:t>
      </w:r>
    </w:p>
    <w:p w14:paraId="3F974ED4" w14:textId="77777777" w:rsidR="00B21DAE" w:rsidRDefault="00B21DAE" w:rsidP="00A313C0">
      <w:pPr>
        <w:spacing w:line="360" w:lineRule="auto"/>
        <w:rPr>
          <w:rFonts w:ascii="Arial" w:hAnsi="Arial" w:cs="Arial"/>
        </w:rPr>
      </w:pPr>
    </w:p>
    <w:p w14:paraId="77A56109" w14:textId="563EBAF6" w:rsidR="00A313C0" w:rsidRPr="00A313C0" w:rsidRDefault="00A313C0" w:rsidP="00A313C0">
      <w:pPr>
        <w:spacing w:line="360" w:lineRule="auto"/>
        <w:rPr>
          <w:rFonts w:ascii="Arial" w:hAnsi="Arial" w:cs="Arial"/>
          <w:b/>
          <w:u w:val="single"/>
        </w:rPr>
      </w:pPr>
      <w:r w:rsidRPr="00A313C0">
        <w:rPr>
          <w:rFonts w:ascii="Arial" w:hAnsi="Arial" w:cs="Arial"/>
        </w:rPr>
        <w:t xml:space="preserve">I confirm that generative AI has not been used to produce any part of this </w:t>
      </w:r>
      <w:r>
        <w:rPr>
          <w:rFonts w:ascii="Arial" w:hAnsi="Arial" w:cs="Arial"/>
        </w:rPr>
        <w:t>dissertation</w:t>
      </w:r>
      <w:r w:rsidRPr="00A313C0">
        <w:rPr>
          <w:rFonts w:ascii="Arial" w:hAnsi="Arial" w:cs="Arial"/>
        </w:rPr>
        <w:t>.</w:t>
      </w:r>
    </w:p>
    <w:p w14:paraId="6AD52E49" w14:textId="77777777" w:rsidR="00B21DAE" w:rsidRDefault="00B21DAE" w:rsidP="000C4916">
      <w:pPr>
        <w:widowControl w:val="0"/>
        <w:autoSpaceDE w:val="0"/>
        <w:autoSpaceDN w:val="0"/>
        <w:spacing w:line="360" w:lineRule="auto"/>
        <w:rPr>
          <w:rFonts w:ascii="Arial" w:eastAsia="Times New Roman" w:hAnsi="Arial" w:cs="Arial"/>
          <w:lang w:eastAsia="en-GB" w:bidi="en-GB"/>
        </w:rPr>
      </w:pPr>
    </w:p>
    <w:p w14:paraId="08075AC7" w14:textId="7DC2CCAD" w:rsidR="000C4916" w:rsidRDefault="000C4916" w:rsidP="000C4916">
      <w:pPr>
        <w:widowControl w:val="0"/>
        <w:autoSpaceDE w:val="0"/>
        <w:autoSpaceDN w:val="0"/>
        <w:spacing w:line="360" w:lineRule="auto"/>
        <w:rPr>
          <w:rFonts w:ascii="Arial" w:eastAsia="Times New Roman" w:hAnsi="Arial" w:cs="Arial"/>
          <w:lang w:eastAsia="en-GB" w:bidi="en-GB"/>
        </w:rPr>
      </w:pPr>
      <w:r w:rsidRPr="0000605F">
        <w:rPr>
          <w:rFonts w:ascii="Arial" w:eastAsia="Times New Roman" w:hAnsi="Arial" w:cs="Arial"/>
          <w:lang w:eastAsia="en-GB" w:bidi="en-GB"/>
        </w:rPr>
        <w:t>This work has not previously been accepted in substance for any degree and is not being concurrently submitted in candidature for any degree</w:t>
      </w:r>
      <w:r>
        <w:rPr>
          <w:rFonts w:ascii="Arial" w:eastAsia="Times New Roman" w:hAnsi="Arial" w:cs="Arial"/>
          <w:lang w:eastAsia="en-GB" w:bidi="en-GB"/>
        </w:rPr>
        <w:t>.</w:t>
      </w:r>
    </w:p>
    <w:p w14:paraId="138A7EB8" w14:textId="7559C3D4" w:rsidR="00B21DAE" w:rsidRPr="0000605F" w:rsidRDefault="00B21DAE" w:rsidP="000C4916">
      <w:pPr>
        <w:widowControl w:val="0"/>
        <w:autoSpaceDE w:val="0"/>
        <w:autoSpaceDN w:val="0"/>
        <w:spacing w:line="360" w:lineRule="auto"/>
        <w:rPr>
          <w:rFonts w:ascii="Arial" w:eastAsia="Times New Roman" w:hAnsi="Arial" w:cs="Arial"/>
          <w:lang w:eastAsia="en-GB" w:bidi="en-GB"/>
        </w:rPr>
      </w:pPr>
      <w:r w:rsidRPr="000562AA">
        <w:rPr>
          <w:rFonts w:ascii="Arial" w:eastAsia="Times New Roman" w:hAnsi="Arial" w:cs="Arial"/>
          <w:noProof/>
          <w:lang w:eastAsia="en-GB" w:bidi="en-GB"/>
        </w:rPr>
        <w:drawing>
          <wp:anchor distT="0" distB="0" distL="114300" distR="114300" simplePos="0" relativeHeight="251672064" behindDoc="0" locked="0" layoutInCell="1" allowOverlap="1" wp14:anchorId="38D08A2F" wp14:editId="12DE3661">
            <wp:simplePos x="0" y="0"/>
            <wp:positionH relativeFrom="column">
              <wp:posOffset>654685</wp:posOffset>
            </wp:positionH>
            <wp:positionV relativeFrom="paragraph">
              <wp:posOffset>265430</wp:posOffset>
            </wp:positionV>
            <wp:extent cx="1238250" cy="8953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238250" cy="895350"/>
                    </a:xfrm>
                    <a:prstGeom prst="rect">
                      <a:avLst/>
                    </a:prstGeom>
                  </pic:spPr>
                </pic:pic>
              </a:graphicData>
            </a:graphic>
          </wp:anchor>
        </w:drawing>
      </w:r>
    </w:p>
    <w:p w14:paraId="2F8F9427" w14:textId="0535A078" w:rsidR="000562AA" w:rsidRDefault="000562AA" w:rsidP="000C4916">
      <w:pPr>
        <w:widowControl w:val="0"/>
        <w:autoSpaceDE w:val="0"/>
        <w:autoSpaceDN w:val="0"/>
        <w:spacing w:line="360" w:lineRule="auto"/>
        <w:rPr>
          <w:rFonts w:ascii="Arial" w:eastAsia="Times New Roman" w:hAnsi="Arial" w:cs="Arial"/>
          <w:lang w:eastAsia="en-GB" w:bidi="en-GB"/>
        </w:rPr>
      </w:pPr>
    </w:p>
    <w:p w14:paraId="2C0241B0" w14:textId="267BDAF2" w:rsidR="000C4916" w:rsidRPr="0000605F" w:rsidRDefault="000C4916" w:rsidP="000C4916">
      <w:pPr>
        <w:widowControl w:val="0"/>
        <w:autoSpaceDE w:val="0"/>
        <w:autoSpaceDN w:val="0"/>
        <w:spacing w:line="360" w:lineRule="auto"/>
        <w:rPr>
          <w:rFonts w:ascii="Arial" w:eastAsia="Times New Roman" w:hAnsi="Arial" w:cs="Arial"/>
          <w:lang w:eastAsia="en-GB" w:bidi="en-GB"/>
        </w:rPr>
      </w:pPr>
      <w:r w:rsidRPr="0000605F">
        <w:rPr>
          <w:rFonts w:ascii="Arial" w:eastAsia="Times New Roman" w:hAnsi="Arial" w:cs="Arial"/>
          <w:lang w:eastAsia="en-GB" w:bidi="en-GB"/>
        </w:rPr>
        <w:t>Signed</w:t>
      </w:r>
      <w:r w:rsidR="000562AA">
        <w:rPr>
          <w:rFonts w:ascii="Arial" w:eastAsia="Times New Roman" w:hAnsi="Arial" w:cs="Arial"/>
          <w:lang w:eastAsia="en-GB" w:bidi="en-GB"/>
        </w:rPr>
        <w:tab/>
      </w:r>
      <w:r w:rsidR="000562AA">
        <w:rPr>
          <w:rFonts w:ascii="Arial" w:eastAsia="Times New Roman" w:hAnsi="Arial" w:cs="Arial"/>
          <w:lang w:eastAsia="en-GB" w:bidi="en-GB"/>
        </w:rPr>
        <w:tab/>
      </w:r>
    </w:p>
    <w:p w14:paraId="6D9EB98D" w14:textId="77777777" w:rsidR="000C4916" w:rsidRPr="0000605F" w:rsidRDefault="000C4916" w:rsidP="000C4916">
      <w:pPr>
        <w:widowControl w:val="0"/>
        <w:autoSpaceDE w:val="0"/>
        <w:autoSpaceDN w:val="0"/>
        <w:spacing w:line="360" w:lineRule="auto"/>
        <w:rPr>
          <w:rFonts w:ascii="Arial" w:eastAsia="Times New Roman" w:hAnsi="Arial" w:cs="Arial"/>
          <w:lang w:eastAsia="en-GB" w:bidi="en-GB"/>
        </w:rPr>
      </w:pPr>
    </w:p>
    <w:p w14:paraId="7D415466" w14:textId="79325311" w:rsidR="000C4916" w:rsidRPr="0000605F" w:rsidRDefault="00DE7279" w:rsidP="000C4916">
      <w:pPr>
        <w:widowControl w:val="0"/>
        <w:autoSpaceDE w:val="0"/>
        <w:autoSpaceDN w:val="0"/>
        <w:spacing w:line="360" w:lineRule="auto"/>
        <w:rPr>
          <w:rFonts w:ascii="Arial" w:eastAsia="Times New Roman" w:hAnsi="Arial" w:cs="Arial"/>
          <w:lang w:eastAsia="en-GB" w:bidi="en-GB"/>
        </w:rPr>
      </w:pPr>
      <w:r>
        <w:rPr>
          <w:rFonts w:ascii="Arial" w:eastAsia="Times New Roman" w:hAnsi="Arial" w:cs="Arial"/>
          <w:lang w:eastAsia="en-GB" w:bidi="en-GB"/>
        </w:rPr>
        <w:t>5</w:t>
      </w:r>
      <w:r w:rsidRPr="00DE7279">
        <w:rPr>
          <w:rFonts w:ascii="Arial" w:eastAsia="Times New Roman" w:hAnsi="Arial" w:cs="Arial"/>
          <w:vertAlign w:val="superscript"/>
          <w:lang w:eastAsia="en-GB" w:bidi="en-GB"/>
        </w:rPr>
        <w:t>th</w:t>
      </w:r>
      <w:r>
        <w:rPr>
          <w:rFonts w:ascii="Arial" w:eastAsia="Times New Roman" w:hAnsi="Arial" w:cs="Arial"/>
          <w:lang w:eastAsia="en-GB" w:bidi="en-GB"/>
        </w:rPr>
        <w:t xml:space="preserve"> May 2025</w:t>
      </w:r>
    </w:p>
    <w:p w14:paraId="4E4FC8C3" w14:textId="77777777" w:rsidR="000C4916" w:rsidRPr="0000605F" w:rsidRDefault="000C4916" w:rsidP="000C4916">
      <w:pPr>
        <w:widowControl w:val="0"/>
        <w:autoSpaceDE w:val="0"/>
        <w:autoSpaceDN w:val="0"/>
        <w:spacing w:line="360" w:lineRule="auto"/>
        <w:jc w:val="center"/>
        <w:rPr>
          <w:rFonts w:ascii="Arial" w:eastAsia="Calibri Light" w:hAnsi="Arial" w:cs="Arial"/>
          <w:lang w:eastAsia="en-GB" w:bidi="en-GB"/>
        </w:rPr>
      </w:pPr>
    </w:p>
    <w:p w14:paraId="16708EDF" w14:textId="77777777" w:rsidR="00CF081B" w:rsidRDefault="00CF081B" w:rsidP="00CA6FD9">
      <w:pPr>
        <w:spacing w:line="360" w:lineRule="auto"/>
        <w:rPr>
          <w:rFonts w:ascii="Arial" w:eastAsiaTheme="minorEastAsia" w:hAnsi="Arial" w:cs="Arial"/>
          <w:sz w:val="24"/>
          <w:szCs w:val="24"/>
        </w:rPr>
      </w:pPr>
    </w:p>
    <w:p w14:paraId="5417B1F8" w14:textId="3AA48D94" w:rsidR="00CF081B" w:rsidRDefault="00CF081B" w:rsidP="00CA6FD9">
      <w:pPr>
        <w:spacing w:line="360" w:lineRule="auto"/>
        <w:jc w:val="center"/>
        <w:rPr>
          <w:rFonts w:ascii="Arial" w:eastAsiaTheme="minorEastAsia" w:hAnsi="Arial" w:cs="Arial"/>
          <w:sz w:val="24"/>
          <w:szCs w:val="24"/>
        </w:rPr>
      </w:pPr>
    </w:p>
    <w:p w14:paraId="55D84B9E" w14:textId="77777777" w:rsidR="00CA6FD9" w:rsidRDefault="00CA6FD9" w:rsidP="00CA6FD9">
      <w:pPr>
        <w:spacing w:line="360" w:lineRule="auto"/>
        <w:jc w:val="center"/>
        <w:rPr>
          <w:rFonts w:ascii="Arial" w:eastAsiaTheme="minorEastAsia" w:hAnsi="Arial" w:cs="Arial"/>
          <w:sz w:val="24"/>
          <w:szCs w:val="24"/>
        </w:rPr>
      </w:pPr>
    </w:p>
    <w:p w14:paraId="6A38D93D" w14:textId="77777777" w:rsidR="00CF081B" w:rsidRDefault="00CF081B" w:rsidP="00CA6FD9">
      <w:pPr>
        <w:spacing w:line="360" w:lineRule="auto"/>
        <w:jc w:val="center"/>
        <w:rPr>
          <w:rFonts w:ascii="Arial" w:eastAsiaTheme="minorEastAsia" w:hAnsi="Arial" w:cs="Arial"/>
          <w:sz w:val="24"/>
          <w:szCs w:val="24"/>
        </w:rPr>
      </w:pPr>
    </w:p>
    <w:p w14:paraId="67DC7575" w14:textId="77777777" w:rsidR="00CF081B" w:rsidRDefault="00CF081B" w:rsidP="00CA6FD9">
      <w:pPr>
        <w:spacing w:line="360" w:lineRule="auto"/>
        <w:jc w:val="center"/>
        <w:rPr>
          <w:rFonts w:ascii="Arial" w:eastAsiaTheme="minorEastAsia" w:hAnsi="Arial" w:cs="Arial"/>
          <w:sz w:val="24"/>
          <w:szCs w:val="24"/>
        </w:rPr>
      </w:pPr>
    </w:p>
    <w:p w14:paraId="1A5C5910" w14:textId="77777777" w:rsidR="00CF081B" w:rsidRDefault="00CF081B" w:rsidP="00CA6FD9">
      <w:pPr>
        <w:spacing w:line="360" w:lineRule="auto"/>
        <w:jc w:val="center"/>
        <w:rPr>
          <w:rFonts w:ascii="Arial" w:eastAsiaTheme="minorEastAsia" w:hAnsi="Arial" w:cs="Arial"/>
          <w:sz w:val="24"/>
          <w:szCs w:val="24"/>
        </w:rPr>
      </w:pPr>
    </w:p>
    <w:p w14:paraId="2686483F" w14:textId="77777777" w:rsidR="00CF081B" w:rsidRDefault="00CF081B" w:rsidP="00CA6FD9">
      <w:pPr>
        <w:spacing w:line="360" w:lineRule="auto"/>
        <w:jc w:val="center"/>
        <w:rPr>
          <w:rFonts w:ascii="Arial" w:eastAsiaTheme="minorEastAsia" w:hAnsi="Arial" w:cs="Arial"/>
          <w:sz w:val="24"/>
          <w:szCs w:val="24"/>
        </w:rPr>
      </w:pPr>
    </w:p>
    <w:p w14:paraId="7F133230" w14:textId="0108A46D" w:rsidR="00362903" w:rsidRDefault="00362903" w:rsidP="00CA6FD9">
      <w:pPr>
        <w:spacing w:line="360" w:lineRule="auto"/>
        <w:jc w:val="center"/>
        <w:rPr>
          <w:rFonts w:ascii="Arial" w:eastAsiaTheme="minorEastAsia" w:hAnsi="Arial" w:cs="Arial"/>
          <w:sz w:val="24"/>
          <w:szCs w:val="24"/>
        </w:rPr>
      </w:pPr>
    </w:p>
    <w:p w14:paraId="625D2341" w14:textId="77777777" w:rsidR="00CF081B" w:rsidRDefault="00CF081B">
      <w:pPr>
        <w:rPr>
          <w:rFonts w:ascii="Arial" w:eastAsiaTheme="minorEastAsia" w:hAnsi="Arial" w:cs="Arial"/>
          <w:sz w:val="24"/>
          <w:szCs w:val="24"/>
        </w:rPr>
      </w:pPr>
      <w:r>
        <w:rPr>
          <w:rFonts w:ascii="Arial" w:eastAsiaTheme="minorEastAsia" w:hAnsi="Arial" w:cs="Arial"/>
          <w:sz w:val="24"/>
          <w:szCs w:val="24"/>
        </w:rPr>
        <w:br w:type="page"/>
      </w:r>
    </w:p>
    <w:p w14:paraId="7A8DCB12" w14:textId="77777777" w:rsidR="00E731D8" w:rsidRPr="00E731D8" w:rsidRDefault="00E731D8" w:rsidP="00CF081B">
      <w:pPr>
        <w:jc w:val="center"/>
        <w:rPr>
          <w:rFonts w:ascii="Arial" w:eastAsiaTheme="minorEastAsia" w:hAnsi="Arial" w:cs="Arial"/>
          <w:sz w:val="28"/>
          <w:szCs w:val="28"/>
        </w:rPr>
      </w:pPr>
    </w:p>
    <w:p w14:paraId="3AC3DE5B" w14:textId="2FB6F488" w:rsidR="00CF081B" w:rsidRDefault="00BB51C5" w:rsidP="00E731D8">
      <w:pPr>
        <w:jc w:val="center"/>
        <w:rPr>
          <w:rFonts w:ascii="Arial" w:eastAsiaTheme="minorEastAsia" w:hAnsi="Arial" w:cs="Arial"/>
          <w:b/>
          <w:sz w:val="28"/>
          <w:szCs w:val="28"/>
        </w:rPr>
      </w:pPr>
      <w:r w:rsidRPr="00E731D8">
        <w:rPr>
          <w:rFonts w:ascii="Arial" w:eastAsiaTheme="minorEastAsia" w:hAnsi="Arial" w:cs="Arial"/>
          <w:b/>
          <w:sz w:val="28"/>
          <w:szCs w:val="28"/>
        </w:rPr>
        <w:t>A</w:t>
      </w:r>
      <w:r w:rsidR="00E731D8" w:rsidRPr="00E731D8">
        <w:rPr>
          <w:rFonts w:ascii="Arial" w:eastAsiaTheme="minorEastAsia" w:hAnsi="Arial" w:cs="Arial"/>
          <w:b/>
          <w:sz w:val="28"/>
          <w:szCs w:val="28"/>
        </w:rPr>
        <w:t>BSTRAC</w:t>
      </w:r>
      <w:r w:rsidR="00E731D8">
        <w:rPr>
          <w:rFonts w:ascii="Arial" w:eastAsiaTheme="minorEastAsia" w:hAnsi="Arial" w:cs="Arial"/>
          <w:b/>
          <w:sz w:val="28"/>
          <w:szCs w:val="28"/>
        </w:rPr>
        <w:t>T</w:t>
      </w:r>
    </w:p>
    <w:p w14:paraId="18CFCBB1" w14:textId="77777777" w:rsidR="000E25E1" w:rsidRPr="00E731D8" w:rsidRDefault="000E25E1" w:rsidP="00E731D8">
      <w:pPr>
        <w:jc w:val="center"/>
        <w:rPr>
          <w:rFonts w:ascii="Arial" w:eastAsiaTheme="minorEastAsia" w:hAnsi="Arial" w:cs="Arial"/>
          <w:b/>
          <w:sz w:val="28"/>
          <w:szCs w:val="28"/>
        </w:rPr>
      </w:pPr>
    </w:p>
    <w:p w14:paraId="1BAF006D" w14:textId="77777777" w:rsidR="000E25E1" w:rsidRPr="00894B20" w:rsidRDefault="000E25E1" w:rsidP="000E25E1">
      <w:pPr>
        <w:rPr>
          <w:rFonts w:ascii="Arial" w:hAnsi="Arial" w:cs="Arial"/>
          <w:sz w:val="24"/>
          <w:szCs w:val="24"/>
        </w:rPr>
      </w:pPr>
      <w:r w:rsidRPr="00894B20">
        <w:rPr>
          <w:rFonts w:ascii="Arial" w:hAnsi="Arial" w:cs="Arial"/>
          <w:b/>
          <w:bCs/>
          <w:sz w:val="24"/>
          <w:szCs w:val="24"/>
        </w:rPr>
        <w:t>Background</w:t>
      </w:r>
      <w:r>
        <w:rPr>
          <w:rFonts w:ascii="Arial" w:hAnsi="Arial" w:cs="Arial"/>
          <w:sz w:val="24"/>
          <w:szCs w:val="24"/>
        </w:rPr>
        <w:t xml:space="preserve">: Advance care planning is a process which supports individuals in anticipating future care needs and being able to contribute to those decisions. By identifying those more likely to deteriorate, and require healthcare support, they can be empowered by having their preferences recognised. An improved patient experience will provide less moral distress, better communication and more efficient use of resources. However, the interface between palliative care and digital insights has had very limited consideration.  </w:t>
      </w:r>
    </w:p>
    <w:p w14:paraId="23B02566" w14:textId="77777777" w:rsidR="000E25E1" w:rsidRPr="00894B20" w:rsidRDefault="000E25E1" w:rsidP="000E25E1">
      <w:pPr>
        <w:rPr>
          <w:rFonts w:ascii="Arial" w:hAnsi="Arial" w:cs="Arial"/>
          <w:sz w:val="24"/>
          <w:szCs w:val="24"/>
        </w:rPr>
      </w:pPr>
    </w:p>
    <w:p w14:paraId="37977EB1" w14:textId="77777777" w:rsidR="000E25E1" w:rsidRDefault="000E25E1" w:rsidP="000E25E1">
      <w:pPr>
        <w:rPr>
          <w:rFonts w:ascii="Arial" w:hAnsi="Arial" w:cs="Arial"/>
          <w:sz w:val="24"/>
          <w:szCs w:val="24"/>
        </w:rPr>
      </w:pPr>
      <w:r w:rsidRPr="00894B20">
        <w:rPr>
          <w:rFonts w:ascii="Arial" w:hAnsi="Arial" w:cs="Arial"/>
          <w:b/>
          <w:bCs/>
          <w:sz w:val="24"/>
          <w:szCs w:val="24"/>
        </w:rPr>
        <w:t>Aim</w:t>
      </w:r>
      <w:r>
        <w:rPr>
          <w:rFonts w:ascii="Arial" w:hAnsi="Arial" w:cs="Arial"/>
          <w:sz w:val="24"/>
          <w:szCs w:val="24"/>
        </w:rPr>
        <w:t xml:space="preserve">: The aim of this study was to explore the feasibility of identifying a cohort where promoting advance care planning is </w:t>
      </w:r>
      <w:proofErr w:type="gramStart"/>
      <w:r>
        <w:rPr>
          <w:rFonts w:ascii="Arial" w:hAnsi="Arial" w:cs="Arial"/>
          <w:sz w:val="24"/>
          <w:szCs w:val="24"/>
        </w:rPr>
        <w:t>more timely</w:t>
      </w:r>
      <w:proofErr w:type="gramEnd"/>
      <w:r>
        <w:rPr>
          <w:rFonts w:ascii="Arial" w:hAnsi="Arial" w:cs="Arial"/>
          <w:sz w:val="24"/>
          <w:szCs w:val="24"/>
        </w:rPr>
        <w:t>. The existing wealth of digital data provides the opportunity to explore how this can provide such a prompt.</w:t>
      </w:r>
    </w:p>
    <w:p w14:paraId="49E40E76" w14:textId="77777777" w:rsidR="000E25E1" w:rsidRPr="00894B20" w:rsidRDefault="000E25E1" w:rsidP="000E25E1">
      <w:pPr>
        <w:rPr>
          <w:rFonts w:ascii="Arial" w:hAnsi="Arial" w:cs="Arial"/>
          <w:sz w:val="24"/>
          <w:szCs w:val="24"/>
        </w:rPr>
      </w:pPr>
    </w:p>
    <w:p w14:paraId="4D0BAD9E" w14:textId="77777777" w:rsidR="000E25E1" w:rsidRDefault="000E25E1" w:rsidP="000E25E1">
      <w:pPr>
        <w:rPr>
          <w:rFonts w:ascii="Arial" w:hAnsi="Arial" w:cs="Arial"/>
          <w:sz w:val="24"/>
          <w:szCs w:val="24"/>
        </w:rPr>
      </w:pPr>
      <w:r w:rsidRPr="00D26844">
        <w:rPr>
          <w:rFonts w:ascii="Arial" w:hAnsi="Arial" w:cs="Arial"/>
          <w:b/>
          <w:bCs/>
          <w:sz w:val="24"/>
          <w:szCs w:val="24"/>
        </w:rPr>
        <w:t>Methods</w:t>
      </w:r>
      <w:r>
        <w:rPr>
          <w:rFonts w:ascii="Arial" w:hAnsi="Arial" w:cs="Arial"/>
          <w:sz w:val="24"/>
          <w:szCs w:val="24"/>
        </w:rPr>
        <w:t xml:space="preserve">: A prevalent cohort study was carried out to ground the relevance of this research focus. The inpatients on a census day were followed for 12 months to identify the likelihood of death. </w:t>
      </w:r>
    </w:p>
    <w:p w14:paraId="54105DB0" w14:textId="77777777" w:rsidR="000E25E1" w:rsidRPr="00894B20" w:rsidRDefault="000E25E1" w:rsidP="000E25E1">
      <w:pPr>
        <w:rPr>
          <w:rFonts w:ascii="Arial" w:hAnsi="Arial" w:cs="Arial"/>
          <w:sz w:val="24"/>
          <w:szCs w:val="24"/>
        </w:rPr>
      </w:pPr>
      <w:r>
        <w:rPr>
          <w:rFonts w:ascii="Arial" w:hAnsi="Arial" w:cs="Arial"/>
          <w:sz w:val="24"/>
          <w:szCs w:val="24"/>
        </w:rPr>
        <w:t>The second aspect was a qualitative phenomenological study using semi-structured interviews as to the perceived feasibility of a prognostication aid. Six interviews took place in person. The in-depth perspectives were then thematically analysed.</w:t>
      </w:r>
    </w:p>
    <w:p w14:paraId="12E71A3B" w14:textId="77777777" w:rsidR="000E25E1" w:rsidRPr="00894B20" w:rsidRDefault="000E25E1" w:rsidP="000E25E1">
      <w:pPr>
        <w:rPr>
          <w:rFonts w:ascii="Arial" w:hAnsi="Arial" w:cs="Arial"/>
          <w:sz w:val="24"/>
          <w:szCs w:val="24"/>
        </w:rPr>
      </w:pPr>
    </w:p>
    <w:p w14:paraId="46E6157C" w14:textId="77777777" w:rsidR="000E25E1" w:rsidRDefault="000E25E1" w:rsidP="000E25E1">
      <w:pPr>
        <w:rPr>
          <w:rFonts w:ascii="Arial" w:hAnsi="Arial" w:cs="Arial"/>
          <w:sz w:val="24"/>
          <w:szCs w:val="24"/>
        </w:rPr>
      </w:pPr>
      <w:r w:rsidRPr="006D4E28">
        <w:rPr>
          <w:rFonts w:ascii="Arial" w:hAnsi="Arial" w:cs="Arial"/>
          <w:b/>
          <w:bCs/>
          <w:sz w:val="24"/>
          <w:szCs w:val="24"/>
        </w:rPr>
        <w:t>Results</w:t>
      </w:r>
      <w:r>
        <w:rPr>
          <w:rFonts w:ascii="Arial" w:hAnsi="Arial" w:cs="Arial"/>
          <w:sz w:val="24"/>
          <w:szCs w:val="24"/>
        </w:rPr>
        <w:t xml:space="preserve">: The quantitative study identified that 19.3% of the cohort population died within six months of the census date. There was an increasing correlation between age and dying within six months. 13.0% of the cohort who were 60-64 years of age died within the following six months (odds ratio 18.41; p&lt;0.0001); compared to 28.4% of the cohort who were 85 years of age or older. (odds ratio 4.79; p&lt;0.0001);  </w:t>
      </w:r>
    </w:p>
    <w:p w14:paraId="03D31DE7" w14:textId="77777777" w:rsidR="000E25E1" w:rsidRPr="00894B20" w:rsidRDefault="000E25E1" w:rsidP="000E25E1">
      <w:pPr>
        <w:rPr>
          <w:rFonts w:ascii="Arial" w:hAnsi="Arial" w:cs="Arial"/>
          <w:sz w:val="24"/>
          <w:szCs w:val="24"/>
        </w:rPr>
      </w:pPr>
      <w:r>
        <w:rPr>
          <w:rFonts w:ascii="Arial" w:hAnsi="Arial" w:cs="Arial"/>
          <w:sz w:val="24"/>
          <w:szCs w:val="24"/>
        </w:rPr>
        <w:t xml:space="preserve">Themes that arose from the semi-structured interviews were: </w:t>
      </w:r>
      <w:proofErr w:type="spellStart"/>
      <w:r>
        <w:rPr>
          <w:rFonts w:ascii="Arial" w:hAnsi="Arial" w:cs="Arial"/>
          <w:sz w:val="24"/>
          <w:szCs w:val="24"/>
        </w:rPr>
        <w:t>i</w:t>
      </w:r>
      <w:proofErr w:type="spellEnd"/>
      <w:r>
        <w:rPr>
          <w:rFonts w:ascii="Arial" w:hAnsi="Arial" w:cs="Arial"/>
          <w:sz w:val="24"/>
          <w:szCs w:val="24"/>
        </w:rPr>
        <w:t>) its utility, ii) uncertainty of prognostication, iii) capacity of clinician, and, iv) ethical considerations. The concept of prognostication to support advance care planning was positively received. Concerns focused on medicine being an art rather than an algorithm and whether clinicians had the time and skills to fulfil the intent of this proposal. There was also a recurrent focus on the topical Assisted Dying Bill.</w:t>
      </w:r>
    </w:p>
    <w:p w14:paraId="552ED0F4" w14:textId="77777777" w:rsidR="000E25E1" w:rsidRDefault="000E25E1" w:rsidP="000E25E1">
      <w:pPr>
        <w:rPr>
          <w:rFonts w:ascii="Arial" w:hAnsi="Arial" w:cs="Arial"/>
          <w:sz w:val="24"/>
          <w:szCs w:val="24"/>
        </w:rPr>
      </w:pPr>
    </w:p>
    <w:p w14:paraId="728D78F3" w14:textId="76C6074F" w:rsidR="000E25E1" w:rsidRPr="00894B20" w:rsidRDefault="000E25E1" w:rsidP="000E25E1">
      <w:pPr>
        <w:rPr>
          <w:rFonts w:ascii="Arial" w:hAnsi="Arial" w:cs="Arial"/>
          <w:sz w:val="24"/>
          <w:szCs w:val="24"/>
        </w:rPr>
      </w:pPr>
      <w:r w:rsidRPr="00CF7173">
        <w:rPr>
          <w:rFonts w:ascii="Arial" w:hAnsi="Arial" w:cs="Arial"/>
          <w:b/>
          <w:bCs/>
          <w:sz w:val="24"/>
          <w:szCs w:val="24"/>
        </w:rPr>
        <w:t>Conclusion</w:t>
      </w:r>
      <w:r>
        <w:rPr>
          <w:rFonts w:ascii="Arial" w:hAnsi="Arial" w:cs="Arial"/>
          <w:sz w:val="24"/>
          <w:szCs w:val="24"/>
        </w:rPr>
        <w:t xml:space="preserve">: The in-depth perspectives supported the feasibility of a digital prognostication aid to aid the promotion of advance care planning. Further qualitative studies could engage with a larger group, including patients, to appreciate the breadth of opinions. These would be necessary to inform appropriate change management with application of any such prognostication aid. </w:t>
      </w:r>
    </w:p>
    <w:sdt>
      <w:sdtPr>
        <w:rPr>
          <w:rFonts w:ascii="Arial" w:eastAsiaTheme="minorEastAsia" w:hAnsi="Arial" w:cs="Arial"/>
          <w:color w:val="auto"/>
          <w:sz w:val="24"/>
          <w:szCs w:val="24"/>
          <w:lang w:val="en-GB"/>
        </w:rPr>
        <w:id w:val="-1595168349"/>
        <w:docPartObj>
          <w:docPartGallery w:val="Table of Contents"/>
          <w:docPartUnique/>
        </w:docPartObj>
      </w:sdtPr>
      <w:sdtEndPr>
        <w:rPr>
          <w:lang w:val="en-US"/>
        </w:rPr>
      </w:sdtEndPr>
      <w:sdtContent>
        <w:p w14:paraId="7E293F96" w14:textId="39153EB3" w:rsidR="002273A4" w:rsidRPr="00E34799" w:rsidRDefault="002273A4" w:rsidP="00E34799">
          <w:pPr>
            <w:pStyle w:val="TOCHeading"/>
            <w:spacing w:line="240" w:lineRule="auto"/>
            <w:rPr>
              <w:rFonts w:ascii="Arial" w:hAnsi="Arial" w:cs="Arial"/>
              <w:b/>
              <w:color w:val="000000" w:themeColor="text1"/>
              <w:sz w:val="28"/>
              <w:szCs w:val="28"/>
            </w:rPr>
          </w:pPr>
          <w:r w:rsidRPr="00E34799">
            <w:rPr>
              <w:rFonts w:ascii="Arial" w:hAnsi="Arial" w:cs="Arial"/>
              <w:b/>
              <w:color w:val="000000" w:themeColor="text1"/>
              <w:sz w:val="28"/>
              <w:szCs w:val="28"/>
            </w:rPr>
            <w:t>Table of Contents</w:t>
          </w:r>
        </w:p>
        <w:p w14:paraId="0F7962B8" w14:textId="77777777" w:rsidR="002273A4" w:rsidRPr="00E34799" w:rsidRDefault="002273A4" w:rsidP="00E34799">
          <w:pPr>
            <w:spacing w:line="240" w:lineRule="auto"/>
            <w:rPr>
              <w:rFonts w:ascii="Arial" w:hAnsi="Arial" w:cs="Arial"/>
              <w:lang w:val="en-US"/>
            </w:rPr>
          </w:pPr>
        </w:p>
        <w:p w14:paraId="77FEB245" w14:textId="2ABED9AA" w:rsidR="00CA6FD9" w:rsidRPr="00291CC8" w:rsidRDefault="00CA6FD9" w:rsidP="00CA6FD9">
          <w:pPr>
            <w:pStyle w:val="TOC1"/>
            <w:rPr>
              <w:rFonts w:ascii="Arial" w:hAnsi="Arial" w:cs="Arial"/>
              <w:sz w:val="24"/>
              <w:szCs w:val="24"/>
            </w:rPr>
          </w:pPr>
          <w:r>
            <w:rPr>
              <w:rFonts w:ascii="Arial" w:hAnsi="Arial" w:cs="Arial"/>
              <w:b/>
              <w:bCs/>
              <w:sz w:val="24"/>
              <w:szCs w:val="24"/>
            </w:rPr>
            <w:t>Abstract</w:t>
          </w:r>
          <w:r w:rsidRPr="00CA6FD9">
            <w:rPr>
              <w:rFonts w:ascii="Arial" w:hAnsi="Arial" w:cs="Arial"/>
              <w:b/>
              <w:bCs/>
              <w:sz w:val="24"/>
              <w:szCs w:val="24"/>
            </w:rPr>
            <w:t xml:space="preserve"> </w:t>
          </w:r>
          <w:r w:rsidRPr="00291CC8">
            <w:rPr>
              <w:rFonts w:ascii="Arial" w:hAnsi="Arial" w:cs="Arial"/>
              <w:b/>
              <w:bCs/>
              <w:sz w:val="24"/>
              <w:szCs w:val="24"/>
            </w:rPr>
            <w:tab/>
          </w:r>
          <w:r w:rsidRPr="00291CC8">
            <w:rPr>
              <w:rFonts w:ascii="Arial" w:hAnsi="Arial" w:cs="Arial"/>
              <w:b/>
              <w:bCs/>
              <w:sz w:val="24"/>
              <w:szCs w:val="24"/>
            </w:rPr>
            <w:tab/>
          </w:r>
          <w:r w:rsidRPr="00291CC8">
            <w:rPr>
              <w:rFonts w:ascii="Arial" w:hAnsi="Arial" w:cs="Arial"/>
              <w:b/>
              <w:bCs/>
              <w:sz w:val="24"/>
              <w:szCs w:val="24"/>
            </w:rPr>
            <w:tab/>
          </w:r>
          <w:r w:rsidRPr="00291CC8">
            <w:rPr>
              <w:rFonts w:ascii="Arial" w:hAnsi="Arial" w:cs="Arial"/>
              <w:b/>
              <w:bCs/>
              <w:sz w:val="24"/>
              <w:szCs w:val="24"/>
            </w:rPr>
            <w:tab/>
          </w:r>
          <w:r w:rsidRPr="00291CC8">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w:t>
          </w:r>
          <w:r w:rsidRPr="00291CC8">
            <w:rPr>
              <w:rFonts w:ascii="Arial" w:hAnsi="Arial" w:cs="Arial"/>
              <w:sz w:val="24"/>
              <w:szCs w:val="24"/>
            </w:rPr>
            <w:ptab w:relativeTo="margin" w:alignment="right" w:leader="dot"/>
          </w:r>
          <w:r w:rsidR="000C4916">
            <w:rPr>
              <w:rFonts w:ascii="Arial" w:hAnsi="Arial" w:cs="Arial"/>
              <w:sz w:val="24"/>
              <w:szCs w:val="24"/>
            </w:rPr>
            <w:t>i</w:t>
          </w:r>
          <w:r>
            <w:rPr>
              <w:rFonts w:ascii="Arial" w:hAnsi="Arial" w:cs="Arial"/>
              <w:sz w:val="24"/>
              <w:szCs w:val="24"/>
            </w:rPr>
            <w:t>ii</w:t>
          </w:r>
        </w:p>
        <w:p w14:paraId="6D43DC7E" w14:textId="77777777" w:rsidR="00CA6FD9" w:rsidRDefault="00CA6FD9" w:rsidP="00CA6FD9">
          <w:pPr>
            <w:pStyle w:val="TOC1"/>
            <w:spacing w:line="240" w:lineRule="auto"/>
            <w:rPr>
              <w:rFonts w:ascii="Arial" w:hAnsi="Arial" w:cs="Arial"/>
              <w:b/>
              <w:bCs/>
              <w:sz w:val="24"/>
              <w:szCs w:val="24"/>
            </w:rPr>
          </w:pPr>
        </w:p>
        <w:p w14:paraId="371A62E9" w14:textId="02A72A80" w:rsidR="00CA6FD9" w:rsidRDefault="00CA6FD9" w:rsidP="00CA6FD9">
          <w:pPr>
            <w:pStyle w:val="TOC1"/>
            <w:spacing w:line="240" w:lineRule="auto"/>
            <w:rPr>
              <w:rFonts w:ascii="Arial" w:hAnsi="Arial" w:cs="Arial"/>
              <w:b/>
              <w:bCs/>
              <w:sz w:val="24"/>
              <w:szCs w:val="24"/>
            </w:rPr>
          </w:pPr>
          <w:r w:rsidRPr="00E34799">
            <w:rPr>
              <w:rFonts w:ascii="Arial" w:hAnsi="Arial" w:cs="Arial"/>
              <w:b/>
              <w:bCs/>
              <w:sz w:val="24"/>
              <w:szCs w:val="24"/>
            </w:rPr>
            <w:t xml:space="preserve">Chapter </w:t>
          </w:r>
          <w:r>
            <w:rPr>
              <w:rFonts w:ascii="Arial" w:hAnsi="Arial" w:cs="Arial"/>
              <w:b/>
              <w:bCs/>
              <w:sz w:val="24"/>
              <w:szCs w:val="24"/>
            </w:rPr>
            <w:t>1</w:t>
          </w:r>
          <w:r w:rsidRPr="00E34799">
            <w:rPr>
              <w:rFonts w:ascii="Arial" w:hAnsi="Arial" w:cs="Arial"/>
              <w:b/>
              <w:bCs/>
              <w:sz w:val="24"/>
              <w:szCs w:val="24"/>
            </w:rPr>
            <w:tab/>
          </w:r>
          <w:r w:rsidRPr="00E34799">
            <w:rPr>
              <w:rFonts w:ascii="Arial" w:hAnsi="Arial" w:cs="Arial"/>
              <w:b/>
              <w:bCs/>
              <w:sz w:val="24"/>
              <w:szCs w:val="24"/>
            </w:rPr>
            <w:tab/>
          </w:r>
          <w:r w:rsidRPr="00E34799">
            <w:rPr>
              <w:rFonts w:ascii="Arial" w:hAnsi="Arial" w:cs="Arial"/>
              <w:b/>
              <w:bCs/>
              <w:sz w:val="24"/>
              <w:szCs w:val="24"/>
            </w:rPr>
            <w:tab/>
          </w:r>
          <w:r>
            <w:rPr>
              <w:rFonts w:ascii="Arial" w:hAnsi="Arial" w:cs="Arial"/>
              <w:b/>
              <w:bCs/>
              <w:sz w:val="24"/>
              <w:szCs w:val="24"/>
            </w:rPr>
            <w:t>Introduction</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Pr="00E34799">
            <w:rPr>
              <w:rFonts w:ascii="Arial" w:hAnsi="Arial" w:cs="Arial"/>
              <w:b/>
              <w:bCs/>
              <w:sz w:val="24"/>
              <w:szCs w:val="24"/>
            </w:rPr>
            <w:tab/>
          </w:r>
          <w:r w:rsidRPr="00E34799">
            <w:rPr>
              <w:rFonts w:ascii="Arial" w:hAnsi="Arial" w:cs="Arial"/>
              <w:b/>
              <w:bCs/>
              <w:sz w:val="24"/>
              <w:szCs w:val="24"/>
            </w:rPr>
            <w:tab/>
          </w:r>
          <w:r w:rsidRPr="00E34799">
            <w:rPr>
              <w:rFonts w:ascii="Arial" w:hAnsi="Arial" w:cs="Arial"/>
              <w:b/>
              <w:bCs/>
              <w:sz w:val="24"/>
              <w:szCs w:val="24"/>
            </w:rPr>
            <w:tab/>
            <w:t xml:space="preserve">   </w:t>
          </w:r>
          <w:r w:rsidRPr="00E34799">
            <w:rPr>
              <w:rFonts w:ascii="Arial" w:hAnsi="Arial" w:cs="Arial"/>
              <w:sz w:val="24"/>
              <w:szCs w:val="24"/>
            </w:rPr>
            <w:ptab w:relativeTo="margin" w:alignment="right" w:leader="dot"/>
          </w:r>
          <w:r w:rsidR="00D30356">
            <w:rPr>
              <w:rFonts w:ascii="Arial" w:hAnsi="Arial" w:cs="Arial"/>
              <w:sz w:val="24"/>
              <w:szCs w:val="24"/>
            </w:rPr>
            <w:t>1</w:t>
          </w:r>
        </w:p>
        <w:p w14:paraId="7C392A2C" w14:textId="345FECD4" w:rsidR="00D30356" w:rsidRPr="00E34799" w:rsidRDefault="00D30356" w:rsidP="00D30356">
          <w:pPr>
            <w:pStyle w:val="TOC2"/>
            <w:spacing w:line="240" w:lineRule="auto"/>
            <w:ind w:left="216"/>
            <w:rPr>
              <w:rFonts w:ascii="Arial" w:hAnsi="Arial" w:cs="Arial"/>
              <w:sz w:val="24"/>
              <w:szCs w:val="24"/>
            </w:rPr>
          </w:pPr>
          <w:r>
            <w:rPr>
              <w:rFonts w:ascii="Arial" w:hAnsi="Arial" w:cs="Arial"/>
              <w:sz w:val="24"/>
              <w:szCs w:val="24"/>
            </w:rPr>
            <w:t>1</w:t>
          </w:r>
          <w:r w:rsidRPr="00E34799">
            <w:rPr>
              <w:rFonts w:ascii="Arial" w:hAnsi="Arial" w:cs="Arial"/>
              <w:sz w:val="24"/>
              <w:szCs w:val="24"/>
            </w:rPr>
            <w:t>.1</w:t>
          </w:r>
          <w:r w:rsidRPr="00E34799">
            <w:rPr>
              <w:rFonts w:ascii="Arial" w:hAnsi="Arial" w:cs="Arial"/>
              <w:sz w:val="24"/>
              <w:szCs w:val="24"/>
            </w:rPr>
            <w:tab/>
          </w:r>
          <w:r>
            <w:rPr>
              <w:rFonts w:ascii="Arial" w:hAnsi="Arial" w:cs="Arial"/>
              <w:sz w:val="24"/>
              <w:szCs w:val="24"/>
            </w:rPr>
            <w:t>What</w:t>
          </w:r>
          <w:r w:rsidR="0024249D">
            <w:rPr>
              <w:rFonts w:ascii="Arial" w:hAnsi="Arial" w:cs="Arial"/>
              <w:sz w:val="24"/>
              <w:szCs w:val="24"/>
            </w:rPr>
            <w:t xml:space="preserve"> – setting the scene</w:t>
          </w:r>
          <w:r w:rsidRPr="00E34799">
            <w:rPr>
              <w:rFonts w:ascii="Arial" w:hAnsi="Arial" w:cs="Arial"/>
              <w:sz w:val="24"/>
              <w:szCs w:val="24"/>
            </w:rPr>
            <w:ptab w:relativeTo="margin" w:alignment="right" w:leader="dot"/>
          </w:r>
          <w:r>
            <w:rPr>
              <w:rFonts w:ascii="Arial" w:hAnsi="Arial" w:cs="Arial"/>
              <w:sz w:val="24"/>
              <w:szCs w:val="24"/>
            </w:rPr>
            <w:t>1</w:t>
          </w:r>
        </w:p>
        <w:p w14:paraId="3813C522" w14:textId="1B01FDF2" w:rsidR="00D30356" w:rsidRPr="00E34799" w:rsidRDefault="00D30356" w:rsidP="00D30356">
          <w:pPr>
            <w:pStyle w:val="TOC2"/>
            <w:spacing w:line="240" w:lineRule="auto"/>
            <w:ind w:left="216"/>
            <w:rPr>
              <w:rFonts w:ascii="Arial" w:hAnsi="Arial" w:cs="Arial"/>
              <w:sz w:val="24"/>
              <w:szCs w:val="24"/>
            </w:rPr>
          </w:pPr>
          <w:r>
            <w:rPr>
              <w:rFonts w:ascii="Arial" w:hAnsi="Arial" w:cs="Arial"/>
              <w:sz w:val="24"/>
              <w:szCs w:val="24"/>
            </w:rPr>
            <w:t>1</w:t>
          </w:r>
          <w:r w:rsidRPr="00E34799">
            <w:rPr>
              <w:rFonts w:ascii="Arial" w:hAnsi="Arial" w:cs="Arial"/>
              <w:sz w:val="24"/>
              <w:szCs w:val="24"/>
            </w:rPr>
            <w:t xml:space="preserve">.2 </w:t>
          </w:r>
          <w:r w:rsidRPr="00E34799">
            <w:rPr>
              <w:rFonts w:ascii="Arial" w:hAnsi="Arial" w:cs="Arial"/>
              <w:sz w:val="24"/>
              <w:szCs w:val="24"/>
            </w:rPr>
            <w:tab/>
          </w:r>
          <w:r>
            <w:rPr>
              <w:rFonts w:ascii="Arial" w:hAnsi="Arial" w:cs="Arial"/>
              <w:sz w:val="24"/>
              <w:szCs w:val="24"/>
            </w:rPr>
            <w:t>So what</w:t>
          </w:r>
          <w:r w:rsidR="0024249D">
            <w:rPr>
              <w:rFonts w:ascii="Arial" w:hAnsi="Arial" w:cs="Arial"/>
              <w:sz w:val="24"/>
              <w:szCs w:val="24"/>
            </w:rPr>
            <w:t xml:space="preserve"> – why it matters</w:t>
          </w:r>
          <w:r w:rsidRPr="00E34799">
            <w:rPr>
              <w:rFonts w:ascii="Arial" w:hAnsi="Arial" w:cs="Arial"/>
              <w:sz w:val="24"/>
              <w:szCs w:val="24"/>
            </w:rPr>
            <w:ptab w:relativeTo="margin" w:alignment="right" w:leader="dot"/>
          </w:r>
          <w:r>
            <w:rPr>
              <w:rFonts w:ascii="Arial" w:hAnsi="Arial" w:cs="Arial"/>
              <w:sz w:val="24"/>
              <w:szCs w:val="24"/>
            </w:rPr>
            <w:t>2</w:t>
          </w:r>
        </w:p>
        <w:p w14:paraId="035EF99B" w14:textId="55736228" w:rsidR="00D30356" w:rsidRPr="00E34799" w:rsidRDefault="00D30356" w:rsidP="00D30356">
          <w:pPr>
            <w:pStyle w:val="TOC2"/>
            <w:spacing w:line="240" w:lineRule="auto"/>
            <w:ind w:left="216"/>
            <w:rPr>
              <w:rFonts w:ascii="Arial" w:hAnsi="Arial" w:cs="Arial"/>
              <w:sz w:val="24"/>
              <w:szCs w:val="24"/>
            </w:rPr>
          </w:pPr>
          <w:r>
            <w:rPr>
              <w:rFonts w:ascii="Arial" w:hAnsi="Arial" w:cs="Arial"/>
              <w:sz w:val="24"/>
              <w:szCs w:val="24"/>
            </w:rPr>
            <w:t>1</w:t>
          </w:r>
          <w:r w:rsidRPr="00E34799">
            <w:rPr>
              <w:rFonts w:ascii="Arial" w:hAnsi="Arial" w:cs="Arial"/>
              <w:sz w:val="24"/>
              <w:szCs w:val="24"/>
            </w:rPr>
            <w:t xml:space="preserve">.3 </w:t>
          </w:r>
          <w:r w:rsidRPr="00E34799">
            <w:rPr>
              <w:rFonts w:ascii="Arial" w:hAnsi="Arial" w:cs="Arial"/>
              <w:sz w:val="24"/>
              <w:szCs w:val="24"/>
            </w:rPr>
            <w:tab/>
          </w:r>
          <w:r>
            <w:rPr>
              <w:rFonts w:ascii="Arial" w:hAnsi="Arial" w:cs="Arial"/>
              <w:sz w:val="24"/>
              <w:szCs w:val="24"/>
            </w:rPr>
            <w:t>Now what</w:t>
          </w:r>
          <w:r w:rsidR="0024249D">
            <w:rPr>
              <w:rFonts w:ascii="Arial" w:hAnsi="Arial" w:cs="Arial"/>
              <w:sz w:val="24"/>
              <w:szCs w:val="24"/>
            </w:rPr>
            <w:t xml:space="preserve"> – the challenge of </w:t>
          </w:r>
          <w:proofErr w:type="spellStart"/>
          <w:r w:rsidR="0024249D">
            <w:rPr>
              <w:rFonts w:ascii="Arial" w:hAnsi="Arial" w:cs="Arial"/>
              <w:sz w:val="24"/>
              <w:szCs w:val="24"/>
            </w:rPr>
            <w:t>digitalisation</w:t>
          </w:r>
          <w:proofErr w:type="spellEnd"/>
          <w:r w:rsidRPr="00E34799">
            <w:rPr>
              <w:rFonts w:ascii="Arial" w:hAnsi="Arial" w:cs="Arial"/>
              <w:sz w:val="24"/>
              <w:szCs w:val="24"/>
            </w:rPr>
            <w:ptab w:relativeTo="margin" w:alignment="right" w:leader="dot"/>
          </w:r>
          <w:r>
            <w:rPr>
              <w:rFonts w:ascii="Arial" w:hAnsi="Arial" w:cs="Arial"/>
              <w:sz w:val="24"/>
              <w:szCs w:val="24"/>
            </w:rPr>
            <w:t>3</w:t>
          </w:r>
        </w:p>
        <w:p w14:paraId="2E0ACD90" w14:textId="24330430" w:rsidR="00CA6FD9" w:rsidRDefault="00CA6FD9" w:rsidP="00E34799">
          <w:pPr>
            <w:pStyle w:val="TOC1"/>
            <w:spacing w:line="240" w:lineRule="auto"/>
            <w:rPr>
              <w:rFonts w:ascii="Arial" w:hAnsi="Arial" w:cs="Arial"/>
              <w:b/>
              <w:bCs/>
              <w:sz w:val="24"/>
              <w:szCs w:val="24"/>
            </w:rPr>
          </w:pPr>
        </w:p>
        <w:p w14:paraId="3ECCDED2" w14:textId="27F6DAA8" w:rsidR="002273A4" w:rsidRPr="00E34799" w:rsidRDefault="002273A4" w:rsidP="00E34799">
          <w:pPr>
            <w:pStyle w:val="TOC1"/>
            <w:spacing w:line="240" w:lineRule="auto"/>
            <w:rPr>
              <w:rFonts w:ascii="Arial" w:hAnsi="Arial" w:cs="Arial"/>
              <w:sz w:val="24"/>
              <w:szCs w:val="24"/>
            </w:rPr>
          </w:pPr>
          <w:r w:rsidRPr="00E34799">
            <w:rPr>
              <w:rFonts w:ascii="Arial" w:hAnsi="Arial" w:cs="Arial"/>
              <w:b/>
              <w:bCs/>
              <w:sz w:val="24"/>
              <w:szCs w:val="24"/>
            </w:rPr>
            <w:t>Chapter 2</w:t>
          </w:r>
          <w:r w:rsidRPr="00E34799">
            <w:rPr>
              <w:rFonts w:ascii="Arial" w:hAnsi="Arial" w:cs="Arial"/>
              <w:b/>
              <w:bCs/>
              <w:sz w:val="24"/>
              <w:szCs w:val="24"/>
            </w:rPr>
            <w:tab/>
          </w:r>
          <w:r w:rsidRPr="00E34799">
            <w:rPr>
              <w:rFonts w:ascii="Arial" w:hAnsi="Arial" w:cs="Arial"/>
              <w:b/>
              <w:bCs/>
              <w:sz w:val="24"/>
              <w:szCs w:val="24"/>
            </w:rPr>
            <w:tab/>
          </w:r>
          <w:r w:rsidRPr="00E34799">
            <w:rPr>
              <w:rFonts w:ascii="Arial" w:hAnsi="Arial" w:cs="Arial"/>
              <w:b/>
              <w:bCs/>
              <w:sz w:val="24"/>
              <w:szCs w:val="24"/>
            </w:rPr>
            <w:tab/>
            <w:t>Literature review</w:t>
          </w:r>
          <w:r w:rsidRPr="00E34799">
            <w:rPr>
              <w:rFonts w:ascii="Arial" w:hAnsi="Arial" w:cs="Arial"/>
              <w:b/>
              <w:bCs/>
              <w:sz w:val="24"/>
              <w:szCs w:val="24"/>
            </w:rPr>
            <w:tab/>
          </w:r>
          <w:r w:rsidRPr="00E34799">
            <w:rPr>
              <w:rFonts w:ascii="Arial" w:hAnsi="Arial" w:cs="Arial"/>
              <w:b/>
              <w:bCs/>
              <w:sz w:val="24"/>
              <w:szCs w:val="24"/>
            </w:rPr>
            <w:tab/>
          </w:r>
          <w:r w:rsidRPr="00E34799">
            <w:rPr>
              <w:rFonts w:ascii="Arial" w:hAnsi="Arial" w:cs="Arial"/>
              <w:b/>
              <w:bCs/>
              <w:sz w:val="24"/>
              <w:szCs w:val="24"/>
            </w:rPr>
            <w:tab/>
            <w:t xml:space="preserve"> </w:t>
          </w:r>
          <w:r w:rsidR="000C11A8">
            <w:rPr>
              <w:rFonts w:ascii="Arial" w:hAnsi="Arial" w:cs="Arial"/>
              <w:b/>
              <w:bCs/>
              <w:sz w:val="24"/>
              <w:szCs w:val="24"/>
            </w:rPr>
            <w:tab/>
          </w:r>
          <w:r w:rsidR="000C11A8">
            <w:rPr>
              <w:rFonts w:ascii="Arial" w:hAnsi="Arial" w:cs="Arial"/>
              <w:b/>
              <w:bCs/>
              <w:sz w:val="24"/>
              <w:szCs w:val="24"/>
            </w:rPr>
            <w:tab/>
          </w:r>
          <w:r w:rsidR="000C11A8">
            <w:rPr>
              <w:rFonts w:ascii="Arial" w:hAnsi="Arial" w:cs="Arial"/>
              <w:b/>
              <w:bCs/>
              <w:sz w:val="24"/>
              <w:szCs w:val="24"/>
            </w:rPr>
            <w:tab/>
            <w:t xml:space="preserve"> </w:t>
          </w:r>
          <w:r w:rsidRPr="00E34799">
            <w:rPr>
              <w:rFonts w:ascii="Arial" w:hAnsi="Arial" w:cs="Arial"/>
              <w:b/>
              <w:bCs/>
              <w:sz w:val="24"/>
              <w:szCs w:val="24"/>
            </w:rPr>
            <w:t xml:space="preserve">  </w:t>
          </w:r>
          <w:r w:rsidRPr="00E34799">
            <w:rPr>
              <w:rFonts w:ascii="Arial" w:hAnsi="Arial" w:cs="Arial"/>
              <w:sz w:val="24"/>
              <w:szCs w:val="24"/>
            </w:rPr>
            <w:ptab w:relativeTo="margin" w:alignment="right" w:leader="dot"/>
          </w:r>
          <w:r w:rsidR="000C11A8">
            <w:rPr>
              <w:rFonts w:ascii="Arial" w:hAnsi="Arial" w:cs="Arial"/>
              <w:sz w:val="24"/>
              <w:szCs w:val="24"/>
            </w:rPr>
            <w:t>5</w:t>
          </w:r>
        </w:p>
        <w:p w14:paraId="548CFE0C" w14:textId="5C9B2441" w:rsidR="002273A4" w:rsidRPr="00E34799" w:rsidRDefault="002273A4" w:rsidP="00E34799">
          <w:pPr>
            <w:pStyle w:val="TOC2"/>
            <w:spacing w:line="240" w:lineRule="auto"/>
            <w:ind w:left="216"/>
            <w:rPr>
              <w:rFonts w:ascii="Arial" w:hAnsi="Arial" w:cs="Arial"/>
              <w:sz w:val="24"/>
              <w:szCs w:val="24"/>
            </w:rPr>
          </w:pPr>
          <w:r w:rsidRPr="00E34799">
            <w:rPr>
              <w:rFonts w:ascii="Arial" w:hAnsi="Arial" w:cs="Arial"/>
              <w:sz w:val="24"/>
              <w:szCs w:val="24"/>
            </w:rPr>
            <w:t>2.1</w:t>
          </w:r>
          <w:r w:rsidRPr="00E34799">
            <w:rPr>
              <w:rFonts w:ascii="Arial" w:hAnsi="Arial" w:cs="Arial"/>
              <w:sz w:val="24"/>
              <w:szCs w:val="24"/>
            </w:rPr>
            <w:tab/>
            <w:t>Introduction</w:t>
          </w:r>
          <w:r w:rsidRPr="00E34799">
            <w:rPr>
              <w:rFonts w:ascii="Arial" w:hAnsi="Arial" w:cs="Arial"/>
              <w:sz w:val="24"/>
              <w:szCs w:val="24"/>
            </w:rPr>
            <w:ptab w:relativeTo="margin" w:alignment="right" w:leader="dot"/>
          </w:r>
          <w:r w:rsidR="00134D37">
            <w:rPr>
              <w:rFonts w:ascii="Arial" w:hAnsi="Arial" w:cs="Arial"/>
              <w:sz w:val="24"/>
              <w:szCs w:val="24"/>
            </w:rPr>
            <w:t>5</w:t>
          </w:r>
        </w:p>
        <w:p w14:paraId="3FFAF172" w14:textId="67D5962C" w:rsidR="002273A4" w:rsidRPr="00E34799" w:rsidRDefault="002273A4" w:rsidP="00E34799">
          <w:pPr>
            <w:pStyle w:val="TOC2"/>
            <w:spacing w:line="240" w:lineRule="auto"/>
            <w:ind w:left="216"/>
            <w:rPr>
              <w:rFonts w:ascii="Arial" w:hAnsi="Arial" w:cs="Arial"/>
              <w:sz w:val="24"/>
              <w:szCs w:val="24"/>
            </w:rPr>
          </w:pPr>
          <w:r w:rsidRPr="00E34799">
            <w:rPr>
              <w:rFonts w:ascii="Arial" w:hAnsi="Arial" w:cs="Arial"/>
              <w:sz w:val="24"/>
              <w:szCs w:val="24"/>
            </w:rPr>
            <w:t xml:space="preserve">2.2 </w:t>
          </w:r>
          <w:r w:rsidRPr="00E34799">
            <w:rPr>
              <w:rFonts w:ascii="Arial" w:hAnsi="Arial" w:cs="Arial"/>
              <w:sz w:val="24"/>
              <w:szCs w:val="24"/>
            </w:rPr>
            <w:tab/>
            <w:t>Definition</w:t>
          </w:r>
          <w:r w:rsidRPr="00E34799">
            <w:rPr>
              <w:rFonts w:ascii="Arial" w:hAnsi="Arial" w:cs="Arial"/>
              <w:sz w:val="24"/>
              <w:szCs w:val="24"/>
            </w:rPr>
            <w:ptab w:relativeTo="margin" w:alignment="right" w:leader="dot"/>
          </w:r>
          <w:r w:rsidR="00134D37">
            <w:rPr>
              <w:rFonts w:ascii="Arial" w:hAnsi="Arial" w:cs="Arial"/>
              <w:sz w:val="24"/>
              <w:szCs w:val="24"/>
            </w:rPr>
            <w:t>5</w:t>
          </w:r>
        </w:p>
        <w:p w14:paraId="09128D2B" w14:textId="78F10F97" w:rsidR="002273A4" w:rsidRPr="00E34799" w:rsidRDefault="002273A4" w:rsidP="00E34799">
          <w:pPr>
            <w:pStyle w:val="TOC2"/>
            <w:spacing w:line="240" w:lineRule="auto"/>
            <w:ind w:left="216"/>
            <w:rPr>
              <w:rFonts w:ascii="Arial" w:hAnsi="Arial" w:cs="Arial"/>
              <w:sz w:val="24"/>
              <w:szCs w:val="24"/>
            </w:rPr>
          </w:pPr>
          <w:r w:rsidRPr="00E34799">
            <w:rPr>
              <w:rFonts w:ascii="Arial" w:hAnsi="Arial" w:cs="Arial"/>
              <w:sz w:val="24"/>
              <w:szCs w:val="24"/>
            </w:rPr>
            <w:t xml:space="preserve">2.3 </w:t>
          </w:r>
          <w:r w:rsidRPr="00E34799">
            <w:rPr>
              <w:rFonts w:ascii="Arial" w:hAnsi="Arial" w:cs="Arial"/>
              <w:sz w:val="24"/>
              <w:szCs w:val="24"/>
            </w:rPr>
            <w:tab/>
            <w:t>The Literature</w:t>
          </w:r>
          <w:r w:rsidRPr="00E34799">
            <w:rPr>
              <w:rFonts w:ascii="Arial" w:hAnsi="Arial" w:cs="Arial"/>
              <w:sz w:val="24"/>
              <w:szCs w:val="24"/>
            </w:rPr>
            <w:ptab w:relativeTo="margin" w:alignment="right" w:leader="dot"/>
          </w:r>
          <w:r w:rsidR="00134D37">
            <w:rPr>
              <w:rFonts w:ascii="Arial" w:hAnsi="Arial" w:cs="Arial"/>
              <w:sz w:val="24"/>
              <w:szCs w:val="24"/>
            </w:rPr>
            <w:t>8</w:t>
          </w:r>
        </w:p>
        <w:p w14:paraId="27BE5FAC" w14:textId="4417626E" w:rsidR="002273A4" w:rsidRPr="00E34799" w:rsidRDefault="002273A4" w:rsidP="00E34799">
          <w:pPr>
            <w:pStyle w:val="TOC2"/>
            <w:spacing w:line="240" w:lineRule="auto"/>
            <w:ind w:left="216"/>
            <w:rPr>
              <w:rFonts w:ascii="Arial" w:hAnsi="Arial" w:cs="Arial"/>
              <w:sz w:val="24"/>
              <w:szCs w:val="24"/>
            </w:rPr>
          </w:pPr>
          <w:r w:rsidRPr="00E34799">
            <w:rPr>
              <w:rFonts w:ascii="Arial" w:hAnsi="Arial" w:cs="Arial"/>
              <w:sz w:val="24"/>
              <w:szCs w:val="24"/>
            </w:rPr>
            <w:t xml:space="preserve">2.4 </w:t>
          </w:r>
          <w:r w:rsidRPr="00E34799">
            <w:rPr>
              <w:rFonts w:ascii="Arial" w:hAnsi="Arial" w:cs="Arial"/>
              <w:sz w:val="24"/>
              <w:szCs w:val="24"/>
            </w:rPr>
            <w:tab/>
            <w:t>Discussion</w:t>
          </w:r>
          <w:r w:rsidRPr="00E34799">
            <w:rPr>
              <w:rFonts w:ascii="Arial" w:hAnsi="Arial" w:cs="Arial"/>
              <w:sz w:val="24"/>
              <w:szCs w:val="24"/>
            </w:rPr>
            <w:ptab w:relativeTo="margin" w:alignment="right" w:leader="dot"/>
          </w:r>
          <w:r w:rsidR="00134D37">
            <w:rPr>
              <w:rFonts w:ascii="Arial" w:hAnsi="Arial" w:cs="Arial"/>
              <w:sz w:val="24"/>
              <w:szCs w:val="24"/>
            </w:rPr>
            <w:t>10</w:t>
          </w:r>
        </w:p>
        <w:p w14:paraId="4D69140A" w14:textId="402AFF53" w:rsidR="002273A4" w:rsidRPr="00E34799" w:rsidRDefault="002273A4" w:rsidP="00E34799">
          <w:pPr>
            <w:pStyle w:val="TOC3"/>
            <w:spacing w:line="240" w:lineRule="auto"/>
            <w:ind w:left="446"/>
            <w:rPr>
              <w:rFonts w:ascii="Arial" w:hAnsi="Arial" w:cs="Arial"/>
              <w:sz w:val="24"/>
              <w:szCs w:val="24"/>
            </w:rPr>
          </w:pPr>
          <w:r w:rsidRPr="00E34799">
            <w:rPr>
              <w:rFonts w:ascii="Arial" w:hAnsi="Arial" w:cs="Arial"/>
              <w:sz w:val="24"/>
              <w:szCs w:val="24"/>
            </w:rPr>
            <w:t xml:space="preserve">2.41 </w:t>
          </w:r>
          <w:r w:rsidRPr="00E34799">
            <w:rPr>
              <w:rFonts w:ascii="Arial" w:hAnsi="Arial" w:cs="Arial"/>
              <w:sz w:val="24"/>
              <w:szCs w:val="24"/>
            </w:rPr>
            <w:tab/>
            <w:t>Mortality prediction in Oncology</w:t>
          </w:r>
          <w:r w:rsidRPr="00E34799">
            <w:rPr>
              <w:rFonts w:ascii="Arial" w:hAnsi="Arial" w:cs="Arial"/>
              <w:sz w:val="24"/>
              <w:szCs w:val="24"/>
            </w:rPr>
            <w:ptab w:relativeTo="margin" w:alignment="right" w:leader="dot"/>
          </w:r>
          <w:r w:rsidR="00134D37">
            <w:rPr>
              <w:rFonts w:ascii="Arial" w:hAnsi="Arial" w:cs="Arial"/>
              <w:sz w:val="24"/>
              <w:szCs w:val="24"/>
            </w:rPr>
            <w:t>14</w:t>
          </w:r>
        </w:p>
        <w:p w14:paraId="53329335" w14:textId="30DBB0C3" w:rsidR="002273A4" w:rsidRPr="00E34799" w:rsidRDefault="002273A4" w:rsidP="00E34799">
          <w:pPr>
            <w:pStyle w:val="TOC3"/>
            <w:spacing w:line="240" w:lineRule="auto"/>
            <w:ind w:left="446"/>
            <w:rPr>
              <w:rFonts w:ascii="Arial" w:hAnsi="Arial" w:cs="Arial"/>
              <w:sz w:val="24"/>
              <w:szCs w:val="24"/>
            </w:rPr>
          </w:pPr>
          <w:r w:rsidRPr="00E34799">
            <w:rPr>
              <w:rFonts w:ascii="Arial" w:hAnsi="Arial" w:cs="Arial"/>
              <w:sz w:val="24"/>
              <w:szCs w:val="24"/>
            </w:rPr>
            <w:t xml:space="preserve">2.42 </w:t>
          </w:r>
          <w:r w:rsidRPr="00E34799">
            <w:rPr>
              <w:rFonts w:ascii="Arial" w:hAnsi="Arial" w:cs="Arial"/>
              <w:sz w:val="24"/>
              <w:szCs w:val="24"/>
            </w:rPr>
            <w:tab/>
            <w:t>Mortality prediction outside Oncology</w:t>
          </w:r>
          <w:r w:rsidRPr="00E34799">
            <w:rPr>
              <w:rFonts w:ascii="Arial" w:hAnsi="Arial" w:cs="Arial"/>
              <w:sz w:val="24"/>
              <w:szCs w:val="24"/>
            </w:rPr>
            <w:ptab w:relativeTo="margin" w:alignment="right" w:leader="dot"/>
          </w:r>
          <w:r w:rsidR="00134D37">
            <w:rPr>
              <w:rFonts w:ascii="Arial" w:hAnsi="Arial" w:cs="Arial"/>
              <w:sz w:val="24"/>
              <w:szCs w:val="24"/>
            </w:rPr>
            <w:t>14</w:t>
          </w:r>
        </w:p>
        <w:p w14:paraId="56462E58" w14:textId="6B2F57B5" w:rsidR="002273A4" w:rsidRDefault="002273A4" w:rsidP="00E34799">
          <w:pPr>
            <w:pStyle w:val="TOC3"/>
            <w:spacing w:line="240" w:lineRule="auto"/>
            <w:ind w:left="446"/>
            <w:rPr>
              <w:rFonts w:ascii="Arial" w:hAnsi="Arial" w:cs="Arial"/>
              <w:sz w:val="24"/>
              <w:szCs w:val="24"/>
            </w:rPr>
          </w:pPr>
          <w:r w:rsidRPr="00E34799">
            <w:rPr>
              <w:rFonts w:ascii="Arial" w:hAnsi="Arial" w:cs="Arial"/>
              <w:sz w:val="24"/>
              <w:szCs w:val="24"/>
            </w:rPr>
            <w:t xml:space="preserve">2.43 </w:t>
          </w:r>
          <w:r w:rsidRPr="00E34799">
            <w:rPr>
              <w:rFonts w:ascii="Arial" w:hAnsi="Arial" w:cs="Arial"/>
              <w:sz w:val="24"/>
              <w:szCs w:val="24"/>
            </w:rPr>
            <w:tab/>
            <w:t>Mortality prediction in Primary Care</w:t>
          </w:r>
          <w:r w:rsidRPr="00E34799">
            <w:rPr>
              <w:rFonts w:ascii="Arial" w:hAnsi="Arial" w:cs="Arial"/>
              <w:sz w:val="24"/>
              <w:szCs w:val="24"/>
            </w:rPr>
            <w:ptab w:relativeTo="margin" w:alignment="right" w:leader="dot"/>
          </w:r>
          <w:r w:rsidR="00134D37">
            <w:rPr>
              <w:rFonts w:ascii="Arial" w:hAnsi="Arial" w:cs="Arial"/>
              <w:sz w:val="24"/>
              <w:szCs w:val="24"/>
            </w:rPr>
            <w:t>15</w:t>
          </w:r>
        </w:p>
        <w:p w14:paraId="12449BF1" w14:textId="0954DB63" w:rsidR="00134D37" w:rsidRPr="00134D37" w:rsidRDefault="00134D37" w:rsidP="00134D37">
          <w:pPr>
            <w:pStyle w:val="TOC3"/>
            <w:spacing w:line="240" w:lineRule="auto"/>
            <w:ind w:left="446"/>
            <w:rPr>
              <w:rFonts w:ascii="Arial" w:hAnsi="Arial" w:cs="Arial"/>
              <w:sz w:val="24"/>
              <w:szCs w:val="24"/>
            </w:rPr>
          </w:pPr>
          <w:r w:rsidRPr="00E34799">
            <w:rPr>
              <w:rFonts w:ascii="Arial" w:hAnsi="Arial" w:cs="Arial"/>
              <w:sz w:val="24"/>
              <w:szCs w:val="24"/>
            </w:rPr>
            <w:t>2.4</w:t>
          </w:r>
          <w:r>
            <w:rPr>
              <w:rFonts w:ascii="Arial" w:hAnsi="Arial" w:cs="Arial"/>
              <w:sz w:val="24"/>
              <w:szCs w:val="24"/>
            </w:rPr>
            <w:t>4</w:t>
          </w:r>
          <w:r w:rsidRPr="00E34799">
            <w:rPr>
              <w:rFonts w:ascii="Arial" w:hAnsi="Arial" w:cs="Arial"/>
              <w:sz w:val="24"/>
              <w:szCs w:val="24"/>
            </w:rPr>
            <w:t xml:space="preserve"> </w:t>
          </w:r>
          <w:r w:rsidRPr="00E34799">
            <w:rPr>
              <w:rFonts w:ascii="Arial" w:hAnsi="Arial" w:cs="Arial"/>
              <w:sz w:val="24"/>
              <w:szCs w:val="24"/>
            </w:rPr>
            <w:tab/>
            <w:t xml:space="preserve">Mortality prediction </w:t>
          </w:r>
          <w:r>
            <w:rPr>
              <w:rFonts w:ascii="Arial" w:hAnsi="Arial" w:cs="Arial"/>
              <w:sz w:val="24"/>
              <w:szCs w:val="24"/>
            </w:rPr>
            <w:t>at admission</w:t>
          </w:r>
          <w:r w:rsidRPr="00E34799">
            <w:rPr>
              <w:rFonts w:ascii="Arial" w:hAnsi="Arial" w:cs="Arial"/>
              <w:sz w:val="24"/>
              <w:szCs w:val="24"/>
            </w:rPr>
            <w:ptab w:relativeTo="margin" w:alignment="right" w:leader="dot"/>
          </w:r>
          <w:r>
            <w:rPr>
              <w:rFonts w:ascii="Arial" w:hAnsi="Arial" w:cs="Arial"/>
              <w:sz w:val="24"/>
              <w:szCs w:val="24"/>
            </w:rPr>
            <w:t>17</w:t>
          </w:r>
        </w:p>
        <w:p w14:paraId="10D8FB0D" w14:textId="7FEB6D2B" w:rsidR="00FC63B7" w:rsidRPr="00FC63B7" w:rsidRDefault="002273A4" w:rsidP="00FC63B7">
          <w:pPr>
            <w:pStyle w:val="TOC2"/>
            <w:spacing w:line="240" w:lineRule="auto"/>
            <w:ind w:left="216"/>
            <w:rPr>
              <w:rFonts w:ascii="Arial" w:hAnsi="Arial" w:cs="Arial"/>
              <w:sz w:val="24"/>
              <w:szCs w:val="24"/>
            </w:rPr>
          </w:pPr>
          <w:r w:rsidRPr="00E34799">
            <w:rPr>
              <w:rFonts w:ascii="Arial" w:hAnsi="Arial" w:cs="Arial"/>
              <w:sz w:val="24"/>
              <w:szCs w:val="24"/>
            </w:rPr>
            <w:t xml:space="preserve">2.5 </w:t>
          </w:r>
          <w:r w:rsidRPr="00E34799">
            <w:rPr>
              <w:rFonts w:ascii="Arial" w:hAnsi="Arial" w:cs="Arial"/>
              <w:sz w:val="24"/>
              <w:szCs w:val="24"/>
            </w:rPr>
            <w:tab/>
            <w:t>Conclusion</w:t>
          </w:r>
          <w:r w:rsidRPr="00E34799">
            <w:rPr>
              <w:rFonts w:ascii="Arial" w:hAnsi="Arial" w:cs="Arial"/>
              <w:sz w:val="24"/>
              <w:szCs w:val="24"/>
            </w:rPr>
            <w:ptab w:relativeTo="margin" w:alignment="right" w:leader="dot"/>
          </w:r>
          <w:r w:rsidR="00134D37">
            <w:rPr>
              <w:rFonts w:ascii="Arial" w:hAnsi="Arial" w:cs="Arial"/>
              <w:sz w:val="24"/>
              <w:szCs w:val="24"/>
            </w:rPr>
            <w:t>18</w:t>
          </w:r>
        </w:p>
        <w:p w14:paraId="45142C2D" w14:textId="77777777" w:rsidR="00FC63B7" w:rsidRDefault="00FC63B7" w:rsidP="00FC63B7">
          <w:pPr>
            <w:pStyle w:val="TOC1"/>
            <w:rPr>
              <w:rFonts w:ascii="Arial" w:hAnsi="Arial" w:cs="Arial"/>
              <w:b/>
              <w:bCs/>
              <w:sz w:val="24"/>
              <w:szCs w:val="24"/>
            </w:rPr>
          </w:pPr>
        </w:p>
        <w:p w14:paraId="7C18A1FD" w14:textId="733738DA" w:rsidR="00FC63B7" w:rsidRPr="00291CC8" w:rsidRDefault="00FC63B7" w:rsidP="00FC63B7">
          <w:pPr>
            <w:pStyle w:val="TOC1"/>
            <w:rPr>
              <w:rFonts w:ascii="Arial" w:hAnsi="Arial" w:cs="Arial"/>
              <w:sz w:val="24"/>
              <w:szCs w:val="24"/>
            </w:rPr>
          </w:pPr>
          <w:r w:rsidRPr="00291CC8">
            <w:rPr>
              <w:rFonts w:ascii="Arial" w:hAnsi="Arial" w:cs="Arial"/>
              <w:b/>
              <w:bCs/>
              <w:sz w:val="24"/>
              <w:szCs w:val="24"/>
            </w:rPr>
            <w:t>Chapter 3</w:t>
          </w:r>
          <w:r w:rsidRPr="00291CC8">
            <w:rPr>
              <w:rFonts w:ascii="Arial" w:hAnsi="Arial" w:cs="Arial"/>
              <w:b/>
              <w:bCs/>
              <w:sz w:val="24"/>
              <w:szCs w:val="24"/>
            </w:rPr>
            <w:tab/>
          </w:r>
          <w:r w:rsidRPr="00291CC8">
            <w:rPr>
              <w:rFonts w:ascii="Arial" w:hAnsi="Arial" w:cs="Arial"/>
              <w:b/>
              <w:bCs/>
              <w:sz w:val="24"/>
              <w:szCs w:val="24"/>
            </w:rPr>
            <w:tab/>
          </w:r>
          <w:r w:rsidRPr="00291CC8">
            <w:rPr>
              <w:rFonts w:ascii="Arial" w:hAnsi="Arial" w:cs="Arial"/>
              <w:b/>
              <w:bCs/>
              <w:sz w:val="24"/>
              <w:szCs w:val="24"/>
            </w:rPr>
            <w:tab/>
            <w:t>Methodolo</w:t>
          </w:r>
          <w:r w:rsidR="005F4D3B">
            <w:rPr>
              <w:rFonts w:ascii="Arial" w:hAnsi="Arial" w:cs="Arial"/>
              <w:b/>
              <w:bCs/>
              <w:sz w:val="24"/>
              <w:szCs w:val="24"/>
            </w:rPr>
            <w:t>g</w:t>
          </w:r>
          <w:r w:rsidRPr="00291CC8">
            <w:rPr>
              <w:rFonts w:ascii="Arial" w:hAnsi="Arial" w:cs="Arial"/>
              <w:b/>
              <w:bCs/>
              <w:sz w:val="24"/>
              <w:szCs w:val="24"/>
            </w:rPr>
            <w:t>y</w:t>
          </w:r>
          <w:r w:rsidR="005F4D3B">
            <w:rPr>
              <w:rFonts w:ascii="Arial" w:hAnsi="Arial" w:cs="Arial"/>
              <w:b/>
              <w:bCs/>
              <w:sz w:val="24"/>
              <w:szCs w:val="24"/>
            </w:rPr>
            <w:t xml:space="preserve">   </w:t>
          </w:r>
          <w:r w:rsidRPr="00291CC8">
            <w:rPr>
              <w:rFonts w:ascii="Arial" w:hAnsi="Arial" w:cs="Arial"/>
              <w:b/>
              <w:bCs/>
              <w:sz w:val="24"/>
              <w:szCs w:val="24"/>
            </w:rPr>
            <w:tab/>
          </w:r>
          <w:r w:rsidR="00134D37">
            <w:rPr>
              <w:rFonts w:ascii="Arial" w:hAnsi="Arial" w:cs="Arial"/>
              <w:b/>
              <w:bCs/>
              <w:sz w:val="24"/>
              <w:szCs w:val="24"/>
            </w:rPr>
            <w:tab/>
          </w:r>
          <w:r w:rsidR="00134D37">
            <w:rPr>
              <w:rFonts w:ascii="Arial" w:hAnsi="Arial" w:cs="Arial"/>
              <w:b/>
              <w:bCs/>
              <w:sz w:val="24"/>
              <w:szCs w:val="24"/>
            </w:rPr>
            <w:tab/>
          </w:r>
          <w:r w:rsidR="00134D37">
            <w:rPr>
              <w:rFonts w:ascii="Arial" w:hAnsi="Arial" w:cs="Arial"/>
              <w:b/>
              <w:bCs/>
              <w:sz w:val="24"/>
              <w:szCs w:val="24"/>
            </w:rPr>
            <w:tab/>
          </w:r>
          <w:r>
            <w:rPr>
              <w:rFonts w:ascii="Arial" w:hAnsi="Arial" w:cs="Arial"/>
              <w:b/>
              <w:bCs/>
              <w:sz w:val="24"/>
              <w:szCs w:val="24"/>
            </w:rPr>
            <w:tab/>
          </w:r>
          <w:r w:rsidR="005F4D3B">
            <w:rPr>
              <w:rFonts w:ascii="Arial" w:hAnsi="Arial" w:cs="Arial"/>
              <w:b/>
              <w:bCs/>
              <w:sz w:val="24"/>
              <w:szCs w:val="24"/>
            </w:rPr>
            <w:t xml:space="preserve">         </w:t>
          </w:r>
          <w:r>
            <w:rPr>
              <w:rFonts w:ascii="Arial" w:hAnsi="Arial" w:cs="Arial"/>
              <w:b/>
              <w:bCs/>
              <w:sz w:val="24"/>
              <w:szCs w:val="24"/>
            </w:rPr>
            <w:t xml:space="preserve">   </w:t>
          </w:r>
          <w:r w:rsidRPr="00291CC8">
            <w:rPr>
              <w:rFonts w:ascii="Arial" w:hAnsi="Arial" w:cs="Arial"/>
              <w:sz w:val="24"/>
              <w:szCs w:val="24"/>
            </w:rPr>
            <w:ptab w:relativeTo="margin" w:alignment="right" w:leader="dot"/>
          </w:r>
          <w:r w:rsidR="00BD1620">
            <w:rPr>
              <w:rFonts w:ascii="Arial" w:hAnsi="Arial" w:cs="Arial"/>
              <w:b/>
              <w:bCs/>
              <w:sz w:val="24"/>
              <w:szCs w:val="24"/>
            </w:rPr>
            <w:t>19</w:t>
          </w:r>
        </w:p>
        <w:p w14:paraId="580B6829" w14:textId="39EC6F03" w:rsidR="00FC63B7" w:rsidRPr="00291CC8" w:rsidRDefault="00FC63B7" w:rsidP="00FC63B7">
          <w:pPr>
            <w:pStyle w:val="TOC2"/>
            <w:ind w:left="216"/>
            <w:rPr>
              <w:rFonts w:ascii="Arial" w:hAnsi="Arial" w:cs="Arial"/>
              <w:sz w:val="24"/>
              <w:szCs w:val="24"/>
            </w:rPr>
          </w:pPr>
          <w:r>
            <w:rPr>
              <w:rFonts w:ascii="Arial" w:hAnsi="Arial" w:cs="Arial"/>
              <w:sz w:val="24"/>
              <w:szCs w:val="24"/>
            </w:rPr>
            <w:t>3.1</w:t>
          </w:r>
          <w:r>
            <w:rPr>
              <w:rFonts w:ascii="Arial" w:hAnsi="Arial" w:cs="Arial"/>
              <w:sz w:val="24"/>
              <w:szCs w:val="24"/>
            </w:rPr>
            <w:tab/>
          </w:r>
          <w:r w:rsidRPr="00291CC8">
            <w:rPr>
              <w:rFonts w:ascii="Arial" w:hAnsi="Arial" w:cs="Arial"/>
              <w:sz w:val="24"/>
              <w:szCs w:val="24"/>
            </w:rPr>
            <w:t>Introduction</w:t>
          </w:r>
          <w:r w:rsidRPr="00291CC8">
            <w:rPr>
              <w:rFonts w:ascii="Arial" w:hAnsi="Arial" w:cs="Arial"/>
              <w:sz w:val="24"/>
              <w:szCs w:val="24"/>
            </w:rPr>
            <w:ptab w:relativeTo="margin" w:alignment="right" w:leader="dot"/>
          </w:r>
          <w:r w:rsidR="00BD1620">
            <w:rPr>
              <w:rFonts w:ascii="Arial" w:hAnsi="Arial" w:cs="Arial"/>
              <w:sz w:val="24"/>
              <w:szCs w:val="24"/>
            </w:rPr>
            <w:t>19</w:t>
          </w:r>
        </w:p>
        <w:p w14:paraId="48A7DF03" w14:textId="484E0081" w:rsidR="00FC63B7" w:rsidRPr="00291CC8" w:rsidRDefault="00FC63B7" w:rsidP="00FC63B7">
          <w:pPr>
            <w:pStyle w:val="TOC2"/>
            <w:ind w:left="216"/>
            <w:rPr>
              <w:rFonts w:ascii="Arial" w:hAnsi="Arial" w:cs="Arial"/>
              <w:sz w:val="24"/>
              <w:szCs w:val="24"/>
            </w:rPr>
          </w:pPr>
          <w:r w:rsidRPr="00291CC8">
            <w:rPr>
              <w:rFonts w:ascii="Arial" w:hAnsi="Arial" w:cs="Arial"/>
              <w:sz w:val="24"/>
              <w:szCs w:val="24"/>
            </w:rPr>
            <w:t xml:space="preserve">3.2 </w:t>
          </w:r>
          <w:r>
            <w:rPr>
              <w:rFonts w:ascii="Arial" w:hAnsi="Arial" w:cs="Arial"/>
              <w:sz w:val="24"/>
              <w:szCs w:val="24"/>
            </w:rPr>
            <w:tab/>
          </w:r>
          <w:r w:rsidR="00EE323A">
            <w:rPr>
              <w:rFonts w:ascii="Arial" w:hAnsi="Arial" w:cs="Arial"/>
              <w:sz w:val="24"/>
              <w:szCs w:val="24"/>
            </w:rPr>
            <w:t>Justification for approach</w:t>
          </w:r>
          <w:r w:rsidRPr="00291CC8">
            <w:rPr>
              <w:rFonts w:ascii="Arial" w:hAnsi="Arial" w:cs="Arial"/>
              <w:sz w:val="24"/>
              <w:szCs w:val="24"/>
            </w:rPr>
            <w:ptab w:relativeTo="margin" w:alignment="right" w:leader="dot"/>
          </w:r>
          <w:r w:rsidR="00EE323A">
            <w:rPr>
              <w:rFonts w:ascii="Arial" w:hAnsi="Arial" w:cs="Arial"/>
              <w:sz w:val="24"/>
              <w:szCs w:val="24"/>
            </w:rPr>
            <w:t>20</w:t>
          </w:r>
        </w:p>
        <w:p w14:paraId="1B06BD3E" w14:textId="63011083" w:rsidR="00EE323A" w:rsidRPr="00291CC8" w:rsidRDefault="00EE323A" w:rsidP="00EE323A">
          <w:pPr>
            <w:pStyle w:val="TOC2"/>
            <w:ind w:left="216"/>
            <w:rPr>
              <w:rFonts w:ascii="Arial" w:hAnsi="Arial" w:cs="Arial"/>
              <w:sz w:val="24"/>
              <w:szCs w:val="24"/>
            </w:rPr>
          </w:pPr>
          <w:r w:rsidRPr="00291CC8">
            <w:rPr>
              <w:rFonts w:ascii="Arial" w:hAnsi="Arial" w:cs="Arial"/>
              <w:sz w:val="24"/>
              <w:szCs w:val="24"/>
            </w:rPr>
            <w:t>3.</w:t>
          </w:r>
          <w:r>
            <w:rPr>
              <w:rFonts w:ascii="Arial" w:hAnsi="Arial" w:cs="Arial"/>
              <w:sz w:val="24"/>
              <w:szCs w:val="24"/>
            </w:rPr>
            <w:t>3</w:t>
          </w:r>
          <w:r w:rsidRPr="00291CC8">
            <w:rPr>
              <w:rFonts w:ascii="Arial" w:hAnsi="Arial" w:cs="Arial"/>
              <w:sz w:val="24"/>
              <w:szCs w:val="24"/>
            </w:rPr>
            <w:t xml:space="preserve"> </w:t>
          </w:r>
          <w:r>
            <w:rPr>
              <w:rFonts w:ascii="Arial" w:hAnsi="Arial" w:cs="Arial"/>
              <w:sz w:val="24"/>
              <w:szCs w:val="24"/>
            </w:rPr>
            <w:tab/>
            <w:t>Quantitative</w:t>
          </w:r>
          <w:r w:rsidRPr="00291CC8">
            <w:rPr>
              <w:rFonts w:ascii="Arial" w:hAnsi="Arial" w:cs="Arial"/>
              <w:sz w:val="24"/>
              <w:szCs w:val="24"/>
            </w:rPr>
            <w:ptab w:relativeTo="margin" w:alignment="right" w:leader="dot"/>
          </w:r>
          <w:r>
            <w:rPr>
              <w:rFonts w:ascii="Arial" w:hAnsi="Arial" w:cs="Arial"/>
              <w:sz w:val="24"/>
              <w:szCs w:val="24"/>
            </w:rPr>
            <w:t>20</w:t>
          </w:r>
        </w:p>
        <w:p w14:paraId="6B234211" w14:textId="72D2B579" w:rsidR="00FC63B7" w:rsidRDefault="00FC63B7" w:rsidP="00FC63B7">
          <w:pPr>
            <w:pStyle w:val="TOC3"/>
            <w:ind w:left="446"/>
            <w:rPr>
              <w:rFonts w:ascii="Arial" w:hAnsi="Arial" w:cs="Arial"/>
              <w:sz w:val="24"/>
              <w:szCs w:val="24"/>
            </w:rPr>
          </w:pPr>
          <w:r w:rsidRPr="00291CC8">
            <w:rPr>
              <w:rFonts w:ascii="Arial" w:hAnsi="Arial" w:cs="Arial"/>
              <w:sz w:val="24"/>
              <w:szCs w:val="24"/>
            </w:rPr>
            <w:t>3.</w:t>
          </w:r>
          <w:r w:rsidR="00EE323A">
            <w:rPr>
              <w:rFonts w:ascii="Arial" w:hAnsi="Arial" w:cs="Arial"/>
              <w:sz w:val="24"/>
              <w:szCs w:val="24"/>
            </w:rPr>
            <w:t>3</w:t>
          </w:r>
          <w:r w:rsidRPr="00291CC8">
            <w:rPr>
              <w:rFonts w:ascii="Arial" w:hAnsi="Arial" w:cs="Arial"/>
              <w:sz w:val="24"/>
              <w:szCs w:val="24"/>
            </w:rPr>
            <w:t>1</w:t>
          </w:r>
          <w:r>
            <w:rPr>
              <w:rFonts w:ascii="Arial" w:hAnsi="Arial" w:cs="Arial"/>
              <w:sz w:val="24"/>
              <w:szCs w:val="24"/>
            </w:rPr>
            <w:tab/>
          </w:r>
          <w:r w:rsidR="007324C1">
            <w:rPr>
              <w:rFonts w:ascii="Arial" w:hAnsi="Arial" w:cs="Arial"/>
              <w:sz w:val="24"/>
              <w:szCs w:val="24"/>
            </w:rPr>
            <w:t>Prevalent cohort study</w:t>
          </w:r>
          <w:r w:rsidRPr="00291CC8">
            <w:rPr>
              <w:rFonts w:ascii="Arial" w:hAnsi="Arial" w:cs="Arial"/>
              <w:sz w:val="24"/>
              <w:szCs w:val="24"/>
            </w:rPr>
            <w:ptab w:relativeTo="margin" w:alignment="right" w:leader="dot"/>
          </w:r>
          <w:r w:rsidR="007324C1">
            <w:rPr>
              <w:rFonts w:ascii="Arial" w:hAnsi="Arial" w:cs="Arial"/>
              <w:sz w:val="24"/>
              <w:szCs w:val="24"/>
            </w:rPr>
            <w:t>21</w:t>
          </w:r>
        </w:p>
        <w:p w14:paraId="62BB2FCD" w14:textId="4216305E" w:rsidR="00EE323A" w:rsidRPr="00291CC8" w:rsidRDefault="00EE323A" w:rsidP="00EE323A">
          <w:pPr>
            <w:pStyle w:val="TOC2"/>
            <w:ind w:left="216"/>
            <w:rPr>
              <w:rFonts w:ascii="Arial" w:hAnsi="Arial" w:cs="Arial"/>
              <w:sz w:val="24"/>
              <w:szCs w:val="24"/>
            </w:rPr>
          </w:pPr>
          <w:r w:rsidRPr="00291CC8">
            <w:rPr>
              <w:rFonts w:ascii="Arial" w:hAnsi="Arial" w:cs="Arial"/>
              <w:sz w:val="24"/>
              <w:szCs w:val="24"/>
            </w:rPr>
            <w:t>3.</w:t>
          </w:r>
          <w:r>
            <w:rPr>
              <w:rFonts w:ascii="Arial" w:hAnsi="Arial" w:cs="Arial"/>
              <w:sz w:val="24"/>
              <w:szCs w:val="24"/>
            </w:rPr>
            <w:t>4</w:t>
          </w:r>
          <w:r w:rsidRPr="00291CC8">
            <w:rPr>
              <w:rFonts w:ascii="Arial" w:hAnsi="Arial" w:cs="Arial"/>
              <w:sz w:val="24"/>
              <w:szCs w:val="24"/>
            </w:rPr>
            <w:t xml:space="preserve"> </w:t>
          </w:r>
          <w:r>
            <w:rPr>
              <w:rFonts w:ascii="Arial" w:hAnsi="Arial" w:cs="Arial"/>
              <w:sz w:val="24"/>
              <w:szCs w:val="24"/>
            </w:rPr>
            <w:tab/>
          </w:r>
          <w:r w:rsidR="007324C1">
            <w:rPr>
              <w:rFonts w:ascii="Arial" w:hAnsi="Arial" w:cs="Arial"/>
              <w:sz w:val="24"/>
              <w:szCs w:val="24"/>
            </w:rPr>
            <w:t>Qualitative</w:t>
          </w:r>
          <w:r w:rsidRPr="00291CC8">
            <w:rPr>
              <w:rFonts w:ascii="Arial" w:hAnsi="Arial" w:cs="Arial"/>
              <w:sz w:val="24"/>
              <w:szCs w:val="24"/>
            </w:rPr>
            <w:ptab w:relativeTo="margin" w:alignment="right" w:leader="dot"/>
          </w:r>
          <w:r>
            <w:rPr>
              <w:rFonts w:ascii="Arial" w:hAnsi="Arial" w:cs="Arial"/>
              <w:sz w:val="24"/>
              <w:szCs w:val="24"/>
            </w:rPr>
            <w:t>2</w:t>
          </w:r>
          <w:r w:rsidR="007324C1">
            <w:rPr>
              <w:rFonts w:ascii="Arial" w:hAnsi="Arial" w:cs="Arial"/>
              <w:sz w:val="24"/>
              <w:szCs w:val="24"/>
            </w:rPr>
            <w:t>1</w:t>
          </w:r>
        </w:p>
        <w:p w14:paraId="42AA670F" w14:textId="4DB4C4D2" w:rsidR="00FC63B7" w:rsidRPr="00291CC8" w:rsidRDefault="00FC63B7" w:rsidP="00FC63B7">
          <w:pPr>
            <w:pStyle w:val="TOC3"/>
            <w:ind w:left="446"/>
            <w:rPr>
              <w:rFonts w:ascii="Arial" w:hAnsi="Arial" w:cs="Arial"/>
              <w:sz w:val="24"/>
              <w:szCs w:val="24"/>
            </w:rPr>
          </w:pPr>
          <w:r w:rsidRPr="00291CC8">
            <w:rPr>
              <w:rFonts w:ascii="Arial" w:hAnsi="Arial" w:cs="Arial"/>
              <w:sz w:val="24"/>
              <w:szCs w:val="24"/>
            </w:rPr>
            <w:t>3.</w:t>
          </w:r>
          <w:r w:rsidR="007324C1">
            <w:rPr>
              <w:rFonts w:ascii="Arial" w:hAnsi="Arial" w:cs="Arial"/>
              <w:sz w:val="24"/>
              <w:szCs w:val="24"/>
            </w:rPr>
            <w:t>41</w:t>
          </w:r>
          <w:r w:rsidRPr="00291CC8">
            <w:rPr>
              <w:rFonts w:ascii="Arial" w:hAnsi="Arial" w:cs="Arial"/>
              <w:sz w:val="24"/>
              <w:szCs w:val="24"/>
            </w:rPr>
            <w:t xml:space="preserve"> </w:t>
          </w:r>
          <w:r>
            <w:rPr>
              <w:rFonts w:ascii="Arial" w:hAnsi="Arial" w:cs="Arial"/>
              <w:sz w:val="24"/>
              <w:szCs w:val="24"/>
            </w:rPr>
            <w:tab/>
          </w:r>
          <w:r w:rsidR="007324C1">
            <w:rPr>
              <w:rFonts w:ascii="Arial" w:hAnsi="Arial" w:cs="Arial"/>
              <w:sz w:val="24"/>
              <w:szCs w:val="24"/>
            </w:rPr>
            <w:t>Semi-structured interview</w:t>
          </w:r>
          <w:r w:rsidRPr="00291CC8">
            <w:rPr>
              <w:rFonts w:ascii="Arial" w:hAnsi="Arial" w:cs="Arial"/>
              <w:sz w:val="24"/>
              <w:szCs w:val="24"/>
            </w:rPr>
            <w:ptab w:relativeTo="margin" w:alignment="right" w:leader="dot"/>
          </w:r>
          <w:r w:rsidR="007324C1">
            <w:rPr>
              <w:rFonts w:ascii="Arial" w:hAnsi="Arial" w:cs="Arial"/>
              <w:sz w:val="24"/>
              <w:szCs w:val="24"/>
            </w:rPr>
            <w:t>21</w:t>
          </w:r>
        </w:p>
        <w:p w14:paraId="1E407F0C" w14:textId="2BF4D04E" w:rsidR="00FC63B7" w:rsidRPr="00291CC8" w:rsidRDefault="00FC63B7" w:rsidP="007324C1">
          <w:pPr>
            <w:pStyle w:val="TOC3"/>
            <w:ind w:left="0" w:firstLine="216"/>
            <w:rPr>
              <w:rFonts w:ascii="Arial" w:hAnsi="Arial" w:cs="Arial"/>
              <w:sz w:val="24"/>
              <w:szCs w:val="24"/>
            </w:rPr>
          </w:pPr>
          <w:r w:rsidRPr="00291CC8">
            <w:rPr>
              <w:rFonts w:ascii="Arial" w:hAnsi="Arial" w:cs="Arial"/>
              <w:sz w:val="24"/>
              <w:szCs w:val="24"/>
            </w:rPr>
            <w:t>3.</w:t>
          </w:r>
          <w:r w:rsidR="007324C1">
            <w:rPr>
              <w:rFonts w:ascii="Arial" w:hAnsi="Arial" w:cs="Arial"/>
              <w:sz w:val="24"/>
              <w:szCs w:val="24"/>
            </w:rPr>
            <w:t>5</w:t>
          </w:r>
          <w:r w:rsidRPr="00291CC8">
            <w:rPr>
              <w:rFonts w:ascii="Arial" w:hAnsi="Arial" w:cs="Arial"/>
              <w:sz w:val="24"/>
              <w:szCs w:val="24"/>
            </w:rPr>
            <w:t xml:space="preserve"> </w:t>
          </w:r>
          <w:r>
            <w:rPr>
              <w:rFonts w:ascii="Arial" w:hAnsi="Arial" w:cs="Arial"/>
              <w:sz w:val="24"/>
              <w:szCs w:val="24"/>
            </w:rPr>
            <w:tab/>
          </w:r>
          <w:r w:rsidRPr="00291CC8">
            <w:rPr>
              <w:rFonts w:ascii="Arial" w:hAnsi="Arial" w:cs="Arial"/>
              <w:sz w:val="24"/>
              <w:szCs w:val="24"/>
            </w:rPr>
            <w:t>Data analysis</w:t>
          </w:r>
          <w:r w:rsidRPr="00291CC8">
            <w:rPr>
              <w:rFonts w:ascii="Arial" w:hAnsi="Arial" w:cs="Arial"/>
              <w:sz w:val="24"/>
              <w:szCs w:val="24"/>
            </w:rPr>
            <w:ptab w:relativeTo="margin" w:alignment="right" w:leader="dot"/>
          </w:r>
          <w:r w:rsidR="007324C1">
            <w:rPr>
              <w:rFonts w:ascii="Arial" w:hAnsi="Arial" w:cs="Arial"/>
              <w:sz w:val="24"/>
              <w:szCs w:val="24"/>
            </w:rPr>
            <w:t>22</w:t>
          </w:r>
        </w:p>
        <w:p w14:paraId="2B56A59C" w14:textId="3F8EE899" w:rsidR="00FC63B7" w:rsidRPr="003E4E0B" w:rsidRDefault="00FC63B7" w:rsidP="00FC63B7">
          <w:pPr>
            <w:pStyle w:val="TOC2"/>
            <w:ind w:left="216"/>
            <w:rPr>
              <w:rFonts w:ascii="Arial" w:hAnsi="Arial" w:cs="Arial"/>
              <w:sz w:val="24"/>
              <w:szCs w:val="24"/>
            </w:rPr>
          </w:pPr>
          <w:r w:rsidRPr="00291CC8">
            <w:rPr>
              <w:rFonts w:ascii="Arial" w:hAnsi="Arial" w:cs="Arial"/>
              <w:sz w:val="24"/>
              <w:szCs w:val="24"/>
            </w:rPr>
            <w:t>3.</w:t>
          </w:r>
          <w:r w:rsidR="007324C1">
            <w:rPr>
              <w:rFonts w:ascii="Arial" w:hAnsi="Arial" w:cs="Arial"/>
              <w:sz w:val="24"/>
              <w:szCs w:val="24"/>
            </w:rPr>
            <w:t>6</w:t>
          </w:r>
          <w:r w:rsidRPr="00291CC8">
            <w:rPr>
              <w:rFonts w:ascii="Arial" w:hAnsi="Arial" w:cs="Arial"/>
              <w:sz w:val="24"/>
              <w:szCs w:val="24"/>
            </w:rPr>
            <w:t xml:space="preserve"> </w:t>
          </w:r>
          <w:r>
            <w:rPr>
              <w:rFonts w:ascii="Arial" w:hAnsi="Arial" w:cs="Arial"/>
              <w:sz w:val="24"/>
              <w:szCs w:val="24"/>
            </w:rPr>
            <w:tab/>
          </w:r>
          <w:r w:rsidRPr="00291CC8">
            <w:rPr>
              <w:rFonts w:ascii="Arial" w:hAnsi="Arial" w:cs="Arial"/>
              <w:sz w:val="24"/>
              <w:szCs w:val="24"/>
            </w:rPr>
            <w:t>Limitati</w:t>
          </w:r>
          <w:r w:rsidRPr="003E4E0B">
            <w:rPr>
              <w:rFonts w:ascii="Arial" w:hAnsi="Arial" w:cs="Arial"/>
              <w:sz w:val="24"/>
              <w:szCs w:val="24"/>
            </w:rPr>
            <w:t>ons</w:t>
          </w:r>
          <w:r w:rsidRPr="003E4E0B">
            <w:rPr>
              <w:rFonts w:ascii="Arial" w:hAnsi="Arial" w:cs="Arial"/>
              <w:sz w:val="24"/>
              <w:szCs w:val="24"/>
            </w:rPr>
            <w:ptab w:relativeTo="margin" w:alignment="right" w:leader="dot"/>
          </w:r>
          <w:r w:rsidR="007324C1">
            <w:rPr>
              <w:rFonts w:ascii="Arial" w:hAnsi="Arial" w:cs="Arial"/>
              <w:sz w:val="24"/>
              <w:szCs w:val="24"/>
            </w:rPr>
            <w:t>23</w:t>
          </w:r>
        </w:p>
        <w:p w14:paraId="361C18A1" w14:textId="08BF4321" w:rsidR="00FC63B7" w:rsidRPr="003E4E0B" w:rsidRDefault="00FC63B7" w:rsidP="00FC63B7">
          <w:pPr>
            <w:pStyle w:val="TOC2"/>
            <w:ind w:left="216"/>
            <w:rPr>
              <w:rFonts w:ascii="Arial" w:hAnsi="Arial" w:cs="Arial"/>
              <w:sz w:val="24"/>
              <w:szCs w:val="24"/>
            </w:rPr>
          </w:pPr>
          <w:r w:rsidRPr="003E4E0B">
            <w:rPr>
              <w:rFonts w:ascii="Arial" w:hAnsi="Arial" w:cs="Arial"/>
              <w:sz w:val="24"/>
              <w:szCs w:val="24"/>
            </w:rPr>
            <w:t>3.</w:t>
          </w:r>
          <w:r w:rsidR="007324C1">
            <w:rPr>
              <w:rFonts w:ascii="Arial" w:hAnsi="Arial" w:cs="Arial"/>
              <w:sz w:val="24"/>
              <w:szCs w:val="24"/>
            </w:rPr>
            <w:t>7</w:t>
          </w:r>
          <w:r w:rsidRPr="003E4E0B">
            <w:rPr>
              <w:rFonts w:ascii="Arial" w:hAnsi="Arial" w:cs="Arial"/>
              <w:sz w:val="24"/>
              <w:szCs w:val="24"/>
            </w:rPr>
            <w:t xml:space="preserve"> </w:t>
          </w:r>
          <w:r w:rsidRPr="003E4E0B">
            <w:rPr>
              <w:rFonts w:ascii="Arial" w:hAnsi="Arial" w:cs="Arial"/>
              <w:sz w:val="24"/>
              <w:szCs w:val="24"/>
            </w:rPr>
            <w:tab/>
            <w:t>Discussion</w:t>
          </w:r>
          <w:r w:rsidRPr="003E4E0B">
            <w:rPr>
              <w:rFonts w:ascii="Arial" w:hAnsi="Arial" w:cs="Arial"/>
              <w:sz w:val="24"/>
              <w:szCs w:val="24"/>
            </w:rPr>
            <w:ptab w:relativeTo="margin" w:alignment="right" w:leader="dot"/>
          </w:r>
          <w:r w:rsidR="007324C1">
            <w:rPr>
              <w:rFonts w:ascii="Arial" w:hAnsi="Arial" w:cs="Arial"/>
              <w:sz w:val="24"/>
              <w:szCs w:val="24"/>
            </w:rPr>
            <w:t>23</w:t>
          </w:r>
        </w:p>
        <w:p w14:paraId="6EE9B2D9" w14:textId="140A3C0C" w:rsidR="00FC63B7" w:rsidRPr="003E4E0B" w:rsidRDefault="00FC63B7" w:rsidP="00FC63B7">
          <w:pPr>
            <w:pStyle w:val="TOC3"/>
            <w:ind w:left="446"/>
            <w:rPr>
              <w:rFonts w:ascii="Arial" w:hAnsi="Arial" w:cs="Arial"/>
              <w:sz w:val="24"/>
              <w:szCs w:val="24"/>
            </w:rPr>
          </w:pPr>
          <w:r w:rsidRPr="003E4E0B">
            <w:rPr>
              <w:rFonts w:ascii="Arial" w:hAnsi="Arial" w:cs="Arial"/>
              <w:sz w:val="24"/>
              <w:szCs w:val="24"/>
            </w:rPr>
            <w:t>3.</w:t>
          </w:r>
          <w:r w:rsidR="007324C1">
            <w:rPr>
              <w:rFonts w:ascii="Arial" w:hAnsi="Arial" w:cs="Arial"/>
              <w:sz w:val="24"/>
              <w:szCs w:val="24"/>
            </w:rPr>
            <w:t>7</w:t>
          </w:r>
          <w:r w:rsidRPr="003E4E0B">
            <w:rPr>
              <w:rFonts w:ascii="Arial" w:hAnsi="Arial" w:cs="Arial"/>
              <w:sz w:val="24"/>
              <w:szCs w:val="24"/>
            </w:rPr>
            <w:t xml:space="preserve">1 </w:t>
          </w:r>
          <w:r w:rsidRPr="003E4E0B">
            <w:rPr>
              <w:rFonts w:ascii="Arial" w:hAnsi="Arial" w:cs="Arial"/>
              <w:sz w:val="24"/>
              <w:szCs w:val="24"/>
            </w:rPr>
            <w:tab/>
            <w:t>Survey</w:t>
          </w:r>
          <w:r w:rsidRPr="003E4E0B">
            <w:rPr>
              <w:rFonts w:ascii="Arial" w:hAnsi="Arial" w:cs="Arial"/>
              <w:sz w:val="24"/>
              <w:szCs w:val="24"/>
            </w:rPr>
            <w:ptab w:relativeTo="margin" w:alignment="right" w:leader="dot"/>
          </w:r>
          <w:r w:rsidR="007324C1">
            <w:rPr>
              <w:rFonts w:ascii="Arial" w:hAnsi="Arial" w:cs="Arial"/>
              <w:sz w:val="24"/>
              <w:szCs w:val="24"/>
            </w:rPr>
            <w:t>23</w:t>
          </w:r>
        </w:p>
        <w:p w14:paraId="167F3149" w14:textId="4159FE89" w:rsidR="00FC63B7" w:rsidRPr="003E4E0B" w:rsidRDefault="00FC63B7" w:rsidP="00FC63B7">
          <w:pPr>
            <w:pStyle w:val="TOC3"/>
            <w:ind w:left="446"/>
            <w:rPr>
              <w:rFonts w:ascii="Arial" w:hAnsi="Arial" w:cs="Arial"/>
              <w:sz w:val="24"/>
              <w:szCs w:val="24"/>
            </w:rPr>
          </w:pPr>
          <w:r w:rsidRPr="003E4E0B">
            <w:rPr>
              <w:rFonts w:ascii="Arial" w:hAnsi="Arial" w:cs="Arial"/>
              <w:sz w:val="24"/>
              <w:szCs w:val="24"/>
            </w:rPr>
            <w:t>3.</w:t>
          </w:r>
          <w:r w:rsidR="007324C1">
            <w:rPr>
              <w:rFonts w:ascii="Arial" w:hAnsi="Arial" w:cs="Arial"/>
              <w:sz w:val="24"/>
              <w:szCs w:val="24"/>
            </w:rPr>
            <w:t>7</w:t>
          </w:r>
          <w:r w:rsidRPr="003E4E0B">
            <w:rPr>
              <w:rFonts w:ascii="Arial" w:hAnsi="Arial" w:cs="Arial"/>
              <w:sz w:val="24"/>
              <w:szCs w:val="24"/>
            </w:rPr>
            <w:t xml:space="preserve">2 </w:t>
          </w:r>
          <w:r w:rsidRPr="003E4E0B">
            <w:rPr>
              <w:rFonts w:ascii="Arial" w:hAnsi="Arial" w:cs="Arial"/>
              <w:sz w:val="24"/>
              <w:szCs w:val="24"/>
            </w:rPr>
            <w:tab/>
            <w:t>Focus groups</w:t>
          </w:r>
          <w:r w:rsidRPr="003E4E0B">
            <w:rPr>
              <w:rFonts w:ascii="Arial" w:hAnsi="Arial" w:cs="Arial"/>
              <w:sz w:val="24"/>
              <w:szCs w:val="24"/>
            </w:rPr>
            <w:ptab w:relativeTo="margin" w:alignment="right" w:leader="dot"/>
          </w:r>
          <w:r w:rsidR="007324C1">
            <w:rPr>
              <w:rFonts w:ascii="Arial" w:hAnsi="Arial" w:cs="Arial"/>
              <w:sz w:val="24"/>
              <w:szCs w:val="24"/>
            </w:rPr>
            <w:t>24</w:t>
          </w:r>
        </w:p>
        <w:p w14:paraId="28927A23" w14:textId="0AAB6872" w:rsidR="00FC63B7" w:rsidRPr="003E4E0B" w:rsidRDefault="00FC63B7" w:rsidP="00FC63B7">
          <w:pPr>
            <w:pStyle w:val="TOC3"/>
            <w:ind w:left="446"/>
            <w:rPr>
              <w:rFonts w:ascii="Arial" w:hAnsi="Arial" w:cs="Arial"/>
              <w:sz w:val="24"/>
              <w:szCs w:val="24"/>
            </w:rPr>
          </w:pPr>
          <w:r w:rsidRPr="003E4E0B">
            <w:rPr>
              <w:rFonts w:ascii="Arial" w:hAnsi="Arial" w:cs="Arial"/>
              <w:sz w:val="24"/>
              <w:szCs w:val="24"/>
            </w:rPr>
            <w:t>3.</w:t>
          </w:r>
          <w:r w:rsidR="007324C1">
            <w:rPr>
              <w:rFonts w:ascii="Arial" w:hAnsi="Arial" w:cs="Arial"/>
              <w:sz w:val="24"/>
              <w:szCs w:val="24"/>
            </w:rPr>
            <w:t>7</w:t>
          </w:r>
          <w:r w:rsidRPr="003E4E0B">
            <w:rPr>
              <w:rFonts w:ascii="Arial" w:hAnsi="Arial" w:cs="Arial"/>
              <w:sz w:val="24"/>
              <w:szCs w:val="24"/>
            </w:rPr>
            <w:t xml:space="preserve">3 </w:t>
          </w:r>
          <w:r w:rsidRPr="003E4E0B">
            <w:rPr>
              <w:rFonts w:ascii="Arial" w:hAnsi="Arial" w:cs="Arial"/>
              <w:sz w:val="24"/>
              <w:szCs w:val="24"/>
            </w:rPr>
            <w:tab/>
            <w:t>Semi-structured interviews</w:t>
          </w:r>
          <w:r w:rsidRPr="003E4E0B">
            <w:rPr>
              <w:rFonts w:ascii="Arial" w:hAnsi="Arial" w:cs="Arial"/>
              <w:sz w:val="24"/>
              <w:szCs w:val="24"/>
            </w:rPr>
            <w:ptab w:relativeTo="margin" w:alignment="right" w:leader="dot"/>
          </w:r>
          <w:r w:rsidR="007324C1">
            <w:rPr>
              <w:rFonts w:ascii="Arial" w:hAnsi="Arial" w:cs="Arial"/>
              <w:sz w:val="24"/>
              <w:szCs w:val="24"/>
            </w:rPr>
            <w:t>24</w:t>
          </w:r>
        </w:p>
        <w:p w14:paraId="3AB8DEE9" w14:textId="77777777" w:rsidR="003A301E" w:rsidRDefault="00FC63B7" w:rsidP="003A301E">
          <w:pPr>
            <w:pStyle w:val="TOC2"/>
            <w:ind w:left="216"/>
            <w:rPr>
              <w:rFonts w:ascii="Arial" w:hAnsi="Arial" w:cs="Arial"/>
              <w:sz w:val="24"/>
              <w:szCs w:val="24"/>
            </w:rPr>
          </w:pPr>
          <w:r w:rsidRPr="003E4E0B">
            <w:rPr>
              <w:rFonts w:ascii="Arial" w:hAnsi="Arial" w:cs="Arial"/>
              <w:sz w:val="24"/>
              <w:szCs w:val="24"/>
            </w:rPr>
            <w:t>3.</w:t>
          </w:r>
          <w:r w:rsidR="007324C1">
            <w:rPr>
              <w:rFonts w:ascii="Arial" w:hAnsi="Arial" w:cs="Arial"/>
              <w:sz w:val="24"/>
              <w:szCs w:val="24"/>
            </w:rPr>
            <w:t>7</w:t>
          </w:r>
          <w:r w:rsidRPr="003E4E0B">
            <w:rPr>
              <w:rFonts w:ascii="Arial" w:hAnsi="Arial" w:cs="Arial"/>
              <w:sz w:val="24"/>
              <w:szCs w:val="24"/>
            </w:rPr>
            <w:t xml:space="preserve">4 </w:t>
          </w:r>
          <w:r w:rsidRPr="003E4E0B">
            <w:rPr>
              <w:rFonts w:ascii="Arial" w:hAnsi="Arial" w:cs="Arial"/>
              <w:sz w:val="24"/>
              <w:szCs w:val="24"/>
            </w:rPr>
            <w:tab/>
            <w:t>Data analysis</w:t>
          </w:r>
          <w:r w:rsidRPr="003E4E0B">
            <w:rPr>
              <w:rFonts w:ascii="Arial" w:hAnsi="Arial" w:cs="Arial"/>
              <w:sz w:val="24"/>
              <w:szCs w:val="24"/>
            </w:rPr>
            <w:ptab w:relativeTo="margin" w:alignment="right" w:leader="dot"/>
          </w:r>
          <w:r w:rsidR="007324C1">
            <w:rPr>
              <w:rFonts w:ascii="Arial" w:hAnsi="Arial" w:cs="Arial"/>
              <w:sz w:val="24"/>
              <w:szCs w:val="24"/>
            </w:rPr>
            <w:t>25</w:t>
          </w:r>
        </w:p>
        <w:p w14:paraId="69C31D66" w14:textId="021A3914" w:rsidR="00CA6FD9" w:rsidRPr="003E4E0B" w:rsidRDefault="003A301E" w:rsidP="003A301E">
          <w:pPr>
            <w:pStyle w:val="TOC2"/>
            <w:ind w:left="216"/>
            <w:rPr>
              <w:rFonts w:ascii="Arial" w:hAnsi="Arial" w:cs="Arial"/>
              <w:sz w:val="24"/>
              <w:szCs w:val="24"/>
            </w:rPr>
          </w:pPr>
          <w:r w:rsidRPr="00291CC8">
            <w:rPr>
              <w:rFonts w:ascii="Arial" w:hAnsi="Arial" w:cs="Arial"/>
              <w:sz w:val="24"/>
              <w:szCs w:val="24"/>
            </w:rPr>
            <w:t>3.</w:t>
          </w:r>
          <w:r>
            <w:rPr>
              <w:rFonts w:ascii="Arial" w:hAnsi="Arial" w:cs="Arial"/>
              <w:sz w:val="24"/>
              <w:szCs w:val="24"/>
            </w:rPr>
            <w:t>8</w:t>
          </w:r>
          <w:r w:rsidRPr="00291CC8">
            <w:rPr>
              <w:rFonts w:ascii="Arial" w:hAnsi="Arial" w:cs="Arial"/>
              <w:sz w:val="24"/>
              <w:szCs w:val="24"/>
            </w:rPr>
            <w:t xml:space="preserve"> </w:t>
          </w:r>
          <w:r>
            <w:rPr>
              <w:rFonts w:ascii="Arial" w:hAnsi="Arial" w:cs="Arial"/>
              <w:sz w:val="24"/>
              <w:szCs w:val="24"/>
            </w:rPr>
            <w:tab/>
            <w:t>Conclusion</w:t>
          </w:r>
          <w:r w:rsidRPr="003E4E0B">
            <w:rPr>
              <w:rFonts w:ascii="Arial" w:hAnsi="Arial" w:cs="Arial"/>
              <w:sz w:val="24"/>
              <w:szCs w:val="24"/>
            </w:rPr>
            <w:ptab w:relativeTo="margin" w:alignment="right" w:leader="dot"/>
          </w:r>
          <w:r>
            <w:rPr>
              <w:rFonts w:ascii="Arial" w:hAnsi="Arial" w:cs="Arial"/>
              <w:sz w:val="24"/>
              <w:szCs w:val="24"/>
            </w:rPr>
            <w:t>26</w:t>
          </w:r>
        </w:p>
        <w:p w14:paraId="08FF893A" w14:textId="11AE9067" w:rsidR="003E4E0B" w:rsidRPr="003E4E0B" w:rsidRDefault="003E4E0B" w:rsidP="00CA6FD9">
          <w:pPr>
            <w:pStyle w:val="TOC2"/>
            <w:ind w:left="216"/>
            <w:rPr>
              <w:rFonts w:ascii="Arial" w:hAnsi="Arial" w:cs="Arial"/>
              <w:sz w:val="24"/>
              <w:szCs w:val="24"/>
            </w:rPr>
          </w:pPr>
        </w:p>
        <w:p w14:paraId="11280F2C" w14:textId="631E0F8D" w:rsidR="003E4E0B" w:rsidRPr="003E4E0B" w:rsidRDefault="003E4E0B" w:rsidP="003E4E0B">
          <w:pPr>
            <w:pStyle w:val="TOC1"/>
            <w:spacing w:line="240" w:lineRule="auto"/>
            <w:rPr>
              <w:rFonts w:ascii="Arial" w:hAnsi="Arial" w:cs="Arial"/>
              <w:sz w:val="24"/>
              <w:szCs w:val="24"/>
            </w:rPr>
          </w:pPr>
          <w:r w:rsidRPr="003E4E0B">
            <w:rPr>
              <w:rFonts w:ascii="Arial" w:hAnsi="Arial" w:cs="Arial"/>
              <w:b/>
              <w:bCs/>
              <w:sz w:val="24"/>
              <w:szCs w:val="24"/>
            </w:rPr>
            <w:lastRenderedPageBreak/>
            <w:t>Chapter 4</w:t>
          </w:r>
          <w:r w:rsidRPr="003E4E0B">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t>Results</w:t>
          </w:r>
          <w:r w:rsidRPr="003E4E0B">
            <w:rPr>
              <w:rFonts w:ascii="Arial" w:hAnsi="Arial" w:cs="Arial"/>
              <w:b/>
              <w:bCs/>
              <w:sz w:val="24"/>
              <w:szCs w:val="24"/>
            </w:rPr>
            <w:tab/>
          </w:r>
          <w:r w:rsidRPr="003E4E0B">
            <w:rPr>
              <w:rFonts w:ascii="Arial" w:hAnsi="Arial" w:cs="Arial"/>
              <w:b/>
              <w:bCs/>
              <w:sz w:val="24"/>
              <w:szCs w:val="24"/>
            </w:rPr>
            <w:tab/>
          </w:r>
          <w:r w:rsidR="006574FC">
            <w:rPr>
              <w:rFonts w:ascii="Arial" w:hAnsi="Arial" w:cs="Arial"/>
              <w:b/>
              <w:bCs/>
              <w:sz w:val="24"/>
              <w:szCs w:val="24"/>
            </w:rPr>
            <w:tab/>
          </w:r>
          <w:r w:rsidR="006574FC">
            <w:rPr>
              <w:rFonts w:ascii="Arial" w:hAnsi="Arial" w:cs="Arial"/>
              <w:b/>
              <w:bCs/>
              <w:sz w:val="24"/>
              <w:szCs w:val="24"/>
            </w:rPr>
            <w:tab/>
          </w:r>
          <w:r w:rsidR="006574FC">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t xml:space="preserve"> </w:t>
          </w:r>
          <w:r w:rsidRPr="003E4E0B">
            <w:rPr>
              <w:rFonts w:ascii="Arial" w:hAnsi="Arial" w:cs="Arial"/>
              <w:sz w:val="24"/>
              <w:szCs w:val="24"/>
            </w:rPr>
            <w:ptab w:relativeTo="margin" w:alignment="right" w:leader="dot"/>
          </w:r>
          <w:r w:rsidRPr="003E4E0B">
            <w:rPr>
              <w:rFonts w:ascii="Arial" w:hAnsi="Arial" w:cs="Arial"/>
              <w:b/>
              <w:bCs/>
              <w:sz w:val="24"/>
              <w:szCs w:val="24"/>
            </w:rPr>
            <w:t>2</w:t>
          </w:r>
          <w:r w:rsidR="006574FC">
            <w:rPr>
              <w:rFonts w:ascii="Arial" w:hAnsi="Arial" w:cs="Arial"/>
              <w:b/>
              <w:bCs/>
              <w:sz w:val="24"/>
              <w:szCs w:val="24"/>
            </w:rPr>
            <w:t>7</w:t>
          </w:r>
        </w:p>
        <w:p w14:paraId="48DABE03" w14:textId="1347860B" w:rsidR="003E4E0B" w:rsidRPr="003E4E0B" w:rsidRDefault="003E4E0B" w:rsidP="003E4E0B">
          <w:pPr>
            <w:pStyle w:val="TOC2"/>
            <w:rPr>
              <w:rFonts w:ascii="Arial" w:hAnsi="Arial" w:cs="Arial"/>
              <w:sz w:val="24"/>
              <w:szCs w:val="24"/>
            </w:rPr>
          </w:pPr>
          <w:r w:rsidRPr="003E4E0B">
            <w:rPr>
              <w:rFonts w:ascii="Arial" w:hAnsi="Arial" w:cs="Arial"/>
              <w:sz w:val="24"/>
              <w:szCs w:val="24"/>
            </w:rPr>
            <w:t>4.1</w:t>
          </w:r>
          <w:r w:rsidRPr="003E4E0B">
            <w:rPr>
              <w:rFonts w:ascii="Arial" w:hAnsi="Arial" w:cs="Arial"/>
              <w:sz w:val="24"/>
              <w:szCs w:val="24"/>
            </w:rPr>
            <w:tab/>
            <w:t>Introduction</w:t>
          </w:r>
          <w:r w:rsidRPr="003E4E0B">
            <w:rPr>
              <w:rFonts w:ascii="Arial" w:hAnsi="Arial" w:cs="Arial"/>
              <w:sz w:val="24"/>
              <w:szCs w:val="24"/>
            </w:rPr>
            <w:ptab w:relativeTo="margin" w:alignment="right" w:leader="dot"/>
          </w:r>
          <w:r w:rsidRPr="003E4E0B">
            <w:rPr>
              <w:rFonts w:ascii="Arial" w:hAnsi="Arial" w:cs="Arial"/>
              <w:sz w:val="24"/>
              <w:szCs w:val="24"/>
            </w:rPr>
            <w:t>2</w:t>
          </w:r>
          <w:r w:rsidR="006574FC">
            <w:rPr>
              <w:rFonts w:ascii="Arial" w:hAnsi="Arial" w:cs="Arial"/>
              <w:sz w:val="24"/>
              <w:szCs w:val="24"/>
            </w:rPr>
            <w:t>7</w:t>
          </w:r>
        </w:p>
        <w:p w14:paraId="0AB84752" w14:textId="39EE041A" w:rsidR="003E4E0B" w:rsidRPr="003E4E0B" w:rsidRDefault="003E4E0B" w:rsidP="003E4E0B">
          <w:pPr>
            <w:pStyle w:val="TOC2"/>
            <w:rPr>
              <w:rFonts w:ascii="Arial" w:hAnsi="Arial" w:cs="Arial"/>
              <w:sz w:val="24"/>
              <w:szCs w:val="24"/>
            </w:rPr>
          </w:pPr>
          <w:r w:rsidRPr="003E4E0B">
            <w:rPr>
              <w:rFonts w:ascii="Arial" w:hAnsi="Arial" w:cs="Arial"/>
              <w:sz w:val="24"/>
              <w:szCs w:val="24"/>
            </w:rPr>
            <w:t xml:space="preserve">4.2 </w:t>
          </w:r>
          <w:r w:rsidRPr="003E4E0B">
            <w:rPr>
              <w:rFonts w:ascii="Arial" w:hAnsi="Arial" w:cs="Arial"/>
              <w:sz w:val="24"/>
              <w:szCs w:val="24"/>
            </w:rPr>
            <w:tab/>
            <w:t>Mortality data</w:t>
          </w:r>
          <w:r w:rsidRPr="003E4E0B">
            <w:rPr>
              <w:rFonts w:ascii="Arial" w:hAnsi="Arial" w:cs="Arial"/>
              <w:sz w:val="24"/>
              <w:szCs w:val="24"/>
            </w:rPr>
            <w:ptab w:relativeTo="margin" w:alignment="right" w:leader="dot"/>
          </w:r>
          <w:r w:rsidRPr="003E4E0B">
            <w:rPr>
              <w:rFonts w:ascii="Arial" w:hAnsi="Arial" w:cs="Arial"/>
              <w:sz w:val="24"/>
              <w:szCs w:val="24"/>
            </w:rPr>
            <w:t>2</w:t>
          </w:r>
          <w:r w:rsidR="006574FC">
            <w:rPr>
              <w:rFonts w:ascii="Arial" w:hAnsi="Arial" w:cs="Arial"/>
              <w:sz w:val="24"/>
              <w:szCs w:val="24"/>
            </w:rPr>
            <w:t>7</w:t>
          </w:r>
        </w:p>
        <w:p w14:paraId="5A94BA2D" w14:textId="2DFACFD7" w:rsidR="003E4E0B" w:rsidRPr="003E4E0B" w:rsidRDefault="003E4E0B" w:rsidP="003E4E0B">
          <w:pPr>
            <w:pStyle w:val="TOC2"/>
            <w:rPr>
              <w:rFonts w:ascii="Arial" w:hAnsi="Arial" w:cs="Arial"/>
              <w:sz w:val="24"/>
              <w:szCs w:val="24"/>
            </w:rPr>
          </w:pPr>
          <w:r w:rsidRPr="003E4E0B">
            <w:rPr>
              <w:rFonts w:ascii="Arial" w:hAnsi="Arial" w:cs="Arial"/>
              <w:sz w:val="24"/>
              <w:szCs w:val="24"/>
            </w:rPr>
            <w:t>4.3</w:t>
          </w:r>
          <w:r w:rsidRPr="003E4E0B">
            <w:rPr>
              <w:rFonts w:ascii="Arial" w:hAnsi="Arial" w:cs="Arial"/>
              <w:sz w:val="24"/>
              <w:szCs w:val="24"/>
            </w:rPr>
            <w:tab/>
            <w:t>Perspectives on feasibility</w:t>
          </w:r>
          <w:r w:rsidRPr="003E4E0B">
            <w:rPr>
              <w:rFonts w:ascii="Arial" w:hAnsi="Arial" w:cs="Arial"/>
              <w:sz w:val="24"/>
              <w:szCs w:val="24"/>
            </w:rPr>
            <w:ptab w:relativeTo="margin" w:alignment="right" w:leader="dot"/>
          </w:r>
          <w:r w:rsidR="006574FC">
            <w:rPr>
              <w:rFonts w:ascii="Arial" w:hAnsi="Arial" w:cs="Arial"/>
              <w:sz w:val="24"/>
              <w:szCs w:val="24"/>
            </w:rPr>
            <w:t>29</w:t>
          </w:r>
        </w:p>
        <w:p w14:paraId="5AF64C4E" w14:textId="655B4C1C" w:rsidR="003E4E0B" w:rsidRPr="003E4E0B" w:rsidRDefault="003E4E0B" w:rsidP="003E4E0B">
          <w:pPr>
            <w:pStyle w:val="TOC2"/>
            <w:ind w:left="216"/>
            <w:rPr>
              <w:rFonts w:ascii="Arial" w:hAnsi="Arial" w:cs="Arial"/>
              <w:strike/>
              <w:sz w:val="24"/>
              <w:szCs w:val="24"/>
            </w:rPr>
          </w:pPr>
          <w:r w:rsidRPr="003E4E0B">
            <w:rPr>
              <w:rFonts w:ascii="Arial" w:hAnsi="Arial" w:cs="Arial"/>
              <w:sz w:val="24"/>
              <w:szCs w:val="24"/>
            </w:rPr>
            <w:t>4.4</w:t>
          </w:r>
          <w:r w:rsidRPr="003E4E0B">
            <w:rPr>
              <w:rFonts w:ascii="Arial" w:hAnsi="Arial" w:cs="Arial"/>
              <w:sz w:val="24"/>
              <w:szCs w:val="24"/>
            </w:rPr>
            <w:tab/>
            <w:t>Conclusion</w:t>
          </w:r>
          <w:r w:rsidRPr="003E4E0B">
            <w:rPr>
              <w:rFonts w:ascii="Arial" w:hAnsi="Arial" w:cs="Arial"/>
              <w:sz w:val="24"/>
              <w:szCs w:val="24"/>
            </w:rPr>
            <w:ptab w:relativeTo="margin" w:alignment="right" w:leader="dot"/>
          </w:r>
          <w:r w:rsidR="006574FC">
            <w:rPr>
              <w:rFonts w:ascii="Arial" w:hAnsi="Arial" w:cs="Arial"/>
              <w:sz w:val="24"/>
              <w:szCs w:val="24"/>
            </w:rPr>
            <w:t>30</w:t>
          </w:r>
        </w:p>
        <w:p w14:paraId="259043A7" w14:textId="77777777" w:rsidR="003E4E0B" w:rsidRDefault="003E4E0B" w:rsidP="00CA6FD9">
          <w:pPr>
            <w:rPr>
              <w:rFonts w:ascii="Arial" w:hAnsi="Arial" w:cs="Arial"/>
              <w:sz w:val="24"/>
              <w:szCs w:val="24"/>
            </w:rPr>
          </w:pPr>
        </w:p>
        <w:p w14:paraId="0D037EDC" w14:textId="409FB063" w:rsidR="003E4E0B" w:rsidRPr="003E4E0B" w:rsidRDefault="003E4E0B" w:rsidP="003E4E0B">
          <w:pPr>
            <w:pStyle w:val="TOC1"/>
            <w:spacing w:line="240" w:lineRule="auto"/>
            <w:rPr>
              <w:rFonts w:ascii="Arial" w:hAnsi="Arial" w:cs="Arial"/>
              <w:sz w:val="24"/>
              <w:szCs w:val="24"/>
            </w:rPr>
          </w:pPr>
          <w:r w:rsidRPr="003E4E0B">
            <w:rPr>
              <w:rFonts w:ascii="Arial" w:hAnsi="Arial" w:cs="Arial"/>
              <w:b/>
              <w:bCs/>
              <w:sz w:val="24"/>
              <w:szCs w:val="24"/>
            </w:rPr>
            <w:t>Chapter 5</w:t>
          </w:r>
          <w:r w:rsidRPr="003E4E0B">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t>Discussion</w:t>
          </w:r>
          <w:r w:rsidRPr="003E4E0B">
            <w:rPr>
              <w:rFonts w:ascii="Arial" w:hAnsi="Arial" w:cs="Arial"/>
              <w:b/>
              <w:bCs/>
              <w:sz w:val="24"/>
              <w:szCs w:val="24"/>
            </w:rPr>
            <w:tab/>
          </w:r>
          <w:r w:rsidRPr="003E4E0B">
            <w:rPr>
              <w:rFonts w:ascii="Arial" w:hAnsi="Arial" w:cs="Arial"/>
              <w:b/>
              <w:bCs/>
              <w:sz w:val="24"/>
              <w:szCs w:val="24"/>
            </w:rPr>
            <w:tab/>
          </w:r>
          <w:r w:rsidR="006574FC">
            <w:rPr>
              <w:rFonts w:ascii="Arial" w:hAnsi="Arial" w:cs="Arial"/>
              <w:b/>
              <w:bCs/>
              <w:sz w:val="24"/>
              <w:szCs w:val="24"/>
            </w:rPr>
            <w:tab/>
          </w:r>
          <w:r w:rsidR="006574FC">
            <w:rPr>
              <w:rFonts w:ascii="Arial" w:hAnsi="Arial" w:cs="Arial"/>
              <w:b/>
              <w:bCs/>
              <w:sz w:val="24"/>
              <w:szCs w:val="24"/>
            </w:rPr>
            <w:tab/>
          </w:r>
          <w:r w:rsidR="006574FC">
            <w:rPr>
              <w:rFonts w:ascii="Arial" w:hAnsi="Arial" w:cs="Arial"/>
              <w:b/>
              <w:bCs/>
              <w:sz w:val="24"/>
              <w:szCs w:val="24"/>
            </w:rPr>
            <w:tab/>
            <w:t xml:space="preserve">        </w:t>
          </w:r>
          <w:r w:rsidRPr="003E4E0B">
            <w:rPr>
              <w:rFonts w:ascii="Arial" w:hAnsi="Arial" w:cs="Arial"/>
              <w:b/>
              <w:bCs/>
              <w:sz w:val="24"/>
              <w:szCs w:val="24"/>
            </w:rPr>
            <w:tab/>
            <w:t xml:space="preserve">   </w:t>
          </w:r>
          <w:r w:rsidR="006574FC">
            <w:rPr>
              <w:rFonts w:ascii="Arial" w:hAnsi="Arial" w:cs="Arial"/>
              <w:b/>
              <w:bCs/>
              <w:sz w:val="24"/>
              <w:szCs w:val="24"/>
            </w:rPr>
            <w:t xml:space="preserve">        </w:t>
          </w:r>
          <w:r w:rsidRPr="003E4E0B">
            <w:rPr>
              <w:rFonts w:ascii="Arial" w:hAnsi="Arial" w:cs="Arial"/>
              <w:sz w:val="24"/>
              <w:szCs w:val="24"/>
            </w:rPr>
            <w:ptab w:relativeTo="margin" w:alignment="right" w:leader="dot"/>
          </w:r>
          <w:r w:rsidR="006574FC">
            <w:rPr>
              <w:rFonts w:ascii="Arial" w:hAnsi="Arial" w:cs="Arial"/>
              <w:sz w:val="24"/>
              <w:szCs w:val="24"/>
            </w:rPr>
            <w:t xml:space="preserve"> 31</w:t>
          </w:r>
        </w:p>
        <w:p w14:paraId="5A2682A1" w14:textId="7FFD9242" w:rsidR="003E4E0B" w:rsidRPr="003E4E0B" w:rsidRDefault="003E4E0B" w:rsidP="003E4E0B">
          <w:pPr>
            <w:pStyle w:val="TOC2"/>
            <w:rPr>
              <w:rFonts w:ascii="Arial" w:hAnsi="Arial" w:cs="Arial"/>
              <w:sz w:val="24"/>
              <w:szCs w:val="24"/>
            </w:rPr>
          </w:pPr>
          <w:r w:rsidRPr="003E4E0B">
            <w:rPr>
              <w:rFonts w:ascii="Arial" w:hAnsi="Arial" w:cs="Arial"/>
              <w:sz w:val="24"/>
              <w:szCs w:val="24"/>
            </w:rPr>
            <w:t>5.1</w:t>
          </w:r>
          <w:r w:rsidRPr="003E4E0B">
            <w:rPr>
              <w:rFonts w:ascii="Arial" w:hAnsi="Arial" w:cs="Arial"/>
              <w:sz w:val="24"/>
              <w:szCs w:val="24"/>
            </w:rPr>
            <w:tab/>
            <w:t>Introduction</w:t>
          </w:r>
          <w:r w:rsidRPr="003E4E0B">
            <w:rPr>
              <w:rFonts w:ascii="Arial" w:hAnsi="Arial" w:cs="Arial"/>
              <w:sz w:val="24"/>
              <w:szCs w:val="24"/>
            </w:rPr>
            <w:ptab w:relativeTo="margin" w:alignment="right" w:leader="dot"/>
          </w:r>
          <w:r w:rsidR="003A301E">
            <w:rPr>
              <w:rFonts w:ascii="Arial" w:hAnsi="Arial" w:cs="Arial"/>
              <w:sz w:val="24"/>
              <w:szCs w:val="24"/>
            </w:rPr>
            <w:t>31</w:t>
          </w:r>
        </w:p>
        <w:p w14:paraId="126E49FC" w14:textId="1009B5A7" w:rsidR="003E4E0B" w:rsidRPr="003E4E0B" w:rsidRDefault="003E4E0B" w:rsidP="003E4E0B">
          <w:pPr>
            <w:pStyle w:val="TOC2"/>
            <w:rPr>
              <w:rFonts w:ascii="Arial" w:hAnsi="Arial" w:cs="Arial"/>
              <w:sz w:val="24"/>
              <w:szCs w:val="24"/>
            </w:rPr>
          </w:pPr>
          <w:r w:rsidRPr="003E4E0B">
            <w:rPr>
              <w:rFonts w:ascii="Arial" w:hAnsi="Arial" w:cs="Arial"/>
              <w:sz w:val="24"/>
              <w:szCs w:val="24"/>
            </w:rPr>
            <w:t xml:space="preserve">5.2 </w:t>
          </w:r>
          <w:r w:rsidRPr="003E4E0B">
            <w:rPr>
              <w:rFonts w:ascii="Arial" w:hAnsi="Arial" w:cs="Arial"/>
              <w:sz w:val="24"/>
              <w:szCs w:val="24"/>
            </w:rPr>
            <w:tab/>
          </w:r>
          <w:r w:rsidR="003A301E">
            <w:rPr>
              <w:rFonts w:ascii="Arial" w:hAnsi="Arial" w:cs="Arial"/>
              <w:sz w:val="24"/>
              <w:szCs w:val="24"/>
            </w:rPr>
            <w:t>Interpretation of subjective and objective insight</w:t>
          </w:r>
          <w:r w:rsidRPr="003E4E0B">
            <w:rPr>
              <w:rFonts w:ascii="Arial" w:hAnsi="Arial" w:cs="Arial"/>
              <w:sz w:val="24"/>
              <w:szCs w:val="24"/>
            </w:rPr>
            <w:t>s</w:t>
          </w:r>
          <w:r w:rsidRPr="003E4E0B">
            <w:rPr>
              <w:rFonts w:ascii="Arial" w:hAnsi="Arial" w:cs="Arial"/>
              <w:sz w:val="24"/>
              <w:szCs w:val="24"/>
            </w:rPr>
            <w:ptab w:relativeTo="margin" w:alignment="right" w:leader="dot"/>
          </w:r>
          <w:r w:rsidR="003A301E">
            <w:rPr>
              <w:rFonts w:ascii="Arial" w:hAnsi="Arial" w:cs="Arial"/>
              <w:sz w:val="24"/>
              <w:szCs w:val="24"/>
            </w:rPr>
            <w:t>31</w:t>
          </w:r>
        </w:p>
        <w:p w14:paraId="2C1906D0" w14:textId="6379894B" w:rsidR="003E4E0B" w:rsidRPr="003E4E0B" w:rsidRDefault="003E4E0B" w:rsidP="003E4E0B">
          <w:pPr>
            <w:pStyle w:val="TOC2"/>
            <w:rPr>
              <w:rFonts w:ascii="Arial" w:hAnsi="Arial" w:cs="Arial"/>
              <w:sz w:val="24"/>
              <w:szCs w:val="24"/>
            </w:rPr>
          </w:pPr>
          <w:r w:rsidRPr="003E4E0B">
            <w:rPr>
              <w:rFonts w:ascii="Arial" w:hAnsi="Arial" w:cs="Arial"/>
              <w:sz w:val="24"/>
              <w:szCs w:val="24"/>
            </w:rPr>
            <w:t>5.3</w:t>
          </w:r>
          <w:r w:rsidRPr="003E4E0B">
            <w:rPr>
              <w:rFonts w:ascii="Arial" w:hAnsi="Arial" w:cs="Arial"/>
              <w:sz w:val="24"/>
              <w:szCs w:val="24"/>
            </w:rPr>
            <w:tab/>
          </w:r>
          <w:r w:rsidR="003A301E">
            <w:rPr>
              <w:rFonts w:ascii="Arial" w:hAnsi="Arial" w:cs="Arial"/>
              <w:sz w:val="24"/>
              <w:szCs w:val="24"/>
            </w:rPr>
            <w:t>Framework for discussion</w:t>
          </w:r>
          <w:r w:rsidRPr="003E4E0B">
            <w:rPr>
              <w:rFonts w:ascii="Arial" w:hAnsi="Arial" w:cs="Arial"/>
              <w:sz w:val="24"/>
              <w:szCs w:val="24"/>
            </w:rPr>
            <w:ptab w:relativeTo="margin" w:alignment="right" w:leader="dot"/>
          </w:r>
          <w:r w:rsidR="003A301E">
            <w:rPr>
              <w:rFonts w:ascii="Arial" w:hAnsi="Arial" w:cs="Arial"/>
              <w:sz w:val="24"/>
              <w:szCs w:val="24"/>
            </w:rPr>
            <w:t>32</w:t>
          </w:r>
        </w:p>
        <w:p w14:paraId="5727313A" w14:textId="3199F3FD" w:rsidR="003E4E0B" w:rsidRPr="003E4E0B" w:rsidRDefault="003E4E0B" w:rsidP="003E4E0B">
          <w:pPr>
            <w:pStyle w:val="TOC2"/>
            <w:rPr>
              <w:rFonts w:ascii="Arial" w:hAnsi="Arial" w:cs="Arial"/>
              <w:sz w:val="24"/>
              <w:szCs w:val="24"/>
            </w:rPr>
          </w:pPr>
          <w:r w:rsidRPr="003E4E0B">
            <w:rPr>
              <w:rFonts w:ascii="Arial" w:hAnsi="Arial" w:cs="Arial"/>
              <w:sz w:val="24"/>
              <w:szCs w:val="24"/>
            </w:rPr>
            <w:t>5.4</w:t>
          </w:r>
          <w:r w:rsidRPr="003E4E0B">
            <w:rPr>
              <w:rFonts w:ascii="Arial" w:hAnsi="Arial" w:cs="Arial"/>
              <w:sz w:val="24"/>
              <w:szCs w:val="24"/>
            </w:rPr>
            <w:tab/>
            <w:t>Discussion, looking backwards</w:t>
          </w:r>
          <w:r w:rsidRPr="003E4E0B">
            <w:rPr>
              <w:rFonts w:ascii="Arial" w:hAnsi="Arial" w:cs="Arial"/>
              <w:sz w:val="24"/>
              <w:szCs w:val="24"/>
            </w:rPr>
            <w:ptab w:relativeTo="margin" w:alignment="right" w:leader="dot"/>
          </w:r>
          <w:r w:rsidR="003A301E">
            <w:rPr>
              <w:rFonts w:ascii="Arial" w:hAnsi="Arial" w:cs="Arial"/>
              <w:sz w:val="24"/>
              <w:szCs w:val="24"/>
            </w:rPr>
            <w:t>32</w:t>
          </w:r>
        </w:p>
        <w:p w14:paraId="15986BD8" w14:textId="412913B8" w:rsidR="003E4E0B" w:rsidRPr="003E4E0B" w:rsidRDefault="003E4E0B" w:rsidP="003E4E0B">
          <w:pPr>
            <w:pStyle w:val="TOC2"/>
            <w:rPr>
              <w:rFonts w:ascii="Arial" w:hAnsi="Arial" w:cs="Arial"/>
              <w:sz w:val="24"/>
              <w:szCs w:val="24"/>
            </w:rPr>
          </w:pPr>
          <w:r w:rsidRPr="003E4E0B">
            <w:rPr>
              <w:rFonts w:ascii="Arial" w:hAnsi="Arial" w:cs="Arial"/>
              <w:sz w:val="24"/>
              <w:szCs w:val="24"/>
            </w:rPr>
            <w:t>5.5</w:t>
          </w:r>
          <w:r w:rsidRPr="003E4E0B">
            <w:rPr>
              <w:rFonts w:ascii="Arial" w:hAnsi="Arial" w:cs="Arial"/>
              <w:sz w:val="24"/>
              <w:szCs w:val="24"/>
            </w:rPr>
            <w:tab/>
            <w:t>Discussion, looking forwards</w:t>
          </w:r>
          <w:r w:rsidRPr="003E4E0B">
            <w:rPr>
              <w:rFonts w:ascii="Arial" w:hAnsi="Arial" w:cs="Arial"/>
              <w:sz w:val="24"/>
              <w:szCs w:val="24"/>
            </w:rPr>
            <w:ptab w:relativeTo="margin" w:alignment="right" w:leader="dot"/>
          </w:r>
          <w:r w:rsidR="003A301E">
            <w:rPr>
              <w:rFonts w:ascii="Arial" w:hAnsi="Arial" w:cs="Arial"/>
              <w:sz w:val="24"/>
              <w:szCs w:val="24"/>
            </w:rPr>
            <w:t>34</w:t>
          </w:r>
        </w:p>
        <w:p w14:paraId="136DF4EB" w14:textId="7FED6F97" w:rsidR="003E4E0B" w:rsidRPr="003E4E0B" w:rsidRDefault="003E4E0B" w:rsidP="003E4E0B">
          <w:pPr>
            <w:pStyle w:val="TOC3"/>
            <w:spacing w:line="240" w:lineRule="auto"/>
            <w:ind w:left="446"/>
            <w:rPr>
              <w:rFonts w:ascii="Arial" w:hAnsi="Arial" w:cs="Arial"/>
              <w:sz w:val="24"/>
              <w:szCs w:val="24"/>
            </w:rPr>
          </w:pPr>
          <w:r w:rsidRPr="003E4E0B">
            <w:rPr>
              <w:rFonts w:ascii="Arial" w:hAnsi="Arial" w:cs="Arial"/>
              <w:sz w:val="24"/>
              <w:szCs w:val="24"/>
            </w:rPr>
            <w:t>5.51</w:t>
          </w:r>
          <w:r w:rsidRPr="003E4E0B">
            <w:rPr>
              <w:rFonts w:ascii="Arial" w:hAnsi="Arial" w:cs="Arial"/>
              <w:sz w:val="24"/>
              <w:szCs w:val="24"/>
            </w:rPr>
            <w:tab/>
            <w:t>Utility</w:t>
          </w:r>
          <w:r w:rsidRPr="003E4E0B">
            <w:rPr>
              <w:rFonts w:ascii="Arial" w:hAnsi="Arial" w:cs="Arial"/>
              <w:sz w:val="24"/>
              <w:szCs w:val="24"/>
            </w:rPr>
            <w:ptab w:relativeTo="margin" w:alignment="right" w:leader="dot"/>
          </w:r>
          <w:r w:rsidR="003A301E">
            <w:rPr>
              <w:rFonts w:ascii="Arial" w:hAnsi="Arial" w:cs="Arial"/>
              <w:sz w:val="24"/>
              <w:szCs w:val="24"/>
            </w:rPr>
            <w:t>35</w:t>
          </w:r>
        </w:p>
        <w:p w14:paraId="7C599EBA" w14:textId="69544329" w:rsidR="003E4E0B" w:rsidRPr="003E4E0B" w:rsidRDefault="003E4E0B" w:rsidP="003E4E0B">
          <w:pPr>
            <w:pStyle w:val="TOC3"/>
            <w:spacing w:line="240" w:lineRule="auto"/>
            <w:ind w:left="446"/>
            <w:rPr>
              <w:rFonts w:ascii="Arial" w:hAnsi="Arial" w:cs="Arial"/>
              <w:sz w:val="24"/>
              <w:szCs w:val="24"/>
            </w:rPr>
          </w:pPr>
          <w:r w:rsidRPr="003E4E0B">
            <w:rPr>
              <w:rFonts w:ascii="Arial" w:hAnsi="Arial" w:cs="Arial"/>
              <w:sz w:val="24"/>
              <w:szCs w:val="24"/>
            </w:rPr>
            <w:t xml:space="preserve">5.52 </w:t>
          </w:r>
          <w:r w:rsidRPr="003E4E0B">
            <w:rPr>
              <w:rFonts w:ascii="Arial" w:hAnsi="Arial" w:cs="Arial"/>
              <w:sz w:val="24"/>
              <w:szCs w:val="24"/>
            </w:rPr>
            <w:tab/>
            <w:t>Medical complexity</w:t>
          </w:r>
          <w:r w:rsidRPr="003E4E0B">
            <w:rPr>
              <w:rFonts w:ascii="Arial" w:hAnsi="Arial" w:cs="Arial"/>
              <w:sz w:val="24"/>
              <w:szCs w:val="24"/>
            </w:rPr>
            <w:ptab w:relativeTo="margin" w:alignment="right" w:leader="dot"/>
          </w:r>
          <w:r w:rsidR="003A301E">
            <w:rPr>
              <w:rFonts w:ascii="Arial" w:hAnsi="Arial" w:cs="Arial"/>
              <w:sz w:val="24"/>
              <w:szCs w:val="24"/>
            </w:rPr>
            <w:t>36</w:t>
          </w:r>
        </w:p>
        <w:p w14:paraId="152B5117" w14:textId="67702E07" w:rsidR="003E4E0B" w:rsidRPr="003E4E0B" w:rsidRDefault="003E4E0B" w:rsidP="003E4E0B">
          <w:pPr>
            <w:pStyle w:val="TOC3"/>
            <w:spacing w:line="240" w:lineRule="auto"/>
            <w:ind w:left="446"/>
            <w:rPr>
              <w:rFonts w:ascii="Arial" w:hAnsi="Arial" w:cs="Arial"/>
              <w:sz w:val="24"/>
              <w:szCs w:val="24"/>
            </w:rPr>
          </w:pPr>
          <w:r w:rsidRPr="003E4E0B">
            <w:rPr>
              <w:rFonts w:ascii="Arial" w:hAnsi="Arial" w:cs="Arial"/>
              <w:sz w:val="24"/>
              <w:szCs w:val="24"/>
            </w:rPr>
            <w:t xml:space="preserve">5.53 </w:t>
          </w:r>
          <w:r w:rsidRPr="003E4E0B">
            <w:rPr>
              <w:rFonts w:ascii="Arial" w:hAnsi="Arial" w:cs="Arial"/>
              <w:sz w:val="24"/>
              <w:szCs w:val="24"/>
            </w:rPr>
            <w:tab/>
            <w:t>Self-preservation</w:t>
          </w:r>
          <w:r w:rsidRPr="003E4E0B">
            <w:rPr>
              <w:rFonts w:ascii="Arial" w:hAnsi="Arial" w:cs="Arial"/>
              <w:sz w:val="24"/>
              <w:szCs w:val="24"/>
            </w:rPr>
            <w:ptab w:relativeTo="margin" w:alignment="right" w:leader="dot"/>
          </w:r>
          <w:r w:rsidR="003A301E">
            <w:rPr>
              <w:rFonts w:ascii="Arial" w:hAnsi="Arial" w:cs="Arial"/>
              <w:sz w:val="24"/>
              <w:szCs w:val="24"/>
            </w:rPr>
            <w:t>37</w:t>
          </w:r>
        </w:p>
        <w:p w14:paraId="39D29B39" w14:textId="63DDCD9C" w:rsidR="003E4E0B" w:rsidRPr="003E4E0B" w:rsidRDefault="003E4E0B" w:rsidP="003E4E0B">
          <w:pPr>
            <w:pStyle w:val="TOC3"/>
            <w:spacing w:line="240" w:lineRule="auto"/>
            <w:ind w:left="446"/>
            <w:rPr>
              <w:rFonts w:ascii="Arial" w:hAnsi="Arial" w:cs="Arial"/>
              <w:sz w:val="24"/>
              <w:szCs w:val="24"/>
            </w:rPr>
          </w:pPr>
          <w:r w:rsidRPr="003E4E0B">
            <w:rPr>
              <w:rFonts w:ascii="Arial" w:hAnsi="Arial" w:cs="Arial"/>
              <w:sz w:val="24"/>
              <w:szCs w:val="24"/>
            </w:rPr>
            <w:t xml:space="preserve">5.54 </w:t>
          </w:r>
          <w:r w:rsidRPr="003E4E0B">
            <w:rPr>
              <w:rFonts w:ascii="Arial" w:hAnsi="Arial" w:cs="Arial"/>
              <w:sz w:val="24"/>
              <w:szCs w:val="24"/>
            </w:rPr>
            <w:tab/>
            <w:t>Terminally Ill Adults (End of Life) Bill</w:t>
          </w:r>
          <w:r w:rsidRPr="003E4E0B">
            <w:rPr>
              <w:rFonts w:ascii="Arial" w:hAnsi="Arial" w:cs="Arial"/>
              <w:sz w:val="24"/>
              <w:szCs w:val="24"/>
            </w:rPr>
            <w:ptab w:relativeTo="margin" w:alignment="right" w:leader="dot"/>
          </w:r>
          <w:r w:rsidR="003A301E">
            <w:rPr>
              <w:rFonts w:ascii="Arial" w:hAnsi="Arial" w:cs="Arial"/>
              <w:sz w:val="24"/>
              <w:szCs w:val="24"/>
            </w:rPr>
            <w:t>38</w:t>
          </w:r>
        </w:p>
        <w:p w14:paraId="5F99B891" w14:textId="4A8177CD" w:rsidR="003E4E0B" w:rsidRPr="003E4E0B" w:rsidRDefault="003E4E0B" w:rsidP="003E4E0B">
          <w:pPr>
            <w:pStyle w:val="TOC3"/>
            <w:spacing w:line="240" w:lineRule="auto"/>
            <w:ind w:left="446"/>
            <w:rPr>
              <w:rFonts w:ascii="Arial" w:hAnsi="Arial" w:cs="Arial"/>
              <w:sz w:val="24"/>
              <w:szCs w:val="24"/>
            </w:rPr>
          </w:pPr>
          <w:r w:rsidRPr="003E4E0B">
            <w:rPr>
              <w:rFonts w:ascii="Arial" w:hAnsi="Arial" w:cs="Arial"/>
              <w:sz w:val="24"/>
              <w:szCs w:val="24"/>
            </w:rPr>
            <w:t xml:space="preserve">5.55 </w:t>
          </w:r>
          <w:r w:rsidRPr="003E4E0B">
            <w:rPr>
              <w:rFonts w:ascii="Arial" w:hAnsi="Arial" w:cs="Arial"/>
              <w:sz w:val="24"/>
              <w:szCs w:val="24"/>
            </w:rPr>
            <w:tab/>
            <w:t>Ethical dilemmas</w:t>
          </w:r>
          <w:r w:rsidRPr="003E4E0B">
            <w:rPr>
              <w:rFonts w:ascii="Arial" w:hAnsi="Arial" w:cs="Arial"/>
              <w:sz w:val="24"/>
              <w:szCs w:val="24"/>
            </w:rPr>
            <w:ptab w:relativeTo="margin" w:alignment="right" w:leader="dot"/>
          </w:r>
          <w:r w:rsidR="003A301E">
            <w:rPr>
              <w:rFonts w:ascii="Arial" w:hAnsi="Arial" w:cs="Arial"/>
              <w:sz w:val="24"/>
              <w:szCs w:val="24"/>
            </w:rPr>
            <w:t>39</w:t>
          </w:r>
        </w:p>
        <w:p w14:paraId="1A2FC6D9" w14:textId="77777777" w:rsidR="003A301E" w:rsidRDefault="003E4E0B" w:rsidP="003A301E">
          <w:pPr>
            <w:pStyle w:val="TOC2"/>
            <w:rPr>
              <w:rFonts w:ascii="Arial" w:hAnsi="Arial" w:cs="Arial"/>
              <w:sz w:val="24"/>
              <w:szCs w:val="24"/>
            </w:rPr>
          </w:pPr>
          <w:r w:rsidRPr="003E4E0B">
            <w:rPr>
              <w:rFonts w:ascii="Arial" w:hAnsi="Arial" w:cs="Arial"/>
              <w:sz w:val="24"/>
              <w:szCs w:val="24"/>
            </w:rPr>
            <w:t xml:space="preserve">5.6 </w:t>
          </w:r>
          <w:r w:rsidRPr="003E4E0B">
            <w:rPr>
              <w:rFonts w:ascii="Arial" w:hAnsi="Arial" w:cs="Arial"/>
              <w:sz w:val="24"/>
              <w:szCs w:val="24"/>
            </w:rPr>
            <w:tab/>
            <w:t>Limitations</w:t>
          </w:r>
          <w:r w:rsidRPr="003E4E0B">
            <w:rPr>
              <w:rFonts w:ascii="Arial" w:hAnsi="Arial" w:cs="Arial"/>
              <w:sz w:val="24"/>
              <w:szCs w:val="24"/>
            </w:rPr>
            <w:ptab w:relativeTo="margin" w:alignment="right" w:leader="dot"/>
          </w:r>
          <w:r w:rsidR="003A301E">
            <w:rPr>
              <w:rFonts w:ascii="Arial" w:hAnsi="Arial" w:cs="Arial"/>
              <w:sz w:val="24"/>
              <w:szCs w:val="24"/>
            </w:rPr>
            <w:t>41</w:t>
          </w:r>
        </w:p>
        <w:p w14:paraId="274A6ADE" w14:textId="59F939F6" w:rsidR="003E4E0B" w:rsidRPr="003E4E0B" w:rsidRDefault="003A301E" w:rsidP="003A301E">
          <w:pPr>
            <w:pStyle w:val="TOC2"/>
            <w:rPr>
              <w:rFonts w:ascii="Arial" w:hAnsi="Arial" w:cs="Arial"/>
              <w:sz w:val="24"/>
              <w:szCs w:val="24"/>
            </w:rPr>
          </w:pPr>
          <w:r w:rsidRPr="003E4E0B">
            <w:rPr>
              <w:rFonts w:ascii="Arial" w:hAnsi="Arial" w:cs="Arial"/>
              <w:sz w:val="24"/>
              <w:szCs w:val="24"/>
            </w:rPr>
            <w:t>5.</w:t>
          </w:r>
          <w:r>
            <w:rPr>
              <w:rFonts w:ascii="Arial" w:hAnsi="Arial" w:cs="Arial"/>
              <w:sz w:val="24"/>
              <w:szCs w:val="24"/>
            </w:rPr>
            <w:t>7</w:t>
          </w:r>
          <w:r w:rsidRPr="003E4E0B">
            <w:rPr>
              <w:rFonts w:ascii="Arial" w:hAnsi="Arial" w:cs="Arial"/>
              <w:sz w:val="24"/>
              <w:szCs w:val="24"/>
            </w:rPr>
            <w:t xml:space="preserve"> </w:t>
          </w:r>
          <w:r w:rsidRPr="003E4E0B">
            <w:rPr>
              <w:rFonts w:ascii="Arial" w:hAnsi="Arial" w:cs="Arial"/>
              <w:sz w:val="24"/>
              <w:szCs w:val="24"/>
            </w:rPr>
            <w:tab/>
          </w:r>
          <w:r>
            <w:rPr>
              <w:rFonts w:ascii="Arial" w:hAnsi="Arial" w:cs="Arial"/>
              <w:sz w:val="24"/>
              <w:szCs w:val="24"/>
            </w:rPr>
            <w:t>Conclusion</w:t>
          </w:r>
          <w:r w:rsidRPr="003E4E0B">
            <w:rPr>
              <w:rFonts w:ascii="Arial" w:hAnsi="Arial" w:cs="Arial"/>
              <w:sz w:val="24"/>
              <w:szCs w:val="24"/>
            </w:rPr>
            <w:ptab w:relativeTo="margin" w:alignment="right" w:leader="dot"/>
          </w:r>
          <w:r>
            <w:rPr>
              <w:rFonts w:ascii="Arial" w:hAnsi="Arial" w:cs="Arial"/>
              <w:sz w:val="24"/>
              <w:szCs w:val="24"/>
            </w:rPr>
            <w:t>42</w:t>
          </w:r>
        </w:p>
        <w:p w14:paraId="2AFE99CB" w14:textId="77777777" w:rsidR="003E4E0B" w:rsidRDefault="003E4E0B" w:rsidP="003E4E0B">
          <w:pPr>
            <w:rPr>
              <w:rFonts w:ascii="Arial" w:hAnsi="Arial" w:cs="Arial"/>
              <w:sz w:val="24"/>
              <w:szCs w:val="24"/>
            </w:rPr>
          </w:pPr>
        </w:p>
        <w:p w14:paraId="08518C75" w14:textId="097B873E" w:rsidR="00282AED" w:rsidRDefault="003E4E0B" w:rsidP="00282AED">
          <w:pPr>
            <w:pStyle w:val="TOC2"/>
            <w:rPr>
              <w:rFonts w:ascii="Arial" w:hAnsi="Arial" w:cs="Arial"/>
              <w:b/>
              <w:bCs/>
              <w:sz w:val="24"/>
              <w:szCs w:val="24"/>
            </w:rPr>
          </w:pPr>
          <w:r w:rsidRPr="00E34799">
            <w:rPr>
              <w:rFonts w:ascii="Arial" w:hAnsi="Arial" w:cs="Arial"/>
              <w:b/>
              <w:bCs/>
              <w:sz w:val="24"/>
              <w:szCs w:val="24"/>
            </w:rPr>
            <w:t xml:space="preserve">Chapter </w:t>
          </w:r>
          <w:r>
            <w:rPr>
              <w:rFonts w:ascii="Arial" w:hAnsi="Arial" w:cs="Arial"/>
              <w:b/>
              <w:bCs/>
              <w:sz w:val="24"/>
              <w:szCs w:val="24"/>
            </w:rPr>
            <w:t>6</w:t>
          </w:r>
          <w:r w:rsidRPr="00E34799">
            <w:rPr>
              <w:rFonts w:ascii="Arial" w:hAnsi="Arial" w:cs="Arial"/>
              <w:b/>
              <w:bCs/>
              <w:sz w:val="24"/>
              <w:szCs w:val="24"/>
            </w:rPr>
            <w:tab/>
          </w:r>
          <w:r w:rsidRPr="00E34799">
            <w:rPr>
              <w:rFonts w:ascii="Arial" w:hAnsi="Arial" w:cs="Arial"/>
              <w:b/>
              <w:bCs/>
              <w:sz w:val="24"/>
              <w:szCs w:val="24"/>
            </w:rPr>
            <w:tab/>
          </w:r>
          <w:r w:rsidRPr="00E34799">
            <w:rPr>
              <w:rFonts w:ascii="Arial" w:hAnsi="Arial" w:cs="Arial"/>
              <w:b/>
              <w:bCs/>
              <w:sz w:val="24"/>
              <w:szCs w:val="24"/>
            </w:rPr>
            <w:tab/>
          </w:r>
          <w:r>
            <w:rPr>
              <w:rFonts w:ascii="Arial" w:hAnsi="Arial" w:cs="Arial"/>
              <w:b/>
              <w:bCs/>
              <w:sz w:val="24"/>
              <w:szCs w:val="24"/>
            </w:rPr>
            <w:t>Conclusion</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Pr="00E34799">
            <w:rPr>
              <w:rFonts w:ascii="Arial" w:hAnsi="Arial" w:cs="Arial"/>
              <w:b/>
              <w:bCs/>
              <w:sz w:val="24"/>
              <w:szCs w:val="24"/>
            </w:rPr>
            <w:tab/>
          </w:r>
          <w:r w:rsidR="00282AED">
            <w:rPr>
              <w:rFonts w:ascii="Arial" w:hAnsi="Arial" w:cs="Arial"/>
              <w:b/>
              <w:bCs/>
              <w:sz w:val="24"/>
              <w:szCs w:val="24"/>
            </w:rPr>
            <w:t xml:space="preserve">         </w:t>
          </w:r>
          <w:r w:rsidRPr="00E34799">
            <w:rPr>
              <w:rFonts w:ascii="Arial" w:hAnsi="Arial" w:cs="Arial"/>
              <w:b/>
              <w:bCs/>
              <w:sz w:val="24"/>
              <w:szCs w:val="24"/>
            </w:rPr>
            <w:tab/>
            <w:t xml:space="preserve">  </w:t>
          </w:r>
          <w:r w:rsidR="00282AED">
            <w:rPr>
              <w:rFonts w:ascii="Arial" w:hAnsi="Arial" w:cs="Arial"/>
              <w:b/>
              <w:bCs/>
              <w:sz w:val="24"/>
              <w:szCs w:val="24"/>
            </w:rPr>
            <w:t xml:space="preserve">          </w:t>
          </w:r>
          <w:r w:rsidRPr="00E34799">
            <w:rPr>
              <w:rFonts w:ascii="Arial" w:hAnsi="Arial" w:cs="Arial"/>
              <w:sz w:val="24"/>
              <w:szCs w:val="24"/>
            </w:rPr>
            <w:ptab w:relativeTo="margin" w:alignment="right" w:leader="dot"/>
          </w:r>
          <w:r w:rsidR="00282AED">
            <w:rPr>
              <w:rFonts w:ascii="Arial" w:hAnsi="Arial" w:cs="Arial"/>
              <w:sz w:val="24"/>
              <w:szCs w:val="24"/>
            </w:rPr>
            <w:t>43</w:t>
          </w:r>
        </w:p>
        <w:p w14:paraId="0E5BEFC3" w14:textId="167F72FB" w:rsidR="00282AED" w:rsidRPr="003E4E0B" w:rsidRDefault="00282AED" w:rsidP="00282AED">
          <w:pPr>
            <w:pStyle w:val="TOC2"/>
            <w:rPr>
              <w:rFonts w:ascii="Arial" w:hAnsi="Arial" w:cs="Arial"/>
              <w:sz w:val="24"/>
              <w:szCs w:val="24"/>
            </w:rPr>
          </w:pPr>
          <w:r w:rsidRPr="00282AED">
            <w:rPr>
              <w:rFonts w:ascii="Arial" w:hAnsi="Arial" w:cs="Arial"/>
              <w:sz w:val="24"/>
              <w:szCs w:val="24"/>
            </w:rPr>
            <w:t>6.1</w:t>
          </w:r>
          <w:r w:rsidRPr="00282AED">
            <w:rPr>
              <w:rFonts w:ascii="Arial" w:hAnsi="Arial" w:cs="Arial"/>
              <w:sz w:val="24"/>
              <w:szCs w:val="24"/>
            </w:rPr>
            <w:tab/>
          </w:r>
          <w:r>
            <w:rPr>
              <w:rFonts w:ascii="Arial" w:hAnsi="Arial" w:cs="Arial"/>
              <w:sz w:val="24"/>
              <w:szCs w:val="24"/>
            </w:rPr>
            <w:t>A useful prompt</w:t>
          </w:r>
          <w:r w:rsidRPr="003E4E0B">
            <w:rPr>
              <w:rFonts w:ascii="Arial" w:hAnsi="Arial" w:cs="Arial"/>
              <w:sz w:val="24"/>
              <w:szCs w:val="24"/>
            </w:rPr>
            <w:ptab w:relativeTo="margin" w:alignment="right" w:leader="dot"/>
          </w:r>
          <w:r>
            <w:rPr>
              <w:rFonts w:ascii="Arial" w:hAnsi="Arial" w:cs="Arial"/>
              <w:sz w:val="24"/>
              <w:szCs w:val="24"/>
            </w:rPr>
            <w:t>43</w:t>
          </w:r>
        </w:p>
        <w:p w14:paraId="7809C622" w14:textId="4188D22C" w:rsidR="00282AED" w:rsidRDefault="00282AED" w:rsidP="00282AED">
          <w:pPr>
            <w:pStyle w:val="TOC2"/>
            <w:rPr>
              <w:rFonts w:ascii="Arial" w:hAnsi="Arial" w:cs="Arial"/>
              <w:sz w:val="24"/>
              <w:szCs w:val="24"/>
            </w:rPr>
          </w:pPr>
          <w:r>
            <w:rPr>
              <w:rFonts w:ascii="Arial" w:hAnsi="Arial" w:cs="Arial"/>
              <w:sz w:val="24"/>
              <w:szCs w:val="24"/>
            </w:rPr>
            <w:t>6</w:t>
          </w:r>
          <w:r w:rsidRPr="003E4E0B">
            <w:rPr>
              <w:rFonts w:ascii="Arial" w:hAnsi="Arial" w:cs="Arial"/>
              <w:sz w:val="24"/>
              <w:szCs w:val="24"/>
            </w:rPr>
            <w:t xml:space="preserve">.2 </w:t>
          </w:r>
          <w:r w:rsidRPr="003E4E0B">
            <w:rPr>
              <w:rFonts w:ascii="Arial" w:hAnsi="Arial" w:cs="Arial"/>
              <w:sz w:val="24"/>
              <w:szCs w:val="24"/>
            </w:rPr>
            <w:tab/>
          </w:r>
          <w:r>
            <w:rPr>
              <w:rFonts w:ascii="Arial" w:hAnsi="Arial" w:cs="Arial"/>
              <w:sz w:val="24"/>
              <w:szCs w:val="24"/>
            </w:rPr>
            <w:t>Value of recognizing individuals</w:t>
          </w:r>
          <w:r w:rsidRPr="003E4E0B">
            <w:rPr>
              <w:rFonts w:ascii="Arial" w:hAnsi="Arial" w:cs="Arial"/>
              <w:sz w:val="24"/>
              <w:szCs w:val="24"/>
            </w:rPr>
            <w:ptab w:relativeTo="margin" w:alignment="right" w:leader="dot"/>
          </w:r>
          <w:r>
            <w:rPr>
              <w:rFonts w:ascii="Arial" w:hAnsi="Arial" w:cs="Arial"/>
              <w:sz w:val="24"/>
              <w:szCs w:val="24"/>
            </w:rPr>
            <w:t>43</w:t>
          </w:r>
        </w:p>
        <w:p w14:paraId="38F3B23C" w14:textId="08079B0A" w:rsidR="0058243A" w:rsidRPr="0058243A" w:rsidRDefault="0058243A" w:rsidP="0058243A">
          <w:pPr>
            <w:pStyle w:val="TOC2"/>
            <w:rPr>
              <w:rFonts w:ascii="Arial" w:hAnsi="Arial" w:cs="Arial"/>
              <w:sz w:val="24"/>
              <w:szCs w:val="24"/>
            </w:rPr>
          </w:pPr>
          <w:r>
            <w:rPr>
              <w:rFonts w:ascii="Arial" w:hAnsi="Arial" w:cs="Arial"/>
              <w:sz w:val="24"/>
              <w:szCs w:val="24"/>
            </w:rPr>
            <w:t>6</w:t>
          </w:r>
          <w:r w:rsidRPr="003E4E0B">
            <w:rPr>
              <w:rFonts w:ascii="Arial" w:hAnsi="Arial" w:cs="Arial"/>
              <w:sz w:val="24"/>
              <w:szCs w:val="24"/>
            </w:rPr>
            <w:t>.</w:t>
          </w:r>
          <w:r>
            <w:rPr>
              <w:rFonts w:ascii="Arial" w:hAnsi="Arial" w:cs="Arial"/>
              <w:sz w:val="24"/>
              <w:szCs w:val="24"/>
            </w:rPr>
            <w:t>3</w:t>
          </w:r>
          <w:r w:rsidRPr="003E4E0B">
            <w:rPr>
              <w:rFonts w:ascii="Arial" w:hAnsi="Arial" w:cs="Arial"/>
              <w:sz w:val="24"/>
              <w:szCs w:val="24"/>
            </w:rPr>
            <w:t xml:space="preserve"> </w:t>
          </w:r>
          <w:r w:rsidRPr="003E4E0B">
            <w:rPr>
              <w:rFonts w:ascii="Arial" w:hAnsi="Arial" w:cs="Arial"/>
              <w:sz w:val="24"/>
              <w:szCs w:val="24"/>
            </w:rPr>
            <w:tab/>
          </w:r>
          <w:r>
            <w:rPr>
              <w:rFonts w:ascii="Arial" w:hAnsi="Arial" w:cs="Arial"/>
              <w:sz w:val="24"/>
              <w:szCs w:val="24"/>
            </w:rPr>
            <w:t>Limitations</w:t>
          </w:r>
          <w:r w:rsidRPr="003E4E0B">
            <w:rPr>
              <w:rFonts w:ascii="Arial" w:hAnsi="Arial" w:cs="Arial"/>
              <w:sz w:val="24"/>
              <w:szCs w:val="24"/>
            </w:rPr>
            <w:ptab w:relativeTo="margin" w:alignment="right" w:leader="dot"/>
          </w:r>
          <w:r>
            <w:rPr>
              <w:rFonts w:ascii="Arial" w:hAnsi="Arial" w:cs="Arial"/>
              <w:sz w:val="24"/>
              <w:szCs w:val="24"/>
            </w:rPr>
            <w:t>43</w:t>
          </w:r>
        </w:p>
        <w:p w14:paraId="3800D082" w14:textId="2D28B5F4" w:rsidR="00282AED" w:rsidRDefault="00282AED" w:rsidP="00282AED">
          <w:pPr>
            <w:pStyle w:val="TOC2"/>
            <w:rPr>
              <w:rFonts w:ascii="Arial" w:hAnsi="Arial" w:cs="Arial"/>
              <w:sz w:val="24"/>
              <w:szCs w:val="24"/>
            </w:rPr>
          </w:pPr>
          <w:r>
            <w:rPr>
              <w:rFonts w:ascii="Arial" w:hAnsi="Arial" w:cs="Arial"/>
              <w:sz w:val="24"/>
              <w:szCs w:val="24"/>
            </w:rPr>
            <w:t>6</w:t>
          </w:r>
          <w:r w:rsidRPr="003E4E0B">
            <w:rPr>
              <w:rFonts w:ascii="Arial" w:hAnsi="Arial" w:cs="Arial"/>
              <w:sz w:val="24"/>
              <w:szCs w:val="24"/>
            </w:rPr>
            <w:t>.</w:t>
          </w:r>
          <w:r w:rsidR="0058243A">
            <w:rPr>
              <w:rFonts w:ascii="Arial" w:hAnsi="Arial" w:cs="Arial"/>
              <w:sz w:val="24"/>
              <w:szCs w:val="24"/>
            </w:rPr>
            <w:t>4</w:t>
          </w:r>
          <w:r w:rsidRPr="003E4E0B">
            <w:rPr>
              <w:rFonts w:ascii="Arial" w:hAnsi="Arial" w:cs="Arial"/>
              <w:sz w:val="24"/>
              <w:szCs w:val="24"/>
            </w:rPr>
            <w:tab/>
          </w:r>
          <w:r>
            <w:rPr>
              <w:rFonts w:ascii="Arial" w:hAnsi="Arial" w:cs="Arial"/>
              <w:sz w:val="24"/>
              <w:szCs w:val="24"/>
            </w:rPr>
            <w:t>Applying the research</w:t>
          </w:r>
          <w:r w:rsidRPr="003E4E0B">
            <w:rPr>
              <w:rFonts w:ascii="Arial" w:hAnsi="Arial" w:cs="Arial"/>
              <w:sz w:val="24"/>
              <w:szCs w:val="24"/>
            </w:rPr>
            <w:ptab w:relativeTo="margin" w:alignment="right" w:leader="dot"/>
          </w:r>
          <w:r>
            <w:rPr>
              <w:rFonts w:ascii="Arial" w:hAnsi="Arial" w:cs="Arial"/>
              <w:sz w:val="24"/>
              <w:szCs w:val="24"/>
            </w:rPr>
            <w:t>44</w:t>
          </w:r>
        </w:p>
        <w:p w14:paraId="6A6DA4D7" w14:textId="110E6E47" w:rsidR="0058243A" w:rsidRPr="0058243A" w:rsidRDefault="0058243A" w:rsidP="0058243A">
          <w:pPr>
            <w:pStyle w:val="TOC2"/>
            <w:rPr>
              <w:rFonts w:ascii="Arial" w:hAnsi="Arial" w:cs="Arial"/>
              <w:sz w:val="24"/>
              <w:szCs w:val="24"/>
            </w:rPr>
          </w:pPr>
          <w:r>
            <w:rPr>
              <w:rFonts w:ascii="Arial" w:hAnsi="Arial" w:cs="Arial"/>
              <w:sz w:val="24"/>
              <w:szCs w:val="24"/>
            </w:rPr>
            <w:t>6</w:t>
          </w:r>
          <w:r w:rsidRPr="003E4E0B">
            <w:rPr>
              <w:rFonts w:ascii="Arial" w:hAnsi="Arial" w:cs="Arial"/>
              <w:sz w:val="24"/>
              <w:szCs w:val="24"/>
            </w:rPr>
            <w:t>.</w:t>
          </w:r>
          <w:r>
            <w:rPr>
              <w:rFonts w:ascii="Arial" w:hAnsi="Arial" w:cs="Arial"/>
              <w:sz w:val="24"/>
              <w:szCs w:val="24"/>
            </w:rPr>
            <w:t>5</w:t>
          </w:r>
          <w:r w:rsidRPr="003E4E0B">
            <w:rPr>
              <w:rFonts w:ascii="Arial" w:hAnsi="Arial" w:cs="Arial"/>
              <w:sz w:val="24"/>
              <w:szCs w:val="24"/>
            </w:rPr>
            <w:t xml:space="preserve"> </w:t>
          </w:r>
          <w:r w:rsidRPr="003E4E0B">
            <w:rPr>
              <w:rFonts w:ascii="Arial" w:hAnsi="Arial" w:cs="Arial"/>
              <w:sz w:val="24"/>
              <w:szCs w:val="24"/>
            </w:rPr>
            <w:tab/>
          </w:r>
          <w:r>
            <w:rPr>
              <w:rFonts w:ascii="Arial" w:hAnsi="Arial" w:cs="Arial"/>
              <w:sz w:val="24"/>
              <w:szCs w:val="24"/>
            </w:rPr>
            <w:t>Potential Challenges</w:t>
          </w:r>
          <w:r w:rsidRPr="003E4E0B">
            <w:rPr>
              <w:rFonts w:ascii="Arial" w:hAnsi="Arial" w:cs="Arial"/>
              <w:sz w:val="24"/>
              <w:szCs w:val="24"/>
            </w:rPr>
            <w:ptab w:relativeTo="margin" w:alignment="right" w:leader="dot"/>
          </w:r>
          <w:r>
            <w:rPr>
              <w:rFonts w:ascii="Arial" w:hAnsi="Arial" w:cs="Arial"/>
              <w:sz w:val="24"/>
              <w:szCs w:val="24"/>
            </w:rPr>
            <w:t>43</w:t>
          </w:r>
        </w:p>
        <w:p w14:paraId="2A02EC55" w14:textId="1AEB1F19" w:rsidR="00282AED" w:rsidRDefault="00282AED" w:rsidP="00282AED">
          <w:pPr>
            <w:pStyle w:val="TOC2"/>
            <w:rPr>
              <w:rFonts w:ascii="Arial" w:hAnsi="Arial" w:cs="Arial"/>
              <w:sz w:val="24"/>
              <w:szCs w:val="24"/>
            </w:rPr>
          </w:pPr>
          <w:r>
            <w:rPr>
              <w:rFonts w:ascii="Arial" w:hAnsi="Arial" w:cs="Arial"/>
              <w:sz w:val="24"/>
              <w:szCs w:val="24"/>
            </w:rPr>
            <w:t>6</w:t>
          </w:r>
          <w:r w:rsidRPr="003E4E0B">
            <w:rPr>
              <w:rFonts w:ascii="Arial" w:hAnsi="Arial" w:cs="Arial"/>
              <w:sz w:val="24"/>
              <w:szCs w:val="24"/>
            </w:rPr>
            <w:t>.</w:t>
          </w:r>
          <w:r w:rsidR="0058243A">
            <w:rPr>
              <w:rFonts w:ascii="Arial" w:hAnsi="Arial" w:cs="Arial"/>
              <w:sz w:val="24"/>
              <w:szCs w:val="24"/>
            </w:rPr>
            <w:t>6</w:t>
          </w:r>
          <w:r w:rsidRPr="003E4E0B">
            <w:rPr>
              <w:rFonts w:ascii="Arial" w:hAnsi="Arial" w:cs="Arial"/>
              <w:sz w:val="24"/>
              <w:szCs w:val="24"/>
            </w:rPr>
            <w:tab/>
          </w:r>
          <w:r>
            <w:rPr>
              <w:rFonts w:ascii="Arial" w:hAnsi="Arial" w:cs="Arial"/>
              <w:sz w:val="24"/>
              <w:szCs w:val="24"/>
            </w:rPr>
            <w:t>Conclusion</w:t>
          </w:r>
          <w:r w:rsidRPr="003E4E0B">
            <w:rPr>
              <w:rFonts w:ascii="Arial" w:hAnsi="Arial" w:cs="Arial"/>
              <w:sz w:val="24"/>
              <w:szCs w:val="24"/>
            </w:rPr>
            <w:ptab w:relativeTo="margin" w:alignment="right" w:leader="dot"/>
          </w:r>
          <w:r>
            <w:rPr>
              <w:rFonts w:ascii="Arial" w:hAnsi="Arial" w:cs="Arial"/>
              <w:sz w:val="24"/>
              <w:szCs w:val="24"/>
            </w:rPr>
            <w:t>45</w:t>
          </w:r>
        </w:p>
        <w:p w14:paraId="1CCBE48A" w14:textId="3850362B" w:rsidR="003E4E0B" w:rsidRDefault="003E4E0B" w:rsidP="00282AED">
          <w:pPr>
            <w:pStyle w:val="TOC1"/>
            <w:spacing w:line="240" w:lineRule="auto"/>
          </w:pPr>
        </w:p>
        <w:p w14:paraId="23C944F1" w14:textId="5757DFF4" w:rsidR="003E4E0B" w:rsidRDefault="003E4E0B" w:rsidP="003E4E0B">
          <w:pPr>
            <w:pStyle w:val="TOC1"/>
            <w:spacing w:line="240" w:lineRule="auto"/>
            <w:rPr>
              <w:rFonts w:ascii="Arial" w:hAnsi="Arial" w:cs="Arial"/>
              <w:b/>
              <w:bCs/>
              <w:sz w:val="24"/>
              <w:szCs w:val="24"/>
            </w:rPr>
          </w:pPr>
          <w:r w:rsidRPr="003E4E0B">
            <w:rPr>
              <w:rFonts w:ascii="Arial" w:hAnsi="Arial" w:cs="Arial"/>
              <w:b/>
              <w:sz w:val="24"/>
              <w:szCs w:val="24"/>
            </w:rPr>
            <w:t>Bibliography</w:t>
          </w:r>
          <w:r w:rsidRPr="003E4E0B">
            <w:rPr>
              <w:rFonts w:ascii="Arial" w:hAnsi="Arial" w:cs="Arial"/>
              <w:b/>
              <w:bCs/>
              <w:sz w:val="24"/>
              <w:szCs w:val="24"/>
            </w:rPr>
            <w:t xml:space="preserve"> </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t xml:space="preserve"> </w:t>
          </w:r>
          <w:r w:rsidRPr="003E4E0B">
            <w:rPr>
              <w:rFonts w:ascii="Arial" w:hAnsi="Arial" w:cs="Arial"/>
              <w:b/>
              <w:sz w:val="24"/>
              <w:szCs w:val="24"/>
            </w:rPr>
            <w:ptab w:relativeTo="margin" w:alignment="right" w:leader="dot"/>
          </w:r>
          <w:r w:rsidR="00282AED">
            <w:rPr>
              <w:rFonts w:ascii="Arial" w:hAnsi="Arial" w:cs="Arial"/>
              <w:b/>
              <w:bCs/>
              <w:sz w:val="24"/>
              <w:szCs w:val="24"/>
            </w:rPr>
            <w:t>46</w:t>
          </w:r>
        </w:p>
        <w:p w14:paraId="15430476" w14:textId="77777777" w:rsidR="003E4E0B" w:rsidRPr="003E4E0B" w:rsidRDefault="003E4E0B" w:rsidP="003E4E0B">
          <w:pPr>
            <w:rPr>
              <w:lang w:val="en-US"/>
            </w:rPr>
          </w:pPr>
        </w:p>
        <w:p w14:paraId="4D77FB52" w14:textId="7A1EDB20" w:rsidR="002C6BCA" w:rsidRDefault="003E4E0B" w:rsidP="002C6BCA">
          <w:pPr>
            <w:pStyle w:val="TOC1"/>
            <w:spacing w:line="240" w:lineRule="auto"/>
            <w:rPr>
              <w:rFonts w:ascii="Arial" w:hAnsi="Arial" w:cs="Arial"/>
              <w:b/>
              <w:bCs/>
              <w:sz w:val="24"/>
              <w:szCs w:val="24"/>
            </w:rPr>
          </w:pPr>
          <w:r>
            <w:rPr>
              <w:rFonts w:ascii="Arial" w:hAnsi="Arial" w:cs="Arial"/>
              <w:b/>
              <w:sz w:val="24"/>
              <w:szCs w:val="24"/>
            </w:rPr>
            <w:t>Appendix A</w:t>
          </w:r>
          <w:r>
            <w:rPr>
              <w:rFonts w:ascii="Arial" w:hAnsi="Arial" w:cs="Arial"/>
              <w:b/>
              <w:sz w:val="24"/>
              <w:szCs w:val="24"/>
            </w:rPr>
            <w:tab/>
          </w:r>
          <w:r w:rsidRPr="003E4E0B">
            <w:rPr>
              <w:rFonts w:ascii="Arial" w:hAnsi="Arial" w:cs="Arial"/>
              <w:b/>
              <w:bCs/>
              <w:sz w:val="24"/>
              <w:szCs w:val="24"/>
            </w:rPr>
            <w:t xml:space="preserve"> </w:t>
          </w:r>
          <w:r>
            <w:rPr>
              <w:rFonts w:ascii="Arial" w:hAnsi="Arial" w:cs="Arial"/>
              <w:b/>
              <w:bCs/>
              <w:sz w:val="24"/>
              <w:szCs w:val="24"/>
            </w:rPr>
            <w:tab/>
          </w:r>
          <w:r>
            <w:rPr>
              <w:rFonts w:ascii="Arial" w:hAnsi="Arial" w:cs="Arial"/>
              <w:b/>
              <w:bCs/>
              <w:sz w:val="24"/>
              <w:szCs w:val="24"/>
            </w:rPr>
            <w:tab/>
          </w:r>
          <w:r>
            <w:rPr>
              <w:rFonts w:ascii="Arial" w:hAnsi="Arial" w:cs="Arial"/>
              <w:bCs/>
              <w:sz w:val="24"/>
              <w:szCs w:val="24"/>
            </w:rPr>
            <w:t>Ethics Approval Form</w:t>
          </w:r>
          <w:r>
            <w:rPr>
              <w:rFonts w:ascii="Arial" w:hAnsi="Arial" w:cs="Arial"/>
              <w:b/>
              <w:bCs/>
              <w:sz w:val="24"/>
              <w:szCs w:val="24"/>
            </w:rPr>
            <w:tab/>
          </w:r>
          <w:r>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t xml:space="preserve"> </w:t>
          </w:r>
          <w:r w:rsidRPr="003E4E0B">
            <w:rPr>
              <w:rFonts w:ascii="Arial" w:hAnsi="Arial" w:cs="Arial"/>
              <w:b/>
              <w:sz w:val="24"/>
              <w:szCs w:val="24"/>
            </w:rPr>
            <w:ptab w:relativeTo="margin" w:alignment="right" w:leader="dot"/>
          </w:r>
          <w:r w:rsidR="008F0EFB">
            <w:rPr>
              <w:rFonts w:ascii="Arial" w:hAnsi="Arial" w:cs="Arial"/>
              <w:b/>
              <w:sz w:val="24"/>
              <w:szCs w:val="24"/>
            </w:rPr>
            <w:t>5</w:t>
          </w:r>
          <w:r w:rsidR="00CA050C">
            <w:rPr>
              <w:rFonts w:ascii="Arial" w:hAnsi="Arial" w:cs="Arial"/>
              <w:b/>
              <w:sz w:val="24"/>
              <w:szCs w:val="24"/>
            </w:rPr>
            <w:t>6</w:t>
          </w:r>
        </w:p>
        <w:p w14:paraId="652775B2" w14:textId="2301D086" w:rsidR="002C6BCA" w:rsidRPr="003E4E0B" w:rsidRDefault="002C6BCA" w:rsidP="002C6BCA">
          <w:pPr>
            <w:pStyle w:val="TOC1"/>
            <w:spacing w:line="240" w:lineRule="auto"/>
            <w:rPr>
              <w:rFonts w:ascii="Arial" w:hAnsi="Arial" w:cs="Arial"/>
              <w:b/>
              <w:sz w:val="24"/>
              <w:szCs w:val="24"/>
            </w:rPr>
          </w:pPr>
          <w:r>
            <w:rPr>
              <w:rFonts w:ascii="Arial" w:hAnsi="Arial" w:cs="Arial"/>
              <w:b/>
              <w:sz w:val="24"/>
              <w:szCs w:val="24"/>
            </w:rPr>
            <w:t>Appendix B</w:t>
          </w:r>
          <w:r>
            <w:rPr>
              <w:rFonts w:ascii="Arial" w:hAnsi="Arial" w:cs="Arial"/>
              <w:b/>
              <w:sz w:val="24"/>
              <w:szCs w:val="24"/>
            </w:rPr>
            <w:tab/>
          </w:r>
          <w:r w:rsidRPr="003E4E0B">
            <w:rPr>
              <w:rFonts w:ascii="Arial" w:hAnsi="Arial" w:cs="Arial"/>
              <w:b/>
              <w:bCs/>
              <w:sz w:val="24"/>
              <w:szCs w:val="24"/>
            </w:rPr>
            <w:t xml:space="preserve"> </w:t>
          </w:r>
          <w:r>
            <w:rPr>
              <w:rFonts w:ascii="Arial" w:hAnsi="Arial" w:cs="Arial"/>
              <w:b/>
              <w:bCs/>
              <w:sz w:val="24"/>
              <w:szCs w:val="24"/>
            </w:rPr>
            <w:tab/>
          </w:r>
          <w:r>
            <w:rPr>
              <w:rFonts w:ascii="Arial" w:hAnsi="Arial" w:cs="Arial"/>
              <w:b/>
              <w:bCs/>
              <w:sz w:val="24"/>
              <w:szCs w:val="24"/>
            </w:rPr>
            <w:tab/>
          </w:r>
          <w:r w:rsidRPr="003E4E0B">
            <w:rPr>
              <w:rFonts w:ascii="Arial" w:hAnsi="Arial" w:cs="Arial"/>
              <w:bCs/>
              <w:sz w:val="24"/>
              <w:szCs w:val="24"/>
            </w:rPr>
            <w:t>Scheme of work</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t xml:space="preserve"> </w:t>
          </w:r>
          <w:r w:rsidRPr="003E4E0B">
            <w:rPr>
              <w:rFonts w:ascii="Arial" w:hAnsi="Arial" w:cs="Arial"/>
              <w:b/>
              <w:sz w:val="24"/>
              <w:szCs w:val="24"/>
            </w:rPr>
            <w:ptab w:relativeTo="margin" w:alignment="right" w:leader="dot"/>
          </w:r>
          <w:r w:rsidR="008F0EFB">
            <w:rPr>
              <w:rFonts w:ascii="Arial" w:hAnsi="Arial" w:cs="Arial"/>
              <w:b/>
              <w:bCs/>
              <w:sz w:val="24"/>
              <w:szCs w:val="24"/>
            </w:rPr>
            <w:t>6</w:t>
          </w:r>
          <w:r w:rsidR="00CA050C">
            <w:rPr>
              <w:rFonts w:ascii="Arial" w:hAnsi="Arial" w:cs="Arial"/>
              <w:b/>
              <w:bCs/>
              <w:sz w:val="24"/>
              <w:szCs w:val="24"/>
            </w:rPr>
            <w:t>8</w:t>
          </w:r>
        </w:p>
        <w:p w14:paraId="7120D170" w14:textId="5A313F77" w:rsidR="003E4E0B" w:rsidRPr="003E4E0B" w:rsidRDefault="003E4E0B" w:rsidP="003E4E0B">
          <w:pPr>
            <w:pStyle w:val="TOC1"/>
            <w:spacing w:line="240" w:lineRule="auto"/>
            <w:rPr>
              <w:rFonts w:ascii="Arial" w:hAnsi="Arial" w:cs="Arial"/>
              <w:b/>
              <w:sz w:val="24"/>
              <w:szCs w:val="24"/>
            </w:rPr>
          </w:pPr>
          <w:r>
            <w:rPr>
              <w:rFonts w:ascii="Arial" w:hAnsi="Arial" w:cs="Arial"/>
              <w:b/>
              <w:sz w:val="24"/>
              <w:szCs w:val="24"/>
            </w:rPr>
            <w:t xml:space="preserve">Appendix </w:t>
          </w:r>
          <w:r w:rsidR="002C6BCA">
            <w:rPr>
              <w:rFonts w:ascii="Arial" w:hAnsi="Arial" w:cs="Arial"/>
              <w:b/>
              <w:sz w:val="24"/>
              <w:szCs w:val="24"/>
            </w:rPr>
            <w:t>C</w:t>
          </w:r>
          <w:r>
            <w:rPr>
              <w:rFonts w:ascii="Arial" w:hAnsi="Arial" w:cs="Arial"/>
              <w:b/>
              <w:sz w:val="24"/>
              <w:szCs w:val="24"/>
            </w:rPr>
            <w:tab/>
          </w:r>
          <w:r w:rsidRPr="003E4E0B">
            <w:rPr>
              <w:rFonts w:ascii="Arial" w:hAnsi="Arial" w:cs="Arial"/>
              <w:b/>
              <w:bCs/>
              <w:sz w:val="24"/>
              <w:szCs w:val="24"/>
            </w:rPr>
            <w:t xml:space="preserve"> </w:t>
          </w:r>
          <w:r>
            <w:rPr>
              <w:rFonts w:ascii="Arial" w:hAnsi="Arial" w:cs="Arial"/>
              <w:b/>
              <w:bCs/>
              <w:sz w:val="24"/>
              <w:szCs w:val="24"/>
            </w:rPr>
            <w:tab/>
          </w:r>
          <w:r>
            <w:rPr>
              <w:rFonts w:ascii="Arial" w:hAnsi="Arial" w:cs="Arial"/>
              <w:b/>
              <w:bCs/>
              <w:sz w:val="24"/>
              <w:szCs w:val="24"/>
            </w:rPr>
            <w:tab/>
          </w:r>
          <w:r w:rsidRPr="003E4E0B">
            <w:rPr>
              <w:rFonts w:ascii="Arial" w:hAnsi="Arial" w:cs="Arial"/>
              <w:bCs/>
              <w:sz w:val="24"/>
              <w:szCs w:val="24"/>
            </w:rPr>
            <w:t>S</w:t>
          </w:r>
          <w:r w:rsidR="002C6BCA">
            <w:rPr>
              <w:rFonts w:ascii="Arial" w:hAnsi="Arial" w:cs="Arial"/>
              <w:bCs/>
              <w:sz w:val="24"/>
              <w:szCs w:val="24"/>
            </w:rPr>
            <w:t>upervision diary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r>
          <w:r w:rsidRPr="003E4E0B">
            <w:rPr>
              <w:rFonts w:ascii="Arial" w:hAnsi="Arial" w:cs="Arial"/>
              <w:b/>
              <w:bCs/>
              <w:sz w:val="24"/>
              <w:szCs w:val="24"/>
            </w:rPr>
            <w:tab/>
            <w:t xml:space="preserve"> </w:t>
          </w:r>
          <w:r w:rsidRPr="003E4E0B">
            <w:rPr>
              <w:rFonts w:ascii="Arial" w:hAnsi="Arial" w:cs="Arial"/>
              <w:b/>
              <w:sz w:val="24"/>
              <w:szCs w:val="24"/>
            </w:rPr>
            <w:ptab w:relativeTo="margin" w:alignment="right" w:leader="dot"/>
          </w:r>
          <w:r w:rsidR="008F0EFB">
            <w:rPr>
              <w:rFonts w:ascii="Arial" w:hAnsi="Arial" w:cs="Arial"/>
              <w:b/>
              <w:bCs/>
              <w:sz w:val="24"/>
              <w:szCs w:val="24"/>
            </w:rPr>
            <w:t>6</w:t>
          </w:r>
          <w:r w:rsidR="00CA050C">
            <w:rPr>
              <w:rFonts w:ascii="Arial" w:hAnsi="Arial" w:cs="Arial"/>
              <w:b/>
              <w:bCs/>
              <w:sz w:val="24"/>
              <w:szCs w:val="24"/>
            </w:rPr>
            <w:t>9</w:t>
          </w:r>
        </w:p>
        <w:p w14:paraId="51EF51F1" w14:textId="77777777" w:rsidR="002C6BCA" w:rsidRDefault="00A151F0" w:rsidP="002C6BCA">
          <w:pPr>
            <w:pStyle w:val="TOC1"/>
            <w:spacing w:line="240" w:lineRule="auto"/>
            <w:rPr>
              <w:rFonts w:ascii="Arial" w:hAnsi="Arial" w:cs="Arial"/>
              <w:sz w:val="24"/>
              <w:szCs w:val="24"/>
            </w:rPr>
          </w:pPr>
        </w:p>
      </w:sdtContent>
    </w:sdt>
    <w:p w14:paraId="0B61F51C" w14:textId="26D39165" w:rsidR="00CA6FD9" w:rsidRPr="0058243A" w:rsidRDefault="00F02598" w:rsidP="0058243A">
      <w:pPr>
        <w:tabs>
          <w:tab w:val="left" w:pos="5927"/>
        </w:tabs>
        <w:rPr>
          <w:rFonts w:ascii="Arial" w:hAnsi="Arial" w:cs="Arial"/>
          <w:sz w:val="24"/>
          <w:szCs w:val="24"/>
        </w:rPr>
      </w:pPr>
      <w:r>
        <w:rPr>
          <w:rFonts w:ascii="Arial" w:hAnsi="Arial" w:cs="Arial"/>
          <w:sz w:val="24"/>
          <w:szCs w:val="24"/>
        </w:rPr>
        <w:tab/>
      </w:r>
    </w:p>
    <w:p w14:paraId="4C7FB19F" w14:textId="2E6445B5" w:rsidR="00BB51C5" w:rsidRDefault="00BB51C5">
      <w:pPr>
        <w:rPr>
          <w:rFonts w:ascii="Arial" w:hAnsi="Arial" w:cs="Arial"/>
          <w:b/>
          <w:sz w:val="32"/>
          <w:szCs w:val="32"/>
        </w:rPr>
        <w:sectPr w:rsidR="00BB51C5" w:rsidSect="006454C6">
          <w:footerReference w:type="default" r:id="rId12"/>
          <w:pgSz w:w="11906" w:h="16838"/>
          <w:pgMar w:top="1440" w:right="1440" w:bottom="1440" w:left="1440" w:header="708" w:footer="708" w:gutter="0"/>
          <w:pgNumType w:fmt="lowerRoman"/>
          <w:cols w:space="708"/>
          <w:titlePg/>
          <w:docGrid w:linePitch="360"/>
        </w:sectPr>
      </w:pPr>
    </w:p>
    <w:p w14:paraId="290C810F" w14:textId="77777777" w:rsidR="0024249D" w:rsidRDefault="0024249D" w:rsidP="0024249D">
      <w:pPr>
        <w:spacing w:line="240" w:lineRule="auto"/>
        <w:jc w:val="center"/>
        <w:rPr>
          <w:rFonts w:ascii="Arial" w:hAnsi="Arial" w:cs="Arial"/>
          <w:b/>
          <w:sz w:val="28"/>
          <w:szCs w:val="28"/>
        </w:rPr>
      </w:pPr>
    </w:p>
    <w:p w14:paraId="5FBFEF19" w14:textId="77777777" w:rsidR="0024249D" w:rsidRDefault="0024249D" w:rsidP="0024249D">
      <w:pPr>
        <w:spacing w:line="240" w:lineRule="auto"/>
        <w:jc w:val="center"/>
        <w:rPr>
          <w:rFonts w:ascii="Arial" w:hAnsi="Arial" w:cs="Arial"/>
          <w:b/>
          <w:sz w:val="28"/>
          <w:szCs w:val="28"/>
        </w:rPr>
      </w:pPr>
    </w:p>
    <w:p w14:paraId="614469F9" w14:textId="77777777" w:rsidR="0024249D" w:rsidRDefault="0024249D" w:rsidP="0024249D">
      <w:pPr>
        <w:spacing w:line="240" w:lineRule="auto"/>
        <w:jc w:val="center"/>
        <w:rPr>
          <w:rFonts w:ascii="Arial" w:hAnsi="Arial" w:cs="Arial"/>
          <w:b/>
          <w:sz w:val="28"/>
          <w:szCs w:val="28"/>
        </w:rPr>
      </w:pPr>
    </w:p>
    <w:p w14:paraId="18A251C5" w14:textId="77777777" w:rsidR="0024249D" w:rsidRPr="00E34799" w:rsidRDefault="0024249D" w:rsidP="0024249D">
      <w:pPr>
        <w:spacing w:line="240" w:lineRule="auto"/>
        <w:jc w:val="center"/>
        <w:rPr>
          <w:rFonts w:ascii="Arial" w:hAnsi="Arial" w:cs="Arial"/>
          <w:b/>
          <w:sz w:val="28"/>
          <w:szCs w:val="28"/>
        </w:rPr>
      </w:pPr>
      <w:r w:rsidRPr="00E34799">
        <w:rPr>
          <w:rFonts w:ascii="Arial" w:hAnsi="Arial" w:cs="Arial"/>
          <w:b/>
          <w:sz w:val="28"/>
          <w:szCs w:val="28"/>
        </w:rPr>
        <w:t xml:space="preserve">CHAPTER </w:t>
      </w:r>
      <w:r>
        <w:rPr>
          <w:rFonts w:ascii="Arial" w:hAnsi="Arial" w:cs="Arial"/>
          <w:b/>
          <w:sz w:val="28"/>
          <w:szCs w:val="28"/>
        </w:rPr>
        <w:t>1</w:t>
      </w:r>
    </w:p>
    <w:p w14:paraId="2627C404" w14:textId="77777777" w:rsidR="0024249D" w:rsidRPr="00133F11" w:rsidRDefault="0024249D" w:rsidP="0024249D">
      <w:pPr>
        <w:spacing w:line="240" w:lineRule="auto"/>
        <w:jc w:val="center"/>
        <w:rPr>
          <w:rFonts w:ascii="Arial" w:hAnsi="Arial" w:cs="Arial"/>
          <w:sz w:val="24"/>
          <w:szCs w:val="24"/>
        </w:rPr>
      </w:pPr>
      <w:r w:rsidRPr="00133F11">
        <w:rPr>
          <w:rFonts w:ascii="Arial" w:hAnsi="Arial" w:cs="Arial"/>
          <w:b/>
          <w:sz w:val="32"/>
          <w:szCs w:val="32"/>
          <w:u w:val="single"/>
        </w:rPr>
        <w:t>Introduction</w:t>
      </w:r>
    </w:p>
    <w:p w14:paraId="5E9791F0" w14:textId="77777777" w:rsidR="0024249D" w:rsidRDefault="0024249D" w:rsidP="0024249D">
      <w:pPr>
        <w:rPr>
          <w:rFonts w:ascii="Arial" w:hAnsi="Arial" w:cs="Arial"/>
          <w:sz w:val="24"/>
          <w:szCs w:val="24"/>
        </w:rPr>
      </w:pPr>
    </w:p>
    <w:p w14:paraId="77C67EC6" w14:textId="77777777" w:rsidR="0024249D" w:rsidRDefault="0024249D" w:rsidP="0024249D">
      <w:pPr>
        <w:rPr>
          <w:rFonts w:ascii="Arial" w:hAnsi="Arial" w:cs="Arial"/>
          <w:sz w:val="24"/>
          <w:szCs w:val="24"/>
        </w:rPr>
      </w:pPr>
      <w:r>
        <w:rPr>
          <w:noProof/>
          <w:lang w:eastAsia="en-GB"/>
        </w:rPr>
        <w:drawing>
          <wp:anchor distT="0" distB="0" distL="114300" distR="114300" simplePos="0" relativeHeight="251676160" behindDoc="1" locked="0" layoutInCell="1" allowOverlap="1" wp14:anchorId="55E0034C" wp14:editId="0DEB5C9E">
            <wp:simplePos x="0" y="0"/>
            <wp:positionH relativeFrom="column">
              <wp:posOffset>12700</wp:posOffset>
            </wp:positionH>
            <wp:positionV relativeFrom="paragraph">
              <wp:posOffset>143510</wp:posOffset>
            </wp:positionV>
            <wp:extent cx="5731510" cy="3215005"/>
            <wp:effectExtent l="0" t="0" r="2540" b="444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anchor>
        </w:drawing>
      </w:r>
    </w:p>
    <w:p w14:paraId="14FA62ED" w14:textId="77777777" w:rsidR="0024249D" w:rsidRPr="008328EB" w:rsidRDefault="0024249D" w:rsidP="0024249D">
      <w:pPr>
        <w:rPr>
          <w:rFonts w:ascii="Arial" w:hAnsi="Arial" w:cs="Arial"/>
          <w:sz w:val="24"/>
          <w:szCs w:val="24"/>
        </w:rPr>
      </w:pPr>
      <w:r>
        <w:rPr>
          <w:rFonts w:ascii="Arial" w:hAnsi="Arial" w:cs="Arial"/>
          <w:sz w:val="24"/>
          <w:szCs w:val="24"/>
        </w:rPr>
        <w:t>1.1</w:t>
      </w:r>
      <w:r>
        <w:rPr>
          <w:rFonts w:ascii="Arial" w:hAnsi="Arial" w:cs="Arial"/>
          <w:sz w:val="24"/>
          <w:szCs w:val="24"/>
        </w:rPr>
        <w:tab/>
        <w:t>What – setting the scene</w:t>
      </w:r>
    </w:p>
    <w:p w14:paraId="64B1CE46" w14:textId="77777777" w:rsidR="0024249D" w:rsidRDefault="0024249D" w:rsidP="0024249D"/>
    <w:p w14:paraId="14434BC4" w14:textId="77777777" w:rsidR="0024249D" w:rsidRDefault="0024249D" w:rsidP="0024249D">
      <w:r w:rsidRPr="007B5720">
        <w:rPr>
          <w:noProof/>
          <w:lang w:eastAsia="en-GB"/>
        </w:rPr>
        <mc:AlternateContent>
          <mc:Choice Requires="wps">
            <w:drawing>
              <wp:anchor distT="0" distB="0" distL="114300" distR="114300" simplePos="0" relativeHeight="251674112" behindDoc="0" locked="0" layoutInCell="1" allowOverlap="1" wp14:anchorId="194CE35B" wp14:editId="35BAD840">
                <wp:simplePos x="0" y="0"/>
                <wp:positionH relativeFrom="column">
                  <wp:posOffset>-897890</wp:posOffset>
                </wp:positionH>
                <wp:positionV relativeFrom="paragraph">
                  <wp:posOffset>356870</wp:posOffset>
                </wp:positionV>
                <wp:extent cx="1321061" cy="671265"/>
                <wp:effectExtent l="0" t="0" r="0" b="0"/>
                <wp:wrapNone/>
                <wp:docPr id="24" name="Title 20"/>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321061" cy="671265"/>
                        </a:xfrm>
                        <a:prstGeom prst="rect">
                          <a:avLst/>
                        </a:prstGeom>
                      </wps:spPr>
                      <wps:txbx>
                        <w:txbxContent>
                          <w:p w14:paraId="5F455876" w14:textId="77777777" w:rsidR="0024249D" w:rsidRPr="007B5720" w:rsidRDefault="0024249D" w:rsidP="0024249D">
                            <w:pPr>
                              <w:pStyle w:val="NormalWeb"/>
                              <w:spacing w:before="0" w:beforeAutospacing="0" w:after="0" w:afterAutospacing="0" w:line="216" w:lineRule="auto"/>
                              <w:rPr>
                                <w:sz w:val="56"/>
                                <w:szCs w:val="56"/>
                              </w:rPr>
                            </w:pPr>
                            <w:r>
                              <w:rPr>
                                <w:rFonts w:asciiTheme="majorHAnsi" w:eastAsiaTheme="majorEastAsia" w:hAnsi="Calibri Light" w:cstheme="majorBidi"/>
                                <w:color w:val="000000" w:themeColor="text1"/>
                                <w:kern w:val="24"/>
                                <w:sz w:val="88"/>
                                <w:szCs w:val="88"/>
                              </w:rPr>
                              <w:tab/>
                            </w:r>
                            <w:r w:rsidRPr="007B5720">
                              <w:rPr>
                                <w:rFonts w:asciiTheme="majorHAnsi" w:eastAsiaTheme="majorEastAsia" w:hAnsi="Calibri Light" w:cstheme="majorBidi"/>
                                <w:color w:val="000000" w:themeColor="text1"/>
                                <w:kern w:val="24"/>
                                <w:sz w:val="56"/>
                                <w:szCs w:val="56"/>
                              </w:rPr>
                              <w:t>Jack</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194CE35B" id="Title 20" o:spid="_x0000_s1026" style="position:absolute;margin-left:-70.7pt;margin-top:28.1pt;width:104pt;height:52.8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" filled="f" stroked="f">
                <o:lock v:ext="edit" grouping="t"/>
                <v:textbox>
                  <w:txbxContent>
                    <w:p w14:paraId="5F455876" w14:textId="77777777" w:rsidR="0024249D" w:rsidRPr="007B5720" w:rsidRDefault="0024249D" w:rsidP="0024249D">
                      <w:pPr>
                        <w:pStyle w:val="NormalWeb"/>
                        <w:spacing w:before="0" w:beforeAutospacing="0" w:after="0" w:afterAutospacing="0" w:line="216" w:lineRule="auto"/>
                        <w:rPr>
                          <w:sz w:val="56"/>
                          <w:szCs w:val="56"/>
                        </w:rPr>
                      </w:pPr>
                      <w:r>
                        <w:rPr>
                          <w:rFonts w:asciiTheme="majorHAnsi" w:eastAsiaTheme="majorEastAsia" w:hAnsi="Calibri Light" w:cstheme="majorBidi"/>
                          <w:color w:val="000000" w:themeColor="text1"/>
                          <w:kern w:val="24"/>
                          <w:sz w:val="88"/>
                          <w:szCs w:val="88"/>
                        </w:rPr>
                        <w:tab/>
                      </w:r>
                      <w:r w:rsidRPr="007B5720">
                        <w:rPr>
                          <w:rFonts w:asciiTheme="majorHAnsi" w:eastAsiaTheme="majorEastAsia" w:hAnsi="Calibri Light" w:cstheme="majorBidi"/>
                          <w:color w:val="000000" w:themeColor="text1"/>
                          <w:kern w:val="24"/>
                          <w:sz w:val="56"/>
                          <w:szCs w:val="56"/>
                        </w:rPr>
                        <w:t>Jack</w:t>
                      </w:r>
                    </w:p>
                  </w:txbxContent>
                </v:textbox>
              </v:rect>
            </w:pict>
          </mc:Fallback>
        </mc:AlternateContent>
      </w:r>
    </w:p>
    <w:p w14:paraId="74BE6D1A" w14:textId="77777777" w:rsidR="0024249D" w:rsidRDefault="0024249D" w:rsidP="0024249D">
      <w:pPr>
        <w:rPr>
          <w:rFonts w:ascii="Arial" w:hAnsi="Arial" w:cs="Arial"/>
          <w:sz w:val="18"/>
          <w:szCs w:val="18"/>
        </w:rPr>
      </w:pPr>
    </w:p>
    <w:p w14:paraId="486C628D" w14:textId="77777777" w:rsidR="0024249D" w:rsidRDefault="0024249D" w:rsidP="0024249D">
      <w:pPr>
        <w:rPr>
          <w:rFonts w:ascii="Arial" w:hAnsi="Arial" w:cs="Arial"/>
          <w:sz w:val="18"/>
          <w:szCs w:val="18"/>
        </w:rPr>
      </w:pPr>
    </w:p>
    <w:p w14:paraId="010D887A" w14:textId="77777777" w:rsidR="0024249D" w:rsidRDefault="0024249D" w:rsidP="0024249D">
      <w:pPr>
        <w:rPr>
          <w:rFonts w:ascii="Arial" w:hAnsi="Arial" w:cs="Arial"/>
          <w:sz w:val="18"/>
          <w:szCs w:val="18"/>
        </w:rPr>
      </w:pPr>
    </w:p>
    <w:p w14:paraId="7F396E35" w14:textId="77777777" w:rsidR="0024249D" w:rsidRDefault="0024249D" w:rsidP="0024249D">
      <w:pPr>
        <w:rPr>
          <w:rFonts w:ascii="Arial" w:hAnsi="Arial" w:cs="Arial"/>
          <w:sz w:val="18"/>
          <w:szCs w:val="18"/>
        </w:rPr>
      </w:pPr>
    </w:p>
    <w:p w14:paraId="5945E8CE" w14:textId="77777777" w:rsidR="0024249D" w:rsidRDefault="0024249D" w:rsidP="0024249D">
      <w:pPr>
        <w:rPr>
          <w:rFonts w:ascii="Arial" w:hAnsi="Arial" w:cs="Arial"/>
          <w:sz w:val="18"/>
          <w:szCs w:val="18"/>
        </w:rPr>
      </w:pPr>
    </w:p>
    <w:p w14:paraId="6A010E76" w14:textId="77777777" w:rsidR="0024249D" w:rsidRDefault="0024249D" w:rsidP="0024249D">
      <w:pPr>
        <w:rPr>
          <w:rFonts w:ascii="Arial" w:hAnsi="Arial" w:cs="Arial"/>
          <w:sz w:val="18"/>
          <w:szCs w:val="18"/>
        </w:rPr>
      </w:pPr>
    </w:p>
    <w:p w14:paraId="4594A6B9" w14:textId="77777777" w:rsidR="0024249D" w:rsidRDefault="0024249D" w:rsidP="0024249D">
      <w:pPr>
        <w:rPr>
          <w:rFonts w:ascii="Arial" w:hAnsi="Arial" w:cs="Arial"/>
          <w:sz w:val="18"/>
          <w:szCs w:val="18"/>
        </w:rPr>
      </w:pPr>
    </w:p>
    <w:p w14:paraId="72CCE996" w14:textId="77777777" w:rsidR="0024249D" w:rsidRDefault="0024249D" w:rsidP="0024249D">
      <w:pPr>
        <w:rPr>
          <w:rFonts w:ascii="Arial" w:hAnsi="Arial" w:cs="Arial"/>
          <w:sz w:val="18"/>
          <w:szCs w:val="18"/>
        </w:rPr>
      </w:pPr>
    </w:p>
    <w:p w14:paraId="3A2A0C4A" w14:textId="77777777" w:rsidR="0024249D" w:rsidRDefault="0024249D" w:rsidP="0024249D">
      <w:pPr>
        <w:rPr>
          <w:rFonts w:ascii="Arial" w:hAnsi="Arial" w:cs="Arial"/>
          <w:sz w:val="18"/>
          <w:szCs w:val="18"/>
        </w:rPr>
      </w:pPr>
    </w:p>
    <w:p w14:paraId="7A2642D4" w14:textId="77777777" w:rsidR="0024249D" w:rsidRDefault="0024249D" w:rsidP="0024249D">
      <w:pPr>
        <w:rPr>
          <w:rFonts w:ascii="Arial" w:hAnsi="Arial" w:cs="Arial"/>
          <w:sz w:val="18"/>
          <w:szCs w:val="18"/>
        </w:rPr>
      </w:pPr>
      <w:r>
        <w:rPr>
          <w:noProof/>
          <w:lang w:eastAsia="en-GB"/>
        </w:rPr>
        <w:drawing>
          <wp:anchor distT="0" distB="0" distL="114300" distR="114300" simplePos="0" relativeHeight="251677184" behindDoc="1" locked="0" layoutInCell="1" allowOverlap="1" wp14:anchorId="5C06DFF2" wp14:editId="0ECA38CF">
            <wp:simplePos x="0" y="0"/>
            <wp:positionH relativeFrom="column">
              <wp:posOffset>12700</wp:posOffset>
            </wp:positionH>
            <wp:positionV relativeFrom="paragraph">
              <wp:posOffset>165735</wp:posOffset>
            </wp:positionV>
            <wp:extent cx="5731510" cy="3215005"/>
            <wp:effectExtent l="0" t="0" r="2540" b="444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422" b="-1"/>
                    <a:stretch/>
                  </pic:blipFill>
                  <pic:spPr bwMode="auto">
                    <a:xfrm>
                      <a:off x="0" y="0"/>
                      <a:ext cx="5731510" cy="3215005"/>
                    </a:xfrm>
                    <a:prstGeom prst="rect">
                      <a:avLst/>
                    </a:prstGeom>
                    <a:ln>
                      <a:noFill/>
                    </a:ln>
                    <a:extLst>
                      <a:ext uri="{53640926-AAD7-44D8-BBD7-CCE9431645EC}">
                        <a14:shadowObscured xmlns:a14="http://schemas.microsoft.com/office/drawing/2010/main"/>
                      </a:ext>
                    </a:extLst>
                  </pic:spPr>
                </pic:pic>
              </a:graphicData>
            </a:graphic>
          </wp:anchor>
        </w:drawing>
      </w:r>
    </w:p>
    <w:p w14:paraId="28DEB7F4" w14:textId="77777777" w:rsidR="0024249D" w:rsidRDefault="0024249D" w:rsidP="0024249D">
      <w:pPr>
        <w:rPr>
          <w:rFonts w:ascii="Arial" w:hAnsi="Arial" w:cs="Arial"/>
          <w:sz w:val="18"/>
          <w:szCs w:val="18"/>
        </w:rPr>
      </w:pPr>
    </w:p>
    <w:p w14:paraId="0343C5B7" w14:textId="77777777" w:rsidR="0024249D" w:rsidRDefault="0024249D" w:rsidP="0024249D">
      <w:pPr>
        <w:rPr>
          <w:rFonts w:ascii="Arial" w:hAnsi="Arial" w:cs="Arial"/>
          <w:sz w:val="18"/>
          <w:szCs w:val="18"/>
        </w:rPr>
      </w:pPr>
    </w:p>
    <w:p w14:paraId="5A04A830" w14:textId="77777777" w:rsidR="0024249D" w:rsidRDefault="0024249D" w:rsidP="0024249D">
      <w:pPr>
        <w:rPr>
          <w:rFonts w:ascii="Arial" w:hAnsi="Arial" w:cs="Arial"/>
          <w:sz w:val="18"/>
          <w:szCs w:val="18"/>
        </w:rPr>
      </w:pPr>
    </w:p>
    <w:p w14:paraId="7FB527CE" w14:textId="77777777" w:rsidR="0024249D" w:rsidRDefault="0024249D" w:rsidP="0024249D">
      <w:pPr>
        <w:rPr>
          <w:rFonts w:ascii="Arial" w:hAnsi="Arial" w:cs="Arial"/>
          <w:sz w:val="18"/>
          <w:szCs w:val="18"/>
        </w:rPr>
      </w:pPr>
      <w:r w:rsidRPr="007B5720">
        <w:rPr>
          <w:noProof/>
          <w:lang w:eastAsia="en-GB"/>
        </w:rPr>
        <mc:AlternateContent>
          <mc:Choice Requires="wps">
            <w:drawing>
              <wp:anchor distT="0" distB="0" distL="114300" distR="114300" simplePos="0" relativeHeight="251675136" behindDoc="0" locked="0" layoutInCell="1" allowOverlap="1" wp14:anchorId="7EF21445" wp14:editId="28008850">
                <wp:simplePos x="0" y="0"/>
                <wp:positionH relativeFrom="column">
                  <wp:posOffset>-683895</wp:posOffset>
                </wp:positionH>
                <wp:positionV relativeFrom="paragraph">
                  <wp:posOffset>246380</wp:posOffset>
                </wp:positionV>
                <wp:extent cx="1321061" cy="671265"/>
                <wp:effectExtent l="0" t="0" r="0" b="0"/>
                <wp:wrapNone/>
                <wp:docPr id="25" name="Title 20"/>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321061" cy="671265"/>
                        </a:xfrm>
                        <a:prstGeom prst="rect">
                          <a:avLst/>
                        </a:prstGeom>
                      </wps:spPr>
                      <wps:txbx>
                        <w:txbxContent>
                          <w:p w14:paraId="025F9CBC" w14:textId="77777777" w:rsidR="0024249D" w:rsidRPr="007B5720" w:rsidRDefault="0024249D" w:rsidP="0024249D">
                            <w:pPr>
                              <w:pStyle w:val="NormalWeb"/>
                              <w:spacing w:before="0" w:beforeAutospacing="0" w:after="0" w:afterAutospacing="0" w:line="216" w:lineRule="auto"/>
                              <w:rPr>
                                <w:sz w:val="56"/>
                                <w:szCs w:val="56"/>
                              </w:rPr>
                            </w:pPr>
                            <w:r>
                              <w:rPr>
                                <w:rFonts w:asciiTheme="majorHAnsi" w:eastAsiaTheme="majorEastAsia" w:hAnsi="Calibri Light" w:cstheme="majorBidi"/>
                                <w:color w:val="000000" w:themeColor="text1"/>
                                <w:kern w:val="24"/>
                                <w:sz w:val="88"/>
                                <w:szCs w:val="88"/>
                              </w:rPr>
                              <w:tab/>
                            </w:r>
                            <w:r w:rsidRPr="007B5720">
                              <w:rPr>
                                <w:rFonts w:asciiTheme="majorHAnsi" w:eastAsiaTheme="majorEastAsia" w:hAnsi="Calibri Light" w:cstheme="majorBidi"/>
                                <w:color w:val="000000" w:themeColor="text1"/>
                                <w:kern w:val="24"/>
                                <w:sz w:val="56"/>
                                <w:szCs w:val="56"/>
                              </w:rPr>
                              <w:t>J</w:t>
                            </w:r>
                            <w:r>
                              <w:rPr>
                                <w:rFonts w:asciiTheme="majorHAnsi" w:eastAsiaTheme="majorEastAsia" w:hAnsi="Calibri Light" w:cstheme="majorBidi"/>
                                <w:color w:val="000000" w:themeColor="text1"/>
                                <w:kern w:val="24"/>
                                <w:sz w:val="56"/>
                                <w:szCs w:val="56"/>
                              </w:rPr>
                              <w:t>ill</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7EF21445" id="_x0000_s1027" style="position:absolute;margin-left:-53.85pt;margin-top:19.4pt;width:104pt;height:52.8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" filled="f" stroked="f">
                <o:lock v:ext="edit" grouping="t"/>
                <v:textbox>
                  <w:txbxContent>
                    <w:p w14:paraId="025F9CBC" w14:textId="77777777" w:rsidR="0024249D" w:rsidRPr="007B5720" w:rsidRDefault="0024249D" w:rsidP="0024249D">
                      <w:pPr>
                        <w:pStyle w:val="NormalWeb"/>
                        <w:spacing w:before="0" w:beforeAutospacing="0" w:after="0" w:afterAutospacing="0" w:line="216" w:lineRule="auto"/>
                        <w:rPr>
                          <w:sz w:val="56"/>
                          <w:szCs w:val="56"/>
                        </w:rPr>
                      </w:pPr>
                      <w:r>
                        <w:rPr>
                          <w:rFonts w:asciiTheme="majorHAnsi" w:eastAsiaTheme="majorEastAsia" w:hAnsi="Calibri Light" w:cstheme="majorBidi"/>
                          <w:color w:val="000000" w:themeColor="text1"/>
                          <w:kern w:val="24"/>
                          <w:sz w:val="88"/>
                          <w:szCs w:val="88"/>
                        </w:rPr>
                        <w:tab/>
                      </w:r>
                      <w:r w:rsidRPr="007B5720">
                        <w:rPr>
                          <w:rFonts w:asciiTheme="majorHAnsi" w:eastAsiaTheme="majorEastAsia" w:hAnsi="Calibri Light" w:cstheme="majorBidi"/>
                          <w:color w:val="000000" w:themeColor="text1"/>
                          <w:kern w:val="24"/>
                          <w:sz w:val="56"/>
                          <w:szCs w:val="56"/>
                        </w:rPr>
                        <w:t>J</w:t>
                      </w:r>
                      <w:r>
                        <w:rPr>
                          <w:rFonts w:asciiTheme="majorHAnsi" w:eastAsiaTheme="majorEastAsia" w:hAnsi="Calibri Light" w:cstheme="majorBidi"/>
                          <w:color w:val="000000" w:themeColor="text1"/>
                          <w:kern w:val="24"/>
                          <w:sz w:val="56"/>
                          <w:szCs w:val="56"/>
                        </w:rPr>
                        <w:t>ill</w:t>
                      </w:r>
                    </w:p>
                  </w:txbxContent>
                </v:textbox>
              </v:rect>
            </w:pict>
          </mc:Fallback>
        </mc:AlternateContent>
      </w:r>
    </w:p>
    <w:p w14:paraId="63C51008" w14:textId="77777777" w:rsidR="0024249D" w:rsidRDefault="0024249D" w:rsidP="0024249D">
      <w:pPr>
        <w:rPr>
          <w:rFonts w:ascii="Arial" w:hAnsi="Arial" w:cs="Arial"/>
          <w:sz w:val="18"/>
          <w:szCs w:val="18"/>
        </w:rPr>
      </w:pPr>
    </w:p>
    <w:p w14:paraId="1A04E909" w14:textId="77777777" w:rsidR="0024249D" w:rsidRDefault="0024249D" w:rsidP="0024249D">
      <w:pPr>
        <w:rPr>
          <w:rFonts w:ascii="Arial" w:hAnsi="Arial" w:cs="Arial"/>
          <w:sz w:val="18"/>
          <w:szCs w:val="18"/>
        </w:rPr>
      </w:pPr>
    </w:p>
    <w:p w14:paraId="496CC7D9" w14:textId="77777777" w:rsidR="0024249D" w:rsidRDefault="0024249D" w:rsidP="0024249D">
      <w:pPr>
        <w:rPr>
          <w:rFonts w:ascii="Arial" w:hAnsi="Arial" w:cs="Arial"/>
          <w:sz w:val="18"/>
          <w:szCs w:val="18"/>
        </w:rPr>
      </w:pPr>
    </w:p>
    <w:p w14:paraId="6D3BB7E8" w14:textId="77777777" w:rsidR="0024249D" w:rsidRDefault="0024249D" w:rsidP="0024249D">
      <w:pPr>
        <w:rPr>
          <w:rFonts w:ascii="Arial" w:hAnsi="Arial" w:cs="Arial"/>
          <w:sz w:val="18"/>
          <w:szCs w:val="18"/>
        </w:rPr>
      </w:pPr>
    </w:p>
    <w:p w14:paraId="270B2496" w14:textId="77777777" w:rsidR="0024249D" w:rsidRDefault="0024249D" w:rsidP="0024249D">
      <w:pPr>
        <w:rPr>
          <w:rFonts w:ascii="Arial" w:hAnsi="Arial" w:cs="Arial"/>
          <w:sz w:val="18"/>
          <w:szCs w:val="18"/>
        </w:rPr>
      </w:pPr>
    </w:p>
    <w:p w14:paraId="71875825" w14:textId="77777777" w:rsidR="0024249D" w:rsidRDefault="0024249D" w:rsidP="0024249D">
      <w:pPr>
        <w:rPr>
          <w:rFonts w:ascii="Arial" w:hAnsi="Arial" w:cs="Arial"/>
          <w:sz w:val="18"/>
          <w:szCs w:val="18"/>
        </w:rPr>
      </w:pPr>
    </w:p>
    <w:p w14:paraId="704D727C" w14:textId="77777777" w:rsidR="0024249D" w:rsidRDefault="0024249D" w:rsidP="0024249D">
      <w:pPr>
        <w:rPr>
          <w:rFonts w:ascii="Arial" w:hAnsi="Arial" w:cs="Arial"/>
          <w:sz w:val="18"/>
          <w:szCs w:val="18"/>
        </w:rPr>
      </w:pPr>
    </w:p>
    <w:p w14:paraId="662DE060" w14:textId="77777777" w:rsidR="0024249D" w:rsidRDefault="0024249D" w:rsidP="0024249D">
      <w:pPr>
        <w:rPr>
          <w:rFonts w:ascii="Arial" w:hAnsi="Arial" w:cs="Arial"/>
          <w:sz w:val="18"/>
          <w:szCs w:val="18"/>
        </w:rPr>
      </w:pPr>
    </w:p>
    <w:p w14:paraId="0905C148" w14:textId="77777777" w:rsidR="0024249D" w:rsidRDefault="0024249D" w:rsidP="0024249D">
      <w:pPr>
        <w:rPr>
          <w:rFonts w:ascii="Arial" w:hAnsi="Arial" w:cs="Arial"/>
          <w:sz w:val="18"/>
          <w:szCs w:val="18"/>
        </w:rPr>
      </w:pPr>
    </w:p>
    <w:p w14:paraId="3CD4AB0B" w14:textId="77777777" w:rsidR="0024249D" w:rsidRDefault="0024249D" w:rsidP="0024249D">
      <w:pPr>
        <w:rPr>
          <w:rFonts w:ascii="Arial" w:hAnsi="Arial" w:cs="Arial"/>
          <w:sz w:val="24"/>
          <w:szCs w:val="24"/>
        </w:rPr>
      </w:pPr>
      <w:r w:rsidRPr="002C20A0">
        <w:rPr>
          <w:rFonts w:ascii="Arial" w:hAnsi="Arial" w:cs="Arial"/>
          <w:sz w:val="18"/>
          <w:szCs w:val="18"/>
        </w:rPr>
        <w:t>Figure 1.1: Rich picture illustrating the potential impact of an advance care plan</w:t>
      </w:r>
    </w:p>
    <w:p w14:paraId="45B28E33" w14:textId="77777777" w:rsidR="0024249D" w:rsidRDefault="0024249D" w:rsidP="0024249D">
      <w:pPr>
        <w:rPr>
          <w:rFonts w:ascii="Arial" w:hAnsi="Arial" w:cs="Arial"/>
          <w:sz w:val="24"/>
          <w:szCs w:val="24"/>
        </w:rPr>
      </w:pPr>
    </w:p>
    <w:p w14:paraId="6E06261F" w14:textId="77777777" w:rsidR="0024249D" w:rsidRPr="0027740F" w:rsidRDefault="0024249D" w:rsidP="0024249D">
      <w:pPr>
        <w:rPr>
          <w:rFonts w:ascii="Arial" w:hAnsi="Arial" w:cs="Arial"/>
          <w:sz w:val="24"/>
          <w:szCs w:val="24"/>
        </w:rPr>
      </w:pPr>
      <w:r w:rsidRPr="0027740F">
        <w:rPr>
          <w:rFonts w:ascii="Arial" w:hAnsi="Arial" w:cs="Arial"/>
          <w:sz w:val="24"/>
          <w:szCs w:val="24"/>
        </w:rPr>
        <w:t>Th</w:t>
      </w:r>
      <w:r>
        <w:rPr>
          <w:rFonts w:ascii="Arial" w:hAnsi="Arial" w:cs="Arial"/>
          <w:sz w:val="24"/>
          <w:szCs w:val="24"/>
        </w:rPr>
        <w:t>e</w:t>
      </w:r>
      <w:r w:rsidRPr="0027740F">
        <w:rPr>
          <w:rFonts w:ascii="Arial" w:hAnsi="Arial" w:cs="Arial"/>
          <w:sz w:val="24"/>
          <w:szCs w:val="24"/>
        </w:rPr>
        <w:t xml:space="preserve"> rich picture</w:t>
      </w:r>
      <w:r>
        <w:rPr>
          <w:rFonts w:ascii="Arial" w:hAnsi="Arial" w:cs="Arial"/>
          <w:sz w:val="24"/>
          <w:szCs w:val="24"/>
        </w:rPr>
        <w:t>, in figure 1.1,</w:t>
      </w:r>
      <w:r w:rsidRPr="0027740F">
        <w:rPr>
          <w:rFonts w:ascii="Arial" w:hAnsi="Arial" w:cs="Arial"/>
          <w:sz w:val="24"/>
          <w:szCs w:val="24"/>
        </w:rPr>
        <w:t xml:space="preserve"> illustrates the disease course for two (hypothetical) individuals. Jack and Jill both have chronic medical conditions that bring them to hospital, but this is where their paths deviate. </w:t>
      </w:r>
    </w:p>
    <w:p w14:paraId="7CF16D2B" w14:textId="77777777" w:rsidR="0024249D" w:rsidRPr="0027740F" w:rsidRDefault="0024249D" w:rsidP="0024249D">
      <w:pPr>
        <w:rPr>
          <w:rFonts w:ascii="Arial" w:hAnsi="Arial" w:cs="Arial"/>
          <w:sz w:val="24"/>
          <w:szCs w:val="24"/>
        </w:rPr>
      </w:pPr>
      <w:r w:rsidRPr="0027740F">
        <w:rPr>
          <w:rFonts w:ascii="Arial" w:hAnsi="Arial" w:cs="Arial"/>
          <w:sz w:val="24"/>
          <w:szCs w:val="24"/>
        </w:rPr>
        <w:t>Jack has treatment in hospital, recovers and gets home again. There are further exacerbations of his condition and there are repeated episodes of care in hospital. With every admission his level of independence on discharge is never as great as it was. The hospital experience can best be described as nomadic with the movement from ward to ward and sporadically edible food. ‘Visiting times’ limit his contact with his family. Jack dies in the hospital having spent only a third of his time at home.</w:t>
      </w:r>
    </w:p>
    <w:p w14:paraId="54F5F8D7" w14:textId="77777777" w:rsidR="0024249D" w:rsidRPr="0027740F" w:rsidRDefault="0024249D" w:rsidP="0024249D">
      <w:pPr>
        <w:rPr>
          <w:rFonts w:ascii="Arial" w:hAnsi="Arial" w:cs="Arial"/>
          <w:sz w:val="24"/>
          <w:szCs w:val="24"/>
        </w:rPr>
      </w:pPr>
      <w:r w:rsidRPr="0027740F">
        <w:rPr>
          <w:rFonts w:ascii="Arial" w:hAnsi="Arial" w:cs="Arial"/>
          <w:sz w:val="24"/>
          <w:szCs w:val="24"/>
        </w:rPr>
        <w:t xml:space="preserve">Jill also has treatment in hospital, recovers and gets home again. The intervention, having recognised that further exacerbations and deterioration were possibilities, is that there is opportunity to reflect forwards. She can consider what her priorities are and make her decisions regarding future care – an ‘advance care plan’. </w:t>
      </w:r>
      <w:r>
        <w:rPr>
          <w:rFonts w:ascii="Arial" w:hAnsi="Arial" w:cs="Arial"/>
          <w:sz w:val="24"/>
          <w:szCs w:val="24"/>
        </w:rPr>
        <w:t>The definition is considered in section 2.2; but, in short, is “</w:t>
      </w:r>
      <w:r w:rsidRPr="00E34799">
        <w:rPr>
          <w:rFonts w:ascii="Arial" w:hAnsi="Arial" w:cs="Arial"/>
          <w:sz w:val="24"/>
          <w:szCs w:val="24"/>
        </w:rPr>
        <w:t>a voluntary process of person-centred discussion between an individual and their care providers about their preferences and priorities for their future care”</w:t>
      </w:r>
      <w:r>
        <w:rPr>
          <w:rFonts w:ascii="Arial" w:hAnsi="Arial" w:cs="Arial"/>
          <w:sz w:val="24"/>
          <w:szCs w:val="24"/>
        </w:rPr>
        <w:t xml:space="preserve"> </w:t>
      </w:r>
      <w:r w:rsidRPr="00E34799">
        <w:rPr>
          <w:rFonts w:ascii="Arial" w:hAnsi="Arial" w:cs="Arial"/>
          <w:sz w:val="24"/>
          <w:szCs w:val="24"/>
        </w:rPr>
        <w:t>(CQC, 2021)</w:t>
      </w:r>
      <w:r>
        <w:rPr>
          <w:rFonts w:ascii="Arial" w:hAnsi="Arial" w:cs="Arial"/>
          <w:sz w:val="24"/>
          <w:szCs w:val="24"/>
        </w:rPr>
        <w:t>. So, w</w:t>
      </w:r>
      <w:r w:rsidRPr="0027740F">
        <w:rPr>
          <w:rFonts w:ascii="Arial" w:hAnsi="Arial" w:cs="Arial"/>
          <w:sz w:val="24"/>
          <w:szCs w:val="24"/>
        </w:rPr>
        <w:t xml:space="preserve">hen further exacerbations </w:t>
      </w:r>
      <w:proofErr w:type="gramStart"/>
      <w:r w:rsidRPr="0027740F">
        <w:rPr>
          <w:rFonts w:ascii="Arial" w:hAnsi="Arial" w:cs="Arial"/>
          <w:sz w:val="24"/>
          <w:szCs w:val="24"/>
        </w:rPr>
        <w:t>occur</w:t>
      </w:r>
      <w:proofErr w:type="gramEnd"/>
      <w:r w:rsidRPr="0027740F">
        <w:rPr>
          <w:rFonts w:ascii="Arial" w:hAnsi="Arial" w:cs="Arial"/>
          <w:sz w:val="24"/>
          <w:szCs w:val="24"/>
        </w:rPr>
        <w:t xml:space="preserve"> they are managed at home, in the community setting. Similar to Jack, there is an underlying change in her level of function. However, her quality of life, with ongoing support and connection, is higher. Jill dies at home. She has managed to experience the end of life on her terms, with the majority of time spent at home.</w:t>
      </w:r>
    </w:p>
    <w:p w14:paraId="7B58316F" w14:textId="77777777" w:rsidR="0024249D" w:rsidRDefault="0024249D" w:rsidP="0024249D">
      <w:pPr>
        <w:rPr>
          <w:rFonts w:ascii="Arial" w:hAnsi="Arial" w:cs="Arial"/>
          <w:sz w:val="24"/>
          <w:szCs w:val="24"/>
        </w:rPr>
      </w:pPr>
    </w:p>
    <w:p w14:paraId="016D6DA8" w14:textId="77777777" w:rsidR="0024249D" w:rsidRPr="0027740F" w:rsidRDefault="0024249D" w:rsidP="0024249D">
      <w:pPr>
        <w:rPr>
          <w:rFonts w:ascii="Arial" w:hAnsi="Arial" w:cs="Arial"/>
          <w:sz w:val="24"/>
          <w:szCs w:val="24"/>
        </w:rPr>
      </w:pPr>
      <w:r w:rsidRPr="00CA4B6B">
        <w:rPr>
          <w:rFonts w:ascii="Arial" w:hAnsi="Arial" w:cs="Arial"/>
          <w:sz w:val="24"/>
          <w:szCs w:val="24"/>
        </w:rPr>
        <w:t>1.2</w:t>
      </w:r>
      <w:r w:rsidRPr="00CA4B6B">
        <w:rPr>
          <w:rFonts w:ascii="Arial" w:hAnsi="Arial" w:cs="Arial"/>
          <w:sz w:val="24"/>
          <w:szCs w:val="24"/>
        </w:rPr>
        <w:tab/>
        <w:t>So what</w:t>
      </w:r>
      <w:r>
        <w:rPr>
          <w:rFonts w:ascii="Arial" w:hAnsi="Arial" w:cs="Arial"/>
          <w:sz w:val="24"/>
          <w:szCs w:val="24"/>
        </w:rPr>
        <w:t xml:space="preserve"> – why it matters</w:t>
      </w:r>
    </w:p>
    <w:p w14:paraId="5E148319" w14:textId="77777777" w:rsidR="0024249D" w:rsidRPr="0027740F" w:rsidRDefault="0024249D" w:rsidP="0024249D">
      <w:pPr>
        <w:rPr>
          <w:rFonts w:ascii="Arial" w:hAnsi="Arial" w:cs="Arial"/>
          <w:sz w:val="24"/>
          <w:szCs w:val="24"/>
        </w:rPr>
      </w:pPr>
      <w:r w:rsidRPr="0027740F">
        <w:rPr>
          <w:rFonts w:ascii="Arial" w:hAnsi="Arial" w:cs="Arial"/>
          <w:sz w:val="24"/>
          <w:szCs w:val="24"/>
        </w:rPr>
        <w:t xml:space="preserve">The immediate reflection is what is the benefit of time at home over time in hospital. </w:t>
      </w:r>
    </w:p>
    <w:p w14:paraId="53F63158" w14:textId="77777777" w:rsidR="0024249D" w:rsidRPr="0027740F" w:rsidRDefault="0024249D" w:rsidP="0024249D">
      <w:pPr>
        <w:spacing w:after="0"/>
        <w:rPr>
          <w:rFonts w:ascii="Arial" w:hAnsi="Arial" w:cs="Arial"/>
          <w:sz w:val="24"/>
          <w:szCs w:val="24"/>
        </w:rPr>
      </w:pPr>
      <w:r w:rsidRPr="0027740F">
        <w:rPr>
          <w:rFonts w:ascii="Arial" w:hAnsi="Arial" w:cs="Arial"/>
          <w:sz w:val="24"/>
          <w:szCs w:val="24"/>
        </w:rPr>
        <w:t xml:space="preserve">There is an orthodoxy that home is the preferred place of care for the majority of people (Pollock, 2015). That generalisation is somewhat oversimplified in that the studies included opinions from the general public. The experience, to note, is that preferences can change over time; whether care needs or social factors. There is also the practical component to consider, as the preference may be valid but the logistics are not feasible (the author’s preference to be in the Caribbean is unlikely to be facilitated). Without debating the practicalities, and realities, of the intervention options (whether medical treatments or the realistic immediacy of nursing and carer support); time at home does bring a number of benefits, for example: </w:t>
      </w:r>
    </w:p>
    <w:p w14:paraId="26CFEB6A" w14:textId="77777777" w:rsidR="0024249D" w:rsidRPr="0027740F" w:rsidRDefault="0024249D" w:rsidP="0024249D">
      <w:pPr>
        <w:pStyle w:val="ListParagraph"/>
        <w:numPr>
          <w:ilvl w:val="0"/>
          <w:numId w:val="17"/>
        </w:numPr>
        <w:spacing w:after="0"/>
        <w:rPr>
          <w:rFonts w:ascii="Arial" w:hAnsi="Arial" w:cs="Arial"/>
          <w:sz w:val="24"/>
          <w:szCs w:val="24"/>
        </w:rPr>
      </w:pPr>
      <w:r w:rsidRPr="0027740F">
        <w:rPr>
          <w:rFonts w:ascii="Arial" w:hAnsi="Arial" w:cs="Arial"/>
          <w:sz w:val="24"/>
          <w:szCs w:val="24"/>
        </w:rPr>
        <w:t xml:space="preserve">a smaller team of professionals, rather than multiple teams on multiple wards across multiple admissions, enables better continuity of care. </w:t>
      </w:r>
    </w:p>
    <w:p w14:paraId="1187114F" w14:textId="77777777" w:rsidR="0024249D" w:rsidRPr="0027740F" w:rsidRDefault="0024249D" w:rsidP="0024249D">
      <w:pPr>
        <w:pStyle w:val="ListParagraph"/>
        <w:numPr>
          <w:ilvl w:val="0"/>
          <w:numId w:val="17"/>
        </w:numPr>
        <w:rPr>
          <w:rFonts w:ascii="Arial" w:hAnsi="Arial" w:cs="Arial"/>
          <w:sz w:val="24"/>
          <w:szCs w:val="24"/>
        </w:rPr>
      </w:pPr>
      <w:r w:rsidRPr="0027740F">
        <w:rPr>
          <w:rFonts w:ascii="Arial" w:hAnsi="Arial" w:cs="Arial"/>
          <w:sz w:val="24"/>
          <w:szCs w:val="24"/>
        </w:rPr>
        <w:t>communication will be more open and consistent.</w:t>
      </w:r>
    </w:p>
    <w:p w14:paraId="05AFC856" w14:textId="77777777" w:rsidR="0024249D" w:rsidRPr="0027740F" w:rsidRDefault="0024249D" w:rsidP="0024249D">
      <w:pPr>
        <w:pStyle w:val="ListParagraph"/>
        <w:numPr>
          <w:ilvl w:val="0"/>
          <w:numId w:val="17"/>
        </w:numPr>
        <w:rPr>
          <w:rFonts w:ascii="Arial" w:hAnsi="Arial" w:cs="Arial"/>
          <w:sz w:val="24"/>
          <w:szCs w:val="24"/>
        </w:rPr>
      </w:pPr>
      <w:r w:rsidRPr="0027740F">
        <w:rPr>
          <w:rFonts w:ascii="Arial" w:hAnsi="Arial" w:cs="Arial"/>
          <w:sz w:val="24"/>
          <w:szCs w:val="24"/>
        </w:rPr>
        <w:t>the locus of power rests with the patient rather than the professional.</w:t>
      </w:r>
    </w:p>
    <w:p w14:paraId="43A54D67" w14:textId="77777777" w:rsidR="0024249D" w:rsidRPr="0027740F" w:rsidRDefault="0024249D" w:rsidP="0024249D">
      <w:pPr>
        <w:rPr>
          <w:rFonts w:ascii="Arial" w:hAnsi="Arial" w:cs="Arial"/>
          <w:sz w:val="24"/>
          <w:szCs w:val="24"/>
        </w:rPr>
      </w:pPr>
      <w:r w:rsidRPr="0027740F">
        <w:rPr>
          <w:rFonts w:ascii="Arial" w:hAnsi="Arial" w:cs="Arial"/>
          <w:sz w:val="24"/>
          <w:szCs w:val="24"/>
        </w:rPr>
        <w:t>So ultimately, there can be more chance of dignified care at home.</w:t>
      </w:r>
    </w:p>
    <w:p w14:paraId="3797512B" w14:textId="77777777" w:rsidR="0024249D" w:rsidRPr="0027740F" w:rsidRDefault="0024249D" w:rsidP="0024249D">
      <w:pPr>
        <w:rPr>
          <w:rFonts w:ascii="Arial" w:hAnsi="Arial" w:cs="Arial"/>
          <w:sz w:val="24"/>
          <w:szCs w:val="24"/>
        </w:rPr>
      </w:pPr>
    </w:p>
    <w:p w14:paraId="4311B5EA" w14:textId="77777777" w:rsidR="0024249D" w:rsidRDefault="0024249D" w:rsidP="0024249D">
      <w:pPr>
        <w:rPr>
          <w:rFonts w:ascii="Arial" w:hAnsi="Arial" w:cs="Arial"/>
          <w:sz w:val="24"/>
          <w:szCs w:val="24"/>
        </w:rPr>
      </w:pPr>
      <w:r w:rsidRPr="0027740F">
        <w:rPr>
          <w:rFonts w:ascii="Arial" w:hAnsi="Arial" w:cs="Arial"/>
          <w:sz w:val="24"/>
          <w:szCs w:val="24"/>
        </w:rPr>
        <w:lastRenderedPageBreak/>
        <w:t>‘Home’ is a measurable outcome of the intervention in this scenario. It is a surrogate indicator that precipitates from the opportunity to have open conversations about the trajectory of their illness. Welsh Government had an aspiration (2012) that a similar marker could be the “number of individuals in Wales who die intestate”. ACP, as an intervention, similarly provides a prompt for individuals to write their wills. Welsh Government’s outcome measure has been found wanting to date. The application of ACP will not precipitate universal changes, but the trends in the consequences can be captured and measured. The acknowledgement from looking at the ‘outcomes’ is that they are proxy markers following the stimulus of the offer of discussion regarding future care plans. This emphasizes the patient’s own role in the situation - having an accurate understanding of their stage of disease and giving them authority to share their priorities of care. Or as Atul Gawande</w:t>
      </w:r>
      <w:r>
        <w:rPr>
          <w:rFonts w:ascii="Arial" w:hAnsi="Arial" w:cs="Arial"/>
          <w:sz w:val="24"/>
          <w:szCs w:val="24"/>
        </w:rPr>
        <w:t>, author of Being Mortal,</w:t>
      </w:r>
      <w:r w:rsidRPr="0027740F">
        <w:rPr>
          <w:rFonts w:ascii="Arial" w:hAnsi="Arial" w:cs="Arial"/>
          <w:sz w:val="24"/>
          <w:szCs w:val="24"/>
        </w:rPr>
        <w:t xml:space="preserve"> would phrase it: </w:t>
      </w:r>
    </w:p>
    <w:p w14:paraId="197C9CF0" w14:textId="77777777" w:rsidR="0024249D" w:rsidRPr="008E2E5C" w:rsidRDefault="0024249D" w:rsidP="0024249D">
      <w:pPr>
        <w:pBdr>
          <w:top w:val="single" w:sz="4" w:space="1" w:color="auto"/>
          <w:left w:val="single" w:sz="4" w:space="0" w:color="auto"/>
          <w:bottom w:val="single" w:sz="4" w:space="1" w:color="auto"/>
          <w:right w:val="single" w:sz="4" w:space="4" w:color="auto"/>
        </w:pBdr>
        <w:spacing w:after="0"/>
        <w:ind w:left="284" w:right="237"/>
        <w:rPr>
          <w:rFonts w:ascii="Arial" w:hAnsi="Arial" w:cs="Arial"/>
          <w:iCs/>
          <w:sz w:val="24"/>
          <w:szCs w:val="24"/>
        </w:rPr>
      </w:pPr>
      <w:r w:rsidRPr="008E2E5C">
        <w:rPr>
          <w:rFonts w:ascii="Arial" w:hAnsi="Arial" w:cs="Arial"/>
          <w:iCs/>
          <w:sz w:val="24"/>
          <w:szCs w:val="24"/>
        </w:rPr>
        <w:t xml:space="preserve">“Whenever serious sickness or injury strikes and your body or mind breaks down, the vital questions are the same: </w:t>
      </w:r>
      <w:r w:rsidRPr="008E2E5C">
        <w:rPr>
          <w:rFonts w:ascii="Arial" w:hAnsi="Arial" w:cs="Arial"/>
          <w:iCs/>
          <w:sz w:val="24"/>
          <w:szCs w:val="24"/>
        </w:rPr>
        <w:tab/>
      </w:r>
    </w:p>
    <w:p w14:paraId="5C9D6F3D" w14:textId="77777777" w:rsidR="0024249D" w:rsidRPr="008E2E5C" w:rsidRDefault="0024249D" w:rsidP="0024249D">
      <w:pPr>
        <w:pBdr>
          <w:top w:val="single" w:sz="4" w:space="1" w:color="auto"/>
          <w:left w:val="single" w:sz="4" w:space="0" w:color="auto"/>
          <w:bottom w:val="single" w:sz="4" w:space="1" w:color="auto"/>
          <w:right w:val="single" w:sz="4" w:space="4" w:color="auto"/>
        </w:pBdr>
        <w:spacing w:after="0"/>
        <w:ind w:left="284" w:right="237" w:firstLine="720"/>
        <w:rPr>
          <w:rFonts w:ascii="Arial" w:hAnsi="Arial" w:cs="Arial"/>
          <w:iCs/>
          <w:sz w:val="24"/>
          <w:szCs w:val="24"/>
        </w:rPr>
      </w:pPr>
      <w:r w:rsidRPr="008E2E5C">
        <w:rPr>
          <w:rFonts w:ascii="Arial" w:hAnsi="Arial" w:cs="Arial"/>
          <w:iCs/>
          <w:sz w:val="24"/>
          <w:szCs w:val="24"/>
        </w:rPr>
        <w:t xml:space="preserve">What is your understanding of the situation and its potential outcomes? </w:t>
      </w:r>
    </w:p>
    <w:p w14:paraId="1EC15F03" w14:textId="77777777" w:rsidR="0024249D" w:rsidRDefault="0024249D" w:rsidP="0024249D">
      <w:pPr>
        <w:pBdr>
          <w:top w:val="single" w:sz="4" w:space="1" w:color="auto"/>
          <w:left w:val="single" w:sz="4" w:space="0" w:color="auto"/>
          <w:bottom w:val="single" w:sz="4" w:space="1" w:color="auto"/>
          <w:right w:val="single" w:sz="4" w:space="4" w:color="auto"/>
        </w:pBdr>
        <w:spacing w:after="0"/>
        <w:ind w:left="284" w:right="237" w:firstLine="720"/>
        <w:rPr>
          <w:rFonts w:ascii="Arial" w:hAnsi="Arial" w:cs="Arial"/>
          <w:iCs/>
          <w:sz w:val="24"/>
          <w:szCs w:val="24"/>
        </w:rPr>
      </w:pPr>
      <w:r w:rsidRPr="008E2E5C">
        <w:rPr>
          <w:rFonts w:ascii="Arial" w:hAnsi="Arial" w:cs="Arial"/>
          <w:iCs/>
          <w:sz w:val="24"/>
          <w:szCs w:val="24"/>
        </w:rPr>
        <w:t xml:space="preserve">What are your fears and what are your hopes? </w:t>
      </w:r>
    </w:p>
    <w:p w14:paraId="7B66C67C" w14:textId="77777777" w:rsidR="0024249D" w:rsidRDefault="0024249D" w:rsidP="0024249D">
      <w:pPr>
        <w:pBdr>
          <w:top w:val="single" w:sz="4" w:space="1" w:color="auto"/>
          <w:left w:val="single" w:sz="4" w:space="0" w:color="auto"/>
          <w:bottom w:val="single" w:sz="4" w:space="1" w:color="auto"/>
          <w:right w:val="single" w:sz="4" w:space="4" w:color="auto"/>
        </w:pBdr>
        <w:spacing w:after="0"/>
        <w:ind w:left="284" w:right="237" w:firstLine="720"/>
        <w:rPr>
          <w:rFonts w:ascii="Arial" w:hAnsi="Arial" w:cs="Arial"/>
          <w:iCs/>
          <w:sz w:val="24"/>
          <w:szCs w:val="24"/>
        </w:rPr>
      </w:pPr>
      <w:r>
        <w:rPr>
          <w:rFonts w:ascii="Arial" w:hAnsi="Arial" w:cs="Arial"/>
          <w:iCs/>
          <w:sz w:val="24"/>
          <w:szCs w:val="24"/>
        </w:rPr>
        <w:t>Wh</w:t>
      </w:r>
      <w:r w:rsidRPr="008E2E5C">
        <w:rPr>
          <w:rFonts w:ascii="Arial" w:hAnsi="Arial" w:cs="Arial"/>
          <w:iCs/>
          <w:sz w:val="24"/>
          <w:szCs w:val="24"/>
        </w:rPr>
        <w:t>at are the trade-offs you are willing to make and not willing to mak</w:t>
      </w:r>
      <w:r>
        <w:rPr>
          <w:rFonts w:ascii="Arial" w:hAnsi="Arial" w:cs="Arial"/>
          <w:iCs/>
          <w:sz w:val="24"/>
          <w:szCs w:val="24"/>
        </w:rPr>
        <w:t>e?</w:t>
      </w:r>
    </w:p>
    <w:p w14:paraId="30D97F6E" w14:textId="77777777" w:rsidR="0024249D" w:rsidRDefault="0024249D" w:rsidP="0024249D">
      <w:pPr>
        <w:pBdr>
          <w:top w:val="single" w:sz="4" w:space="1" w:color="auto"/>
          <w:left w:val="single" w:sz="4" w:space="0" w:color="auto"/>
          <w:bottom w:val="single" w:sz="4" w:space="1" w:color="auto"/>
          <w:right w:val="single" w:sz="4" w:space="4" w:color="auto"/>
        </w:pBdr>
        <w:spacing w:after="0"/>
        <w:ind w:left="284" w:right="237" w:firstLine="720"/>
        <w:rPr>
          <w:rFonts w:ascii="Arial" w:hAnsi="Arial" w:cs="Arial"/>
          <w:iCs/>
          <w:sz w:val="24"/>
          <w:szCs w:val="24"/>
        </w:rPr>
      </w:pPr>
      <w:r>
        <w:rPr>
          <w:rFonts w:ascii="Arial" w:hAnsi="Arial" w:cs="Arial"/>
          <w:iCs/>
          <w:sz w:val="24"/>
          <w:szCs w:val="24"/>
        </w:rPr>
        <w:t>And</w:t>
      </w:r>
      <w:r w:rsidRPr="008E2E5C">
        <w:rPr>
          <w:rFonts w:ascii="Arial" w:hAnsi="Arial" w:cs="Arial"/>
          <w:iCs/>
          <w:sz w:val="24"/>
          <w:szCs w:val="24"/>
        </w:rPr>
        <w:t xml:space="preserve"> what is the course of action that best serves this understanding?</w:t>
      </w:r>
      <w:r>
        <w:rPr>
          <w:rFonts w:ascii="Arial" w:hAnsi="Arial" w:cs="Arial"/>
          <w:iCs/>
          <w:sz w:val="24"/>
          <w:szCs w:val="24"/>
        </w:rPr>
        <w:t>”</w:t>
      </w:r>
    </w:p>
    <w:p w14:paraId="22FA6685" w14:textId="77777777" w:rsidR="0024249D" w:rsidRPr="008E2E5C" w:rsidRDefault="0024249D" w:rsidP="0024249D">
      <w:pPr>
        <w:pBdr>
          <w:top w:val="single" w:sz="4" w:space="1" w:color="auto"/>
          <w:left w:val="single" w:sz="4" w:space="0" w:color="auto"/>
          <w:bottom w:val="single" w:sz="4" w:space="1" w:color="auto"/>
          <w:right w:val="single" w:sz="4" w:space="4" w:color="auto"/>
        </w:pBdr>
        <w:spacing w:after="0"/>
        <w:ind w:left="284" w:right="237" w:firstLine="720"/>
        <w:rPr>
          <w:rFonts w:ascii="Arial" w:hAnsi="Arial" w:cs="Arial"/>
          <w:iCs/>
          <w:sz w:val="24"/>
          <w:szCs w:val="24"/>
        </w:rPr>
      </w:pPr>
      <w:r>
        <w:rPr>
          <w:rFonts w:ascii="Arial" w:hAnsi="Arial" w:cs="Arial"/>
          <w:iCs/>
          <w:sz w:val="24"/>
          <w:szCs w:val="24"/>
        </w:rPr>
        <w:t xml:space="preserve">                                                                                        (Gawande, 2015)</w:t>
      </w:r>
    </w:p>
    <w:p w14:paraId="7B3BC1B2" w14:textId="77777777" w:rsidR="0024249D" w:rsidRDefault="0024249D" w:rsidP="0024249D">
      <w:pPr>
        <w:rPr>
          <w:rFonts w:ascii="Arial" w:hAnsi="Arial" w:cs="Arial"/>
          <w:iCs/>
          <w:sz w:val="24"/>
          <w:szCs w:val="24"/>
        </w:rPr>
      </w:pPr>
    </w:p>
    <w:p w14:paraId="3E82D182" w14:textId="77777777" w:rsidR="0024249D" w:rsidRDefault="0024249D" w:rsidP="0024249D">
      <w:pPr>
        <w:rPr>
          <w:rFonts w:ascii="Arial" w:hAnsi="Arial" w:cs="Arial"/>
          <w:sz w:val="24"/>
          <w:szCs w:val="24"/>
        </w:rPr>
      </w:pPr>
      <w:r>
        <w:rPr>
          <w:rFonts w:ascii="Arial" w:hAnsi="Arial" w:cs="Arial"/>
          <w:sz w:val="24"/>
          <w:szCs w:val="24"/>
        </w:rPr>
        <w:t>1.3</w:t>
      </w:r>
      <w:r>
        <w:rPr>
          <w:rFonts w:ascii="Arial" w:hAnsi="Arial" w:cs="Arial"/>
          <w:sz w:val="24"/>
          <w:szCs w:val="24"/>
        </w:rPr>
        <w:tab/>
        <w:t>Now what – the challenge of digitalisation</w:t>
      </w:r>
    </w:p>
    <w:p w14:paraId="3BAC4E34" w14:textId="77777777" w:rsidR="0024249D" w:rsidRDefault="0024249D" w:rsidP="0024249D">
      <w:pPr>
        <w:rPr>
          <w:rFonts w:ascii="Arial" w:hAnsi="Arial" w:cs="Arial"/>
          <w:sz w:val="24"/>
          <w:szCs w:val="24"/>
        </w:rPr>
      </w:pPr>
      <w:r>
        <w:rPr>
          <w:rFonts w:ascii="Arial" w:hAnsi="Arial" w:cs="Arial"/>
          <w:sz w:val="24"/>
          <w:szCs w:val="24"/>
        </w:rPr>
        <w:t>The ‘advance care plan’ is an intervention which could draw on Atul Gawande’s reflections. This could facilitate a change in experiences for those (and those meaningful to them) at the end of their lives.</w:t>
      </w:r>
    </w:p>
    <w:p w14:paraId="5C4102E5" w14:textId="77777777" w:rsidR="0024249D" w:rsidRDefault="0024249D" w:rsidP="0024249D">
      <w:pPr>
        <w:rPr>
          <w:rFonts w:ascii="Arial" w:hAnsi="Arial" w:cs="Arial"/>
          <w:sz w:val="24"/>
          <w:szCs w:val="24"/>
        </w:rPr>
      </w:pPr>
      <w:r>
        <w:rPr>
          <w:rFonts w:ascii="Arial" w:hAnsi="Arial" w:cs="Arial"/>
          <w:sz w:val="24"/>
          <w:szCs w:val="24"/>
        </w:rPr>
        <w:t xml:space="preserve">This dissertation considers how the wealth of digital data that is now available can be utilised to identify individuals approaching their final phase of life. Dr Ollie Minton (senior medical editor at Macmillan Cancer Support) asserts that “what we don’t routinely do is work out when we [specialist palliative care services] should be involved” (Minton, 2024) He describes what palliative care teams do as being “unconsciously competent”. Identifying those where there is an opportunity for intervention, as in the rich picture, provides empowerment to the professionals (not exclusively the unconsciously competent) in initiating a different focus of care. It also brings empowerment for individual patients in contributing to their choices regarding care. </w:t>
      </w:r>
    </w:p>
    <w:p w14:paraId="4518FB82" w14:textId="77777777" w:rsidR="0024249D" w:rsidRDefault="0024249D" w:rsidP="0024249D">
      <w:pPr>
        <w:rPr>
          <w:rFonts w:ascii="Arial" w:hAnsi="Arial" w:cs="Arial"/>
          <w:color w:val="001D35"/>
          <w:sz w:val="24"/>
          <w:szCs w:val="24"/>
          <w:shd w:val="clear" w:color="auto" w:fill="FFFFFF"/>
        </w:rPr>
      </w:pPr>
      <w:r>
        <w:rPr>
          <w:rFonts w:ascii="Arial" w:hAnsi="Arial" w:cs="Arial"/>
          <w:sz w:val="24"/>
          <w:szCs w:val="24"/>
        </w:rPr>
        <w:t>Rather than exploring the research question through the ‘four stages of competence’ (</w:t>
      </w:r>
      <w:r w:rsidRPr="00D931F0">
        <w:rPr>
          <w:rFonts w:ascii="Arial" w:hAnsi="Arial" w:cs="Arial"/>
          <w:color w:val="001D35"/>
          <w:sz w:val="24"/>
          <w:szCs w:val="24"/>
          <w:shd w:val="clear" w:color="auto" w:fill="FFFFFF"/>
        </w:rPr>
        <w:t xml:space="preserve">De </w:t>
      </w:r>
      <w:r w:rsidRPr="004D43D0">
        <w:rPr>
          <w:rFonts w:ascii="Arial" w:hAnsi="Arial" w:cs="Arial"/>
          <w:sz w:val="24"/>
          <w:szCs w:val="24"/>
        </w:rPr>
        <w:t xml:space="preserve">Phillips, Berliner and </w:t>
      </w:r>
      <w:proofErr w:type="spellStart"/>
      <w:r w:rsidRPr="004D43D0">
        <w:rPr>
          <w:rFonts w:ascii="Arial" w:hAnsi="Arial" w:cs="Arial"/>
          <w:sz w:val="24"/>
          <w:szCs w:val="24"/>
        </w:rPr>
        <w:t>Cribbin</w:t>
      </w:r>
      <w:proofErr w:type="spellEnd"/>
      <w:r w:rsidRPr="004D43D0">
        <w:rPr>
          <w:rFonts w:ascii="Arial" w:hAnsi="Arial" w:cs="Arial"/>
          <w:sz w:val="24"/>
          <w:szCs w:val="24"/>
        </w:rPr>
        <w:t>, 1960) the lens of the Rumsfeld matrix</w:t>
      </w:r>
      <w:r>
        <w:rPr>
          <w:rFonts w:ascii="Arial" w:hAnsi="Arial" w:cs="Arial"/>
          <w:sz w:val="24"/>
          <w:szCs w:val="24"/>
        </w:rPr>
        <w:t xml:space="preserve"> (</w:t>
      </w:r>
      <w:proofErr w:type="spellStart"/>
      <w:r>
        <w:rPr>
          <w:rFonts w:ascii="Arial" w:hAnsi="Arial" w:cs="Arial"/>
          <w:sz w:val="24"/>
          <w:szCs w:val="24"/>
        </w:rPr>
        <w:t>Krogerus</w:t>
      </w:r>
      <w:proofErr w:type="spellEnd"/>
      <w:r>
        <w:rPr>
          <w:rFonts w:ascii="Arial" w:hAnsi="Arial" w:cs="Arial"/>
          <w:sz w:val="24"/>
          <w:szCs w:val="24"/>
        </w:rPr>
        <w:t>, 2023) will be used</w:t>
      </w:r>
      <w:r w:rsidRPr="004D43D0">
        <w:rPr>
          <w:rFonts w:ascii="Arial" w:hAnsi="Arial" w:cs="Arial"/>
          <w:sz w:val="24"/>
          <w:szCs w:val="24"/>
        </w:rPr>
        <w:t xml:space="preserve">. </w:t>
      </w:r>
      <w:r w:rsidRPr="00D25C90">
        <w:rPr>
          <w:rFonts w:ascii="Arial" w:hAnsi="Arial" w:cs="Arial"/>
          <w:color w:val="001D35"/>
          <w:sz w:val="24"/>
          <w:szCs w:val="24"/>
          <w:shd w:val="clear" w:color="auto" w:fill="FFFFFF"/>
        </w:rPr>
        <w:t>Digitalizing clinical processes and data can be very challenging due to a number of factors (Borges do Nascimento et al., 2023). These have been highlighted in table 1.1. In its entirety this aspiration, of accessing digitalised data to identify those on whom to focus discussions regarding advance care planning, would need a larger group and take a longer time. So, this dissertation explores a smaller (more manageable) step which will inform the larger project.</w:t>
      </w:r>
    </w:p>
    <w:p w14:paraId="6A758EC7" w14:textId="77777777" w:rsidR="0024249D" w:rsidRPr="00795FC4" w:rsidRDefault="0024249D" w:rsidP="0024249D">
      <w:pPr>
        <w:rPr>
          <w:rFonts w:ascii="Arial" w:hAnsi="Arial" w:cs="Arial"/>
          <w:sz w:val="18"/>
          <w:szCs w:val="18"/>
        </w:rPr>
      </w:pPr>
      <w:r w:rsidRPr="00795FC4">
        <w:rPr>
          <w:rFonts w:ascii="Arial" w:hAnsi="Arial" w:cs="Arial"/>
          <w:sz w:val="18"/>
          <w:szCs w:val="18"/>
        </w:rPr>
        <w:lastRenderedPageBreak/>
        <w:t>Table 1.</w:t>
      </w:r>
      <w:r>
        <w:rPr>
          <w:rFonts w:ascii="Arial" w:hAnsi="Arial" w:cs="Arial"/>
          <w:sz w:val="18"/>
          <w:szCs w:val="18"/>
        </w:rPr>
        <w:t>1</w:t>
      </w:r>
      <w:r w:rsidRPr="00795FC4">
        <w:rPr>
          <w:rFonts w:ascii="Arial" w:hAnsi="Arial" w:cs="Arial"/>
          <w:sz w:val="18"/>
          <w:szCs w:val="18"/>
        </w:rPr>
        <w:t xml:space="preserve">: </w:t>
      </w:r>
      <w:r>
        <w:rPr>
          <w:rFonts w:ascii="Arial" w:hAnsi="Arial" w:cs="Arial"/>
          <w:sz w:val="18"/>
          <w:szCs w:val="18"/>
        </w:rPr>
        <w:t>T</w:t>
      </w:r>
      <w:r w:rsidRPr="00795FC4">
        <w:rPr>
          <w:rFonts w:ascii="Arial" w:hAnsi="Arial" w:cs="Arial"/>
          <w:sz w:val="18"/>
          <w:szCs w:val="18"/>
        </w:rPr>
        <w:t xml:space="preserve">op </w:t>
      </w:r>
      <w:r>
        <w:rPr>
          <w:rFonts w:ascii="Arial" w:hAnsi="Arial" w:cs="Arial"/>
          <w:sz w:val="18"/>
          <w:szCs w:val="18"/>
        </w:rPr>
        <w:t>seven</w:t>
      </w:r>
      <w:r w:rsidRPr="00795FC4">
        <w:rPr>
          <w:rFonts w:ascii="Arial" w:hAnsi="Arial" w:cs="Arial"/>
          <w:sz w:val="18"/>
          <w:szCs w:val="18"/>
        </w:rPr>
        <w:t xml:space="preserve"> identified barriers to adopting Digital Health Technologies (DHT) (</w:t>
      </w:r>
      <w:r w:rsidRPr="00795FC4">
        <w:rPr>
          <w:rFonts w:ascii="Arial" w:hAnsi="Arial" w:cs="Arial"/>
          <w:color w:val="001D35"/>
          <w:sz w:val="18"/>
          <w:szCs w:val="18"/>
          <w:shd w:val="clear" w:color="auto" w:fill="FFFFFF"/>
        </w:rPr>
        <w:t>Borges do Nascimento et al., 2023)</w:t>
      </w:r>
    </w:p>
    <w:tbl>
      <w:tblPr>
        <w:tblStyle w:val="TableGrid"/>
        <w:tblW w:w="0" w:type="auto"/>
        <w:tblLook w:val="04A0" w:firstRow="1" w:lastRow="0" w:firstColumn="1" w:lastColumn="0" w:noHBand="0" w:noVBand="1"/>
      </w:tblPr>
      <w:tblGrid>
        <w:gridCol w:w="9016"/>
      </w:tblGrid>
      <w:tr w:rsidR="0024249D" w:rsidRPr="00795FC4" w14:paraId="259DF197" w14:textId="77777777" w:rsidTr="00F2612A">
        <w:tc>
          <w:tcPr>
            <w:tcW w:w="9016" w:type="dxa"/>
          </w:tcPr>
          <w:p w14:paraId="3AF35F5B" w14:textId="77777777" w:rsidR="0024249D" w:rsidRPr="00795FC4" w:rsidRDefault="0024249D" w:rsidP="00F2612A">
            <w:pPr>
              <w:rPr>
                <w:rFonts w:ascii="Arial" w:hAnsi="Arial" w:cs="Arial"/>
                <w:sz w:val="24"/>
                <w:szCs w:val="24"/>
              </w:rPr>
            </w:pPr>
            <w:r w:rsidRPr="00795FC4">
              <w:rPr>
                <w:rFonts w:ascii="Arial" w:hAnsi="Arial" w:cs="Arial"/>
                <w:sz w:val="24"/>
                <w:szCs w:val="24"/>
              </w:rPr>
              <w:t>1.</w:t>
            </w:r>
            <w:r w:rsidRPr="00795FC4">
              <w:rPr>
                <w:rFonts w:ascii="Arial" w:eastAsia="Times New Roman" w:hAnsi="Arial" w:cs="Arial"/>
                <w:color w:val="1B1B1B"/>
                <w:sz w:val="24"/>
                <w:szCs w:val="24"/>
                <w:lang w:eastAsia="en-GB"/>
              </w:rPr>
              <w:t xml:space="preserve"> Healthcare professionals perceived that infrastructure and technical barriers were significantly crucial to using DHTs</w:t>
            </w:r>
          </w:p>
        </w:tc>
      </w:tr>
      <w:tr w:rsidR="0024249D" w:rsidRPr="00795FC4" w14:paraId="28E04558" w14:textId="77777777" w:rsidTr="00F2612A">
        <w:tc>
          <w:tcPr>
            <w:tcW w:w="9016" w:type="dxa"/>
          </w:tcPr>
          <w:p w14:paraId="3749E4EE" w14:textId="77777777" w:rsidR="0024249D" w:rsidRPr="00795FC4" w:rsidRDefault="0024249D" w:rsidP="00F2612A">
            <w:pPr>
              <w:rPr>
                <w:rFonts w:ascii="Arial" w:hAnsi="Arial" w:cs="Arial"/>
                <w:sz w:val="24"/>
                <w:szCs w:val="24"/>
              </w:rPr>
            </w:pPr>
            <w:r w:rsidRPr="00795FC4">
              <w:rPr>
                <w:rFonts w:ascii="Arial" w:hAnsi="Arial" w:cs="Arial"/>
                <w:sz w:val="24"/>
                <w:szCs w:val="24"/>
              </w:rPr>
              <w:t xml:space="preserve">2. </w:t>
            </w:r>
            <w:r w:rsidRPr="00795FC4">
              <w:rPr>
                <w:rFonts w:ascii="Arial" w:eastAsia="Times New Roman" w:hAnsi="Arial" w:cs="Arial"/>
                <w:color w:val="1B1B1B"/>
                <w:sz w:val="24"/>
                <w:szCs w:val="24"/>
                <w:lang w:eastAsia="en-GB"/>
              </w:rPr>
              <w:t>Healthcare professionals perceived that psychological and personal issues directly affect the utilization of DHTs</w:t>
            </w:r>
          </w:p>
        </w:tc>
      </w:tr>
      <w:tr w:rsidR="0024249D" w:rsidRPr="00795FC4" w14:paraId="760713FD" w14:textId="77777777" w:rsidTr="00F2612A">
        <w:tc>
          <w:tcPr>
            <w:tcW w:w="9016" w:type="dxa"/>
          </w:tcPr>
          <w:p w14:paraId="3ED1145D" w14:textId="77777777" w:rsidR="0024249D" w:rsidRPr="00795FC4" w:rsidRDefault="0024249D" w:rsidP="00F2612A">
            <w:pPr>
              <w:rPr>
                <w:rFonts w:ascii="Arial" w:hAnsi="Arial" w:cs="Arial"/>
                <w:sz w:val="24"/>
                <w:szCs w:val="24"/>
              </w:rPr>
            </w:pPr>
            <w:r w:rsidRPr="00795FC4">
              <w:rPr>
                <w:rFonts w:ascii="Arial" w:hAnsi="Arial" w:cs="Arial"/>
                <w:sz w:val="24"/>
                <w:szCs w:val="24"/>
              </w:rPr>
              <w:t>3</w:t>
            </w:r>
            <w:r w:rsidRPr="00795FC4">
              <w:rPr>
                <w:rFonts w:ascii="Arial" w:eastAsia="Times New Roman" w:hAnsi="Arial" w:cs="Arial"/>
                <w:color w:val="1B1B1B"/>
                <w:sz w:val="24"/>
                <w:szCs w:val="24"/>
                <w:lang w:eastAsia="en-GB"/>
              </w:rPr>
              <w:t>. Fear of increased working hours and workload hinder the adoption and broad use of DHTs</w:t>
            </w:r>
          </w:p>
        </w:tc>
      </w:tr>
      <w:tr w:rsidR="0024249D" w:rsidRPr="00795FC4" w14:paraId="1E2E8848" w14:textId="77777777" w:rsidTr="00F2612A">
        <w:tc>
          <w:tcPr>
            <w:tcW w:w="9016" w:type="dxa"/>
          </w:tcPr>
          <w:p w14:paraId="0896D9CF" w14:textId="77777777" w:rsidR="0024249D" w:rsidRPr="00795FC4" w:rsidRDefault="0024249D" w:rsidP="00F2612A">
            <w:pPr>
              <w:rPr>
                <w:rFonts w:ascii="Arial" w:hAnsi="Arial" w:cs="Arial"/>
                <w:sz w:val="24"/>
                <w:szCs w:val="24"/>
              </w:rPr>
            </w:pPr>
            <w:r w:rsidRPr="00795FC4">
              <w:rPr>
                <w:rFonts w:ascii="Arial" w:hAnsi="Arial" w:cs="Arial"/>
                <w:sz w:val="24"/>
                <w:szCs w:val="24"/>
              </w:rPr>
              <w:t>4</w:t>
            </w:r>
            <w:r w:rsidRPr="00795FC4">
              <w:rPr>
                <w:rFonts w:ascii="Arial" w:eastAsia="Times New Roman" w:hAnsi="Arial" w:cs="Arial"/>
                <w:color w:val="1B1B1B"/>
                <w:sz w:val="24"/>
                <w:szCs w:val="24"/>
                <w:lang w:eastAsia="en-GB"/>
              </w:rPr>
              <w:t>. Healthcare professionals are aware and alert to legal and ethical features of using DHTs, factors that interfere with the success rate of any DHT</w:t>
            </w:r>
          </w:p>
        </w:tc>
      </w:tr>
      <w:tr w:rsidR="0024249D" w:rsidRPr="00795FC4" w14:paraId="783FBA93" w14:textId="77777777" w:rsidTr="00F2612A">
        <w:tc>
          <w:tcPr>
            <w:tcW w:w="9016" w:type="dxa"/>
          </w:tcPr>
          <w:p w14:paraId="7A2F00D4" w14:textId="77777777" w:rsidR="0024249D" w:rsidRPr="00795FC4" w:rsidRDefault="0024249D" w:rsidP="00F2612A">
            <w:pPr>
              <w:rPr>
                <w:rFonts w:ascii="Arial" w:hAnsi="Arial" w:cs="Arial"/>
                <w:sz w:val="24"/>
                <w:szCs w:val="24"/>
              </w:rPr>
            </w:pPr>
            <w:r w:rsidRPr="00795FC4">
              <w:rPr>
                <w:rFonts w:ascii="Arial" w:hAnsi="Arial" w:cs="Arial"/>
                <w:sz w:val="24"/>
                <w:szCs w:val="24"/>
              </w:rPr>
              <w:t>5</w:t>
            </w:r>
            <w:r w:rsidRPr="00795FC4">
              <w:rPr>
                <w:rFonts w:ascii="Arial" w:eastAsia="Times New Roman" w:hAnsi="Arial" w:cs="Arial"/>
                <w:color w:val="1B1B1B"/>
                <w:sz w:val="24"/>
                <w:szCs w:val="24"/>
                <w:lang w:eastAsia="en-GB"/>
              </w:rPr>
              <w:t>. Lack of training and educational programs causes a negative experience for healthcare professionals using DHTs, decreasing their use</w:t>
            </w:r>
          </w:p>
        </w:tc>
      </w:tr>
      <w:tr w:rsidR="0024249D" w:rsidRPr="00795FC4" w14:paraId="663CE150" w14:textId="77777777" w:rsidTr="00F2612A">
        <w:tc>
          <w:tcPr>
            <w:tcW w:w="9016" w:type="dxa"/>
          </w:tcPr>
          <w:p w14:paraId="3FE59975" w14:textId="77777777" w:rsidR="0024249D" w:rsidRPr="00795FC4" w:rsidRDefault="0024249D" w:rsidP="00F2612A">
            <w:pPr>
              <w:rPr>
                <w:rFonts w:ascii="Arial" w:hAnsi="Arial" w:cs="Arial"/>
                <w:sz w:val="24"/>
                <w:szCs w:val="24"/>
              </w:rPr>
            </w:pPr>
            <w:r w:rsidRPr="00795FC4">
              <w:rPr>
                <w:rFonts w:ascii="Arial" w:eastAsia="Times New Roman" w:hAnsi="Arial" w:cs="Arial"/>
                <w:color w:val="1B1B1B"/>
                <w:sz w:val="24"/>
                <w:szCs w:val="24"/>
                <w:lang w:eastAsia="en-GB"/>
              </w:rPr>
              <w:t>6. The structure of the healthcare system and lack of financial support limit the use of DHTs</w:t>
            </w:r>
          </w:p>
        </w:tc>
      </w:tr>
      <w:tr w:rsidR="0024249D" w:rsidRPr="00795FC4" w14:paraId="3C191D1D" w14:textId="77777777" w:rsidTr="00F2612A">
        <w:tc>
          <w:tcPr>
            <w:tcW w:w="9016" w:type="dxa"/>
          </w:tcPr>
          <w:p w14:paraId="489CA2AA" w14:textId="77777777" w:rsidR="0024249D" w:rsidRPr="00795FC4" w:rsidRDefault="0024249D" w:rsidP="00F2612A">
            <w:pPr>
              <w:rPr>
                <w:rFonts w:ascii="Arial" w:hAnsi="Arial" w:cs="Arial"/>
                <w:sz w:val="24"/>
                <w:szCs w:val="24"/>
              </w:rPr>
            </w:pPr>
            <w:r w:rsidRPr="00795FC4">
              <w:rPr>
                <w:rFonts w:ascii="Arial" w:eastAsia="Times New Roman" w:hAnsi="Arial" w:cs="Arial"/>
                <w:color w:val="1B1B1B"/>
                <w:sz w:val="24"/>
                <w:szCs w:val="24"/>
                <w:lang w:eastAsia="en-GB"/>
              </w:rPr>
              <w:t>7. Interoperability and data incompatibility are conflicting elements in using DHTs</w:t>
            </w:r>
          </w:p>
        </w:tc>
      </w:tr>
    </w:tbl>
    <w:p w14:paraId="2A7EB4B5" w14:textId="77777777" w:rsidR="0024249D" w:rsidRPr="00D25C90" w:rsidRDefault="0024249D" w:rsidP="0024249D">
      <w:pPr>
        <w:spacing w:after="0"/>
        <w:rPr>
          <w:rFonts w:ascii="Arial" w:hAnsi="Arial" w:cs="Arial"/>
          <w:color w:val="001D35"/>
          <w:sz w:val="24"/>
          <w:szCs w:val="24"/>
          <w:shd w:val="clear" w:color="auto" w:fill="FFFFFF"/>
        </w:rPr>
      </w:pPr>
    </w:p>
    <w:p w14:paraId="59E74F0E" w14:textId="77777777" w:rsidR="0024249D" w:rsidRDefault="0024249D" w:rsidP="0024249D">
      <w:pPr>
        <w:spacing w:after="0"/>
        <w:rPr>
          <w:rFonts w:ascii="Arial" w:hAnsi="Arial" w:cs="Arial"/>
          <w:color w:val="001D35"/>
          <w:sz w:val="24"/>
          <w:szCs w:val="24"/>
          <w:shd w:val="clear" w:color="auto" w:fill="FFFFFF"/>
        </w:rPr>
      </w:pPr>
      <w:r>
        <w:rPr>
          <w:rFonts w:ascii="Arial" w:hAnsi="Arial" w:cs="Arial"/>
          <w:color w:val="001D35"/>
          <w:sz w:val="24"/>
          <w:szCs w:val="24"/>
          <w:shd w:val="clear" w:color="auto" w:fill="FFFFFF"/>
        </w:rPr>
        <w:t>In studying the ‘f</w:t>
      </w:r>
      <w:r w:rsidRPr="00D25C90">
        <w:rPr>
          <w:rFonts w:ascii="Arial" w:hAnsi="Arial" w:cs="Arial"/>
          <w:color w:val="001D35"/>
          <w:sz w:val="24"/>
          <w:szCs w:val="24"/>
          <w:shd w:val="clear" w:color="auto" w:fill="FFFFFF"/>
        </w:rPr>
        <w:t>easibility of a prognostication aid to promote advance care planning</w:t>
      </w:r>
      <w:r>
        <w:rPr>
          <w:rFonts w:ascii="Arial" w:hAnsi="Arial" w:cs="Arial"/>
          <w:color w:val="001D35"/>
          <w:sz w:val="24"/>
          <w:szCs w:val="24"/>
          <w:shd w:val="clear" w:color="auto" w:fill="FFFFFF"/>
        </w:rPr>
        <w:t>’, the objectives are:</w:t>
      </w:r>
    </w:p>
    <w:p w14:paraId="19D0BAFC" w14:textId="77777777" w:rsidR="0024249D" w:rsidRPr="002A2EBF" w:rsidRDefault="0024249D" w:rsidP="0024249D">
      <w:pPr>
        <w:pStyle w:val="ListParagraph"/>
        <w:numPr>
          <w:ilvl w:val="0"/>
          <w:numId w:val="18"/>
        </w:numPr>
        <w:rPr>
          <w:rFonts w:ascii="Arial" w:hAnsi="Arial" w:cs="Arial"/>
          <w:color w:val="001D35"/>
          <w:sz w:val="24"/>
          <w:szCs w:val="24"/>
          <w:shd w:val="clear" w:color="auto" w:fill="FFFFFF"/>
        </w:rPr>
      </w:pPr>
      <w:r w:rsidRPr="002A2EBF">
        <w:rPr>
          <w:rFonts w:ascii="Arial" w:hAnsi="Arial" w:cs="Arial"/>
          <w:color w:val="001D35"/>
          <w:sz w:val="24"/>
          <w:szCs w:val="24"/>
          <w:shd w:val="clear" w:color="auto" w:fill="FFFFFF"/>
        </w:rPr>
        <w:t>Specifically – to increase the stakeholder’s awareness of the association of dying within 12 months of being an inpatient.</w:t>
      </w:r>
    </w:p>
    <w:p w14:paraId="77A2026D" w14:textId="77777777" w:rsidR="0024249D" w:rsidRDefault="0024249D" w:rsidP="0024249D">
      <w:pPr>
        <w:pStyle w:val="ListParagraph"/>
        <w:numPr>
          <w:ilvl w:val="0"/>
          <w:numId w:val="18"/>
        </w:numPr>
        <w:rPr>
          <w:rFonts w:ascii="Arial" w:hAnsi="Arial" w:cs="Arial"/>
          <w:color w:val="001D35"/>
          <w:sz w:val="24"/>
          <w:szCs w:val="24"/>
          <w:shd w:val="clear" w:color="auto" w:fill="FFFFFF"/>
        </w:rPr>
      </w:pPr>
      <w:r>
        <w:rPr>
          <w:rFonts w:ascii="Arial" w:hAnsi="Arial" w:cs="Arial"/>
          <w:color w:val="001D35"/>
          <w:sz w:val="24"/>
          <w:szCs w:val="24"/>
          <w:shd w:val="clear" w:color="auto" w:fill="FFFFFF"/>
        </w:rPr>
        <w:t>Measurable – to track the mortality rates for all inpatients from a census date over the following 12 months.</w:t>
      </w:r>
    </w:p>
    <w:p w14:paraId="1D44083C" w14:textId="77777777" w:rsidR="0024249D" w:rsidRDefault="0024249D" w:rsidP="0024249D">
      <w:pPr>
        <w:pStyle w:val="ListParagraph"/>
        <w:numPr>
          <w:ilvl w:val="0"/>
          <w:numId w:val="18"/>
        </w:numPr>
        <w:rPr>
          <w:rFonts w:ascii="Arial" w:hAnsi="Arial" w:cs="Arial"/>
          <w:color w:val="001D35"/>
          <w:sz w:val="24"/>
          <w:szCs w:val="24"/>
          <w:shd w:val="clear" w:color="auto" w:fill="FFFFFF"/>
        </w:rPr>
      </w:pPr>
      <w:r>
        <w:rPr>
          <w:rFonts w:ascii="Arial" w:hAnsi="Arial" w:cs="Arial"/>
          <w:color w:val="001D35"/>
          <w:sz w:val="24"/>
          <w:szCs w:val="24"/>
          <w:shd w:val="clear" w:color="auto" w:fill="FFFFFF"/>
        </w:rPr>
        <w:t>Achievable – to schedule one-to-one semi-structured interviews with stakeholders in order to appreciate their perspectives about the perceived feasibility of this project.</w:t>
      </w:r>
    </w:p>
    <w:p w14:paraId="55FCAA5B" w14:textId="77777777" w:rsidR="0024249D" w:rsidRDefault="0024249D" w:rsidP="0024249D">
      <w:pPr>
        <w:pStyle w:val="ListParagraph"/>
        <w:numPr>
          <w:ilvl w:val="0"/>
          <w:numId w:val="18"/>
        </w:numPr>
        <w:rPr>
          <w:rFonts w:ascii="Arial" w:hAnsi="Arial" w:cs="Arial"/>
          <w:color w:val="001D35"/>
          <w:sz w:val="24"/>
          <w:szCs w:val="24"/>
          <w:shd w:val="clear" w:color="auto" w:fill="FFFFFF"/>
        </w:rPr>
      </w:pPr>
      <w:r>
        <w:rPr>
          <w:rFonts w:ascii="Arial" w:hAnsi="Arial" w:cs="Arial"/>
          <w:color w:val="001D35"/>
          <w:sz w:val="24"/>
          <w:szCs w:val="24"/>
          <w:shd w:val="clear" w:color="auto" w:fill="FFFFFF"/>
        </w:rPr>
        <w:t>Relevant – to demonstrate the appropriateness of the timing of the intervention of advance care planning.</w:t>
      </w:r>
    </w:p>
    <w:p w14:paraId="5920469D" w14:textId="77777777" w:rsidR="0024249D" w:rsidRDefault="0024249D" w:rsidP="0024249D">
      <w:pPr>
        <w:pStyle w:val="ListParagraph"/>
        <w:numPr>
          <w:ilvl w:val="0"/>
          <w:numId w:val="18"/>
        </w:numPr>
        <w:rPr>
          <w:rFonts w:ascii="Arial" w:hAnsi="Arial" w:cs="Arial"/>
          <w:color w:val="001D35"/>
          <w:sz w:val="24"/>
          <w:szCs w:val="24"/>
          <w:shd w:val="clear" w:color="auto" w:fill="FFFFFF"/>
        </w:rPr>
      </w:pPr>
      <w:r>
        <w:rPr>
          <w:rFonts w:ascii="Arial" w:hAnsi="Arial" w:cs="Arial"/>
          <w:color w:val="001D35"/>
          <w:sz w:val="24"/>
          <w:szCs w:val="24"/>
          <w:shd w:val="clear" w:color="auto" w:fill="FFFFFF"/>
        </w:rPr>
        <w:t>Relevant – to establish the level of engagement and enthusiasm from stakeholders.</w:t>
      </w:r>
    </w:p>
    <w:p w14:paraId="4641E1E8" w14:textId="77777777" w:rsidR="0024249D" w:rsidRDefault="0024249D" w:rsidP="0024249D">
      <w:pPr>
        <w:pStyle w:val="ListParagraph"/>
        <w:numPr>
          <w:ilvl w:val="0"/>
          <w:numId w:val="18"/>
        </w:numPr>
        <w:rPr>
          <w:rFonts w:ascii="Arial" w:hAnsi="Arial" w:cs="Arial"/>
          <w:sz w:val="24"/>
          <w:szCs w:val="24"/>
        </w:rPr>
      </w:pPr>
      <w:r>
        <w:rPr>
          <w:rFonts w:ascii="Arial" w:hAnsi="Arial" w:cs="Arial"/>
          <w:color w:val="001D35"/>
          <w:sz w:val="24"/>
          <w:szCs w:val="24"/>
          <w:shd w:val="clear" w:color="auto" w:fill="FFFFFF"/>
        </w:rPr>
        <w:t>Time – to provide a report (dissertation) by 5</w:t>
      </w:r>
      <w:r w:rsidRPr="002A623D">
        <w:rPr>
          <w:rFonts w:ascii="Arial" w:hAnsi="Arial" w:cs="Arial"/>
          <w:color w:val="001D35"/>
          <w:sz w:val="24"/>
          <w:szCs w:val="24"/>
          <w:shd w:val="clear" w:color="auto" w:fill="FFFFFF"/>
          <w:vertAlign w:val="superscript"/>
        </w:rPr>
        <w:t>th</w:t>
      </w:r>
      <w:r>
        <w:rPr>
          <w:rFonts w:ascii="Arial" w:hAnsi="Arial" w:cs="Arial"/>
          <w:color w:val="001D35"/>
          <w:sz w:val="24"/>
          <w:szCs w:val="24"/>
          <w:shd w:val="clear" w:color="auto" w:fill="FFFFFF"/>
        </w:rPr>
        <w:t xml:space="preserve"> May 2025.</w:t>
      </w:r>
    </w:p>
    <w:p w14:paraId="68845832" w14:textId="77777777" w:rsidR="0024249D" w:rsidRPr="002A2EBF" w:rsidRDefault="0024249D" w:rsidP="0024249D">
      <w:pPr>
        <w:rPr>
          <w:rFonts w:ascii="Arial" w:hAnsi="Arial" w:cs="Arial"/>
          <w:sz w:val="24"/>
          <w:szCs w:val="24"/>
        </w:rPr>
      </w:pPr>
      <w:r>
        <w:rPr>
          <w:rFonts w:ascii="Arial" w:hAnsi="Arial" w:cs="Arial"/>
          <w:sz w:val="24"/>
          <w:szCs w:val="24"/>
        </w:rPr>
        <w:t>Finally, returning to the Rumsfeld matrix: t</w:t>
      </w:r>
      <w:r w:rsidRPr="002A2EBF">
        <w:rPr>
          <w:rFonts w:ascii="Arial" w:hAnsi="Arial" w:cs="Arial"/>
          <w:sz w:val="24"/>
          <w:szCs w:val="24"/>
        </w:rPr>
        <w:t>he literature review considers what known knowns there are, focusing on the existing knowledge and experience that has been published. This interface of technology with the specialty of Palliative Medicine is rather limited, but as chapter 2 demonstrates it is an area of expanding interest. The following chapter on methodology is the focus on what is not fully understood (yet) and the basis of this initial piece of research - known unknowns. The results chapter provides recognition of the intrinsic experience and expertise. It captures the details of what professionals are unaware of encountering in practice – unknown knowns. Finally, chapter 5 will bring the discussion – unknown unknowns – as the research findings are weighed, applications considered and future projects postulated.</w:t>
      </w:r>
    </w:p>
    <w:p w14:paraId="38386AFA" w14:textId="77777777" w:rsidR="0024249D" w:rsidRDefault="0024249D" w:rsidP="0024249D">
      <w:pPr>
        <w:pBdr>
          <w:top w:val="single" w:sz="4" w:space="1" w:color="auto"/>
          <w:left w:val="single" w:sz="4" w:space="4" w:color="auto"/>
          <w:bottom w:val="single" w:sz="4" w:space="1" w:color="auto"/>
          <w:right w:val="single" w:sz="4" w:space="4" w:color="auto"/>
        </w:pBdr>
        <w:spacing w:after="0"/>
        <w:ind w:left="567" w:right="521"/>
        <w:rPr>
          <w:rFonts w:ascii="Arial" w:hAnsi="Arial" w:cs="Arial"/>
          <w:sz w:val="24"/>
          <w:szCs w:val="24"/>
        </w:rPr>
      </w:pPr>
      <w:r w:rsidRPr="001A797D">
        <w:rPr>
          <w:rFonts w:ascii="Arial" w:hAnsi="Arial" w:cs="Arial"/>
          <w:iCs/>
          <w:sz w:val="24"/>
          <w:szCs w:val="24"/>
        </w:rPr>
        <w:t>“There are known knowns. These are things we know that we know. There are known unknowns. That is to say, there are things that we know we don’t know. But there are also unknown unknowns. There are things we don’t know we don’t know</w:t>
      </w:r>
      <w:r w:rsidRPr="001A797D">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0FA67A2D" w14:textId="47742DEC" w:rsidR="00BB51C5" w:rsidRPr="0024249D" w:rsidRDefault="0024249D" w:rsidP="0024249D">
      <w:pPr>
        <w:pBdr>
          <w:top w:val="single" w:sz="4" w:space="1" w:color="auto"/>
          <w:left w:val="single" w:sz="4" w:space="4" w:color="auto"/>
          <w:bottom w:val="single" w:sz="4" w:space="1" w:color="auto"/>
          <w:right w:val="single" w:sz="4" w:space="4" w:color="auto"/>
        </w:pBdr>
        <w:ind w:left="567" w:right="521"/>
        <w:jc w:val="right"/>
        <w:rPr>
          <w:rFonts w:ascii="Arial" w:hAnsi="Arial" w:cs="Arial"/>
          <w:color w:val="001D35"/>
          <w:sz w:val="24"/>
          <w:szCs w:val="24"/>
          <w:shd w:val="clear" w:color="auto" w:fill="FFFFFF"/>
        </w:rPr>
      </w:pPr>
      <w:r w:rsidRPr="001A797D">
        <w:rPr>
          <w:rFonts w:ascii="Arial" w:hAnsi="Arial" w:cs="Arial"/>
          <w:sz w:val="24"/>
          <w:szCs w:val="24"/>
        </w:rPr>
        <w:t xml:space="preserve">(Donald Rumsfeld, 2002) </w:t>
      </w:r>
      <w:r w:rsidR="00BB51C5">
        <w:rPr>
          <w:rFonts w:ascii="Arial" w:hAnsi="Arial" w:cs="Arial"/>
          <w:b/>
          <w:sz w:val="32"/>
          <w:szCs w:val="32"/>
        </w:rPr>
        <w:br w:type="page"/>
      </w:r>
    </w:p>
    <w:p w14:paraId="2CCB76CB" w14:textId="575FC21B" w:rsidR="002273A4" w:rsidRPr="009E79B1" w:rsidRDefault="002273A4" w:rsidP="00E34799">
      <w:pPr>
        <w:spacing w:line="240" w:lineRule="auto"/>
        <w:rPr>
          <w:rFonts w:ascii="Arial" w:hAnsi="Arial" w:cs="Arial"/>
          <w:b/>
          <w:sz w:val="28"/>
          <w:szCs w:val="28"/>
        </w:rPr>
      </w:pPr>
    </w:p>
    <w:p w14:paraId="165168F3" w14:textId="77777777" w:rsidR="00E34799" w:rsidRDefault="00E34799" w:rsidP="00E34799">
      <w:pPr>
        <w:spacing w:line="240" w:lineRule="auto"/>
        <w:jc w:val="center"/>
        <w:rPr>
          <w:rFonts w:ascii="Arial" w:hAnsi="Arial" w:cs="Arial"/>
          <w:b/>
          <w:sz w:val="28"/>
          <w:szCs w:val="28"/>
        </w:rPr>
      </w:pPr>
    </w:p>
    <w:p w14:paraId="05D59316" w14:textId="77777777" w:rsidR="00E34799" w:rsidRDefault="00E34799" w:rsidP="00E34799">
      <w:pPr>
        <w:spacing w:line="240" w:lineRule="auto"/>
        <w:jc w:val="center"/>
        <w:rPr>
          <w:rFonts w:ascii="Arial" w:hAnsi="Arial" w:cs="Arial"/>
          <w:b/>
          <w:sz w:val="28"/>
          <w:szCs w:val="28"/>
        </w:rPr>
      </w:pPr>
    </w:p>
    <w:p w14:paraId="76825CF8" w14:textId="63B0846F" w:rsidR="001D6888" w:rsidRPr="00E34799" w:rsidRDefault="00032AA1" w:rsidP="00E34799">
      <w:pPr>
        <w:spacing w:line="240" w:lineRule="auto"/>
        <w:jc w:val="center"/>
        <w:rPr>
          <w:rFonts w:ascii="Arial" w:hAnsi="Arial" w:cs="Arial"/>
          <w:b/>
          <w:sz w:val="28"/>
          <w:szCs w:val="28"/>
        </w:rPr>
      </w:pPr>
      <w:r w:rsidRPr="00E34799">
        <w:rPr>
          <w:rFonts w:ascii="Arial" w:hAnsi="Arial" w:cs="Arial"/>
          <w:b/>
          <w:sz w:val="28"/>
          <w:szCs w:val="28"/>
        </w:rPr>
        <w:t>CHAPTER 2</w:t>
      </w:r>
    </w:p>
    <w:p w14:paraId="7081D8A9" w14:textId="77777777" w:rsidR="009E79B1" w:rsidRDefault="009E79B1" w:rsidP="00E34799">
      <w:pPr>
        <w:spacing w:line="240" w:lineRule="auto"/>
        <w:jc w:val="center"/>
        <w:rPr>
          <w:rFonts w:ascii="Arial" w:hAnsi="Arial" w:cs="Arial"/>
          <w:b/>
          <w:sz w:val="32"/>
          <w:szCs w:val="32"/>
          <w:u w:val="single"/>
        </w:rPr>
      </w:pPr>
      <w:r>
        <w:rPr>
          <w:rFonts w:ascii="Arial" w:hAnsi="Arial" w:cs="Arial"/>
          <w:b/>
          <w:sz w:val="32"/>
          <w:szCs w:val="32"/>
          <w:u w:val="single"/>
        </w:rPr>
        <w:t>Literature review</w:t>
      </w:r>
    </w:p>
    <w:p w14:paraId="54F1D7BB" w14:textId="5EBC1516" w:rsidR="00FA366E" w:rsidRPr="009E79B1" w:rsidRDefault="000C1A8D" w:rsidP="00E34799">
      <w:pPr>
        <w:spacing w:line="240" w:lineRule="auto"/>
        <w:jc w:val="center"/>
        <w:rPr>
          <w:rFonts w:ascii="Arial" w:hAnsi="Arial" w:cs="Arial"/>
          <w:b/>
          <w:sz w:val="28"/>
          <w:szCs w:val="28"/>
        </w:rPr>
      </w:pPr>
      <w:r w:rsidRPr="009E79B1">
        <w:rPr>
          <w:rFonts w:ascii="Arial" w:hAnsi="Arial" w:cs="Arial"/>
          <w:b/>
          <w:sz w:val="28"/>
          <w:szCs w:val="28"/>
        </w:rPr>
        <w:t>Known knowns</w:t>
      </w:r>
    </w:p>
    <w:p w14:paraId="4073470B" w14:textId="4109EEFB" w:rsidR="000C1A8D" w:rsidRDefault="000C1A8D" w:rsidP="00E34799">
      <w:pPr>
        <w:spacing w:line="240" w:lineRule="auto"/>
        <w:rPr>
          <w:rFonts w:ascii="Arial" w:hAnsi="Arial" w:cs="Arial"/>
          <w:sz w:val="24"/>
          <w:szCs w:val="24"/>
        </w:rPr>
      </w:pPr>
    </w:p>
    <w:p w14:paraId="3521E049" w14:textId="77777777" w:rsidR="004D764E" w:rsidRPr="00E34799" w:rsidRDefault="004D764E" w:rsidP="00E34799">
      <w:pPr>
        <w:spacing w:line="240" w:lineRule="auto"/>
        <w:rPr>
          <w:rFonts w:ascii="Arial" w:hAnsi="Arial" w:cs="Arial"/>
          <w:sz w:val="24"/>
          <w:szCs w:val="24"/>
        </w:rPr>
      </w:pPr>
    </w:p>
    <w:p w14:paraId="0697A63B" w14:textId="4D6CD5D9" w:rsidR="000C1A8D" w:rsidRPr="00E34799" w:rsidRDefault="00032AA1" w:rsidP="00E34799">
      <w:pPr>
        <w:spacing w:line="240" w:lineRule="auto"/>
        <w:rPr>
          <w:rFonts w:ascii="Arial" w:hAnsi="Arial" w:cs="Arial"/>
          <w:sz w:val="24"/>
          <w:szCs w:val="24"/>
        </w:rPr>
      </w:pPr>
      <w:r w:rsidRPr="00E34799">
        <w:rPr>
          <w:rFonts w:ascii="Arial" w:hAnsi="Arial" w:cs="Arial"/>
          <w:sz w:val="24"/>
          <w:szCs w:val="24"/>
        </w:rPr>
        <w:t>2.1</w:t>
      </w:r>
      <w:r w:rsidRPr="00E34799">
        <w:rPr>
          <w:rFonts w:ascii="Arial" w:hAnsi="Arial" w:cs="Arial"/>
          <w:sz w:val="24"/>
          <w:szCs w:val="24"/>
        </w:rPr>
        <w:tab/>
      </w:r>
      <w:r w:rsidR="000C1A8D" w:rsidRPr="00E34799">
        <w:rPr>
          <w:rFonts w:ascii="Arial" w:hAnsi="Arial" w:cs="Arial"/>
          <w:sz w:val="24"/>
          <w:szCs w:val="24"/>
        </w:rPr>
        <w:t xml:space="preserve">Introduction </w:t>
      </w:r>
    </w:p>
    <w:p w14:paraId="057CBDFD" w14:textId="77777777" w:rsidR="007565B2" w:rsidRDefault="00722696" w:rsidP="00E34799">
      <w:pPr>
        <w:spacing w:line="240" w:lineRule="auto"/>
        <w:rPr>
          <w:rFonts w:ascii="Arial" w:hAnsi="Arial" w:cs="Arial"/>
          <w:sz w:val="24"/>
          <w:szCs w:val="24"/>
        </w:rPr>
      </w:pPr>
      <w:r w:rsidRPr="00E34799">
        <w:rPr>
          <w:rFonts w:ascii="Arial" w:hAnsi="Arial" w:cs="Arial"/>
          <w:sz w:val="24"/>
          <w:szCs w:val="24"/>
        </w:rPr>
        <w:t>The ‘Lancet Commission on the Value of Death’ (</w:t>
      </w:r>
      <w:proofErr w:type="spellStart"/>
      <w:r w:rsidRPr="00E34799">
        <w:rPr>
          <w:rFonts w:ascii="Arial" w:hAnsi="Arial" w:cs="Arial"/>
          <w:sz w:val="24"/>
          <w:szCs w:val="24"/>
        </w:rPr>
        <w:t>Sallnow</w:t>
      </w:r>
      <w:proofErr w:type="spellEnd"/>
      <w:r w:rsidRPr="00E34799">
        <w:rPr>
          <w:rFonts w:ascii="Arial" w:hAnsi="Arial" w:cs="Arial"/>
          <w:sz w:val="24"/>
          <w:szCs w:val="24"/>
        </w:rPr>
        <w:t xml:space="preserve"> et al., 2022) encouraged us globally to reimagine how death and dying could be; and how hospice care could develop to meet palliative care needs (Bailey and Talbot, 2024). Identifying the possibility that death is approaching is a key component of this global aspiration</w:t>
      </w:r>
      <w:r w:rsidR="007565B2">
        <w:rPr>
          <w:rFonts w:ascii="Arial" w:hAnsi="Arial" w:cs="Arial"/>
          <w:sz w:val="24"/>
          <w:szCs w:val="24"/>
        </w:rPr>
        <w:t>.</w:t>
      </w:r>
    </w:p>
    <w:p w14:paraId="085380E8" w14:textId="0AA20A95" w:rsidR="00722696" w:rsidRPr="00E34799" w:rsidRDefault="002421EF" w:rsidP="00E34799">
      <w:pPr>
        <w:spacing w:line="240" w:lineRule="auto"/>
        <w:rPr>
          <w:rFonts w:ascii="Arial" w:hAnsi="Arial" w:cs="Arial"/>
          <w:sz w:val="24"/>
          <w:szCs w:val="24"/>
        </w:rPr>
      </w:pPr>
      <w:r w:rsidRPr="00E34799">
        <w:rPr>
          <w:rFonts w:ascii="Arial" w:hAnsi="Arial" w:cs="Arial"/>
          <w:sz w:val="24"/>
          <w:szCs w:val="24"/>
        </w:rPr>
        <w:t>Weis</w:t>
      </w:r>
      <w:r w:rsidR="00722696" w:rsidRPr="00E34799">
        <w:rPr>
          <w:rFonts w:ascii="Arial" w:hAnsi="Arial" w:cs="Arial"/>
          <w:sz w:val="24"/>
          <w:szCs w:val="24"/>
        </w:rPr>
        <w:t xml:space="preserve">man (1972), a renowned psychoanalyst, described “middle knowledge” as a concept where simultaneous but opposing views of death could be held. On the one hand resisting the finality of death, yet simultaneously making plans for death (for example, will writing and funeral plans). Weismann describes the benefit of “assimilating and accommodating death at a manageable pace”. An advance care plan is a component of that transition (or “middle knowledge”) which </w:t>
      </w:r>
      <w:r w:rsidR="00242076" w:rsidRPr="00E34799">
        <w:rPr>
          <w:rFonts w:ascii="Arial" w:hAnsi="Arial" w:cs="Arial"/>
          <w:sz w:val="24"/>
          <w:szCs w:val="24"/>
        </w:rPr>
        <w:t xml:space="preserve">is a tool, as a conversation starter, for managing the anxiety that death can raise; and </w:t>
      </w:r>
      <w:r w:rsidR="00722696" w:rsidRPr="00E34799">
        <w:rPr>
          <w:rFonts w:ascii="Arial" w:hAnsi="Arial" w:cs="Arial"/>
          <w:sz w:val="24"/>
          <w:szCs w:val="24"/>
        </w:rPr>
        <w:t>ultimately empowers the individual to express their perspective.</w:t>
      </w:r>
      <w:r w:rsidR="000C1A8D" w:rsidRPr="00E34799">
        <w:rPr>
          <w:rFonts w:ascii="Arial" w:hAnsi="Arial" w:cs="Arial"/>
          <w:sz w:val="24"/>
          <w:szCs w:val="24"/>
        </w:rPr>
        <w:t xml:space="preserve"> </w:t>
      </w:r>
      <w:r w:rsidR="00722696" w:rsidRPr="00E34799">
        <w:rPr>
          <w:rFonts w:ascii="Arial" w:hAnsi="Arial" w:cs="Arial"/>
          <w:sz w:val="24"/>
          <w:szCs w:val="24"/>
        </w:rPr>
        <w:t>The adoption of a prognostication aid (in concept, at least) is a means of triaging the population at large. There are limited resources of time and personnel to support every person, accepting the inevitability of death, so being able to focus the available resources is essential.</w:t>
      </w:r>
    </w:p>
    <w:p w14:paraId="34053776" w14:textId="77777777" w:rsidR="00722696" w:rsidRPr="00E34799" w:rsidRDefault="00722696" w:rsidP="00E34799">
      <w:pPr>
        <w:spacing w:line="240" w:lineRule="auto"/>
        <w:rPr>
          <w:rFonts w:ascii="Arial" w:hAnsi="Arial" w:cs="Arial"/>
          <w:sz w:val="24"/>
          <w:szCs w:val="24"/>
        </w:rPr>
      </w:pPr>
    </w:p>
    <w:p w14:paraId="472D8AC0" w14:textId="33B425B4" w:rsidR="0069517D" w:rsidRPr="00E34799" w:rsidRDefault="00032AA1" w:rsidP="00E34799">
      <w:pPr>
        <w:spacing w:line="240" w:lineRule="auto"/>
        <w:rPr>
          <w:rFonts w:ascii="Arial" w:hAnsi="Arial" w:cs="Arial"/>
          <w:sz w:val="24"/>
          <w:szCs w:val="24"/>
        </w:rPr>
      </w:pPr>
      <w:r w:rsidRPr="00E34799">
        <w:rPr>
          <w:rFonts w:ascii="Arial" w:hAnsi="Arial" w:cs="Arial"/>
          <w:sz w:val="24"/>
          <w:szCs w:val="24"/>
        </w:rPr>
        <w:t>2.2</w:t>
      </w:r>
      <w:r w:rsidRPr="00E34799">
        <w:rPr>
          <w:rFonts w:ascii="Arial" w:hAnsi="Arial" w:cs="Arial"/>
          <w:sz w:val="24"/>
          <w:szCs w:val="24"/>
        </w:rPr>
        <w:tab/>
      </w:r>
      <w:r w:rsidR="0069517D" w:rsidRPr="00E34799">
        <w:rPr>
          <w:rFonts w:ascii="Arial" w:hAnsi="Arial" w:cs="Arial"/>
          <w:sz w:val="24"/>
          <w:szCs w:val="24"/>
        </w:rPr>
        <w:t>Definition</w:t>
      </w:r>
    </w:p>
    <w:p w14:paraId="1DB378B6" w14:textId="717D6F39" w:rsidR="0069517D" w:rsidRPr="00E34799" w:rsidRDefault="00242076" w:rsidP="00E34799">
      <w:pPr>
        <w:spacing w:line="240" w:lineRule="auto"/>
        <w:rPr>
          <w:rFonts w:ascii="Arial" w:hAnsi="Arial" w:cs="Arial"/>
          <w:sz w:val="24"/>
          <w:szCs w:val="24"/>
        </w:rPr>
      </w:pPr>
      <w:r w:rsidRPr="00E34799">
        <w:rPr>
          <w:rFonts w:ascii="Arial" w:hAnsi="Arial" w:cs="Arial"/>
          <w:sz w:val="24"/>
          <w:szCs w:val="24"/>
        </w:rPr>
        <w:t>The f</w:t>
      </w:r>
      <w:r w:rsidR="0069517D" w:rsidRPr="00E34799">
        <w:rPr>
          <w:rFonts w:ascii="Arial" w:hAnsi="Arial" w:cs="Arial"/>
          <w:sz w:val="24"/>
          <w:szCs w:val="24"/>
        </w:rPr>
        <w:t xml:space="preserve">irst </w:t>
      </w:r>
      <w:r w:rsidRPr="00E34799">
        <w:rPr>
          <w:rFonts w:ascii="Arial" w:hAnsi="Arial" w:cs="Arial"/>
          <w:sz w:val="24"/>
          <w:szCs w:val="24"/>
        </w:rPr>
        <w:t>term to define</w:t>
      </w:r>
      <w:r w:rsidR="0069517D" w:rsidRPr="00E34799">
        <w:rPr>
          <w:rFonts w:ascii="Arial" w:hAnsi="Arial" w:cs="Arial"/>
          <w:sz w:val="24"/>
          <w:szCs w:val="24"/>
        </w:rPr>
        <w:t xml:space="preserve"> for clarity is ‘advance care planning’</w:t>
      </w:r>
      <w:r w:rsidR="001D6888" w:rsidRPr="00E34799">
        <w:rPr>
          <w:rFonts w:ascii="Arial" w:hAnsi="Arial" w:cs="Arial"/>
          <w:sz w:val="24"/>
          <w:szCs w:val="24"/>
        </w:rPr>
        <w:t xml:space="preserve"> (ACP)</w:t>
      </w:r>
      <w:r w:rsidR="0069517D" w:rsidRPr="00E34799">
        <w:rPr>
          <w:rFonts w:ascii="Arial" w:hAnsi="Arial" w:cs="Arial"/>
          <w:sz w:val="24"/>
          <w:szCs w:val="24"/>
        </w:rPr>
        <w:t>.  The challenge is that it can be described in a wide context but is increasingly difficult to define at the detailed level.</w:t>
      </w:r>
      <w:r w:rsidR="000C1A8D" w:rsidRPr="00E34799">
        <w:rPr>
          <w:rFonts w:ascii="Arial" w:hAnsi="Arial" w:cs="Arial"/>
          <w:sz w:val="24"/>
          <w:szCs w:val="24"/>
        </w:rPr>
        <w:t xml:space="preserve"> </w:t>
      </w:r>
      <w:r w:rsidR="0069517D" w:rsidRPr="00E34799">
        <w:rPr>
          <w:rFonts w:ascii="Arial" w:hAnsi="Arial" w:cs="Arial"/>
          <w:sz w:val="24"/>
          <w:szCs w:val="24"/>
        </w:rPr>
        <w:t>NHS</w:t>
      </w:r>
      <w:r w:rsidR="000C1A8D" w:rsidRPr="00E34799">
        <w:rPr>
          <w:rFonts w:ascii="Arial" w:hAnsi="Arial" w:cs="Arial"/>
          <w:sz w:val="24"/>
          <w:szCs w:val="24"/>
        </w:rPr>
        <w:t xml:space="preserve"> </w:t>
      </w:r>
      <w:r w:rsidR="0069517D" w:rsidRPr="00E34799">
        <w:rPr>
          <w:rFonts w:ascii="Arial" w:hAnsi="Arial" w:cs="Arial"/>
          <w:sz w:val="24"/>
          <w:szCs w:val="24"/>
        </w:rPr>
        <w:t>E</w:t>
      </w:r>
      <w:r w:rsidR="000C1A8D" w:rsidRPr="00E34799">
        <w:rPr>
          <w:rFonts w:ascii="Arial" w:hAnsi="Arial" w:cs="Arial"/>
          <w:sz w:val="24"/>
          <w:szCs w:val="24"/>
        </w:rPr>
        <w:t>ngland</w:t>
      </w:r>
      <w:r w:rsidR="0069517D" w:rsidRPr="00E34799">
        <w:rPr>
          <w:rFonts w:ascii="Arial" w:hAnsi="Arial" w:cs="Arial"/>
          <w:sz w:val="24"/>
          <w:szCs w:val="24"/>
        </w:rPr>
        <w:t xml:space="preserve"> (</w:t>
      </w:r>
      <w:r w:rsidR="000C1A8D" w:rsidRPr="00E34799">
        <w:rPr>
          <w:rFonts w:ascii="Arial" w:hAnsi="Arial" w:cs="Arial"/>
          <w:sz w:val="24"/>
          <w:szCs w:val="24"/>
        </w:rPr>
        <w:t xml:space="preserve">NHSE, </w:t>
      </w:r>
      <w:r w:rsidR="0069517D" w:rsidRPr="00E34799">
        <w:rPr>
          <w:rFonts w:ascii="Arial" w:hAnsi="Arial" w:cs="Arial"/>
          <w:sz w:val="24"/>
          <w:szCs w:val="24"/>
        </w:rPr>
        <w:t>2022) provided an overarching definition in response to the call for a “consistent national approach to advance care planning” (CQC, 2021):</w:t>
      </w:r>
    </w:p>
    <w:p w14:paraId="092AA933" w14:textId="77777777" w:rsidR="0069517D" w:rsidRPr="00E34799" w:rsidRDefault="0069517D" w:rsidP="00244698">
      <w:pPr>
        <w:pBdr>
          <w:top w:val="single" w:sz="4" w:space="1" w:color="auto"/>
          <w:left w:val="single" w:sz="4" w:space="4" w:color="auto"/>
          <w:bottom w:val="single" w:sz="4" w:space="1" w:color="auto"/>
          <w:right w:val="single" w:sz="4" w:space="4" w:color="auto"/>
        </w:pBdr>
        <w:spacing w:line="240" w:lineRule="auto"/>
        <w:ind w:left="284" w:right="237"/>
        <w:rPr>
          <w:rFonts w:ascii="Arial" w:hAnsi="Arial" w:cs="Arial"/>
          <w:sz w:val="24"/>
          <w:szCs w:val="24"/>
        </w:rPr>
      </w:pPr>
      <w:r w:rsidRPr="00E34799">
        <w:rPr>
          <w:rFonts w:ascii="Arial" w:hAnsi="Arial" w:cs="Arial"/>
          <w:sz w:val="24"/>
          <w:szCs w:val="24"/>
        </w:rPr>
        <w:t>“Advance care planning is a voluntary process of person-centred discussion between an individual and their care providers about their preferences and priorities for their future care.”</w:t>
      </w:r>
    </w:p>
    <w:p w14:paraId="44A9BD27" w14:textId="77777777" w:rsidR="0069517D" w:rsidRPr="00E34799" w:rsidRDefault="0069517D" w:rsidP="00E34799">
      <w:pPr>
        <w:spacing w:line="240" w:lineRule="auto"/>
        <w:rPr>
          <w:rFonts w:ascii="Arial" w:hAnsi="Arial" w:cs="Arial"/>
          <w:sz w:val="24"/>
          <w:szCs w:val="24"/>
        </w:rPr>
      </w:pPr>
      <w:r w:rsidRPr="00E34799">
        <w:rPr>
          <w:rFonts w:ascii="Arial" w:hAnsi="Arial" w:cs="Arial"/>
          <w:sz w:val="24"/>
          <w:szCs w:val="24"/>
        </w:rPr>
        <w:t>The terminology of ‘advance care planning’ is a recent neologism. This early description highlights the principles have hardly evolved: “a process of communication that aims to ensure that clinical care is consistent with patients’ preferences for care” (</w:t>
      </w:r>
      <w:proofErr w:type="spellStart"/>
      <w:r w:rsidRPr="00E34799">
        <w:rPr>
          <w:rFonts w:ascii="Arial" w:hAnsi="Arial" w:cs="Arial"/>
          <w:sz w:val="24"/>
          <w:szCs w:val="24"/>
        </w:rPr>
        <w:t>Teno</w:t>
      </w:r>
      <w:proofErr w:type="spellEnd"/>
      <w:r w:rsidRPr="00E34799">
        <w:rPr>
          <w:rFonts w:ascii="Arial" w:hAnsi="Arial" w:cs="Arial"/>
          <w:sz w:val="24"/>
          <w:szCs w:val="24"/>
        </w:rPr>
        <w:t>, Nelson and Lynn, 1994)</w:t>
      </w:r>
    </w:p>
    <w:p w14:paraId="3ECA60C7" w14:textId="23F173A9" w:rsidR="0069517D" w:rsidRPr="00E34799" w:rsidRDefault="0069517D" w:rsidP="00E34799">
      <w:pPr>
        <w:spacing w:line="240" w:lineRule="auto"/>
        <w:rPr>
          <w:rFonts w:ascii="Arial" w:hAnsi="Arial" w:cs="Arial"/>
          <w:sz w:val="24"/>
          <w:szCs w:val="24"/>
        </w:rPr>
      </w:pPr>
      <w:r w:rsidRPr="00E34799">
        <w:rPr>
          <w:rFonts w:ascii="Arial" w:hAnsi="Arial" w:cs="Arial"/>
          <w:sz w:val="24"/>
          <w:szCs w:val="24"/>
        </w:rPr>
        <w:lastRenderedPageBreak/>
        <w:t xml:space="preserve">The most recent definition remains hugely inclusive and builds on </w:t>
      </w:r>
      <w:proofErr w:type="spellStart"/>
      <w:r w:rsidRPr="00E34799">
        <w:rPr>
          <w:rFonts w:ascii="Arial" w:hAnsi="Arial" w:cs="Arial"/>
          <w:sz w:val="24"/>
          <w:szCs w:val="24"/>
        </w:rPr>
        <w:t>Fleuren</w:t>
      </w:r>
      <w:proofErr w:type="spellEnd"/>
      <w:r w:rsidRPr="00E34799">
        <w:rPr>
          <w:rFonts w:ascii="Arial" w:hAnsi="Arial" w:cs="Arial"/>
          <w:sz w:val="24"/>
          <w:szCs w:val="24"/>
        </w:rPr>
        <w:t xml:space="preserve"> et al.’s work (2020). They sought to identify the underlying objectives of ACP given the breadth and diversity of the perceived benefits. Their systematic review distilled the themes to five underlying goals:</w:t>
      </w:r>
    </w:p>
    <w:p w14:paraId="74EF8370" w14:textId="77777777" w:rsidR="0069517D" w:rsidRPr="00E34799" w:rsidRDefault="0069517D" w:rsidP="00E34799">
      <w:pPr>
        <w:pStyle w:val="ListParagraph"/>
        <w:numPr>
          <w:ilvl w:val="1"/>
          <w:numId w:val="1"/>
        </w:numPr>
        <w:spacing w:line="240" w:lineRule="auto"/>
        <w:rPr>
          <w:rFonts w:ascii="Arial" w:hAnsi="Arial" w:cs="Arial"/>
          <w:sz w:val="24"/>
          <w:szCs w:val="24"/>
        </w:rPr>
      </w:pPr>
      <w:r w:rsidRPr="00E34799">
        <w:rPr>
          <w:rFonts w:ascii="Arial" w:hAnsi="Arial" w:cs="Arial"/>
          <w:sz w:val="24"/>
          <w:szCs w:val="24"/>
        </w:rPr>
        <w:t xml:space="preserve">respecting individual patient autonomy, </w:t>
      </w:r>
    </w:p>
    <w:p w14:paraId="23925507" w14:textId="77777777" w:rsidR="0069517D" w:rsidRPr="00E34799" w:rsidRDefault="0069517D" w:rsidP="00E34799">
      <w:pPr>
        <w:pStyle w:val="ListParagraph"/>
        <w:numPr>
          <w:ilvl w:val="1"/>
          <w:numId w:val="1"/>
        </w:numPr>
        <w:spacing w:line="240" w:lineRule="auto"/>
        <w:rPr>
          <w:rFonts w:ascii="Arial" w:hAnsi="Arial" w:cs="Arial"/>
          <w:sz w:val="24"/>
          <w:szCs w:val="24"/>
        </w:rPr>
      </w:pPr>
      <w:r w:rsidRPr="00E34799">
        <w:rPr>
          <w:rFonts w:ascii="Arial" w:hAnsi="Arial" w:cs="Arial"/>
          <w:sz w:val="24"/>
          <w:szCs w:val="24"/>
        </w:rPr>
        <w:t xml:space="preserve">improving quality of care, </w:t>
      </w:r>
    </w:p>
    <w:p w14:paraId="3FD4B267" w14:textId="77777777" w:rsidR="0069517D" w:rsidRPr="00E34799" w:rsidRDefault="0069517D" w:rsidP="00E34799">
      <w:pPr>
        <w:pStyle w:val="ListParagraph"/>
        <w:numPr>
          <w:ilvl w:val="1"/>
          <w:numId w:val="1"/>
        </w:numPr>
        <w:spacing w:line="240" w:lineRule="auto"/>
        <w:rPr>
          <w:rFonts w:ascii="Arial" w:hAnsi="Arial" w:cs="Arial"/>
          <w:sz w:val="24"/>
          <w:szCs w:val="24"/>
        </w:rPr>
      </w:pPr>
      <w:r w:rsidRPr="00E34799">
        <w:rPr>
          <w:rFonts w:ascii="Arial" w:hAnsi="Arial" w:cs="Arial"/>
          <w:sz w:val="24"/>
          <w:szCs w:val="24"/>
        </w:rPr>
        <w:t xml:space="preserve">strengthening relationships, </w:t>
      </w:r>
    </w:p>
    <w:p w14:paraId="5DCCF07C" w14:textId="77777777" w:rsidR="0069517D" w:rsidRPr="00E34799" w:rsidRDefault="0069517D" w:rsidP="00E34799">
      <w:pPr>
        <w:pStyle w:val="ListParagraph"/>
        <w:numPr>
          <w:ilvl w:val="1"/>
          <w:numId w:val="1"/>
        </w:numPr>
        <w:spacing w:line="240" w:lineRule="auto"/>
        <w:rPr>
          <w:rFonts w:ascii="Arial" w:hAnsi="Arial" w:cs="Arial"/>
          <w:sz w:val="24"/>
          <w:szCs w:val="24"/>
        </w:rPr>
      </w:pPr>
      <w:r w:rsidRPr="00E34799">
        <w:rPr>
          <w:rFonts w:ascii="Arial" w:hAnsi="Arial" w:cs="Arial"/>
          <w:sz w:val="24"/>
          <w:szCs w:val="24"/>
        </w:rPr>
        <w:t>preparing for end-of-life, and,</w:t>
      </w:r>
    </w:p>
    <w:p w14:paraId="1A32A170" w14:textId="77777777" w:rsidR="0069517D" w:rsidRPr="00E34799" w:rsidRDefault="0069517D" w:rsidP="00E34799">
      <w:pPr>
        <w:pStyle w:val="ListParagraph"/>
        <w:numPr>
          <w:ilvl w:val="1"/>
          <w:numId w:val="1"/>
        </w:numPr>
        <w:spacing w:line="240" w:lineRule="auto"/>
        <w:rPr>
          <w:rFonts w:ascii="Arial" w:hAnsi="Arial" w:cs="Arial"/>
          <w:sz w:val="24"/>
          <w:szCs w:val="24"/>
        </w:rPr>
      </w:pPr>
      <w:r w:rsidRPr="00E34799">
        <w:rPr>
          <w:rFonts w:ascii="Arial" w:hAnsi="Arial" w:cs="Arial"/>
          <w:sz w:val="24"/>
          <w:szCs w:val="24"/>
        </w:rPr>
        <w:t>reducing overtreatment</w:t>
      </w:r>
    </w:p>
    <w:p w14:paraId="366D5224" w14:textId="22A03B7C" w:rsidR="007565B2" w:rsidRDefault="0069517D" w:rsidP="007565B2">
      <w:pPr>
        <w:spacing w:line="240" w:lineRule="auto"/>
        <w:rPr>
          <w:rFonts w:ascii="Arial" w:hAnsi="Arial" w:cs="Arial"/>
          <w:sz w:val="24"/>
          <w:szCs w:val="24"/>
        </w:rPr>
      </w:pPr>
      <w:r w:rsidRPr="00E34799">
        <w:rPr>
          <w:rFonts w:ascii="Arial" w:hAnsi="Arial" w:cs="Arial"/>
          <w:sz w:val="24"/>
          <w:szCs w:val="24"/>
        </w:rPr>
        <w:t>The review also collated the objections to ACP that were in the literature. Although the benefits were twice as documented as the objections (“141 codes concerning goals… 70 codes about objections” (</w:t>
      </w:r>
      <w:proofErr w:type="spellStart"/>
      <w:r w:rsidRPr="00E34799">
        <w:rPr>
          <w:rFonts w:ascii="Arial" w:hAnsi="Arial" w:cs="Arial"/>
          <w:sz w:val="24"/>
          <w:szCs w:val="24"/>
        </w:rPr>
        <w:t>Fleuren</w:t>
      </w:r>
      <w:proofErr w:type="spellEnd"/>
      <w:r w:rsidRPr="00E34799">
        <w:rPr>
          <w:rFonts w:ascii="Arial" w:hAnsi="Arial" w:cs="Arial"/>
          <w:sz w:val="24"/>
          <w:szCs w:val="24"/>
        </w:rPr>
        <w:t xml:space="preserve"> et al., 2020))</w:t>
      </w:r>
      <w:r w:rsidR="00517CD9" w:rsidRPr="00E34799">
        <w:rPr>
          <w:rFonts w:ascii="Arial" w:hAnsi="Arial" w:cs="Arial"/>
          <w:sz w:val="24"/>
          <w:szCs w:val="24"/>
        </w:rPr>
        <w:t>,</w:t>
      </w:r>
      <w:r w:rsidRPr="00E34799">
        <w:rPr>
          <w:rFonts w:ascii="Arial" w:hAnsi="Arial" w:cs="Arial"/>
          <w:sz w:val="24"/>
          <w:szCs w:val="24"/>
        </w:rPr>
        <w:t xml:space="preserve"> there remains a need to acknowledge the limitations of the ‘intervention’ of advance care planning.</w:t>
      </w:r>
      <w:r w:rsidR="007565B2" w:rsidRPr="007565B2">
        <w:rPr>
          <w:rFonts w:ascii="Arial" w:hAnsi="Arial" w:cs="Arial"/>
          <w:sz w:val="24"/>
          <w:szCs w:val="24"/>
        </w:rPr>
        <w:t xml:space="preserve"> </w:t>
      </w:r>
      <w:r w:rsidR="007565B2">
        <w:rPr>
          <w:rFonts w:ascii="Arial" w:hAnsi="Arial" w:cs="Arial"/>
          <w:sz w:val="24"/>
          <w:szCs w:val="24"/>
        </w:rPr>
        <w:t>Table 2.1</w:t>
      </w:r>
      <w:r w:rsidR="00AA7155">
        <w:rPr>
          <w:rFonts w:ascii="Arial" w:hAnsi="Arial" w:cs="Arial"/>
          <w:sz w:val="24"/>
          <w:szCs w:val="24"/>
        </w:rPr>
        <w:t>, as an analysis of the complexity,</w:t>
      </w:r>
      <w:r w:rsidR="007565B2">
        <w:rPr>
          <w:rFonts w:ascii="Arial" w:hAnsi="Arial" w:cs="Arial"/>
          <w:sz w:val="24"/>
          <w:szCs w:val="24"/>
        </w:rPr>
        <w:t xml:space="preserve"> provides some of the </w:t>
      </w:r>
      <w:r w:rsidR="00797478">
        <w:rPr>
          <w:rFonts w:ascii="Arial" w:hAnsi="Arial" w:cs="Arial"/>
          <w:sz w:val="24"/>
          <w:szCs w:val="24"/>
        </w:rPr>
        <w:t>principal</w:t>
      </w:r>
      <w:r w:rsidR="007565B2">
        <w:rPr>
          <w:rFonts w:ascii="Arial" w:hAnsi="Arial" w:cs="Arial"/>
          <w:sz w:val="24"/>
          <w:szCs w:val="24"/>
        </w:rPr>
        <w:t xml:space="preserve"> arguments regarding ACP. These are not for exploration within this dissertation but are worth holding in mind throughout this research.</w:t>
      </w:r>
    </w:p>
    <w:p w14:paraId="032F5512" w14:textId="77777777" w:rsidR="00D7335D" w:rsidRPr="00E34799" w:rsidRDefault="00D7335D" w:rsidP="00E34799">
      <w:pPr>
        <w:spacing w:line="240" w:lineRule="auto"/>
        <w:rPr>
          <w:rFonts w:ascii="Arial" w:hAnsi="Arial" w:cs="Arial"/>
          <w:sz w:val="24"/>
          <w:szCs w:val="24"/>
        </w:rPr>
      </w:pPr>
    </w:p>
    <w:p w14:paraId="696D65B7" w14:textId="060F8EB3" w:rsidR="00C6640E" w:rsidRPr="00C00EF5" w:rsidRDefault="00D7335D" w:rsidP="00E34799">
      <w:pPr>
        <w:spacing w:after="0" w:line="240" w:lineRule="auto"/>
        <w:rPr>
          <w:rFonts w:ascii="Arial" w:hAnsi="Arial" w:cs="Arial"/>
          <w:sz w:val="18"/>
          <w:szCs w:val="18"/>
        </w:rPr>
      </w:pPr>
      <w:r w:rsidRPr="001A31F0">
        <w:rPr>
          <w:rFonts w:ascii="Arial" w:hAnsi="Arial" w:cs="Arial"/>
          <w:sz w:val="18"/>
          <w:szCs w:val="18"/>
        </w:rPr>
        <w:t>Table 2.1: Underlying goals of ACP and corresponding objections (</w:t>
      </w:r>
      <w:proofErr w:type="spellStart"/>
      <w:r w:rsidRPr="001A31F0">
        <w:rPr>
          <w:rFonts w:ascii="Arial" w:hAnsi="Arial" w:cs="Arial"/>
          <w:sz w:val="18"/>
          <w:szCs w:val="18"/>
        </w:rPr>
        <w:t>Fleuren</w:t>
      </w:r>
      <w:proofErr w:type="spellEnd"/>
      <w:r w:rsidRPr="001A31F0">
        <w:rPr>
          <w:rFonts w:ascii="Arial" w:hAnsi="Arial" w:cs="Arial"/>
          <w:sz w:val="18"/>
          <w:szCs w:val="18"/>
        </w:rPr>
        <w:t xml:space="preserve"> et al., 2020)</w:t>
      </w:r>
    </w:p>
    <w:tbl>
      <w:tblPr>
        <w:tblStyle w:val="TableGrid"/>
        <w:tblW w:w="0" w:type="auto"/>
        <w:tblLook w:val="04A0" w:firstRow="1" w:lastRow="0" w:firstColumn="1" w:lastColumn="0" w:noHBand="0" w:noVBand="1"/>
      </w:tblPr>
      <w:tblGrid>
        <w:gridCol w:w="2830"/>
        <w:gridCol w:w="6186"/>
      </w:tblGrid>
      <w:tr w:rsidR="00C6640E" w:rsidRPr="00C6640E" w14:paraId="1A3E63A6" w14:textId="77777777" w:rsidTr="00C6640E">
        <w:tc>
          <w:tcPr>
            <w:tcW w:w="2830" w:type="dxa"/>
            <w:shd w:val="clear" w:color="auto" w:fill="D9D9D9" w:themeFill="background1" w:themeFillShade="D9"/>
          </w:tcPr>
          <w:p w14:paraId="0F215005" w14:textId="0267A2E0" w:rsidR="00C6640E" w:rsidRPr="00295501" w:rsidRDefault="00C6640E" w:rsidP="00DB7FC8">
            <w:pPr>
              <w:spacing w:before="120" w:after="120" w:line="360" w:lineRule="auto"/>
              <w:rPr>
                <w:rFonts w:ascii="Arial" w:hAnsi="Arial" w:cs="Arial"/>
                <w:b/>
                <w:bCs/>
                <w:sz w:val="20"/>
                <w:szCs w:val="20"/>
              </w:rPr>
            </w:pPr>
            <w:r w:rsidRPr="00295501">
              <w:rPr>
                <w:rFonts w:ascii="Arial" w:hAnsi="Arial" w:cs="Arial"/>
                <w:b/>
                <w:bCs/>
                <w:sz w:val="20"/>
                <w:szCs w:val="20"/>
              </w:rPr>
              <w:t>Underlying goal</w:t>
            </w:r>
          </w:p>
        </w:tc>
        <w:tc>
          <w:tcPr>
            <w:tcW w:w="6186" w:type="dxa"/>
            <w:shd w:val="clear" w:color="auto" w:fill="D9D9D9" w:themeFill="background1" w:themeFillShade="D9"/>
          </w:tcPr>
          <w:p w14:paraId="0C079727" w14:textId="519A77F2" w:rsidR="00C6640E" w:rsidRPr="00295501" w:rsidRDefault="00C6640E" w:rsidP="00DB7FC8">
            <w:pPr>
              <w:spacing w:before="120" w:after="120" w:line="360" w:lineRule="auto"/>
              <w:rPr>
                <w:rFonts w:ascii="Arial" w:hAnsi="Arial" w:cs="Arial"/>
                <w:b/>
                <w:bCs/>
                <w:sz w:val="20"/>
                <w:szCs w:val="20"/>
              </w:rPr>
            </w:pPr>
            <w:r w:rsidRPr="00295501">
              <w:rPr>
                <w:rFonts w:ascii="Arial" w:hAnsi="Arial" w:cs="Arial"/>
                <w:b/>
                <w:bCs/>
                <w:sz w:val="20"/>
                <w:szCs w:val="20"/>
              </w:rPr>
              <w:t>Objections</w:t>
            </w:r>
          </w:p>
        </w:tc>
      </w:tr>
      <w:tr w:rsidR="00C6640E" w14:paraId="6BA89CB6" w14:textId="77777777" w:rsidTr="00C6640E">
        <w:tc>
          <w:tcPr>
            <w:tcW w:w="2830" w:type="dxa"/>
            <w:vAlign w:val="center"/>
          </w:tcPr>
          <w:p w14:paraId="66819EC9" w14:textId="3F843ECF" w:rsidR="00C6640E" w:rsidRPr="00295501" w:rsidRDefault="00C6640E" w:rsidP="00C6640E">
            <w:pPr>
              <w:spacing w:line="360" w:lineRule="auto"/>
              <w:rPr>
                <w:rFonts w:ascii="Arial" w:hAnsi="Arial" w:cs="Arial"/>
                <w:sz w:val="20"/>
                <w:szCs w:val="20"/>
              </w:rPr>
            </w:pPr>
            <w:r w:rsidRPr="00295501">
              <w:rPr>
                <w:rFonts w:ascii="Arial" w:hAnsi="Arial" w:cs="Arial"/>
                <w:sz w:val="20"/>
                <w:szCs w:val="20"/>
              </w:rPr>
              <w:t>Respecting individual patient autonomy</w:t>
            </w:r>
          </w:p>
        </w:tc>
        <w:tc>
          <w:tcPr>
            <w:tcW w:w="6186" w:type="dxa"/>
            <w:vAlign w:val="center"/>
          </w:tcPr>
          <w:p w14:paraId="15B569CD" w14:textId="6AD833A6" w:rsidR="00C6640E" w:rsidRPr="00295501" w:rsidRDefault="00C6640E" w:rsidP="00624928">
            <w:pPr>
              <w:spacing w:before="120" w:after="120" w:line="360" w:lineRule="auto"/>
              <w:rPr>
                <w:rFonts w:ascii="Arial" w:hAnsi="Arial" w:cs="Arial"/>
                <w:sz w:val="20"/>
                <w:szCs w:val="20"/>
              </w:rPr>
            </w:pPr>
            <w:r w:rsidRPr="00295501">
              <w:rPr>
                <w:rFonts w:ascii="Arial" w:hAnsi="Arial" w:cs="Arial"/>
                <w:sz w:val="20"/>
                <w:szCs w:val="20"/>
              </w:rPr>
              <w:t>Promises more control than is possible; ignores current interests of the patient; denies that decision making is engaged and emotional</w:t>
            </w:r>
          </w:p>
        </w:tc>
      </w:tr>
      <w:tr w:rsidR="00C6640E" w14:paraId="03CEF80E" w14:textId="77777777" w:rsidTr="00C6640E">
        <w:tc>
          <w:tcPr>
            <w:tcW w:w="2830" w:type="dxa"/>
            <w:vAlign w:val="center"/>
          </w:tcPr>
          <w:p w14:paraId="3E90D7A5" w14:textId="55D2E642" w:rsidR="00C6640E" w:rsidRPr="00295501" w:rsidRDefault="00C6640E" w:rsidP="00624928">
            <w:pPr>
              <w:spacing w:before="120" w:after="120" w:line="360" w:lineRule="auto"/>
              <w:rPr>
                <w:rFonts w:ascii="Arial" w:hAnsi="Arial" w:cs="Arial"/>
                <w:sz w:val="20"/>
                <w:szCs w:val="20"/>
              </w:rPr>
            </w:pPr>
            <w:r w:rsidRPr="00295501">
              <w:rPr>
                <w:rFonts w:ascii="Arial" w:hAnsi="Arial" w:cs="Arial"/>
                <w:sz w:val="20"/>
                <w:szCs w:val="20"/>
              </w:rPr>
              <w:t>Improving quality of care</w:t>
            </w:r>
          </w:p>
        </w:tc>
        <w:tc>
          <w:tcPr>
            <w:tcW w:w="6186" w:type="dxa"/>
            <w:vAlign w:val="center"/>
          </w:tcPr>
          <w:p w14:paraId="55ADB393" w14:textId="1A23DC51" w:rsidR="00C6640E" w:rsidRPr="00295501" w:rsidRDefault="00C6640E" w:rsidP="00624928">
            <w:pPr>
              <w:spacing w:before="120" w:after="120" w:line="360" w:lineRule="auto"/>
              <w:rPr>
                <w:rFonts w:ascii="Arial" w:hAnsi="Arial" w:cs="Arial"/>
                <w:sz w:val="20"/>
                <w:szCs w:val="20"/>
              </w:rPr>
            </w:pPr>
            <w:r w:rsidRPr="00295501">
              <w:rPr>
                <w:rFonts w:ascii="Arial" w:hAnsi="Arial" w:cs="Arial"/>
                <w:sz w:val="20"/>
                <w:szCs w:val="20"/>
              </w:rPr>
              <w:t>Risk of ACP to be regarded as moral imperative</w:t>
            </w:r>
          </w:p>
        </w:tc>
      </w:tr>
      <w:tr w:rsidR="00C6640E" w14:paraId="19A84F99" w14:textId="77777777" w:rsidTr="00C6640E">
        <w:tc>
          <w:tcPr>
            <w:tcW w:w="2830" w:type="dxa"/>
            <w:vAlign w:val="center"/>
          </w:tcPr>
          <w:p w14:paraId="360EE8E9" w14:textId="10B98EDB" w:rsidR="00C6640E" w:rsidRPr="00295501" w:rsidRDefault="00C6640E" w:rsidP="00624928">
            <w:pPr>
              <w:spacing w:before="120" w:after="120" w:line="360" w:lineRule="auto"/>
              <w:rPr>
                <w:rFonts w:ascii="Arial" w:hAnsi="Arial" w:cs="Arial"/>
                <w:sz w:val="20"/>
                <w:szCs w:val="20"/>
              </w:rPr>
            </w:pPr>
            <w:r w:rsidRPr="00295501">
              <w:rPr>
                <w:rFonts w:ascii="Arial" w:hAnsi="Arial" w:cs="Arial"/>
                <w:sz w:val="20"/>
                <w:szCs w:val="20"/>
              </w:rPr>
              <w:t>Strengthening relationships</w:t>
            </w:r>
          </w:p>
        </w:tc>
        <w:tc>
          <w:tcPr>
            <w:tcW w:w="6186" w:type="dxa"/>
            <w:vAlign w:val="center"/>
          </w:tcPr>
          <w:p w14:paraId="7509F27B" w14:textId="376E2543" w:rsidR="00C6640E" w:rsidRPr="00295501" w:rsidRDefault="00C6640E" w:rsidP="00624928">
            <w:pPr>
              <w:spacing w:before="120" w:after="120" w:line="360" w:lineRule="auto"/>
              <w:rPr>
                <w:rFonts w:ascii="Arial" w:hAnsi="Arial" w:cs="Arial"/>
                <w:sz w:val="20"/>
                <w:szCs w:val="20"/>
              </w:rPr>
            </w:pPr>
            <w:r w:rsidRPr="00295501">
              <w:rPr>
                <w:rFonts w:ascii="Arial" w:hAnsi="Arial" w:cs="Arial"/>
                <w:sz w:val="20"/>
                <w:szCs w:val="20"/>
              </w:rPr>
              <w:t>Shifts focus away from the patient; risk that children take over too early</w:t>
            </w:r>
          </w:p>
        </w:tc>
      </w:tr>
      <w:tr w:rsidR="00C6640E" w14:paraId="1850E0C9" w14:textId="77777777" w:rsidTr="00C6640E">
        <w:tc>
          <w:tcPr>
            <w:tcW w:w="2830" w:type="dxa"/>
            <w:vAlign w:val="center"/>
          </w:tcPr>
          <w:p w14:paraId="69025E3F" w14:textId="6D4B415E" w:rsidR="00C6640E" w:rsidRPr="00295501" w:rsidRDefault="00C6640E" w:rsidP="00624928">
            <w:pPr>
              <w:spacing w:before="120" w:after="120" w:line="360" w:lineRule="auto"/>
              <w:rPr>
                <w:rFonts w:ascii="Arial" w:hAnsi="Arial" w:cs="Arial"/>
                <w:sz w:val="20"/>
                <w:szCs w:val="20"/>
              </w:rPr>
            </w:pPr>
            <w:r w:rsidRPr="00295501">
              <w:rPr>
                <w:rFonts w:ascii="Arial" w:hAnsi="Arial" w:cs="Arial"/>
                <w:sz w:val="20"/>
                <w:szCs w:val="20"/>
              </w:rPr>
              <w:t>Preparing for end-of-life</w:t>
            </w:r>
          </w:p>
        </w:tc>
        <w:tc>
          <w:tcPr>
            <w:tcW w:w="6186" w:type="dxa"/>
            <w:vAlign w:val="center"/>
          </w:tcPr>
          <w:p w14:paraId="1AE68389" w14:textId="6530A242" w:rsidR="00C6640E" w:rsidRPr="00295501" w:rsidRDefault="00C6640E" w:rsidP="00624928">
            <w:pPr>
              <w:spacing w:before="120" w:after="120" w:line="360" w:lineRule="auto"/>
              <w:rPr>
                <w:rFonts w:ascii="Arial" w:hAnsi="Arial" w:cs="Arial"/>
                <w:sz w:val="20"/>
                <w:szCs w:val="20"/>
              </w:rPr>
            </w:pPr>
            <w:r w:rsidRPr="00295501">
              <w:rPr>
                <w:rFonts w:ascii="Arial" w:hAnsi="Arial" w:cs="Arial"/>
                <w:sz w:val="20"/>
                <w:szCs w:val="20"/>
              </w:rPr>
              <w:t>Risk of ACP to be regarded as panacea</w:t>
            </w:r>
          </w:p>
        </w:tc>
      </w:tr>
      <w:tr w:rsidR="00C6640E" w14:paraId="31C4563E" w14:textId="77777777" w:rsidTr="00C6640E">
        <w:tc>
          <w:tcPr>
            <w:tcW w:w="2830" w:type="dxa"/>
            <w:vAlign w:val="center"/>
          </w:tcPr>
          <w:p w14:paraId="71CC3377" w14:textId="2518FC87" w:rsidR="00C6640E" w:rsidRPr="00295501" w:rsidRDefault="00C6640E" w:rsidP="00624928">
            <w:pPr>
              <w:spacing w:before="120" w:after="120" w:line="360" w:lineRule="auto"/>
              <w:rPr>
                <w:rFonts w:ascii="Arial" w:hAnsi="Arial" w:cs="Arial"/>
                <w:sz w:val="20"/>
                <w:szCs w:val="20"/>
              </w:rPr>
            </w:pPr>
            <w:r w:rsidRPr="00295501">
              <w:rPr>
                <w:rFonts w:ascii="Arial" w:hAnsi="Arial" w:cs="Arial"/>
                <w:sz w:val="20"/>
                <w:szCs w:val="20"/>
              </w:rPr>
              <w:t>Reducing overtreatment</w:t>
            </w:r>
          </w:p>
        </w:tc>
        <w:tc>
          <w:tcPr>
            <w:tcW w:w="6186" w:type="dxa"/>
            <w:vAlign w:val="center"/>
          </w:tcPr>
          <w:p w14:paraId="41DF6221" w14:textId="0950232F" w:rsidR="00C6640E" w:rsidRPr="00295501" w:rsidRDefault="00C6640E" w:rsidP="00624928">
            <w:pPr>
              <w:spacing w:before="120" w:after="120" w:line="360" w:lineRule="auto"/>
              <w:rPr>
                <w:rFonts w:ascii="Arial" w:hAnsi="Arial" w:cs="Arial"/>
                <w:sz w:val="20"/>
                <w:szCs w:val="20"/>
              </w:rPr>
            </w:pPr>
            <w:r w:rsidRPr="00295501">
              <w:rPr>
                <w:rFonts w:ascii="Arial" w:hAnsi="Arial" w:cs="Arial"/>
                <w:sz w:val="20"/>
                <w:szCs w:val="20"/>
              </w:rPr>
              <w:t>Pressure to refuse treatment; distrust of the health care system; against nature</w:t>
            </w:r>
          </w:p>
        </w:tc>
      </w:tr>
    </w:tbl>
    <w:p w14:paraId="67038E16" w14:textId="6032F71C" w:rsidR="0069517D" w:rsidRPr="00E34799" w:rsidRDefault="0069517D" w:rsidP="00E34799">
      <w:pPr>
        <w:spacing w:line="240" w:lineRule="auto"/>
        <w:rPr>
          <w:rFonts w:ascii="Arial" w:hAnsi="Arial" w:cs="Arial"/>
          <w:sz w:val="24"/>
          <w:szCs w:val="24"/>
        </w:rPr>
      </w:pPr>
    </w:p>
    <w:p w14:paraId="4CF72035" w14:textId="6930E89D" w:rsidR="0069517D" w:rsidRPr="00E34799" w:rsidRDefault="0069517D" w:rsidP="00E34799">
      <w:pPr>
        <w:spacing w:line="240" w:lineRule="auto"/>
        <w:rPr>
          <w:rFonts w:ascii="Arial" w:hAnsi="Arial" w:cs="Arial"/>
          <w:sz w:val="24"/>
          <w:szCs w:val="24"/>
        </w:rPr>
      </w:pPr>
      <w:r w:rsidRPr="00E34799">
        <w:rPr>
          <w:rFonts w:ascii="Arial" w:hAnsi="Arial" w:cs="Arial"/>
          <w:sz w:val="24"/>
          <w:szCs w:val="24"/>
        </w:rPr>
        <w:t xml:space="preserve">The </w:t>
      </w:r>
      <w:r w:rsidR="00AA7155">
        <w:rPr>
          <w:rFonts w:ascii="Arial" w:hAnsi="Arial" w:cs="Arial"/>
          <w:sz w:val="24"/>
          <w:szCs w:val="24"/>
        </w:rPr>
        <w:t xml:space="preserve">intentions of ACP are reasonable and prudent, even </w:t>
      </w:r>
      <w:r w:rsidRPr="00E34799">
        <w:rPr>
          <w:rFonts w:ascii="Arial" w:hAnsi="Arial" w:cs="Arial"/>
          <w:sz w:val="24"/>
          <w:szCs w:val="24"/>
        </w:rPr>
        <w:t xml:space="preserve">acknowledging the objections arising from misapplied (or misconceived) application. </w:t>
      </w:r>
      <w:r w:rsidR="002A1B56">
        <w:rPr>
          <w:rFonts w:ascii="Arial" w:hAnsi="Arial" w:cs="Arial"/>
          <w:sz w:val="24"/>
          <w:szCs w:val="24"/>
        </w:rPr>
        <w:t>A specific plan will contain much nuance and personalisation; but</w:t>
      </w:r>
      <w:r w:rsidRPr="00E34799">
        <w:rPr>
          <w:rFonts w:ascii="Arial" w:hAnsi="Arial" w:cs="Arial"/>
          <w:sz w:val="24"/>
          <w:szCs w:val="24"/>
        </w:rPr>
        <w:t xml:space="preserve"> </w:t>
      </w:r>
      <w:r w:rsidR="00AA7155">
        <w:rPr>
          <w:rFonts w:ascii="Arial" w:hAnsi="Arial" w:cs="Arial"/>
          <w:sz w:val="24"/>
          <w:szCs w:val="24"/>
        </w:rPr>
        <w:t>t</w:t>
      </w:r>
      <w:r w:rsidRPr="00E34799">
        <w:rPr>
          <w:rFonts w:ascii="Arial" w:hAnsi="Arial" w:cs="Arial"/>
          <w:sz w:val="24"/>
          <w:szCs w:val="24"/>
        </w:rPr>
        <w:t>here are a number of documents and tools under the umbrella of advance care planning. For example:</w:t>
      </w:r>
    </w:p>
    <w:p w14:paraId="3F9B810C" w14:textId="77777777" w:rsidR="0069517D" w:rsidRPr="00E34799" w:rsidRDefault="0069517D" w:rsidP="00E34799">
      <w:pPr>
        <w:pStyle w:val="ListParagraph"/>
        <w:numPr>
          <w:ilvl w:val="0"/>
          <w:numId w:val="6"/>
        </w:numPr>
        <w:spacing w:line="240" w:lineRule="auto"/>
        <w:rPr>
          <w:rFonts w:ascii="Arial" w:hAnsi="Arial" w:cs="Arial"/>
          <w:sz w:val="24"/>
          <w:szCs w:val="24"/>
        </w:rPr>
      </w:pPr>
      <w:r w:rsidRPr="00E34799">
        <w:rPr>
          <w:rFonts w:ascii="Arial" w:hAnsi="Arial" w:cs="Arial"/>
          <w:sz w:val="24"/>
          <w:szCs w:val="24"/>
        </w:rPr>
        <w:t xml:space="preserve">‘advance statements’, or ‘living wills’, provide an indication of wishes and preferences. </w:t>
      </w:r>
    </w:p>
    <w:p w14:paraId="4BB2837F" w14:textId="77777777" w:rsidR="0069517D" w:rsidRPr="00E34799" w:rsidRDefault="0069517D" w:rsidP="00E34799">
      <w:pPr>
        <w:pStyle w:val="ListParagraph"/>
        <w:numPr>
          <w:ilvl w:val="0"/>
          <w:numId w:val="6"/>
        </w:numPr>
        <w:spacing w:line="240" w:lineRule="auto"/>
        <w:rPr>
          <w:rFonts w:ascii="Arial" w:hAnsi="Arial" w:cs="Arial"/>
          <w:sz w:val="24"/>
          <w:szCs w:val="24"/>
        </w:rPr>
      </w:pPr>
      <w:r w:rsidRPr="00E34799">
        <w:rPr>
          <w:rFonts w:ascii="Arial" w:hAnsi="Arial" w:cs="Arial"/>
          <w:sz w:val="24"/>
          <w:szCs w:val="24"/>
        </w:rPr>
        <w:t xml:space="preserve">an ‘Advance Decision to Refuse Treatment’ brings a legal obligation to respect what has been recorded (as long as it is specific enough to the scenario under consideration). This is rarely as categorical as it might appear, but does add weight to patient perspective when considering what they might have considered important. </w:t>
      </w:r>
    </w:p>
    <w:p w14:paraId="1A6B8CAF" w14:textId="77777777" w:rsidR="0069517D" w:rsidRPr="00E34799" w:rsidRDefault="0069517D" w:rsidP="00E34799">
      <w:pPr>
        <w:pStyle w:val="ListParagraph"/>
        <w:numPr>
          <w:ilvl w:val="0"/>
          <w:numId w:val="6"/>
        </w:numPr>
        <w:spacing w:line="240" w:lineRule="auto"/>
        <w:rPr>
          <w:rFonts w:ascii="Arial" w:hAnsi="Arial" w:cs="Arial"/>
          <w:sz w:val="24"/>
          <w:szCs w:val="24"/>
        </w:rPr>
      </w:pPr>
      <w:r w:rsidRPr="00E34799">
        <w:rPr>
          <w:rFonts w:ascii="Arial" w:hAnsi="Arial" w:cs="Arial"/>
          <w:sz w:val="24"/>
          <w:szCs w:val="24"/>
        </w:rPr>
        <w:lastRenderedPageBreak/>
        <w:t>‘Lasting Power of Attorney’ (specifically for health and welfare, in this clinical context) is another aspect of future care planning that can be considered. This also brings a legal authority to the attorney.</w:t>
      </w:r>
    </w:p>
    <w:p w14:paraId="2B00DE7B" w14:textId="1F6A17AE" w:rsidR="0069517D" w:rsidRDefault="0069517D" w:rsidP="00E34799">
      <w:pPr>
        <w:pStyle w:val="ListParagraph"/>
        <w:numPr>
          <w:ilvl w:val="0"/>
          <w:numId w:val="6"/>
        </w:numPr>
        <w:spacing w:line="240" w:lineRule="auto"/>
        <w:rPr>
          <w:rFonts w:ascii="Arial" w:hAnsi="Arial" w:cs="Arial"/>
          <w:sz w:val="24"/>
          <w:szCs w:val="24"/>
        </w:rPr>
      </w:pPr>
      <w:r w:rsidRPr="00E34799">
        <w:rPr>
          <w:rFonts w:ascii="Arial" w:hAnsi="Arial" w:cs="Arial"/>
          <w:sz w:val="24"/>
          <w:szCs w:val="24"/>
        </w:rPr>
        <w:t xml:space="preserve">‘cardiopulmonary resuscitation’ decisions are a form of (not legally binding) advance care plan. Clearly there are many aspects of care that can be considered, or preferences weighed, before the heart stops beating and decisions about cardiopulmonary resuscitation need making. </w:t>
      </w:r>
    </w:p>
    <w:p w14:paraId="35E63574" w14:textId="19383CBC" w:rsidR="00501FE4" w:rsidRDefault="00501FE4" w:rsidP="00501FE4">
      <w:pPr>
        <w:spacing w:line="240" w:lineRule="auto"/>
        <w:rPr>
          <w:rFonts w:ascii="Arial" w:hAnsi="Arial" w:cs="Arial"/>
          <w:sz w:val="24"/>
          <w:szCs w:val="24"/>
        </w:rPr>
      </w:pPr>
      <w:r w:rsidRPr="00501FE4">
        <w:rPr>
          <w:rFonts w:ascii="Arial" w:hAnsi="Arial" w:cs="Arial"/>
          <w:noProof/>
          <w:sz w:val="24"/>
          <w:szCs w:val="24"/>
        </w:rPr>
        <w:drawing>
          <wp:inline distT="0" distB="0" distL="0" distR="0" wp14:anchorId="604D5405" wp14:editId="761EDE04">
            <wp:extent cx="5731510" cy="4598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598035"/>
                    </a:xfrm>
                    <a:prstGeom prst="rect">
                      <a:avLst/>
                    </a:prstGeom>
                  </pic:spPr>
                </pic:pic>
              </a:graphicData>
            </a:graphic>
          </wp:inline>
        </w:drawing>
      </w:r>
    </w:p>
    <w:p w14:paraId="1D7EC6C0" w14:textId="290AAF88" w:rsidR="00501FE4" w:rsidRDefault="00501FE4" w:rsidP="00501FE4">
      <w:pPr>
        <w:spacing w:line="240" w:lineRule="auto"/>
        <w:rPr>
          <w:rFonts w:ascii="Arial" w:hAnsi="Arial" w:cs="Arial"/>
          <w:sz w:val="18"/>
          <w:szCs w:val="18"/>
        </w:rPr>
      </w:pPr>
      <w:r w:rsidRPr="00501FE4">
        <w:rPr>
          <w:rFonts w:ascii="Arial" w:hAnsi="Arial" w:cs="Arial"/>
          <w:sz w:val="18"/>
          <w:szCs w:val="18"/>
        </w:rPr>
        <w:t xml:space="preserve">Figure 2.1: </w:t>
      </w:r>
      <w:r>
        <w:rPr>
          <w:rFonts w:ascii="Arial" w:hAnsi="Arial" w:cs="Arial"/>
          <w:sz w:val="18"/>
          <w:szCs w:val="18"/>
        </w:rPr>
        <w:t>Components of Advance Care Planning (Department of Health, 2021)</w:t>
      </w:r>
    </w:p>
    <w:p w14:paraId="0D41D7E6" w14:textId="77777777" w:rsidR="002A1B56" w:rsidRDefault="002A1B56" w:rsidP="00E34799">
      <w:pPr>
        <w:spacing w:line="240" w:lineRule="auto"/>
        <w:rPr>
          <w:rFonts w:ascii="Arial" w:hAnsi="Arial" w:cs="Arial"/>
          <w:sz w:val="24"/>
          <w:szCs w:val="24"/>
        </w:rPr>
      </w:pPr>
    </w:p>
    <w:p w14:paraId="223E4DD0" w14:textId="151E5D1F" w:rsidR="0069517D" w:rsidRPr="00E34799" w:rsidRDefault="0069517D" w:rsidP="00E34799">
      <w:pPr>
        <w:spacing w:line="240" w:lineRule="auto"/>
        <w:rPr>
          <w:rFonts w:ascii="Arial" w:hAnsi="Arial" w:cs="Arial"/>
          <w:sz w:val="24"/>
          <w:szCs w:val="24"/>
        </w:rPr>
      </w:pPr>
      <w:r w:rsidRPr="00E34799">
        <w:rPr>
          <w:rFonts w:ascii="Arial" w:hAnsi="Arial" w:cs="Arial"/>
          <w:sz w:val="24"/>
          <w:szCs w:val="24"/>
        </w:rPr>
        <w:t xml:space="preserve">Each aspect, and many others, could be characterised in their own contexts but the emphasis here is to consider the wider perspective. </w:t>
      </w:r>
    </w:p>
    <w:p w14:paraId="4B3BEAD8" w14:textId="3CCA25BE" w:rsidR="0069517D" w:rsidRPr="00E34799" w:rsidRDefault="00960108" w:rsidP="00E34799">
      <w:pPr>
        <w:spacing w:line="240" w:lineRule="auto"/>
        <w:rPr>
          <w:rFonts w:ascii="Arial" w:hAnsi="Arial" w:cs="Arial"/>
          <w:sz w:val="24"/>
          <w:szCs w:val="24"/>
        </w:rPr>
      </w:pPr>
      <w:r>
        <w:rPr>
          <w:rFonts w:ascii="Arial" w:hAnsi="Arial" w:cs="Arial"/>
          <w:sz w:val="24"/>
          <w:szCs w:val="24"/>
        </w:rPr>
        <w:t>One</w:t>
      </w:r>
      <w:r w:rsidR="0069517D" w:rsidRPr="00E34799">
        <w:rPr>
          <w:rFonts w:ascii="Arial" w:hAnsi="Arial" w:cs="Arial"/>
          <w:sz w:val="24"/>
          <w:szCs w:val="24"/>
        </w:rPr>
        <w:t xml:space="preserve"> concern </w:t>
      </w:r>
      <w:r>
        <w:rPr>
          <w:rFonts w:ascii="Arial" w:hAnsi="Arial" w:cs="Arial"/>
          <w:sz w:val="24"/>
          <w:szCs w:val="24"/>
        </w:rPr>
        <w:t>in the field</w:t>
      </w:r>
      <w:r w:rsidR="0069517D" w:rsidRPr="00E34799">
        <w:rPr>
          <w:rFonts w:ascii="Arial" w:hAnsi="Arial" w:cs="Arial"/>
          <w:sz w:val="24"/>
          <w:szCs w:val="24"/>
        </w:rPr>
        <w:t xml:space="preserve"> is to identify those who will benefit soonest from having the opportunity to discuss and establish their preferences and priorities. Seeking to access digital resources in focusing effort on those within their last year of life aligns with the ‘prudent healthcar</w:t>
      </w:r>
      <w:r w:rsidR="00517CD9" w:rsidRPr="00E34799">
        <w:rPr>
          <w:rFonts w:ascii="Arial" w:hAnsi="Arial" w:cs="Arial"/>
          <w:sz w:val="24"/>
          <w:szCs w:val="24"/>
        </w:rPr>
        <w:t xml:space="preserve">e’ </w:t>
      </w:r>
      <w:r w:rsidR="00F55AE5">
        <w:rPr>
          <w:rFonts w:ascii="Arial" w:hAnsi="Arial" w:cs="Arial"/>
          <w:sz w:val="24"/>
          <w:szCs w:val="24"/>
        </w:rPr>
        <w:t>slogan</w:t>
      </w:r>
      <w:r w:rsidR="00517CD9" w:rsidRPr="00E34799">
        <w:rPr>
          <w:rFonts w:ascii="Arial" w:hAnsi="Arial" w:cs="Arial"/>
          <w:sz w:val="24"/>
          <w:szCs w:val="24"/>
        </w:rPr>
        <w:t xml:space="preserve"> of Welsh Government. Hence</w:t>
      </w:r>
      <w:r w:rsidR="0069517D" w:rsidRPr="00E34799">
        <w:rPr>
          <w:rFonts w:ascii="Arial" w:hAnsi="Arial" w:cs="Arial"/>
          <w:sz w:val="24"/>
          <w:szCs w:val="24"/>
        </w:rPr>
        <w:t>, identifying individuals with increasing burdens of illness, with, or without, declining functional abilities or those facing changes in their health and care needs enables that targeted approach. There is no compulsion to engage with this ‘planning’</w:t>
      </w:r>
      <w:r w:rsidR="00517CD9" w:rsidRPr="00E34799">
        <w:rPr>
          <w:rFonts w:ascii="Arial" w:hAnsi="Arial" w:cs="Arial"/>
          <w:sz w:val="24"/>
          <w:szCs w:val="24"/>
        </w:rPr>
        <w:t>,</w:t>
      </w:r>
      <w:r w:rsidR="0069517D" w:rsidRPr="00E34799">
        <w:rPr>
          <w:rFonts w:ascii="Arial" w:hAnsi="Arial" w:cs="Arial"/>
          <w:sz w:val="24"/>
          <w:szCs w:val="24"/>
        </w:rPr>
        <w:t xml:space="preserve"> but the aspiration – as with NHSE</w:t>
      </w:r>
      <w:r w:rsidR="00517CD9" w:rsidRPr="00E34799">
        <w:rPr>
          <w:rFonts w:ascii="Arial" w:hAnsi="Arial" w:cs="Arial"/>
          <w:sz w:val="24"/>
          <w:szCs w:val="24"/>
        </w:rPr>
        <w:t xml:space="preserve"> (2022)</w:t>
      </w:r>
      <w:r w:rsidR="0069517D" w:rsidRPr="00E34799">
        <w:rPr>
          <w:rFonts w:ascii="Arial" w:hAnsi="Arial" w:cs="Arial"/>
          <w:sz w:val="24"/>
          <w:szCs w:val="24"/>
        </w:rPr>
        <w:t xml:space="preserve"> – is that individuals have, “a greater sense of involvement and the opportunity to reflect and share what matters most to them”.</w:t>
      </w:r>
    </w:p>
    <w:p w14:paraId="3307F60A" w14:textId="2EFC0F52" w:rsidR="001D6888" w:rsidRDefault="0069517D" w:rsidP="00E34799">
      <w:pPr>
        <w:spacing w:line="240" w:lineRule="auto"/>
        <w:rPr>
          <w:rFonts w:ascii="Arial" w:hAnsi="Arial" w:cs="Arial"/>
          <w:sz w:val="24"/>
          <w:szCs w:val="24"/>
        </w:rPr>
      </w:pPr>
      <w:r w:rsidRPr="00E34799">
        <w:rPr>
          <w:rFonts w:ascii="Arial" w:hAnsi="Arial" w:cs="Arial"/>
          <w:sz w:val="24"/>
          <w:szCs w:val="24"/>
        </w:rPr>
        <w:lastRenderedPageBreak/>
        <w:t xml:space="preserve">Advance care planning is very much a process rather than an event. Discussions are often necessary over time with multiple actors contributing although the decisions about the plan rest with the individual. It is a dynamic process but </w:t>
      </w:r>
      <w:r w:rsidR="00D7335D" w:rsidRPr="00E34799">
        <w:rPr>
          <w:rFonts w:ascii="Arial" w:hAnsi="Arial" w:cs="Arial"/>
          <w:sz w:val="24"/>
          <w:szCs w:val="24"/>
        </w:rPr>
        <w:t>one that raises the patient</w:t>
      </w:r>
      <w:r w:rsidRPr="00E34799">
        <w:rPr>
          <w:rFonts w:ascii="Arial" w:hAnsi="Arial" w:cs="Arial"/>
          <w:sz w:val="24"/>
          <w:szCs w:val="24"/>
        </w:rPr>
        <w:t xml:space="preserve"> voice and empowers individualised care.</w:t>
      </w:r>
      <w:r w:rsidR="00012B6D" w:rsidRPr="00E34799">
        <w:rPr>
          <w:rFonts w:ascii="Arial" w:hAnsi="Arial" w:cs="Arial"/>
          <w:sz w:val="24"/>
          <w:szCs w:val="24"/>
        </w:rPr>
        <w:tab/>
      </w:r>
    </w:p>
    <w:p w14:paraId="01F2A191" w14:textId="580162F7" w:rsidR="00F55AE5" w:rsidRDefault="00F55AE5" w:rsidP="00E34799">
      <w:pPr>
        <w:spacing w:line="240" w:lineRule="auto"/>
        <w:rPr>
          <w:rFonts w:ascii="Arial" w:hAnsi="Arial" w:cs="Arial"/>
          <w:sz w:val="24"/>
          <w:szCs w:val="24"/>
        </w:rPr>
      </w:pPr>
      <w:r>
        <w:rPr>
          <w:rFonts w:ascii="Arial" w:hAnsi="Arial" w:cs="Arial"/>
          <w:noProof/>
          <w:sz w:val="24"/>
          <w:szCs w:val="24"/>
        </w:rPr>
        <w:drawing>
          <wp:inline distT="0" distB="0" distL="0" distR="0" wp14:anchorId="483E8295" wp14:editId="3FB81942">
            <wp:extent cx="5712460" cy="714375"/>
            <wp:effectExtent l="19050" t="0" r="21590" b="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D024250" w14:textId="21635698" w:rsidR="00F55AE5" w:rsidRPr="00F55AE5" w:rsidRDefault="00F55AE5" w:rsidP="00E34799">
      <w:pPr>
        <w:spacing w:line="240" w:lineRule="auto"/>
        <w:rPr>
          <w:rFonts w:ascii="Arial" w:hAnsi="Arial" w:cs="Arial"/>
          <w:sz w:val="18"/>
          <w:szCs w:val="18"/>
        </w:rPr>
      </w:pPr>
      <w:r w:rsidRPr="00F55AE5">
        <w:rPr>
          <w:rFonts w:ascii="Arial" w:hAnsi="Arial" w:cs="Arial"/>
          <w:sz w:val="18"/>
          <w:szCs w:val="18"/>
        </w:rPr>
        <w:t xml:space="preserve">Figure 2.2: </w:t>
      </w:r>
      <w:r w:rsidR="001023C0">
        <w:rPr>
          <w:rFonts w:ascii="Arial" w:hAnsi="Arial" w:cs="Arial"/>
          <w:sz w:val="18"/>
          <w:szCs w:val="18"/>
        </w:rPr>
        <w:t>Advance care planning process</w:t>
      </w:r>
    </w:p>
    <w:p w14:paraId="5D55BFD1" w14:textId="3A5DD8A5" w:rsidR="00615734" w:rsidRDefault="00615734" w:rsidP="00E34799">
      <w:pPr>
        <w:spacing w:line="240" w:lineRule="auto"/>
        <w:rPr>
          <w:rFonts w:ascii="Arial" w:hAnsi="Arial" w:cs="Arial"/>
          <w:sz w:val="24"/>
          <w:szCs w:val="24"/>
        </w:rPr>
      </w:pPr>
    </w:p>
    <w:p w14:paraId="3D4D0FE7" w14:textId="77777777" w:rsidR="00DB7FC8" w:rsidRDefault="00DB7FC8" w:rsidP="00E34799">
      <w:pPr>
        <w:spacing w:line="240" w:lineRule="auto"/>
        <w:rPr>
          <w:rFonts w:ascii="Arial" w:hAnsi="Arial" w:cs="Arial"/>
          <w:sz w:val="24"/>
          <w:szCs w:val="24"/>
        </w:rPr>
      </w:pPr>
    </w:p>
    <w:p w14:paraId="5330E6B0" w14:textId="70754144" w:rsidR="00D97592" w:rsidRPr="00E34799" w:rsidRDefault="00032AA1" w:rsidP="00E34799">
      <w:pPr>
        <w:spacing w:line="240" w:lineRule="auto"/>
        <w:rPr>
          <w:rFonts w:ascii="Arial" w:hAnsi="Arial" w:cs="Arial"/>
          <w:sz w:val="24"/>
          <w:szCs w:val="24"/>
        </w:rPr>
      </w:pPr>
      <w:r w:rsidRPr="00E34799">
        <w:rPr>
          <w:rFonts w:ascii="Arial" w:hAnsi="Arial" w:cs="Arial"/>
          <w:sz w:val="24"/>
          <w:szCs w:val="24"/>
        </w:rPr>
        <w:t>2.3</w:t>
      </w:r>
      <w:r w:rsidRPr="00E34799">
        <w:rPr>
          <w:rFonts w:ascii="Arial" w:hAnsi="Arial" w:cs="Arial"/>
          <w:sz w:val="24"/>
          <w:szCs w:val="24"/>
        </w:rPr>
        <w:tab/>
      </w:r>
      <w:r w:rsidR="00361572" w:rsidRPr="00E34799">
        <w:rPr>
          <w:rFonts w:ascii="Arial" w:hAnsi="Arial" w:cs="Arial"/>
          <w:sz w:val="24"/>
          <w:szCs w:val="24"/>
        </w:rPr>
        <w:t xml:space="preserve">The </w:t>
      </w:r>
      <w:r w:rsidR="00D97592" w:rsidRPr="00E34799">
        <w:rPr>
          <w:rFonts w:ascii="Arial" w:hAnsi="Arial" w:cs="Arial"/>
          <w:sz w:val="24"/>
          <w:szCs w:val="24"/>
        </w:rPr>
        <w:t>Literature</w:t>
      </w:r>
    </w:p>
    <w:p w14:paraId="160EDE7C" w14:textId="123C50FF" w:rsidR="00D97592" w:rsidRPr="00E34799" w:rsidRDefault="00F55AE5" w:rsidP="00E34799">
      <w:pPr>
        <w:spacing w:line="240" w:lineRule="auto"/>
        <w:rPr>
          <w:rFonts w:ascii="Arial" w:hAnsi="Arial" w:cs="Arial"/>
          <w:b/>
          <w:sz w:val="24"/>
          <w:szCs w:val="24"/>
        </w:rPr>
      </w:pPr>
      <w:r>
        <w:rPr>
          <w:rFonts w:ascii="Arial" w:hAnsi="Arial" w:cs="Arial"/>
          <w:b/>
          <w:sz w:val="24"/>
          <w:szCs w:val="24"/>
        </w:rPr>
        <w:t>F</w:t>
      </w:r>
      <w:r w:rsidR="00D97592" w:rsidRPr="00E34799">
        <w:rPr>
          <w:rFonts w:ascii="Arial" w:hAnsi="Arial" w:cs="Arial"/>
          <w:b/>
          <w:sz w:val="24"/>
          <w:szCs w:val="24"/>
        </w:rPr>
        <w:t xml:space="preserve">easibility of a prognostication aid </w:t>
      </w:r>
      <w:r>
        <w:rPr>
          <w:rFonts w:ascii="Arial" w:hAnsi="Arial" w:cs="Arial"/>
          <w:b/>
          <w:sz w:val="24"/>
          <w:szCs w:val="24"/>
        </w:rPr>
        <w:t>to</w:t>
      </w:r>
      <w:r w:rsidR="00D97592" w:rsidRPr="00E34799">
        <w:rPr>
          <w:rFonts w:ascii="Arial" w:hAnsi="Arial" w:cs="Arial"/>
          <w:b/>
          <w:sz w:val="24"/>
          <w:szCs w:val="24"/>
        </w:rPr>
        <w:t xml:space="preserve"> promot</w:t>
      </w:r>
      <w:r>
        <w:rPr>
          <w:rFonts w:ascii="Arial" w:hAnsi="Arial" w:cs="Arial"/>
          <w:b/>
          <w:sz w:val="24"/>
          <w:szCs w:val="24"/>
        </w:rPr>
        <w:t>e</w:t>
      </w:r>
      <w:r w:rsidR="00D97592" w:rsidRPr="00E34799">
        <w:rPr>
          <w:rFonts w:ascii="Arial" w:hAnsi="Arial" w:cs="Arial"/>
          <w:b/>
          <w:sz w:val="24"/>
          <w:szCs w:val="24"/>
        </w:rPr>
        <w:t xml:space="preserve"> advance care planning</w:t>
      </w:r>
      <w:r>
        <w:rPr>
          <w:rFonts w:ascii="Arial" w:hAnsi="Arial" w:cs="Arial"/>
          <w:b/>
          <w:sz w:val="24"/>
          <w:szCs w:val="24"/>
        </w:rPr>
        <w:t>.</w:t>
      </w:r>
    </w:p>
    <w:p w14:paraId="1624C593" w14:textId="5D3B06F2" w:rsidR="00ED07B7" w:rsidRDefault="00312888" w:rsidP="00E34799">
      <w:pPr>
        <w:spacing w:line="240" w:lineRule="auto"/>
        <w:rPr>
          <w:rFonts w:ascii="Arial" w:hAnsi="Arial" w:cs="Arial"/>
          <w:sz w:val="24"/>
          <w:szCs w:val="24"/>
        </w:rPr>
      </w:pPr>
      <w:r>
        <w:rPr>
          <w:rFonts w:ascii="Arial" w:hAnsi="Arial" w:cs="Arial"/>
          <w:sz w:val="24"/>
          <w:szCs w:val="24"/>
        </w:rPr>
        <w:t>T</w:t>
      </w:r>
      <w:r w:rsidR="00ED07B7">
        <w:rPr>
          <w:rFonts w:ascii="Arial" w:hAnsi="Arial" w:cs="Arial"/>
          <w:sz w:val="24"/>
          <w:szCs w:val="24"/>
        </w:rPr>
        <w:t>he application for ethical approval for this research is included in Appendix</w:t>
      </w:r>
      <w:r w:rsidR="0019278B">
        <w:rPr>
          <w:rFonts w:ascii="Arial" w:hAnsi="Arial" w:cs="Arial"/>
          <w:sz w:val="24"/>
          <w:szCs w:val="24"/>
        </w:rPr>
        <w:t xml:space="preserve"> A</w:t>
      </w:r>
      <w:r w:rsidR="00ED07B7">
        <w:rPr>
          <w:rFonts w:ascii="Arial" w:hAnsi="Arial" w:cs="Arial"/>
          <w:sz w:val="24"/>
          <w:szCs w:val="24"/>
        </w:rPr>
        <w:t>.</w:t>
      </w:r>
      <w:r w:rsidR="001023C0">
        <w:rPr>
          <w:rFonts w:ascii="Arial" w:hAnsi="Arial" w:cs="Arial"/>
          <w:sz w:val="24"/>
          <w:szCs w:val="24"/>
        </w:rPr>
        <w:t xml:space="preserve"> </w:t>
      </w:r>
      <w:r>
        <w:rPr>
          <w:rFonts w:ascii="Arial" w:hAnsi="Arial" w:cs="Arial"/>
          <w:sz w:val="24"/>
          <w:szCs w:val="24"/>
        </w:rPr>
        <w:t>This provides assurance about compliance with ethical standards and the research’s integrity. In addition, this is an emotive (and possibly contentious) topic, so it ensures that respect, trust and credibility</w:t>
      </w:r>
      <w:r w:rsidRPr="00312888">
        <w:rPr>
          <w:rFonts w:ascii="Arial" w:hAnsi="Arial" w:cs="Arial"/>
          <w:sz w:val="24"/>
          <w:szCs w:val="24"/>
        </w:rPr>
        <w:t xml:space="preserve"> </w:t>
      </w:r>
      <w:r>
        <w:rPr>
          <w:rFonts w:ascii="Arial" w:hAnsi="Arial" w:cs="Arial"/>
          <w:sz w:val="24"/>
          <w:szCs w:val="24"/>
        </w:rPr>
        <w:t>are appropriately recognised.</w:t>
      </w:r>
    </w:p>
    <w:p w14:paraId="718561F7" w14:textId="228EA5C1" w:rsidR="00D97592" w:rsidRPr="00E34799" w:rsidRDefault="00312888" w:rsidP="00E34799">
      <w:pPr>
        <w:spacing w:line="240" w:lineRule="auto"/>
        <w:rPr>
          <w:rFonts w:ascii="Arial" w:hAnsi="Arial" w:cs="Arial"/>
          <w:sz w:val="24"/>
          <w:szCs w:val="24"/>
        </w:rPr>
      </w:pPr>
      <w:r>
        <w:rPr>
          <w:rFonts w:ascii="Arial" w:hAnsi="Arial" w:cs="Arial"/>
          <w:sz w:val="24"/>
          <w:szCs w:val="24"/>
        </w:rPr>
        <w:t>The search strategy applied was to use</w:t>
      </w:r>
      <w:r w:rsidRPr="00E34799">
        <w:rPr>
          <w:rFonts w:ascii="Arial" w:hAnsi="Arial" w:cs="Arial"/>
          <w:sz w:val="24"/>
          <w:szCs w:val="24"/>
        </w:rPr>
        <w:t xml:space="preserve"> the key words “palliative” AND “</w:t>
      </w:r>
      <w:proofErr w:type="spellStart"/>
      <w:r w:rsidRPr="00E34799">
        <w:rPr>
          <w:rFonts w:ascii="Arial" w:hAnsi="Arial" w:cs="Arial"/>
          <w:sz w:val="24"/>
          <w:szCs w:val="24"/>
        </w:rPr>
        <w:t>prognos</w:t>
      </w:r>
      <w:proofErr w:type="spellEnd"/>
      <w:r w:rsidRPr="00E34799">
        <w:rPr>
          <w:rFonts w:ascii="Arial" w:hAnsi="Arial" w:cs="Arial"/>
          <w:sz w:val="24"/>
          <w:szCs w:val="24"/>
        </w:rPr>
        <w:t>*”</w:t>
      </w:r>
      <w:r>
        <w:rPr>
          <w:rFonts w:ascii="Arial" w:hAnsi="Arial" w:cs="Arial"/>
          <w:sz w:val="24"/>
          <w:szCs w:val="24"/>
        </w:rPr>
        <w:t>.</w:t>
      </w:r>
      <w:r w:rsidR="00DB7FC8">
        <w:rPr>
          <w:rFonts w:ascii="Arial" w:hAnsi="Arial" w:cs="Arial"/>
          <w:sz w:val="24"/>
          <w:szCs w:val="24"/>
        </w:rPr>
        <w:t xml:space="preserve"> </w:t>
      </w:r>
      <w:r w:rsidR="00D97592" w:rsidRPr="00E34799">
        <w:rPr>
          <w:rFonts w:ascii="Arial" w:hAnsi="Arial" w:cs="Arial"/>
          <w:sz w:val="24"/>
          <w:szCs w:val="24"/>
        </w:rPr>
        <w:t xml:space="preserve">This was cross-referenced with a search using the key words “deep learning” OR “machine learning” OR “artificial intelligence”. The initial (scoping) search was simply through MEDLINE/PubMed; and only drew from the titles (mirroring </w:t>
      </w:r>
      <w:proofErr w:type="spellStart"/>
      <w:r w:rsidR="00D97592" w:rsidRPr="00E34799">
        <w:rPr>
          <w:rFonts w:ascii="Arial" w:hAnsi="Arial" w:cs="Arial"/>
          <w:sz w:val="24"/>
          <w:szCs w:val="24"/>
        </w:rPr>
        <w:t>Windisch’s</w:t>
      </w:r>
      <w:proofErr w:type="spellEnd"/>
      <w:r w:rsidR="00D97592" w:rsidRPr="00E34799">
        <w:rPr>
          <w:rFonts w:ascii="Arial" w:hAnsi="Arial" w:cs="Arial"/>
          <w:sz w:val="24"/>
          <w:szCs w:val="24"/>
        </w:rPr>
        <w:t xml:space="preserve"> work, </w:t>
      </w:r>
      <w:r w:rsidR="00844469">
        <w:rPr>
          <w:rFonts w:ascii="Arial" w:hAnsi="Arial" w:cs="Arial"/>
          <w:sz w:val="24"/>
          <w:szCs w:val="24"/>
        </w:rPr>
        <w:t>detailed below)</w:t>
      </w:r>
      <w:r w:rsidR="00D97592" w:rsidRPr="00E34799">
        <w:rPr>
          <w:rFonts w:ascii="Arial" w:hAnsi="Arial" w:cs="Arial"/>
          <w:sz w:val="24"/>
          <w:szCs w:val="24"/>
        </w:rPr>
        <w:t>.</w:t>
      </w:r>
      <w:r w:rsidR="00FB195F" w:rsidRPr="00E34799">
        <w:rPr>
          <w:rFonts w:ascii="Arial" w:hAnsi="Arial" w:cs="Arial"/>
          <w:sz w:val="24"/>
          <w:szCs w:val="24"/>
        </w:rPr>
        <w:t xml:space="preserve"> </w:t>
      </w:r>
      <w:r w:rsidR="00CC12C7">
        <w:rPr>
          <w:rFonts w:ascii="Arial" w:hAnsi="Arial" w:cs="Arial"/>
          <w:sz w:val="24"/>
          <w:szCs w:val="24"/>
        </w:rPr>
        <w:t xml:space="preserve">There were no exclusion criteria, in order to maximise identification of potential research, given that this is a novel area of research (illustrated in </w:t>
      </w:r>
      <w:r w:rsidR="00D561AB">
        <w:rPr>
          <w:rFonts w:ascii="Arial" w:hAnsi="Arial" w:cs="Arial"/>
          <w:sz w:val="24"/>
          <w:szCs w:val="24"/>
        </w:rPr>
        <w:t>figure</w:t>
      </w:r>
      <w:r w:rsidR="00CC12C7">
        <w:rPr>
          <w:rFonts w:ascii="Arial" w:hAnsi="Arial" w:cs="Arial"/>
          <w:sz w:val="24"/>
          <w:szCs w:val="24"/>
        </w:rPr>
        <w:t xml:space="preserve"> 2.</w:t>
      </w:r>
      <w:r w:rsidR="00D561AB">
        <w:rPr>
          <w:rFonts w:ascii="Arial" w:hAnsi="Arial" w:cs="Arial"/>
          <w:sz w:val="24"/>
          <w:szCs w:val="24"/>
        </w:rPr>
        <w:t>3</w:t>
      </w:r>
      <w:r w:rsidR="00CC12C7">
        <w:rPr>
          <w:rFonts w:ascii="Arial" w:hAnsi="Arial" w:cs="Arial"/>
          <w:sz w:val="24"/>
          <w:szCs w:val="24"/>
        </w:rPr>
        <w:t xml:space="preserve">). </w:t>
      </w:r>
      <w:r w:rsidR="00AD0821">
        <w:rPr>
          <w:rFonts w:ascii="Arial" w:hAnsi="Arial" w:cs="Arial"/>
          <w:sz w:val="24"/>
          <w:szCs w:val="24"/>
        </w:rPr>
        <w:t>Specifically, g</w:t>
      </w:r>
      <w:r w:rsidR="00CC12C7">
        <w:rPr>
          <w:rFonts w:ascii="Arial" w:hAnsi="Arial" w:cs="Arial"/>
          <w:sz w:val="24"/>
          <w:szCs w:val="24"/>
        </w:rPr>
        <w:t>iven the evolution of this research area</w:t>
      </w:r>
      <w:r w:rsidR="00AD0821">
        <w:rPr>
          <w:rFonts w:ascii="Arial" w:hAnsi="Arial" w:cs="Arial"/>
          <w:sz w:val="24"/>
          <w:szCs w:val="24"/>
        </w:rPr>
        <w:t>,</w:t>
      </w:r>
      <w:r w:rsidR="00CC12C7">
        <w:rPr>
          <w:rFonts w:ascii="Arial" w:hAnsi="Arial" w:cs="Arial"/>
          <w:sz w:val="24"/>
          <w:szCs w:val="24"/>
        </w:rPr>
        <w:t xml:space="preserve"> there were no parameters to the timeframe </w:t>
      </w:r>
      <w:r w:rsidR="00AD0821">
        <w:rPr>
          <w:rFonts w:ascii="Arial" w:hAnsi="Arial" w:cs="Arial"/>
          <w:sz w:val="24"/>
          <w:szCs w:val="24"/>
        </w:rPr>
        <w:t>(</w:t>
      </w:r>
      <w:r w:rsidR="00797478">
        <w:rPr>
          <w:rFonts w:ascii="Arial" w:hAnsi="Arial" w:cs="Arial"/>
          <w:sz w:val="24"/>
          <w:szCs w:val="24"/>
        </w:rPr>
        <w:t>i.e.,</w:t>
      </w:r>
      <w:r w:rsidR="00AD0821">
        <w:rPr>
          <w:rFonts w:ascii="Arial" w:hAnsi="Arial" w:cs="Arial"/>
          <w:sz w:val="24"/>
          <w:szCs w:val="24"/>
        </w:rPr>
        <w:t xml:space="preserve"> the search was performed across all years)</w:t>
      </w:r>
      <w:r w:rsidR="00CC12C7">
        <w:rPr>
          <w:rFonts w:ascii="Arial" w:hAnsi="Arial" w:cs="Arial"/>
          <w:sz w:val="24"/>
          <w:szCs w:val="24"/>
        </w:rPr>
        <w:t xml:space="preserve">. </w:t>
      </w:r>
      <w:r w:rsidR="00D97592" w:rsidRPr="00E34799">
        <w:rPr>
          <w:rFonts w:ascii="Arial" w:hAnsi="Arial" w:cs="Arial"/>
          <w:sz w:val="24"/>
          <w:szCs w:val="24"/>
        </w:rPr>
        <w:t>This approach identified only one article, which was an editorial. The titl</w:t>
      </w:r>
      <w:r w:rsidR="00571F9A" w:rsidRPr="00E34799">
        <w:rPr>
          <w:rFonts w:ascii="Arial" w:hAnsi="Arial" w:cs="Arial"/>
          <w:sz w:val="24"/>
          <w:szCs w:val="24"/>
        </w:rPr>
        <w:t>e actually posed a question – “A</w:t>
      </w:r>
      <w:r w:rsidR="00D97592" w:rsidRPr="00E34799">
        <w:rPr>
          <w:rFonts w:ascii="Arial" w:hAnsi="Arial" w:cs="Arial"/>
          <w:sz w:val="24"/>
          <w:szCs w:val="24"/>
        </w:rPr>
        <w:t>re prognostic predictions enough?” Th</w:t>
      </w:r>
      <w:r w:rsidR="00984AFF" w:rsidRPr="00E34799">
        <w:rPr>
          <w:rFonts w:ascii="Arial" w:hAnsi="Arial" w:cs="Arial"/>
          <w:sz w:val="24"/>
          <w:szCs w:val="24"/>
        </w:rPr>
        <w:t>is</w:t>
      </w:r>
      <w:r w:rsidR="00D97592" w:rsidRPr="00E34799">
        <w:rPr>
          <w:rFonts w:ascii="Arial" w:hAnsi="Arial" w:cs="Arial"/>
          <w:sz w:val="24"/>
          <w:szCs w:val="24"/>
        </w:rPr>
        <w:t xml:space="preserve"> cancer </w:t>
      </w:r>
      <w:r w:rsidR="00984AFF" w:rsidRPr="00E34799">
        <w:rPr>
          <w:rFonts w:ascii="Arial" w:hAnsi="Arial" w:cs="Arial"/>
          <w:sz w:val="24"/>
          <w:szCs w:val="24"/>
        </w:rPr>
        <w:t xml:space="preserve">article started from the premise that </w:t>
      </w:r>
      <w:r w:rsidR="00D97592" w:rsidRPr="00E34799">
        <w:rPr>
          <w:rFonts w:ascii="Arial" w:hAnsi="Arial" w:cs="Arial"/>
          <w:sz w:val="24"/>
          <w:szCs w:val="24"/>
        </w:rPr>
        <w:t>continuing support from palliative care increased patient-reported and carer-reported outcomes (and experiences), better end of-life care communication and more chance of meeting preferences (</w:t>
      </w:r>
      <w:proofErr w:type="spellStart"/>
      <w:r w:rsidR="00D97592" w:rsidRPr="00E34799">
        <w:rPr>
          <w:rFonts w:ascii="Arial" w:hAnsi="Arial" w:cs="Arial"/>
          <w:sz w:val="24"/>
          <w:szCs w:val="24"/>
        </w:rPr>
        <w:t>Bakitas</w:t>
      </w:r>
      <w:proofErr w:type="spellEnd"/>
      <w:r w:rsidR="00D97592" w:rsidRPr="00E34799">
        <w:rPr>
          <w:rFonts w:ascii="Arial" w:hAnsi="Arial" w:cs="Arial"/>
          <w:sz w:val="24"/>
          <w:szCs w:val="24"/>
        </w:rPr>
        <w:t xml:space="preserve"> et al., 2009)</w:t>
      </w:r>
      <w:r w:rsidR="00984AFF" w:rsidRPr="00E34799">
        <w:rPr>
          <w:rFonts w:ascii="Arial" w:hAnsi="Arial" w:cs="Arial"/>
          <w:sz w:val="24"/>
          <w:szCs w:val="24"/>
        </w:rPr>
        <w:t xml:space="preserve">. </w:t>
      </w:r>
      <w:r w:rsidR="00D97592" w:rsidRPr="00E34799">
        <w:rPr>
          <w:rFonts w:ascii="Arial" w:hAnsi="Arial" w:cs="Arial"/>
          <w:sz w:val="24"/>
          <w:szCs w:val="24"/>
        </w:rPr>
        <w:t xml:space="preserve">The paper discussed in the editorial was by a Canadian group led by Jiang He (2024). They sought to explore the feasibility of machine learning as a method of using prognosis in order to optimise the (limitations in) palliative resources. </w:t>
      </w:r>
    </w:p>
    <w:p w14:paraId="66CA579C" w14:textId="5DBFBD6F" w:rsidR="00B51757" w:rsidRPr="00E34799" w:rsidRDefault="00D97592" w:rsidP="00E34799">
      <w:pPr>
        <w:spacing w:line="240" w:lineRule="auto"/>
        <w:rPr>
          <w:rFonts w:ascii="Arial" w:hAnsi="Arial" w:cs="Arial"/>
          <w:sz w:val="24"/>
          <w:szCs w:val="24"/>
        </w:rPr>
      </w:pPr>
      <w:r w:rsidRPr="00E34799">
        <w:rPr>
          <w:rFonts w:ascii="Arial" w:hAnsi="Arial" w:cs="Arial"/>
          <w:sz w:val="24"/>
          <w:szCs w:val="24"/>
        </w:rPr>
        <w:t>At least seven limitations were detailed in the discus</w:t>
      </w:r>
      <w:r w:rsidR="00984AFF" w:rsidRPr="00E34799">
        <w:rPr>
          <w:rFonts w:ascii="Arial" w:hAnsi="Arial" w:cs="Arial"/>
          <w:sz w:val="24"/>
          <w:szCs w:val="24"/>
        </w:rPr>
        <w:t>sion by He et al.</w:t>
      </w:r>
      <w:r w:rsidRPr="00E34799">
        <w:rPr>
          <w:rFonts w:ascii="Arial" w:hAnsi="Arial" w:cs="Arial"/>
          <w:sz w:val="24"/>
          <w:szCs w:val="24"/>
        </w:rPr>
        <w:t xml:space="preserve"> This is where the challenge </w:t>
      </w:r>
      <w:r w:rsidR="00B51757" w:rsidRPr="00E34799">
        <w:rPr>
          <w:rFonts w:ascii="Arial" w:hAnsi="Arial" w:cs="Arial"/>
          <w:sz w:val="24"/>
          <w:szCs w:val="24"/>
        </w:rPr>
        <w:t>from</w:t>
      </w:r>
      <w:r w:rsidRPr="00E34799">
        <w:rPr>
          <w:rFonts w:ascii="Arial" w:hAnsi="Arial" w:cs="Arial"/>
          <w:sz w:val="24"/>
          <w:szCs w:val="24"/>
        </w:rPr>
        <w:t xml:space="preserve"> the editorial arises (“</w:t>
      </w:r>
      <w:r w:rsidR="00984AFF" w:rsidRPr="00E34799">
        <w:rPr>
          <w:rFonts w:ascii="Arial" w:hAnsi="Arial" w:cs="Arial"/>
          <w:sz w:val="24"/>
          <w:szCs w:val="24"/>
        </w:rPr>
        <w:t>A</w:t>
      </w:r>
      <w:r w:rsidRPr="00E34799">
        <w:rPr>
          <w:rFonts w:ascii="Arial" w:hAnsi="Arial" w:cs="Arial"/>
          <w:sz w:val="24"/>
          <w:szCs w:val="24"/>
        </w:rPr>
        <w:t xml:space="preserve">re prognostic predictions enough?”). </w:t>
      </w:r>
      <w:r w:rsidR="00B51757" w:rsidRPr="00E34799">
        <w:rPr>
          <w:rFonts w:ascii="Arial" w:hAnsi="Arial" w:cs="Arial"/>
          <w:sz w:val="24"/>
          <w:szCs w:val="24"/>
        </w:rPr>
        <w:t>An additional limitation is that the focus was on a cohort of cancer patients (appropriate to their remit – “machine learning to allocate palliative care consultations during cancer treatment”). Whereas, approaching this discussion from the palliative care perspective, patients with cancer are only a proportion of those needing support from specialist palliative care services.</w:t>
      </w:r>
    </w:p>
    <w:p w14:paraId="174FB736" w14:textId="218F2FC5" w:rsidR="00D97592" w:rsidRPr="00E34799" w:rsidRDefault="00D97592" w:rsidP="00E34799">
      <w:pPr>
        <w:spacing w:line="240" w:lineRule="auto"/>
        <w:rPr>
          <w:rFonts w:ascii="Arial" w:hAnsi="Arial" w:cs="Arial"/>
          <w:sz w:val="24"/>
          <w:szCs w:val="24"/>
        </w:rPr>
      </w:pPr>
      <w:r w:rsidRPr="00E34799">
        <w:rPr>
          <w:rFonts w:ascii="Arial" w:hAnsi="Arial" w:cs="Arial"/>
          <w:sz w:val="24"/>
          <w:szCs w:val="24"/>
        </w:rPr>
        <w:t xml:space="preserve">As is acknowledged, in reality, there are multi-factorial components influencing care and decisions on all sides. </w:t>
      </w:r>
      <w:r w:rsidR="00B51757" w:rsidRPr="00E34799">
        <w:rPr>
          <w:rFonts w:ascii="Arial" w:hAnsi="Arial" w:cs="Arial"/>
          <w:sz w:val="24"/>
          <w:szCs w:val="24"/>
        </w:rPr>
        <w:t>He’s</w:t>
      </w:r>
      <w:r w:rsidRPr="00E34799">
        <w:rPr>
          <w:rFonts w:ascii="Arial" w:hAnsi="Arial" w:cs="Arial"/>
          <w:sz w:val="24"/>
          <w:szCs w:val="24"/>
        </w:rPr>
        <w:t xml:space="preserve"> group did boldly take on the challenge of including an assessment with their machine learning of moving from the retrospective realm to how it might perform in practice.</w:t>
      </w:r>
      <w:r w:rsidR="00B51757" w:rsidRPr="00E34799">
        <w:rPr>
          <w:rFonts w:ascii="Arial" w:hAnsi="Arial" w:cs="Arial"/>
          <w:sz w:val="24"/>
          <w:szCs w:val="24"/>
        </w:rPr>
        <w:t xml:space="preserve"> </w:t>
      </w:r>
      <w:r w:rsidRPr="00E34799">
        <w:rPr>
          <w:rFonts w:ascii="Arial" w:hAnsi="Arial" w:cs="Arial"/>
          <w:sz w:val="24"/>
          <w:szCs w:val="24"/>
        </w:rPr>
        <w:t xml:space="preserve">Regardless of the </w:t>
      </w:r>
      <w:r w:rsidR="00B51757" w:rsidRPr="00E34799">
        <w:rPr>
          <w:rFonts w:ascii="Arial" w:hAnsi="Arial" w:cs="Arial"/>
          <w:sz w:val="24"/>
          <w:szCs w:val="24"/>
        </w:rPr>
        <w:t>limitations,</w:t>
      </w:r>
      <w:r w:rsidRPr="00E34799">
        <w:rPr>
          <w:rFonts w:ascii="Arial" w:hAnsi="Arial" w:cs="Arial"/>
          <w:sz w:val="24"/>
          <w:szCs w:val="24"/>
        </w:rPr>
        <w:t xml:space="preserve"> the potential of the </w:t>
      </w:r>
      <w:r w:rsidRPr="00E34799">
        <w:rPr>
          <w:rFonts w:ascii="Arial" w:hAnsi="Arial" w:cs="Arial"/>
          <w:sz w:val="24"/>
          <w:szCs w:val="24"/>
        </w:rPr>
        <w:lastRenderedPageBreak/>
        <w:t xml:space="preserve">principle needs recognising. As an evolution of this thought, an interesting approach </w:t>
      </w:r>
      <w:r w:rsidR="00B51757" w:rsidRPr="00E34799">
        <w:rPr>
          <w:rFonts w:ascii="Arial" w:hAnsi="Arial" w:cs="Arial"/>
          <w:sz w:val="24"/>
          <w:szCs w:val="24"/>
        </w:rPr>
        <w:t xml:space="preserve">is </w:t>
      </w:r>
      <w:r w:rsidRPr="00E34799">
        <w:rPr>
          <w:rFonts w:ascii="Arial" w:hAnsi="Arial" w:cs="Arial"/>
          <w:sz w:val="24"/>
          <w:szCs w:val="24"/>
        </w:rPr>
        <w:t>being evaluated in cancer care – using machine learning to identify a subset of patients and prompting closer review by the clinicians. The result is “long lasting improvements in cancer care delivery”. The potential of extending this ‘nudging’ would be a valuable exploration across specialties.</w:t>
      </w:r>
      <w:r w:rsidR="00E130E6" w:rsidRPr="00E34799">
        <w:rPr>
          <w:rFonts w:ascii="Arial" w:hAnsi="Arial" w:cs="Arial"/>
          <w:sz w:val="24"/>
          <w:szCs w:val="24"/>
        </w:rPr>
        <w:t xml:space="preserve"> </w:t>
      </w:r>
      <w:r w:rsidRPr="00E34799">
        <w:rPr>
          <w:rFonts w:ascii="Arial" w:hAnsi="Arial" w:cs="Arial"/>
          <w:sz w:val="24"/>
          <w:szCs w:val="24"/>
        </w:rPr>
        <w:t xml:space="preserve">This single article illustrates the immediate and topical relevance of the question posed in this dissertation. </w:t>
      </w:r>
    </w:p>
    <w:p w14:paraId="03037542" w14:textId="7B18ECBE" w:rsidR="00AA2338" w:rsidRPr="00E34799" w:rsidRDefault="00D97592" w:rsidP="00E34799">
      <w:pPr>
        <w:spacing w:line="240" w:lineRule="auto"/>
        <w:rPr>
          <w:rFonts w:ascii="Arial" w:hAnsi="Arial" w:cs="Arial"/>
          <w:color w:val="1B1B1B"/>
          <w:sz w:val="24"/>
          <w:szCs w:val="24"/>
          <w:shd w:val="clear" w:color="auto" w:fill="FFFFFF"/>
        </w:rPr>
      </w:pPr>
      <w:r w:rsidRPr="00E34799">
        <w:rPr>
          <w:rFonts w:ascii="Arial" w:hAnsi="Arial" w:cs="Arial"/>
          <w:color w:val="1B1B1B"/>
          <w:sz w:val="24"/>
          <w:szCs w:val="24"/>
          <w:shd w:val="clear" w:color="auto" w:fill="FFFFFF"/>
        </w:rPr>
        <w:t xml:space="preserve">The earlier allusion to </w:t>
      </w:r>
      <w:proofErr w:type="spellStart"/>
      <w:r w:rsidRPr="00E34799">
        <w:rPr>
          <w:rFonts w:ascii="Arial" w:hAnsi="Arial" w:cs="Arial"/>
          <w:color w:val="1B1B1B"/>
          <w:sz w:val="24"/>
          <w:szCs w:val="24"/>
          <w:shd w:val="clear" w:color="auto" w:fill="FFFFFF"/>
        </w:rPr>
        <w:t>Windisch</w:t>
      </w:r>
      <w:proofErr w:type="spellEnd"/>
      <w:r w:rsidRPr="00E34799">
        <w:rPr>
          <w:rFonts w:ascii="Arial" w:hAnsi="Arial" w:cs="Arial"/>
          <w:color w:val="1B1B1B"/>
          <w:sz w:val="24"/>
          <w:szCs w:val="24"/>
          <w:shd w:val="clear" w:color="auto" w:fill="FFFFFF"/>
        </w:rPr>
        <w:t xml:space="preserve"> was due to their recent paper, ‘Leveraging Advances in Artificial Intelligence to Improve the Quality and Timing of Palliative Care’ (</w:t>
      </w:r>
      <w:proofErr w:type="spellStart"/>
      <w:r w:rsidRPr="00E34799">
        <w:rPr>
          <w:rFonts w:ascii="Arial" w:hAnsi="Arial" w:cs="Arial"/>
          <w:color w:val="1B1B1B"/>
          <w:sz w:val="24"/>
          <w:szCs w:val="24"/>
          <w:shd w:val="clear" w:color="auto" w:fill="FFFFFF"/>
        </w:rPr>
        <w:t>Windisch</w:t>
      </w:r>
      <w:proofErr w:type="spellEnd"/>
      <w:r w:rsidRPr="00E34799">
        <w:rPr>
          <w:rFonts w:ascii="Arial" w:hAnsi="Arial" w:cs="Arial"/>
          <w:color w:val="1B1B1B"/>
          <w:sz w:val="24"/>
          <w:szCs w:val="24"/>
          <w:shd w:val="clear" w:color="auto" w:fill="FFFFFF"/>
        </w:rPr>
        <w:t xml:space="preserve"> et al., 2020). Their approach was to review publications whose titles contain the word “palliative” and either of the terms “deep learning”, “machine learning” or “artificial intelligence”. This literature review is an extension of that starting point given the exponential interest in the clinical-digital interface. </w:t>
      </w:r>
      <w:r w:rsidR="00AA2338" w:rsidRPr="00E34799">
        <w:rPr>
          <w:rFonts w:ascii="Arial" w:hAnsi="Arial" w:cs="Arial"/>
          <w:color w:val="212121"/>
          <w:sz w:val="24"/>
          <w:szCs w:val="24"/>
          <w:shd w:val="clear" w:color="auto" w:fill="FFFFFF"/>
        </w:rPr>
        <w:t xml:space="preserve">Indeed, </w:t>
      </w:r>
      <w:proofErr w:type="spellStart"/>
      <w:r w:rsidR="00AA2338" w:rsidRPr="00E34799">
        <w:rPr>
          <w:rFonts w:ascii="Arial" w:hAnsi="Arial" w:cs="Arial"/>
          <w:color w:val="1B1B1B"/>
          <w:sz w:val="24"/>
          <w:szCs w:val="24"/>
          <w:shd w:val="clear" w:color="auto" w:fill="FFFFFF"/>
        </w:rPr>
        <w:t>Windisch’s</w:t>
      </w:r>
      <w:proofErr w:type="spellEnd"/>
      <w:r w:rsidR="00AA2338" w:rsidRPr="00E34799">
        <w:rPr>
          <w:rFonts w:ascii="Arial" w:hAnsi="Arial" w:cs="Arial"/>
          <w:color w:val="1B1B1B"/>
          <w:sz w:val="24"/>
          <w:szCs w:val="24"/>
          <w:shd w:val="clear" w:color="auto" w:fill="FFFFFF"/>
        </w:rPr>
        <w:t xml:space="preserve"> work identified only four identified results through PubMed, up to 2020. The chart below illustrates the growth of interest in the subsequent four years. </w:t>
      </w:r>
    </w:p>
    <w:p w14:paraId="36B617DB" w14:textId="1280374F" w:rsidR="00AA2338" w:rsidRPr="00E34799" w:rsidRDefault="00AA2338" w:rsidP="00E34799">
      <w:pPr>
        <w:spacing w:line="240" w:lineRule="auto"/>
        <w:rPr>
          <w:rFonts w:ascii="Arial" w:hAnsi="Arial" w:cs="Arial"/>
        </w:rPr>
      </w:pPr>
    </w:p>
    <w:p w14:paraId="02BDECDA" w14:textId="3328A60C" w:rsidR="00AA2338" w:rsidRPr="00E34799" w:rsidRDefault="00AA2338" w:rsidP="00E34799">
      <w:pPr>
        <w:spacing w:line="240" w:lineRule="auto"/>
        <w:jc w:val="center"/>
        <w:rPr>
          <w:rFonts w:ascii="Arial" w:hAnsi="Arial" w:cs="Arial"/>
        </w:rPr>
      </w:pPr>
      <w:r w:rsidRPr="00E34799">
        <w:rPr>
          <w:rFonts w:ascii="Arial" w:hAnsi="Arial" w:cs="Arial"/>
          <w:noProof/>
          <w:lang w:eastAsia="en-GB"/>
        </w:rPr>
        <w:drawing>
          <wp:inline distT="0" distB="0" distL="0" distR="0" wp14:anchorId="2B824C8B" wp14:editId="74E8A5C9">
            <wp:extent cx="3421399" cy="2179674"/>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b="5925"/>
                    <a:stretch/>
                  </pic:blipFill>
                  <pic:spPr bwMode="auto">
                    <a:xfrm>
                      <a:off x="0" y="0"/>
                      <a:ext cx="3421399" cy="2179674"/>
                    </a:xfrm>
                    <a:prstGeom prst="rect">
                      <a:avLst/>
                    </a:prstGeom>
                    <a:ln>
                      <a:noFill/>
                    </a:ln>
                    <a:extLst>
                      <a:ext uri="{53640926-AAD7-44D8-BBD7-CCE9431645EC}">
                        <a14:shadowObscured xmlns:a14="http://schemas.microsoft.com/office/drawing/2010/main"/>
                      </a:ext>
                    </a:extLst>
                  </pic:spPr>
                </pic:pic>
              </a:graphicData>
            </a:graphic>
          </wp:inline>
        </w:drawing>
      </w:r>
    </w:p>
    <w:p w14:paraId="6CD79FDD" w14:textId="6845E1C0" w:rsidR="00D561AB" w:rsidRPr="00615734" w:rsidRDefault="00D561AB" w:rsidP="00D561AB">
      <w:pPr>
        <w:spacing w:after="0" w:line="240" w:lineRule="auto"/>
        <w:rPr>
          <w:rFonts w:ascii="Arial" w:hAnsi="Arial" w:cs="Arial"/>
          <w:color w:val="1B1B1B"/>
          <w:sz w:val="18"/>
          <w:szCs w:val="18"/>
          <w:shd w:val="clear" w:color="auto" w:fill="FFFFFF"/>
        </w:rPr>
      </w:pPr>
      <w:r>
        <w:rPr>
          <w:rFonts w:ascii="Arial" w:hAnsi="Arial" w:cs="Arial"/>
          <w:color w:val="1B1B1B"/>
          <w:sz w:val="18"/>
          <w:szCs w:val="18"/>
          <w:shd w:val="clear" w:color="auto" w:fill="FFFFFF"/>
        </w:rPr>
        <w:t>Figure</w:t>
      </w:r>
      <w:r w:rsidRPr="00615734">
        <w:rPr>
          <w:rFonts w:ascii="Arial" w:hAnsi="Arial" w:cs="Arial"/>
          <w:color w:val="1B1B1B"/>
          <w:sz w:val="18"/>
          <w:szCs w:val="18"/>
          <w:shd w:val="clear" w:color="auto" w:fill="FFFFFF"/>
        </w:rPr>
        <w:t xml:space="preserve"> 2.</w:t>
      </w:r>
      <w:r>
        <w:rPr>
          <w:rFonts w:ascii="Arial" w:hAnsi="Arial" w:cs="Arial"/>
          <w:color w:val="1B1B1B"/>
          <w:sz w:val="18"/>
          <w:szCs w:val="18"/>
          <w:shd w:val="clear" w:color="auto" w:fill="FFFFFF"/>
        </w:rPr>
        <w:t>3</w:t>
      </w:r>
      <w:r w:rsidRPr="00615734">
        <w:rPr>
          <w:rFonts w:ascii="Arial" w:hAnsi="Arial" w:cs="Arial"/>
          <w:color w:val="1B1B1B"/>
          <w:sz w:val="18"/>
          <w:szCs w:val="18"/>
          <w:shd w:val="clear" w:color="auto" w:fill="FFFFFF"/>
        </w:rPr>
        <w:t xml:space="preserve">: </w:t>
      </w:r>
      <w:proofErr w:type="spellStart"/>
      <w:r w:rsidRPr="00615734">
        <w:rPr>
          <w:rFonts w:ascii="Arial" w:hAnsi="Arial" w:cs="Arial"/>
          <w:color w:val="1B1B1B"/>
          <w:sz w:val="18"/>
          <w:szCs w:val="18"/>
          <w:shd w:val="clear" w:color="auto" w:fill="FFFFFF"/>
        </w:rPr>
        <w:t>Windisch’s</w:t>
      </w:r>
      <w:proofErr w:type="spellEnd"/>
      <w:r w:rsidRPr="00615734">
        <w:rPr>
          <w:rFonts w:ascii="Arial" w:hAnsi="Arial" w:cs="Arial"/>
          <w:color w:val="1B1B1B"/>
          <w:sz w:val="18"/>
          <w:szCs w:val="18"/>
          <w:shd w:val="clear" w:color="auto" w:fill="FFFFFF"/>
        </w:rPr>
        <w:t xml:space="preserve"> search, updated</w:t>
      </w:r>
    </w:p>
    <w:p w14:paraId="482CB580" w14:textId="150218B1" w:rsidR="0069517D" w:rsidRPr="00E34799" w:rsidRDefault="0069517D" w:rsidP="00E34799">
      <w:pPr>
        <w:spacing w:line="240" w:lineRule="auto"/>
        <w:rPr>
          <w:rFonts w:ascii="Arial" w:hAnsi="Arial" w:cs="Arial"/>
          <w:color w:val="1B1B1B"/>
          <w:sz w:val="24"/>
          <w:szCs w:val="24"/>
          <w:shd w:val="clear" w:color="auto" w:fill="FFFFFF"/>
        </w:rPr>
      </w:pPr>
    </w:p>
    <w:p w14:paraId="0C79FD65" w14:textId="77777777" w:rsidR="005F1510" w:rsidRPr="00E34799" w:rsidRDefault="005F1510" w:rsidP="00E34799">
      <w:pPr>
        <w:spacing w:line="240" w:lineRule="auto"/>
        <w:rPr>
          <w:rFonts w:ascii="Arial" w:hAnsi="Arial" w:cs="Arial"/>
          <w:color w:val="1B1B1B"/>
          <w:sz w:val="24"/>
          <w:szCs w:val="24"/>
          <w:shd w:val="clear" w:color="auto" w:fill="FFFFFF"/>
        </w:rPr>
      </w:pPr>
    </w:p>
    <w:p w14:paraId="6FA7B4C4" w14:textId="62DC5E66" w:rsidR="005F1510" w:rsidRPr="00E34799" w:rsidRDefault="005F1510" w:rsidP="00E34799">
      <w:pPr>
        <w:spacing w:line="240" w:lineRule="auto"/>
        <w:rPr>
          <w:rFonts w:ascii="Arial" w:hAnsi="Arial" w:cs="Arial"/>
          <w:sz w:val="24"/>
          <w:szCs w:val="24"/>
        </w:rPr>
      </w:pPr>
      <w:r w:rsidRPr="00E34799">
        <w:rPr>
          <w:rFonts w:ascii="Arial" w:hAnsi="Arial" w:cs="Arial"/>
          <w:sz w:val="24"/>
          <w:szCs w:val="24"/>
        </w:rPr>
        <w:br w:type="page"/>
      </w:r>
    </w:p>
    <w:p w14:paraId="706F3682" w14:textId="7C7D9706" w:rsidR="00D7335D" w:rsidRPr="00615734" w:rsidRDefault="00D7335D" w:rsidP="00E34799">
      <w:pPr>
        <w:spacing w:after="0" w:line="240" w:lineRule="auto"/>
        <w:rPr>
          <w:rFonts w:ascii="Arial" w:hAnsi="Arial" w:cs="Arial"/>
          <w:sz w:val="18"/>
          <w:szCs w:val="18"/>
        </w:rPr>
      </w:pPr>
      <w:r w:rsidRPr="00615734">
        <w:rPr>
          <w:rFonts w:ascii="Arial" w:hAnsi="Arial" w:cs="Arial"/>
          <w:sz w:val="18"/>
          <w:szCs w:val="18"/>
        </w:rPr>
        <w:lastRenderedPageBreak/>
        <w:t>Table 2.</w:t>
      </w:r>
      <w:r w:rsidR="00D561AB">
        <w:rPr>
          <w:rFonts w:ascii="Arial" w:hAnsi="Arial" w:cs="Arial"/>
          <w:sz w:val="18"/>
          <w:szCs w:val="18"/>
        </w:rPr>
        <w:t>2</w:t>
      </w:r>
      <w:r w:rsidRPr="00615734">
        <w:rPr>
          <w:rFonts w:ascii="Arial" w:hAnsi="Arial" w:cs="Arial"/>
          <w:sz w:val="18"/>
          <w:szCs w:val="18"/>
        </w:rPr>
        <w:t xml:space="preserve">: Search Strategy </w:t>
      </w:r>
    </w:p>
    <w:tbl>
      <w:tblPr>
        <w:tblStyle w:val="TableGrid"/>
        <w:tblW w:w="0" w:type="auto"/>
        <w:tblLook w:val="04A0" w:firstRow="1" w:lastRow="0" w:firstColumn="1" w:lastColumn="0" w:noHBand="0" w:noVBand="1"/>
      </w:tblPr>
      <w:tblGrid>
        <w:gridCol w:w="1188"/>
        <w:gridCol w:w="2943"/>
        <w:gridCol w:w="994"/>
        <w:gridCol w:w="1005"/>
        <w:gridCol w:w="1662"/>
        <w:gridCol w:w="1224"/>
      </w:tblGrid>
      <w:tr w:rsidR="00295501" w:rsidRPr="00844469" w14:paraId="505B5DA1" w14:textId="77777777" w:rsidTr="00295501">
        <w:tc>
          <w:tcPr>
            <w:tcW w:w="1188" w:type="dxa"/>
            <w:vAlign w:val="center"/>
          </w:tcPr>
          <w:p w14:paraId="780091A7" w14:textId="7FF4CA43" w:rsidR="00844469" w:rsidRPr="00295501" w:rsidRDefault="00844469" w:rsidP="00295501">
            <w:pPr>
              <w:spacing w:line="360" w:lineRule="auto"/>
              <w:jc w:val="center"/>
              <w:rPr>
                <w:rFonts w:ascii="Arial" w:hAnsi="Arial" w:cs="Arial"/>
                <w:b/>
                <w:bCs/>
                <w:sz w:val="20"/>
                <w:szCs w:val="20"/>
              </w:rPr>
            </w:pPr>
            <w:r w:rsidRPr="00295501">
              <w:rPr>
                <w:rFonts w:ascii="Arial" w:hAnsi="Arial" w:cs="Arial"/>
                <w:b/>
                <w:bCs/>
                <w:sz w:val="20"/>
                <w:szCs w:val="20"/>
              </w:rPr>
              <w:t>Searches</w:t>
            </w:r>
          </w:p>
        </w:tc>
        <w:tc>
          <w:tcPr>
            <w:tcW w:w="2943" w:type="dxa"/>
            <w:vAlign w:val="center"/>
          </w:tcPr>
          <w:p w14:paraId="48E0BD76" w14:textId="77777777" w:rsidR="00844469" w:rsidRPr="00295501" w:rsidRDefault="00844469" w:rsidP="00295501">
            <w:pPr>
              <w:spacing w:line="360" w:lineRule="auto"/>
              <w:jc w:val="center"/>
              <w:rPr>
                <w:rFonts w:ascii="Arial" w:hAnsi="Arial" w:cs="Arial"/>
                <w:b/>
                <w:bCs/>
                <w:sz w:val="20"/>
                <w:szCs w:val="20"/>
              </w:rPr>
            </w:pPr>
          </w:p>
        </w:tc>
        <w:tc>
          <w:tcPr>
            <w:tcW w:w="994" w:type="dxa"/>
            <w:vAlign w:val="center"/>
          </w:tcPr>
          <w:p w14:paraId="70D13334" w14:textId="633ED976" w:rsidR="00844469" w:rsidRPr="00295501" w:rsidRDefault="00844469" w:rsidP="00295501">
            <w:pPr>
              <w:spacing w:line="360" w:lineRule="auto"/>
              <w:jc w:val="center"/>
              <w:rPr>
                <w:rFonts w:ascii="Arial" w:hAnsi="Arial" w:cs="Arial"/>
                <w:b/>
                <w:bCs/>
                <w:sz w:val="20"/>
                <w:szCs w:val="20"/>
              </w:rPr>
            </w:pPr>
            <w:r w:rsidRPr="00295501">
              <w:rPr>
                <w:rFonts w:ascii="Arial" w:hAnsi="Arial" w:cs="Arial"/>
                <w:b/>
                <w:bCs/>
                <w:sz w:val="20"/>
                <w:szCs w:val="20"/>
              </w:rPr>
              <w:t>PubMed</w:t>
            </w:r>
          </w:p>
        </w:tc>
        <w:tc>
          <w:tcPr>
            <w:tcW w:w="1005" w:type="dxa"/>
            <w:vAlign w:val="center"/>
          </w:tcPr>
          <w:p w14:paraId="24A63BD7" w14:textId="573AB1BA" w:rsidR="00844469" w:rsidRPr="00295501" w:rsidRDefault="00844469" w:rsidP="00295501">
            <w:pPr>
              <w:spacing w:line="360" w:lineRule="auto"/>
              <w:jc w:val="center"/>
              <w:rPr>
                <w:rFonts w:ascii="Arial" w:hAnsi="Arial" w:cs="Arial"/>
                <w:b/>
                <w:bCs/>
                <w:sz w:val="20"/>
                <w:szCs w:val="20"/>
              </w:rPr>
            </w:pPr>
            <w:r w:rsidRPr="00295501">
              <w:rPr>
                <w:rFonts w:ascii="Arial" w:hAnsi="Arial" w:cs="Arial"/>
                <w:b/>
                <w:bCs/>
                <w:sz w:val="20"/>
                <w:szCs w:val="20"/>
              </w:rPr>
              <w:t>Scopus</w:t>
            </w:r>
          </w:p>
        </w:tc>
        <w:tc>
          <w:tcPr>
            <w:tcW w:w="1662" w:type="dxa"/>
            <w:vAlign w:val="center"/>
          </w:tcPr>
          <w:p w14:paraId="18527AF4" w14:textId="182BED6E" w:rsidR="00844469" w:rsidRPr="00295501" w:rsidRDefault="00844469" w:rsidP="00295501">
            <w:pPr>
              <w:spacing w:line="360" w:lineRule="auto"/>
              <w:jc w:val="center"/>
              <w:rPr>
                <w:rFonts w:ascii="Arial" w:hAnsi="Arial" w:cs="Arial"/>
                <w:b/>
                <w:bCs/>
                <w:sz w:val="20"/>
                <w:szCs w:val="20"/>
              </w:rPr>
            </w:pPr>
            <w:r w:rsidRPr="00295501">
              <w:rPr>
                <w:rFonts w:ascii="Arial" w:hAnsi="Arial" w:cs="Arial"/>
                <w:b/>
                <w:bCs/>
                <w:sz w:val="20"/>
                <w:szCs w:val="20"/>
              </w:rPr>
              <w:t>ScienceDirect</w:t>
            </w:r>
          </w:p>
        </w:tc>
        <w:tc>
          <w:tcPr>
            <w:tcW w:w="1224" w:type="dxa"/>
            <w:vAlign w:val="center"/>
          </w:tcPr>
          <w:p w14:paraId="2F439FEF" w14:textId="4E8C4D92" w:rsidR="00844469" w:rsidRPr="00295501" w:rsidRDefault="00844469" w:rsidP="00295501">
            <w:pPr>
              <w:spacing w:line="360" w:lineRule="auto"/>
              <w:jc w:val="center"/>
              <w:rPr>
                <w:rFonts w:ascii="Arial" w:hAnsi="Arial" w:cs="Arial"/>
                <w:b/>
                <w:bCs/>
                <w:sz w:val="20"/>
                <w:szCs w:val="20"/>
              </w:rPr>
            </w:pPr>
            <w:r w:rsidRPr="00295501">
              <w:rPr>
                <w:rFonts w:ascii="Arial" w:hAnsi="Arial" w:cs="Arial"/>
                <w:b/>
                <w:bCs/>
                <w:sz w:val="20"/>
                <w:szCs w:val="20"/>
              </w:rPr>
              <w:t>Cochrane Reviews</w:t>
            </w:r>
          </w:p>
        </w:tc>
      </w:tr>
      <w:tr w:rsidR="00295501" w14:paraId="66765E91" w14:textId="77777777" w:rsidTr="00295501">
        <w:tc>
          <w:tcPr>
            <w:tcW w:w="1188" w:type="dxa"/>
            <w:vAlign w:val="center"/>
          </w:tcPr>
          <w:p w14:paraId="5C23C01B" w14:textId="1C1EF1D2" w:rsidR="00844469" w:rsidRPr="00295501" w:rsidRDefault="00844469" w:rsidP="00295501">
            <w:pPr>
              <w:spacing w:line="360" w:lineRule="auto"/>
              <w:jc w:val="center"/>
              <w:rPr>
                <w:rFonts w:ascii="Arial" w:hAnsi="Arial" w:cs="Arial"/>
                <w:sz w:val="20"/>
                <w:szCs w:val="20"/>
              </w:rPr>
            </w:pPr>
            <w:r w:rsidRPr="00295501">
              <w:rPr>
                <w:rFonts w:ascii="Arial" w:hAnsi="Arial" w:cs="Arial"/>
                <w:sz w:val="20"/>
                <w:szCs w:val="20"/>
              </w:rPr>
              <w:t>1</w:t>
            </w:r>
          </w:p>
        </w:tc>
        <w:tc>
          <w:tcPr>
            <w:tcW w:w="2943" w:type="dxa"/>
            <w:vAlign w:val="center"/>
          </w:tcPr>
          <w:p w14:paraId="628DA4BF" w14:textId="079F01E1" w:rsidR="00844469" w:rsidRPr="00295501" w:rsidRDefault="00295501" w:rsidP="00295501">
            <w:pPr>
              <w:spacing w:before="120" w:after="120" w:line="360" w:lineRule="auto"/>
              <w:rPr>
                <w:rFonts w:ascii="Arial" w:hAnsi="Arial" w:cs="Arial"/>
                <w:sz w:val="20"/>
                <w:szCs w:val="20"/>
              </w:rPr>
            </w:pPr>
            <w:r w:rsidRPr="00295501">
              <w:rPr>
                <w:rFonts w:ascii="Arial" w:hAnsi="Arial" w:cs="Arial"/>
                <w:sz w:val="20"/>
                <w:szCs w:val="20"/>
              </w:rPr>
              <w:t>“palliative”</w:t>
            </w:r>
          </w:p>
        </w:tc>
        <w:tc>
          <w:tcPr>
            <w:tcW w:w="994" w:type="dxa"/>
            <w:vAlign w:val="center"/>
          </w:tcPr>
          <w:p w14:paraId="6EF62487" w14:textId="31479B77"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33 765</w:t>
            </w:r>
          </w:p>
        </w:tc>
        <w:tc>
          <w:tcPr>
            <w:tcW w:w="1005" w:type="dxa"/>
            <w:vAlign w:val="center"/>
          </w:tcPr>
          <w:p w14:paraId="73E43385" w14:textId="3D04D8A1"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42 670</w:t>
            </w:r>
          </w:p>
        </w:tc>
        <w:tc>
          <w:tcPr>
            <w:tcW w:w="1662" w:type="dxa"/>
            <w:vAlign w:val="center"/>
          </w:tcPr>
          <w:p w14:paraId="1499657D" w14:textId="2D561A12"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11 577</w:t>
            </w:r>
          </w:p>
        </w:tc>
        <w:tc>
          <w:tcPr>
            <w:tcW w:w="1224" w:type="dxa"/>
            <w:vAlign w:val="center"/>
          </w:tcPr>
          <w:p w14:paraId="5BD71CBD" w14:textId="4ABDCA4B"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32</w:t>
            </w:r>
          </w:p>
        </w:tc>
      </w:tr>
      <w:tr w:rsidR="00295501" w14:paraId="26EDC155" w14:textId="77777777" w:rsidTr="00295501">
        <w:tc>
          <w:tcPr>
            <w:tcW w:w="1188" w:type="dxa"/>
            <w:vAlign w:val="center"/>
          </w:tcPr>
          <w:p w14:paraId="6E99E8ED" w14:textId="6A2FD71C" w:rsidR="00844469" w:rsidRPr="00295501" w:rsidRDefault="00844469" w:rsidP="00295501">
            <w:pPr>
              <w:spacing w:line="360" w:lineRule="auto"/>
              <w:jc w:val="center"/>
              <w:rPr>
                <w:rFonts w:ascii="Arial" w:hAnsi="Arial" w:cs="Arial"/>
                <w:sz w:val="20"/>
                <w:szCs w:val="20"/>
              </w:rPr>
            </w:pPr>
            <w:r w:rsidRPr="00295501">
              <w:rPr>
                <w:rFonts w:ascii="Arial" w:hAnsi="Arial" w:cs="Arial"/>
                <w:sz w:val="20"/>
                <w:szCs w:val="20"/>
              </w:rPr>
              <w:t>2</w:t>
            </w:r>
          </w:p>
        </w:tc>
        <w:tc>
          <w:tcPr>
            <w:tcW w:w="2943" w:type="dxa"/>
            <w:vAlign w:val="center"/>
          </w:tcPr>
          <w:p w14:paraId="2189D19F" w14:textId="553CE47B" w:rsidR="00844469" w:rsidRPr="00295501" w:rsidRDefault="00295501" w:rsidP="00295501">
            <w:pPr>
              <w:spacing w:before="120" w:after="120" w:line="360" w:lineRule="auto"/>
              <w:rPr>
                <w:rFonts w:ascii="Arial" w:hAnsi="Arial" w:cs="Arial"/>
                <w:sz w:val="20"/>
                <w:szCs w:val="20"/>
              </w:rPr>
            </w:pPr>
            <w:r w:rsidRPr="00295501">
              <w:rPr>
                <w:rFonts w:ascii="Arial" w:hAnsi="Arial" w:cs="Arial"/>
                <w:sz w:val="20"/>
                <w:szCs w:val="20"/>
              </w:rPr>
              <w:t>“</w:t>
            </w:r>
            <w:proofErr w:type="spellStart"/>
            <w:r w:rsidRPr="00295501">
              <w:rPr>
                <w:rFonts w:ascii="Arial" w:hAnsi="Arial" w:cs="Arial"/>
                <w:sz w:val="20"/>
                <w:szCs w:val="20"/>
              </w:rPr>
              <w:t>prognos</w:t>
            </w:r>
            <w:proofErr w:type="spellEnd"/>
            <w:r w:rsidRPr="00295501">
              <w:rPr>
                <w:rFonts w:ascii="Arial" w:hAnsi="Arial" w:cs="Arial"/>
                <w:sz w:val="20"/>
                <w:szCs w:val="20"/>
              </w:rPr>
              <w:t>*” (encompassing prognosis, prognostic and prognostication)</w:t>
            </w:r>
          </w:p>
        </w:tc>
        <w:tc>
          <w:tcPr>
            <w:tcW w:w="994" w:type="dxa"/>
            <w:vAlign w:val="center"/>
          </w:tcPr>
          <w:p w14:paraId="3F3B8E9D" w14:textId="0C6F5188"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227 491</w:t>
            </w:r>
          </w:p>
        </w:tc>
        <w:tc>
          <w:tcPr>
            <w:tcW w:w="1005" w:type="dxa"/>
            <w:vAlign w:val="center"/>
          </w:tcPr>
          <w:p w14:paraId="6ADAEC4F" w14:textId="48525123"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263 209</w:t>
            </w:r>
          </w:p>
        </w:tc>
        <w:tc>
          <w:tcPr>
            <w:tcW w:w="1662" w:type="dxa"/>
            <w:vAlign w:val="center"/>
          </w:tcPr>
          <w:p w14:paraId="6BA87348" w14:textId="71A669E4"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71 075</w:t>
            </w:r>
          </w:p>
        </w:tc>
        <w:tc>
          <w:tcPr>
            <w:tcW w:w="1224" w:type="dxa"/>
            <w:vAlign w:val="center"/>
          </w:tcPr>
          <w:p w14:paraId="385B703E" w14:textId="0B76BA9D"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16</w:t>
            </w:r>
          </w:p>
        </w:tc>
      </w:tr>
      <w:tr w:rsidR="00295501" w14:paraId="46EAA6AD" w14:textId="77777777" w:rsidTr="00295501">
        <w:tc>
          <w:tcPr>
            <w:tcW w:w="1188" w:type="dxa"/>
            <w:vAlign w:val="center"/>
          </w:tcPr>
          <w:p w14:paraId="6616CDB2" w14:textId="485C347F" w:rsidR="00844469" w:rsidRPr="00295501" w:rsidRDefault="00844469" w:rsidP="00295501">
            <w:pPr>
              <w:spacing w:line="360" w:lineRule="auto"/>
              <w:jc w:val="center"/>
              <w:rPr>
                <w:rFonts w:ascii="Arial" w:hAnsi="Arial" w:cs="Arial"/>
                <w:sz w:val="20"/>
                <w:szCs w:val="20"/>
              </w:rPr>
            </w:pPr>
            <w:r w:rsidRPr="00295501">
              <w:rPr>
                <w:rFonts w:ascii="Arial" w:hAnsi="Arial" w:cs="Arial"/>
                <w:sz w:val="20"/>
                <w:szCs w:val="20"/>
              </w:rPr>
              <w:t>3</w:t>
            </w:r>
          </w:p>
        </w:tc>
        <w:tc>
          <w:tcPr>
            <w:tcW w:w="2943" w:type="dxa"/>
            <w:vAlign w:val="center"/>
          </w:tcPr>
          <w:p w14:paraId="13DE0A85" w14:textId="63CEFB93" w:rsidR="00844469" w:rsidRPr="00295501" w:rsidRDefault="00295501" w:rsidP="00295501">
            <w:pPr>
              <w:spacing w:before="120" w:after="120" w:line="360" w:lineRule="auto"/>
              <w:rPr>
                <w:rFonts w:ascii="Arial" w:hAnsi="Arial" w:cs="Arial"/>
                <w:sz w:val="20"/>
                <w:szCs w:val="20"/>
              </w:rPr>
            </w:pPr>
            <w:r w:rsidRPr="00295501">
              <w:rPr>
                <w:rFonts w:ascii="Arial" w:hAnsi="Arial" w:cs="Arial"/>
                <w:sz w:val="20"/>
                <w:szCs w:val="20"/>
              </w:rPr>
              <w:t>“deep learning”</w:t>
            </w:r>
          </w:p>
        </w:tc>
        <w:tc>
          <w:tcPr>
            <w:tcW w:w="994" w:type="dxa"/>
            <w:vAlign w:val="center"/>
          </w:tcPr>
          <w:p w14:paraId="48465686" w14:textId="16C49E77"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29 177</w:t>
            </w:r>
          </w:p>
        </w:tc>
        <w:tc>
          <w:tcPr>
            <w:tcW w:w="1005" w:type="dxa"/>
            <w:vAlign w:val="center"/>
          </w:tcPr>
          <w:p w14:paraId="4D723416" w14:textId="254EDA6E"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135 487</w:t>
            </w:r>
          </w:p>
        </w:tc>
        <w:tc>
          <w:tcPr>
            <w:tcW w:w="1662" w:type="dxa"/>
            <w:vAlign w:val="center"/>
          </w:tcPr>
          <w:p w14:paraId="31450EED" w14:textId="78A05288"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19 888</w:t>
            </w:r>
          </w:p>
        </w:tc>
        <w:tc>
          <w:tcPr>
            <w:tcW w:w="1224" w:type="dxa"/>
            <w:vAlign w:val="center"/>
          </w:tcPr>
          <w:p w14:paraId="415A7942" w14:textId="398B198D"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0</w:t>
            </w:r>
          </w:p>
        </w:tc>
      </w:tr>
      <w:tr w:rsidR="00295501" w14:paraId="192C683A" w14:textId="77777777" w:rsidTr="00295501">
        <w:tc>
          <w:tcPr>
            <w:tcW w:w="1188" w:type="dxa"/>
            <w:vAlign w:val="center"/>
          </w:tcPr>
          <w:p w14:paraId="3309228D" w14:textId="1456D87C" w:rsidR="00844469" w:rsidRPr="00295501" w:rsidRDefault="00844469" w:rsidP="00295501">
            <w:pPr>
              <w:spacing w:line="360" w:lineRule="auto"/>
              <w:jc w:val="center"/>
              <w:rPr>
                <w:rFonts w:ascii="Arial" w:hAnsi="Arial" w:cs="Arial"/>
                <w:sz w:val="20"/>
                <w:szCs w:val="20"/>
              </w:rPr>
            </w:pPr>
            <w:r w:rsidRPr="00295501">
              <w:rPr>
                <w:rFonts w:ascii="Arial" w:hAnsi="Arial" w:cs="Arial"/>
                <w:sz w:val="20"/>
                <w:szCs w:val="20"/>
              </w:rPr>
              <w:t>4</w:t>
            </w:r>
          </w:p>
        </w:tc>
        <w:tc>
          <w:tcPr>
            <w:tcW w:w="2943" w:type="dxa"/>
            <w:vAlign w:val="center"/>
          </w:tcPr>
          <w:p w14:paraId="007F3DB0" w14:textId="38B609A0" w:rsidR="00844469" w:rsidRPr="00295501" w:rsidRDefault="00295501" w:rsidP="00295501">
            <w:pPr>
              <w:spacing w:before="120" w:after="120" w:line="360" w:lineRule="auto"/>
              <w:rPr>
                <w:rFonts w:ascii="Arial" w:hAnsi="Arial" w:cs="Arial"/>
                <w:sz w:val="20"/>
                <w:szCs w:val="20"/>
              </w:rPr>
            </w:pPr>
            <w:r w:rsidRPr="00295501">
              <w:rPr>
                <w:rFonts w:ascii="Arial" w:hAnsi="Arial" w:cs="Arial"/>
                <w:sz w:val="20"/>
                <w:szCs w:val="20"/>
              </w:rPr>
              <w:t>“machine learning”</w:t>
            </w:r>
          </w:p>
        </w:tc>
        <w:tc>
          <w:tcPr>
            <w:tcW w:w="994" w:type="dxa"/>
            <w:vAlign w:val="center"/>
          </w:tcPr>
          <w:p w14:paraId="2C6E40D6" w14:textId="1B379B32"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44 709</w:t>
            </w:r>
          </w:p>
        </w:tc>
        <w:tc>
          <w:tcPr>
            <w:tcW w:w="1005" w:type="dxa"/>
            <w:vAlign w:val="center"/>
          </w:tcPr>
          <w:p w14:paraId="1CBA188E" w14:textId="71319F65"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185 489</w:t>
            </w:r>
          </w:p>
        </w:tc>
        <w:tc>
          <w:tcPr>
            <w:tcW w:w="1662" w:type="dxa"/>
            <w:vAlign w:val="center"/>
          </w:tcPr>
          <w:p w14:paraId="2A4CB127" w14:textId="2A4170D7"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33 588</w:t>
            </w:r>
          </w:p>
        </w:tc>
        <w:tc>
          <w:tcPr>
            <w:tcW w:w="1224" w:type="dxa"/>
            <w:vAlign w:val="center"/>
          </w:tcPr>
          <w:p w14:paraId="5B34F1C8" w14:textId="286010AA"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0</w:t>
            </w:r>
          </w:p>
        </w:tc>
      </w:tr>
      <w:tr w:rsidR="00295501" w14:paraId="5DA40549" w14:textId="77777777" w:rsidTr="00295501">
        <w:tc>
          <w:tcPr>
            <w:tcW w:w="1188" w:type="dxa"/>
            <w:vAlign w:val="center"/>
          </w:tcPr>
          <w:p w14:paraId="57A73DB4" w14:textId="62BBD98C" w:rsidR="00844469" w:rsidRPr="00295501" w:rsidRDefault="00844469" w:rsidP="00295501">
            <w:pPr>
              <w:spacing w:line="360" w:lineRule="auto"/>
              <w:jc w:val="center"/>
              <w:rPr>
                <w:rFonts w:ascii="Arial" w:hAnsi="Arial" w:cs="Arial"/>
                <w:sz w:val="20"/>
                <w:szCs w:val="20"/>
              </w:rPr>
            </w:pPr>
            <w:r w:rsidRPr="00295501">
              <w:rPr>
                <w:rFonts w:ascii="Arial" w:hAnsi="Arial" w:cs="Arial"/>
                <w:sz w:val="20"/>
                <w:szCs w:val="20"/>
              </w:rPr>
              <w:t>5</w:t>
            </w:r>
          </w:p>
        </w:tc>
        <w:tc>
          <w:tcPr>
            <w:tcW w:w="2943" w:type="dxa"/>
            <w:vAlign w:val="center"/>
          </w:tcPr>
          <w:p w14:paraId="45F70AEA" w14:textId="552631BA" w:rsidR="00844469" w:rsidRPr="00295501" w:rsidRDefault="00295501" w:rsidP="00295501">
            <w:pPr>
              <w:spacing w:before="120" w:after="120" w:line="360" w:lineRule="auto"/>
              <w:rPr>
                <w:rFonts w:ascii="Arial" w:hAnsi="Arial" w:cs="Arial"/>
                <w:sz w:val="20"/>
                <w:szCs w:val="20"/>
              </w:rPr>
            </w:pPr>
            <w:r w:rsidRPr="00295501">
              <w:rPr>
                <w:rFonts w:ascii="Arial" w:hAnsi="Arial" w:cs="Arial"/>
                <w:sz w:val="20"/>
                <w:szCs w:val="20"/>
              </w:rPr>
              <w:t>“artificial intelligence”</w:t>
            </w:r>
          </w:p>
        </w:tc>
        <w:tc>
          <w:tcPr>
            <w:tcW w:w="994" w:type="dxa"/>
            <w:vAlign w:val="center"/>
          </w:tcPr>
          <w:p w14:paraId="316A9BC2" w14:textId="0B64735C"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22 869</w:t>
            </w:r>
          </w:p>
        </w:tc>
        <w:tc>
          <w:tcPr>
            <w:tcW w:w="1005" w:type="dxa"/>
            <w:vAlign w:val="center"/>
          </w:tcPr>
          <w:p w14:paraId="61E638C4" w14:textId="3CFA3EBF"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81 551</w:t>
            </w:r>
          </w:p>
        </w:tc>
        <w:tc>
          <w:tcPr>
            <w:tcW w:w="1662" w:type="dxa"/>
            <w:vAlign w:val="center"/>
          </w:tcPr>
          <w:p w14:paraId="581CA87E" w14:textId="4D89784D"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14 063</w:t>
            </w:r>
          </w:p>
        </w:tc>
        <w:tc>
          <w:tcPr>
            <w:tcW w:w="1224" w:type="dxa"/>
            <w:vAlign w:val="center"/>
          </w:tcPr>
          <w:p w14:paraId="5E78DC30" w14:textId="2DD90B06"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2</w:t>
            </w:r>
          </w:p>
        </w:tc>
      </w:tr>
      <w:tr w:rsidR="00295501" w14:paraId="78A5AFD9" w14:textId="77777777" w:rsidTr="00295501">
        <w:tc>
          <w:tcPr>
            <w:tcW w:w="1188" w:type="dxa"/>
            <w:vAlign w:val="center"/>
          </w:tcPr>
          <w:p w14:paraId="786BB847" w14:textId="5B95BB28" w:rsidR="00844469" w:rsidRPr="00295501" w:rsidRDefault="00844469" w:rsidP="00295501">
            <w:pPr>
              <w:spacing w:line="360" w:lineRule="auto"/>
              <w:jc w:val="center"/>
              <w:rPr>
                <w:rFonts w:ascii="Arial" w:hAnsi="Arial" w:cs="Arial"/>
                <w:sz w:val="20"/>
                <w:szCs w:val="20"/>
              </w:rPr>
            </w:pPr>
            <w:r w:rsidRPr="00295501">
              <w:rPr>
                <w:rFonts w:ascii="Arial" w:hAnsi="Arial" w:cs="Arial"/>
                <w:sz w:val="20"/>
                <w:szCs w:val="20"/>
              </w:rPr>
              <w:t>6</w:t>
            </w:r>
          </w:p>
        </w:tc>
        <w:tc>
          <w:tcPr>
            <w:tcW w:w="2943" w:type="dxa"/>
            <w:vAlign w:val="center"/>
          </w:tcPr>
          <w:p w14:paraId="5789782C" w14:textId="18AECAB5" w:rsidR="00844469" w:rsidRPr="00295501" w:rsidRDefault="00295501" w:rsidP="00295501">
            <w:pPr>
              <w:spacing w:before="120" w:after="120" w:line="360" w:lineRule="auto"/>
              <w:rPr>
                <w:rFonts w:ascii="Arial" w:hAnsi="Arial" w:cs="Arial"/>
                <w:sz w:val="20"/>
                <w:szCs w:val="20"/>
              </w:rPr>
            </w:pPr>
            <w:r w:rsidRPr="00295501">
              <w:rPr>
                <w:rFonts w:ascii="Arial" w:hAnsi="Arial" w:cs="Arial"/>
                <w:sz w:val="20"/>
                <w:szCs w:val="20"/>
              </w:rPr>
              <w:t>1 AND 2</w:t>
            </w:r>
          </w:p>
        </w:tc>
        <w:tc>
          <w:tcPr>
            <w:tcW w:w="994" w:type="dxa"/>
            <w:vAlign w:val="center"/>
          </w:tcPr>
          <w:p w14:paraId="4FD41DE7" w14:textId="7F555B6A"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411</w:t>
            </w:r>
          </w:p>
        </w:tc>
        <w:tc>
          <w:tcPr>
            <w:tcW w:w="1005" w:type="dxa"/>
            <w:vAlign w:val="center"/>
          </w:tcPr>
          <w:p w14:paraId="178C12AB" w14:textId="4FE304BA"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449</w:t>
            </w:r>
          </w:p>
        </w:tc>
        <w:tc>
          <w:tcPr>
            <w:tcW w:w="1662" w:type="dxa"/>
            <w:vAlign w:val="center"/>
          </w:tcPr>
          <w:p w14:paraId="73B4E53D" w14:textId="71816EC3"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147</w:t>
            </w:r>
          </w:p>
        </w:tc>
        <w:tc>
          <w:tcPr>
            <w:tcW w:w="1224" w:type="dxa"/>
            <w:vAlign w:val="center"/>
          </w:tcPr>
          <w:p w14:paraId="7DCB3B0F" w14:textId="7A88B1FA"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5</w:t>
            </w:r>
          </w:p>
        </w:tc>
      </w:tr>
      <w:tr w:rsidR="00295501" w14:paraId="6762DBEF" w14:textId="77777777" w:rsidTr="00295501">
        <w:tc>
          <w:tcPr>
            <w:tcW w:w="1188" w:type="dxa"/>
            <w:vAlign w:val="center"/>
          </w:tcPr>
          <w:p w14:paraId="07580C59" w14:textId="1A39CB92" w:rsidR="00844469" w:rsidRPr="00295501" w:rsidRDefault="00844469" w:rsidP="00295501">
            <w:pPr>
              <w:spacing w:line="360" w:lineRule="auto"/>
              <w:jc w:val="center"/>
              <w:rPr>
                <w:rFonts w:ascii="Arial" w:hAnsi="Arial" w:cs="Arial"/>
                <w:sz w:val="20"/>
                <w:szCs w:val="20"/>
              </w:rPr>
            </w:pPr>
            <w:r w:rsidRPr="00295501">
              <w:rPr>
                <w:rFonts w:ascii="Arial" w:hAnsi="Arial" w:cs="Arial"/>
                <w:sz w:val="20"/>
                <w:szCs w:val="20"/>
              </w:rPr>
              <w:t>7</w:t>
            </w:r>
          </w:p>
        </w:tc>
        <w:tc>
          <w:tcPr>
            <w:tcW w:w="2943" w:type="dxa"/>
            <w:vAlign w:val="center"/>
          </w:tcPr>
          <w:p w14:paraId="57DE7731" w14:textId="6CB101F5" w:rsidR="00844469" w:rsidRPr="00295501" w:rsidRDefault="00295501" w:rsidP="00295501">
            <w:pPr>
              <w:spacing w:before="120" w:after="120" w:line="360" w:lineRule="auto"/>
              <w:rPr>
                <w:rFonts w:ascii="Arial" w:hAnsi="Arial" w:cs="Arial"/>
                <w:sz w:val="20"/>
                <w:szCs w:val="20"/>
              </w:rPr>
            </w:pPr>
            <w:r w:rsidRPr="00295501">
              <w:rPr>
                <w:rFonts w:ascii="Arial" w:hAnsi="Arial" w:cs="Arial"/>
                <w:sz w:val="20"/>
                <w:szCs w:val="20"/>
              </w:rPr>
              <w:t>1 AND 2 AND (3 OR 4 OR 5)</w:t>
            </w:r>
          </w:p>
        </w:tc>
        <w:tc>
          <w:tcPr>
            <w:tcW w:w="994" w:type="dxa"/>
            <w:vAlign w:val="center"/>
          </w:tcPr>
          <w:p w14:paraId="0C8F69DF" w14:textId="2B92AE64"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1</w:t>
            </w:r>
          </w:p>
        </w:tc>
        <w:tc>
          <w:tcPr>
            <w:tcW w:w="1005" w:type="dxa"/>
            <w:vAlign w:val="center"/>
          </w:tcPr>
          <w:p w14:paraId="74DD4608" w14:textId="3538F457"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1</w:t>
            </w:r>
          </w:p>
        </w:tc>
        <w:tc>
          <w:tcPr>
            <w:tcW w:w="1662" w:type="dxa"/>
            <w:vAlign w:val="center"/>
          </w:tcPr>
          <w:p w14:paraId="67D49FAF" w14:textId="6502886B"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3</w:t>
            </w:r>
          </w:p>
        </w:tc>
        <w:tc>
          <w:tcPr>
            <w:tcW w:w="1224" w:type="dxa"/>
            <w:vAlign w:val="center"/>
          </w:tcPr>
          <w:p w14:paraId="62FEE34D" w14:textId="2D385068"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0</w:t>
            </w:r>
          </w:p>
        </w:tc>
      </w:tr>
      <w:tr w:rsidR="00295501" w14:paraId="74805242" w14:textId="77777777" w:rsidTr="00295501">
        <w:tc>
          <w:tcPr>
            <w:tcW w:w="1188" w:type="dxa"/>
            <w:vAlign w:val="center"/>
          </w:tcPr>
          <w:p w14:paraId="569C4D4B" w14:textId="364351F1" w:rsidR="00844469" w:rsidRPr="00295501" w:rsidRDefault="00844469" w:rsidP="00295501">
            <w:pPr>
              <w:spacing w:line="360" w:lineRule="auto"/>
              <w:jc w:val="center"/>
              <w:rPr>
                <w:rFonts w:ascii="Arial" w:hAnsi="Arial" w:cs="Arial"/>
                <w:sz w:val="20"/>
                <w:szCs w:val="20"/>
              </w:rPr>
            </w:pPr>
            <w:r w:rsidRPr="00295501">
              <w:rPr>
                <w:rFonts w:ascii="Arial" w:hAnsi="Arial" w:cs="Arial"/>
                <w:sz w:val="20"/>
                <w:szCs w:val="20"/>
              </w:rPr>
              <w:t>8</w:t>
            </w:r>
          </w:p>
        </w:tc>
        <w:tc>
          <w:tcPr>
            <w:tcW w:w="2943" w:type="dxa"/>
            <w:vAlign w:val="center"/>
          </w:tcPr>
          <w:p w14:paraId="454E1E8C" w14:textId="77ADC6E5" w:rsidR="00844469" w:rsidRPr="00295501" w:rsidRDefault="00295501" w:rsidP="00295501">
            <w:pPr>
              <w:spacing w:before="120" w:after="120" w:line="360" w:lineRule="auto"/>
              <w:rPr>
                <w:rFonts w:ascii="Arial" w:hAnsi="Arial" w:cs="Arial"/>
                <w:sz w:val="20"/>
                <w:szCs w:val="20"/>
              </w:rPr>
            </w:pPr>
            <w:r w:rsidRPr="00295501">
              <w:rPr>
                <w:rFonts w:ascii="Arial" w:hAnsi="Arial" w:cs="Arial"/>
                <w:sz w:val="20"/>
                <w:szCs w:val="20"/>
              </w:rPr>
              <w:t>1 AND (3 OR 4 OR 5)</w:t>
            </w:r>
          </w:p>
        </w:tc>
        <w:tc>
          <w:tcPr>
            <w:tcW w:w="994" w:type="dxa"/>
            <w:vAlign w:val="center"/>
          </w:tcPr>
          <w:p w14:paraId="60F6B4B4" w14:textId="494EB091"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34</w:t>
            </w:r>
          </w:p>
        </w:tc>
        <w:tc>
          <w:tcPr>
            <w:tcW w:w="1005" w:type="dxa"/>
            <w:vAlign w:val="center"/>
          </w:tcPr>
          <w:p w14:paraId="737F410B" w14:textId="0D66A464"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38</w:t>
            </w:r>
          </w:p>
        </w:tc>
        <w:tc>
          <w:tcPr>
            <w:tcW w:w="1662" w:type="dxa"/>
            <w:vAlign w:val="center"/>
          </w:tcPr>
          <w:p w14:paraId="73EF3329" w14:textId="38498E3C"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23</w:t>
            </w:r>
          </w:p>
        </w:tc>
        <w:tc>
          <w:tcPr>
            <w:tcW w:w="1224" w:type="dxa"/>
            <w:vAlign w:val="center"/>
          </w:tcPr>
          <w:p w14:paraId="3A8AA8F3" w14:textId="64716FF5" w:rsidR="00844469" w:rsidRPr="00295501" w:rsidRDefault="00295501" w:rsidP="00295501">
            <w:pPr>
              <w:spacing w:line="360" w:lineRule="auto"/>
              <w:jc w:val="center"/>
              <w:rPr>
                <w:rFonts w:ascii="Arial" w:hAnsi="Arial" w:cs="Arial"/>
                <w:sz w:val="20"/>
                <w:szCs w:val="20"/>
              </w:rPr>
            </w:pPr>
            <w:r>
              <w:rPr>
                <w:rFonts w:ascii="Arial" w:hAnsi="Arial" w:cs="Arial"/>
                <w:sz w:val="20"/>
                <w:szCs w:val="20"/>
              </w:rPr>
              <w:t>0</w:t>
            </w:r>
          </w:p>
        </w:tc>
      </w:tr>
    </w:tbl>
    <w:p w14:paraId="59763FA5" w14:textId="2F2A88CF" w:rsidR="00D7335D" w:rsidRPr="003D7BF2" w:rsidRDefault="00D7335D" w:rsidP="003D7BF2">
      <w:pPr>
        <w:spacing w:after="0" w:line="240" w:lineRule="auto"/>
        <w:rPr>
          <w:rFonts w:ascii="Arial" w:hAnsi="Arial" w:cs="Arial"/>
          <w:color w:val="1B1B1B"/>
          <w:sz w:val="18"/>
          <w:szCs w:val="18"/>
          <w:shd w:val="clear" w:color="auto" w:fill="FFFFFF"/>
        </w:rPr>
      </w:pPr>
    </w:p>
    <w:p w14:paraId="0DCF39B4" w14:textId="77777777" w:rsidR="003D7BF2" w:rsidRPr="00E34799" w:rsidRDefault="003D7BF2" w:rsidP="003D7BF2">
      <w:pPr>
        <w:spacing w:after="120" w:line="240" w:lineRule="auto"/>
        <w:rPr>
          <w:rFonts w:ascii="Arial" w:hAnsi="Arial" w:cs="Arial"/>
          <w:color w:val="1B1B1B"/>
          <w:sz w:val="24"/>
          <w:szCs w:val="24"/>
          <w:shd w:val="clear" w:color="auto" w:fill="FFFFFF"/>
        </w:rPr>
      </w:pPr>
    </w:p>
    <w:p w14:paraId="0AAC8375" w14:textId="5039EF0B" w:rsidR="00FF54BB" w:rsidRPr="00E34799" w:rsidRDefault="00032AA1" w:rsidP="00E34799">
      <w:pPr>
        <w:spacing w:line="240" w:lineRule="auto"/>
        <w:rPr>
          <w:rFonts w:ascii="Arial" w:hAnsi="Arial" w:cs="Arial"/>
          <w:sz w:val="24"/>
          <w:szCs w:val="24"/>
        </w:rPr>
      </w:pPr>
      <w:r w:rsidRPr="00E34799">
        <w:rPr>
          <w:rFonts w:ascii="Arial" w:hAnsi="Arial" w:cs="Arial"/>
          <w:sz w:val="24"/>
          <w:szCs w:val="24"/>
        </w:rPr>
        <w:t>2.4</w:t>
      </w:r>
      <w:r w:rsidRPr="00E34799">
        <w:rPr>
          <w:rFonts w:ascii="Arial" w:hAnsi="Arial" w:cs="Arial"/>
          <w:sz w:val="24"/>
          <w:szCs w:val="24"/>
        </w:rPr>
        <w:tab/>
      </w:r>
      <w:r w:rsidR="00571F9A" w:rsidRPr="00E34799">
        <w:rPr>
          <w:rFonts w:ascii="Arial" w:hAnsi="Arial" w:cs="Arial"/>
          <w:sz w:val="24"/>
          <w:szCs w:val="24"/>
        </w:rPr>
        <w:t>D</w:t>
      </w:r>
      <w:r w:rsidR="00FF54BB" w:rsidRPr="00E34799">
        <w:rPr>
          <w:rFonts w:ascii="Arial" w:hAnsi="Arial" w:cs="Arial"/>
          <w:sz w:val="24"/>
          <w:szCs w:val="24"/>
        </w:rPr>
        <w:t>iscussion</w:t>
      </w:r>
    </w:p>
    <w:p w14:paraId="2E89D95B" w14:textId="08EA5626" w:rsidR="00F31B69" w:rsidRPr="00E34799" w:rsidRDefault="00D97592" w:rsidP="00E34799">
      <w:pPr>
        <w:spacing w:line="240" w:lineRule="auto"/>
        <w:rPr>
          <w:rFonts w:ascii="Arial" w:hAnsi="Arial" w:cs="Arial"/>
          <w:sz w:val="24"/>
          <w:szCs w:val="24"/>
        </w:rPr>
      </w:pPr>
      <w:r w:rsidRPr="00E34799">
        <w:rPr>
          <w:rFonts w:ascii="Arial" w:hAnsi="Arial" w:cs="Arial"/>
          <w:sz w:val="24"/>
          <w:szCs w:val="24"/>
        </w:rPr>
        <w:t xml:space="preserve">The </w:t>
      </w:r>
      <w:r w:rsidR="006D4063" w:rsidRPr="00E34799">
        <w:rPr>
          <w:rFonts w:ascii="Arial" w:hAnsi="Arial" w:cs="Arial"/>
          <w:sz w:val="24"/>
          <w:szCs w:val="24"/>
        </w:rPr>
        <w:t>search strategy</w:t>
      </w:r>
      <w:r w:rsidR="00CF4CE8" w:rsidRPr="00E34799">
        <w:rPr>
          <w:rFonts w:ascii="Arial" w:hAnsi="Arial" w:cs="Arial"/>
          <w:sz w:val="24"/>
          <w:szCs w:val="24"/>
        </w:rPr>
        <w:t xml:space="preserve"> </w:t>
      </w:r>
      <w:r w:rsidRPr="00E34799">
        <w:rPr>
          <w:rFonts w:ascii="Arial" w:hAnsi="Arial" w:cs="Arial"/>
          <w:sz w:val="24"/>
          <w:szCs w:val="24"/>
        </w:rPr>
        <w:t xml:space="preserve">table identifies three further articles that were </w:t>
      </w:r>
      <w:r w:rsidR="005F1510" w:rsidRPr="00E34799">
        <w:rPr>
          <w:rFonts w:ascii="Arial" w:hAnsi="Arial" w:cs="Arial"/>
          <w:sz w:val="24"/>
          <w:szCs w:val="24"/>
        </w:rPr>
        <w:t>identified</w:t>
      </w:r>
      <w:r w:rsidRPr="00E34799">
        <w:rPr>
          <w:rFonts w:ascii="Arial" w:hAnsi="Arial" w:cs="Arial"/>
          <w:sz w:val="24"/>
          <w:szCs w:val="24"/>
        </w:rPr>
        <w:t xml:space="preserve"> with the same approach as was used with the initial, exploratory, query discussed before. All three are published conference abstracts without associated papers. </w:t>
      </w:r>
      <w:r w:rsidR="00CC12C7">
        <w:rPr>
          <w:rFonts w:ascii="Arial" w:hAnsi="Arial" w:cs="Arial"/>
          <w:sz w:val="24"/>
          <w:szCs w:val="24"/>
        </w:rPr>
        <w:t xml:space="preserve">It is worth emphasizing here that as conference abstracts they will not have been peer reviewed in the same way that the other papers will have been. </w:t>
      </w:r>
      <w:r w:rsidRPr="00E34799">
        <w:rPr>
          <w:rFonts w:ascii="Arial" w:hAnsi="Arial" w:cs="Arial"/>
          <w:sz w:val="24"/>
          <w:szCs w:val="24"/>
        </w:rPr>
        <w:t>The oldest of these is from 2018 (Cho et al., 2018) where deep learning was harnessed to identify those with a prognosis greater than 3 months. The clinical intent was to guide where palliative oncology was appropriate compared to supportive care alone. Their accuracy was 0.70. Now, much could be considered, and deliberated upon, regarding that statistical summary; but the pertinent point is that this deep learning model was a step forward compared to traditional machine learning models, with potential to improve further.</w:t>
      </w:r>
      <w:r w:rsidR="005F1510" w:rsidRPr="00E34799">
        <w:rPr>
          <w:rFonts w:ascii="Arial" w:hAnsi="Arial" w:cs="Arial"/>
          <w:sz w:val="24"/>
          <w:szCs w:val="24"/>
        </w:rPr>
        <w:t xml:space="preserve"> </w:t>
      </w:r>
    </w:p>
    <w:p w14:paraId="71794BD0" w14:textId="4431334D" w:rsidR="00DF6A25" w:rsidRPr="00E34799" w:rsidRDefault="00D97592" w:rsidP="00E34799">
      <w:pPr>
        <w:spacing w:line="240" w:lineRule="auto"/>
        <w:rPr>
          <w:rFonts w:ascii="Arial" w:hAnsi="Arial" w:cs="Arial"/>
          <w:sz w:val="24"/>
          <w:szCs w:val="24"/>
        </w:rPr>
      </w:pPr>
      <w:r w:rsidRPr="00E34799">
        <w:rPr>
          <w:rFonts w:ascii="Arial" w:hAnsi="Arial" w:cs="Arial"/>
          <w:sz w:val="24"/>
          <w:szCs w:val="24"/>
        </w:rPr>
        <w:t>The other two conference abstracts are identical, published in two different journals both from the European Society for Medical Oncology (Jung et al., 2023a; Jung et al., 2023b). They were able to show an area under the precision-recall curve</w:t>
      </w:r>
      <w:r w:rsidR="005F1510" w:rsidRPr="00E34799">
        <w:rPr>
          <w:rFonts w:ascii="Arial" w:hAnsi="Arial" w:cs="Arial"/>
          <w:sz w:val="24"/>
          <w:szCs w:val="24"/>
        </w:rPr>
        <w:t xml:space="preserve"> (AUPRC)</w:t>
      </w:r>
      <w:r w:rsidRPr="00E34799">
        <w:rPr>
          <w:rFonts w:ascii="Arial" w:hAnsi="Arial" w:cs="Arial"/>
          <w:sz w:val="24"/>
          <w:szCs w:val="24"/>
        </w:rPr>
        <w:t xml:space="preserve"> of 0.92. Without becoming distracted AUPRC, and ‘area under the receiver operating characteristic’ (AUROC), are recognised measures for comparing the performance of machine learning models. AUPRC has a reputation for being the better metric for ‘high-score mistakes’ and in scenarios where the population being considered is asymmetric. This would be relevant for prognostication as the extreme minority of people are going to die within the next week/month/year. There is a separate debate whether AUPRC is truly the superior metric (McDermott et al., 2024) but the potential of these digital tools is clearly developing.</w:t>
      </w:r>
    </w:p>
    <w:p w14:paraId="3B2794D2" w14:textId="5603CE5A" w:rsidR="00D7335D" w:rsidRPr="00E34799" w:rsidRDefault="005F1510" w:rsidP="00E34799">
      <w:pPr>
        <w:spacing w:line="240" w:lineRule="auto"/>
        <w:rPr>
          <w:rFonts w:ascii="Arial" w:hAnsi="Arial" w:cs="Arial"/>
        </w:rPr>
      </w:pPr>
      <w:r w:rsidRPr="00E34799">
        <w:rPr>
          <w:rFonts w:ascii="Arial" w:hAnsi="Arial" w:cs="Arial"/>
          <w:color w:val="212121"/>
          <w:sz w:val="24"/>
          <w:szCs w:val="24"/>
          <w:shd w:val="clear" w:color="auto" w:fill="FFFFFF"/>
        </w:rPr>
        <w:lastRenderedPageBreak/>
        <w:t xml:space="preserve"> </w:t>
      </w:r>
    </w:p>
    <w:p w14:paraId="0124C756" w14:textId="450DBD65" w:rsidR="00084BAD" w:rsidRPr="00E34799" w:rsidRDefault="00952E59" w:rsidP="00E34799">
      <w:pPr>
        <w:spacing w:after="0" w:line="240" w:lineRule="auto"/>
        <w:jc w:val="center"/>
        <w:rPr>
          <w:rFonts w:ascii="Arial" w:hAnsi="Arial" w:cs="Arial"/>
        </w:rPr>
      </w:pPr>
      <w:r w:rsidRPr="00E34799">
        <w:rPr>
          <w:rFonts w:ascii="Arial" w:hAnsi="Arial" w:cs="Arial"/>
          <w:noProof/>
          <w:lang w:eastAsia="en-GB"/>
        </w:rPr>
        <w:drawing>
          <wp:inline distT="0" distB="0" distL="0" distR="0" wp14:anchorId="4E87A78F" wp14:editId="5E618BA5">
            <wp:extent cx="5760000" cy="6598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60000" cy="6598800"/>
                    </a:xfrm>
                    <a:prstGeom prst="rect">
                      <a:avLst/>
                    </a:prstGeom>
                  </pic:spPr>
                </pic:pic>
              </a:graphicData>
            </a:graphic>
          </wp:inline>
        </w:drawing>
      </w:r>
    </w:p>
    <w:p w14:paraId="7AFFD6B3" w14:textId="1DFE2E63" w:rsidR="00084BAD" w:rsidRPr="00615734" w:rsidRDefault="00084BAD" w:rsidP="00E34799">
      <w:pPr>
        <w:spacing w:line="240" w:lineRule="auto"/>
        <w:rPr>
          <w:rFonts w:ascii="Arial" w:hAnsi="Arial" w:cs="Arial"/>
          <w:sz w:val="18"/>
          <w:szCs w:val="18"/>
        </w:rPr>
      </w:pPr>
      <w:r w:rsidRPr="00615734">
        <w:rPr>
          <w:rFonts w:ascii="Arial" w:hAnsi="Arial" w:cs="Arial"/>
          <w:sz w:val="18"/>
          <w:szCs w:val="18"/>
        </w:rPr>
        <w:t xml:space="preserve">Figure </w:t>
      </w:r>
      <w:r w:rsidR="00D7335D" w:rsidRPr="00615734">
        <w:rPr>
          <w:rFonts w:ascii="Arial" w:hAnsi="Arial" w:cs="Arial"/>
          <w:sz w:val="18"/>
          <w:szCs w:val="18"/>
        </w:rPr>
        <w:t>2.</w:t>
      </w:r>
      <w:r w:rsidR="00D561AB">
        <w:rPr>
          <w:rFonts w:ascii="Arial" w:hAnsi="Arial" w:cs="Arial"/>
          <w:sz w:val="18"/>
          <w:szCs w:val="18"/>
        </w:rPr>
        <w:t>4</w:t>
      </w:r>
      <w:r w:rsidRPr="00615734">
        <w:rPr>
          <w:rFonts w:ascii="Arial" w:hAnsi="Arial" w:cs="Arial"/>
          <w:sz w:val="18"/>
          <w:szCs w:val="18"/>
        </w:rPr>
        <w:t>: PRISMA 2020 flow diagram</w:t>
      </w:r>
    </w:p>
    <w:p w14:paraId="02BDA928" w14:textId="319C3AF1" w:rsidR="00084BAD" w:rsidRPr="00E34799" w:rsidRDefault="00084BAD" w:rsidP="00E34799">
      <w:pPr>
        <w:spacing w:line="240" w:lineRule="auto"/>
        <w:rPr>
          <w:rFonts w:ascii="Arial" w:hAnsi="Arial" w:cs="Arial"/>
          <w:sz w:val="24"/>
          <w:szCs w:val="24"/>
        </w:rPr>
      </w:pPr>
    </w:p>
    <w:p w14:paraId="1F4E77D5" w14:textId="0085A855" w:rsidR="00DF6A25" w:rsidRPr="00E34799" w:rsidRDefault="00844469" w:rsidP="00E34799">
      <w:pPr>
        <w:spacing w:line="240" w:lineRule="auto"/>
        <w:rPr>
          <w:rFonts w:ascii="Arial" w:hAnsi="Arial" w:cs="Arial"/>
          <w:color w:val="1B1B1B"/>
          <w:sz w:val="24"/>
          <w:szCs w:val="24"/>
          <w:shd w:val="clear" w:color="auto" w:fill="FFFFFF"/>
        </w:rPr>
      </w:pPr>
      <w:r w:rsidRPr="00E34799">
        <w:rPr>
          <w:rFonts w:ascii="Arial" w:hAnsi="Arial" w:cs="Arial"/>
          <w:color w:val="1B1B1B"/>
          <w:sz w:val="24"/>
          <w:szCs w:val="24"/>
          <w:shd w:val="clear" w:color="auto" w:fill="FFFFFF"/>
        </w:rPr>
        <w:t>Mendeley was used as the reference management system (Mendeley Reference Manager v2.52.0)</w:t>
      </w:r>
      <w:r w:rsidRPr="00E34799">
        <w:rPr>
          <w:rFonts w:ascii="Arial" w:hAnsi="Arial" w:cs="Arial"/>
          <w:sz w:val="24"/>
          <w:szCs w:val="24"/>
        </w:rPr>
        <w:t>.</w:t>
      </w:r>
    </w:p>
    <w:p w14:paraId="74C52577" w14:textId="77777777" w:rsidR="00D7335D" w:rsidRPr="00E34799" w:rsidRDefault="00D7335D" w:rsidP="00E34799">
      <w:pPr>
        <w:spacing w:line="240" w:lineRule="auto"/>
        <w:rPr>
          <w:rFonts w:ascii="Arial" w:hAnsi="Arial" w:cs="Arial"/>
          <w:color w:val="1B1B1B"/>
          <w:sz w:val="24"/>
          <w:szCs w:val="24"/>
          <w:shd w:val="clear" w:color="auto" w:fill="FFFFFF"/>
        </w:rPr>
      </w:pPr>
      <w:r w:rsidRPr="00E34799">
        <w:rPr>
          <w:rFonts w:ascii="Arial" w:hAnsi="Arial" w:cs="Arial"/>
          <w:color w:val="1B1B1B"/>
          <w:sz w:val="24"/>
          <w:szCs w:val="24"/>
          <w:shd w:val="clear" w:color="auto" w:fill="FFFFFF"/>
        </w:rPr>
        <w:br w:type="page"/>
      </w:r>
    </w:p>
    <w:p w14:paraId="2057EB2A" w14:textId="48C26464" w:rsidR="00DF6A25" w:rsidRPr="00E34799" w:rsidRDefault="00DF6A25" w:rsidP="00E34799">
      <w:pPr>
        <w:spacing w:line="240" w:lineRule="auto"/>
        <w:rPr>
          <w:rFonts w:ascii="Arial" w:hAnsi="Arial" w:cs="Arial"/>
          <w:color w:val="1B1B1B"/>
          <w:sz w:val="24"/>
          <w:szCs w:val="24"/>
          <w:shd w:val="clear" w:color="auto" w:fill="FFFFFF"/>
        </w:rPr>
      </w:pPr>
      <w:r w:rsidRPr="00E34799">
        <w:rPr>
          <w:rFonts w:ascii="Arial" w:hAnsi="Arial" w:cs="Arial"/>
          <w:color w:val="1B1B1B"/>
          <w:sz w:val="24"/>
          <w:szCs w:val="24"/>
          <w:shd w:val="clear" w:color="auto" w:fill="FFFFFF"/>
        </w:rPr>
        <w:lastRenderedPageBreak/>
        <w:t xml:space="preserve">The </w:t>
      </w:r>
      <w:r w:rsidR="00117532">
        <w:rPr>
          <w:rFonts w:ascii="Arial" w:hAnsi="Arial" w:cs="Arial"/>
          <w:color w:val="1B1B1B"/>
          <w:sz w:val="24"/>
          <w:szCs w:val="24"/>
          <w:shd w:val="clear" w:color="auto" w:fill="FFFFFF"/>
        </w:rPr>
        <w:t xml:space="preserve">concept of evaluating electronic health records to identify patients in need of palliative care has been a key objective since </w:t>
      </w:r>
      <w:r w:rsidR="00117532" w:rsidRPr="00E34799">
        <w:rPr>
          <w:rFonts w:ascii="Arial" w:hAnsi="Arial" w:cs="Arial"/>
          <w:color w:val="1B1B1B"/>
          <w:sz w:val="24"/>
          <w:szCs w:val="24"/>
          <w:shd w:val="clear" w:color="auto" w:fill="FFFFFF"/>
        </w:rPr>
        <w:t xml:space="preserve">the earliest paper </w:t>
      </w:r>
      <w:r w:rsidRPr="00E34799">
        <w:rPr>
          <w:rFonts w:ascii="Arial" w:hAnsi="Arial" w:cs="Arial"/>
          <w:color w:val="1B1B1B"/>
          <w:sz w:val="24"/>
          <w:szCs w:val="24"/>
          <w:shd w:val="clear" w:color="auto" w:fill="FFFFFF"/>
        </w:rPr>
        <w:t>(</w:t>
      </w:r>
      <w:proofErr w:type="spellStart"/>
      <w:r w:rsidRPr="00E34799">
        <w:rPr>
          <w:rFonts w:ascii="Arial" w:hAnsi="Arial" w:cs="Arial"/>
          <w:color w:val="1B1B1B"/>
          <w:sz w:val="24"/>
          <w:szCs w:val="24"/>
          <w:shd w:val="clear" w:color="auto" w:fill="FFFFFF"/>
        </w:rPr>
        <w:t>Avati</w:t>
      </w:r>
      <w:proofErr w:type="spellEnd"/>
      <w:r w:rsidRPr="00E34799">
        <w:rPr>
          <w:rFonts w:ascii="Arial" w:hAnsi="Arial" w:cs="Arial"/>
          <w:color w:val="1B1B1B"/>
          <w:sz w:val="24"/>
          <w:szCs w:val="24"/>
          <w:shd w:val="clear" w:color="auto" w:fill="FFFFFF"/>
        </w:rPr>
        <w:t xml:space="preserve"> et al., 2018). The use of a mortality predictor, as the surrogate marker, is crude but does identify a number of patients for possible referral. The risk is that specialist palliative care becomes pigeonholed to end of life care rather than the spectrum of support it should, and does, provide. This first paper did lack deta</w:t>
      </w:r>
      <w:r w:rsidR="00A87E1A" w:rsidRPr="00E34799">
        <w:rPr>
          <w:rFonts w:ascii="Arial" w:hAnsi="Arial" w:cs="Arial"/>
          <w:color w:val="1B1B1B"/>
          <w:sz w:val="24"/>
          <w:szCs w:val="24"/>
          <w:shd w:val="clear" w:color="auto" w:fill="FFFFFF"/>
        </w:rPr>
        <w:t>il, despite allusions to their “</w:t>
      </w:r>
      <w:r w:rsidRPr="00E34799">
        <w:rPr>
          <w:rFonts w:ascii="Arial" w:hAnsi="Arial" w:cs="Arial"/>
          <w:color w:val="1B1B1B"/>
          <w:sz w:val="24"/>
          <w:szCs w:val="24"/>
          <w:shd w:val="clear" w:color="auto" w:fill="FFFFFF"/>
        </w:rPr>
        <w:t>deep neural network</w:t>
      </w:r>
      <w:r w:rsidR="00A87E1A" w:rsidRPr="00E34799">
        <w:rPr>
          <w:rFonts w:ascii="Arial" w:hAnsi="Arial" w:cs="Arial"/>
          <w:color w:val="1B1B1B"/>
          <w:sz w:val="24"/>
          <w:szCs w:val="24"/>
          <w:shd w:val="clear" w:color="auto" w:fill="FFFFFF"/>
        </w:rPr>
        <w:t>”</w:t>
      </w:r>
      <w:r w:rsidRPr="00E34799">
        <w:rPr>
          <w:rFonts w:ascii="Arial" w:hAnsi="Arial" w:cs="Arial"/>
          <w:color w:val="1B1B1B"/>
          <w:sz w:val="24"/>
          <w:szCs w:val="24"/>
          <w:shd w:val="clear" w:color="auto" w:fill="FFFFFF"/>
        </w:rPr>
        <w:t>. Moving forward, this chapter will seek to focus on the transferrable components of application. Early limitations, to declare, are that:</w:t>
      </w:r>
    </w:p>
    <w:p w14:paraId="67E57A5B" w14:textId="77777777" w:rsidR="00DF6A25" w:rsidRPr="00E34799" w:rsidRDefault="00DF6A25" w:rsidP="00E34799">
      <w:pPr>
        <w:pStyle w:val="ListParagraph"/>
        <w:numPr>
          <w:ilvl w:val="0"/>
          <w:numId w:val="5"/>
        </w:numPr>
        <w:spacing w:line="240" w:lineRule="auto"/>
        <w:rPr>
          <w:rFonts w:ascii="Arial" w:hAnsi="Arial" w:cs="Arial"/>
          <w:color w:val="1B1B1B"/>
          <w:sz w:val="24"/>
          <w:szCs w:val="24"/>
          <w:shd w:val="clear" w:color="auto" w:fill="FFFFFF"/>
        </w:rPr>
      </w:pPr>
      <w:r w:rsidRPr="00E34799">
        <w:rPr>
          <w:rFonts w:ascii="Arial" w:hAnsi="Arial" w:cs="Arial"/>
          <w:color w:val="1B1B1B"/>
          <w:sz w:val="24"/>
          <w:szCs w:val="24"/>
          <w:shd w:val="clear" w:color="auto" w:fill="FFFFFF"/>
        </w:rPr>
        <w:t xml:space="preserve">The National Health Service is not as digitally advanced as other healthcare systems, limiting what is immediately achievable. </w:t>
      </w:r>
    </w:p>
    <w:p w14:paraId="6993D590" w14:textId="77777777" w:rsidR="00DF6A25" w:rsidRPr="00E34799" w:rsidRDefault="00DF6A25" w:rsidP="00E34799">
      <w:pPr>
        <w:pStyle w:val="ListParagraph"/>
        <w:numPr>
          <w:ilvl w:val="0"/>
          <w:numId w:val="5"/>
        </w:numPr>
        <w:spacing w:line="240" w:lineRule="auto"/>
        <w:rPr>
          <w:rFonts w:ascii="Arial" w:hAnsi="Arial" w:cs="Arial"/>
          <w:color w:val="1B1B1B"/>
          <w:sz w:val="24"/>
          <w:szCs w:val="24"/>
          <w:shd w:val="clear" w:color="auto" w:fill="FFFFFF"/>
        </w:rPr>
      </w:pPr>
      <w:r w:rsidRPr="00E34799">
        <w:rPr>
          <w:rFonts w:ascii="Arial" w:hAnsi="Arial" w:cs="Arial"/>
          <w:color w:val="1B1B1B"/>
          <w:sz w:val="24"/>
          <w:szCs w:val="24"/>
          <w:shd w:val="clear" w:color="auto" w:fill="FFFFFF"/>
        </w:rPr>
        <w:t xml:space="preserve">Parallel care plans (active management and supportive care) are permissible; in contrast to the American system of choosing one or the other. </w:t>
      </w:r>
    </w:p>
    <w:p w14:paraId="5DF54DAB" w14:textId="26B1798E" w:rsidR="00117532" w:rsidRDefault="00117532" w:rsidP="00E34799">
      <w:pPr>
        <w:spacing w:line="240" w:lineRule="auto"/>
        <w:rPr>
          <w:rFonts w:ascii="Arial" w:hAnsi="Arial" w:cs="Arial"/>
          <w:color w:val="1B1B1B"/>
          <w:sz w:val="24"/>
          <w:szCs w:val="24"/>
          <w:shd w:val="clear" w:color="auto" w:fill="FFFFFF"/>
        </w:rPr>
      </w:pPr>
      <w:proofErr w:type="spellStart"/>
      <w:r w:rsidRPr="00117532">
        <w:rPr>
          <w:rFonts w:ascii="Arial" w:hAnsi="Arial" w:cs="Arial"/>
          <w:color w:val="1B1B1B"/>
          <w:sz w:val="24"/>
          <w:szCs w:val="24"/>
          <w:shd w:val="clear" w:color="auto" w:fill="FFFFFF"/>
        </w:rPr>
        <w:t>Shetrit</w:t>
      </w:r>
      <w:proofErr w:type="spellEnd"/>
      <w:r w:rsidRPr="00117532">
        <w:rPr>
          <w:rFonts w:ascii="Arial" w:hAnsi="Arial" w:cs="Arial"/>
          <w:color w:val="1B1B1B"/>
          <w:sz w:val="24"/>
          <w:szCs w:val="24"/>
          <w:shd w:val="clear" w:color="auto" w:fill="FFFFFF"/>
        </w:rPr>
        <w:t xml:space="preserve">, </w:t>
      </w:r>
      <w:proofErr w:type="spellStart"/>
      <w:r w:rsidRPr="00117532">
        <w:rPr>
          <w:rFonts w:ascii="Arial" w:hAnsi="Arial" w:cs="Arial"/>
          <w:color w:val="1B1B1B"/>
          <w:sz w:val="24"/>
          <w:szCs w:val="24"/>
          <w:shd w:val="clear" w:color="auto" w:fill="FFFFFF"/>
        </w:rPr>
        <w:t>Daghash</w:t>
      </w:r>
      <w:proofErr w:type="spellEnd"/>
      <w:r w:rsidRPr="00117532">
        <w:rPr>
          <w:rFonts w:ascii="Arial" w:hAnsi="Arial" w:cs="Arial"/>
          <w:color w:val="1B1B1B"/>
          <w:sz w:val="24"/>
          <w:szCs w:val="24"/>
          <w:shd w:val="clear" w:color="auto" w:fill="FFFFFF"/>
        </w:rPr>
        <w:t>, and Sperling (2024) explored the ethical, societal, and legal challenges of implementing artificial intelligence in relation to the Israeli Dying Patient Act. No other identified studies have taken such a holistic and philosophical approach. While these are important considerations for the evolving technological landscape, they fall outside the scope of this dissertation</w:t>
      </w:r>
      <w:r>
        <w:rPr>
          <w:rFonts w:ascii="Arial" w:hAnsi="Arial" w:cs="Arial"/>
          <w:color w:val="1B1B1B"/>
          <w:sz w:val="24"/>
          <w:szCs w:val="24"/>
          <w:shd w:val="clear" w:color="auto" w:fill="FFFFFF"/>
        </w:rPr>
        <w:t>.</w:t>
      </w:r>
    </w:p>
    <w:p w14:paraId="2DFA2385" w14:textId="4C26D93A" w:rsidR="00D7335D" w:rsidRDefault="0094750E" w:rsidP="00E34799">
      <w:pPr>
        <w:spacing w:line="240" w:lineRule="auto"/>
        <w:rPr>
          <w:rFonts w:ascii="Arial" w:hAnsi="Arial" w:cs="Arial"/>
          <w:sz w:val="20"/>
          <w:szCs w:val="20"/>
        </w:rPr>
      </w:pPr>
      <w:r w:rsidRPr="00E34799">
        <w:rPr>
          <w:rFonts w:ascii="Arial" w:hAnsi="Arial" w:cs="Arial"/>
          <w:sz w:val="24"/>
          <w:szCs w:val="24"/>
        </w:rPr>
        <w:t>The integration of digital health technologies within palliative care is a</w:t>
      </w:r>
      <w:r w:rsidR="00F31B69" w:rsidRPr="00E34799">
        <w:rPr>
          <w:rFonts w:ascii="Arial" w:hAnsi="Arial" w:cs="Arial"/>
          <w:sz w:val="24"/>
          <w:szCs w:val="24"/>
        </w:rPr>
        <w:t>bsolutely a</w:t>
      </w:r>
      <w:r w:rsidRPr="00E34799">
        <w:rPr>
          <w:rFonts w:ascii="Arial" w:hAnsi="Arial" w:cs="Arial"/>
          <w:sz w:val="24"/>
          <w:szCs w:val="24"/>
        </w:rPr>
        <w:t xml:space="preserve"> current worldwide conversation. A recent systematic review (</w:t>
      </w:r>
      <w:proofErr w:type="spellStart"/>
      <w:r w:rsidRPr="00E34799">
        <w:rPr>
          <w:rFonts w:ascii="Arial" w:hAnsi="Arial" w:cs="Arial"/>
          <w:sz w:val="24"/>
          <w:szCs w:val="24"/>
        </w:rPr>
        <w:t>Hamdoune</w:t>
      </w:r>
      <w:proofErr w:type="spellEnd"/>
      <w:r w:rsidRPr="00E34799">
        <w:rPr>
          <w:rFonts w:ascii="Arial" w:hAnsi="Arial" w:cs="Arial"/>
          <w:sz w:val="24"/>
          <w:szCs w:val="24"/>
        </w:rPr>
        <w:t xml:space="preserve"> et al., 2024) identified seven papers seeking to help with symptom management for cancer patients receiving palliative interventions. These seven papers arose from five countries. In addition to the ‘first world’ countries there was a contribution from Kenya and from Tanzania. Arguably the Kenyan intervention (“telephone monitoring” (</w:t>
      </w:r>
      <w:proofErr w:type="spellStart"/>
      <w:r w:rsidRPr="00E34799">
        <w:rPr>
          <w:rFonts w:ascii="Arial" w:hAnsi="Arial" w:cs="Arial"/>
          <w:sz w:val="24"/>
          <w:szCs w:val="24"/>
        </w:rPr>
        <w:t>Cornetta</w:t>
      </w:r>
      <w:proofErr w:type="spellEnd"/>
      <w:r w:rsidRPr="00E34799">
        <w:rPr>
          <w:rFonts w:ascii="Arial" w:hAnsi="Arial" w:cs="Arial"/>
          <w:sz w:val="24"/>
          <w:szCs w:val="24"/>
        </w:rPr>
        <w:t xml:space="preserve"> et al., 2023)) would be considered to be standard practice in this country, whereas the Tanzanian (“mobile palliative care link”, a web application (Ho et al., 2022)) offers a novel opportunity. The concerns identified fell into two broad categories:</w:t>
      </w:r>
      <w:r w:rsidR="00D7335D" w:rsidRPr="00E34799">
        <w:rPr>
          <w:rFonts w:ascii="Arial" w:hAnsi="Arial" w:cs="Arial"/>
          <w:sz w:val="20"/>
          <w:szCs w:val="20"/>
        </w:rPr>
        <w:t xml:space="preserve"> </w:t>
      </w:r>
    </w:p>
    <w:p w14:paraId="20216FCE" w14:textId="77777777" w:rsidR="00C00EF5" w:rsidRDefault="00C00EF5" w:rsidP="00286399">
      <w:pPr>
        <w:spacing w:after="0" w:line="240" w:lineRule="auto"/>
        <w:rPr>
          <w:rFonts w:ascii="Arial" w:hAnsi="Arial" w:cs="Arial"/>
          <w:sz w:val="18"/>
          <w:szCs w:val="18"/>
        </w:rPr>
      </w:pPr>
    </w:p>
    <w:p w14:paraId="19467BBA" w14:textId="13D10323" w:rsidR="00286399" w:rsidRPr="00C00EF5" w:rsidRDefault="00D7335D" w:rsidP="00286399">
      <w:pPr>
        <w:spacing w:after="0" w:line="240" w:lineRule="auto"/>
        <w:rPr>
          <w:rFonts w:ascii="Arial" w:hAnsi="Arial" w:cs="Arial"/>
          <w:sz w:val="18"/>
          <w:szCs w:val="18"/>
        </w:rPr>
      </w:pPr>
      <w:r w:rsidRPr="00615734">
        <w:rPr>
          <w:rFonts w:ascii="Arial" w:hAnsi="Arial" w:cs="Arial"/>
          <w:sz w:val="18"/>
          <w:szCs w:val="18"/>
        </w:rPr>
        <w:t>Table 2.</w:t>
      </w:r>
      <w:r w:rsidR="00D561AB">
        <w:rPr>
          <w:rFonts w:ascii="Arial" w:hAnsi="Arial" w:cs="Arial"/>
          <w:sz w:val="18"/>
          <w:szCs w:val="18"/>
        </w:rPr>
        <w:t>3</w:t>
      </w:r>
      <w:r w:rsidRPr="00615734">
        <w:rPr>
          <w:rFonts w:ascii="Arial" w:hAnsi="Arial" w:cs="Arial"/>
          <w:sz w:val="18"/>
          <w:szCs w:val="18"/>
        </w:rPr>
        <w:t>: Factors influencing adoption of digital health technologies in palliative cancer care (</w:t>
      </w:r>
      <w:proofErr w:type="spellStart"/>
      <w:r w:rsidRPr="00615734">
        <w:rPr>
          <w:rFonts w:ascii="Arial" w:hAnsi="Arial" w:cs="Arial"/>
          <w:sz w:val="18"/>
          <w:szCs w:val="18"/>
        </w:rPr>
        <w:t>Hamdoune</w:t>
      </w:r>
      <w:proofErr w:type="spellEnd"/>
      <w:r w:rsidRPr="00615734">
        <w:rPr>
          <w:rFonts w:ascii="Arial" w:hAnsi="Arial" w:cs="Arial"/>
          <w:sz w:val="18"/>
          <w:szCs w:val="18"/>
        </w:rPr>
        <w:t xml:space="preserve"> et al., 2024)</w:t>
      </w:r>
    </w:p>
    <w:tbl>
      <w:tblPr>
        <w:tblStyle w:val="TableGrid"/>
        <w:tblW w:w="0" w:type="auto"/>
        <w:tblLook w:val="04A0" w:firstRow="1" w:lastRow="0" w:firstColumn="1" w:lastColumn="0" w:noHBand="0" w:noVBand="1"/>
      </w:tblPr>
      <w:tblGrid>
        <w:gridCol w:w="2830"/>
        <w:gridCol w:w="6186"/>
      </w:tblGrid>
      <w:tr w:rsidR="00286399" w:rsidRPr="00C6640E" w14:paraId="7636E84A" w14:textId="77777777" w:rsidTr="00624928">
        <w:tc>
          <w:tcPr>
            <w:tcW w:w="2830" w:type="dxa"/>
            <w:shd w:val="clear" w:color="auto" w:fill="D9D9D9" w:themeFill="background1" w:themeFillShade="D9"/>
            <w:vAlign w:val="center"/>
          </w:tcPr>
          <w:p w14:paraId="40055959" w14:textId="0582C8DD" w:rsidR="00286399" w:rsidRPr="00295501" w:rsidRDefault="00286399" w:rsidP="00624928">
            <w:pPr>
              <w:spacing w:before="120" w:after="120" w:line="360" w:lineRule="auto"/>
              <w:rPr>
                <w:rFonts w:ascii="Arial" w:hAnsi="Arial" w:cs="Arial"/>
                <w:b/>
                <w:bCs/>
                <w:sz w:val="20"/>
                <w:szCs w:val="20"/>
              </w:rPr>
            </w:pPr>
            <w:r>
              <w:rPr>
                <w:rFonts w:ascii="Arial" w:hAnsi="Arial" w:cs="Arial"/>
                <w:b/>
                <w:bCs/>
                <w:sz w:val="20"/>
                <w:szCs w:val="20"/>
              </w:rPr>
              <w:t>People</w:t>
            </w:r>
          </w:p>
        </w:tc>
        <w:tc>
          <w:tcPr>
            <w:tcW w:w="6186" w:type="dxa"/>
            <w:shd w:val="clear" w:color="auto" w:fill="D9D9D9" w:themeFill="background1" w:themeFillShade="D9"/>
            <w:vAlign w:val="center"/>
          </w:tcPr>
          <w:p w14:paraId="28418FD0" w14:textId="565BFE50" w:rsidR="00286399" w:rsidRPr="00624928" w:rsidRDefault="00286399" w:rsidP="00624928">
            <w:pPr>
              <w:spacing w:before="120" w:after="120" w:line="360" w:lineRule="auto"/>
              <w:rPr>
                <w:rFonts w:ascii="Arial" w:hAnsi="Arial" w:cs="Arial"/>
                <w:sz w:val="20"/>
                <w:szCs w:val="20"/>
              </w:rPr>
            </w:pPr>
            <w:r w:rsidRPr="00624928">
              <w:rPr>
                <w:rFonts w:ascii="Arial" w:hAnsi="Arial" w:cs="Arial"/>
                <w:sz w:val="20"/>
                <w:szCs w:val="20"/>
              </w:rPr>
              <w:t>Technology</w:t>
            </w:r>
          </w:p>
        </w:tc>
      </w:tr>
      <w:tr w:rsidR="00286399" w14:paraId="632111E3" w14:textId="77777777" w:rsidTr="00624928">
        <w:tc>
          <w:tcPr>
            <w:tcW w:w="2830" w:type="dxa"/>
            <w:vAlign w:val="center"/>
          </w:tcPr>
          <w:p w14:paraId="337A54E5" w14:textId="08E1D905" w:rsidR="00286399" w:rsidRPr="00295501" w:rsidRDefault="00624928" w:rsidP="00624928">
            <w:pPr>
              <w:spacing w:before="120" w:after="120" w:line="360" w:lineRule="auto"/>
              <w:rPr>
                <w:rFonts w:ascii="Arial" w:hAnsi="Arial" w:cs="Arial"/>
                <w:sz w:val="20"/>
                <w:szCs w:val="20"/>
              </w:rPr>
            </w:pPr>
            <w:r>
              <w:rPr>
                <w:rFonts w:ascii="Arial" w:hAnsi="Arial" w:cs="Arial"/>
                <w:sz w:val="20"/>
                <w:szCs w:val="20"/>
              </w:rPr>
              <w:t>Professional commitment</w:t>
            </w:r>
          </w:p>
        </w:tc>
        <w:tc>
          <w:tcPr>
            <w:tcW w:w="6186" w:type="dxa"/>
            <w:vAlign w:val="center"/>
          </w:tcPr>
          <w:p w14:paraId="7717B253" w14:textId="5328CF5D" w:rsidR="00286399" w:rsidRPr="00295501" w:rsidRDefault="00624928" w:rsidP="00624928">
            <w:pPr>
              <w:spacing w:before="120" w:after="120" w:line="360" w:lineRule="auto"/>
              <w:rPr>
                <w:rFonts w:ascii="Arial" w:hAnsi="Arial" w:cs="Arial"/>
                <w:sz w:val="20"/>
                <w:szCs w:val="20"/>
              </w:rPr>
            </w:pPr>
            <w:r>
              <w:rPr>
                <w:rFonts w:ascii="Arial" w:hAnsi="Arial" w:cs="Arial"/>
                <w:sz w:val="20"/>
                <w:szCs w:val="20"/>
              </w:rPr>
              <w:t>Availability of technological resources</w:t>
            </w:r>
          </w:p>
        </w:tc>
      </w:tr>
      <w:tr w:rsidR="00286399" w14:paraId="07484440" w14:textId="77777777" w:rsidTr="00624928">
        <w:tc>
          <w:tcPr>
            <w:tcW w:w="2830" w:type="dxa"/>
            <w:vAlign w:val="center"/>
          </w:tcPr>
          <w:p w14:paraId="06B8157F" w14:textId="1B07ABB2" w:rsidR="00286399" w:rsidRPr="00295501" w:rsidRDefault="00624928" w:rsidP="00624928">
            <w:pPr>
              <w:spacing w:before="120" w:after="120" w:line="360" w:lineRule="auto"/>
              <w:rPr>
                <w:rFonts w:ascii="Arial" w:hAnsi="Arial" w:cs="Arial"/>
                <w:sz w:val="20"/>
                <w:szCs w:val="20"/>
              </w:rPr>
            </w:pPr>
            <w:r>
              <w:rPr>
                <w:rFonts w:ascii="Arial" w:hAnsi="Arial" w:cs="Arial"/>
                <w:sz w:val="20"/>
                <w:szCs w:val="20"/>
              </w:rPr>
              <w:t>Perceived usefulness</w:t>
            </w:r>
          </w:p>
        </w:tc>
        <w:tc>
          <w:tcPr>
            <w:tcW w:w="6186" w:type="dxa"/>
            <w:vAlign w:val="center"/>
          </w:tcPr>
          <w:p w14:paraId="5F1D6F6B" w14:textId="20311271" w:rsidR="00286399" w:rsidRPr="00295501" w:rsidRDefault="00624928" w:rsidP="00624928">
            <w:pPr>
              <w:spacing w:before="120" w:after="120" w:line="360" w:lineRule="auto"/>
              <w:rPr>
                <w:rFonts w:ascii="Arial" w:hAnsi="Arial" w:cs="Arial"/>
                <w:sz w:val="20"/>
                <w:szCs w:val="20"/>
              </w:rPr>
            </w:pPr>
            <w:r>
              <w:rPr>
                <w:rFonts w:ascii="Arial" w:hAnsi="Arial" w:cs="Arial"/>
                <w:sz w:val="20"/>
                <w:szCs w:val="20"/>
              </w:rPr>
              <w:t>Connectivity</w:t>
            </w:r>
          </w:p>
        </w:tc>
      </w:tr>
      <w:tr w:rsidR="00286399" w14:paraId="31633F91" w14:textId="77777777" w:rsidTr="00624928">
        <w:tc>
          <w:tcPr>
            <w:tcW w:w="2830" w:type="dxa"/>
            <w:vAlign w:val="center"/>
          </w:tcPr>
          <w:p w14:paraId="7A6EFFB2" w14:textId="0FCBCB04" w:rsidR="00286399" w:rsidRPr="00295501" w:rsidRDefault="00624928" w:rsidP="00624928">
            <w:pPr>
              <w:spacing w:before="120" w:after="120" w:line="360" w:lineRule="auto"/>
              <w:rPr>
                <w:rFonts w:ascii="Arial" w:hAnsi="Arial" w:cs="Arial"/>
                <w:sz w:val="20"/>
                <w:szCs w:val="20"/>
              </w:rPr>
            </w:pPr>
            <w:r>
              <w:rPr>
                <w:rFonts w:ascii="Arial" w:hAnsi="Arial" w:cs="Arial"/>
                <w:sz w:val="20"/>
                <w:szCs w:val="20"/>
              </w:rPr>
              <w:t>Familiarity with technology</w:t>
            </w:r>
          </w:p>
        </w:tc>
        <w:tc>
          <w:tcPr>
            <w:tcW w:w="6186" w:type="dxa"/>
            <w:vAlign w:val="center"/>
          </w:tcPr>
          <w:p w14:paraId="0F545590" w14:textId="6BABDEEC" w:rsidR="00286399" w:rsidRPr="00295501" w:rsidRDefault="00624928" w:rsidP="00624928">
            <w:pPr>
              <w:spacing w:before="120" w:after="120" w:line="360" w:lineRule="auto"/>
              <w:rPr>
                <w:rFonts w:ascii="Arial" w:hAnsi="Arial" w:cs="Arial"/>
                <w:sz w:val="20"/>
                <w:szCs w:val="20"/>
              </w:rPr>
            </w:pPr>
            <w:r>
              <w:rPr>
                <w:rFonts w:ascii="Arial" w:hAnsi="Arial" w:cs="Arial"/>
                <w:sz w:val="20"/>
                <w:szCs w:val="20"/>
              </w:rPr>
              <w:t>Software problems</w:t>
            </w:r>
          </w:p>
        </w:tc>
      </w:tr>
    </w:tbl>
    <w:p w14:paraId="4C594F5D" w14:textId="77777777" w:rsidR="00286399" w:rsidRPr="00615734" w:rsidRDefault="00286399" w:rsidP="00E34799">
      <w:pPr>
        <w:spacing w:after="0" w:line="240" w:lineRule="auto"/>
        <w:rPr>
          <w:rFonts w:ascii="Arial" w:hAnsi="Arial" w:cs="Arial"/>
          <w:sz w:val="18"/>
          <w:szCs w:val="18"/>
        </w:rPr>
      </w:pPr>
    </w:p>
    <w:p w14:paraId="60AF781F" w14:textId="77777777" w:rsidR="00D7335D" w:rsidRPr="00E34799" w:rsidRDefault="00D7335D" w:rsidP="00E34799">
      <w:pPr>
        <w:spacing w:line="240" w:lineRule="auto"/>
        <w:rPr>
          <w:rFonts w:ascii="Arial" w:hAnsi="Arial" w:cs="Arial"/>
          <w:sz w:val="24"/>
          <w:szCs w:val="24"/>
        </w:rPr>
      </w:pPr>
    </w:p>
    <w:p w14:paraId="0ACF9DF0" w14:textId="077E73E0" w:rsidR="0094750E" w:rsidRPr="00E34799" w:rsidRDefault="00117532" w:rsidP="00E34799">
      <w:pPr>
        <w:spacing w:line="240" w:lineRule="auto"/>
        <w:rPr>
          <w:rFonts w:ascii="Arial" w:hAnsi="Arial" w:cs="Arial"/>
          <w:sz w:val="24"/>
          <w:szCs w:val="24"/>
        </w:rPr>
      </w:pPr>
      <w:r w:rsidRPr="00117532">
        <w:rPr>
          <w:rFonts w:ascii="Arial" w:hAnsi="Arial" w:cs="Arial"/>
          <w:sz w:val="24"/>
          <w:szCs w:val="24"/>
        </w:rPr>
        <w:t xml:space="preserve">These themes frequently arise at the intersection of digital technology and clinical practice and can help identify potential barriers. While both the British, through Dame Cicely Saunders, and the Americans, through Elisabeth Kübler-Ross, played pioneering roles in palliative care, valuable insights can be gained from global perspectives. Ideally, palliative care remains an inclusive and evolving field, rather than one confined to an academic or clinical </w:t>
      </w:r>
      <w:r>
        <w:rPr>
          <w:rFonts w:ascii="Arial" w:hAnsi="Arial" w:cs="Arial"/>
          <w:sz w:val="24"/>
          <w:szCs w:val="24"/>
        </w:rPr>
        <w:t>‘</w:t>
      </w:r>
      <w:r w:rsidRPr="00117532">
        <w:rPr>
          <w:rFonts w:ascii="Arial" w:hAnsi="Arial" w:cs="Arial"/>
          <w:sz w:val="24"/>
          <w:szCs w:val="24"/>
        </w:rPr>
        <w:t>ivory tower</w:t>
      </w:r>
      <w:r>
        <w:rPr>
          <w:rFonts w:ascii="Arial" w:hAnsi="Arial" w:cs="Arial"/>
          <w:sz w:val="24"/>
          <w:szCs w:val="24"/>
        </w:rPr>
        <w:t>’</w:t>
      </w:r>
      <w:r w:rsidRPr="00117532">
        <w:rPr>
          <w:rFonts w:ascii="Arial" w:hAnsi="Arial" w:cs="Arial"/>
          <w:sz w:val="24"/>
          <w:szCs w:val="24"/>
        </w:rPr>
        <w:t>.</w:t>
      </w:r>
    </w:p>
    <w:p w14:paraId="105600F4" w14:textId="6EA59E91" w:rsidR="00DF6A25" w:rsidRPr="00E34799" w:rsidRDefault="0094750E" w:rsidP="00E34799">
      <w:pPr>
        <w:spacing w:line="240" w:lineRule="auto"/>
        <w:rPr>
          <w:rFonts w:ascii="Arial" w:hAnsi="Arial" w:cs="Arial"/>
          <w:sz w:val="24"/>
          <w:szCs w:val="24"/>
        </w:rPr>
      </w:pPr>
      <w:r w:rsidRPr="00E34799">
        <w:rPr>
          <w:rFonts w:ascii="Arial" w:hAnsi="Arial" w:cs="Arial"/>
          <w:sz w:val="24"/>
          <w:szCs w:val="24"/>
        </w:rPr>
        <w:lastRenderedPageBreak/>
        <w:t xml:space="preserve">As a final comment on the global experience; several groups in India have challenged the current technologies (specifically </w:t>
      </w:r>
      <w:proofErr w:type="spellStart"/>
      <w:r w:rsidRPr="00E34799">
        <w:rPr>
          <w:rFonts w:ascii="Arial" w:hAnsi="Arial" w:cs="Arial"/>
          <w:sz w:val="24"/>
          <w:szCs w:val="24"/>
        </w:rPr>
        <w:t>ChatGPT</w:t>
      </w:r>
      <w:proofErr w:type="spellEnd"/>
      <w:r w:rsidRPr="00E34799">
        <w:rPr>
          <w:rFonts w:ascii="Arial" w:hAnsi="Arial" w:cs="Arial"/>
          <w:sz w:val="24"/>
          <w:szCs w:val="24"/>
        </w:rPr>
        <w:t xml:space="preserve"> and Google Gemini) with palliative care scenarios (</w:t>
      </w:r>
      <w:proofErr w:type="spellStart"/>
      <w:r w:rsidRPr="00E34799">
        <w:rPr>
          <w:rFonts w:ascii="Arial" w:hAnsi="Arial" w:cs="Arial"/>
          <w:sz w:val="24"/>
          <w:szCs w:val="24"/>
        </w:rPr>
        <w:t>Gondode</w:t>
      </w:r>
      <w:proofErr w:type="spellEnd"/>
      <w:r w:rsidRPr="00E34799">
        <w:rPr>
          <w:rFonts w:ascii="Arial" w:hAnsi="Arial" w:cs="Arial"/>
          <w:sz w:val="24"/>
          <w:szCs w:val="24"/>
        </w:rPr>
        <w:t xml:space="preserve"> et al., 2024; Gupta and Gupta, 2024; Srivastava and Srivastava, 2024). The</w:t>
      </w:r>
      <w:r w:rsidR="00117532">
        <w:rPr>
          <w:rFonts w:ascii="Arial" w:hAnsi="Arial" w:cs="Arial"/>
          <w:sz w:val="24"/>
          <w:szCs w:val="24"/>
        </w:rPr>
        <w:t xml:space="preserve">ir intent is to </w:t>
      </w:r>
      <w:r w:rsidR="002E5DD0">
        <w:rPr>
          <w:rFonts w:ascii="Arial" w:hAnsi="Arial" w:cs="Arial"/>
          <w:sz w:val="24"/>
          <w:szCs w:val="24"/>
        </w:rPr>
        <w:t xml:space="preserve">empower generalist </w:t>
      </w:r>
      <w:r w:rsidRPr="00E34799">
        <w:rPr>
          <w:rFonts w:ascii="Arial" w:hAnsi="Arial" w:cs="Arial"/>
          <w:sz w:val="24"/>
          <w:szCs w:val="24"/>
        </w:rPr>
        <w:t>clinicians</w:t>
      </w:r>
      <w:r w:rsidR="002E5DD0">
        <w:rPr>
          <w:rFonts w:ascii="Arial" w:hAnsi="Arial" w:cs="Arial"/>
          <w:sz w:val="24"/>
          <w:szCs w:val="24"/>
        </w:rPr>
        <w:t xml:space="preserve"> to</w:t>
      </w:r>
      <w:r w:rsidRPr="00E34799">
        <w:rPr>
          <w:rFonts w:ascii="Arial" w:hAnsi="Arial" w:cs="Arial"/>
          <w:sz w:val="24"/>
          <w:szCs w:val="24"/>
        </w:rPr>
        <w:t xml:space="preserve"> improve patients’ overall care in palliative medicine. However, the caveat is for “vigilant adoption” and an acknowledgement that “it should not be seen as a replacement for physicians’ unique skills and decisions in providing patient-tailored care</w:t>
      </w:r>
      <w:r w:rsidR="00DF6A25" w:rsidRPr="00E34799">
        <w:rPr>
          <w:rFonts w:ascii="Arial" w:hAnsi="Arial" w:cs="Arial"/>
          <w:sz w:val="24"/>
          <w:szCs w:val="24"/>
        </w:rPr>
        <w:t>”</w:t>
      </w:r>
      <w:r w:rsidR="00361572" w:rsidRPr="00E34799">
        <w:rPr>
          <w:rFonts w:ascii="Arial" w:hAnsi="Arial" w:cs="Arial"/>
          <w:sz w:val="24"/>
          <w:szCs w:val="24"/>
        </w:rPr>
        <w:t xml:space="preserve"> (Gupta and Gupta, 2024)</w:t>
      </w:r>
      <w:r w:rsidR="00DF6A25" w:rsidRPr="00E34799">
        <w:rPr>
          <w:rFonts w:ascii="Arial" w:hAnsi="Arial" w:cs="Arial"/>
          <w:sz w:val="24"/>
          <w:szCs w:val="24"/>
        </w:rPr>
        <w:t>.</w:t>
      </w:r>
    </w:p>
    <w:p w14:paraId="73E0D747" w14:textId="3461DA61" w:rsidR="00842A1B" w:rsidRPr="00E34799" w:rsidRDefault="00842A1B" w:rsidP="00E34799">
      <w:pPr>
        <w:spacing w:line="240" w:lineRule="auto"/>
        <w:rPr>
          <w:rFonts w:ascii="Arial" w:hAnsi="Arial" w:cs="Arial"/>
          <w:sz w:val="24"/>
          <w:szCs w:val="24"/>
        </w:rPr>
      </w:pPr>
      <w:r w:rsidRPr="00E34799">
        <w:rPr>
          <w:rFonts w:ascii="Arial" w:hAnsi="Arial" w:cs="Arial"/>
          <w:sz w:val="24"/>
          <w:szCs w:val="24"/>
        </w:rPr>
        <w:t>Patel et al.</w:t>
      </w:r>
      <w:r w:rsidR="002E5DD0">
        <w:rPr>
          <w:rFonts w:ascii="Arial" w:hAnsi="Arial" w:cs="Arial"/>
          <w:sz w:val="24"/>
          <w:szCs w:val="24"/>
        </w:rPr>
        <w:t xml:space="preserve"> (</w:t>
      </w:r>
      <w:r w:rsidRPr="00E34799">
        <w:rPr>
          <w:rFonts w:ascii="Arial" w:hAnsi="Arial" w:cs="Arial"/>
          <w:sz w:val="24"/>
          <w:szCs w:val="24"/>
        </w:rPr>
        <w:t>2024)</w:t>
      </w:r>
      <w:r w:rsidR="002E5DD0">
        <w:rPr>
          <w:rFonts w:ascii="Arial" w:hAnsi="Arial" w:cs="Arial"/>
          <w:sz w:val="24"/>
          <w:szCs w:val="24"/>
        </w:rPr>
        <w:t>,</w:t>
      </w:r>
      <w:r w:rsidRPr="00E34799">
        <w:rPr>
          <w:rFonts w:ascii="Arial" w:hAnsi="Arial" w:cs="Arial"/>
          <w:sz w:val="24"/>
          <w:szCs w:val="24"/>
        </w:rPr>
        <w:t xml:space="preserve"> published after the above searches were run, highlights the current interest in this topic. Starting from the recognition that “discussions about EOL [end of life] care </w:t>
      </w:r>
      <w:proofErr w:type="gramStart"/>
      <w:r w:rsidRPr="00E34799">
        <w:rPr>
          <w:rFonts w:ascii="Arial" w:hAnsi="Arial" w:cs="Arial"/>
          <w:sz w:val="24"/>
          <w:szCs w:val="24"/>
        </w:rPr>
        <w:t>are</w:t>
      </w:r>
      <w:proofErr w:type="gramEnd"/>
      <w:r w:rsidRPr="00E34799">
        <w:rPr>
          <w:rFonts w:ascii="Arial" w:hAnsi="Arial" w:cs="Arial"/>
          <w:sz w:val="24"/>
          <w:szCs w:val="24"/>
        </w:rPr>
        <w:t xml:space="preserve"> associated with earlier hospice enrolment, less aggressive care and improved quality of life.” (</w:t>
      </w:r>
      <w:proofErr w:type="spellStart"/>
      <w:r w:rsidRPr="00E34799">
        <w:rPr>
          <w:rFonts w:ascii="Arial" w:hAnsi="Arial" w:cs="Arial"/>
          <w:sz w:val="24"/>
          <w:szCs w:val="24"/>
        </w:rPr>
        <w:t>Prigerson</w:t>
      </w:r>
      <w:proofErr w:type="spellEnd"/>
      <w:r w:rsidRPr="00E34799">
        <w:rPr>
          <w:rFonts w:ascii="Arial" w:hAnsi="Arial" w:cs="Arial"/>
          <w:sz w:val="24"/>
          <w:szCs w:val="24"/>
        </w:rPr>
        <w:t xml:space="preserve"> et al., 2023; Wright et al., 2008), this American study sought to target advance care planning discussions in patients with cancer.</w:t>
      </w:r>
      <w:r w:rsidR="00F31B69" w:rsidRPr="00E34799">
        <w:rPr>
          <w:rFonts w:ascii="Arial" w:hAnsi="Arial" w:cs="Arial"/>
          <w:sz w:val="24"/>
          <w:szCs w:val="24"/>
        </w:rPr>
        <w:t xml:space="preserve"> </w:t>
      </w:r>
      <w:r w:rsidRPr="00E34799">
        <w:rPr>
          <w:rFonts w:ascii="Arial" w:hAnsi="Arial" w:cs="Arial"/>
          <w:sz w:val="24"/>
          <w:szCs w:val="24"/>
        </w:rPr>
        <w:t xml:space="preserve">They applied technology to help identify those at high risk of dying having been admitted, as an emergency, to the oncology ward. The system triggered an alert to the clinicians about the mortality risk, who then could factor that in to the clinical management. The impact was that advance care planning conversations were documented for over 80% of patients following introduction of the alert, compared with only 2.3% initially. Extended observation of this patient cohort did not identify any differences in a number of quantitative parameters. The authors conclude that there was “a substantial increase in documented ACP conversations but did not impact EOL care”. This paper focused on </w:t>
      </w:r>
      <w:r w:rsidR="00797478" w:rsidRPr="00E34799">
        <w:rPr>
          <w:rFonts w:ascii="Arial" w:hAnsi="Arial" w:cs="Arial"/>
          <w:sz w:val="24"/>
          <w:szCs w:val="24"/>
        </w:rPr>
        <w:t>hospital-based</w:t>
      </w:r>
      <w:r w:rsidRPr="00E34799">
        <w:rPr>
          <w:rFonts w:ascii="Arial" w:hAnsi="Arial" w:cs="Arial"/>
          <w:sz w:val="24"/>
          <w:szCs w:val="24"/>
        </w:rPr>
        <w:t xml:space="preserve"> outcome measures whereas the opportunity also rests with qualitative, experience measures; which were not assessed on this occasion. Although this considered a single ward at a single hospital, through the evaluation of electronic health records (acknowledging that undocumented conversations occur but recall is inconsistent), the authors highlighted the change in clinician behaviour that is possible and the potential for improving “downstream EOL care outcomes”.</w:t>
      </w:r>
    </w:p>
    <w:p w14:paraId="5F7ECC60" w14:textId="7009967D" w:rsidR="00C22D02" w:rsidRPr="00E34799" w:rsidRDefault="00C22D02" w:rsidP="00E34799">
      <w:pPr>
        <w:spacing w:line="240" w:lineRule="auto"/>
        <w:rPr>
          <w:rFonts w:ascii="Arial" w:hAnsi="Arial" w:cs="Arial"/>
          <w:sz w:val="24"/>
          <w:szCs w:val="24"/>
        </w:rPr>
      </w:pPr>
    </w:p>
    <w:p w14:paraId="3ADF23E2" w14:textId="77777777" w:rsidR="00FE5BB7" w:rsidRPr="00E34799" w:rsidRDefault="00FE5BB7" w:rsidP="00E34799">
      <w:pPr>
        <w:spacing w:line="240" w:lineRule="auto"/>
        <w:rPr>
          <w:rFonts w:ascii="Arial" w:hAnsi="Arial" w:cs="Arial"/>
          <w:sz w:val="24"/>
          <w:szCs w:val="24"/>
        </w:rPr>
      </w:pPr>
    </w:p>
    <w:p w14:paraId="0C2292E7" w14:textId="09C3B33B" w:rsidR="00DF6A25" w:rsidRPr="00E34799" w:rsidRDefault="00DF6A25" w:rsidP="00E34799">
      <w:pPr>
        <w:spacing w:line="240" w:lineRule="auto"/>
        <w:rPr>
          <w:rFonts w:ascii="Arial" w:hAnsi="Arial" w:cs="Arial"/>
          <w:sz w:val="24"/>
          <w:szCs w:val="24"/>
        </w:rPr>
      </w:pPr>
      <w:r w:rsidRPr="00E34799">
        <w:rPr>
          <w:rFonts w:ascii="Arial" w:hAnsi="Arial" w:cs="Arial"/>
          <w:sz w:val="24"/>
          <w:szCs w:val="24"/>
        </w:rPr>
        <w:br w:type="page"/>
      </w:r>
    </w:p>
    <w:p w14:paraId="650327F8" w14:textId="77777777" w:rsidR="00EA256D" w:rsidRPr="00E34799" w:rsidRDefault="00EA256D" w:rsidP="00E34799">
      <w:pPr>
        <w:spacing w:line="240" w:lineRule="auto"/>
        <w:rPr>
          <w:rFonts w:ascii="Arial" w:hAnsi="Arial" w:cs="Arial"/>
          <w:sz w:val="24"/>
          <w:szCs w:val="24"/>
        </w:rPr>
      </w:pPr>
    </w:p>
    <w:p w14:paraId="7EBDAA01" w14:textId="2B833E8B" w:rsidR="00361572" w:rsidRPr="00E34799" w:rsidRDefault="00032AA1" w:rsidP="00E34799">
      <w:pPr>
        <w:spacing w:line="240" w:lineRule="auto"/>
        <w:rPr>
          <w:rFonts w:ascii="Arial" w:hAnsi="Arial" w:cs="Arial"/>
          <w:sz w:val="24"/>
          <w:szCs w:val="24"/>
        </w:rPr>
      </w:pPr>
      <w:r w:rsidRPr="00E34799">
        <w:rPr>
          <w:rFonts w:ascii="Arial" w:hAnsi="Arial" w:cs="Arial"/>
          <w:sz w:val="24"/>
          <w:szCs w:val="24"/>
        </w:rPr>
        <w:t>2.41</w:t>
      </w:r>
      <w:r w:rsidRPr="00E34799">
        <w:rPr>
          <w:rFonts w:ascii="Arial" w:hAnsi="Arial" w:cs="Arial"/>
          <w:sz w:val="24"/>
          <w:szCs w:val="24"/>
        </w:rPr>
        <w:tab/>
      </w:r>
      <w:r w:rsidR="00AC54B0" w:rsidRPr="00E34799">
        <w:rPr>
          <w:rFonts w:ascii="Arial" w:hAnsi="Arial" w:cs="Arial"/>
          <w:sz w:val="24"/>
          <w:szCs w:val="24"/>
        </w:rPr>
        <w:t xml:space="preserve">Mortality prediction in </w:t>
      </w:r>
      <w:r w:rsidR="00361572" w:rsidRPr="00E34799">
        <w:rPr>
          <w:rFonts w:ascii="Arial" w:hAnsi="Arial" w:cs="Arial"/>
          <w:sz w:val="24"/>
          <w:szCs w:val="24"/>
        </w:rPr>
        <w:t>Oncology</w:t>
      </w:r>
    </w:p>
    <w:p w14:paraId="2E987FA1" w14:textId="72A00376" w:rsidR="001E4CFD" w:rsidRPr="00E34799" w:rsidRDefault="00AC54B0" w:rsidP="00E34799">
      <w:pPr>
        <w:spacing w:line="240" w:lineRule="auto"/>
        <w:rPr>
          <w:rFonts w:ascii="Arial" w:hAnsi="Arial" w:cs="Arial"/>
          <w:sz w:val="24"/>
          <w:szCs w:val="24"/>
        </w:rPr>
      </w:pPr>
      <w:r w:rsidRPr="00E34799">
        <w:rPr>
          <w:rFonts w:ascii="Arial" w:hAnsi="Arial" w:cs="Arial"/>
          <w:sz w:val="24"/>
          <w:szCs w:val="24"/>
        </w:rPr>
        <w:t xml:space="preserve">Staying with the field of oncology, in addition to the most recent article (He et al., 2024), there have been two further papers published over 2024 using technology to stratify the mortality risk. The first (Cilla et al., 2024) seeks to use </w:t>
      </w:r>
      <w:r w:rsidR="001E4CFD" w:rsidRPr="00E34799">
        <w:rPr>
          <w:rFonts w:ascii="Arial" w:hAnsi="Arial" w:cs="Arial"/>
          <w:sz w:val="24"/>
          <w:szCs w:val="24"/>
        </w:rPr>
        <w:t>machine learning to aid prognostication for those receiving rad</w:t>
      </w:r>
      <w:r w:rsidRPr="00E34799">
        <w:rPr>
          <w:rFonts w:ascii="Arial" w:hAnsi="Arial" w:cs="Arial"/>
          <w:sz w:val="24"/>
          <w:szCs w:val="24"/>
        </w:rPr>
        <w:t>iotherapy for bone metastases. A s</w:t>
      </w:r>
      <w:r w:rsidR="001E4CFD" w:rsidRPr="00E34799">
        <w:rPr>
          <w:rFonts w:ascii="Arial" w:hAnsi="Arial" w:cs="Arial"/>
          <w:sz w:val="24"/>
          <w:szCs w:val="24"/>
        </w:rPr>
        <w:t>pecific patient cohort but they did identify that, a “</w:t>
      </w:r>
      <w:r w:rsidR="001E4CFD" w:rsidRPr="00E34799">
        <w:rPr>
          <w:rFonts w:ascii="Arial" w:hAnsi="Arial" w:cs="Arial"/>
          <w:color w:val="333333"/>
          <w:spacing w:val="5"/>
          <w:sz w:val="24"/>
          <w:szCs w:val="24"/>
          <w:shd w:val="clear" w:color="auto" w:fill="FFFFFF"/>
        </w:rPr>
        <w:t xml:space="preserve">higher chance of 1-year survival is associated with low values of interleukin-8, higher values of </w:t>
      </w:r>
      <w:proofErr w:type="spellStart"/>
      <w:r w:rsidR="001E4CFD" w:rsidRPr="00E34799">
        <w:rPr>
          <w:rFonts w:ascii="Arial" w:hAnsi="Arial" w:cs="Arial"/>
          <w:color w:val="333333"/>
          <w:spacing w:val="5"/>
          <w:sz w:val="24"/>
          <w:szCs w:val="24"/>
          <w:shd w:val="clear" w:color="auto" w:fill="FFFFFF"/>
        </w:rPr>
        <w:t>hemoglobin</w:t>
      </w:r>
      <w:proofErr w:type="spellEnd"/>
      <w:r w:rsidR="001E4CFD" w:rsidRPr="00E34799">
        <w:rPr>
          <w:rFonts w:ascii="Arial" w:hAnsi="Arial" w:cs="Arial"/>
          <w:color w:val="333333"/>
          <w:spacing w:val="5"/>
          <w:sz w:val="24"/>
          <w:szCs w:val="24"/>
          <w:shd w:val="clear" w:color="auto" w:fill="FFFFFF"/>
        </w:rPr>
        <w:t xml:space="preserve"> and lymphocyte count, and the </w:t>
      </w:r>
      <w:proofErr w:type="spellStart"/>
      <w:r w:rsidR="001E4CFD" w:rsidRPr="00E34799">
        <w:rPr>
          <w:rFonts w:ascii="Arial" w:hAnsi="Arial" w:cs="Arial"/>
          <w:color w:val="333333"/>
          <w:spacing w:val="5"/>
          <w:sz w:val="24"/>
          <w:szCs w:val="24"/>
          <w:shd w:val="clear" w:color="auto" w:fill="FFFFFF"/>
        </w:rPr>
        <w:t>nonuse</w:t>
      </w:r>
      <w:proofErr w:type="spellEnd"/>
      <w:r w:rsidR="001E4CFD" w:rsidRPr="00E34799">
        <w:rPr>
          <w:rFonts w:ascii="Arial" w:hAnsi="Arial" w:cs="Arial"/>
          <w:color w:val="333333"/>
          <w:spacing w:val="5"/>
          <w:sz w:val="24"/>
          <w:szCs w:val="24"/>
          <w:shd w:val="clear" w:color="auto" w:fill="FFFFFF"/>
        </w:rPr>
        <w:t xml:space="preserve"> of steroids” (Cilla et al., 2024). None of these are novel parameters considering the wider oncological literature. The reflection is that these findings do not lend themselves entirely to screening outside of the research setting. The authors do postulate that, a traditional indicator of, performance status – a measure of one’s abilities to carry out activities of daily living – was discounted by the learning model as it is more pertinent to short-term survival.</w:t>
      </w:r>
    </w:p>
    <w:p w14:paraId="5F3A472C" w14:textId="256574D7" w:rsidR="001E4CFD" w:rsidRPr="00E34799" w:rsidRDefault="00D07167" w:rsidP="00E34799">
      <w:pPr>
        <w:spacing w:line="240" w:lineRule="auto"/>
        <w:rPr>
          <w:rFonts w:ascii="Arial" w:hAnsi="Arial" w:cs="Arial"/>
          <w:color w:val="333333"/>
          <w:spacing w:val="5"/>
          <w:sz w:val="24"/>
          <w:szCs w:val="24"/>
          <w:shd w:val="clear" w:color="auto" w:fill="FFFFFF"/>
        </w:rPr>
      </w:pPr>
      <w:r w:rsidRPr="00E34799">
        <w:rPr>
          <w:rFonts w:ascii="Arial" w:hAnsi="Arial" w:cs="Arial"/>
          <w:color w:val="333333"/>
          <w:spacing w:val="5"/>
          <w:sz w:val="24"/>
          <w:szCs w:val="24"/>
          <w:shd w:val="clear" w:color="auto" w:fill="FFFFFF"/>
        </w:rPr>
        <w:t>The other paper (</w:t>
      </w:r>
      <w:r w:rsidR="001E4CFD" w:rsidRPr="00E34799">
        <w:rPr>
          <w:rFonts w:ascii="Arial" w:hAnsi="Arial" w:cs="Arial"/>
          <w:color w:val="333333"/>
          <w:spacing w:val="5"/>
          <w:sz w:val="24"/>
          <w:szCs w:val="24"/>
          <w:shd w:val="clear" w:color="auto" w:fill="FFFFFF"/>
        </w:rPr>
        <w:t>Zhuang et al.</w:t>
      </w:r>
      <w:r w:rsidRPr="00E34799">
        <w:rPr>
          <w:rFonts w:ascii="Arial" w:hAnsi="Arial" w:cs="Arial"/>
          <w:color w:val="333333"/>
          <w:spacing w:val="5"/>
          <w:sz w:val="24"/>
          <w:szCs w:val="24"/>
          <w:shd w:val="clear" w:color="auto" w:fill="FFFFFF"/>
        </w:rPr>
        <w:t xml:space="preserve">, </w:t>
      </w:r>
      <w:r w:rsidR="001E4CFD" w:rsidRPr="00E34799">
        <w:rPr>
          <w:rFonts w:ascii="Arial" w:hAnsi="Arial" w:cs="Arial"/>
          <w:color w:val="333333"/>
          <w:spacing w:val="5"/>
          <w:sz w:val="24"/>
          <w:szCs w:val="24"/>
          <w:shd w:val="clear" w:color="auto" w:fill="FFFFFF"/>
        </w:rPr>
        <w:t>2024</w:t>
      </w:r>
      <w:r w:rsidRPr="00E34799">
        <w:rPr>
          <w:rFonts w:ascii="Arial" w:hAnsi="Arial" w:cs="Arial"/>
          <w:color w:val="333333"/>
          <w:spacing w:val="5"/>
          <w:sz w:val="24"/>
          <w:szCs w:val="24"/>
          <w:shd w:val="clear" w:color="auto" w:fill="FFFFFF"/>
        </w:rPr>
        <w:t>) studied a wider patient group; patients with any cancer at stage 3 or stage 4. These ‘stages’ are the more advanced stages of disease. U</w:t>
      </w:r>
      <w:r w:rsidR="001E4CFD" w:rsidRPr="00E34799">
        <w:rPr>
          <w:rFonts w:ascii="Arial" w:hAnsi="Arial" w:cs="Arial"/>
          <w:color w:val="333333"/>
          <w:spacing w:val="5"/>
          <w:sz w:val="24"/>
          <w:szCs w:val="24"/>
          <w:shd w:val="clear" w:color="auto" w:fill="FFFFFF"/>
        </w:rPr>
        <w:t xml:space="preserve">sing “short-term mortality as a surrogate for identifying patients with high probability of palliative needs” </w:t>
      </w:r>
      <w:r w:rsidRPr="00E34799">
        <w:rPr>
          <w:rFonts w:ascii="Arial" w:hAnsi="Arial" w:cs="Arial"/>
          <w:color w:val="333333"/>
          <w:spacing w:val="5"/>
          <w:sz w:val="24"/>
          <w:szCs w:val="24"/>
          <w:shd w:val="clear" w:color="auto" w:fill="FFFFFF"/>
        </w:rPr>
        <w:t>enables</w:t>
      </w:r>
      <w:r w:rsidR="001E4CFD" w:rsidRPr="00E34799">
        <w:rPr>
          <w:rFonts w:ascii="Arial" w:hAnsi="Arial" w:cs="Arial"/>
          <w:color w:val="333333"/>
          <w:spacing w:val="5"/>
          <w:sz w:val="24"/>
          <w:szCs w:val="24"/>
          <w:shd w:val="clear" w:color="auto" w:fill="FFFFFF"/>
        </w:rPr>
        <w:t xml:space="preserve"> appropriate focusing </w:t>
      </w:r>
      <w:r w:rsidRPr="00E34799">
        <w:rPr>
          <w:rFonts w:ascii="Arial" w:hAnsi="Arial" w:cs="Arial"/>
          <w:color w:val="333333"/>
          <w:spacing w:val="5"/>
          <w:sz w:val="24"/>
          <w:szCs w:val="24"/>
          <w:shd w:val="clear" w:color="auto" w:fill="FFFFFF"/>
        </w:rPr>
        <w:t xml:space="preserve">of </w:t>
      </w:r>
      <w:r w:rsidR="001E4CFD" w:rsidRPr="00E34799">
        <w:rPr>
          <w:rFonts w:ascii="Arial" w:hAnsi="Arial" w:cs="Arial"/>
          <w:color w:val="333333"/>
          <w:spacing w:val="5"/>
          <w:sz w:val="24"/>
          <w:szCs w:val="24"/>
          <w:shd w:val="clear" w:color="auto" w:fill="FFFFFF"/>
        </w:rPr>
        <w:t xml:space="preserve">individualised care. </w:t>
      </w:r>
      <w:r w:rsidRPr="00E34799">
        <w:rPr>
          <w:rFonts w:ascii="Arial" w:hAnsi="Arial" w:cs="Arial"/>
          <w:color w:val="333333"/>
          <w:spacing w:val="5"/>
          <w:sz w:val="24"/>
          <w:szCs w:val="24"/>
          <w:shd w:val="clear" w:color="auto" w:fill="FFFFFF"/>
        </w:rPr>
        <w:t>The findings were also presented in a different way: r</w:t>
      </w:r>
      <w:r w:rsidR="001E4CFD" w:rsidRPr="00E34799">
        <w:rPr>
          <w:rFonts w:ascii="Arial" w:hAnsi="Arial" w:cs="Arial"/>
          <w:color w:val="333333"/>
          <w:spacing w:val="5"/>
          <w:sz w:val="24"/>
          <w:szCs w:val="24"/>
          <w:shd w:val="clear" w:color="auto" w:fill="FFFFFF"/>
        </w:rPr>
        <w:t xml:space="preserve">ather than a binary result (mortality risk or not), they illustrated the influence of the nine parameters for individual prediction in a </w:t>
      </w:r>
      <w:r w:rsidRPr="00E34799">
        <w:rPr>
          <w:rFonts w:ascii="Arial" w:hAnsi="Arial" w:cs="Arial"/>
          <w:color w:val="333333"/>
          <w:spacing w:val="5"/>
          <w:sz w:val="24"/>
          <w:szCs w:val="24"/>
          <w:shd w:val="clear" w:color="auto" w:fill="FFFFFF"/>
        </w:rPr>
        <w:t>“</w:t>
      </w:r>
      <w:r w:rsidR="001E4CFD" w:rsidRPr="00E34799">
        <w:rPr>
          <w:rFonts w:ascii="Arial" w:hAnsi="Arial" w:cs="Arial"/>
          <w:color w:val="333333"/>
          <w:spacing w:val="5"/>
          <w:sz w:val="24"/>
          <w:szCs w:val="24"/>
          <w:shd w:val="clear" w:color="auto" w:fill="FFFFFF"/>
        </w:rPr>
        <w:t>decision tree</w:t>
      </w:r>
      <w:r w:rsidRPr="00E34799">
        <w:rPr>
          <w:rFonts w:ascii="Arial" w:hAnsi="Arial" w:cs="Arial"/>
          <w:color w:val="333333"/>
          <w:spacing w:val="5"/>
          <w:sz w:val="24"/>
          <w:szCs w:val="24"/>
          <w:shd w:val="clear" w:color="auto" w:fill="FFFFFF"/>
        </w:rPr>
        <w:t>”</w:t>
      </w:r>
      <w:r w:rsidR="001E4CFD" w:rsidRPr="00E34799">
        <w:rPr>
          <w:rFonts w:ascii="Arial" w:hAnsi="Arial" w:cs="Arial"/>
          <w:color w:val="333333"/>
          <w:spacing w:val="5"/>
          <w:sz w:val="24"/>
          <w:szCs w:val="24"/>
          <w:shd w:val="clear" w:color="auto" w:fill="FFFFFF"/>
        </w:rPr>
        <w:t xml:space="preserve">. </w:t>
      </w:r>
      <w:r w:rsidRPr="00E34799">
        <w:rPr>
          <w:rFonts w:ascii="Arial" w:hAnsi="Arial" w:cs="Arial"/>
          <w:color w:val="333333"/>
          <w:spacing w:val="5"/>
          <w:sz w:val="24"/>
          <w:szCs w:val="24"/>
          <w:shd w:val="clear" w:color="auto" w:fill="FFFFFF"/>
        </w:rPr>
        <w:t>Again,</w:t>
      </w:r>
      <w:r w:rsidR="001E4CFD" w:rsidRPr="00E34799">
        <w:rPr>
          <w:rFonts w:ascii="Arial" w:hAnsi="Arial" w:cs="Arial"/>
          <w:color w:val="333333"/>
          <w:spacing w:val="5"/>
          <w:sz w:val="24"/>
          <w:szCs w:val="24"/>
          <w:shd w:val="clear" w:color="auto" w:fill="FFFFFF"/>
        </w:rPr>
        <w:t xml:space="preserve"> several are biochemical markers, but this group have drawn from standard blood </w:t>
      </w:r>
      <w:r w:rsidRPr="00E34799">
        <w:rPr>
          <w:rFonts w:ascii="Arial" w:hAnsi="Arial" w:cs="Arial"/>
          <w:color w:val="333333"/>
          <w:spacing w:val="5"/>
          <w:sz w:val="24"/>
          <w:szCs w:val="24"/>
          <w:shd w:val="clear" w:color="auto" w:fill="FFFFFF"/>
        </w:rPr>
        <w:t>results, which</w:t>
      </w:r>
      <w:r w:rsidR="001E4CFD" w:rsidRPr="00E34799">
        <w:rPr>
          <w:rFonts w:ascii="Arial" w:hAnsi="Arial" w:cs="Arial"/>
          <w:color w:val="333333"/>
          <w:spacing w:val="5"/>
          <w:sz w:val="24"/>
          <w:szCs w:val="24"/>
          <w:shd w:val="clear" w:color="auto" w:fill="FFFFFF"/>
        </w:rPr>
        <w:t xml:space="preserve"> are more likely to be available. Regarding the real world this presentation, helpfully, recognises the spectrum of risk. The challenge is that the lack of definition will not enhance the immediacy of </w:t>
      </w:r>
      <w:r w:rsidRPr="00E34799">
        <w:rPr>
          <w:rFonts w:ascii="Arial" w:hAnsi="Arial" w:cs="Arial"/>
          <w:color w:val="333333"/>
          <w:spacing w:val="5"/>
          <w:sz w:val="24"/>
          <w:szCs w:val="24"/>
          <w:shd w:val="clear" w:color="auto" w:fill="FFFFFF"/>
        </w:rPr>
        <w:t>decision-making</w:t>
      </w:r>
      <w:r w:rsidR="001E4CFD" w:rsidRPr="00E34799">
        <w:rPr>
          <w:rFonts w:ascii="Arial" w:hAnsi="Arial" w:cs="Arial"/>
          <w:color w:val="333333"/>
          <w:spacing w:val="5"/>
          <w:sz w:val="24"/>
          <w:szCs w:val="24"/>
          <w:shd w:val="clear" w:color="auto" w:fill="FFFFFF"/>
        </w:rPr>
        <w:t>.</w:t>
      </w:r>
    </w:p>
    <w:p w14:paraId="199F2BC6" w14:textId="5FBA3540" w:rsidR="001E4CFD" w:rsidRPr="00E34799" w:rsidRDefault="00D07167" w:rsidP="00E34799">
      <w:pPr>
        <w:spacing w:line="240" w:lineRule="auto"/>
        <w:rPr>
          <w:rFonts w:ascii="Arial" w:hAnsi="Arial" w:cs="Arial"/>
          <w:color w:val="333333"/>
          <w:spacing w:val="5"/>
          <w:sz w:val="24"/>
          <w:szCs w:val="24"/>
          <w:shd w:val="clear" w:color="auto" w:fill="FFFFFF"/>
        </w:rPr>
      </w:pPr>
      <w:r w:rsidRPr="00E34799">
        <w:rPr>
          <w:rFonts w:ascii="Arial" w:hAnsi="Arial" w:cs="Arial"/>
          <w:color w:val="333333"/>
          <w:spacing w:val="5"/>
          <w:sz w:val="24"/>
          <w:szCs w:val="24"/>
          <w:shd w:val="clear" w:color="auto" w:fill="FFFFFF"/>
        </w:rPr>
        <w:t>The most recent article (He et al., 2024) does conclude that,</w:t>
      </w:r>
      <w:r w:rsidR="001E4CFD" w:rsidRPr="00E34799">
        <w:rPr>
          <w:rFonts w:ascii="Arial" w:hAnsi="Arial" w:cs="Arial"/>
          <w:color w:val="333333"/>
          <w:spacing w:val="5"/>
          <w:sz w:val="24"/>
          <w:szCs w:val="24"/>
          <w:shd w:val="clear" w:color="auto" w:fill="FFFFFF"/>
        </w:rPr>
        <w:t xml:space="preserve"> “</w:t>
      </w:r>
      <w:r w:rsidR="001E4CFD" w:rsidRPr="00E34799">
        <w:rPr>
          <w:rFonts w:ascii="Arial" w:hAnsi="Arial" w:cs="Arial"/>
          <w:color w:val="212121"/>
          <w:sz w:val="24"/>
          <w:szCs w:val="24"/>
          <w:shd w:val="clear" w:color="auto" w:fill="FFFFFF"/>
        </w:rPr>
        <w:t>prognostic machine learning systems could increase early PC [palliative care] despite existing resource constraints”</w:t>
      </w:r>
      <w:r w:rsidRPr="00E34799">
        <w:rPr>
          <w:rFonts w:ascii="Arial" w:hAnsi="Arial" w:cs="Arial"/>
          <w:color w:val="212121"/>
          <w:sz w:val="24"/>
          <w:szCs w:val="24"/>
          <w:shd w:val="clear" w:color="auto" w:fill="FFFFFF"/>
        </w:rPr>
        <w:t>. This gives</w:t>
      </w:r>
      <w:r w:rsidR="001E4CFD" w:rsidRPr="00E34799">
        <w:rPr>
          <w:rFonts w:ascii="Arial" w:hAnsi="Arial" w:cs="Arial"/>
          <w:color w:val="212121"/>
          <w:sz w:val="24"/>
          <w:szCs w:val="24"/>
          <w:shd w:val="clear" w:color="auto" w:fill="FFFFFF"/>
        </w:rPr>
        <w:t xml:space="preserve"> encouragement but appears to remove the human elements from the experience. </w:t>
      </w:r>
    </w:p>
    <w:p w14:paraId="6E87704B" w14:textId="77777777" w:rsidR="00DF6A25" w:rsidRPr="00E34799" w:rsidRDefault="00DF6A25" w:rsidP="00E34799">
      <w:pPr>
        <w:spacing w:line="240" w:lineRule="auto"/>
        <w:rPr>
          <w:rFonts w:ascii="Arial" w:hAnsi="Arial" w:cs="Arial"/>
          <w:color w:val="333333"/>
          <w:spacing w:val="5"/>
          <w:sz w:val="24"/>
          <w:szCs w:val="24"/>
          <w:shd w:val="clear" w:color="auto" w:fill="FFFFFF"/>
        </w:rPr>
      </w:pPr>
    </w:p>
    <w:p w14:paraId="1F3C4816" w14:textId="1AE4F09A" w:rsidR="00D07167" w:rsidRPr="00624928" w:rsidRDefault="00032AA1" w:rsidP="00E34799">
      <w:pPr>
        <w:spacing w:line="240" w:lineRule="auto"/>
        <w:rPr>
          <w:rFonts w:ascii="Arial" w:hAnsi="Arial" w:cs="Arial"/>
          <w:color w:val="212121"/>
          <w:sz w:val="24"/>
          <w:szCs w:val="24"/>
          <w:shd w:val="clear" w:color="auto" w:fill="FFFFFF"/>
        </w:rPr>
      </w:pPr>
      <w:r w:rsidRPr="00624928">
        <w:rPr>
          <w:rFonts w:ascii="Arial" w:hAnsi="Arial" w:cs="Arial"/>
          <w:color w:val="212121"/>
          <w:sz w:val="24"/>
          <w:szCs w:val="24"/>
          <w:shd w:val="clear" w:color="auto" w:fill="FFFFFF"/>
        </w:rPr>
        <w:t>2.42</w:t>
      </w:r>
      <w:r w:rsidRPr="00624928">
        <w:rPr>
          <w:rFonts w:ascii="Arial" w:hAnsi="Arial" w:cs="Arial"/>
          <w:color w:val="212121"/>
          <w:sz w:val="24"/>
          <w:szCs w:val="24"/>
          <w:shd w:val="clear" w:color="auto" w:fill="FFFFFF"/>
        </w:rPr>
        <w:tab/>
      </w:r>
      <w:r w:rsidR="00D07167" w:rsidRPr="00624928">
        <w:rPr>
          <w:rFonts w:ascii="Arial" w:hAnsi="Arial" w:cs="Arial"/>
          <w:color w:val="212121"/>
          <w:sz w:val="24"/>
          <w:szCs w:val="24"/>
          <w:shd w:val="clear" w:color="auto" w:fill="FFFFFF"/>
        </w:rPr>
        <w:t>Mortality prediction outside Oncology</w:t>
      </w:r>
    </w:p>
    <w:p w14:paraId="70AED5E8" w14:textId="639552FE" w:rsidR="00EF01BF" w:rsidRPr="00E34799" w:rsidRDefault="00EF01BF" w:rsidP="00E34799">
      <w:pPr>
        <w:spacing w:line="240" w:lineRule="auto"/>
        <w:rPr>
          <w:rFonts w:ascii="Arial" w:hAnsi="Arial" w:cs="Arial"/>
          <w:sz w:val="24"/>
          <w:szCs w:val="24"/>
        </w:rPr>
      </w:pPr>
      <w:r w:rsidRPr="00624928">
        <w:rPr>
          <w:rFonts w:ascii="Arial" w:hAnsi="Arial" w:cs="Arial"/>
          <w:color w:val="212121"/>
          <w:sz w:val="24"/>
          <w:szCs w:val="24"/>
          <w:shd w:val="clear" w:color="auto" w:fill="FFFFFF"/>
        </w:rPr>
        <w:t>As an extension beyond the field of oncology the role of palliative care for those suffering traumatic brain injury (TBI) was also explored (Aude et al., 2024). The recognised starting point was the impact of a palliative care consultation on focusing care, (identifying goals, reducing unnecessary investigations and reducing the length</w:t>
      </w:r>
      <w:r w:rsidRPr="00E34799">
        <w:rPr>
          <w:rFonts w:ascii="Arial" w:hAnsi="Arial" w:cs="Arial"/>
          <w:sz w:val="24"/>
          <w:szCs w:val="24"/>
        </w:rPr>
        <w:t xml:space="preserve"> of hospital stay (and the associated cost)), without affecting the mortality rate. The conclusion from the study, through machine learning, was of an inconsistent approach currently. </w:t>
      </w:r>
      <w:r w:rsidR="00940BDF">
        <w:rPr>
          <w:rFonts w:ascii="Arial" w:hAnsi="Arial" w:cs="Arial"/>
          <w:sz w:val="24"/>
          <w:szCs w:val="24"/>
        </w:rPr>
        <w:t>For example, within the paper two of the ten most influential variables were identified, independently, as</w:t>
      </w:r>
      <w:r w:rsidRPr="00E34799">
        <w:rPr>
          <w:rFonts w:ascii="Arial" w:hAnsi="Arial" w:cs="Arial"/>
          <w:sz w:val="24"/>
          <w:szCs w:val="24"/>
        </w:rPr>
        <w:t xml:space="preserve"> ‘race: white’ and ‘race: black’. The authors finally put forward a challenge “for targeted strategies to ensure timely and equitable palliative care integration for this vulnerable population”. This emphasizes the opportunity of ‘advance care planning’ style input across the wider medical environment. </w:t>
      </w:r>
    </w:p>
    <w:p w14:paraId="62DFAC71" w14:textId="7E5D38CF" w:rsidR="001E4CFD" w:rsidRPr="00E34799" w:rsidRDefault="00EF01BF" w:rsidP="00E34799">
      <w:pPr>
        <w:spacing w:line="240" w:lineRule="auto"/>
        <w:rPr>
          <w:rFonts w:ascii="Arial" w:hAnsi="Arial" w:cs="Arial"/>
          <w:color w:val="333333"/>
          <w:spacing w:val="5"/>
          <w:sz w:val="24"/>
          <w:szCs w:val="24"/>
          <w:shd w:val="clear" w:color="auto" w:fill="FFFFFF"/>
        </w:rPr>
      </w:pPr>
      <w:r w:rsidRPr="00E34799">
        <w:rPr>
          <w:rFonts w:ascii="Arial" w:hAnsi="Arial" w:cs="Arial"/>
          <w:sz w:val="24"/>
          <w:szCs w:val="24"/>
        </w:rPr>
        <w:lastRenderedPageBreak/>
        <w:t xml:space="preserve">A triaging approach has been attempted in several other medical environments. </w:t>
      </w:r>
      <w:r w:rsidR="001E4CFD" w:rsidRPr="00E34799">
        <w:rPr>
          <w:rFonts w:ascii="Arial" w:hAnsi="Arial" w:cs="Arial"/>
          <w:color w:val="333333"/>
          <w:spacing w:val="5"/>
          <w:sz w:val="24"/>
          <w:szCs w:val="24"/>
          <w:shd w:val="clear" w:color="auto" w:fill="FFFFFF"/>
        </w:rPr>
        <w:t>One of the earliest pursuits in applying a deep leaning algorithm in predicting mortality, in order to enable earlier palliative care support, was by Wang (Wang et al., 2019). They considered a subset of patients with Alzheimer’s dementia. Their retrospective analysis showed that the top-ranked predictive topic for mortality at each of their endpoints (6 months, 1 year and 2 years) was the involvement of palliative care. S</w:t>
      </w:r>
      <w:r w:rsidR="00797478">
        <w:rPr>
          <w:rFonts w:ascii="Arial" w:hAnsi="Arial" w:cs="Arial"/>
          <w:color w:val="333333"/>
          <w:spacing w:val="5"/>
          <w:sz w:val="24"/>
          <w:szCs w:val="24"/>
          <w:shd w:val="clear" w:color="auto" w:fill="FFFFFF"/>
        </w:rPr>
        <w:t>ubsequent</w:t>
      </w:r>
      <w:r w:rsidR="001E4CFD" w:rsidRPr="00E34799">
        <w:rPr>
          <w:rFonts w:ascii="Arial" w:hAnsi="Arial" w:cs="Arial"/>
          <w:color w:val="333333"/>
          <w:spacing w:val="5"/>
          <w:sz w:val="24"/>
          <w:szCs w:val="24"/>
          <w:shd w:val="clear" w:color="auto" w:fill="FFFFFF"/>
        </w:rPr>
        <w:t xml:space="preserve"> modelling has explored the different dementia subtypes. Whereas Wang originally considered 2500 patients, recent work (Zhang et al. 2024) analyses 45000 patients. The outcome from this wider analysis was that there were nine identified variables for multi-factorial computation for mortality risk with unspecified dementia. (Paradoxically some parameters, </w:t>
      </w:r>
      <w:r w:rsidR="00797478" w:rsidRPr="00E34799">
        <w:rPr>
          <w:rFonts w:ascii="Arial" w:hAnsi="Arial" w:cs="Arial"/>
          <w:color w:val="333333"/>
          <w:spacing w:val="5"/>
          <w:sz w:val="24"/>
          <w:szCs w:val="24"/>
          <w:shd w:val="clear" w:color="auto" w:fill="FFFFFF"/>
        </w:rPr>
        <w:t>e.g.,</w:t>
      </w:r>
      <w:r w:rsidR="001E4CFD" w:rsidRPr="00E34799">
        <w:rPr>
          <w:rFonts w:ascii="Arial" w:hAnsi="Arial" w:cs="Arial"/>
          <w:color w:val="333333"/>
          <w:spacing w:val="5"/>
          <w:sz w:val="24"/>
          <w:szCs w:val="24"/>
          <w:shd w:val="clear" w:color="auto" w:fill="FFFFFF"/>
        </w:rPr>
        <w:t xml:space="preserve"> “more years of smoking”, “became more associated with survival than with mortality”). These resulted in an AUROC of over 0.82 at the </w:t>
      </w:r>
      <w:r w:rsidR="00797478" w:rsidRPr="00E34799">
        <w:rPr>
          <w:rFonts w:ascii="Arial" w:hAnsi="Arial" w:cs="Arial"/>
          <w:color w:val="333333"/>
          <w:spacing w:val="5"/>
          <w:sz w:val="24"/>
          <w:szCs w:val="24"/>
          <w:shd w:val="clear" w:color="auto" w:fill="FFFFFF"/>
        </w:rPr>
        <w:t>one-, three-, five- and ten-year</w:t>
      </w:r>
      <w:r w:rsidR="001E4CFD" w:rsidRPr="00E34799">
        <w:rPr>
          <w:rFonts w:ascii="Arial" w:hAnsi="Arial" w:cs="Arial"/>
          <w:color w:val="333333"/>
          <w:spacing w:val="5"/>
          <w:sz w:val="24"/>
          <w:szCs w:val="24"/>
          <w:shd w:val="clear" w:color="auto" w:fill="FFFFFF"/>
        </w:rPr>
        <w:t xml:space="preserve"> time points. This is consistent with a “strong discriminative ability” (de </w:t>
      </w:r>
      <w:proofErr w:type="spellStart"/>
      <w:r w:rsidR="001E4CFD" w:rsidRPr="00E34799">
        <w:rPr>
          <w:rFonts w:ascii="Arial" w:hAnsi="Arial" w:cs="Arial"/>
          <w:color w:val="333333"/>
          <w:spacing w:val="5"/>
          <w:sz w:val="24"/>
          <w:szCs w:val="24"/>
          <w:shd w:val="clear" w:color="auto" w:fill="FFFFFF"/>
        </w:rPr>
        <w:t>Hond</w:t>
      </w:r>
      <w:proofErr w:type="spellEnd"/>
      <w:r w:rsidR="001E4CFD" w:rsidRPr="00E34799">
        <w:rPr>
          <w:rFonts w:ascii="Arial" w:hAnsi="Arial" w:cs="Arial"/>
          <w:color w:val="333333"/>
          <w:spacing w:val="5"/>
          <w:sz w:val="24"/>
          <w:szCs w:val="24"/>
          <w:shd w:val="clear" w:color="auto" w:fill="FFFFFF"/>
        </w:rPr>
        <w:t xml:space="preserve">, </w:t>
      </w:r>
      <w:proofErr w:type="spellStart"/>
      <w:r w:rsidR="001E4CFD" w:rsidRPr="00E34799">
        <w:rPr>
          <w:rFonts w:ascii="Arial" w:hAnsi="Arial" w:cs="Arial"/>
          <w:color w:val="333333"/>
          <w:spacing w:val="5"/>
          <w:sz w:val="24"/>
          <w:szCs w:val="24"/>
          <w:shd w:val="clear" w:color="auto" w:fill="FFFFFF"/>
        </w:rPr>
        <w:t>Steyerberg</w:t>
      </w:r>
      <w:proofErr w:type="spellEnd"/>
      <w:r w:rsidR="001E4CFD" w:rsidRPr="00E34799">
        <w:rPr>
          <w:rFonts w:ascii="Arial" w:hAnsi="Arial" w:cs="Arial"/>
          <w:color w:val="333333"/>
          <w:spacing w:val="5"/>
          <w:sz w:val="24"/>
          <w:szCs w:val="24"/>
          <w:shd w:val="clear" w:color="auto" w:fill="FFFFFF"/>
        </w:rPr>
        <w:t xml:space="preserve"> and van </w:t>
      </w:r>
      <w:proofErr w:type="spellStart"/>
      <w:r w:rsidR="001E4CFD" w:rsidRPr="00E34799">
        <w:rPr>
          <w:rFonts w:ascii="Arial" w:hAnsi="Arial" w:cs="Arial"/>
          <w:color w:val="333333"/>
          <w:spacing w:val="5"/>
          <w:sz w:val="24"/>
          <w:szCs w:val="24"/>
          <w:shd w:val="clear" w:color="auto" w:fill="FFFFFF"/>
        </w:rPr>
        <w:t>Calster</w:t>
      </w:r>
      <w:proofErr w:type="spellEnd"/>
      <w:r w:rsidR="001E4CFD" w:rsidRPr="00E34799">
        <w:rPr>
          <w:rFonts w:ascii="Arial" w:hAnsi="Arial" w:cs="Arial"/>
          <w:color w:val="333333"/>
          <w:spacing w:val="5"/>
          <w:sz w:val="24"/>
          <w:szCs w:val="24"/>
          <w:shd w:val="clear" w:color="auto" w:fill="FFFFFF"/>
        </w:rPr>
        <w:t>, 2022).</w:t>
      </w:r>
    </w:p>
    <w:p w14:paraId="6FDD01B6" w14:textId="77777777" w:rsidR="005E0139" w:rsidRPr="00E34799" w:rsidRDefault="005E0139" w:rsidP="00E34799">
      <w:pPr>
        <w:spacing w:line="240" w:lineRule="auto"/>
        <w:rPr>
          <w:rFonts w:ascii="Arial" w:hAnsi="Arial" w:cs="Arial"/>
          <w:color w:val="333333"/>
          <w:spacing w:val="5"/>
          <w:sz w:val="24"/>
          <w:szCs w:val="24"/>
          <w:shd w:val="clear" w:color="auto" w:fill="FFFFFF"/>
        </w:rPr>
      </w:pPr>
      <w:r w:rsidRPr="00E34799">
        <w:rPr>
          <w:rFonts w:ascii="Arial" w:hAnsi="Arial" w:cs="Arial"/>
          <w:color w:val="333333"/>
          <w:spacing w:val="5"/>
          <w:sz w:val="24"/>
          <w:szCs w:val="24"/>
          <w:shd w:val="clear" w:color="auto" w:fill="FFFFFF"/>
        </w:rPr>
        <w:t xml:space="preserve">A surgical attempt was with digital </w:t>
      </w:r>
      <w:r w:rsidR="001E4CFD" w:rsidRPr="00E34799">
        <w:rPr>
          <w:rFonts w:ascii="Arial" w:hAnsi="Arial" w:cs="Arial"/>
          <w:color w:val="333333"/>
          <w:spacing w:val="5"/>
          <w:sz w:val="24"/>
          <w:szCs w:val="24"/>
          <w:shd w:val="clear" w:color="auto" w:fill="FFFFFF"/>
        </w:rPr>
        <w:t>prognostication (at 30 days and 1 year) for older patients with hip fracture (Cary et al., 2021). The AUROC for both of these time points was over 0.75. The starting point for this American group was the availability of an electronic medical record. The power to triage and then allocate (palliative care) resources effectively is a consequent opportunity.</w:t>
      </w:r>
      <w:r w:rsidRPr="00E34799">
        <w:rPr>
          <w:rFonts w:ascii="Arial" w:hAnsi="Arial" w:cs="Arial"/>
          <w:color w:val="333333"/>
          <w:spacing w:val="5"/>
          <w:sz w:val="24"/>
          <w:szCs w:val="24"/>
          <w:shd w:val="clear" w:color="auto" w:fill="FFFFFF"/>
        </w:rPr>
        <w:t xml:space="preserve"> This does highlight the integrated dependency of digital systems, which brings additional complications for UK health services. </w:t>
      </w:r>
    </w:p>
    <w:p w14:paraId="1543C7C0" w14:textId="24B0AA7F" w:rsidR="00DF6A25" w:rsidRPr="00E34799" w:rsidRDefault="00DF6A25" w:rsidP="00E34799">
      <w:pPr>
        <w:spacing w:line="240" w:lineRule="auto"/>
        <w:rPr>
          <w:rFonts w:ascii="Arial" w:hAnsi="Arial" w:cs="Arial"/>
          <w:sz w:val="24"/>
          <w:szCs w:val="24"/>
        </w:rPr>
      </w:pPr>
      <w:r w:rsidRPr="00E34799">
        <w:rPr>
          <w:rFonts w:ascii="Arial" w:hAnsi="Arial" w:cs="Arial"/>
          <w:sz w:val="24"/>
          <w:szCs w:val="24"/>
        </w:rPr>
        <w:t xml:space="preserve">Demonstration of the potential </w:t>
      </w:r>
      <w:r w:rsidR="005E0139" w:rsidRPr="00E34799">
        <w:rPr>
          <w:rFonts w:ascii="Arial" w:hAnsi="Arial" w:cs="Arial"/>
          <w:sz w:val="24"/>
          <w:szCs w:val="24"/>
        </w:rPr>
        <w:t>is available</w:t>
      </w:r>
      <w:r w:rsidRPr="00E34799">
        <w:rPr>
          <w:rFonts w:ascii="Arial" w:hAnsi="Arial" w:cs="Arial"/>
          <w:sz w:val="24"/>
          <w:szCs w:val="24"/>
        </w:rPr>
        <w:t>. In Pittsburgh the electronic health record system was ‘trained’ to identify individuals hospitalised with intermediate, or high, risk for dying within 90 days (</w:t>
      </w:r>
      <w:proofErr w:type="spellStart"/>
      <w:r w:rsidRPr="00E34799">
        <w:rPr>
          <w:rFonts w:ascii="Arial" w:hAnsi="Arial" w:cs="Arial"/>
          <w:sz w:val="24"/>
          <w:szCs w:val="24"/>
        </w:rPr>
        <w:t>Oo</w:t>
      </w:r>
      <w:proofErr w:type="spellEnd"/>
      <w:r w:rsidRPr="00E34799">
        <w:rPr>
          <w:rFonts w:ascii="Arial" w:hAnsi="Arial" w:cs="Arial"/>
          <w:sz w:val="24"/>
          <w:szCs w:val="24"/>
        </w:rPr>
        <w:t xml:space="preserve"> et al., 2023). The outcome measure was “goals-of-care conversations” which is a synonym for the anticipatory care planning being discussed throughout this dissertation. The electronic alerts that were initiated resulted in a doubling of the conversations that were held, from 78 a month to 166. The foundational aspect</w:t>
      </w:r>
      <w:r w:rsidR="005E0139" w:rsidRPr="00E34799">
        <w:rPr>
          <w:rFonts w:ascii="Arial" w:hAnsi="Arial" w:cs="Arial"/>
          <w:sz w:val="24"/>
          <w:szCs w:val="24"/>
        </w:rPr>
        <w:t>,</w:t>
      </w:r>
      <w:r w:rsidRPr="00E34799">
        <w:rPr>
          <w:rFonts w:ascii="Arial" w:hAnsi="Arial" w:cs="Arial"/>
          <w:sz w:val="24"/>
          <w:szCs w:val="24"/>
        </w:rPr>
        <w:t xml:space="preserve"> which is not transferrable</w:t>
      </w:r>
      <w:r w:rsidR="005E0139" w:rsidRPr="00E34799">
        <w:rPr>
          <w:rFonts w:ascii="Arial" w:hAnsi="Arial" w:cs="Arial"/>
          <w:sz w:val="24"/>
          <w:szCs w:val="24"/>
        </w:rPr>
        <w:t>,</w:t>
      </w:r>
      <w:r w:rsidRPr="00E34799">
        <w:rPr>
          <w:rFonts w:ascii="Arial" w:hAnsi="Arial" w:cs="Arial"/>
          <w:sz w:val="24"/>
          <w:szCs w:val="24"/>
        </w:rPr>
        <w:t xml:space="preserve"> yet</w:t>
      </w:r>
      <w:r w:rsidR="005E0139" w:rsidRPr="00E34799">
        <w:rPr>
          <w:rFonts w:ascii="Arial" w:hAnsi="Arial" w:cs="Arial"/>
          <w:sz w:val="24"/>
          <w:szCs w:val="24"/>
        </w:rPr>
        <w:t>,</w:t>
      </w:r>
      <w:r w:rsidRPr="00E34799">
        <w:rPr>
          <w:rFonts w:ascii="Arial" w:hAnsi="Arial" w:cs="Arial"/>
          <w:sz w:val="24"/>
          <w:szCs w:val="24"/>
        </w:rPr>
        <w:t xml:space="preserve"> is the established resource of the electronic health record. </w:t>
      </w:r>
      <w:proofErr w:type="spellStart"/>
      <w:r w:rsidRPr="00E34799">
        <w:rPr>
          <w:rFonts w:ascii="Arial" w:hAnsi="Arial" w:cs="Arial"/>
          <w:sz w:val="24"/>
          <w:szCs w:val="24"/>
        </w:rPr>
        <w:t>O</w:t>
      </w:r>
      <w:r w:rsidR="005E0139" w:rsidRPr="00E34799">
        <w:rPr>
          <w:rFonts w:ascii="Arial" w:hAnsi="Arial" w:cs="Arial"/>
          <w:sz w:val="24"/>
          <w:szCs w:val="24"/>
        </w:rPr>
        <w:t>o</w:t>
      </w:r>
      <w:r w:rsidRPr="00E34799">
        <w:rPr>
          <w:rFonts w:ascii="Arial" w:hAnsi="Arial" w:cs="Arial"/>
          <w:sz w:val="24"/>
          <w:szCs w:val="24"/>
        </w:rPr>
        <w:t>’s</w:t>
      </w:r>
      <w:proofErr w:type="spellEnd"/>
      <w:r w:rsidRPr="00E34799">
        <w:rPr>
          <w:rFonts w:ascii="Arial" w:hAnsi="Arial" w:cs="Arial"/>
          <w:sz w:val="24"/>
          <w:szCs w:val="24"/>
        </w:rPr>
        <w:t xml:space="preserve"> ability to interrogate half a million patient records, across five years is </w:t>
      </w:r>
      <w:r w:rsidR="00624928">
        <w:rPr>
          <w:rFonts w:ascii="Arial" w:hAnsi="Arial" w:cs="Arial"/>
          <w:sz w:val="24"/>
          <w:szCs w:val="24"/>
        </w:rPr>
        <w:t>admirable</w:t>
      </w:r>
      <w:r w:rsidRPr="00E34799">
        <w:rPr>
          <w:rFonts w:ascii="Arial" w:hAnsi="Arial" w:cs="Arial"/>
          <w:sz w:val="24"/>
          <w:szCs w:val="24"/>
        </w:rPr>
        <w:t>; even if he was restricted to a single institution on this occasion.</w:t>
      </w:r>
    </w:p>
    <w:p w14:paraId="438807FC" w14:textId="77777777" w:rsidR="00FE5BB7" w:rsidRPr="00E34799" w:rsidRDefault="00FE5BB7" w:rsidP="00E34799">
      <w:pPr>
        <w:spacing w:line="240" w:lineRule="auto"/>
        <w:rPr>
          <w:rFonts w:ascii="Arial" w:hAnsi="Arial" w:cs="Arial"/>
          <w:color w:val="333333"/>
          <w:spacing w:val="5"/>
          <w:shd w:val="clear" w:color="auto" w:fill="FFFFFF"/>
        </w:rPr>
      </w:pPr>
    </w:p>
    <w:p w14:paraId="29BBF2A1" w14:textId="3BF88013" w:rsidR="00882FD9" w:rsidRPr="00E34799" w:rsidRDefault="00032AA1" w:rsidP="00E34799">
      <w:pPr>
        <w:spacing w:line="240" w:lineRule="auto"/>
        <w:rPr>
          <w:rFonts w:ascii="Arial" w:hAnsi="Arial" w:cs="Arial"/>
          <w:color w:val="333333"/>
          <w:spacing w:val="5"/>
          <w:sz w:val="24"/>
          <w:szCs w:val="24"/>
          <w:shd w:val="clear" w:color="auto" w:fill="FFFFFF"/>
        </w:rPr>
      </w:pPr>
      <w:r w:rsidRPr="00E34799">
        <w:rPr>
          <w:rFonts w:ascii="Arial" w:hAnsi="Arial" w:cs="Arial"/>
          <w:color w:val="333333"/>
          <w:spacing w:val="5"/>
          <w:sz w:val="24"/>
          <w:szCs w:val="24"/>
          <w:shd w:val="clear" w:color="auto" w:fill="FFFFFF"/>
        </w:rPr>
        <w:t>2.43</w:t>
      </w:r>
      <w:r w:rsidRPr="00E34799">
        <w:rPr>
          <w:rFonts w:ascii="Arial" w:hAnsi="Arial" w:cs="Arial"/>
          <w:color w:val="333333"/>
          <w:spacing w:val="5"/>
          <w:sz w:val="24"/>
          <w:szCs w:val="24"/>
          <w:shd w:val="clear" w:color="auto" w:fill="FFFFFF"/>
        </w:rPr>
        <w:tab/>
      </w:r>
      <w:r w:rsidR="00B27B2C" w:rsidRPr="00E34799">
        <w:rPr>
          <w:rFonts w:ascii="Arial" w:hAnsi="Arial" w:cs="Arial"/>
          <w:color w:val="333333"/>
          <w:spacing w:val="5"/>
          <w:sz w:val="24"/>
          <w:szCs w:val="24"/>
          <w:shd w:val="clear" w:color="auto" w:fill="FFFFFF"/>
        </w:rPr>
        <w:t>Mortality prediction in Primary Care</w:t>
      </w:r>
    </w:p>
    <w:p w14:paraId="35F7982C" w14:textId="3231B3BE" w:rsidR="00882FD9" w:rsidRPr="00E34799" w:rsidRDefault="00F368CA" w:rsidP="00E34799">
      <w:pPr>
        <w:spacing w:line="240" w:lineRule="auto"/>
        <w:rPr>
          <w:rFonts w:ascii="Arial" w:hAnsi="Arial" w:cs="Arial"/>
          <w:sz w:val="24"/>
          <w:szCs w:val="24"/>
        </w:rPr>
      </w:pPr>
      <w:r w:rsidRPr="00E34799">
        <w:rPr>
          <w:rFonts w:ascii="Arial" w:hAnsi="Arial" w:cs="Arial"/>
          <w:sz w:val="24"/>
          <w:szCs w:val="24"/>
        </w:rPr>
        <w:t>These articles are all American, where electronic health records are established. It is i</w:t>
      </w:r>
      <w:r w:rsidR="00882FD9" w:rsidRPr="00E34799">
        <w:rPr>
          <w:rFonts w:ascii="Arial" w:hAnsi="Arial" w:cs="Arial"/>
          <w:sz w:val="24"/>
          <w:szCs w:val="24"/>
        </w:rPr>
        <w:t xml:space="preserve">nteresting to consider </w:t>
      </w:r>
      <w:r w:rsidRPr="00E34799">
        <w:rPr>
          <w:rFonts w:ascii="Arial" w:hAnsi="Arial" w:cs="Arial"/>
          <w:sz w:val="24"/>
          <w:szCs w:val="24"/>
        </w:rPr>
        <w:t xml:space="preserve">the </w:t>
      </w:r>
      <w:r w:rsidR="00882FD9" w:rsidRPr="00E34799">
        <w:rPr>
          <w:rFonts w:ascii="Arial" w:hAnsi="Arial" w:cs="Arial"/>
          <w:sz w:val="24"/>
          <w:szCs w:val="24"/>
        </w:rPr>
        <w:t>current activity and where this dissertation could extend to. The emphasis for this dissertation, as seen in the earlier rich picture (</w:t>
      </w:r>
      <w:r w:rsidR="00882FD9" w:rsidRPr="00624928">
        <w:rPr>
          <w:rFonts w:ascii="Arial" w:hAnsi="Arial" w:cs="Arial"/>
          <w:sz w:val="24"/>
          <w:szCs w:val="24"/>
        </w:rPr>
        <w:t>figure</w:t>
      </w:r>
      <w:r w:rsidR="00882FD9" w:rsidRPr="00E34799">
        <w:rPr>
          <w:rFonts w:ascii="Arial" w:hAnsi="Arial" w:cs="Arial"/>
          <w:sz w:val="24"/>
          <w:szCs w:val="24"/>
        </w:rPr>
        <w:t xml:space="preserve"> </w:t>
      </w:r>
      <w:r w:rsidR="00624928">
        <w:rPr>
          <w:rFonts w:ascii="Arial" w:hAnsi="Arial" w:cs="Arial"/>
          <w:sz w:val="24"/>
          <w:szCs w:val="24"/>
        </w:rPr>
        <w:t>1.1</w:t>
      </w:r>
      <w:r w:rsidR="00882FD9" w:rsidRPr="00E34799">
        <w:rPr>
          <w:rFonts w:ascii="Arial" w:hAnsi="Arial" w:cs="Arial"/>
          <w:sz w:val="24"/>
          <w:szCs w:val="24"/>
        </w:rPr>
        <w:t>), is for an index hospital assessment being the trigger for conversations regarding advance care planning.</w:t>
      </w:r>
    </w:p>
    <w:p w14:paraId="0C94846E" w14:textId="3742070B" w:rsidR="00DC7679" w:rsidRPr="00E34799" w:rsidRDefault="002B7BE1" w:rsidP="00E34799">
      <w:pPr>
        <w:spacing w:line="240" w:lineRule="auto"/>
        <w:rPr>
          <w:rFonts w:ascii="Arial" w:hAnsi="Arial" w:cs="Arial"/>
          <w:color w:val="212121"/>
          <w:sz w:val="24"/>
          <w:szCs w:val="24"/>
          <w:shd w:val="clear" w:color="auto" w:fill="FFFFFF"/>
        </w:rPr>
      </w:pPr>
      <w:r w:rsidRPr="00E34799">
        <w:rPr>
          <w:rFonts w:ascii="Arial" w:hAnsi="Arial" w:cs="Arial"/>
          <w:sz w:val="24"/>
          <w:szCs w:val="24"/>
        </w:rPr>
        <w:t xml:space="preserve">Firstly, </w:t>
      </w:r>
      <w:r w:rsidR="00DC7679" w:rsidRPr="00E34799">
        <w:rPr>
          <w:rFonts w:ascii="Arial" w:hAnsi="Arial" w:cs="Arial"/>
          <w:sz w:val="24"/>
          <w:szCs w:val="24"/>
        </w:rPr>
        <w:t xml:space="preserve">to our American experts. As a concept in the settings where healthcare is paid for Zhang (2021) developed a “Generalized Machine Learning Pipeline”. This intervened at the billing stage of medical care to identify those with perceived greater risks of mortality. This was only for patients with at least one of twelve chronic conditions more likely to predispose them to dying in the following year. Acknowledging that the American healthcare model is different, this approach still had a high false positive rate – that is those identified as likely to die within twelve months did not. As an evolution, Bowers et al. (2023) sought to identify features for </w:t>
      </w:r>
      <w:r w:rsidR="00DC7679" w:rsidRPr="00E34799">
        <w:rPr>
          <w:rFonts w:ascii="Arial" w:hAnsi="Arial" w:cs="Arial"/>
          <w:sz w:val="24"/>
          <w:szCs w:val="24"/>
        </w:rPr>
        <w:lastRenderedPageBreak/>
        <w:t>predicting patient mortality in the American “older community dwelling” group. Despite drawing out a number of parameters, including some less acknowledged elsewhere (</w:t>
      </w:r>
      <w:r w:rsidR="00797478" w:rsidRPr="00E34799">
        <w:rPr>
          <w:rFonts w:ascii="Arial" w:hAnsi="Arial" w:cs="Arial"/>
          <w:sz w:val="24"/>
          <w:szCs w:val="24"/>
        </w:rPr>
        <w:t>e.g.,</w:t>
      </w:r>
      <w:r w:rsidR="00DC7679" w:rsidRPr="00E34799">
        <w:rPr>
          <w:rFonts w:ascii="Arial" w:hAnsi="Arial" w:cs="Arial"/>
          <w:sz w:val="24"/>
          <w:szCs w:val="24"/>
        </w:rPr>
        <w:t xml:space="preserve"> “pharmacy utilization”); the final model only </w:t>
      </w:r>
      <w:r w:rsidR="00DC7679" w:rsidRPr="00E34799">
        <w:rPr>
          <w:rFonts w:ascii="Arial" w:hAnsi="Arial" w:cs="Arial"/>
          <w:color w:val="212121"/>
          <w:sz w:val="24"/>
          <w:szCs w:val="24"/>
          <w:shd w:val="clear" w:color="auto" w:fill="FFFFFF"/>
        </w:rPr>
        <w:t xml:space="preserve">correctly predicted 44.2% of patient deaths. Although an improvement on the previous model, with 24% predictive accuracy, the gap until clinical utility remains. </w:t>
      </w:r>
    </w:p>
    <w:p w14:paraId="578549A7" w14:textId="333C6592" w:rsidR="002B7BE1" w:rsidRPr="00E34799" w:rsidRDefault="00DC7679" w:rsidP="00E34799">
      <w:p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t xml:space="preserve">Although </w:t>
      </w:r>
      <w:r w:rsidR="00624928">
        <w:rPr>
          <w:rFonts w:ascii="Arial" w:hAnsi="Arial" w:cs="Arial"/>
          <w:color w:val="212121"/>
          <w:sz w:val="24"/>
          <w:szCs w:val="24"/>
          <w:shd w:val="clear" w:color="auto" w:fill="FFFFFF"/>
        </w:rPr>
        <w:t>not the immediate focus</w:t>
      </w:r>
      <w:r w:rsidRPr="00E34799">
        <w:rPr>
          <w:rFonts w:ascii="Arial" w:hAnsi="Arial" w:cs="Arial"/>
          <w:color w:val="212121"/>
          <w:sz w:val="24"/>
          <w:szCs w:val="24"/>
          <w:shd w:val="clear" w:color="auto" w:fill="FFFFFF"/>
        </w:rPr>
        <w:t>, looking at ‘actigraphy data’ (that is activity measurement) (Huang et al., 2023) alongside clinical information to inform patient outcomes in palliative care has been considered. An increasingly technological future provides opportunities to harness common resources such as Apple watches in holistic reviews. This may be more suited to true assessment of performance status, and appropriateness to treat aggressively given the associated side effects, at an earlier stage of clinical management. However</w:t>
      </w:r>
      <w:r w:rsidR="00624928">
        <w:rPr>
          <w:rFonts w:ascii="Arial" w:hAnsi="Arial" w:cs="Arial"/>
          <w:color w:val="212121"/>
          <w:sz w:val="24"/>
          <w:szCs w:val="24"/>
          <w:shd w:val="clear" w:color="auto" w:fill="FFFFFF"/>
        </w:rPr>
        <w:t>,</w:t>
      </w:r>
      <w:r w:rsidRPr="00E34799">
        <w:rPr>
          <w:rFonts w:ascii="Arial" w:hAnsi="Arial" w:cs="Arial"/>
          <w:color w:val="212121"/>
          <w:sz w:val="24"/>
          <w:szCs w:val="24"/>
          <w:shd w:val="clear" w:color="auto" w:fill="FFFFFF"/>
        </w:rPr>
        <w:t xml:space="preserve"> an open mind needs to be kept given the breadth of technological potential.</w:t>
      </w:r>
    </w:p>
    <w:p w14:paraId="3F006B22" w14:textId="3DCAEC0E" w:rsidR="002B7BE1" w:rsidRPr="00E34799" w:rsidRDefault="00F26767" w:rsidP="00E34799">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A</w:t>
      </w:r>
      <w:r w:rsidR="00882FD9" w:rsidRPr="00E34799">
        <w:rPr>
          <w:rFonts w:ascii="Arial" w:hAnsi="Arial" w:cs="Arial"/>
          <w:color w:val="212121"/>
          <w:sz w:val="24"/>
          <w:szCs w:val="24"/>
          <w:shd w:val="clear" w:color="auto" w:fill="FFFFFF"/>
        </w:rPr>
        <w:t>n American analysis (</w:t>
      </w:r>
      <w:proofErr w:type="spellStart"/>
      <w:r w:rsidR="00882FD9" w:rsidRPr="00E34799">
        <w:rPr>
          <w:rFonts w:ascii="Arial" w:hAnsi="Arial" w:cs="Arial"/>
          <w:color w:val="212121"/>
          <w:sz w:val="24"/>
          <w:szCs w:val="24"/>
          <w:shd w:val="clear" w:color="auto" w:fill="FFFFFF"/>
        </w:rPr>
        <w:t>Rotenstein</w:t>
      </w:r>
      <w:proofErr w:type="spellEnd"/>
      <w:r w:rsidR="00882FD9" w:rsidRPr="00E34799">
        <w:rPr>
          <w:rFonts w:ascii="Arial" w:hAnsi="Arial" w:cs="Arial"/>
          <w:color w:val="212121"/>
          <w:sz w:val="24"/>
          <w:szCs w:val="24"/>
          <w:shd w:val="clear" w:color="auto" w:fill="FFFFFF"/>
        </w:rPr>
        <w:t xml:space="preserve"> et al., 2024) of a primary care population looked at the correlation of automated mortality tools with physician opinion regarding the need for advance care planning. (‘Serious illness conversation’ being the American terminology for, “discussions on a myriad of topics, such as prognosis, goals of care, advance care plans, cancer treatment decisions, and end</w:t>
      </w:r>
      <w:r w:rsidR="00882FD9" w:rsidRPr="00E34799">
        <w:rPr>
          <w:rFonts w:ascii="Cambria Math" w:hAnsi="Cambria Math" w:cs="Cambria Math"/>
          <w:color w:val="212121"/>
          <w:sz w:val="24"/>
          <w:szCs w:val="24"/>
          <w:shd w:val="clear" w:color="auto" w:fill="FFFFFF"/>
        </w:rPr>
        <w:t>‐</w:t>
      </w:r>
      <w:r w:rsidR="00882FD9" w:rsidRPr="00E34799">
        <w:rPr>
          <w:rFonts w:ascii="Arial" w:hAnsi="Arial" w:cs="Arial"/>
          <w:color w:val="212121"/>
          <w:sz w:val="24"/>
          <w:szCs w:val="24"/>
          <w:shd w:val="clear" w:color="auto" w:fill="FFFFFF"/>
        </w:rPr>
        <w:t>of</w:t>
      </w:r>
      <w:r w:rsidR="00882FD9" w:rsidRPr="00E34799">
        <w:rPr>
          <w:rFonts w:ascii="Cambria Math" w:hAnsi="Cambria Math" w:cs="Cambria Math"/>
          <w:color w:val="212121"/>
          <w:sz w:val="24"/>
          <w:szCs w:val="24"/>
          <w:shd w:val="clear" w:color="auto" w:fill="FFFFFF"/>
        </w:rPr>
        <w:t>‐</w:t>
      </w:r>
      <w:r w:rsidR="00882FD9" w:rsidRPr="00E34799">
        <w:rPr>
          <w:rFonts w:ascii="Arial" w:hAnsi="Arial" w:cs="Arial"/>
          <w:color w:val="212121"/>
          <w:sz w:val="24"/>
          <w:szCs w:val="24"/>
          <w:shd w:val="clear" w:color="auto" w:fill="FFFFFF"/>
        </w:rPr>
        <w:t>life care” (</w:t>
      </w:r>
      <w:proofErr w:type="spellStart"/>
      <w:r w:rsidR="00882FD9" w:rsidRPr="00E34799">
        <w:rPr>
          <w:rFonts w:ascii="Arial" w:hAnsi="Arial" w:cs="Arial"/>
          <w:color w:val="212121"/>
          <w:sz w:val="24"/>
          <w:szCs w:val="24"/>
          <w:shd w:val="clear" w:color="auto" w:fill="FFFFFF"/>
        </w:rPr>
        <w:t>Bernacki</w:t>
      </w:r>
      <w:proofErr w:type="spellEnd"/>
      <w:r w:rsidR="00882FD9" w:rsidRPr="00E34799">
        <w:rPr>
          <w:rFonts w:ascii="Arial" w:hAnsi="Arial" w:cs="Arial"/>
          <w:color w:val="212121"/>
          <w:sz w:val="24"/>
          <w:szCs w:val="24"/>
          <w:shd w:val="clear" w:color="auto" w:fill="FFFFFF"/>
        </w:rPr>
        <w:t xml:space="preserve"> and Block, 2014)). Although assessing risk as merely high or low at a one-year time interval there was a degree of correlation. </w:t>
      </w:r>
      <w:r w:rsidR="00DC7679" w:rsidRPr="00E34799">
        <w:rPr>
          <w:rFonts w:ascii="Arial" w:hAnsi="Arial" w:cs="Arial"/>
          <w:color w:val="212121"/>
          <w:sz w:val="24"/>
          <w:szCs w:val="24"/>
          <w:shd w:val="clear" w:color="auto" w:fill="FFFFFF"/>
        </w:rPr>
        <w:t xml:space="preserve">(Again) </w:t>
      </w:r>
      <w:r w:rsidR="00882FD9" w:rsidRPr="00E34799">
        <w:rPr>
          <w:rFonts w:ascii="Arial" w:hAnsi="Arial" w:cs="Arial"/>
          <w:color w:val="212121"/>
          <w:sz w:val="24"/>
          <w:szCs w:val="24"/>
          <w:shd w:val="clear" w:color="auto" w:fill="FFFFFF"/>
        </w:rPr>
        <w:t xml:space="preserve">The clinical </w:t>
      </w:r>
      <w:r w:rsidR="00DC7679" w:rsidRPr="00E34799">
        <w:rPr>
          <w:rFonts w:ascii="Arial" w:hAnsi="Arial" w:cs="Arial"/>
          <w:color w:val="212121"/>
          <w:sz w:val="24"/>
          <w:szCs w:val="24"/>
          <w:shd w:val="clear" w:color="auto" w:fill="FFFFFF"/>
        </w:rPr>
        <w:t>utility</w:t>
      </w:r>
      <w:r w:rsidR="00882FD9" w:rsidRPr="00E34799">
        <w:rPr>
          <w:rFonts w:ascii="Arial" w:hAnsi="Arial" w:cs="Arial"/>
          <w:color w:val="212121"/>
          <w:sz w:val="24"/>
          <w:szCs w:val="24"/>
          <w:shd w:val="clear" w:color="auto" w:fill="FFFFFF"/>
        </w:rPr>
        <w:t xml:space="preserve"> of such a prompt in an unselected patient cohort is less clear.</w:t>
      </w:r>
    </w:p>
    <w:p w14:paraId="7E557D2F" w14:textId="63FFC7A0" w:rsidR="002B7BE1" w:rsidRPr="00E34799" w:rsidRDefault="002B7BE1" w:rsidP="00E34799">
      <w:pPr>
        <w:spacing w:after="0" w:line="240" w:lineRule="auto"/>
        <w:rPr>
          <w:rFonts w:ascii="Arial" w:hAnsi="Arial" w:cs="Arial"/>
        </w:rPr>
      </w:pPr>
      <w:r w:rsidRPr="00E34799">
        <w:rPr>
          <w:rFonts w:ascii="Arial" w:hAnsi="Arial" w:cs="Arial"/>
          <w:noProof/>
          <w:lang w:eastAsia="en-GB"/>
        </w:rPr>
        <w:drawing>
          <wp:inline distT="0" distB="0" distL="0" distR="0" wp14:anchorId="1D7FB94A" wp14:editId="4FFCDFA7">
            <wp:extent cx="5692594" cy="203835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96927" cy="2039902"/>
                    </a:xfrm>
                    <a:prstGeom prst="rect">
                      <a:avLst/>
                    </a:prstGeom>
                  </pic:spPr>
                </pic:pic>
              </a:graphicData>
            </a:graphic>
          </wp:inline>
        </w:drawing>
      </w:r>
    </w:p>
    <w:p w14:paraId="28233429" w14:textId="355EB3E8" w:rsidR="00C00EF5" w:rsidRPr="00615734" w:rsidRDefault="00C00EF5" w:rsidP="00C00EF5">
      <w:pPr>
        <w:spacing w:line="240" w:lineRule="auto"/>
        <w:rPr>
          <w:rFonts w:ascii="Arial" w:hAnsi="Arial" w:cs="Arial"/>
          <w:sz w:val="18"/>
          <w:szCs w:val="18"/>
        </w:rPr>
      </w:pPr>
      <w:r w:rsidRPr="00615734">
        <w:rPr>
          <w:rFonts w:ascii="Arial" w:hAnsi="Arial" w:cs="Arial"/>
          <w:sz w:val="18"/>
          <w:szCs w:val="18"/>
        </w:rPr>
        <w:t>Figure 2.</w:t>
      </w:r>
      <w:r w:rsidR="00D561AB">
        <w:rPr>
          <w:rFonts w:ascii="Arial" w:hAnsi="Arial" w:cs="Arial"/>
          <w:sz w:val="18"/>
          <w:szCs w:val="18"/>
        </w:rPr>
        <w:t>5</w:t>
      </w:r>
      <w:r w:rsidRPr="00615734">
        <w:rPr>
          <w:rFonts w:ascii="Arial" w:hAnsi="Arial" w:cs="Arial"/>
          <w:sz w:val="18"/>
          <w:szCs w:val="18"/>
        </w:rPr>
        <w:t xml:space="preserve">: Venn diagram illustrating </w:t>
      </w:r>
      <w:proofErr w:type="spellStart"/>
      <w:r w:rsidRPr="00615734">
        <w:rPr>
          <w:rFonts w:ascii="Arial" w:hAnsi="Arial" w:cs="Arial"/>
          <w:sz w:val="18"/>
          <w:szCs w:val="18"/>
        </w:rPr>
        <w:t>Rotenstein’s</w:t>
      </w:r>
      <w:proofErr w:type="spellEnd"/>
      <w:r w:rsidRPr="00615734">
        <w:rPr>
          <w:rFonts w:ascii="Arial" w:hAnsi="Arial" w:cs="Arial"/>
          <w:sz w:val="18"/>
          <w:szCs w:val="18"/>
        </w:rPr>
        <w:t xml:space="preserve"> findings (2024)</w:t>
      </w:r>
    </w:p>
    <w:p w14:paraId="32EC85B9" w14:textId="77777777" w:rsidR="00C00EF5" w:rsidRDefault="00C00EF5" w:rsidP="00C00EF5">
      <w:pPr>
        <w:spacing w:after="0" w:line="240" w:lineRule="auto"/>
        <w:rPr>
          <w:rFonts w:ascii="Arial" w:hAnsi="Arial" w:cs="Arial"/>
          <w:sz w:val="18"/>
          <w:szCs w:val="18"/>
        </w:rPr>
      </w:pPr>
    </w:p>
    <w:p w14:paraId="6249551B" w14:textId="48A59F9A" w:rsidR="00882FD9" w:rsidRPr="00E34799" w:rsidRDefault="00882FD9" w:rsidP="00E34799">
      <w:pPr>
        <w:spacing w:line="240" w:lineRule="auto"/>
        <w:rPr>
          <w:rFonts w:ascii="Arial" w:hAnsi="Arial" w:cs="Arial"/>
          <w:color w:val="212121"/>
          <w:sz w:val="24"/>
          <w:szCs w:val="24"/>
          <w:shd w:val="clear" w:color="auto" w:fill="FFFFFF"/>
        </w:rPr>
      </w:pPr>
      <w:proofErr w:type="spellStart"/>
      <w:r w:rsidRPr="00E34799">
        <w:rPr>
          <w:rFonts w:ascii="Arial" w:hAnsi="Arial" w:cs="Arial"/>
          <w:color w:val="212121"/>
          <w:sz w:val="24"/>
          <w:szCs w:val="24"/>
          <w:shd w:val="clear" w:color="auto" w:fill="FFFFFF"/>
        </w:rPr>
        <w:t>Windisch’s</w:t>
      </w:r>
      <w:proofErr w:type="spellEnd"/>
      <w:r w:rsidRPr="00E34799">
        <w:rPr>
          <w:rFonts w:ascii="Arial" w:hAnsi="Arial" w:cs="Arial"/>
          <w:color w:val="212121"/>
          <w:sz w:val="24"/>
          <w:szCs w:val="24"/>
          <w:shd w:val="clear" w:color="auto" w:fill="FFFFFF"/>
        </w:rPr>
        <w:t xml:space="preserve"> aspiration seems challenging to extend</w:t>
      </w:r>
      <w:r w:rsidR="00B5003B" w:rsidRPr="00E34799">
        <w:rPr>
          <w:rFonts w:ascii="Arial" w:hAnsi="Arial" w:cs="Arial"/>
          <w:color w:val="212121"/>
          <w:sz w:val="24"/>
          <w:szCs w:val="24"/>
          <w:shd w:val="clear" w:color="auto" w:fill="FFFFFF"/>
        </w:rPr>
        <w:t>, as has been highlighted throughout this chapter.</w:t>
      </w:r>
      <w:r w:rsidRPr="00E34799">
        <w:rPr>
          <w:rFonts w:ascii="Arial" w:hAnsi="Arial" w:cs="Arial"/>
          <w:color w:val="212121"/>
          <w:sz w:val="24"/>
          <w:szCs w:val="24"/>
          <w:shd w:val="clear" w:color="auto" w:fill="FFFFFF"/>
        </w:rPr>
        <w:t xml:space="preserve"> A number of reservations in application have been identified (Courtright et al., 2019; </w:t>
      </w:r>
      <w:proofErr w:type="spellStart"/>
      <w:r w:rsidRPr="00E34799">
        <w:rPr>
          <w:rFonts w:ascii="Arial" w:hAnsi="Arial" w:cs="Arial"/>
          <w:color w:val="212121"/>
          <w:sz w:val="24"/>
          <w:szCs w:val="24"/>
          <w:shd w:val="clear" w:color="auto" w:fill="FFFFFF"/>
        </w:rPr>
        <w:t>Enguidanos</w:t>
      </w:r>
      <w:proofErr w:type="spellEnd"/>
      <w:r w:rsidRPr="00E34799">
        <w:rPr>
          <w:rFonts w:ascii="Arial" w:hAnsi="Arial" w:cs="Arial"/>
          <w:color w:val="212121"/>
          <w:sz w:val="24"/>
          <w:szCs w:val="24"/>
          <w:shd w:val="clear" w:color="auto" w:fill="FFFFFF"/>
        </w:rPr>
        <w:t xml:space="preserve"> et al., 2019). Heinzen’s team took on the challenge of “an outpatient-focused pragmatic clinical trial to examine the effect of machine learning on referral to palliative care” (Heinzen et al., 2023). This trial protocol from the Mayo Clinic is focused on primary care as the site of intervention. Following the algorithm’s identification of the ‘top 40’ (from 119 000) patients with the “highest predicted palliative care score”, the primary outcome is time to palliative care consultation. There is a dependence on accurate coding to exploit the benefits of electronic health records for this study given that palliative care may be possible by the usual care providers (</w:t>
      </w:r>
      <w:r w:rsidR="00797478" w:rsidRPr="00E34799">
        <w:rPr>
          <w:rFonts w:ascii="Arial" w:hAnsi="Arial" w:cs="Arial"/>
          <w:color w:val="212121"/>
          <w:sz w:val="24"/>
          <w:szCs w:val="24"/>
          <w:shd w:val="clear" w:color="auto" w:fill="FFFFFF"/>
        </w:rPr>
        <w:t>i.e.,</w:t>
      </w:r>
      <w:r w:rsidRPr="00E34799">
        <w:rPr>
          <w:rFonts w:ascii="Arial" w:hAnsi="Arial" w:cs="Arial"/>
          <w:color w:val="212121"/>
          <w:sz w:val="24"/>
          <w:szCs w:val="24"/>
          <w:shd w:val="clear" w:color="auto" w:fill="FFFFFF"/>
        </w:rPr>
        <w:t xml:space="preserve"> no requirement for specialist palliative care input). Secondary outcomes, specifically number two: “number of advanced care planning notes documented in the electronic health record in each arm”, would be of interest to this dissertation. The timelines of reporting and publishing may limit this insight.</w:t>
      </w:r>
    </w:p>
    <w:p w14:paraId="2615687B" w14:textId="3E982A24" w:rsidR="00B25274" w:rsidRPr="00E34799" w:rsidRDefault="00032AA1" w:rsidP="00E34799">
      <w:p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lastRenderedPageBreak/>
        <w:t>2.44</w:t>
      </w:r>
      <w:r w:rsidRPr="00E34799">
        <w:rPr>
          <w:rFonts w:ascii="Arial" w:hAnsi="Arial" w:cs="Arial"/>
          <w:color w:val="212121"/>
          <w:sz w:val="24"/>
          <w:szCs w:val="24"/>
          <w:shd w:val="clear" w:color="auto" w:fill="FFFFFF"/>
        </w:rPr>
        <w:tab/>
      </w:r>
      <w:r w:rsidR="00F93B95" w:rsidRPr="00E34799">
        <w:rPr>
          <w:rFonts w:ascii="Arial" w:hAnsi="Arial" w:cs="Arial"/>
          <w:color w:val="212121"/>
          <w:sz w:val="24"/>
          <w:szCs w:val="24"/>
          <w:shd w:val="clear" w:color="auto" w:fill="FFFFFF"/>
        </w:rPr>
        <w:t>Mortality prediction at admission</w:t>
      </w:r>
    </w:p>
    <w:p w14:paraId="6A67C8B9" w14:textId="3F2D9CC1" w:rsidR="00F93B95" w:rsidRPr="00E34799" w:rsidRDefault="00F93B95" w:rsidP="00E34799">
      <w:p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t>Returning to this dissertation with its focus on hospital admission as a trigger point for evaluation, there are two additional publications to consider. A Swedish group looked at Emergency Department attendances and the likelihood of death in the 30 days after discharge (Heyman et al., 2021). Over 75% of deaths were “unsurprising” to the clinical team, so already identifiable. The reviewing panel noted that, “92% of visits were non-preventable”. They simultaneously noted that, “23.0%, could have been avoided if preceded by a discussion of EOL prognosis and planning”. The paradoxical commentary in this article also did not detail the false-positives identified through the machine-learning tool. Although several models were able to identify more deaths that subsequently occurred the clinical utility across healthcare services is limited. Rather than re-inventing the wheel; enhancing communication between primary care services and acute assessment services (ideally a digital step forward) would facilitate sharing of existing care planning.</w:t>
      </w:r>
    </w:p>
    <w:p w14:paraId="2A8C4EAE" w14:textId="65E16680" w:rsidR="00F93B95" w:rsidRPr="00E34799" w:rsidRDefault="00B220AE" w:rsidP="00E34799">
      <w:p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t>Elsewhere, a</w:t>
      </w:r>
      <w:r w:rsidR="00F93B95" w:rsidRPr="00E34799">
        <w:rPr>
          <w:rFonts w:ascii="Arial" w:hAnsi="Arial" w:cs="Arial"/>
          <w:color w:val="212121"/>
          <w:sz w:val="24"/>
          <w:szCs w:val="24"/>
          <w:shd w:val="clear" w:color="auto" w:fill="FFFFFF"/>
        </w:rPr>
        <w:t xml:space="preserve"> Spanish team (Blanes-</w:t>
      </w:r>
      <w:proofErr w:type="spellStart"/>
      <w:r w:rsidR="00F93B95" w:rsidRPr="00E34799">
        <w:rPr>
          <w:rFonts w:ascii="Arial" w:hAnsi="Arial" w:cs="Arial"/>
          <w:color w:val="212121"/>
          <w:sz w:val="24"/>
          <w:szCs w:val="24"/>
          <w:shd w:val="clear" w:color="auto" w:fill="FFFFFF"/>
        </w:rPr>
        <w:t>Selvaet</w:t>
      </w:r>
      <w:proofErr w:type="spellEnd"/>
      <w:r w:rsidR="00F93B95" w:rsidRPr="00E34799">
        <w:rPr>
          <w:rFonts w:ascii="Arial" w:hAnsi="Arial" w:cs="Arial"/>
          <w:color w:val="212121"/>
          <w:sz w:val="24"/>
          <w:szCs w:val="24"/>
          <w:shd w:val="clear" w:color="auto" w:fill="FFFFFF"/>
        </w:rPr>
        <w:t xml:space="preserve"> al., 2021) designed a model for predicting 1-year mortality based on observations at hospital admission. </w:t>
      </w:r>
      <w:r w:rsidRPr="00E34799">
        <w:rPr>
          <w:rFonts w:ascii="Arial" w:hAnsi="Arial" w:cs="Arial"/>
          <w:color w:val="212121"/>
          <w:sz w:val="24"/>
          <w:szCs w:val="24"/>
          <w:shd w:val="clear" w:color="auto" w:fill="FFFFFF"/>
        </w:rPr>
        <w:t>This is m</w:t>
      </w:r>
      <w:r w:rsidR="00F93B95" w:rsidRPr="00E34799">
        <w:rPr>
          <w:rFonts w:ascii="Arial" w:hAnsi="Arial" w:cs="Arial"/>
          <w:color w:val="212121"/>
          <w:sz w:val="24"/>
          <w:szCs w:val="24"/>
          <w:shd w:val="clear" w:color="auto" w:fill="FFFFFF"/>
        </w:rPr>
        <w:t xml:space="preserve">ore aligned to this dissertation’s aspiration. They demonstrated that 36 features could create an AUROC of 0.9 at their hospital (single unit). This is the most robust model so far and better than the 13654 features necessary for </w:t>
      </w:r>
      <w:proofErr w:type="spellStart"/>
      <w:r w:rsidR="00F93B95" w:rsidRPr="00E34799">
        <w:rPr>
          <w:rFonts w:ascii="Arial" w:hAnsi="Arial" w:cs="Arial"/>
          <w:color w:val="212121"/>
          <w:sz w:val="24"/>
          <w:szCs w:val="24"/>
          <w:shd w:val="clear" w:color="auto" w:fill="FFFFFF"/>
        </w:rPr>
        <w:t>Avati’s</w:t>
      </w:r>
      <w:proofErr w:type="spellEnd"/>
      <w:r w:rsidR="00F93B95" w:rsidRPr="00E34799">
        <w:rPr>
          <w:rFonts w:ascii="Arial" w:hAnsi="Arial" w:cs="Arial"/>
          <w:color w:val="212121"/>
          <w:sz w:val="24"/>
          <w:szCs w:val="24"/>
          <w:shd w:val="clear" w:color="auto" w:fill="FFFFFF"/>
        </w:rPr>
        <w:t xml:space="preserve"> model (</w:t>
      </w:r>
      <w:proofErr w:type="spellStart"/>
      <w:r w:rsidR="00F93B95" w:rsidRPr="00E34799">
        <w:rPr>
          <w:rFonts w:ascii="Arial" w:hAnsi="Arial" w:cs="Arial"/>
          <w:color w:val="212121"/>
          <w:sz w:val="24"/>
          <w:szCs w:val="24"/>
          <w:shd w:val="clear" w:color="auto" w:fill="FFFFFF"/>
        </w:rPr>
        <w:t>Avati</w:t>
      </w:r>
      <w:proofErr w:type="spellEnd"/>
      <w:r w:rsidR="00F93B95" w:rsidRPr="00E34799">
        <w:rPr>
          <w:rFonts w:ascii="Arial" w:hAnsi="Arial" w:cs="Arial"/>
          <w:color w:val="212121"/>
          <w:sz w:val="24"/>
          <w:szCs w:val="24"/>
          <w:shd w:val="clear" w:color="auto" w:fill="FFFFFF"/>
        </w:rPr>
        <w:t xml:space="preserve"> et al., 2018).</w:t>
      </w:r>
    </w:p>
    <w:p w14:paraId="391B88FD" w14:textId="77777777" w:rsidR="00FE5BB7" w:rsidRPr="00E34799" w:rsidRDefault="00FE5BB7" w:rsidP="00E34799">
      <w:pPr>
        <w:spacing w:line="240" w:lineRule="auto"/>
        <w:rPr>
          <w:rFonts w:ascii="Arial" w:hAnsi="Arial" w:cs="Arial"/>
          <w:color w:val="212121"/>
          <w:sz w:val="24"/>
          <w:szCs w:val="24"/>
          <w:shd w:val="clear" w:color="auto" w:fill="FFFFFF"/>
        </w:rPr>
      </w:pPr>
    </w:p>
    <w:p w14:paraId="67E35443" w14:textId="324C6DC2" w:rsidR="00DE76E5" w:rsidRPr="00E34799" w:rsidRDefault="00DE76E5" w:rsidP="00E34799">
      <w:p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br w:type="page"/>
      </w:r>
    </w:p>
    <w:p w14:paraId="4BFF44B0" w14:textId="13B46C02" w:rsidR="00517CD9" w:rsidRPr="00E34799" w:rsidRDefault="00032AA1" w:rsidP="00E34799">
      <w:p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lastRenderedPageBreak/>
        <w:t>2.5</w:t>
      </w:r>
      <w:r w:rsidRPr="00E34799">
        <w:rPr>
          <w:rFonts w:ascii="Arial" w:hAnsi="Arial" w:cs="Arial"/>
          <w:color w:val="212121"/>
          <w:sz w:val="24"/>
          <w:szCs w:val="24"/>
          <w:shd w:val="clear" w:color="auto" w:fill="FFFFFF"/>
        </w:rPr>
        <w:tab/>
      </w:r>
      <w:r w:rsidR="00517CD9" w:rsidRPr="00E34799">
        <w:rPr>
          <w:rFonts w:ascii="Arial" w:hAnsi="Arial" w:cs="Arial"/>
          <w:color w:val="212121"/>
          <w:sz w:val="24"/>
          <w:szCs w:val="24"/>
          <w:shd w:val="clear" w:color="auto" w:fill="FFFFFF"/>
        </w:rPr>
        <w:t>Conclusion</w:t>
      </w:r>
    </w:p>
    <w:p w14:paraId="5E15C153" w14:textId="77777777" w:rsidR="00DE76E5" w:rsidRPr="00E34799" w:rsidRDefault="00F93B95" w:rsidP="00E34799">
      <w:p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t xml:space="preserve">In conclusion, there has been limited progress since </w:t>
      </w:r>
      <w:proofErr w:type="spellStart"/>
      <w:r w:rsidRPr="00E34799">
        <w:rPr>
          <w:rFonts w:ascii="Arial" w:hAnsi="Arial" w:cs="Arial"/>
          <w:color w:val="212121"/>
          <w:sz w:val="24"/>
          <w:szCs w:val="24"/>
          <w:shd w:val="clear" w:color="auto" w:fill="FFFFFF"/>
        </w:rPr>
        <w:t>Storick’s</w:t>
      </w:r>
      <w:proofErr w:type="spellEnd"/>
      <w:r w:rsidRPr="00E34799">
        <w:rPr>
          <w:rFonts w:ascii="Arial" w:hAnsi="Arial" w:cs="Arial"/>
          <w:color w:val="212121"/>
          <w:sz w:val="24"/>
          <w:szCs w:val="24"/>
          <w:shd w:val="clear" w:color="auto" w:fill="FFFFFF"/>
        </w:rPr>
        <w:t xml:space="preserve"> rapid review (</w:t>
      </w:r>
      <w:proofErr w:type="spellStart"/>
      <w:r w:rsidRPr="00E34799">
        <w:rPr>
          <w:rFonts w:ascii="Arial" w:hAnsi="Arial" w:cs="Arial"/>
          <w:color w:val="212121"/>
          <w:sz w:val="24"/>
          <w:szCs w:val="24"/>
          <w:shd w:val="clear" w:color="auto" w:fill="FFFFFF"/>
        </w:rPr>
        <w:t>Storick</w:t>
      </w:r>
      <w:proofErr w:type="spellEnd"/>
      <w:r w:rsidRPr="00E34799">
        <w:rPr>
          <w:rFonts w:ascii="Arial" w:hAnsi="Arial" w:cs="Arial"/>
          <w:color w:val="212121"/>
          <w:sz w:val="24"/>
          <w:szCs w:val="24"/>
          <w:shd w:val="clear" w:color="auto" w:fill="FFFFFF"/>
        </w:rPr>
        <w:t xml:space="preserve"> et al., 2019) of machine learning in the end-of-life care sphere concluded that “applications to policy and practice are formative”. Where </w:t>
      </w:r>
      <w:proofErr w:type="spellStart"/>
      <w:r w:rsidRPr="00E34799">
        <w:rPr>
          <w:rFonts w:ascii="Arial" w:hAnsi="Arial" w:cs="Arial"/>
          <w:color w:val="212121"/>
          <w:sz w:val="24"/>
          <w:szCs w:val="24"/>
          <w:shd w:val="clear" w:color="auto" w:fill="FFFFFF"/>
        </w:rPr>
        <w:t>Windisch’s</w:t>
      </w:r>
      <w:proofErr w:type="spellEnd"/>
      <w:r w:rsidRPr="00E34799">
        <w:rPr>
          <w:rFonts w:ascii="Arial" w:hAnsi="Arial" w:cs="Arial"/>
          <w:color w:val="212121"/>
          <w:sz w:val="24"/>
          <w:szCs w:val="24"/>
          <w:shd w:val="clear" w:color="auto" w:fill="FFFFFF"/>
        </w:rPr>
        <w:t xml:space="preserve"> systematic review (2020) identified four publications of potential relevance, the more recent reviews have greater focus (Vu (2023) identifying 15 publications considering machine learning for mortality prediction). </w:t>
      </w:r>
      <w:r w:rsidR="00DE76E5" w:rsidRPr="00E34799">
        <w:rPr>
          <w:rFonts w:ascii="Arial" w:hAnsi="Arial" w:cs="Arial"/>
          <w:color w:val="212121"/>
          <w:sz w:val="24"/>
          <w:szCs w:val="24"/>
          <w:shd w:val="clear" w:color="auto" w:fill="FFFFFF"/>
        </w:rPr>
        <w:t>Some commentators reflect that t</w:t>
      </w:r>
      <w:r w:rsidRPr="00E34799">
        <w:rPr>
          <w:rFonts w:ascii="Arial" w:hAnsi="Arial" w:cs="Arial"/>
          <w:color w:val="212121"/>
          <w:sz w:val="24"/>
          <w:szCs w:val="24"/>
          <w:shd w:val="clear" w:color="auto" w:fill="FFFFFF"/>
        </w:rPr>
        <w:t>here is m</w:t>
      </w:r>
      <w:r w:rsidR="0019222E" w:rsidRPr="00E34799">
        <w:rPr>
          <w:rFonts w:ascii="Arial" w:hAnsi="Arial" w:cs="Arial"/>
          <w:color w:val="212121"/>
          <w:sz w:val="24"/>
          <w:szCs w:val="24"/>
          <w:shd w:val="clear" w:color="auto" w:fill="FFFFFF"/>
        </w:rPr>
        <w:t>uch more focus where there is “commercial potential”</w:t>
      </w:r>
      <w:r w:rsidR="00DE76E5" w:rsidRPr="00E34799">
        <w:rPr>
          <w:rFonts w:ascii="Arial" w:hAnsi="Arial" w:cs="Arial"/>
          <w:color w:val="212121"/>
          <w:sz w:val="24"/>
          <w:szCs w:val="24"/>
          <w:shd w:val="clear" w:color="auto" w:fill="FFFFFF"/>
        </w:rPr>
        <w:t>. However, end of life care does not offer the profit margins the (largely American) literature seeks.</w:t>
      </w:r>
      <w:r w:rsidR="0019222E" w:rsidRPr="00E34799">
        <w:rPr>
          <w:rFonts w:ascii="Arial" w:hAnsi="Arial" w:cs="Arial"/>
          <w:color w:val="212121"/>
          <w:sz w:val="24"/>
          <w:szCs w:val="24"/>
          <w:shd w:val="clear" w:color="auto" w:fill="FFFFFF"/>
        </w:rPr>
        <w:t xml:space="preserve"> </w:t>
      </w:r>
    </w:p>
    <w:p w14:paraId="6D325FB2" w14:textId="2F617F37" w:rsidR="00B91CFD" w:rsidRPr="00E34799" w:rsidRDefault="00DE76E5" w:rsidP="00E34799">
      <w:p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t xml:space="preserve">The limited research does focus on </w:t>
      </w:r>
      <w:r w:rsidR="00F93B95" w:rsidRPr="00E34799">
        <w:rPr>
          <w:rFonts w:ascii="Arial" w:hAnsi="Arial" w:cs="Arial"/>
          <w:color w:val="212121"/>
          <w:sz w:val="24"/>
          <w:szCs w:val="24"/>
          <w:shd w:val="clear" w:color="auto" w:fill="FFFFFF"/>
        </w:rPr>
        <w:t>m</w:t>
      </w:r>
      <w:r w:rsidR="0019222E" w:rsidRPr="00E34799">
        <w:rPr>
          <w:rFonts w:ascii="Arial" w:hAnsi="Arial" w:cs="Arial"/>
          <w:color w:val="212121"/>
          <w:sz w:val="24"/>
          <w:szCs w:val="24"/>
          <w:shd w:val="clear" w:color="auto" w:fill="FFFFFF"/>
        </w:rPr>
        <w:t>ortality predic</w:t>
      </w:r>
      <w:r w:rsidRPr="00E34799">
        <w:rPr>
          <w:rFonts w:ascii="Arial" w:hAnsi="Arial" w:cs="Arial"/>
          <w:color w:val="212121"/>
          <w:sz w:val="24"/>
          <w:szCs w:val="24"/>
          <w:shd w:val="clear" w:color="auto" w:fill="FFFFFF"/>
        </w:rPr>
        <w:t>tion a</w:t>
      </w:r>
      <w:r w:rsidR="0019222E" w:rsidRPr="00E34799">
        <w:rPr>
          <w:rFonts w:ascii="Arial" w:hAnsi="Arial" w:cs="Arial"/>
          <w:color w:val="212121"/>
          <w:sz w:val="24"/>
          <w:szCs w:val="24"/>
          <w:shd w:val="clear" w:color="auto" w:fill="FFFFFF"/>
        </w:rPr>
        <w:t>s the</w:t>
      </w:r>
      <w:r w:rsidRPr="00E34799">
        <w:rPr>
          <w:rFonts w:ascii="Arial" w:hAnsi="Arial" w:cs="Arial"/>
          <w:color w:val="212121"/>
          <w:sz w:val="24"/>
          <w:szCs w:val="24"/>
          <w:shd w:val="clear" w:color="auto" w:fill="FFFFFF"/>
        </w:rPr>
        <w:t xml:space="preserve"> most dominant</w:t>
      </w:r>
      <w:r w:rsidR="0019222E" w:rsidRPr="00E34799">
        <w:rPr>
          <w:rFonts w:ascii="Arial" w:hAnsi="Arial" w:cs="Arial"/>
          <w:color w:val="212121"/>
          <w:sz w:val="24"/>
          <w:szCs w:val="24"/>
          <w:shd w:val="clear" w:color="auto" w:fill="FFFFFF"/>
        </w:rPr>
        <w:t xml:space="preserve"> component between palliative care and the digital technology. </w:t>
      </w:r>
      <w:r w:rsidR="00F93B95" w:rsidRPr="00E34799">
        <w:rPr>
          <w:rFonts w:ascii="Arial" w:hAnsi="Arial" w:cs="Arial"/>
          <w:color w:val="212121"/>
          <w:sz w:val="24"/>
          <w:szCs w:val="24"/>
          <w:shd w:val="clear" w:color="auto" w:fill="FFFFFF"/>
        </w:rPr>
        <w:t>It is re</w:t>
      </w:r>
      <w:r w:rsidR="0019222E" w:rsidRPr="00E34799">
        <w:rPr>
          <w:rFonts w:ascii="Arial" w:hAnsi="Arial" w:cs="Arial"/>
          <w:color w:val="212121"/>
          <w:sz w:val="24"/>
          <w:szCs w:val="24"/>
          <w:shd w:val="clear" w:color="auto" w:fill="FFFFFF"/>
        </w:rPr>
        <w:t>assuring that it has been recognised that, “predicting mortality…is a proxy problem for the need for palliative care, which is much harder to define” (Vu et al., 2023).</w:t>
      </w:r>
      <w:r w:rsidR="00CE573F" w:rsidRPr="00E34799">
        <w:rPr>
          <w:rFonts w:ascii="Arial" w:hAnsi="Arial" w:cs="Arial"/>
          <w:color w:val="212121"/>
          <w:sz w:val="24"/>
          <w:szCs w:val="24"/>
          <w:shd w:val="clear" w:color="auto" w:fill="FFFFFF"/>
        </w:rPr>
        <w:t xml:space="preserve"> The recurring themes </w:t>
      </w:r>
      <w:r w:rsidR="00B91CFD" w:rsidRPr="00E34799">
        <w:rPr>
          <w:rFonts w:ascii="Arial" w:hAnsi="Arial" w:cs="Arial"/>
          <w:color w:val="212121"/>
          <w:sz w:val="24"/>
          <w:szCs w:val="24"/>
          <w:shd w:val="clear" w:color="auto" w:fill="FFFFFF"/>
        </w:rPr>
        <w:t>from the literature are:</w:t>
      </w:r>
    </w:p>
    <w:p w14:paraId="030536AA" w14:textId="13829A24" w:rsidR="00B91CFD" w:rsidRPr="00E34799" w:rsidRDefault="00E16902" w:rsidP="00E34799">
      <w:pPr>
        <w:pStyle w:val="ListParagraph"/>
        <w:numPr>
          <w:ilvl w:val="0"/>
          <w:numId w:val="5"/>
        </w:num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t xml:space="preserve">there is a </w:t>
      </w:r>
      <w:r w:rsidR="00B91CFD" w:rsidRPr="00E34799">
        <w:rPr>
          <w:rFonts w:ascii="Arial" w:hAnsi="Arial" w:cs="Arial"/>
          <w:color w:val="212121"/>
          <w:sz w:val="24"/>
          <w:szCs w:val="24"/>
          <w:shd w:val="clear" w:color="auto" w:fill="FFFFFF"/>
        </w:rPr>
        <w:t xml:space="preserve">starting assumption of an electronic health record (albeit this is valuable with </w:t>
      </w:r>
      <w:r w:rsidRPr="00E34799">
        <w:rPr>
          <w:rFonts w:ascii="Arial" w:hAnsi="Arial" w:cs="Arial"/>
          <w:color w:val="212121"/>
          <w:sz w:val="24"/>
          <w:szCs w:val="24"/>
          <w:shd w:val="clear" w:color="auto" w:fill="FFFFFF"/>
        </w:rPr>
        <w:t>retrospective assessment and development of prognostic features, the contribution prospectively is less).</w:t>
      </w:r>
    </w:p>
    <w:p w14:paraId="42812EAB" w14:textId="77777777" w:rsidR="00212C4A" w:rsidRPr="00E34799" w:rsidRDefault="00212C4A" w:rsidP="00E34799">
      <w:pPr>
        <w:pStyle w:val="ListParagraph"/>
        <w:numPr>
          <w:ilvl w:val="0"/>
          <w:numId w:val="5"/>
        </w:num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t>the disease specificity of the developed prognostication tools.</w:t>
      </w:r>
    </w:p>
    <w:p w14:paraId="4A9B2928" w14:textId="2041B327" w:rsidR="0019222E" w:rsidRPr="00E34799" w:rsidRDefault="00B91CFD" w:rsidP="00E34799">
      <w:pPr>
        <w:pStyle w:val="ListParagraph"/>
        <w:numPr>
          <w:ilvl w:val="0"/>
          <w:numId w:val="5"/>
        </w:num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t>moving from the research environment to one of clinical utility</w:t>
      </w:r>
      <w:r w:rsidR="00E16902" w:rsidRPr="00E34799">
        <w:rPr>
          <w:rFonts w:ascii="Arial" w:hAnsi="Arial" w:cs="Arial"/>
          <w:color w:val="212121"/>
          <w:sz w:val="24"/>
          <w:szCs w:val="24"/>
          <w:shd w:val="clear" w:color="auto" w:fill="FFFFFF"/>
        </w:rPr>
        <w:t xml:space="preserve"> is proposed as the next development.</w:t>
      </w:r>
    </w:p>
    <w:p w14:paraId="34442E8B" w14:textId="0D81231E" w:rsidR="00750689" w:rsidRPr="00E34799" w:rsidRDefault="00212C4A" w:rsidP="00E34799">
      <w:pPr>
        <w:spacing w:line="240" w:lineRule="auto"/>
        <w:rPr>
          <w:rFonts w:ascii="Arial" w:hAnsi="Arial" w:cs="Arial"/>
          <w:color w:val="212121"/>
          <w:sz w:val="24"/>
          <w:szCs w:val="24"/>
          <w:shd w:val="clear" w:color="auto" w:fill="FFFFFF"/>
        </w:rPr>
      </w:pPr>
      <w:r w:rsidRPr="00E34799">
        <w:rPr>
          <w:rFonts w:ascii="Arial" w:hAnsi="Arial" w:cs="Arial"/>
          <w:color w:val="212121"/>
          <w:sz w:val="24"/>
          <w:szCs w:val="24"/>
          <w:shd w:val="clear" w:color="auto" w:fill="FFFFFF"/>
        </w:rPr>
        <w:t xml:space="preserve">This last point requires the contribution of clinical teams to complement the research and digital teams. Each of the articles concludes, in one way or another, that further engagement at the clinical interface is necessary. </w:t>
      </w:r>
      <w:r w:rsidR="00750689" w:rsidRPr="00E34799">
        <w:rPr>
          <w:rFonts w:ascii="Arial" w:hAnsi="Arial" w:cs="Arial"/>
          <w:color w:val="212121"/>
          <w:sz w:val="24"/>
          <w:szCs w:val="24"/>
          <w:shd w:val="clear" w:color="auto" w:fill="FFFFFF"/>
        </w:rPr>
        <w:t xml:space="preserve">The importance of promoting advance care planning and anticipating care is embedded as good practice. The opportunity to recognise these individuals, using prognostication as a means of focusing resources, is the elusive goal. </w:t>
      </w:r>
      <w:r w:rsidRPr="00E34799">
        <w:rPr>
          <w:rFonts w:ascii="Arial" w:hAnsi="Arial" w:cs="Arial"/>
          <w:color w:val="212121"/>
          <w:sz w:val="24"/>
          <w:szCs w:val="24"/>
          <w:shd w:val="clear" w:color="auto" w:fill="FFFFFF"/>
        </w:rPr>
        <w:t>A cohesive approach will shape the development of digital opportunity into routine care. As part of that aspiration, t</w:t>
      </w:r>
      <w:r w:rsidR="00750689" w:rsidRPr="00E34799">
        <w:rPr>
          <w:rFonts w:ascii="Arial" w:hAnsi="Arial" w:cs="Arial"/>
          <w:color w:val="212121"/>
          <w:sz w:val="24"/>
          <w:szCs w:val="24"/>
          <w:shd w:val="clear" w:color="auto" w:fill="FFFFFF"/>
        </w:rPr>
        <w:t>his dissertation explores the feasibility of a prognostication aid (generically rather than disease specific) within the local healthcare service.</w:t>
      </w:r>
    </w:p>
    <w:p w14:paraId="339B77A8" w14:textId="77777777" w:rsidR="00750689" w:rsidRPr="00E34799" w:rsidRDefault="00750689" w:rsidP="00E34799">
      <w:pPr>
        <w:spacing w:line="240" w:lineRule="auto"/>
        <w:rPr>
          <w:rFonts w:ascii="Arial" w:hAnsi="Arial" w:cs="Arial"/>
          <w:color w:val="212121"/>
          <w:sz w:val="24"/>
          <w:szCs w:val="24"/>
          <w:shd w:val="clear" w:color="auto" w:fill="FFFFFF"/>
        </w:rPr>
      </w:pPr>
    </w:p>
    <w:p w14:paraId="56E78C10" w14:textId="056032AC" w:rsidR="00FC63B7" w:rsidRDefault="00FC63B7">
      <w:pPr>
        <w:rPr>
          <w:rFonts w:ascii="Arial" w:hAnsi="Arial" w:cs="Arial"/>
        </w:rPr>
      </w:pPr>
      <w:r>
        <w:rPr>
          <w:rFonts w:ascii="Arial" w:hAnsi="Arial" w:cs="Arial"/>
        </w:rPr>
        <w:br w:type="page"/>
      </w:r>
    </w:p>
    <w:p w14:paraId="59627879" w14:textId="71BF892D" w:rsidR="00FC63B7" w:rsidRDefault="00FC63B7" w:rsidP="00FC63B7">
      <w:pPr>
        <w:spacing w:line="240" w:lineRule="auto"/>
        <w:rPr>
          <w:rFonts w:ascii="Arial" w:hAnsi="Arial" w:cs="Arial"/>
          <w:b/>
          <w:sz w:val="28"/>
          <w:szCs w:val="28"/>
        </w:rPr>
      </w:pPr>
    </w:p>
    <w:p w14:paraId="5BFE802D" w14:textId="77777777" w:rsidR="00BD1620" w:rsidRDefault="00BD1620" w:rsidP="00FC63B7">
      <w:pPr>
        <w:spacing w:line="240" w:lineRule="auto"/>
        <w:rPr>
          <w:rFonts w:ascii="Arial" w:hAnsi="Arial" w:cs="Arial"/>
          <w:b/>
          <w:sz w:val="28"/>
          <w:szCs w:val="28"/>
        </w:rPr>
      </w:pPr>
    </w:p>
    <w:p w14:paraId="31B49DB0" w14:textId="77777777" w:rsidR="00FC63B7" w:rsidRDefault="00FC63B7" w:rsidP="00FC63B7">
      <w:pPr>
        <w:spacing w:line="240" w:lineRule="auto"/>
        <w:rPr>
          <w:rFonts w:ascii="Arial" w:hAnsi="Arial" w:cs="Arial"/>
          <w:b/>
          <w:sz w:val="28"/>
          <w:szCs w:val="28"/>
        </w:rPr>
      </w:pPr>
    </w:p>
    <w:p w14:paraId="791239B5" w14:textId="77777777" w:rsidR="00FC63B7" w:rsidRPr="00F040F0" w:rsidRDefault="00FC63B7" w:rsidP="00FC63B7">
      <w:pPr>
        <w:spacing w:line="240" w:lineRule="auto"/>
        <w:jc w:val="center"/>
        <w:rPr>
          <w:rFonts w:ascii="Arial" w:hAnsi="Arial" w:cs="Arial"/>
          <w:b/>
          <w:sz w:val="28"/>
          <w:szCs w:val="28"/>
        </w:rPr>
      </w:pPr>
      <w:r w:rsidRPr="00F040F0">
        <w:rPr>
          <w:rFonts w:ascii="Arial" w:hAnsi="Arial" w:cs="Arial"/>
          <w:b/>
          <w:sz w:val="28"/>
          <w:szCs w:val="28"/>
        </w:rPr>
        <w:t>CHAPTER 3</w:t>
      </w:r>
    </w:p>
    <w:p w14:paraId="4B3CCD9D" w14:textId="37C93B4E" w:rsidR="00FC63B7" w:rsidRPr="00F040F0" w:rsidRDefault="00DB7FC8" w:rsidP="00FC63B7">
      <w:pPr>
        <w:spacing w:line="240" w:lineRule="auto"/>
        <w:jc w:val="center"/>
        <w:rPr>
          <w:rFonts w:ascii="Arial" w:hAnsi="Arial" w:cs="Arial"/>
          <w:b/>
          <w:sz w:val="28"/>
          <w:szCs w:val="28"/>
        </w:rPr>
      </w:pPr>
      <w:r>
        <w:rPr>
          <w:rFonts w:ascii="Arial" w:hAnsi="Arial" w:cs="Arial"/>
          <w:b/>
          <w:sz w:val="28"/>
          <w:szCs w:val="28"/>
          <w:u w:val="single"/>
        </w:rPr>
        <w:t>Methodology</w:t>
      </w:r>
    </w:p>
    <w:p w14:paraId="76A8D96C" w14:textId="768404D8" w:rsidR="00FC63B7" w:rsidRDefault="00DB7FC8" w:rsidP="00FC63B7">
      <w:pPr>
        <w:spacing w:line="240" w:lineRule="auto"/>
        <w:jc w:val="center"/>
        <w:rPr>
          <w:rFonts w:ascii="Arial" w:hAnsi="Arial" w:cs="Arial"/>
          <w:b/>
          <w:sz w:val="28"/>
          <w:szCs w:val="28"/>
        </w:rPr>
      </w:pPr>
      <w:r>
        <w:rPr>
          <w:rFonts w:ascii="Arial" w:hAnsi="Arial" w:cs="Arial"/>
          <w:b/>
          <w:sz w:val="28"/>
          <w:szCs w:val="28"/>
        </w:rPr>
        <w:t>Known unknowns</w:t>
      </w:r>
    </w:p>
    <w:p w14:paraId="46A9F8D3" w14:textId="77777777" w:rsidR="00FC63B7" w:rsidRPr="00F040F0" w:rsidRDefault="00FC63B7" w:rsidP="00FC63B7">
      <w:pPr>
        <w:spacing w:line="240" w:lineRule="auto"/>
        <w:rPr>
          <w:rFonts w:ascii="Arial" w:hAnsi="Arial" w:cs="Arial"/>
          <w:b/>
          <w:sz w:val="28"/>
          <w:szCs w:val="28"/>
          <w:u w:val="single"/>
        </w:rPr>
      </w:pPr>
    </w:p>
    <w:p w14:paraId="01BB8269" w14:textId="77777777" w:rsidR="00FC63B7" w:rsidRPr="00F040F0" w:rsidRDefault="00FC63B7" w:rsidP="00FC63B7">
      <w:pPr>
        <w:spacing w:line="240" w:lineRule="auto"/>
        <w:rPr>
          <w:rFonts w:ascii="Arial" w:hAnsi="Arial" w:cs="Arial"/>
          <w:sz w:val="24"/>
          <w:szCs w:val="24"/>
        </w:rPr>
      </w:pPr>
    </w:p>
    <w:p w14:paraId="11869BC3"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3.1</w:t>
      </w:r>
      <w:r w:rsidRPr="00F040F0">
        <w:rPr>
          <w:rFonts w:ascii="Arial" w:hAnsi="Arial" w:cs="Arial"/>
          <w:sz w:val="24"/>
          <w:szCs w:val="24"/>
        </w:rPr>
        <w:tab/>
        <w:t xml:space="preserve">Introduction </w:t>
      </w:r>
    </w:p>
    <w:p w14:paraId="7412425C" w14:textId="77777777" w:rsidR="00FC63B7" w:rsidRDefault="00FC63B7" w:rsidP="00FC63B7">
      <w:pPr>
        <w:spacing w:line="240" w:lineRule="auto"/>
        <w:rPr>
          <w:rFonts w:ascii="Arial" w:hAnsi="Arial" w:cs="Arial"/>
          <w:sz w:val="24"/>
          <w:szCs w:val="24"/>
        </w:rPr>
      </w:pPr>
      <w:r w:rsidRPr="00F040F0">
        <w:rPr>
          <w:rFonts w:ascii="Arial" w:hAnsi="Arial" w:cs="Arial"/>
          <w:sz w:val="24"/>
          <w:szCs w:val="24"/>
        </w:rPr>
        <w:t xml:space="preserve">This chapter will </w:t>
      </w:r>
      <w:r>
        <w:rPr>
          <w:rFonts w:ascii="Arial" w:hAnsi="Arial" w:cs="Arial"/>
          <w:sz w:val="24"/>
          <w:szCs w:val="24"/>
        </w:rPr>
        <w:t>consider</w:t>
      </w:r>
      <w:r w:rsidRPr="00F040F0">
        <w:rPr>
          <w:rFonts w:ascii="Arial" w:hAnsi="Arial" w:cs="Arial"/>
          <w:sz w:val="24"/>
          <w:szCs w:val="24"/>
        </w:rPr>
        <w:t xml:space="preserve"> the research onion. The research onion </w:t>
      </w:r>
      <w:r>
        <w:rPr>
          <w:rFonts w:ascii="Arial" w:hAnsi="Arial" w:cs="Arial"/>
          <w:sz w:val="24"/>
          <w:szCs w:val="24"/>
        </w:rPr>
        <w:t xml:space="preserve">(figure 3.1) </w:t>
      </w:r>
      <w:r w:rsidRPr="00F040F0">
        <w:rPr>
          <w:rFonts w:ascii="Arial" w:hAnsi="Arial" w:cs="Arial"/>
          <w:sz w:val="24"/>
          <w:szCs w:val="24"/>
        </w:rPr>
        <w:t>provides a template for a holistic approach to the methodology. It demonstrates the reliability and credibility of this research</w:t>
      </w:r>
      <w:r>
        <w:rPr>
          <w:rFonts w:ascii="Arial" w:hAnsi="Arial" w:cs="Arial"/>
          <w:sz w:val="24"/>
          <w:szCs w:val="24"/>
        </w:rPr>
        <w:t>, ensuring its foundations are solid.</w:t>
      </w:r>
    </w:p>
    <w:p w14:paraId="7B88AEF1"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 xml:space="preserve">Without regurgitating the entire model, the six layers are: </w:t>
      </w:r>
    </w:p>
    <w:p w14:paraId="45AC4691" w14:textId="77777777" w:rsidR="00FC63B7" w:rsidRPr="00F040F0" w:rsidRDefault="00FC63B7" w:rsidP="00FC63B7">
      <w:pPr>
        <w:pStyle w:val="ListParagraph"/>
        <w:numPr>
          <w:ilvl w:val="0"/>
          <w:numId w:val="7"/>
        </w:numPr>
        <w:spacing w:line="240" w:lineRule="auto"/>
        <w:ind w:left="1276"/>
        <w:rPr>
          <w:rFonts w:ascii="Arial" w:hAnsi="Arial" w:cs="Arial"/>
          <w:sz w:val="24"/>
          <w:szCs w:val="24"/>
        </w:rPr>
      </w:pPr>
      <w:r w:rsidRPr="00F040F0">
        <w:rPr>
          <w:rFonts w:ascii="Arial" w:hAnsi="Arial" w:cs="Arial"/>
          <w:sz w:val="24"/>
          <w:szCs w:val="24"/>
        </w:rPr>
        <w:t>Research Philosophy</w:t>
      </w:r>
    </w:p>
    <w:p w14:paraId="7D1BFB9E" w14:textId="77777777" w:rsidR="00FC63B7" w:rsidRPr="00F040F0" w:rsidRDefault="00FC63B7" w:rsidP="00FC63B7">
      <w:pPr>
        <w:pStyle w:val="ListParagraph"/>
        <w:numPr>
          <w:ilvl w:val="0"/>
          <w:numId w:val="7"/>
        </w:numPr>
        <w:spacing w:line="240" w:lineRule="auto"/>
        <w:ind w:left="1276"/>
        <w:rPr>
          <w:rFonts w:ascii="Arial" w:hAnsi="Arial" w:cs="Arial"/>
          <w:sz w:val="24"/>
          <w:szCs w:val="24"/>
        </w:rPr>
      </w:pPr>
      <w:r w:rsidRPr="00F040F0">
        <w:rPr>
          <w:rFonts w:ascii="Arial" w:hAnsi="Arial" w:cs="Arial"/>
          <w:sz w:val="24"/>
          <w:szCs w:val="24"/>
        </w:rPr>
        <w:t>Research Approaches</w:t>
      </w:r>
    </w:p>
    <w:p w14:paraId="3590DF86" w14:textId="77777777" w:rsidR="00FC63B7" w:rsidRPr="00F040F0" w:rsidRDefault="00FC63B7" w:rsidP="00FC63B7">
      <w:pPr>
        <w:pStyle w:val="ListParagraph"/>
        <w:numPr>
          <w:ilvl w:val="0"/>
          <w:numId w:val="7"/>
        </w:numPr>
        <w:spacing w:line="240" w:lineRule="auto"/>
        <w:ind w:left="1276"/>
        <w:rPr>
          <w:rFonts w:ascii="Arial" w:hAnsi="Arial" w:cs="Arial"/>
          <w:sz w:val="24"/>
          <w:szCs w:val="24"/>
        </w:rPr>
      </w:pPr>
      <w:r w:rsidRPr="00F040F0">
        <w:rPr>
          <w:rFonts w:ascii="Arial" w:hAnsi="Arial" w:cs="Arial"/>
          <w:sz w:val="24"/>
          <w:szCs w:val="24"/>
        </w:rPr>
        <w:t>Research Strategies</w:t>
      </w:r>
    </w:p>
    <w:p w14:paraId="11DBECBA" w14:textId="77777777" w:rsidR="00FC63B7" w:rsidRPr="00F040F0" w:rsidRDefault="00FC63B7" w:rsidP="00FC63B7">
      <w:pPr>
        <w:pStyle w:val="ListParagraph"/>
        <w:numPr>
          <w:ilvl w:val="0"/>
          <w:numId w:val="7"/>
        </w:numPr>
        <w:spacing w:line="240" w:lineRule="auto"/>
        <w:ind w:left="1276"/>
        <w:rPr>
          <w:rFonts w:ascii="Arial" w:hAnsi="Arial" w:cs="Arial"/>
          <w:sz w:val="24"/>
          <w:szCs w:val="24"/>
        </w:rPr>
      </w:pPr>
      <w:r w:rsidRPr="00F040F0">
        <w:rPr>
          <w:rFonts w:ascii="Arial" w:hAnsi="Arial" w:cs="Arial"/>
          <w:sz w:val="24"/>
          <w:szCs w:val="24"/>
        </w:rPr>
        <w:t>Choices</w:t>
      </w:r>
    </w:p>
    <w:p w14:paraId="3D155544" w14:textId="77777777" w:rsidR="00FC63B7" w:rsidRPr="00F040F0" w:rsidRDefault="00FC63B7" w:rsidP="00FC63B7">
      <w:pPr>
        <w:pStyle w:val="ListParagraph"/>
        <w:numPr>
          <w:ilvl w:val="0"/>
          <w:numId w:val="7"/>
        </w:numPr>
        <w:spacing w:line="240" w:lineRule="auto"/>
        <w:ind w:left="1276"/>
        <w:rPr>
          <w:rFonts w:ascii="Arial" w:hAnsi="Arial" w:cs="Arial"/>
          <w:sz w:val="24"/>
          <w:szCs w:val="24"/>
        </w:rPr>
      </w:pPr>
      <w:r w:rsidRPr="00F040F0">
        <w:rPr>
          <w:rFonts w:ascii="Arial" w:hAnsi="Arial" w:cs="Arial"/>
          <w:sz w:val="24"/>
          <w:szCs w:val="24"/>
        </w:rPr>
        <w:t>Time Horizons</w:t>
      </w:r>
    </w:p>
    <w:p w14:paraId="7674E64B" w14:textId="77777777" w:rsidR="00FC63B7" w:rsidRPr="00F040F0" w:rsidRDefault="00FC63B7" w:rsidP="00FC63B7">
      <w:pPr>
        <w:pStyle w:val="ListParagraph"/>
        <w:numPr>
          <w:ilvl w:val="0"/>
          <w:numId w:val="7"/>
        </w:numPr>
        <w:spacing w:line="240" w:lineRule="auto"/>
        <w:ind w:left="1276"/>
        <w:rPr>
          <w:rFonts w:ascii="Arial" w:hAnsi="Arial" w:cs="Arial"/>
          <w:sz w:val="24"/>
          <w:szCs w:val="24"/>
        </w:rPr>
      </w:pPr>
      <w:r w:rsidRPr="00F040F0">
        <w:rPr>
          <w:rFonts w:ascii="Arial" w:hAnsi="Arial" w:cs="Arial"/>
          <w:sz w:val="24"/>
          <w:szCs w:val="24"/>
        </w:rPr>
        <w:t>Data Collection Methods</w:t>
      </w:r>
    </w:p>
    <w:p w14:paraId="7DB3CE38" w14:textId="5DC1A37C" w:rsidR="00FC63B7" w:rsidRDefault="00FC63B7" w:rsidP="00FC63B7">
      <w:pPr>
        <w:spacing w:line="240" w:lineRule="auto"/>
        <w:rPr>
          <w:rFonts w:ascii="Arial" w:hAnsi="Arial" w:cs="Arial"/>
          <w:sz w:val="24"/>
          <w:szCs w:val="24"/>
        </w:rPr>
      </w:pPr>
      <w:r w:rsidRPr="00F040F0">
        <w:rPr>
          <w:rFonts w:ascii="Arial" w:hAnsi="Arial" w:cs="Arial"/>
          <w:sz w:val="24"/>
          <w:szCs w:val="24"/>
        </w:rPr>
        <w:t>These help</w:t>
      </w:r>
      <w:r w:rsidR="00797478">
        <w:rPr>
          <w:rFonts w:ascii="Arial" w:hAnsi="Arial" w:cs="Arial"/>
          <w:sz w:val="24"/>
          <w:szCs w:val="24"/>
        </w:rPr>
        <w:t xml:space="preserve"> to</w:t>
      </w:r>
      <w:r w:rsidRPr="00F040F0">
        <w:rPr>
          <w:rFonts w:ascii="Arial" w:hAnsi="Arial" w:cs="Arial"/>
          <w:sz w:val="24"/>
          <w:szCs w:val="24"/>
        </w:rPr>
        <w:t xml:space="preserve"> </w:t>
      </w:r>
      <w:r w:rsidR="00BD1620">
        <w:rPr>
          <w:rFonts w:ascii="Arial" w:hAnsi="Arial" w:cs="Arial"/>
          <w:sz w:val="24"/>
          <w:szCs w:val="24"/>
        </w:rPr>
        <w:t>justify the approach in</w:t>
      </w:r>
      <w:r w:rsidRPr="00F040F0">
        <w:rPr>
          <w:rFonts w:ascii="Arial" w:hAnsi="Arial" w:cs="Arial"/>
          <w:sz w:val="24"/>
          <w:szCs w:val="24"/>
        </w:rPr>
        <w:t xml:space="preserve"> this research: from the broad aspects of the beliefs underpinning the interpretation of the research question (</w:t>
      </w:r>
      <w:r w:rsidR="00797478">
        <w:rPr>
          <w:rFonts w:ascii="Arial" w:hAnsi="Arial" w:cs="Arial"/>
          <w:sz w:val="24"/>
          <w:szCs w:val="24"/>
        </w:rPr>
        <w:t>i.e.,</w:t>
      </w:r>
      <w:r w:rsidRPr="00F040F0">
        <w:rPr>
          <w:rFonts w:ascii="Arial" w:hAnsi="Arial" w:cs="Arial"/>
          <w:sz w:val="24"/>
          <w:szCs w:val="24"/>
        </w:rPr>
        <w:t xml:space="preserve"> the philosophy) to the specifics of the data collection and analysis.  </w:t>
      </w:r>
    </w:p>
    <w:p w14:paraId="75FB27A9" w14:textId="77777777" w:rsidR="00FC63B7" w:rsidRPr="00F040F0" w:rsidRDefault="00FC63B7" w:rsidP="00FC63B7">
      <w:pPr>
        <w:spacing w:line="240" w:lineRule="auto"/>
        <w:rPr>
          <w:rFonts w:ascii="Arial" w:hAnsi="Arial" w:cs="Arial"/>
          <w:sz w:val="24"/>
          <w:szCs w:val="24"/>
        </w:rPr>
      </w:pPr>
    </w:p>
    <w:p w14:paraId="3F2D7F32" w14:textId="77777777" w:rsidR="00FC63B7" w:rsidRPr="00F040F0" w:rsidRDefault="00FC63B7" w:rsidP="00FC63B7">
      <w:pPr>
        <w:spacing w:line="240" w:lineRule="auto"/>
        <w:jc w:val="center"/>
        <w:rPr>
          <w:rFonts w:ascii="Arial" w:hAnsi="Arial" w:cs="Arial"/>
          <w:sz w:val="24"/>
          <w:szCs w:val="24"/>
        </w:rPr>
      </w:pPr>
      <w:r w:rsidRPr="00F040F0">
        <w:rPr>
          <w:rFonts w:ascii="Arial" w:hAnsi="Arial" w:cs="Arial"/>
          <w:noProof/>
          <w:sz w:val="24"/>
          <w:szCs w:val="24"/>
          <w:lang w:eastAsia="en-GB"/>
        </w:rPr>
        <w:drawing>
          <wp:inline distT="0" distB="0" distL="0" distR="0" wp14:anchorId="4F5ABDC2" wp14:editId="672EA187">
            <wp:extent cx="4487110" cy="2895600"/>
            <wp:effectExtent l="0" t="0" r="8890" b="0"/>
            <wp:docPr id="12" name="Picture 12" descr="| Research onion (Saunders et al., 2019, p.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Research onion (Saunders et al., 2019, p. 108)."/>
                    <pic:cNvPicPr>
                      <a:picLocks noChangeAspect="1" noChangeArrowheads="1"/>
                    </pic:cNvPicPr>
                  </pic:nvPicPr>
                  <pic:blipFill rotWithShape="1">
                    <a:blip r:embed="rId24">
                      <a:extLst>
                        <a:ext uri="{28A0092B-C50C-407E-A947-70E740481C1C}">
                          <a14:useLocalDpi xmlns:a14="http://schemas.microsoft.com/office/drawing/2010/main" val="0"/>
                        </a:ext>
                      </a:extLst>
                    </a:blip>
                    <a:srcRect l="1164" t="1814" r="1281"/>
                    <a:stretch/>
                  </pic:blipFill>
                  <pic:spPr bwMode="auto">
                    <a:xfrm>
                      <a:off x="0" y="0"/>
                      <a:ext cx="4554387" cy="2939015"/>
                    </a:xfrm>
                    <a:prstGeom prst="rect">
                      <a:avLst/>
                    </a:prstGeom>
                    <a:noFill/>
                    <a:ln>
                      <a:noFill/>
                    </a:ln>
                    <a:extLst>
                      <a:ext uri="{53640926-AAD7-44D8-BBD7-CCE9431645EC}">
                        <a14:shadowObscured xmlns:a14="http://schemas.microsoft.com/office/drawing/2010/main"/>
                      </a:ext>
                    </a:extLst>
                  </pic:spPr>
                </pic:pic>
              </a:graphicData>
            </a:graphic>
          </wp:inline>
        </w:drawing>
      </w:r>
    </w:p>
    <w:p w14:paraId="4F75844B" w14:textId="77777777" w:rsidR="00FC63B7" w:rsidRPr="00F040F0" w:rsidRDefault="00FC63B7" w:rsidP="00430444">
      <w:pPr>
        <w:spacing w:line="240" w:lineRule="auto"/>
        <w:rPr>
          <w:rFonts w:ascii="Arial" w:hAnsi="Arial" w:cs="Arial"/>
          <w:sz w:val="18"/>
          <w:szCs w:val="18"/>
        </w:rPr>
      </w:pPr>
      <w:r w:rsidRPr="00F040F0">
        <w:rPr>
          <w:rFonts w:ascii="Arial" w:hAnsi="Arial" w:cs="Arial"/>
          <w:sz w:val="18"/>
          <w:szCs w:val="18"/>
        </w:rPr>
        <w:t>Figure 3.1: the research onion (Saunders, Lewis and Thornhill, 2019)</w:t>
      </w:r>
    </w:p>
    <w:p w14:paraId="29BC281A" w14:textId="6161A83F" w:rsidR="00FC63B7" w:rsidRDefault="00FC63B7" w:rsidP="00FC63B7">
      <w:pPr>
        <w:spacing w:line="240" w:lineRule="auto"/>
        <w:rPr>
          <w:rFonts w:ascii="Arial" w:hAnsi="Arial" w:cs="Arial"/>
          <w:sz w:val="24"/>
          <w:szCs w:val="24"/>
        </w:rPr>
      </w:pPr>
      <w:r w:rsidRPr="00F040F0">
        <w:rPr>
          <w:rFonts w:ascii="Arial" w:hAnsi="Arial" w:cs="Arial"/>
          <w:sz w:val="24"/>
          <w:szCs w:val="24"/>
        </w:rPr>
        <w:lastRenderedPageBreak/>
        <w:t xml:space="preserve">The research question posed - feasibility of a prognostication aid </w:t>
      </w:r>
      <w:r w:rsidR="00BD1620">
        <w:rPr>
          <w:rFonts w:ascii="Arial" w:hAnsi="Arial" w:cs="Arial"/>
          <w:sz w:val="24"/>
          <w:szCs w:val="24"/>
        </w:rPr>
        <w:t>to</w:t>
      </w:r>
      <w:r w:rsidRPr="00F040F0">
        <w:rPr>
          <w:rFonts w:ascii="Arial" w:hAnsi="Arial" w:cs="Arial"/>
          <w:sz w:val="24"/>
          <w:szCs w:val="24"/>
        </w:rPr>
        <w:t xml:space="preserve"> promot</w:t>
      </w:r>
      <w:r w:rsidR="00BD1620">
        <w:rPr>
          <w:rFonts w:ascii="Arial" w:hAnsi="Arial" w:cs="Arial"/>
          <w:sz w:val="24"/>
          <w:szCs w:val="24"/>
        </w:rPr>
        <w:t>e</w:t>
      </w:r>
      <w:r w:rsidRPr="00F040F0">
        <w:rPr>
          <w:rFonts w:ascii="Arial" w:hAnsi="Arial" w:cs="Arial"/>
          <w:sz w:val="24"/>
          <w:szCs w:val="24"/>
        </w:rPr>
        <w:t xml:space="preserve"> advance care planning - requires some triangulation. Specifically, a quantitative component is essential to the later qualitative aspect as the published findings (Clark et al., 2014) appear implausible. Demonstrating the local profile of the hospitalised cohort will localise the subsequent discussion and add value in identifying where holistic support can be targeted. </w:t>
      </w:r>
    </w:p>
    <w:p w14:paraId="7A806BD3" w14:textId="77777777" w:rsidR="00BD1620" w:rsidRPr="00F040F0" w:rsidRDefault="00BD1620" w:rsidP="00FC63B7">
      <w:pPr>
        <w:spacing w:line="240" w:lineRule="auto"/>
        <w:rPr>
          <w:rFonts w:ascii="Arial" w:hAnsi="Arial" w:cs="Arial"/>
          <w:sz w:val="24"/>
          <w:szCs w:val="24"/>
        </w:rPr>
      </w:pPr>
    </w:p>
    <w:p w14:paraId="325B43C4" w14:textId="00D6937A" w:rsidR="00FC63B7" w:rsidRPr="00933871" w:rsidRDefault="00FC63B7" w:rsidP="00FC63B7">
      <w:pPr>
        <w:spacing w:line="240" w:lineRule="auto"/>
        <w:rPr>
          <w:rFonts w:ascii="Arial" w:hAnsi="Arial" w:cs="Arial"/>
          <w:sz w:val="24"/>
          <w:szCs w:val="24"/>
        </w:rPr>
      </w:pPr>
      <w:r w:rsidRPr="00933871">
        <w:rPr>
          <w:rFonts w:ascii="Arial" w:hAnsi="Arial" w:cs="Arial"/>
          <w:sz w:val="24"/>
          <w:szCs w:val="24"/>
        </w:rPr>
        <w:t>3.2</w:t>
      </w:r>
      <w:r w:rsidRPr="00933871">
        <w:rPr>
          <w:rFonts w:ascii="Arial" w:hAnsi="Arial" w:cs="Arial"/>
          <w:sz w:val="24"/>
          <w:szCs w:val="24"/>
        </w:rPr>
        <w:tab/>
      </w:r>
      <w:r w:rsidR="00660AF6">
        <w:rPr>
          <w:rFonts w:ascii="Arial" w:hAnsi="Arial" w:cs="Arial"/>
          <w:sz w:val="24"/>
          <w:szCs w:val="24"/>
        </w:rPr>
        <w:t>Justification for approach</w:t>
      </w:r>
    </w:p>
    <w:p w14:paraId="72437344" w14:textId="5F97FE2D"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 xml:space="preserve">This section will draw out </w:t>
      </w:r>
      <w:r w:rsidR="00660AF6">
        <w:rPr>
          <w:rFonts w:ascii="Arial" w:hAnsi="Arial" w:cs="Arial"/>
          <w:sz w:val="24"/>
          <w:szCs w:val="24"/>
        </w:rPr>
        <w:t xml:space="preserve">the rationale behind </w:t>
      </w:r>
      <w:r w:rsidRPr="00F040F0">
        <w:rPr>
          <w:rFonts w:ascii="Arial" w:hAnsi="Arial" w:cs="Arial"/>
          <w:sz w:val="24"/>
          <w:szCs w:val="24"/>
        </w:rPr>
        <w:t>three methods. The first is the narrow focus that is necessary for the quantitative component. Before consideration of the wider, interactive methods required to capture the lived reality (and perspectives) from the qualitative component. These two aspects will complement each other in understanding the feasibility of the use of a tool in identifying those in their last year of life that might be available. The final sub-section will introduce the tools being adopted for the data analysis.</w:t>
      </w:r>
      <w:r w:rsidR="00EE323A">
        <w:rPr>
          <w:rFonts w:ascii="Arial" w:hAnsi="Arial" w:cs="Arial"/>
          <w:sz w:val="24"/>
          <w:szCs w:val="24"/>
        </w:rPr>
        <w:t xml:space="preserve"> These methods, in combination, will enable appreciation of the feasibility of a prognostic aid in promoting advance care planning.</w:t>
      </w:r>
    </w:p>
    <w:p w14:paraId="20A9F955" w14:textId="77777777" w:rsidR="00FC63B7" w:rsidRPr="00F040F0" w:rsidRDefault="00FC63B7" w:rsidP="00FC63B7">
      <w:pPr>
        <w:spacing w:line="240" w:lineRule="auto"/>
        <w:rPr>
          <w:rFonts w:ascii="Arial" w:hAnsi="Arial" w:cs="Arial"/>
          <w:sz w:val="24"/>
          <w:szCs w:val="24"/>
        </w:rPr>
      </w:pPr>
    </w:p>
    <w:p w14:paraId="33CEEEA6" w14:textId="24613FB9"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3.</w:t>
      </w:r>
      <w:r w:rsidR="00660AF6">
        <w:rPr>
          <w:rFonts w:ascii="Arial" w:hAnsi="Arial" w:cs="Arial"/>
          <w:sz w:val="24"/>
          <w:szCs w:val="24"/>
        </w:rPr>
        <w:t>3</w:t>
      </w:r>
      <w:r w:rsidRPr="00F040F0">
        <w:rPr>
          <w:rFonts w:ascii="Arial" w:hAnsi="Arial" w:cs="Arial"/>
          <w:sz w:val="24"/>
          <w:szCs w:val="24"/>
        </w:rPr>
        <w:tab/>
        <w:t>Quantitative</w:t>
      </w:r>
    </w:p>
    <w:p w14:paraId="24A615B2"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This aspect starts from a philosophy of positivism (in contrast to: critical realism, interpretivism, postmodernism or pragmatism (Saunders, Lewis and Thornhill, 2007)). Short of deviating to explore these philosophical starting points, table 3.1 draws out the pertinent points of positivism. The terminology has also been clarified, so the transparent and objective features will be evident.</w:t>
      </w:r>
    </w:p>
    <w:p w14:paraId="129B1AC5" w14:textId="77777777" w:rsidR="00FC63B7" w:rsidRDefault="00FC63B7" w:rsidP="00FC63B7">
      <w:pPr>
        <w:spacing w:line="240" w:lineRule="auto"/>
        <w:rPr>
          <w:rFonts w:ascii="Arial" w:hAnsi="Arial" w:cs="Arial"/>
          <w:sz w:val="18"/>
          <w:szCs w:val="18"/>
        </w:rPr>
      </w:pPr>
    </w:p>
    <w:p w14:paraId="635EA785" w14:textId="77777777" w:rsidR="00FC63B7" w:rsidRPr="00F040F0" w:rsidRDefault="00FC63B7" w:rsidP="00430444">
      <w:pPr>
        <w:spacing w:line="240" w:lineRule="auto"/>
        <w:rPr>
          <w:rFonts w:ascii="Arial" w:hAnsi="Arial" w:cs="Arial"/>
          <w:sz w:val="18"/>
          <w:szCs w:val="18"/>
        </w:rPr>
      </w:pPr>
      <w:r w:rsidRPr="00F040F0">
        <w:rPr>
          <w:rFonts w:ascii="Arial" w:hAnsi="Arial" w:cs="Arial"/>
          <w:sz w:val="18"/>
          <w:szCs w:val="18"/>
        </w:rPr>
        <w:t>Table 3.1: Defining positivism (Saunders, Lewis and Thornhill, 2007)</w:t>
      </w:r>
    </w:p>
    <w:p w14:paraId="414D7CBF" w14:textId="77777777" w:rsidR="00FC63B7" w:rsidRPr="00F040F0" w:rsidRDefault="00FC63B7" w:rsidP="00FC63B7">
      <w:pPr>
        <w:spacing w:line="240" w:lineRule="auto"/>
        <w:jc w:val="center"/>
        <w:rPr>
          <w:rFonts w:ascii="Arial" w:hAnsi="Arial" w:cs="Arial"/>
          <w:sz w:val="24"/>
          <w:szCs w:val="24"/>
        </w:rPr>
      </w:pPr>
      <w:r w:rsidRPr="00F040F0">
        <w:rPr>
          <w:rFonts w:ascii="Arial" w:hAnsi="Arial" w:cs="Arial"/>
          <w:noProof/>
          <w:sz w:val="24"/>
          <w:szCs w:val="24"/>
          <w:lang w:eastAsia="en-GB"/>
        </w:rPr>
        <w:drawing>
          <wp:inline distT="0" distB="0" distL="0" distR="0" wp14:anchorId="02F7A106" wp14:editId="70E902A6">
            <wp:extent cx="5887844" cy="1981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149" t="14032" r="6105"/>
                    <a:stretch/>
                  </pic:blipFill>
                  <pic:spPr bwMode="auto">
                    <a:xfrm>
                      <a:off x="0" y="0"/>
                      <a:ext cx="5932723" cy="1996301"/>
                    </a:xfrm>
                    <a:prstGeom prst="rect">
                      <a:avLst/>
                    </a:prstGeom>
                    <a:ln>
                      <a:noFill/>
                    </a:ln>
                    <a:extLst>
                      <a:ext uri="{53640926-AAD7-44D8-BBD7-CCE9431645EC}">
                        <a14:shadowObscured xmlns:a14="http://schemas.microsoft.com/office/drawing/2010/main"/>
                      </a:ext>
                    </a:extLst>
                  </pic:spPr>
                </pic:pic>
              </a:graphicData>
            </a:graphic>
          </wp:inline>
        </w:drawing>
      </w:r>
    </w:p>
    <w:p w14:paraId="54B786A6" w14:textId="77777777" w:rsidR="00FC63B7" w:rsidRDefault="00FC63B7" w:rsidP="00FC63B7">
      <w:pPr>
        <w:spacing w:line="240" w:lineRule="auto"/>
        <w:rPr>
          <w:rFonts w:ascii="Arial" w:hAnsi="Arial" w:cs="Arial"/>
          <w:sz w:val="24"/>
          <w:szCs w:val="24"/>
        </w:rPr>
      </w:pPr>
    </w:p>
    <w:p w14:paraId="1FB5714A"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The reality of the outcomes for those admitted to hospital has been seen in Scotland (Clark et al., 2014). Despite publication, the figures remain at a point of incredulity. The intention is to simulate a similar study across North Wales to explore the local experience of hospital admissions. Having local data that can be ‘posited’ – that is put forward as fact or as a basis for discussion – will add credence (or not) to the subsequent qualitative discussions.</w:t>
      </w:r>
    </w:p>
    <w:p w14:paraId="0EC7D557" w14:textId="06A4E0E2" w:rsidR="00FC63B7" w:rsidRPr="00660AF6" w:rsidRDefault="00660AF6" w:rsidP="00FC63B7">
      <w:pPr>
        <w:spacing w:line="240" w:lineRule="auto"/>
        <w:rPr>
          <w:rFonts w:ascii="Arial" w:hAnsi="Arial" w:cs="Arial"/>
          <w:bCs/>
          <w:sz w:val="24"/>
          <w:szCs w:val="24"/>
        </w:rPr>
      </w:pPr>
      <w:r w:rsidRPr="00660AF6">
        <w:rPr>
          <w:rFonts w:ascii="Arial" w:hAnsi="Arial" w:cs="Arial"/>
          <w:bCs/>
          <w:sz w:val="24"/>
          <w:szCs w:val="24"/>
        </w:rPr>
        <w:lastRenderedPageBreak/>
        <w:t>3.31</w:t>
      </w:r>
      <w:r w:rsidRPr="00660AF6">
        <w:rPr>
          <w:rFonts w:ascii="Arial" w:hAnsi="Arial" w:cs="Arial"/>
          <w:bCs/>
          <w:sz w:val="24"/>
          <w:szCs w:val="24"/>
        </w:rPr>
        <w:tab/>
        <w:t>Prevalent cohort study</w:t>
      </w:r>
    </w:p>
    <w:p w14:paraId="381BDAEC" w14:textId="77777777" w:rsidR="00FC63B7" w:rsidRPr="00F040F0" w:rsidRDefault="00FC63B7" w:rsidP="00FC63B7">
      <w:pPr>
        <w:spacing w:line="240" w:lineRule="auto"/>
        <w:rPr>
          <w:rFonts w:ascii="Arial" w:hAnsi="Arial" w:cs="Arial"/>
          <w:b/>
          <w:sz w:val="24"/>
          <w:szCs w:val="24"/>
        </w:rPr>
      </w:pPr>
      <w:r w:rsidRPr="00F040F0">
        <w:rPr>
          <w:rFonts w:ascii="Arial" w:hAnsi="Arial" w:cs="Arial"/>
          <w:b/>
          <w:sz w:val="24"/>
          <w:szCs w:val="24"/>
        </w:rPr>
        <w:t>On a census date, what proportion of inpatients, in North Wales, will die within 7 days, 30 days, 3 months and 6 months?</w:t>
      </w:r>
    </w:p>
    <w:p w14:paraId="1FAA6DD9" w14:textId="036BD9C5" w:rsidR="00FC63B7" w:rsidRPr="00F040F0" w:rsidRDefault="00FC63B7" w:rsidP="00574317">
      <w:pPr>
        <w:spacing w:after="0" w:line="240" w:lineRule="auto"/>
        <w:rPr>
          <w:rFonts w:ascii="Arial" w:hAnsi="Arial" w:cs="Arial"/>
          <w:sz w:val="24"/>
          <w:szCs w:val="24"/>
        </w:rPr>
      </w:pPr>
      <w:r w:rsidRPr="00F040F0">
        <w:rPr>
          <w:rFonts w:ascii="Arial" w:hAnsi="Arial" w:cs="Arial"/>
          <w:sz w:val="24"/>
          <w:szCs w:val="24"/>
        </w:rPr>
        <w:t xml:space="preserve">A comprehensive purposive approach was possible. There are three district general hospitals across North Wales, all providing emergency care and acute admission. The inclusion criteria </w:t>
      </w:r>
      <w:r w:rsidR="00797478" w:rsidRPr="00F040F0">
        <w:rPr>
          <w:rFonts w:ascii="Arial" w:hAnsi="Arial" w:cs="Arial"/>
          <w:sz w:val="24"/>
          <w:szCs w:val="24"/>
        </w:rPr>
        <w:t>were</w:t>
      </w:r>
      <w:r w:rsidRPr="00F040F0">
        <w:rPr>
          <w:rFonts w:ascii="Arial" w:hAnsi="Arial" w:cs="Arial"/>
          <w:sz w:val="24"/>
          <w:szCs w:val="24"/>
        </w:rPr>
        <w:t xml:space="preserve"> being:</w:t>
      </w:r>
    </w:p>
    <w:p w14:paraId="6844D6B3" w14:textId="77777777" w:rsidR="00FC63B7" w:rsidRPr="00F040F0" w:rsidRDefault="00FC63B7" w:rsidP="00FC63B7">
      <w:pPr>
        <w:pStyle w:val="ListParagraph"/>
        <w:numPr>
          <w:ilvl w:val="0"/>
          <w:numId w:val="8"/>
        </w:numPr>
        <w:spacing w:line="240" w:lineRule="auto"/>
        <w:ind w:left="851"/>
        <w:rPr>
          <w:rFonts w:ascii="Arial" w:hAnsi="Arial" w:cs="Arial"/>
          <w:sz w:val="24"/>
          <w:szCs w:val="24"/>
        </w:rPr>
      </w:pPr>
      <w:r w:rsidRPr="00F040F0">
        <w:rPr>
          <w:rFonts w:ascii="Arial" w:hAnsi="Arial" w:cs="Arial"/>
          <w:sz w:val="24"/>
          <w:szCs w:val="24"/>
        </w:rPr>
        <w:t>at least 18 years of age at the time of admission</w:t>
      </w:r>
    </w:p>
    <w:p w14:paraId="33ED8C10" w14:textId="77777777" w:rsidR="00FC63B7" w:rsidRPr="00F040F0" w:rsidRDefault="00FC63B7" w:rsidP="00574317">
      <w:pPr>
        <w:pStyle w:val="ListParagraph"/>
        <w:numPr>
          <w:ilvl w:val="0"/>
          <w:numId w:val="8"/>
        </w:numPr>
        <w:spacing w:after="0" w:line="240" w:lineRule="auto"/>
        <w:ind w:left="851"/>
        <w:rPr>
          <w:rFonts w:ascii="Arial" w:hAnsi="Arial" w:cs="Arial"/>
          <w:sz w:val="24"/>
          <w:szCs w:val="24"/>
        </w:rPr>
      </w:pPr>
      <w:r w:rsidRPr="00F040F0">
        <w:rPr>
          <w:rFonts w:ascii="Arial" w:hAnsi="Arial" w:cs="Arial"/>
          <w:sz w:val="24"/>
          <w:szCs w:val="24"/>
        </w:rPr>
        <w:t>a hospital inpatient on 1</w:t>
      </w:r>
      <w:r w:rsidRPr="00F040F0">
        <w:rPr>
          <w:rFonts w:ascii="Arial" w:hAnsi="Arial" w:cs="Arial"/>
          <w:sz w:val="24"/>
          <w:szCs w:val="24"/>
          <w:vertAlign w:val="superscript"/>
        </w:rPr>
        <w:t>st</w:t>
      </w:r>
      <w:r w:rsidRPr="00F040F0">
        <w:rPr>
          <w:rFonts w:ascii="Arial" w:hAnsi="Arial" w:cs="Arial"/>
          <w:sz w:val="24"/>
          <w:szCs w:val="24"/>
        </w:rPr>
        <w:t xml:space="preserve"> July 2024 (that is that they had a date of admission 30th June 2024 (or earlier) and a date of discharge 1</w:t>
      </w:r>
      <w:r w:rsidRPr="00F040F0">
        <w:rPr>
          <w:rFonts w:ascii="Arial" w:hAnsi="Arial" w:cs="Arial"/>
          <w:sz w:val="24"/>
          <w:szCs w:val="24"/>
          <w:vertAlign w:val="superscript"/>
        </w:rPr>
        <w:t>st</w:t>
      </w:r>
      <w:r>
        <w:rPr>
          <w:rFonts w:ascii="Arial" w:hAnsi="Arial" w:cs="Arial"/>
          <w:sz w:val="24"/>
          <w:szCs w:val="24"/>
        </w:rPr>
        <w:t xml:space="preserve"> July 2024 (or later)</w:t>
      </w:r>
    </w:p>
    <w:p w14:paraId="3B22FF08" w14:textId="77777777" w:rsidR="00FC63B7" w:rsidRPr="00F040F0" w:rsidRDefault="00FC63B7" w:rsidP="00574317">
      <w:pPr>
        <w:spacing w:after="0" w:line="240" w:lineRule="auto"/>
        <w:rPr>
          <w:rFonts w:ascii="Arial" w:hAnsi="Arial" w:cs="Arial"/>
          <w:sz w:val="24"/>
          <w:szCs w:val="24"/>
        </w:rPr>
      </w:pPr>
      <w:r w:rsidRPr="00F040F0">
        <w:rPr>
          <w:rFonts w:ascii="Arial" w:hAnsi="Arial" w:cs="Arial"/>
          <w:sz w:val="24"/>
          <w:szCs w:val="24"/>
        </w:rPr>
        <w:t>Excluded were:</w:t>
      </w:r>
    </w:p>
    <w:p w14:paraId="489E98BE" w14:textId="77777777" w:rsidR="00FC63B7" w:rsidRPr="00F040F0" w:rsidRDefault="00FC63B7" w:rsidP="00FC63B7">
      <w:pPr>
        <w:pStyle w:val="ListParagraph"/>
        <w:numPr>
          <w:ilvl w:val="0"/>
          <w:numId w:val="9"/>
        </w:numPr>
        <w:spacing w:line="240" w:lineRule="auto"/>
        <w:ind w:left="851"/>
        <w:rPr>
          <w:rFonts w:ascii="Arial" w:hAnsi="Arial" w:cs="Arial"/>
          <w:sz w:val="24"/>
          <w:szCs w:val="24"/>
        </w:rPr>
      </w:pPr>
      <w:r w:rsidRPr="00F040F0">
        <w:rPr>
          <w:rFonts w:ascii="Arial" w:hAnsi="Arial" w:cs="Arial"/>
          <w:sz w:val="24"/>
          <w:szCs w:val="24"/>
        </w:rPr>
        <w:t>Patients admitted to obstetrics</w:t>
      </w:r>
    </w:p>
    <w:p w14:paraId="07568BC4" w14:textId="77777777" w:rsidR="00FC63B7" w:rsidRPr="00F040F0" w:rsidRDefault="00FC63B7" w:rsidP="00FC63B7">
      <w:pPr>
        <w:pStyle w:val="ListParagraph"/>
        <w:numPr>
          <w:ilvl w:val="0"/>
          <w:numId w:val="9"/>
        </w:numPr>
        <w:spacing w:line="240" w:lineRule="auto"/>
        <w:ind w:left="851"/>
        <w:rPr>
          <w:rFonts w:ascii="Arial" w:hAnsi="Arial" w:cs="Arial"/>
          <w:sz w:val="24"/>
          <w:szCs w:val="24"/>
        </w:rPr>
      </w:pPr>
      <w:r w:rsidRPr="00F040F0">
        <w:rPr>
          <w:rFonts w:ascii="Arial" w:hAnsi="Arial" w:cs="Arial"/>
          <w:sz w:val="24"/>
          <w:szCs w:val="24"/>
        </w:rPr>
        <w:t>Patients admitted to psychiatry</w:t>
      </w:r>
    </w:p>
    <w:p w14:paraId="1E3C9068" w14:textId="6305DED3"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These were used in order to correlate, most accurately, with the published paper from Scotland (Clark et al., 2014). Community hospitals, ‘geriatric long stay’ units and elective operative sites were similarly excluded given their less acute profile.</w:t>
      </w:r>
      <w:r w:rsidR="00660AF6">
        <w:rPr>
          <w:rFonts w:ascii="Arial" w:hAnsi="Arial" w:cs="Arial"/>
          <w:sz w:val="24"/>
          <w:szCs w:val="24"/>
        </w:rPr>
        <w:t xml:space="preserve"> The observed measure was whether the census cohort were alive at the specified time points.</w:t>
      </w:r>
    </w:p>
    <w:p w14:paraId="147CB416"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 xml:space="preserve">For absolute clarity, as detailed in the ethics </w:t>
      </w:r>
      <w:r w:rsidRPr="00A32CA0">
        <w:rPr>
          <w:rFonts w:ascii="Arial" w:hAnsi="Arial" w:cs="Arial"/>
          <w:sz w:val="24"/>
          <w:szCs w:val="24"/>
        </w:rPr>
        <w:t>submission (see Appendix A), there were no patient details necessary for this aspect of the project</w:t>
      </w:r>
      <w:r w:rsidRPr="00F040F0">
        <w:rPr>
          <w:rFonts w:ascii="Arial" w:hAnsi="Arial" w:cs="Arial"/>
          <w:sz w:val="24"/>
          <w:szCs w:val="24"/>
        </w:rPr>
        <w:t xml:space="preserve">. The focus was at an epidemiological level so zero requirement for any individual identifiable information. The local informatics department ensured the shared data was summarised appropriately. </w:t>
      </w:r>
    </w:p>
    <w:p w14:paraId="0F155C5A" w14:textId="77777777" w:rsidR="00FC63B7" w:rsidRPr="00F040F0" w:rsidRDefault="00FC63B7" w:rsidP="00FC63B7">
      <w:pPr>
        <w:spacing w:line="240" w:lineRule="auto"/>
        <w:rPr>
          <w:rFonts w:ascii="Arial" w:hAnsi="Arial" w:cs="Arial"/>
          <w:sz w:val="24"/>
          <w:szCs w:val="24"/>
        </w:rPr>
      </w:pPr>
    </w:p>
    <w:p w14:paraId="4184B08D" w14:textId="62ABE2D8"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3.</w:t>
      </w:r>
      <w:r w:rsidR="00660AF6">
        <w:rPr>
          <w:rFonts w:ascii="Arial" w:hAnsi="Arial" w:cs="Arial"/>
          <w:sz w:val="24"/>
          <w:szCs w:val="24"/>
        </w:rPr>
        <w:t>4</w:t>
      </w:r>
      <w:r w:rsidRPr="00F040F0">
        <w:rPr>
          <w:rFonts w:ascii="Arial" w:hAnsi="Arial" w:cs="Arial"/>
          <w:sz w:val="24"/>
          <w:szCs w:val="24"/>
        </w:rPr>
        <w:tab/>
        <w:t>Qualitative</w:t>
      </w:r>
    </w:p>
    <w:p w14:paraId="1A75F27B" w14:textId="3C431EBE"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In isolation, this qualitative component would hold a philosophy of interpretivism. Interpretivism emphasizes the human component of research. It seeks a richer understanding acknowledging that the world is a place of non-conformity - that healthcare is an art and not a science (</w:t>
      </w:r>
      <w:r w:rsidR="00797478" w:rsidRPr="00F040F0">
        <w:rPr>
          <w:rFonts w:ascii="Arial" w:hAnsi="Arial" w:cs="Arial"/>
          <w:sz w:val="24"/>
          <w:szCs w:val="24"/>
        </w:rPr>
        <w:t>i.e.,</w:t>
      </w:r>
      <w:r w:rsidRPr="00F040F0">
        <w:rPr>
          <w:rFonts w:ascii="Arial" w:hAnsi="Arial" w:cs="Arial"/>
          <w:sz w:val="24"/>
          <w:szCs w:val="24"/>
        </w:rPr>
        <w:t xml:space="preserve"> it is not comprised of universal ‘laws’). However, in alliance with the outcomes from the quantitative research above, it is more akin to an approach of pragmatism. This philosophy would declare that, “pragmatism asserts that concepts are only relevant where they support action” (Kelemen and Rumens, 2008). This dissertation focuses on a clinical challenge and its research problem. Clinicians reside in applied reality (rather than the theoretical academic environment) and seek practical solutions. Hence the engagement necessary with this qualitative component to understand the feasibility of this practical solution and whether it might inform practice.</w:t>
      </w:r>
    </w:p>
    <w:p w14:paraId="6C0973C4" w14:textId="77777777" w:rsidR="00574317" w:rsidRDefault="00574317" w:rsidP="00FC63B7">
      <w:pPr>
        <w:spacing w:line="240" w:lineRule="auto"/>
        <w:rPr>
          <w:rFonts w:ascii="Arial" w:hAnsi="Arial" w:cs="Arial"/>
          <w:sz w:val="24"/>
          <w:szCs w:val="24"/>
        </w:rPr>
      </w:pPr>
    </w:p>
    <w:p w14:paraId="2F0EA214" w14:textId="64E97A65" w:rsidR="00660AF6" w:rsidRDefault="00660AF6" w:rsidP="00FC63B7">
      <w:pPr>
        <w:spacing w:line="240" w:lineRule="auto"/>
        <w:rPr>
          <w:rFonts w:ascii="Arial" w:hAnsi="Arial" w:cs="Arial"/>
          <w:sz w:val="24"/>
          <w:szCs w:val="24"/>
        </w:rPr>
      </w:pPr>
      <w:r>
        <w:rPr>
          <w:rFonts w:ascii="Arial" w:hAnsi="Arial" w:cs="Arial"/>
          <w:sz w:val="24"/>
          <w:szCs w:val="24"/>
        </w:rPr>
        <w:t>3.41</w:t>
      </w:r>
      <w:r>
        <w:rPr>
          <w:rFonts w:ascii="Arial" w:hAnsi="Arial" w:cs="Arial"/>
          <w:sz w:val="24"/>
          <w:szCs w:val="24"/>
        </w:rPr>
        <w:tab/>
        <w:t>Semi-structured interview</w:t>
      </w:r>
    </w:p>
    <w:p w14:paraId="47B8E5A3" w14:textId="77777777" w:rsidR="00660AF6" w:rsidRDefault="00FC63B7" w:rsidP="00FC63B7">
      <w:pPr>
        <w:spacing w:line="240" w:lineRule="auto"/>
        <w:rPr>
          <w:rFonts w:ascii="Arial" w:hAnsi="Arial" w:cs="Arial"/>
          <w:sz w:val="24"/>
          <w:szCs w:val="24"/>
        </w:rPr>
      </w:pPr>
      <w:r w:rsidRPr="00F040F0">
        <w:rPr>
          <w:rFonts w:ascii="Arial" w:hAnsi="Arial" w:cs="Arial"/>
          <w:sz w:val="24"/>
          <w:szCs w:val="24"/>
        </w:rPr>
        <w:t>Semi structured interviews were arranged with a range of professionals. A deliberate choice was to look beyond the specialty of Palliative Medicine and engage with clinicians palliating patients. (Specialist Palliative Care being involved with the complex minority rather than the clinician supporting their more generalised palliative, with a small ‘p’, population.) Approaches were made to several medical doctors and clinic</w:t>
      </w:r>
      <w:r w:rsidR="00660AF6">
        <w:rPr>
          <w:rFonts w:ascii="Arial" w:hAnsi="Arial" w:cs="Arial"/>
          <w:sz w:val="24"/>
          <w:szCs w:val="24"/>
        </w:rPr>
        <w:t>ians across several departments.</w:t>
      </w:r>
    </w:p>
    <w:p w14:paraId="011FDF9E" w14:textId="22793A1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lastRenderedPageBreak/>
        <w:t>Time was set aside to protect these “conversations with a purpose” (Burgess, 1984). Initially details of the dissertation were shared alongside the rich picture (</w:t>
      </w:r>
      <w:r w:rsidRPr="00430444">
        <w:rPr>
          <w:rFonts w:ascii="Arial" w:hAnsi="Arial" w:cs="Arial"/>
          <w:sz w:val="24"/>
          <w:szCs w:val="24"/>
        </w:rPr>
        <w:t>figure 1</w:t>
      </w:r>
      <w:r w:rsidR="00430444" w:rsidRPr="00430444">
        <w:rPr>
          <w:rFonts w:ascii="Arial" w:hAnsi="Arial" w:cs="Arial"/>
          <w:sz w:val="24"/>
          <w:szCs w:val="24"/>
        </w:rPr>
        <w:t>.1</w:t>
      </w:r>
      <w:r w:rsidRPr="00430444">
        <w:rPr>
          <w:rFonts w:ascii="Arial" w:hAnsi="Arial" w:cs="Arial"/>
          <w:sz w:val="24"/>
          <w:szCs w:val="24"/>
        </w:rPr>
        <w:t>).</w:t>
      </w:r>
      <w:r w:rsidRPr="00F040F0">
        <w:rPr>
          <w:rFonts w:ascii="Arial" w:hAnsi="Arial" w:cs="Arial"/>
          <w:sz w:val="24"/>
          <w:szCs w:val="24"/>
        </w:rPr>
        <w:t xml:space="preserve"> An explanation as to the aspiration of the project, and specifically this phase of considering its feasibility. Consent was given for recording of the conversation in order that the details could be accurately recalled. The potential for review (or withdrawal of consent) by the interviewee was also made. The intention was that although there was a core of open questions these guided the interaction rather than forming a formal interview. The prompts ensured that the essential ideas and components were explored, typically according to the anticipated flow of the questions, but also provided the opportunity for some topics to be unpicked in greater detail. Face-to-face interaction enabled active listening (specific examples were: the reading of body language, clarifying nuances and reflection) and sensitivity in gaining a richer context in deviating (at times) from the script. This freedom to express views (or for the interviewer to probe and explore) brings added value in testing the feasibility of this research proposal.</w:t>
      </w:r>
      <w:r w:rsidR="00660AF6">
        <w:rPr>
          <w:rFonts w:ascii="Arial" w:hAnsi="Arial" w:cs="Arial"/>
          <w:sz w:val="24"/>
          <w:szCs w:val="24"/>
        </w:rPr>
        <w:t xml:space="preserve"> The output measure from the semi-structured interviews is the dialogue itself.</w:t>
      </w:r>
    </w:p>
    <w:p w14:paraId="3ED256FD" w14:textId="77777777" w:rsidR="00FC63B7" w:rsidRPr="00F040F0" w:rsidRDefault="00FC63B7" w:rsidP="00FC63B7">
      <w:pPr>
        <w:spacing w:line="240" w:lineRule="auto"/>
        <w:rPr>
          <w:rFonts w:ascii="Arial" w:hAnsi="Arial" w:cs="Arial"/>
          <w:sz w:val="24"/>
          <w:szCs w:val="24"/>
        </w:rPr>
      </w:pPr>
    </w:p>
    <w:p w14:paraId="265FF04B" w14:textId="211BA659"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3.</w:t>
      </w:r>
      <w:r w:rsidR="00660AF6">
        <w:rPr>
          <w:rFonts w:ascii="Arial" w:hAnsi="Arial" w:cs="Arial"/>
          <w:sz w:val="24"/>
          <w:szCs w:val="24"/>
        </w:rPr>
        <w:t>5</w:t>
      </w:r>
      <w:r w:rsidRPr="00F040F0">
        <w:rPr>
          <w:rFonts w:ascii="Arial" w:hAnsi="Arial" w:cs="Arial"/>
          <w:sz w:val="24"/>
          <w:szCs w:val="24"/>
        </w:rPr>
        <w:tab/>
        <w:t>Data analysis</w:t>
      </w:r>
      <w:r w:rsidRPr="00F040F0">
        <w:rPr>
          <w:rFonts w:ascii="Arial" w:hAnsi="Arial" w:cs="Arial"/>
          <w:sz w:val="24"/>
          <w:szCs w:val="24"/>
        </w:rPr>
        <w:tab/>
      </w:r>
      <w:r w:rsidRPr="00F040F0">
        <w:rPr>
          <w:rFonts w:ascii="Arial" w:hAnsi="Arial" w:cs="Arial"/>
          <w:sz w:val="24"/>
          <w:szCs w:val="24"/>
        </w:rPr>
        <w:tab/>
      </w:r>
      <w:r w:rsidRPr="00F040F0">
        <w:rPr>
          <w:rFonts w:ascii="Arial" w:hAnsi="Arial" w:cs="Arial"/>
          <w:sz w:val="24"/>
          <w:szCs w:val="24"/>
        </w:rPr>
        <w:tab/>
      </w:r>
    </w:p>
    <w:p w14:paraId="49923E05"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 xml:space="preserve">The quantitative data in this research is essentially a nominal variable. Therefore, for this study there is only consideration of a single outcome making univariate analysis appropriate. The categorical data results in the descriptive analysis focusing on the degrees of association rather than any central tendency. More specifically, it considers the degrees of dispersion in numbers and percentages, as the pertinent aspect – how mortality data (as categorical data) varies across time (as the range). (Bartley and Hashemi, 2021) </w:t>
      </w:r>
    </w:p>
    <w:p w14:paraId="7E65B376" w14:textId="378A2950" w:rsidR="008009BB" w:rsidRDefault="00FC63B7" w:rsidP="00FC63B7">
      <w:pPr>
        <w:spacing w:line="240" w:lineRule="auto"/>
        <w:rPr>
          <w:rFonts w:ascii="Arial" w:hAnsi="Arial" w:cs="Arial"/>
          <w:sz w:val="24"/>
          <w:szCs w:val="24"/>
        </w:rPr>
      </w:pPr>
      <w:r w:rsidRPr="00F040F0">
        <w:rPr>
          <w:rFonts w:ascii="Arial" w:hAnsi="Arial" w:cs="Arial"/>
          <w:sz w:val="24"/>
          <w:szCs w:val="24"/>
        </w:rPr>
        <w:t xml:space="preserve">Statistical summaries for all the data </w:t>
      </w:r>
      <w:proofErr w:type="gramStart"/>
      <w:r w:rsidRPr="00F040F0">
        <w:rPr>
          <w:rFonts w:ascii="Arial" w:hAnsi="Arial" w:cs="Arial"/>
          <w:sz w:val="24"/>
          <w:szCs w:val="24"/>
        </w:rPr>
        <w:t>was</w:t>
      </w:r>
      <w:proofErr w:type="gramEnd"/>
      <w:r w:rsidRPr="00F040F0">
        <w:rPr>
          <w:rFonts w:ascii="Arial" w:hAnsi="Arial" w:cs="Arial"/>
          <w:sz w:val="24"/>
          <w:szCs w:val="24"/>
        </w:rPr>
        <w:t xml:space="preserve"> possible.</w:t>
      </w:r>
      <w:r>
        <w:rPr>
          <w:rFonts w:ascii="Arial" w:hAnsi="Arial" w:cs="Arial"/>
          <w:sz w:val="24"/>
          <w:szCs w:val="24"/>
        </w:rPr>
        <w:t xml:space="preserve"> Descriptive analysis will be the focus as the intent is to consider the trend of deaths over time. Statistically, given that there is no ‘intervention’ and </w:t>
      </w:r>
      <w:r w:rsidR="00F00B62">
        <w:rPr>
          <w:rFonts w:ascii="Arial" w:hAnsi="Arial" w:cs="Arial"/>
          <w:sz w:val="24"/>
          <w:szCs w:val="24"/>
        </w:rPr>
        <w:t>that the data is non-parametric</w:t>
      </w:r>
      <w:r>
        <w:rPr>
          <w:rFonts w:ascii="Arial" w:hAnsi="Arial" w:cs="Arial"/>
          <w:sz w:val="24"/>
          <w:szCs w:val="24"/>
        </w:rPr>
        <w:t xml:space="preserve">, </w:t>
      </w:r>
      <w:r w:rsidR="008009BB">
        <w:rPr>
          <w:rFonts w:ascii="Arial" w:hAnsi="Arial" w:cs="Arial"/>
          <w:sz w:val="24"/>
          <w:szCs w:val="24"/>
        </w:rPr>
        <w:t xml:space="preserve">a time series analysis is appropriate. </w:t>
      </w:r>
      <w:r w:rsidR="00EF48F4">
        <w:rPr>
          <w:rFonts w:ascii="Arial" w:hAnsi="Arial" w:cs="Arial"/>
          <w:sz w:val="24"/>
          <w:szCs w:val="24"/>
        </w:rPr>
        <w:t xml:space="preserve">Theoretically, the </w:t>
      </w:r>
      <w:r w:rsidR="00EF48F4" w:rsidRPr="008A2D5C">
        <w:rPr>
          <w:rFonts w:ascii="Arial" w:hAnsi="Arial" w:cs="Arial"/>
          <w:sz w:val="24"/>
          <w:szCs w:val="24"/>
        </w:rPr>
        <w:t>Mann-Kendall test could be used to assess whether a trend is present</w:t>
      </w:r>
      <w:r w:rsidR="008A2D5C">
        <w:rPr>
          <w:rFonts w:ascii="Arial" w:hAnsi="Arial" w:cs="Arial"/>
          <w:sz w:val="24"/>
          <w:szCs w:val="24"/>
        </w:rPr>
        <w:t xml:space="preserve"> (Kendall and Gibbons, 1990)</w:t>
      </w:r>
      <w:r w:rsidR="00EF48F4" w:rsidRPr="008A2D5C">
        <w:rPr>
          <w:rFonts w:ascii="Arial" w:hAnsi="Arial" w:cs="Arial"/>
          <w:sz w:val="24"/>
          <w:szCs w:val="24"/>
        </w:rPr>
        <w:t xml:space="preserve">. An upward trend would demonstrate that the number of </w:t>
      </w:r>
      <w:r w:rsidR="008A2D5C">
        <w:rPr>
          <w:rFonts w:ascii="Arial" w:hAnsi="Arial" w:cs="Arial"/>
          <w:sz w:val="24"/>
          <w:szCs w:val="24"/>
        </w:rPr>
        <w:t>those who died</w:t>
      </w:r>
      <w:r w:rsidR="00EF48F4" w:rsidRPr="008A2D5C">
        <w:rPr>
          <w:rFonts w:ascii="Arial" w:hAnsi="Arial" w:cs="Arial"/>
          <w:sz w:val="24"/>
          <w:szCs w:val="24"/>
        </w:rPr>
        <w:t xml:space="preserve"> increase</w:t>
      </w:r>
      <w:r w:rsidR="008A2D5C">
        <w:rPr>
          <w:rFonts w:ascii="Arial" w:hAnsi="Arial" w:cs="Arial"/>
          <w:sz w:val="24"/>
          <w:szCs w:val="24"/>
        </w:rPr>
        <w:t>d</w:t>
      </w:r>
      <w:r w:rsidR="00EF48F4" w:rsidRPr="008A2D5C">
        <w:rPr>
          <w:rFonts w:ascii="Arial" w:hAnsi="Arial" w:cs="Arial"/>
          <w:sz w:val="24"/>
          <w:szCs w:val="24"/>
        </w:rPr>
        <w:t xml:space="preserve"> over time</w:t>
      </w:r>
      <w:r w:rsidR="008A2D5C">
        <w:rPr>
          <w:rFonts w:ascii="Arial" w:hAnsi="Arial" w:cs="Arial"/>
          <w:sz w:val="24"/>
          <w:szCs w:val="24"/>
        </w:rPr>
        <w:t>; but that is nonsensical given the same study population is being assessed. The binary observations (being alive or deceased) do not necessitate extensive statistical analysis.</w:t>
      </w:r>
    </w:p>
    <w:p w14:paraId="64CD85AB" w14:textId="77777777" w:rsidR="00574317" w:rsidRDefault="00FC63B7" w:rsidP="00574317">
      <w:pPr>
        <w:spacing w:line="240" w:lineRule="auto"/>
        <w:rPr>
          <w:rFonts w:ascii="Arial" w:hAnsi="Arial" w:cs="Arial"/>
          <w:sz w:val="18"/>
          <w:szCs w:val="18"/>
        </w:rPr>
      </w:pPr>
      <w:r w:rsidRPr="00F040F0">
        <w:rPr>
          <w:rFonts w:ascii="Arial" w:hAnsi="Arial" w:cs="Arial"/>
          <w:sz w:val="24"/>
          <w:szCs w:val="24"/>
        </w:rPr>
        <w:t xml:space="preserve">The, second, qualitative component is dependent on familiarity with the data. Thematic analysis is appropriate for this small-scale exploratory study. </w:t>
      </w:r>
      <w:r>
        <w:rPr>
          <w:rFonts w:ascii="Arial" w:hAnsi="Arial" w:cs="Arial"/>
          <w:sz w:val="24"/>
          <w:szCs w:val="24"/>
        </w:rPr>
        <w:t>Braun and Clarke’s (2006) framework of steps (as in table 3.2) was the approach adopted, using their caveat that the steps are not required to be linear.</w:t>
      </w:r>
      <w:r w:rsidRPr="00EE42E1">
        <w:rPr>
          <w:rFonts w:ascii="Arial" w:hAnsi="Arial" w:cs="Arial"/>
          <w:sz w:val="18"/>
          <w:szCs w:val="18"/>
        </w:rPr>
        <w:t xml:space="preserve"> </w:t>
      </w:r>
    </w:p>
    <w:p w14:paraId="12C7509F" w14:textId="769FA017" w:rsidR="00574317" w:rsidRPr="00F040F0" w:rsidRDefault="00574317" w:rsidP="00574317">
      <w:pPr>
        <w:spacing w:line="240" w:lineRule="auto"/>
        <w:rPr>
          <w:rFonts w:ascii="Arial" w:hAnsi="Arial" w:cs="Arial"/>
          <w:sz w:val="24"/>
          <w:szCs w:val="24"/>
        </w:rPr>
      </w:pPr>
      <w:r>
        <w:rPr>
          <w:rFonts w:ascii="Arial" w:hAnsi="Arial" w:cs="Arial"/>
          <w:sz w:val="24"/>
          <w:szCs w:val="24"/>
        </w:rPr>
        <w:t xml:space="preserve">The fourth step will </w:t>
      </w:r>
      <w:r w:rsidRPr="00EE42E1">
        <w:rPr>
          <w:rFonts w:ascii="Arial" w:hAnsi="Arial" w:cs="Arial"/>
          <w:sz w:val="24"/>
          <w:szCs w:val="24"/>
        </w:rPr>
        <w:t xml:space="preserve">be important in teasing out the subtleties of the discussions – whether the identified themes are too broad, their degree of overlap and /or presence of subthemes. Through </w:t>
      </w:r>
      <w:r>
        <w:rPr>
          <w:rFonts w:ascii="Arial" w:hAnsi="Arial" w:cs="Arial"/>
          <w:sz w:val="24"/>
          <w:szCs w:val="24"/>
        </w:rPr>
        <w:t xml:space="preserve">review and </w:t>
      </w:r>
      <w:r w:rsidRPr="00EE42E1">
        <w:rPr>
          <w:rFonts w:ascii="Arial" w:hAnsi="Arial" w:cs="Arial"/>
          <w:sz w:val="24"/>
          <w:szCs w:val="24"/>
        </w:rPr>
        <w:t xml:space="preserve">iterative cycles, the themes will crystallise </w:t>
      </w:r>
      <w:r>
        <w:rPr>
          <w:rFonts w:ascii="Arial" w:hAnsi="Arial" w:cs="Arial"/>
          <w:sz w:val="24"/>
          <w:szCs w:val="24"/>
        </w:rPr>
        <w:t>and be validated (even if time prevents a fuller peer review component to that process of validation)</w:t>
      </w:r>
      <w:r w:rsidRPr="00EE42E1">
        <w:rPr>
          <w:rFonts w:ascii="Arial" w:hAnsi="Arial" w:cs="Arial"/>
          <w:sz w:val="24"/>
          <w:szCs w:val="24"/>
        </w:rPr>
        <w:t>. The credibility of this approach has been reinforced by asking for review by a more experienced researcher (albeit without the same investment of time) to ensure that no gross themes have been overlooked. (Ruona, 2005) Comparison of the</w:t>
      </w:r>
      <w:r w:rsidRPr="00F040F0">
        <w:rPr>
          <w:rFonts w:ascii="Arial" w:hAnsi="Arial" w:cs="Arial"/>
          <w:sz w:val="24"/>
          <w:szCs w:val="24"/>
        </w:rPr>
        <w:t xml:space="preserve"> semi-structured interviews was possible as there was the core of initial questions available. However, analysis was not so discrete.</w:t>
      </w:r>
    </w:p>
    <w:p w14:paraId="1DA1E67F" w14:textId="229C6314" w:rsidR="00FC63B7" w:rsidRDefault="00FC63B7" w:rsidP="00F02598">
      <w:pPr>
        <w:spacing w:line="240" w:lineRule="auto"/>
        <w:rPr>
          <w:rFonts w:ascii="Arial" w:hAnsi="Arial" w:cs="Arial"/>
          <w:sz w:val="18"/>
          <w:szCs w:val="18"/>
        </w:rPr>
      </w:pPr>
      <w:r>
        <w:rPr>
          <w:rFonts w:ascii="Arial" w:hAnsi="Arial" w:cs="Arial"/>
          <w:sz w:val="18"/>
          <w:szCs w:val="18"/>
        </w:rPr>
        <w:lastRenderedPageBreak/>
        <w:t>Table 3.2:</w:t>
      </w:r>
      <w:r w:rsidRPr="00884004">
        <w:rPr>
          <w:rFonts w:ascii="Arial" w:hAnsi="Arial" w:cs="Arial"/>
          <w:sz w:val="18"/>
          <w:szCs w:val="18"/>
        </w:rPr>
        <w:t xml:space="preserve"> </w:t>
      </w:r>
      <w:r>
        <w:rPr>
          <w:rFonts w:ascii="Arial" w:hAnsi="Arial" w:cs="Arial"/>
          <w:sz w:val="18"/>
          <w:szCs w:val="18"/>
        </w:rPr>
        <w:t>S</w:t>
      </w:r>
      <w:r w:rsidRPr="00884004">
        <w:rPr>
          <w:rFonts w:ascii="Arial" w:hAnsi="Arial" w:cs="Arial"/>
          <w:sz w:val="18"/>
          <w:szCs w:val="18"/>
        </w:rPr>
        <w:t>ix-phase framework for doing a thematic analysis</w:t>
      </w:r>
      <w:r>
        <w:rPr>
          <w:rFonts w:ascii="Arial" w:hAnsi="Arial" w:cs="Arial"/>
          <w:sz w:val="18"/>
          <w:szCs w:val="18"/>
        </w:rPr>
        <w:t xml:space="preserve"> (Braun and Clarke, 2006)</w:t>
      </w:r>
    </w:p>
    <w:tbl>
      <w:tblPr>
        <w:tblStyle w:val="TableGrid"/>
        <w:tblW w:w="0" w:type="auto"/>
        <w:tblInd w:w="2738" w:type="dxa"/>
        <w:tblLook w:val="04A0" w:firstRow="1" w:lastRow="0" w:firstColumn="1" w:lastColumn="0" w:noHBand="0" w:noVBand="1"/>
      </w:tblPr>
      <w:tblGrid>
        <w:gridCol w:w="3539"/>
      </w:tblGrid>
      <w:tr w:rsidR="00660AF6" w14:paraId="50EB08F8" w14:textId="77777777" w:rsidTr="00660AF6">
        <w:tc>
          <w:tcPr>
            <w:tcW w:w="3539" w:type="dxa"/>
          </w:tcPr>
          <w:p w14:paraId="1CC9FAFF" w14:textId="77777777" w:rsidR="00660AF6" w:rsidRDefault="00660AF6" w:rsidP="00660AF6">
            <w:pPr>
              <w:spacing w:before="120" w:after="120" w:line="360" w:lineRule="auto"/>
              <w:rPr>
                <w:rFonts w:ascii="Arial" w:hAnsi="Arial" w:cs="Arial"/>
                <w:sz w:val="20"/>
                <w:szCs w:val="20"/>
              </w:rPr>
            </w:pPr>
            <w:r>
              <w:rPr>
                <w:rFonts w:ascii="Arial" w:hAnsi="Arial" w:cs="Arial"/>
                <w:sz w:val="20"/>
                <w:szCs w:val="20"/>
              </w:rPr>
              <w:t>Step1: Become familiar with the data</w:t>
            </w:r>
          </w:p>
          <w:p w14:paraId="0B7DEE68" w14:textId="77777777" w:rsidR="00660AF6" w:rsidRDefault="00660AF6" w:rsidP="00660AF6">
            <w:pPr>
              <w:spacing w:before="120" w:after="120" w:line="360" w:lineRule="auto"/>
              <w:rPr>
                <w:rFonts w:ascii="Arial" w:hAnsi="Arial" w:cs="Arial"/>
                <w:sz w:val="20"/>
                <w:szCs w:val="20"/>
              </w:rPr>
            </w:pPr>
            <w:r>
              <w:rPr>
                <w:rFonts w:ascii="Arial" w:hAnsi="Arial" w:cs="Arial"/>
                <w:sz w:val="20"/>
                <w:szCs w:val="20"/>
              </w:rPr>
              <w:t>Step 2: Generate initial codes</w:t>
            </w:r>
          </w:p>
          <w:p w14:paraId="5194A65E" w14:textId="77777777" w:rsidR="00660AF6" w:rsidRDefault="00660AF6" w:rsidP="00660AF6">
            <w:pPr>
              <w:spacing w:before="120" w:after="120" w:line="360" w:lineRule="auto"/>
              <w:rPr>
                <w:rFonts w:ascii="Arial" w:hAnsi="Arial" w:cs="Arial"/>
                <w:sz w:val="20"/>
                <w:szCs w:val="20"/>
              </w:rPr>
            </w:pPr>
            <w:r>
              <w:rPr>
                <w:rFonts w:ascii="Arial" w:hAnsi="Arial" w:cs="Arial"/>
                <w:sz w:val="20"/>
                <w:szCs w:val="20"/>
              </w:rPr>
              <w:t>Step 3: Search for themes</w:t>
            </w:r>
          </w:p>
          <w:p w14:paraId="2A854E33" w14:textId="77777777" w:rsidR="00660AF6" w:rsidRDefault="00660AF6" w:rsidP="00660AF6">
            <w:pPr>
              <w:spacing w:before="120" w:after="120" w:line="360" w:lineRule="auto"/>
              <w:rPr>
                <w:rFonts w:ascii="Arial" w:hAnsi="Arial" w:cs="Arial"/>
                <w:sz w:val="20"/>
                <w:szCs w:val="20"/>
              </w:rPr>
            </w:pPr>
            <w:r>
              <w:rPr>
                <w:rFonts w:ascii="Arial" w:hAnsi="Arial" w:cs="Arial"/>
                <w:sz w:val="20"/>
                <w:szCs w:val="20"/>
              </w:rPr>
              <w:t>Step 4: Review themes</w:t>
            </w:r>
          </w:p>
          <w:p w14:paraId="5A171624" w14:textId="77777777" w:rsidR="00660AF6" w:rsidRDefault="00660AF6" w:rsidP="00660AF6">
            <w:pPr>
              <w:spacing w:before="120" w:after="120" w:line="360" w:lineRule="auto"/>
              <w:rPr>
                <w:rFonts w:ascii="Arial" w:hAnsi="Arial" w:cs="Arial"/>
                <w:sz w:val="20"/>
                <w:szCs w:val="20"/>
              </w:rPr>
            </w:pPr>
            <w:r>
              <w:rPr>
                <w:rFonts w:ascii="Arial" w:hAnsi="Arial" w:cs="Arial"/>
                <w:sz w:val="20"/>
                <w:szCs w:val="20"/>
              </w:rPr>
              <w:t>Step 5: Define themes</w:t>
            </w:r>
          </w:p>
          <w:p w14:paraId="5ED949A4" w14:textId="7281E4D4" w:rsidR="00660AF6" w:rsidRDefault="00660AF6" w:rsidP="00660AF6">
            <w:pPr>
              <w:spacing w:before="120" w:after="120" w:line="360" w:lineRule="auto"/>
              <w:rPr>
                <w:rFonts w:ascii="Arial" w:hAnsi="Arial" w:cs="Arial"/>
                <w:sz w:val="20"/>
                <w:szCs w:val="20"/>
              </w:rPr>
            </w:pPr>
            <w:r>
              <w:rPr>
                <w:rFonts w:ascii="Arial" w:hAnsi="Arial" w:cs="Arial"/>
                <w:sz w:val="20"/>
                <w:szCs w:val="20"/>
              </w:rPr>
              <w:t>Step 6: Write-up</w:t>
            </w:r>
          </w:p>
        </w:tc>
      </w:tr>
    </w:tbl>
    <w:p w14:paraId="6CC37098" w14:textId="77777777" w:rsidR="00FC63B7" w:rsidRPr="00F040F0" w:rsidRDefault="00FC63B7" w:rsidP="00FC63B7">
      <w:pPr>
        <w:spacing w:line="240" w:lineRule="auto"/>
        <w:rPr>
          <w:rFonts w:ascii="Arial" w:hAnsi="Arial" w:cs="Arial"/>
          <w:b/>
          <w:sz w:val="24"/>
          <w:szCs w:val="24"/>
        </w:rPr>
      </w:pPr>
    </w:p>
    <w:p w14:paraId="20C360B8" w14:textId="15AFF58D"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3.</w:t>
      </w:r>
      <w:r w:rsidR="00660AF6">
        <w:rPr>
          <w:rFonts w:ascii="Arial" w:hAnsi="Arial" w:cs="Arial"/>
          <w:sz w:val="24"/>
          <w:szCs w:val="24"/>
        </w:rPr>
        <w:t>6</w:t>
      </w:r>
      <w:r w:rsidRPr="00F040F0">
        <w:rPr>
          <w:rFonts w:ascii="Arial" w:hAnsi="Arial" w:cs="Arial"/>
          <w:sz w:val="24"/>
          <w:szCs w:val="24"/>
        </w:rPr>
        <w:tab/>
        <w:t>Limitations</w:t>
      </w:r>
    </w:p>
    <w:p w14:paraId="02624319" w14:textId="389B470D"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Even at this point, of methodology, there are evident constraints to this dissertation. Superficially, they appear inter-related, but these will be expanded within the discussion in chapter five. Language as a barrier is often identified as a limitation (</w:t>
      </w:r>
      <w:proofErr w:type="spellStart"/>
      <w:r w:rsidRPr="00F040F0">
        <w:rPr>
          <w:rFonts w:ascii="Arial" w:hAnsi="Arial" w:cs="Arial"/>
          <w:sz w:val="24"/>
          <w:szCs w:val="24"/>
        </w:rPr>
        <w:t>Kakilla</w:t>
      </w:r>
      <w:proofErr w:type="spellEnd"/>
      <w:r w:rsidRPr="00F040F0">
        <w:rPr>
          <w:rFonts w:ascii="Arial" w:hAnsi="Arial" w:cs="Arial"/>
          <w:sz w:val="24"/>
          <w:szCs w:val="24"/>
        </w:rPr>
        <w:t xml:space="preserve">, 2021) within qualitative research. Regarding this research, the associated risk would be of technical jargon rather than language per se. In the medical context, acronyms are an example of such ‘jargon’ that can cause confusion and impact patient safety (Brunetti, </w:t>
      </w:r>
      <w:proofErr w:type="spellStart"/>
      <w:r w:rsidRPr="00F040F0">
        <w:rPr>
          <w:rFonts w:ascii="Arial" w:hAnsi="Arial" w:cs="Arial"/>
          <w:sz w:val="24"/>
          <w:szCs w:val="24"/>
        </w:rPr>
        <w:t>Santell</w:t>
      </w:r>
      <w:proofErr w:type="spellEnd"/>
      <w:r w:rsidRPr="00F040F0">
        <w:rPr>
          <w:rFonts w:ascii="Arial" w:hAnsi="Arial" w:cs="Arial"/>
          <w:sz w:val="24"/>
          <w:szCs w:val="24"/>
        </w:rPr>
        <w:t xml:space="preserve"> and Hicks, 2007). The pressing challenge for this piece of work is the time factor in order that it is available within the academic timeframe. There is inherent bias with the individuals approached to participate in this research. They are more engaged and have the required experience and confidence to talk. The consequence of this expediency is that the sample composition for the qualitative semi-structured interviews will not be generalizable. Another limitation is the experience of the researcher; or as Jansen (2024) reflects, “we don’t know what we don’t know”. Hence, it is appropriate to return to this topic within the discussion.</w:t>
      </w:r>
    </w:p>
    <w:p w14:paraId="0EB4B7CE" w14:textId="77777777" w:rsidR="00FC63B7" w:rsidRPr="00F040F0" w:rsidRDefault="00FC63B7" w:rsidP="00FC63B7">
      <w:pPr>
        <w:spacing w:line="240" w:lineRule="auto"/>
        <w:rPr>
          <w:rFonts w:ascii="Arial" w:hAnsi="Arial" w:cs="Arial"/>
          <w:sz w:val="24"/>
          <w:szCs w:val="24"/>
        </w:rPr>
      </w:pPr>
    </w:p>
    <w:p w14:paraId="45FC0346" w14:textId="4CD4ECD4"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3.</w:t>
      </w:r>
      <w:r w:rsidR="00574317">
        <w:rPr>
          <w:rFonts w:ascii="Arial" w:hAnsi="Arial" w:cs="Arial"/>
          <w:sz w:val="24"/>
          <w:szCs w:val="24"/>
        </w:rPr>
        <w:t>7</w:t>
      </w:r>
      <w:r w:rsidRPr="00F040F0">
        <w:rPr>
          <w:rFonts w:ascii="Arial" w:hAnsi="Arial" w:cs="Arial"/>
          <w:sz w:val="24"/>
          <w:szCs w:val="24"/>
        </w:rPr>
        <w:tab/>
        <w:t>Discussion</w:t>
      </w:r>
      <w:r w:rsidRPr="00F040F0">
        <w:rPr>
          <w:rFonts w:ascii="Arial" w:hAnsi="Arial" w:cs="Arial"/>
          <w:sz w:val="24"/>
          <w:szCs w:val="24"/>
        </w:rPr>
        <w:tab/>
      </w:r>
      <w:r w:rsidRPr="00F040F0">
        <w:rPr>
          <w:rFonts w:ascii="Arial" w:hAnsi="Arial" w:cs="Arial"/>
          <w:sz w:val="24"/>
          <w:szCs w:val="24"/>
        </w:rPr>
        <w:tab/>
      </w:r>
      <w:r w:rsidRPr="00F040F0">
        <w:rPr>
          <w:rFonts w:ascii="Arial" w:hAnsi="Arial" w:cs="Arial"/>
          <w:sz w:val="24"/>
          <w:szCs w:val="24"/>
        </w:rPr>
        <w:tab/>
      </w:r>
      <w:r w:rsidRPr="00F040F0">
        <w:rPr>
          <w:rFonts w:ascii="Arial" w:hAnsi="Arial" w:cs="Arial"/>
          <w:sz w:val="24"/>
          <w:szCs w:val="24"/>
        </w:rPr>
        <w:tab/>
      </w:r>
    </w:p>
    <w:p w14:paraId="70167010" w14:textId="5C043EA5" w:rsidR="00FC63B7" w:rsidRDefault="00FC63B7" w:rsidP="00FC63B7">
      <w:pPr>
        <w:spacing w:line="240" w:lineRule="auto"/>
        <w:rPr>
          <w:rFonts w:ascii="Arial" w:hAnsi="Arial" w:cs="Arial"/>
          <w:sz w:val="24"/>
          <w:szCs w:val="24"/>
        </w:rPr>
      </w:pPr>
      <w:r w:rsidRPr="00F040F0">
        <w:rPr>
          <w:rFonts w:ascii="Arial" w:hAnsi="Arial" w:cs="Arial"/>
          <w:sz w:val="24"/>
          <w:szCs w:val="24"/>
        </w:rPr>
        <w:t xml:space="preserve">The quantitative methodology is more objective, so this section will discuss the qualitative approach taken and the data analysis methodology. Qualitative research provides the tools to explore the complexities, and nuances, of healthcare. However, that is an encompassing term so the three </w:t>
      </w:r>
      <w:r w:rsidR="00797478" w:rsidRPr="00F040F0">
        <w:rPr>
          <w:rFonts w:ascii="Arial" w:hAnsi="Arial" w:cs="Arial"/>
          <w:sz w:val="24"/>
          <w:szCs w:val="24"/>
        </w:rPr>
        <w:t>principal</w:t>
      </w:r>
      <w:r w:rsidRPr="00F040F0">
        <w:rPr>
          <w:rFonts w:ascii="Arial" w:hAnsi="Arial" w:cs="Arial"/>
          <w:sz w:val="24"/>
          <w:szCs w:val="24"/>
        </w:rPr>
        <w:t xml:space="preserve"> approaches to qualitative research, (surveys, focus groups and interviews) will be considered. Following that, there will be some focused discussion as to the relevance of thematic analysis given the limited number of interviews possible and their inherent nuances.</w:t>
      </w:r>
    </w:p>
    <w:p w14:paraId="64E9AD31" w14:textId="77777777" w:rsidR="00574317" w:rsidRDefault="00574317" w:rsidP="00FC63B7">
      <w:pPr>
        <w:spacing w:line="240" w:lineRule="auto"/>
        <w:rPr>
          <w:rFonts w:ascii="Arial" w:hAnsi="Arial" w:cs="Arial"/>
          <w:sz w:val="24"/>
          <w:szCs w:val="24"/>
        </w:rPr>
      </w:pPr>
    </w:p>
    <w:p w14:paraId="5BEEFF93" w14:textId="69C27AB0"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3.</w:t>
      </w:r>
      <w:r w:rsidR="00574317">
        <w:rPr>
          <w:rFonts w:ascii="Arial" w:hAnsi="Arial" w:cs="Arial"/>
          <w:sz w:val="24"/>
          <w:szCs w:val="24"/>
        </w:rPr>
        <w:t>7</w:t>
      </w:r>
      <w:r w:rsidRPr="00F040F0">
        <w:rPr>
          <w:rFonts w:ascii="Arial" w:hAnsi="Arial" w:cs="Arial"/>
          <w:sz w:val="24"/>
          <w:szCs w:val="24"/>
        </w:rPr>
        <w:t>1</w:t>
      </w:r>
      <w:r w:rsidRPr="00F040F0">
        <w:rPr>
          <w:rFonts w:ascii="Arial" w:hAnsi="Arial" w:cs="Arial"/>
          <w:sz w:val="24"/>
          <w:szCs w:val="24"/>
        </w:rPr>
        <w:tab/>
        <w:t>Survey</w:t>
      </w:r>
    </w:p>
    <w:p w14:paraId="7ACF8F8D"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 xml:space="preserve">Surveys, and particularly online surveys, offer a degree of ease through their design stage and distribution. There is the potential to garner a large amount of data quickly due to the relative ease of administration and circulation. In addition to this accessibility, surveys and feedback forms have become familiar to professionals requiring little introduction. However, this can also be a disadvantage; survey fatigue </w:t>
      </w:r>
      <w:r w:rsidRPr="00F040F0">
        <w:rPr>
          <w:rFonts w:ascii="Arial" w:hAnsi="Arial" w:cs="Arial"/>
          <w:sz w:val="24"/>
          <w:szCs w:val="24"/>
        </w:rPr>
        <w:lastRenderedPageBreak/>
        <w:t xml:space="preserve">is an increasingly acknowledged limitation – even to the point of “undermining </w:t>
      </w:r>
      <w:r w:rsidRPr="00F040F0">
        <w:rPr>
          <w:rFonts w:ascii="Arial" w:hAnsi="Arial" w:cs="Arial"/>
          <w:color w:val="1F1F1F"/>
          <w:sz w:val="24"/>
          <w:szCs w:val="24"/>
        </w:rPr>
        <w:t>rigorously designed studies”</w:t>
      </w:r>
      <w:r w:rsidRPr="00F040F0">
        <w:rPr>
          <w:rFonts w:ascii="Arial" w:hAnsi="Arial" w:cs="Arial"/>
          <w:sz w:val="24"/>
          <w:szCs w:val="24"/>
        </w:rPr>
        <w:t xml:space="preserve"> (Brown et al., 2024). Technical aspects and computer literacy also continue to present barriers. Even with the current workforce, digital literacy must not be assumed – “7% of adults in Wales are not online” (Digital Communities Wales, 2023). This brings some bias but self-selection bias is a greater risk. </w:t>
      </w:r>
      <w:r>
        <w:rPr>
          <w:rFonts w:ascii="Arial" w:hAnsi="Arial" w:cs="Arial"/>
          <w:sz w:val="24"/>
          <w:szCs w:val="24"/>
        </w:rPr>
        <w:t>This would be</w:t>
      </w:r>
      <w:r w:rsidRPr="00F040F0">
        <w:rPr>
          <w:rFonts w:ascii="Arial" w:hAnsi="Arial" w:cs="Arial"/>
          <w:sz w:val="24"/>
          <w:szCs w:val="24"/>
        </w:rPr>
        <w:t xml:space="preserve"> short-sighted and individuals may well exhibit other answer prejudices (such as acquiescence bias or courtesy bias), negating the nuance necessary here</w:t>
      </w:r>
      <w:r>
        <w:rPr>
          <w:rFonts w:ascii="Arial" w:hAnsi="Arial" w:cs="Arial"/>
          <w:sz w:val="24"/>
          <w:szCs w:val="24"/>
        </w:rPr>
        <w:t xml:space="preserve"> (</w:t>
      </w:r>
      <w:proofErr w:type="spellStart"/>
      <w:r>
        <w:rPr>
          <w:rFonts w:ascii="Arial" w:hAnsi="Arial" w:cs="Arial"/>
          <w:sz w:val="24"/>
          <w:szCs w:val="24"/>
        </w:rPr>
        <w:t>Kalton</w:t>
      </w:r>
      <w:proofErr w:type="spellEnd"/>
      <w:r>
        <w:rPr>
          <w:rFonts w:ascii="Arial" w:hAnsi="Arial" w:cs="Arial"/>
          <w:sz w:val="24"/>
          <w:szCs w:val="24"/>
        </w:rPr>
        <w:t xml:space="preserve"> and Schuman, 1982)</w:t>
      </w:r>
      <w:r w:rsidRPr="00F040F0">
        <w:rPr>
          <w:rFonts w:ascii="Arial" w:hAnsi="Arial" w:cs="Arial"/>
          <w:sz w:val="24"/>
          <w:szCs w:val="24"/>
        </w:rPr>
        <w:t>. This is the biggest barrier to using surveys for this dissertation research – a blinkered view lacks the richness and detail of other approaches. The novelty being considered in this feasibility study demands some reflectiveness and flexibility in moving towards its application.</w:t>
      </w:r>
    </w:p>
    <w:p w14:paraId="15549AC7" w14:textId="77777777" w:rsidR="00574317" w:rsidRDefault="00574317" w:rsidP="00FC63B7">
      <w:pPr>
        <w:spacing w:line="240" w:lineRule="auto"/>
        <w:rPr>
          <w:rFonts w:ascii="Arial" w:hAnsi="Arial" w:cs="Arial"/>
          <w:sz w:val="24"/>
          <w:szCs w:val="24"/>
        </w:rPr>
      </w:pPr>
    </w:p>
    <w:p w14:paraId="632F9D1E" w14:textId="5B8841E3"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3.</w:t>
      </w:r>
      <w:r w:rsidR="00574317">
        <w:rPr>
          <w:rFonts w:ascii="Arial" w:hAnsi="Arial" w:cs="Arial"/>
          <w:sz w:val="24"/>
          <w:szCs w:val="24"/>
        </w:rPr>
        <w:t>7</w:t>
      </w:r>
      <w:r w:rsidRPr="00F040F0">
        <w:rPr>
          <w:rFonts w:ascii="Arial" w:hAnsi="Arial" w:cs="Arial"/>
          <w:sz w:val="24"/>
          <w:szCs w:val="24"/>
        </w:rPr>
        <w:t>2</w:t>
      </w:r>
      <w:r w:rsidRPr="00F040F0">
        <w:rPr>
          <w:rFonts w:ascii="Arial" w:hAnsi="Arial" w:cs="Arial"/>
          <w:sz w:val="24"/>
          <w:szCs w:val="24"/>
        </w:rPr>
        <w:tab/>
        <w:t>Focus groups</w:t>
      </w:r>
    </w:p>
    <w:p w14:paraId="34AB6F4D"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Focus groups provide a forum for creative insights and developmental evolution. The dynamics within any group can promote discussion and debate. The multiple perspectives and shared experiences add colour to the initial template, elevating the development and application of a research project. Focus group studies are not a timesaving alternative to </w:t>
      </w:r>
      <w:hyperlink r:id="rId26" w:history="1">
        <w:r w:rsidRPr="00F040F0">
          <w:rPr>
            <w:rFonts w:ascii="Arial" w:hAnsi="Arial" w:cs="Arial"/>
            <w:sz w:val="24"/>
            <w:szCs w:val="24"/>
          </w:rPr>
          <w:t>interview studies</w:t>
        </w:r>
      </w:hyperlink>
      <w:r w:rsidRPr="00F040F0">
        <w:rPr>
          <w:rFonts w:ascii="Arial" w:hAnsi="Arial" w:cs="Arial"/>
          <w:sz w:val="24"/>
          <w:szCs w:val="24"/>
        </w:rPr>
        <w:t xml:space="preserve"> (OHID, 2020), but do bring the greatest challenge - the logistics. Being able to coordinate the relevant group at a mutually convenient time (within the constraints of this academic year) must not be underestimated. </w:t>
      </w:r>
    </w:p>
    <w:p w14:paraId="2FD9A9ED" w14:textId="4B2132D0"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Although focus groups enable more perspectives to be captured the nuance and exploration of these is limited. Within a group the dynamics should be manageable with an experienced facilitator (</w:t>
      </w:r>
      <w:r w:rsidR="00797478" w:rsidRPr="00F040F0">
        <w:rPr>
          <w:rFonts w:ascii="Arial" w:hAnsi="Arial" w:cs="Arial"/>
          <w:sz w:val="24"/>
          <w:szCs w:val="24"/>
        </w:rPr>
        <w:t>e.g.,</w:t>
      </w:r>
      <w:r w:rsidRPr="00F040F0">
        <w:rPr>
          <w:rFonts w:ascii="Arial" w:hAnsi="Arial" w:cs="Arial"/>
          <w:sz w:val="24"/>
          <w:szCs w:val="24"/>
        </w:rPr>
        <w:t xml:space="preserve"> strong opinions should be mitigatable), but the potential for ‘groupthink’ remains. The “potential pitfall of censoring and conforming” </w:t>
      </w:r>
      <w:r w:rsidR="002E5DD0">
        <w:rPr>
          <w:rFonts w:ascii="Arial" w:hAnsi="Arial" w:cs="Arial"/>
          <w:sz w:val="24"/>
          <w:szCs w:val="24"/>
        </w:rPr>
        <w:t>(</w:t>
      </w:r>
      <w:r w:rsidR="00797478" w:rsidRPr="00F040F0">
        <w:rPr>
          <w:rFonts w:ascii="Arial" w:hAnsi="Arial" w:cs="Arial"/>
          <w:sz w:val="24"/>
          <w:szCs w:val="24"/>
        </w:rPr>
        <w:t>i.e.,</w:t>
      </w:r>
      <w:r w:rsidRPr="00F040F0">
        <w:rPr>
          <w:rFonts w:ascii="Arial" w:hAnsi="Arial" w:cs="Arial"/>
          <w:sz w:val="24"/>
          <w:szCs w:val="24"/>
        </w:rPr>
        <w:t xml:space="preserve"> ‘groupthink’</w:t>
      </w:r>
      <w:r w:rsidR="002E5DD0">
        <w:rPr>
          <w:rFonts w:ascii="Arial" w:hAnsi="Arial" w:cs="Arial"/>
          <w:sz w:val="24"/>
          <w:szCs w:val="24"/>
        </w:rPr>
        <w:t>)</w:t>
      </w:r>
      <w:r w:rsidRPr="00F040F0">
        <w:rPr>
          <w:rFonts w:ascii="Arial" w:hAnsi="Arial" w:cs="Arial"/>
          <w:sz w:val="24"/>
          <w:szCs w:val="24"/>
        </w:rPr>
        <w:t xml:space="preserve"> is well-recognised (Carey and Smith, 1994) but management of it is elusive. Therefore, there is an inverse relationship - the depth of insight is lost as the breadth of opinion increases. </w:t>
      </w:r>
      <w:r>
        <w:rPr>
          <w:rFonts w:ascii="Arial" w:hAnsi="Arial" w:cs="Arial"/>
          <w:sz w:val="24"/>
          <w:szCs w:val="24"/>
        </w:rPr>
        <w:t xml:space="preserve">One approach to mitigating ‘groupthink’ is to have groups facilitated by a professional in this area. This would need a larger project group, and is drawn out more in the discussion of limitations in </w:t>
      </w:r>
      <w:r w:rsidRPr="00430444">
        <w:rPr>
          <w:rFonts w:ascii="Arial" w:hAnsi="Arial" w:cs="Arial"/>
          <w:sz w:val="24"/>
          <w:szCs w:val="24"/>
        </w:rPr>
        <w:t>section</w:t>
      </w:r>
      <w:r w:rsidRPr="009B020C">
        <w:rPr>
          <w:rFonts w:ascii="Arial" w:hAnsi="Arial" w:cs="Arial"/>
          <w:sz w:val="24"/>
          <w:szCs w:val="24"/>
        </w:rPr>
        <w:t xml:space="preserve"> 5.6</w:t>
      </w:r>
      <w:r>
        <w:rPr>
          <w:rFonts w:ascii="Arial" w:hAnsi="Arial" w:cs="Arial"/>
          <w:sz w:val="24"/>
          <w:szCs w:val="24"/>
        </w:rPr>
        <w:t xml:space="preserve">. </w:t>
      </w:r>
      <w:r w:rsidRPr="00F040F0">
        <w:rPr>
          <w:rFonts w:ascii="Arial" w:hAnsi="Arial" w:cs="Arial"/>
          <w:sz w:val="24"/>
          <w:szCs w:val="24"/>
        </w:rPr>
        <w:t>This</w:t>
      </w:r>
      <w:r>
        <w:rPr>
          <w:rFonts w:ascii="Arial" w:hAnsi="Arial" w:cs="Arial"/>
          <w:sz w:val="24"/>
          <w:szCs w:val="24"/>
        </w:rPr>
        <w:t>, current,</w:t>
      </w:r>
      <w:r w:rsidRPr="00F040F0">
        <w:rPr>
          <w:rFonts w:ascii="Arial" w:hAnsi="Arial" w:cs="Arial"/>
          <w:sz w:val="24"/>
          <w:szCs w:val="24"/>
        </w:rPr>
        <w:t xml:space="preserve"> research project seeks to understand the clinical utility of a tool so the greater the colour, the greater the degree of insight, the better.</w:t>
      </w:r>
    </w:p>
    <w:p w14:paraId="4C58B17A" w14:textId="77777777" w:rsidR="00FC63B7" w:rsidRPr="00F040F0" w:rsidRDefault="00FC63B7" w:rsidP="00FC63B7">
      <w:pPr>
        <w:spacing w:line="240" w:lineRule="auto"/>
        <w:rPr>
          <w:rFonts w:ascii="Arial" w:hAnsi="Arial" w:cs="Arial"/>
          <w:sz w:val="24"/>
          <w:szCs w:val="24"/>
        </w:rPr>
      </w:pPr>
    </w:p>
    <w:p w14:paraId="019D80FF" w14:textId="785E9FCB"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3.</w:t>
      </w:r>
      <w:r w:rsidR="00574317">
        <w:rPr>
          <w:rFonts w:ascii="Arial" w:hAnsi="Arial" w:cs="Arial"/>
          <w:sz w:val="24"/>
          <w:szCs w:val="24"/>
        </w:rPr>
        <w:t>7</w:t>
      </w:r>
      <w:r w:rsidRPr="00F040F0">
        <w:rPr>
          <w:rFonts w:ascii="Arial" w:hAnsi="Arial" w:cs="Arial"/>
          <w:sz w:val="24"/>
          <w:szCs w:val="24"/>
        </w:rPr>
        <w:t>3</w:t>
      </w:r>
      <w:r w:rsidRPr="00F040F0">
        <w:rPr>
          <w:rFonts w:ascii="Arial" w:hAnsi="Arial" w:cs="Arial"/>
          <w:sz w:val="24"/>
          <w:szCs w:val="24"/>
        </w:rPr>
        <w:tab/>
        <w:t>Semi-structured interviews</w:t>
      </w:r>
    </w:p>
    <w:p w14:paraId="126A6ACA"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Returning to semi-structured interviews, their strength (relevant for this project) is in providing depth and insights into experiences and perspectives. There is the opportunity to clarify anything unclear and to develop points of nuance. This flexibility in its structure facilitates authentic conversation leading to greater insights. It brings power through depth rather than by volume of data. The principal concern, as introduced above (section 3.3), is that bias undermines the validity of this approach. The interviewer’s preconceptions are going to be an influencing factor with the open conversation. (</w:t>
      </w:r>
      <w:proofErr w:type="spellStart"/>
      <w:r w:rsidRPr="00F040F0">
        <w:rPr>
          <w:rFonts w:ascii="Arial" w:hAnsi="Arial" w:cs="Arial"/>
          <w:sz w:val="24"/>
          <w:szCs w:val="24"/>
        </w:rPr>
        <w:t>Ruslin</w:t>
      </w:r>
      <w:proofErr w:type="spellEnd"/>
      <w:r w:rsidRPr="00F040F0">
        <w:rPr>
          <w:rFonts w:ascii="Arial" w:hAnsi="Arial" w:cs="Arial"/>
          <w:sz w:val="24"/>
          <w:szCs w:val="24"/>
        </w:rPr>
        <w:t xml:space="preserve"> et al., 2022)</w:t>
      </w:r>
    </w:p>
    <w:p w14:paraId="178F8B0C" w14:textId="77777777" w:rsidR="00FC63B7" w:rsidRPr="00F040F0" w:rsidRDefault="00FC63B7" w:rsidP="00FC63B7">
      <w:pPr>
        <w:spacing w:line="240" w:lineRule="auto"/>
        <w:rPr>
          <w:rFonts w:ascii="Arial" w:hAnsi="Arial" w:cs="Arial"/>
          <w:b/>
          <w:sz w:val="24"/>
          <w:szCs w:val="24"/>
        </w:rPr>
      </w:pPr>
    </w:p>
    <w:p w14:paraId="78D60B28" w14:textId="77777777" w:rsidR="00FC63B7" w:rsidRPr="00F040F0" w:rsidRDefault="00FC63B7" w:rsidP="00FC63B7">
      <w:pPr>
        <w:spacing w:line="240" w:lineRule="auto"/>
        <w:jc w:val="center"/>
        <w:rPr>
          <w:rFonts w:ascii="Arial" w:hAnsi="Arial" w:cs="Arial"/>
          <w:sz w:val="24"/>
          <w:szCs w:val="24"/>
        </w:rPr>
      </w:pPr>
      <w:r w:rsidRPr="00F040F0">
        <w:rPr>
          <w:rFonts w:ascii="Arial" w:hAnsi="Arial" w:cs="Arial"/>
          <w:noProof/>
          <w:sz w:val="24"/>
          <w:szCs w:val="24"/>
          <w:lang w:eastAsia="en-GB"/>
        </w:rPr>
        <w:lastRenderedPageBreak/>
        <w:drawing>
          <wp:inline distT="0" distB="0" distL="0" distR="0" wp14:anchorId="43C0BF0A" wp14:editId="546DC2C4">
            <wp:extent cx="5630061" cy="3124636"/>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30061" cy="3124636"/>
                    </a:xfrm>
                    <a:prstGeom prst="rect">
                      <a:avLst/>
                    </a:prstGeom>
                  </pic:spPr>
                </pic:pic>
              </a:graphicData>
            </a:graphic>
          </wp:inline>
        </w:drawing>
      </w:r>
    </w:p>
    <w:p w14:paraId="46770424" w14:textId="77777777" w:rsidR="00FC63B7" w:rsidRPr="00F040F0" w:rsidRDefault="00FC63B7" w:rsidP="00430444">
      <w:pPr>
        <w:spacing w:line="240" w:lineRule="auto"/>
        <w:rPr>
          <w:rFonts w:ascii="Arial" w:hAnsi="Arial" w:cs="Arial"/>
          <w:sz w:val="18"/>
          <w:szCs w:val="18"/>
        </w:rPr>
      </w:pPr>
      <w:r w:rsidRPr="00F040F0">
        <w:rPr>
          <w:rFonts w:ascii="Arial" w:hAnsi="Arial" w:cs="Arial"/>
          <w:sz w:val="18"/>
          <w:szCs w:val="18"/>
        </w:rPr>
        <w:t>Figure 3.2: Qualitative analysis methods (</w:t>
      </w:r>
      <w:proofErr w:type="spellStart"/>
      <w:r w:rsidRPr="00F040F0">
        <w:rPr>
          <w:rFonts w:ascii="Arial" w:hAnsi="Arial" w:cs="Arial"/>
          <w:sz w:val="18"/>
          <w:szCs w:val="18"/>
        </w:rPr>
        <w:t>Timalsina</w:t>
      </w:r>
      <w:proofErr w:type="spellEnd"/>
      <w:r w:rsidRPr="00F040F0">
        <w:rPr>
          <w:rFonts w:ascii="Arial" w:hAnsi="Arial" w:cs="Arial"/>
          <w:sz w:val="18"/>
          <w:szCs w:val="18"/>
        </w:rPr>
        <w:t>, 2024)</w:t>
      </w:r>
    </w:p>
    <w:p w14:paraId="5EE6AC06" w14:textId="77777777" w:rsidR="00FC63B7" w:rsidRPr="00F040F0" w:rsidRDefault="00FC63B7" w:rsidP="00FC63B7">
      <w:pPr>
        <w:spacing w:line="240" w:lineRule="auto"/>
        <w:rPr>
          <w:rFonts w:ascii="Arial" w:hAnsi="Arial" w:cs="Arial"/>
          <w:sz w:val="20"/>
          <w:szCs w:val="20"/>
        </w:rPr>
      </w:pPr>
    </w:p>
    <w:p w14:paraId="52623EF1" w14:textId="68EEC463"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3.</w:t>
      </w:r>
      <w:r w:rsidR="00574317">
        <w:rPr>
          <w:rFonts w:ascii="Arial" w:hAnsi="Arial" w:cs="Arial"/>
          <w:sz w:val="24"/>
          <w:szCs w:val="24"/>
        </w:rPr>
        <w:t>7</w:t>
      </w:r>
      <w:r w:rsidRPr="00F040F0">
        <w:rPr>
          <w:rFonts w:ascii="Arial" w:hAnsi="Arial" w:cs="Arial"/>
          <w:sz w:val="24"/>
          <w:szCs w:val="24"/>
        </w:rPr>
        <w:t>4</w:t>
      </w:r>
      <w:r w:rsidRPr="00F040F0">
        <w:rPr>
          <w:rFonts w:ascii="Arial" w:hAnsi="Arial" w:cs="Arial"/>
          <w:sz w:val="24"/>
          <w:szCs w:val="24"/>
        </w:rPr>
        <w:tab/>
        <w:t>Data Analysis</w:t>
      </w:r>
    </w:p>
    <w:p w14:paraId="1E157872" w14:textId="77777777" w:rsidR="00FC63B7" w:rsidRPr="00F040F0" w:rsidRDefault="00FC63B7" w:rsidP="00FC63B7">
      <w:pPr>
        <w:spacing w:line="240" w:lineRule="auto"/>
        <w:rPr>
          <w:rFonts w:ascii="Arial" w:hAnsi="Arial" w:cs="Arial"/>
          <w:sz w:val="24"/>
          <w:szCs w:val="24"/>
        </w:rPr>
      </w:pPr>
      <w:r>
        <w:rPr>
          <w:rFonts w:ascii="Arial" w:hAnsi="Arial" w:cs="Arial"/>
          <w:sz w:val="24"/>
          <w:szCs w:val="24"/>
        </w:rPr>
        <w:t>Figure 3.2, as an overview, illustrates the scope of qualitative data analysis methods available and the deviation that a comprehensive justification would necessitate.</w:t>
      </w:r>
      <w:r w:rsidRPr="00840A0E">
        <w:rPr>
          <w:rFonts w:ascii="Arial" w:hAnsi="Arial" w:cs="Arial"/>
          <w:sz w:val="24"/>
          <w:szCs w:val="24"/>
        </w:rPr>
        <w:t xml:space="preserve"> </w:t>
      </w:r>
      <w:r>
        <w:rPr>
          <w:rFonts w:ascii="Arial" w:hAnsi="Arial" w:cs="Arial"/>
          <w:sz w:val="24"/>
          <w:szCs w:val="24"/>
        </w:rPr>
        <w:t>So, r</w:t>
      </w:r>
      <w:r w:rsidRPr="00F040F0">
        <w:rPr>
          <w:rFonts w:ascii="Arial" w:hAnsi="Arial" w:cs="Arial"/>
          <w:sz w:val="24"/>
          <w:szCs w:val="24"/>
        </w:rPr>
        <w:t>ather than critiquing each framework</w:t>
      </w:r>
      <w:r>
        <w:rPr>
          <w:rFonts w:ascii="Arial" w:hAnsi="Arial" w:cs="Arial"/>
          <w:sz w:val="24"/>
          <w:szCs w:val="24"/>
        </w:rPr>
        <w:t>,</w:t>
      </w:r>
      <w:r w:rsidRPr="00F040F0">
        <w:rPr>
          <w:rFonts w:ascii="Arial" w:hAnsi="Arial" w:cs="Arial"/>
          <w:sz w:val="24"/>
          <w:szCs w:val="24"/>
        </w:rPr>
        <w:t xml:space="preserve"> </w:t>
      </w:r>
      <w:r>
        <w:rPr>
          <w:rFonts w:ascii="Arial" w:hAnsi="Arial" w:cs="Arial"/>
          <w:sz w:val="24"/>
          <w:szCs w:val="24"/>
        </w:rPr>
        <w:t>this section</w:t>
      </w:r>
      <w:r w:rsidRPr="00F040F0">
        <w:rPr>
          <w:rFonts w:ascii="Arial" w:hAnsi="Arial" w:cs="Arial"/>
          <w:sz w:val="24"/>
          <w:szCs w:val="24"/>
        </w:rPr>
        <w:t xml:space="preserve"> will advocate why thematic analysis is going to be most productive and insightful. It is important to identify the similarities in individuals’ perceptions of the feasibility of the application of this tool. In addition to identifying themes, there is the opportunity to spot the differences in responses (and potentially delve into why this is the case). A parallel strength with thematic analysis is that some interpretation of the thoughts and ideas is possible. The loudest or commonest opinions are not always the most insightful – giving authority to the quiet insightful observation adds to the richness of this approach to analysis. It adds to the ability to draw descriptive and explanatory conclusions.</w:t>
      </w:r>
    </w:p>
    <w:p w14:paraId="38BA7F89"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 xml:space="preserve">As a method of analysis, there are some points of concern to highlight. With respect to the limitations of this sub-section, it is important to recognise that this dissertation is context specific, which will reflect into the research and analysis. The consequence of this specificity is that the generalisability is going to be limited. The additional challenge is that as this project’s subject matter has some nuance to it, it brings potential complexity. </w:t>
      </w:r>
    </w:p>
    <w:p w14:paraId="65BB879B"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These challenges are best addressed through a ‘theme and explore’ approach. The (relatively) small data set, with its complex subject matter can be drawn out to identify the key concepts. Quotations will add colour, and relatability, to the subsequent discussion.</w:t>
      </w:r>
    </w:p>
    <w:p w14:paraId="664E212B" w14:textId="73A62948" w:rsidR="00FC63B7" w:rsidRDefault="00FC63B7" w:rsidP="00FC63B7">
      <w:pPr>
        <w:spacing w:line="240" w:lineRule="auto"/>
        <w:rPr>
          <w:rFonts w:ascii="Arial" w:hAnsi="Arial" w:cs="Arial"/>
          <w:sz w:val="24"/>
          <w:szCs w:val="24"/>
        </w:rPr>
      </w:pPr>
    </w:p>
    <w:p w14:paraId="488AB25B" w14:textId="0BE92900" w:rsidR="00574317" w:rsidRDefault="00574317" w:rsidP="00FC63B7">
      <w:pPr>
        <w:spacing w:line="240" w:lineRule="auto"/>
        <w:rPr>
          <w:rFonts w:ascii="Arial" w:hAnsi="Arial" w:cs="Arial"/>
          <w:sz w:val="24"/>
          <w:szCs w:val="24"/>
        </w:rPr>
      </w:pPr>
    </w:p>
    <w:p w14:paraId="0AD6939C" w14:textId="77777777" w:rsidR="00574317" w:rsidRDefault="00574317" w:rsidP="00FC63B7">
      <w:pPr>
        <w:spacing w:line="240" w:lineRule="auto"/>
        <w:rPr>
          <w:rFonts w:ascii="Arial" w:hAnsi="Arial" w:cs="Arial"/>
          <w:sz w:val="24"/>
          <w:szCs w:val="24"/>
        </w:rPr>
      </w:pPr>
    </w:p>
    <w:p w14:paraId="5E5B62FC" w14:textId="78CFEB71"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lastRenderedPageBreak/>
        <w:t>3.</w:t>
      </w:r>
      <w:r w:rsidR="00574317">
        <w:rPr>
          <w:rFonts w:ascii="Arial" w:hAnsi="Arial" w:cs="Arial"/>
          <w:sz w:val="24"/>
          <w:szCs w:val="24"/>
        </w:rPr>
        <w:t>8</w:t>
      </w:r>
      <w:r w:rsidRPr="00F040F0">
        <w:rPr>
          <w:rFonts w:ascii="Arial" w:hAnsi="Arial" w:cs="Arial"/>
          <w:sz w:val="24"/>
          <w:szCs w:val="24"/>
        </w:rPr>
        <w:tab/>
        <w:t>Conclusion</w:t>
      </w:r>
    </w:p>
    <w:p w14:paraId="72F13AC1" w14:textId="4DB02CA9"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 xml:space="preserve">In summary, this project incorporates quantitative and qualitative strands. The quantitative aspect was able to take a comprehensive sample. It seeks to demonstrate the local profile of inpatients and their anticipated mortality indices. This then informed the qualitative component. Purposive sampling was used to draw out thoughts (from key stakeholders), through semi-structured interviews, regarding the feasibility of a tool to recognise those more likely to die within 12 months. This research is dynamic and interactive; hence, thematic analysis was the most appropriate way to distil the topics raised. The overarching limitation for this research was the restrictions of the timeframe. Stakeholders were limited by their </w:t>
      </w:r>
      <w:r w:rsidR="00797478" w:rsidRPr="00F040F0">
        <w:rPr>
          <w:rFonts w:ascii="Arial" w:hAnsi="Arial" w:cs="Arial"/>
          <w:sz w:val="24"/>
          <w:szCs w:val="24"/>
        </w:rPr>
        <w:t>availability;</w:t>
      </w:r>
      <w:r w:rsidRPr="00F040F0">
        <w:rPr>
          <w:rFonts w:ascii="Arial" w:hAnsi="Arial" w:cs="Arial"/>
          <w:sz w:val="24"/>
          <w:szCs w:val="24"/>
        </w:rPr>
        <w:t xml:space="preserve"> independent interviewers were not possible and there was minimal opportunity to revisit themes (akin to Delphi studies).</w:t>
      </w:r>
    </w:p>
    <w:p w14:paraId="2B67FCD2" w14:textId="77777777" w:rsidR="00FC63B7" w:rsidRPr="00F040F0" w:rsidRDefault="00FC63B7" w:rsidP="00FC63B7">
      <w:pPr>
        <w:spacing w:line="240" w:lineRule="auto"/>
        <w:rPr>
          <w:rFonts w:ascii="Arial" w:hAnsi="Arial" w:cs="Arial"/>
          <w:sz w:val="24"/>
          <w:szCs w:val="24"/>
        </w:rPr>
      </w:pPr>
      <w:r w:rsidRPr="00F040F0">
        <w:rPr>
          <w:rFonts w:ascii="Arial" w:hAnsi="Arial" w:cs="Arial"/>
          <w:sz w:val="24"/>
          <w:szCs w:val="24"/>
        </w:rPr>
        <w:t xml:space="preserve">However, this dissertation does provide an insight into what might be achievable and its acceptability to clinical practice. It begins to build another bridge between the wealth of digital data being held and the utility of application. This is increasing the awareness and understanding of this interface, raising the profile and moving knowledge to the ‘known </w:t>
      </w:r>
      <w:proofErr w:type="gramStart"/>
      <w:r w:rsidRPr="00F040F0">
        <w:rPr>
          <w:rFonts w:ascii="Arial" w:hAnsi="Arial" w:cs="Arial"/>
          <w:sz w:val="24"/>
          <w:szCs w:val="24"/>
        </w:rPr>
        <w:t>knowns’</w:t>
      </w:r>
      <w:proofErr w:type="gramEnd"/>
      <w:r w:rsidRPr="00F040F0">
        <w:rPr>
          <w:rFonts w:ascii="Arial" w:hAnsi="Arial" w:cs="Arial"/>
          <w:sz w:val="24"/>
          <w:szCs w:val="24"/>
        </w:rPr>
        <w:t>.</w:t>
      </w:r>
    </w:p>
    <w:p w14:paraId="56849593" w14:textId="3D9EBA9B" w:rsidR="0019278B" w:rsidRDefault="0019278B">
      <w:pPr>
        <w:rPr>
          <w:rFonts w:ascii="Arial" w:hAnsi="Arial" w:cs="Arial"/>
        </w:rPr>
      </w:pPr>
      <w:r>
        <w:rPr>
          <w:rFonts w:ascii="Arial" w:hAnsi="Arial" w:cs="Arial"/>
        </w:rPr>
        <w:br w:type="page"/>
      </w:r>
    </w:p>
    <w:p w14:paraId="71869DB0" w14:textId="77777777" w:rsidR="005B5A1D" w:rsidRDefault="005B5A1D" w:rsidP="005B5A1D">
      <w:pPr>
        <w:spacing w:line="240" w:lineRule="auto"/>
        <w:jc w:val="center"/>
        <w:rPr>
          <w:rFonts w:ascii="Arial" w:hAnsi="Arial" w:cs="Arial"/>
          <w:b/>
          <w:sz w:val="28"/>
          <w:szCs w:val="28"/>
        </w:rPr>
      </w:pPr>
    </w:p>
    <w:p w14:paraId="545C6B03" w14:textId="543DDA4D" w:rsidR="005B5A1D" w:rsidRDefault="005B5A1D" w:rsidP="005B5A1D">
      <w:pPr>
        <w:spacing w:line="240" w:lineRule="auto"/>
        <w:jc w:val="center"/>
        <w:rPr>
          <w:rFonts w:ascii="Arial" w:hAnsi="Arial" w:cs="Arial"/>
          <w:b/>
          <w:sz w:val="28"/>
          <w:szCs w:val="28"/>
        </w:rPr>
      </w:pPr>
    </w:p>
    <w:p w14:paraId="63EC99B5" w14:textId="77777777" w:rsidR="00B429B5" w:rsidRDefault="00B429B5" w:rsidP="005B5A1D">
      <w:pPr>
        <w:spacing w:line="240" w:lineRule="auto"/>
        <w:jc w:val="center"/>
        <w:rPr>
          <w:rFonts w:ascii="Arial" w:hAnsi="Arial" w:cs="Arial"/>
          <w:b/>
          <w:sz w:val="28"/>
          <w:szCs w:val="28"/>
        </w:rPr>
      </w:pPr>
    </w:p>
    <w:p w14:paraId="78823884" w14:textId="77777777" w:rsidR="005B5A1D" w:rsidRPr="00E34799" w:rsidRDefault="005B5A1D" w:rsidP="005B5A1D">
      <w:pPr>
        <w:spacing w:line="240" w:lineRule="auto"/>
        <w:jc w:val="center"/>
        <w:rPr>
          <w:rFonts w:ascii="Arial" w:hAnsi="Arial" w:cs="Arial"/>
          <w:b/>
          <w:sz w:val="28"/>
          <w:szCs w:val="28"/>
        </w:rPr>
      </w:pPr>
      <w:r w:rsidRPr="00E34799">
        <w:rPr>
          <w:rFonts w:ascii="Arial" w:hAnsi="Arial" w:cs="Arial"/>
          <w:b/>
          <w:sz w:val="28"/>
          <w:szCs w:val="28"/>
        </w:rPr>
        <w:t xml:space="preserve">CHAPTER </w:t>
      </w:r>
      <w:r>
        <w:rPr>
          <w:rFonts w:ascii="Arial" w:hAnsi="Arial" w:cs="Arial"/>
          <w:b/>
          <w:sz w:val="28"/>
          <w:szCs w:val="28"/>
        </w:rPr>
        <w:t>4</w:t>
      </w:r>
    </w:p>
    <w:p w14:paraId="6A18CB58" w14:textId="77777777" w:rsidR="00B429B5" w:rsidRDefault="00B429B5" w:rsidP="005B5A1D">
      <w:pPr>
        <w:spacing w:line="240" w:lineRule="auto"/>
        <w:jc w:val="center"/>
        <w:rPr>
          <w:rFonts w:ascii="Arial" w:hAnsi="Arial" w:cs="Arial"/>
          <w:b/>
          <w:sz w:val="32"/>
          <w:szCs w:val="32"/>
          <w:u w:val="single"/>
        </w:rPr>
      </w:pPr>
      <w:r>
        <w:rPr>
          <w:rFonts w:ascii="Arial" w:hAnsi="Arial" w:cs="Arial"/>
          <w:b/>
          <w:sz w:val="32"/>
          <w:szCs w:val="32"/>
          <w:u w:val="single"/>
        </w:rPr>
        <w:t>Results</w:t>
      </w:r>
    </w:p>
    <w:p w14:paraId="36BF0568" w14:textId="01425DE5" w:rsidR="005B5A1D" w:rsidRPr="00B429B5" w:rsidRDefault="005B5A1D" w:rsidP="005B5A1D">
      <w:pPr>
        <w:spacing w:line="240" w:lineRule="auto"/>
        <w:jc w:val="center"/>
        <w:rPr>
          <w:rFonts w:ascii="Arial" w:hAnsi="Arial" w:cs="Arial"/>
          <w:b/>
          <w:sz w:val="28"/>
          <w:szCs w:val="28"/>
        </w:rPr>
      </w:pPr>
      <w:r w:rsidRPr="00B429B5">
        <w:rPr>
          <w:rFonts w:ascii="Arial" w:hAnsi="Arial" w:cs="Arial"/>
          <w:b/>
          <w:sz w:val="28"/>
          <w:szCs w:val="28"/>
        </w:rPr>
        <w:t>Unknown knowns</w:t>
      </w:r>
    </w:p>
    <w:p w14:paraId="593F3E85" w14:textId="1F69A852" w:rsidR="005B5A1D" w:rsidRDefault="005B5A1D" w:rsidP="005B5A1D">
      <w:pPr>
        <w:spacing w:line="240" w:lineRule="auto"/>
        <w:jc w:val="center"/>
        <w:rPr>
          <w:rFonts w:ascii="Arial" w:hAnsi="Arial" w:cs="Arial"/>
          <w:b/>
          <w:sz w:val="24"/>
          <w:szCs w:val="24"/>
        </w:rPr>
      </w:pPr>
    </w:p>
    <w:p w14:paraId="5D2117C6" w14:textId="77777777" w:rsidR="005B5A1D" w:rsidRDefault="005B5A1D" w:rsidP="005B5A1D"/>
    <w:p w14:paraId="5999F107" w14:textId="4E8AC1BF" w:rsidR="005B5A1D" w:rsidRDefault="005B5A1D" w:rsidP="005B5A1D">
      <w:pPr>
        <w:rPr>
          <w:rFonts w:ascii="Arial" w:hAnsi="Arial" w:cs="Arial"/>
          <w:sz w:val="24"/>
          <w:szCs w:val="24"/>
        </w:rPr>
      </w:pPr>
      <w:r>
        <w:rPr>
          <w:rFonts w:ascii="Arial" w:hAnsi="Arial" w:cs="Arial"/>
          <w:sz w:val="24"/>
          <w:szCs w:val="24"/>
        </w:rPr>
        <w:t>4</w:t>
      </w:r>
      <w:r w:rsidRPr="00382705">
        <w:rPr>
          <w:rFonts w:ascii="Arial" w:hAnsi="Arial" w:cs="Arial"/>
          <w:sz w:val="24"/>
          <w:szCs w:val="24"/>
        </w:rPr>
        <w:t>.1</w:t>
      </w:r>
      <w:r w:rsidRPr="00382705">
        <w:rPr>
          <w:rFonts w:ascii="Arial" w:hAnsi="Arial" w:cs="Arial"/>
          <w:sz w:val="24"/>
          <w:szCs w:val="24"/>
        </w:rPr>
        <w:tab/>
        <w:t>Introduction</w:t>
      </w:r>
    </w:p>
    <w:p w14:paraId="01C07B2E" w14:textId="0D867C61" w:rsidR="005B5A1D" w:rsidRDefault="005B5A1D" w:rsidP="005B5A1D">
      <w:pPr>
        <w:rPr>
          <w:rFonts w:ascii="Arial" w:hAnsi="Arial" w:cs="Arial"/>
          <w:sz w:val="24"/>
          <w:szCs w:val="24"/>
        </w:rPr>
      </w:pPr>
      <w:r>
        <w:rPr>
          <w:rFonts w:ascii="Arial" w:hAnsi="Arial" w:cs="Arial"/>
          <w:sz w:val="24"/>
          <w:szCs w:val="24"/>
        </w:rPr>
        <w:t>This chapter draws out the pertinent features of the results in this research. The quantitative aspect is more structured aligning to the work by Clark et al. (2014). In contrast, the thematic analysis from the semi-structured interviews is more subjective. Inductive analysis (Naeem et al., 2023) enables an open-minded approach to identify the unexpected, outside of any theoretical constraints. These will provide the springboard for the discussion in the next chapter.</w:t>
      </w:r>
    </w:p>
    <w:p w14:paraId="50423AD3" w14:textId="77777777" w:rsidR="005B5A1D" w:rsidRDefault="005B5A1D" w:rsidP="005B5A1D">
      <w:pPr>
        <w:rPr>
          <w:rFonts w:ascii="Arial" w:hAnsi="Arial" w:cs="Arial"/>
          <w:sz w:val="24"/>
          <w:szCs w:val="24"/>
        </w:rPr>
      </w:pPr>
    </w:p>
    <w:p w14:paraId="01C2CCE2" w14:textId="73D60FA9" w:rsidR="00133919" w:rsidRDefault="005B5A1D" w:rsidP="005B5A1D">
      <w:pPr>
        <w:rPr>
          <w:rFonts w:ascii="Arial" w:hAnsi="Arial" w:cs="Arial"/>
          <w:sz w:val="24"/>
          <w:szCs w:val="24"/>
        </w:rPr>
      </w:pPr>
      <w:r>
        <w:rPr>
          <w:rFonts w:ascii="Arial" w:hAnsi="Arial" w:cs="Arial"/>
          <w:sz w:val="24"/>
          <w:szCs w:val="24"/>
        </w:rPr>
        <w:t>4.2</w:t>
      </w:r>
      <w:r>
        <w:rPr>
          <w:rFonts w:ascii="Arial" w:hAnsi="Arial" w:cs="Arial"/>
          <w:sz w:val="24"/>
          <w:szCs w:val="24"/>
        </w:rPr>
        <w:tab/>
        <w:t>Mortality data</w:t>
      </w:r>
    </w:p>
    <w:p w14:paraId="41DAB89B" w14:textId="6423B9E2" w:rsidR="005B5A1D" w:rsidRPr="00230002" w:rsidRDefault="001718AB" w:rsidP="005B5A1D">
      <w:pPr>
        <w:rPr>
          <w:rFonts w:ascii="Arial" w:hAnsi="Arial" w:cs="Arial"/>
          <w:sz w:val="18"/>
          <w:szCs w:val="18"/>
        </w:rPr>
      </w:pPr>
      <w:r w:rsidRPr="00133919">
        <w:rPr>
          <w:rFonts w:ascii="Arial" w:hAnsi="Arial" w:cs="Arial"/>
          <w:noProof/>
          <w:sz w:val="18"/>
          <w:szCs w:val="18"/>
        </w:rPr>
        <w:drawing>
          <wp:inline distT="0" distB="0" distL="0" distR="0" wp14:anchorId="499F0046" wp14:editId="0924A387">
            <wp:extent cx="5731510" cy="280416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804160"/>
                    </a:xfrm>
                    <a:prstGeom prst="rect">
                      <a:avLst/>
                    </a:prstGeom>
                  </pic:spPr>
                </pic:pic>
              </a:graphicData>
            </a:graphic>
          </wp:inline>
        </w:drawing>
      </w:r>
    </w:p>
    <w:p w14:paraId="22561793" w14:textId="4A16B264" w:rsidR="006039F9" w:rsidRDefault="006039F9" w:rsidP="005B5A1D">
      <w:pPr>
        <w:rPr>
          <w:rFonts w:ascii="Arial" w:hAnsi="Arial" w:cs="Arial"/>
          <w:sz w:val="24"/>
          <w:szCs w:val="24"/>
        </w:rPr>
      </w:pPr>
      <w:r w:rsidRPr="00230002">
        <w:rPr>
          <w:rFonts w:ascii="Arial" w:hAnsi="Arial" w:cs="Arial"/>
          <w:sz w:val="18"/>
          <w:szCs w:val="18"/>
        </w:rPr>
        <w:t>Figure 4.1: Mortality over time by</w:t>
      </w:r>
      <w:r>
        <w:rPr>
          <w:rFonts w:ascii="Arial" w:hAnsi="Arial" w:cs="Arial"/>
          <w:sz w:val="18"/>
          <w:szCs w:val="18"/>
        </w:rPr>
        <w:t xml:space="preserve"> age</w:t>
      </w:r>
    </w:p>
    <w:p w14:paraId="30CF6440" w14:textId="77777777" w:rsidR="005B5A1D" w:rsidRDefault="005B5A1D" w:rsidP="005B5A1D">
      <w:pPr>
        <w:rPr>
          <w:rFonts w:ascii="Arial" w:hAnsi="Arial" w:cs="Arial"/>
          <w:sz w:val="24"/>
          <w:szCs w:val="24"/>
        </w:rPr>
      </w:pPr>
    </w:p>
    <w:p w14:paraId="1F45BA0A" w14:textId="77777777" w:rsidR="005B5A1D" w:rsidRPr="00230002" w:rsidRDefault="005B5A1D" w:rsidP="005B5A1D">
      <w:pPr>
        <w:rPr>
          <w:rFonts w:ascii="Arial" w:hAnsi="Arial" w:cs="Arial"/>
          <w:sz w:val="24"/>
          <w:szCs w:val="24"/>
        </w:rPr>
      </w:pPr>
      <w:r w:rsidRPr="00230002">
        <w:rPr>
          <w:rFonts w:ascii="Arial" w:hAnsi="Arial" w:cs="Arial"/>
          <w:sz w:val="24"/>
          <w:szCs w:val="24"/>
        </w:rPr>
        <w:t>2030 patients were identified on the census date. More were women (52.5%) than men (47.5%). A fifth (20%) were 85 years of age or older, and over two thirds (66.8%) were aged 65 years or older.</w:t>
      </w:r>
    </w:p>
    <w:p w14:paraId="50FED81A" w14:textId="0CE49AD5" w:rsidR="005B5A1D" w:rsidRPr="00B84B3F" w:rsidRDefault="005B5A1D" w:rsidP="005B5A1D">
      <w:pPr>
        <w:rPr>
          <w:rFonts w:ascii="Arial" w:hAnsi="Arial" w:cs="Arial"/>
          <w:sz w:val="24"/>
          <w:szCs w:val="24"/>
        </w:rPr>
      </w:pPr>
      <w:r w:rsidRPr="00230002">
        <w:rPr>
          <w:rFonts w:ascii="Arial" w:hAnsi="Arial" w:cs="Arial"/>
          <w:sz w:val="24"/>
          <w:szCs w:val="24"/>
        </w:rPr>
        <w:lastRenderedPageBreak/>
        <w:t xml:space="preserve">Table 4.1 shows </w:t>
      </w:r>
      <w:r w:rsidR="006A14EA">
        <w:rPr>
          <w:rFonts w:ascii="Arial" w:hAnsi="Arial" w:cs="Arial"/>
          <w:sz w:val="24"/>
          <w:szCs w:val="24"/>
        </w:rPr>
        <w:t xml:space="preserve">the full raw data. Consolidating this </w:t>
      </w:r>
      <w:r w:rsidR="00797478">
        <w:rPr>
          <w:rFonts w:ascii="Arial" w:hAnsi="Arial" w:cs="Arial"/>
          <w:sz w:val="24"/>
          <w:szCs w:val="24"/>
        </w:rPr>
        <w:t>information,</w:t>
      </w:r>
      <w:r w:rsidR="006A14EA">
        <w:rPr>
          <w:rFonts w:ascii="Arial" w:hAnsi="Arial" w:cs="Arial"/>
          <w:sz w:val="24"/>
          <w:szCs w:val="24"/>
        </w:rPr>
        <w:t xml:space="preserve"> it can be seen that</w:t>
      </w:r>
      <w:r w:rsidRPr="00230002">
        <w:rPr>
          <w:rFonts w:ascii="Arial" w:hAnsi="Arial" w:cs="Arial"/>
          <w:sz w:val="24"/>
          <w:szCs w:val="24"/>
        </w:rPr>
        <w:t xml:space="preserve"> 2.2% (45 of the 2030 patients) had died within 7 days of the census date, 6.7% (137 patients) by 30 days, 15.1% (306 patients) by 3 months and 19.3% (391 patients) by 6 months. At each analysis point, detailed in table 4.1, men were more likely to have died than women. Figure 4.1 illustrates that the mortality rate increased with age. The mortality rate was over seven times higher for those over 85 years of age (37.7%) compared to those under 60 years of age (4.5%).</w:t>
      </w:r>
      <w:r w:rsidR="00E76046">
        <w:rPr>
          <w:rFonts w:ascii="Arial" w:hAnsi="Arial" w:cs="Arial"/>
          <w:sz w:val="24"/>
          <w:szCs w:val="24"/>
        </w:rPr>
        <w:t xml:space="preserve"> </w:t>
      </w:r>
      <w:r w:rsidRPr="00B84B3F">
        <w:rPr>
          <w:rFonts w:ascii="Arial" w:hAnsi="Arial" w:cs="Arial"/>
          <w:sz w:val="24"/>
          <w:szCs w:val="24"/>
        </w:rPr>
        <w:t>Considering the odds ratio for mortality, they range from 4.68 for those under 60 years of age to 59.28 for those over 85 years of age using the crude death rate (Statista, 2025). Using older, age specific, mortality rates (ONS, 2015) the results show that the odds ratio for those aged 60 to 64 is 18.41 and for those over 85 years of age it is 4.79. The p values for each odds ratio, with either mortality rate, is less than 0.0001. The probability of this being a coincidental finding is one in ten thousand.</w:t>
      </w:r>
    </w:p>
    <w:p w14:paraId="12D4FBF7" w14:textId="77777777" w:rsidR="0064692C" w:rsidRDefault="0064692C" w:rsidP="00E76046">
      <w:pPr>
        <w:spacing w:after="0"/>
        <w:rPr>
          <w:rFonts w:ascii="Arial" w:hAnsi="Arial" w:cs="Arial"/>
          <w:sz w:val="18"/>
          <w:szCs w:val="18"/>
        </w:rPr>
      </w:pPr>
    </w:p>
    <w:p w14:paraId="05F1A843" w14:textId="09EAE161" w:rsidR="00E76046" w:rsidRPr="00B84B3F" w:rsidRDefault="00E76046" w:rsidP="00E76046">
      <w:pPr>
        <w:spacing w:after="0"/>
        <w:rPr>
          <w:rFonts w:ascii="Arial" w:hAnsi="Arial" w:cs="Arial"/>
          <w:sz w:val="18"/>
          <w:szCs w:val="18"/>
        </w:rPr>
      </w:pPr>
      <w:r w:rsidRPr="00B84B3F">
        <w:rPr>
          <w:rFonts w:ascii="Arial" w:hAnsi="Arial" w:cs="Arial"/>
          <w:sz w:val="18"/>
          <w:szCs w:val="18"/>
        </w:rPr>
        <w:t>Table 4.1: Mortality data</w:t>
      </w:r>
    </w:p>
    <w:p w14:paraId="5400D71A" w14:textId="77777777" w:rsidR="005B5A1D" w:rsidRDefault="005B5A1D" w:rsidP="005B5A1D">
      <w:pPr>
        <w:spacing w:after="0"/>
      </w:pPr>
      <w:r w:rsidRPr="006E22D1">
        <w:rPr>
          <w:noProof/>
          <w:lang w:eastAsia="en-GB"/>
        </w:rPr>
        <w:drawing>
          <wp:inline distT="0" distB="0" distL="0" distR="0" wp14:anchorId="11F5CC71" wp14:editId="1DB0CEA3">
            <wp:extent cx="5731510" cy="594106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5941060"/>
                    </a:xfrm>
                    <a:prstGeom prst="rect">
                      <a:avLst/>
                    </a:prstGeom>
                  </pic:spPr>
                </pic:pic>
              </a:graphicData>
            </a:graphic>
          </wp:inline>
        </w:drawing>
      </w:r>
    </w:p>
    <w:p w14:paraId="2A22E387" w14:textId="17C2A2E2" w:rsidR="005B5A1D" w:rsidRDefault="005B5A1D" w:rsidP="005B5A1D">
      <w:pPr>
        <w:rPr>
          <w:rFonts w:ascii="Arial" w:hAnsi="Arial" w:cs="Arial"/>
          <w:sz w:val="24"/>
          <w:szCs w:val="24"/>
        </w:rPr>
      </w:pPr>
      <w:r w:rsidRPr="00B84B3F">
        <w:rPr>
          <w:rFonts w:ascii="Arial" w:hAnsi="Arial" w:cs="Arial"/>
          <w:sz w:val="24"/>
          <w:szCs w:val="24"/>
        </w:rPr>
        <w:lastRenderedPageBreak/>
        <w:t>4.3</w:t>
      </w:r>
      <w:r w:rsidRPr="00B84B3F">
        <w:rPr>
          <w:rFonts w:ascii="Arial" w:hAnsi="Arial" w:cs="Arial"/>
          <w:sz w:val="24"/>
          <w:szCs w:val="24"/>
        </w:rPr>
        <w:tab/>
      </w:r>
      <w:r w:rsidR="006A14EA">
        <w:rPr>
          <w:rFonts w:ascii="Arial" w:hAnsi="Arial" w:cs="Arial"/>
          <w:sz w:val="24"/>
          <w:szCs w:val="24"/>
        </w:rPr>
        <w:t>In-depth p</w:t>
      </w:r>
      <w:r>
        <w:rPr>
          <w:rFonts w:ascii="Arial" w:hAnsi="Arial" w:cs="Arial"/>
          <w:sz w:val="24"/>
          <w:szCs w:val="24"/>
        </w:rPr>
        <w:t>erspectives on feasibility</w:t>
      </w:r>
    </w:p>
    <w:p w14:paraId="177F7734" w14:textId="77777777" w:rsidR="005B5A1D" w:rsidRPr="00B84B3F" w:rsidRDefault="005B5A1D" w:rsidP="005B5A1D">
      <w:pPr>
        <w:rPr>
          <w:rFonts w:ascii="Arial" w:hAnsi="Arial" w:cs="Arial"/>
          <w:sz w:val="24"/>
          <w:szCs w:val="24"/>
        </w:rPr>
      </w:pPr>
      <w:r>
        <w:rPr>
          <w:rFonts w:ascii="Arial" w:hAnsi="Arial" w:cs="Arial"/>
          <w:sz w:val="24"/>
          <w:szCs w:val="24"/>
        </w:rPr>
        <w:t>Seven semi-structured interviews were initiated, with six being completed. The participants were three medical practitioners (resident doctor in nephrology, resident doctor in oncology, consultant in care of the elderly) and three nursing professionals (clinical nurse specialist, chemotherapy nurse, advanced medical practitioner). A paramedic withdrew from this research.</w:t>
      </w:r>
    </w:p>
    <w:p w14:paraId="39EA56AE" w14:textId="52C0C3ED" w:rsidR="006A14EA" w:rsidRDefault="005B5A1D" w:rsidP="005B5A1D">
      <w:pPr>
        <w:rPr>
          <w:rFonts w:ascii="Arial" w:hAnsi="Arial" w:cs="Arial"/>
          <w:sz w:val="24"/>
          <w:szCs w:val="24"/>
        </w:rPr>
      </w:pPr>
      <w:r w:rsidRPr="006C5F57">
        <w:rPr>
          <w:rFonts w:ascii="Arial" w:hAnsi="Arial" w:cs="Arial"/>
          <w:sz w:val="24"/>
          <w:szCs w:val="24"/>
        </w:rPr>
        <w:t>The interviews were carried out in January 2025</w:t>
      </w:r>
      <w:r>
        <w:rPr>
          <w:rFonts w:ascii="Arial" w:hAnsi="Arial" w:cs="Arial"/>
          <w:sz w:val="24"/>
          <w:szCs w:val="24"/>
        </w:rPr>
        <w:t xml:space="preserve"> at the convenience of the participant (and availability of the, single, interviewer). They ranged in duration from 22 minutes to 48 minutes. Story</w:t>
      </w:r>
      <w:r w:rsidR="00E76046">
        <w:rPr>
          <w:rFonts w:ascii="Arial" w:hAnsi="Arial" w:cs="Arial"/>
          <w:sz w:val="24"/>
          <w:szCs w:val="24"/>
        </w:rPr>
        <w:t>-</w:t>
      </w:r>
      <w:r>
        <w:rPr>
          <w:rFonts w:ascii="Arial" w:hAnsi="Arial" w:cs="Arial"/>
          <w:sz w:val="24"/>
          <w:szCs w:val="24"/>
        </w:rPr>
        <w:t xml:space="preserve">telling, as in recollection of experiences, was a strong theme prompted to empower participants in conceptualising this potential prognostic aid. The surrounding, hypothetical, discussion provided a breadth of themes to delve into alongside their explicit thoughts and opinions. After familiarisation with the data a number of quotes were captured to represent the diverse viewpoints. The use of a word cloud, as an infographic, was one method to highlight the recurring phrases providing some weighting. This was more useful contextually as it did not particularly support the coding process. The emphasized phrases </w:t>
      </w:r>
      <w:r w:rsidR="006A14EA">
        <w:rPr>
          <w:rFonts w:ascii="Arial" w:hAnsi="Arial" w:cs="Arial"/>
          <w:sz w:val="24"/>
          <w:szCs w:val="24"/>
        </w:rPr>
        <w:t>supported the development of the thematic analysis.</w:t>
      </w:r>
    </w:p>
    <w:p w14:paraId="56F3117F" w14:textId="77777777" w:rsidR="005B5A1D" w:rsidRDefault="005B5A1D" w:rsidP="005B5A1D">
      <w:pPr>
        <w:rPr>
          <w:rFonts w:ascii="Arial" w:hAnsi="Arial" w:cs="Arial"/>
          <w:sz w:val="18"/>
          <w:szCs w:val="18"/>
        </w:rPr>
      </w:pPr>
    </w:p>
    <w:p w14:paraId="18953E5E" w14:textId="77777777" w:rsidR="005B5A1D" w:rsidRDefault="005B5A1D" w:rsidP="005B5A1D">
      <w:pPr>
        <w:jc w:val="center"/>
        <w:rPr>
          <w:rFonts w:ascii="Arial" w:hAnsi="Arial" w:cs="Arial"/>
          <w:sz w:val="24"/>
          <w:szCs w:val="24"/>
        </w:rPr>
      </w:pPr>
      <w:r>
        <w:rPr>
          <w:rFonts w:ascii="Arial" w:hAnsi="Arial" w:cs="Arial"/>
          <w:noProof/>
          <w:sz w:val="24"/>
          <w:szCs w:val="24"/>
          <w:lang w:eastAsia="en-GB"/>
        </w:rPr>
        <w:drawing>
          <wp:inline distT="0" distB="0" distL="0" distR="0" wp14:anchorId="22F416E9" wp14:editId="091FBE5E">
            <wp:extent cx="4067504" cy="4067504"/>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ordcloud.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077953" cy="4077953"/>
                    </a:xfrm>
                    <a:prstGeom prst="rect">
                      <a:avLst/>
                    </a:prstGeom>
                  </pic:spPr>
                </pic:pic>
              </a:graphicData>
            </a:graphic>
          </wp:inline>
        </w:drawing>
      </w:r>
    </w:p>
    <w:p w14:paraId="365ECD47" w14:textId="77777777" w:rsidR="00E76046" w:rsidRPr="00825921" w:rsidRDefault="00E76046" w:rsidP="00E76046">
      <w:pPr>
        <w:rPr>
          <w:rFonts w:ascii="Arial" w:hAnsi="Arial" w:cs="Arial"/>
          <w:sz w:val="18"/>
          <w:szCs w:val="18"/>
        </w:rPr>
      </w:pPr>
      <w:r w:rsidRPr="00825921">
        <w:rPr>
          <w:rFonts w:ascii="Arial" w:hAnsi="Arial" w:cs="Arial"/>
          <w:sz w:val="18"/>
          <w:szCs w:val="18"/>
        </w:rPr>
        <w:t xml:space="preserve">Figure 4.2: </w:t>
      </w:r>
      <w:r>
        <w:rPr>
          <w:rFonts w:ascii="Arial" w:hAnsi="Arial" w:cs="Arial"/>
          <w:sz w:val="18"/>
          <w:szCs w:val="18"/>
        </w:rPr>
        <w:t>Keywords</w:t>
      </w:r>
    </w:p>
    <w:p w14:paraId="30864B0E" w14:textId="77777777" w:rsidR="005B5A1D" w:rsidRDefault="005B5A1D" w:rsidP="005B5A1D">
      <w:pPr>
        <w:rPr>
          <w:rFonts w:ascii="Arial" w:hAnsi="Arial" w:cs="Arial"/>
          <w:sz w:val="24"/>
          <w:szCs w:val="24"/>
        </w:rPr>
      </w:pPr>
    </w:p>
    <w:p w14:paraId="2AFA26B0" w14:textId="77777777" w:rsidR="005B5A1D" w:rsidRDefault="005B5A1D" w:rsidP="005B5A1D">
      <w:pPr>
        <w:rPr>
          <w:rFonts w:ascii="Arial" w:hAnsi="Arial" w:cs="Arial"/>
          <w:sz w:val="24"/>
          <w:szCs w:val="24"/>
        </w:rPr>
      </w:pPr>
    </w:p>
    <w:p w14:paraId="59AAF62B" w14:textId="65538FBD" w:rsidR="005B5A1D" w:rsidRDefault="005B5A1D" w:rsidP="005B5A1D">
      <w:pPr>
        <w:rPr>
          <w:rFonts w:ascii="Arial" w:hAnsi="Arial" w:cs="Arial"/>
          <w:sz w:val="24"/>
          <w:szCs w:val="24"/>
        </w:rPr>
      </w:pPr>
      <w:r>
        <w:rPr>
          <w:rFonts w:ascii="Arial" w:hAnsi="Arial" w:cs="Arial"/>
          <w:sz w:val="24"/>
          <w:szCs w:val="24"/>
        </w:rPr>
        <w:lastRenderedPageBreak/>
        <w:t>In over 3 hours of discussion, there were a number of repeated themes with different professions and specialties using the same ‘</w:t>
      </w:r>
      <w:proofErr w:type="gramStart"/>
      <w:r>
        <w:rPr>
          <w:rFonts w:ascii="Arial" w:hAnsi="Arial" w:cs="Arial"/>
          <w:sz w:val="24"/>
          <w:szCs w:val="24"/>
        </w:rPr>
        <w:t>keywords’</w:t>
      </w:r>
      <w:proofErr w:type="gramEnd"/>
      <w:r>
        <w:rPr>
          <w:rFonts w:ascii="Arial" w:hAnsi="Arial" w:cs="Arial"/>
          <w:sz w:val="24"/>
          <w:szCs w:val="24"/>
        </w:rPr>
        <w:t xml:space="preserve">. The </w:t>
      </w:r>
      <w:r w:rsidR="00797478">
        <w:rPr>
          <w:rFonts w:ascii="Arial" w:hAnsi="Arial" w:cs="Arial"/>
          <w:sz w:val="24"/>
          <w:szCs w:val="24"/>
        </w:rPr>
        <w:t>thirty-one</w:t>
      </w:r>
      <w:r>
        <w:rPr>
          <w:rFonts w:ascii="Arial" w:hAnsi="Arial" w:cs="Arial"/>
          <w:sz w:val="24"/>
          <w:szCs w:val="24"/>
        </w:rPr>
        <w:t xml:space="preserve"> words and phrases in figure 4.2 are the crystallisation of this familiarisation with the data. This ‘raw data’ was then converted to manageable units through coding into elements supporting further analysis. This step is illustrated in figure 4.3. Here one can also see the final step into identification of themes – linking the data back to the question as to the feasibility </w:t>
      </w:r>
      <w:r w:rsidRPr="001B10E4">
        <w:rPr>
          <w:rFonts w:ascii="Arial" w:hAnsi="Arial" w:cs="Arial"/>
          <w:sz w:val="24"/>
          <w:szCs w:val="24"/>
        </w:rPr>
        <w:t xml:space="preserve">of a prognostication aid </w:t>
      </w:r>
      <w:r w:rsidR="00A71751">
        <w:rPr>
          <w:rFonts w:ascii="Arial" w:hAnsi="Arial" w:cs="Arial"/>
          <w:sz w:val="24"/>
          <w:szCs w:val="24"/>
        </w:rPr>
        <w:t>to</w:t>
      </w:r>
      <w:r w:rsidRPr="001B10E4">
        <w:rPr>
          <w:rFonts w:ascii="Arial" w:hAnsi="Arial" w:cs="Arial"/>
          <w:sz w:val="24"/>
          <w:szCs w:val="24"/>
        </w:rPr>
        <w:t xml:space="preserve"> promot</w:t>
      </w:r>
      <w:r w:rsidR="00A71751">
        <w:rPr>
          <w:rFonts w:ascii="Arial" w:hAnsi="Arial" w:cs="Arial"/>
          <w:sz w:val="24"/>
          <w:szCs w:val="24"/>
        </w:rPr>
        <w:t>e</w:t>
      </w:r>
      <w:r w:rsidRPr="001B10E4">
        <w:rPr>
          <w:rFonts w:ascii="Arial" w:hAnsi="Arial" w:cs="Arial"/>
          <w:sz w:val="24"/>
          <w:szCs w:val="24"/>
        </w:rPr>
        <w:t xml:space="preserve"> advance care planning</w:t>
      </w:r>
      <w:r>
        <w:rPr>
          <w:rFonts w:ascii="Arial" w:hAnsi="Arial" w:cs="Arial"/>
          <w:sz w:val="24"/>
          <w:szCs w:val="24"/>
        </w:rPr>
        <w:t>.</w:t>
      </w:r>
      <w:r w:rsidR="006A14EA">
        <w:rPr>
          <w:rFonts w:ascii="Arial" w:hAnsi="Arial" w:cs="Arial"/>
          <w:sz w:val="24"/>
          <w:szCs w:val="24"/>
        </w:rPr>
        <w:t xml:space="preserve"> These themes </w:t>
      </w:r>
      <w:r w:rsidR="00A71751">
        <w:rPr>
          <w:rFonts w:ascii="Arial" w:hAnsi="Arial" w:cs="Arial"/>
          <w:sz w:val="24"/>
          <w:szCs w:val="24"/>
        </w:rPr>
        <w:t>are explored</w:t>
      </w:r>
      <w:r w:rsidR="006A14EA">
        <w:rPr>
          <w:rFonts w:ascii="Arial" w:hAnsi="Arial" w:cs="Arial"/>
          <w:sz w:val="24"/>
          <w:szCs w:val="24"/>
        </w:rPr>
        <w:t xml:space="preserve"> in the next chapter</w:t>
      </w:r>
      <w:r w:rsidR="00A71751">
        <w:rPr>
          <w:rFonts w:ascii="Arial" w:hAnsi="Arial" w:cs="Arial"/>
          <w:sz w:val="24"/>
          <w:szCs w:val="24"/>
        </w:rPr>
        <w:t xml:space="preserve"> with </w:t>
      </w:r>
      <w:r w:rsidR="00AD7935">
        <w:rPr>
          <w:rFonts w:ascii="Arial" w:hAnsi="Arial" w:cs="Arial"/>
          <w:sz w:val="24"/>
          <w:szCs w:val="24"/>
        </w:rPr>
        <w:t>‘</w:t>
      </w:r>
      <w:r w:rsidR="00A71751">
        <w:rPr>
          <w:rFonts w:ascii="Arial" w:hAnsi="Arial" w:cs="Arial"/>
          <w:sz w:val="24"/>
          <w:szCs w:val="24"/>
        </w:rPr>
        <w:t>utility</w:t>
      </w:r>
      <w:r w:rsidR="00AD7935">
        <w:rPr>
          <w:rFonts w:ascii="Arial" w:hAnsi="Arial" w:cs="Arial"/>
          <w:sz w:val="24"/>
          <w:szCs w:val="24"/>
        </w:rPr>
        <w:t>’</w:t>
      </w:r>
      <w:r w:rsidR="00A71751">
        <w:rPr>
          <w:rFonts w:ascii="Arial" w:hAnsi="Arial" w:cs="Arial"/>
          <w:sz w:val="24"/>
          <w:szCs w:val="24"/>
        </w:rPr>
        <w:t xml:space="preserve"> </w:t>
      </w:r>
      <w:r w:rsidR="006A14EA">
        <w:rPr>
          <w:rFonts w:ascii="Arial" w:hAnsi="Arial" w:cs="Arial"/>
          <w:sz w:val="24"/>
          <w:szCs w:val="24"/>
        </w:rPr>
        <w:t>advocating</w:t>
      </w:r>
      <w:r w:rsidR="00A71751">
        <w:rPr>
          <w:rFonts w:ascii="Arial" w:hAnsi="Arial" w:cs="Arial"/>
          <w:sz w:val="24"/>
          <w:szCs w:val="24"/>
        </w:rPr>
        <w:t xml:space="preserve"> its feasibility, </w:t>
      </w:r>
      <w:r w:rsidR="00AD7935">
        <w:rPr>
          <w:rFonts w:ascii="Arial" w:hAnsi="Arial" w:cs="Arial"/>
          <w:sz w:val="24"/>
          <w:szCs w:val="24"/>
        </w:rPr>
        <w:t>‘ethics’ bringing insightful observations and the remaining themes</w:t>
      </w:r>
      <w:r w:rsidR="00A71751">
        <w:rPr>
          <w:rFonts w:ascii="Arial" w:hAnsi="Arial" w:cs="Arial"/>
          <w:sz w:val="24"/>
          <w:szCs w:val="24"/>
        </w:rPr>
        <w:t xml:space="preserve"> raising caution</w:t>
      </w:r>
      <w:r w:rsidR="006A14EA">
        <w:rPr>
          <w:rFonts w:ascii="Arial" w:hAnsi="Arial" w:cs="Arial"/>
          <w:sz w:val="24"/>
          <w:szCs w:val="24"/>
        </w:rPr>
        <w:t>.</w:t>
      </w:r>
    </w:p>
    <w:p w14:paraId="0EB2AD5C" w14:textId="77777777" w:rsidR="005B5A1D" w:rsidRDefault="005B5A1D" w:rsidP="005B5A1D"/>
    <w:p w14:paraId="6A8F3AD6" w14:textId="77777777" w:rsidR="005B5A1D" w:rsidRDefault="005B5A1D" w:rsidP="005B5A1D">
      <w:pPr>
        <w:jc w:val="center"/>
      </w:pPr>
      <w:r>
        <w:rPr>
          <w:noProof/>
          <w:lang w:eastAsia="en-GB"/>
        </w:rPr>
        <w:drawing>
          <wp:inline distT="0" distB="0" distL="0" distR="0" wp14:anchorId="21D6C7D5" wp14:editId="47BD0C3F">
            <wp:extent cx="5038725" cy="286131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esentation1.2.jpg"/>
                    <pic:cNvPicPr/>
                  </pic:nvPicPr>
                  <pic:blipFill rotWithShape="1">
                    <a:blip r:embed="rId31">
                      <a:extLst>
                        <a:ext uri="{28A0092B-C50C-407E-A947-70E740481C1C}">
                          <a14:useLocalDpi xmlns:a14="http://schemas.microsoft.com/office/drawing/2010/main" val="0"/>
                        </a:ext>
                      </a:extLst>
                    </a:blip>
                    <a:srcRect r="12088"/>
                    <a:stretch/>
                  </pic:blipFill>
                  <pic:spPr bwMode="auto">
                    <a:xfrm>
                      <a:off x="0" y="0"/>
                      <a:ext cx="5038725" cy="2861310"/>
                    </a:xfrm>
                    <a:prstGeom prst="rect">
                      <a:avLst/>
                    </a:prstGeom>
                    <a:ln>
                      <a:noFill/>
                    </a:ln>
                    <a:extLst>
                      <a:ext uri="{53640926-AAD7-44D8-BBD7-CCE9431645EC}">
                        <a14:shadowObscured xmlns:a14="http://schemas.microsoft.com/office/drawing/2010/main"/>
                      </a:ext>
                    </a:extLst>
                  </pic:spPr>
                </pic:pic>
              </a:graphicData>
            </a:graphic>
          </wp:inline>
        </w:drawing>
      </w:r>
    </w:p>
    <w:p w14:paraId="4F64B73D" w14:textId="77777777" w:rsidR="00E76046" w:rsidRPr="00825921" w:rsidRDefault="00E76046" w:rsidP="00E76046">
      <w:pPr>
        <w:rPr>
          <w:rFonts w:ascii="Arial" w:hAnsi="Arial" w:cs="Arial"/>
          <w:sz w:val="18"/>
          <w:szCs w:val="18"/>
        </w:rPr>
      </w:pPr>
      <w:r w:rsidRPr="00825921">
        <w:rPr>
          <w:rFonts w:ascii="Arial" w:hAnsi="Arial" w:cs="Arial"/>
          <w:sz w:val="18"/>
          <w:szCs w:val="18"/>
        </w:rPr>
        <w:t>Figure 4.</w:t>
      </w:r>
      <w:r>
        <w:rPr>
          <w:rFonts w:ascii="Arial" w:hAnsi="Arial" w:cs="Arial"/>
          <w:sz w:val="18"/>
          <w:szCs w:val="18"/>
        </w:rPr>
        <w:t>3</w:t>
      </w:r>
      <w:r w:rsidRPr="00825921">
        <w:rPr>
          <w:rFonts w:ascii="Arial" w:hAnsi="Arial" w:cs="Arial"/>
          <w:sz w:val="18"/>
          <w:szCs w:val="18"/>
        </w:rPr>
        <w:t>: Thematic analysis</w:t>
      </w:r>
    </w:p>
    <w:p w14:paraId="13D10587" w14:textId="77777777" w:rsidR="005B5A1D" w:rsidRDefault="005B5A1D" w:rsidP="005B5A1D"/>
    <w:p w14:paraId="54CDC117" w14:textId="77777777" w:rsidR="005B5A1D" w:rsidRPr="004E38C6" w:rsidRDefault="005B5A1D" w:rsidP="005B5A1D">
      <w:pPr>
        <w:rPr>
          <w:rFonts w:ascii="Arial" w:hAnsi="Arial" w:cs="Arial"/>
          <w:sz w:val="24"/>
          <w:szCs w:val="24"/>
        </w:rPr>
      </w:pPr>
      <w:r w:rsidRPr="004E38C6">
        <w:rPr>
          <w:rFonts w:ascii="Arial" w:hAnsi="Arial" w:cs="Arial"/>
          <w:sz w:val="24"/>
          <w:szCs w:val="24"/>
        </w:rPr>
        <w:t>4.4</w:t>
      </w:r>
      <w:r w:rsidRPr="004E38C6">
        <w:rPr>
          <w:rFonts w:ascii="Arial" w:hAnsi="Arial" w:cs="Arial"/>
          <w:sz w:val="24"/>
          <w:szCs w:val="24"/>
        </w:rPr>
        <w:tab/>
        <w:t>Conclusion</w:t>
      </w:r>
    </w:p>
    <w:p w14:paraId="74758045" w14:textId="77777777" w:rsidR="005B5A1D" w:rsidRDefault="005B5A1D" w:rsidP="005B5A1D">
      <w:pPr>
        <w:rPr>
          <w:rFonts w:ascii="Arial" w:hAnsi="Arial" w:cs="Arial"/>
          <w:sz w:val="24"/>
          <w:szCs w:val="24"/>
        </w:rPr>
      </w:pPr>
      <w:r>
        <w:rPr>
          <w:rFonts w:ascii="Arial" w:hAnsi="Arial" w:cs="Arial"/>
          <w:sz w:val="24"/>
          <w:szCs w:val="24"/>
        </w:rPr>
        <w:t>This results chapter provides the structure for the meaningful discussion in the next chapter. The results of the mortality data do align with the Scottish study (Clark et al., 2014) – that 19.3% of the inpatients on the census day had died within six months of that day. Localising these results adds credibility for the subsequent consideration of a prognostic aid. However, weighing up the feasibility of a prognostic aid does not provide a discrete, definitive outcome. The conversations regarding application of a tool elicited five principal themes – its utility, the relative medical complexity, staff resources, ethics (explicitly and implicitly) and, topically, ‘assisted dying’. These results are the framework for thoughtful exploration and constructive provocation in contemplating the unknown unknowns in the following chapter.</w:t>
      </w:r>
    </w:p>
    <w:p w14:paraId="5AC6CD01" w14:textId="77777777" w:rsidR="005B5A1D" w:rsidRDefault="005B5A1D" w:rsidP="005B5A1D">
      <w:pPr>
        <w:rPr>
          <w:rFonts w:ascii="Arial" w:hAnsi="Arial" w:cs="Arial"/>
          <w:sz w:val="24"/>
          <w:szCs w:val="24"/>
        </w:rPr>
      </w:pPr>
      <w:r>
        <w:rPr>
          <w:rFonts w:ascii="Arial" w:hAnsi="Arial" w:cs="Arial"/>
          <w:sz w:val="24"/>
          <w:szCs w:val="24"/>
        </w:rPr>
        <w:t xml:space="preserve"> </w:t>
      </w:r>
    </w:p>
    <w:p w14:paraId="0D6998D0" w14:textId="4FC73473" w:rsidR="00FE5BB7" w:rsidRDefault="00FE5BB7" w:rsidP="00E34799">
      <w:pPr>
        <w:spacing w:line="240" w:lineRule="auto"/>
        <w:rPr>
          <w:rFonts w:ascii="Arial" w:hAnsi="Arial" w:cs="Arial"/>
        </w:rPr>
      </w:pPr>
    </w:p>
    <w:p w14:paraId="2CFDF608" w14:textId="77777777" w:rsidR="0019278B" w:rsidRDefault="0019278B">
      <w:pPr>
        <w:rPr>
          <w:rFonts w:ascii="Arial" w:hAnsi="Arial" w:cs="Arial"/>
        </w:rPr>
      </w:pPr>
      <w:r>
        <w:rPr>
          <w:rFonts w:ascii="Arial" w:hAnsi="Arial" w:cs="Arial"/>
        </w:rPr>
        <w:br w:type="page"/>
      </w:r>
    </w:p>
    <w:p w14:paraId="7FED9D72" w14:textId="77777777" w:rsidR="00F903E2" w:rsidRPr="001D3A3A" w:rsidRDefault="00F903E2" w:rsidP="00F903E2">
      <w:pPr>
        <w:spacing w:line="240" w:lineRule="auto"/>
        <w:rPr>
          <w:rFonts w:ascii="Arial" w:hAnsi="Arial" w:cs="Arial"/>
          <w:b/>
          <w:sz w:val="28"/>
          <w:szCs w:val="28"/>
        </w:rPr>
      </w:pPr>
    </w:p>
    <w:p w14:paraId="59BE2595" w14:textId="77777777" w:rsidR="00F903E2" w:rsidRDefault="00F903E2" w:rsidP="00F903E2">
      <w:pPr>
        <w:spacing w:line="240" w:lineRule="auto"/>
        <w:jc w:val="center"/>
        <w:rPr>
          <w:rFonts w:ascii="Arial" w:hAnsi="Arial" w:cs="Arial"/>
          <w:b/>
          <w:sz w:val="28"/>
          <w:szCs w:val="28"/>
        </w:rPr>
      </w:pPr>
    </w:p>
    <w:p w14:paraId="6EB4B90A" w14:textId="77777777" w:rsidR="00F903E2" w:rsidRDefault="00F903E2" w:rsidP="00F903E2">
      <w:pPr>
        <w:spacing w:line="240" w:lineRule="auto"/>
        <w:jc w:val="center"/>
        <w:rPr>
          <w:rFonts w:ascii="Arial" w:hAnsi="Arial" w:cs="Arial"/>
          <w:b/>
          <w:sz w:val="28"/>
          <w:szCs w:val="28"/>
        </w:rPr>
      </w:pPr>
    </w:p>
    <w:p w14:paraId="262BB4C3" w14:textId="77777777" w:rsidR="00F903E2" w:rsidRPr="00E34799" w:rsidRDefault="00F903E2" w:rsidP="00F903E2">
      <w:pPr>
        <w:spacing w:line="240" w:lineRule="auto"/>
        <w:jc w:val="center"/>
        <w:rPr>
          <w:rFonts w:ascii="Arial" w:hAnsi="Arial" w:cs="Arial"/>
          <w:b/>
          <w:sz w:val="28"/>
          <w:szCs w:val="28"/>
        </w:rPr>
      </w:pPr>
      <w:r w:rsidRPr="00E34799">
        <w:rPr>
          <w:rFonts w:ascii="Arial" w:hAnsi="Arial" w:cs="Arial"/>
          <w:b/>
          <w:sz w:val="28"/>
          <w:szCs w:val="28"/>
        </w:rPr>
        <w:t xml:space="preserve">CHAPTER </w:t>
      </w:r>
      <w:r>
        <w:rPr>
          <w:rFonts w:ascii="Arial" w:hAnsi="Arial" w:cs="Arial"/>
          <w:b/>
          <w:sz w:val="28"/>
          <w:szCs w:val="28"/>
        </w:rPr>
        <w:t>5</w:t>
      </w:r>
    </w:p>
    <w:p w14:paraId="75C267B1" w14:textId="06CD4928" w:rsidR="00F903E2" w:rsidRPr="00E34799" w:rsidRDefault="001D3A3A" w:rsidP="00F903E2">
      <w:pPr>
        <w:spacing w:line="240" w:lineRule="auto"/>
        <w:jc w:val="center"/>
        <w:rPr>
          <w:rFonts w:ascii="Arial" w:hAnsi="Arial" w:cs="Arial"/>
          <w:b/>
          <w:sz w:val="32"/>
          <w:szCs w:val="32"/>
        </w:rPr>
      </w:pPr>
      <w:r>
        <w:rPr>
          <w:rFonts w:ascii="Arial" w:hAnsi="Arial" w:cs="Arial"/>
          <w:b/>
          <w:sz w:val="32"/>
          <w:szCs w:val="32"/>
          <w:u w:val="single"/>
        </w:rPr>
        <w:t>Discussion</w:t>
      </w:r>
    </w:p>
    <w:p w14:paraId="3E10DCC0" w14:textId="583A2A04" w:rsidR="00F903E2" w:rsidRPr="001D3A3A" w:rsidRDefault="001D3A3A" w:rsidP="00F903E2">
      <w:pPr>
        <w:spacing w:line="240" w:lineRule="auto"/>
        <w:jc w:val="center"/>
        <w:rPr>
          <w:rFonts w:ascii="Arial" w:hAnsi="Arial" w:cs="Arial"/>
          <w:b/>
          <w:sz w:val="28"/>
          <w:szCs w:val="28"/>
          <w:u w:val="single"/>
        </w:rPr>
      </w:pPr>
      <w:r>
        <w:rPr>
          <w:rFonts w:ascii="Arial" w:hAnsi="Arial" w:cs="Arial"/>
          <w:b/>
          <w:sz w:val="28"/>
          <w:szCs w:val="28"/>
        </w:rPr>
        <w:t>Unknown unknowns</w:t>
      </w:r>
      <w:r w:rsidR="00F903E2" w:rsidRPr="001D3A3A">
        <w:rPr>
          <w:rFonts w:ascii="Arial" w:hAnsi="Arial" w:cs="Arial"/>
          <w:b/>
          <w:sz w:val="28"/>
          <w:szCs w:val="28"/>
        </w:rPr>
        <w:tab/>
      </w:r>
    </w:p>
    <w:p w14:paraId="27F17783" w14:textId="335DCDAC" w:rsidR="00F903E2" w:rsidRDefault="00F903E2" w:rsidP="00F903E2">
      <w:pPr>
        <w:rPr>
          <w:rFonts w:ascii="Arial" w:hAnsi="Arial" w:cs="Arial"/>
          <w:sz w:val="24"/>
          <w:szCs w:val="24"/>
        </w:rPr>
      </w:pPr>
    </w:p>
    <w:p w14:paraId="30A81893" w14:textId="77777777" w:rsidR="001D3A3A" w:rsidRPr="001D3A3A" w:rsidRDefault="001D3A3A" w:rsidP="00F903E2">
      <w:pPr>
        <w:rPr>
          <w:rFonts w:ascii="Arial" w:hAnsi="Arial" w:cs="Arial"/>
          <w:sz w:val="24"/>
          <w:szCs w:val="24"/>
        </w:rPr>
      </w:pPr>
    </w:p>
    <w:p w14:paraId="7582942F" w14:textId="77777777" w:rsidR="00F903E2" w:rsidRPr="00382705" w:rsidRDefault="00F903E2" w:rsidP="00F903E2">
      <w:pPr>
        <w:rPr>
          <w:rFonts w:ascii="Arial" w:hAnsi="Arial" w:cs="Arial"/>
          <w:sz w:val="24"/>
          <w:szCs w:val="24"/>
        </w:rPr>
      </w:pPr>
      <w:r w:rsidRPr="00382705">
        <w:rPr>
          <w:rFonts w:ascii="Arial" w:hAnsi="Arial" w:cs="Arial"/>
          <w:sz w:val="24"/>
          <w:szCs w:val="24"/>
        </w:rPr>
        <w:t>5.1</w:t>
      </w:r>
      <w:r w:rsidRPr="00382705">
        <w:rPr>
          <w:rFonts w:ascii="Arial" w:hAnsi="Arial" w:cs="Arial"/>
          <w:sz w:val="24"/>
          <w:szCs w:val="24"/>
        </w:rPr>
        <w:tab/>
        <w:t>Introduction</w:t>
      </w:r>
    </w:p>
    <w:p w14:paraId="2D7BC6BC" w14:textId="1712D15B" w:rsidR="00F903E2" w:rsidRDefault="002F62F4" w:rsidP="00F903E2">
      <w:pPr>
        <w:rPr>
          <w:rFonts w:ascii="Arial" w:hAnsi="Arial" w:cs="Arial"/>
          <w:sz w:val="24"/>
          <w:szCs w:val="24"/>
        </w:rPr>
      </w:pPr>
      <w:r>
        <w:rPr>
          <w:rFonts w:ascii="Arial" w:hAnsi="Arial" w:cs="Arial"/>
          <w:sz w:val="24"/>
          <w:szCs w:val="24"/>
        </w:rPr>
        <w:t>T</w:t>
      </w:r>
      <w:r w:rsidRPr="002F62F4">
        <w:rPr>
          <w:rFonts w:ascii="Arial" w:hAnsi="Arial" w:cs="Arial"/>
          <w:sz w:val="24"/>
          <w:szCs w:val="24"/>
        </w:rPr>
        <w:t>his chapter builds upon the reflective question proposed by Driscoll (1994), "So what?", to analyse the findings from the semi-structured interviews. It seeks to analyse the key themes identified through the integration of clinical perspectives. While the data presented is factual and offers limited scope for debate, it has served to ground the discussions in the context of local relevance, providing a clear outline of the real-world situation</w:t>
      </w:r>
      <w:r>
        <w:rPr>
          <w:rFonts w:ascii="Arial" w:hAnsi="Arial" w:cs="Arial"/>
          <w:sz w:val="24"/>
          <w:szCs w:val="24"/>
        </w:rPr>
        <w:t xml:space="preserve">. </w:t>
      </w:r>
      <w:r w:rsidR="00F903E2" w:rsidRPr="00382705">
        <w:rPr>
          <w:rFonts w:ascii="Arial" w:hAnsi="Arial" w:cs="Arial"/>
          <w:sz w:val="24"/>
          <w:szCs w:val="24"/>
        </w:rPr>
        <w:t>The real colour of this research was then seen with the extended discussions about the feasibility of the adoption of a tool to aid recognition of those individuals ‘more’ likely to die within the next twelve months. Several themes were drawn out, as detailed in the last chapter, which are considered more deeply. The reflection regarding the ethical aspects is also included. There are many layers and nuances to that given the association, in this project, between the intervention and the end of life (even though they are independent components). The beginning of a conversation, again, but useful to frame some of the further considerations. The recognition of the limitations will similarly inform further research as well as understanding how change management might be optimised.</w:t>
      </w:r>
    </w:p>
    <w:p w14:paraId="50443104" w14:textId="77777777" w:rsidR="002F62F4" w:rsidRDefault="002F62F4" w:rsidP="00F903E2">
      <w:pPr>
        <w:rPr>
          <w:rFonts w:ascii="Arial" w:hAnsi="Arial" w:cs="Arial"/>
          <w:sz w:val="24"/>
          <w:szCs w:val="24"/>
        </w:rPr>
      </w:pPr>
    </w:p>
    <w:p w14:paraId="61B26EF4" w14:textId="7617D6C6" w:rsidR="00F903E2" w:rsidRPr="00F36EFF" w:rsidRDefault="00F903E2" w:rsidP="00F903E2">
      <w:pPr>
        <w:rPr>
          <w:rFonts w:ascii="Arial" w:hAnsi="Arial" w:cs="Arial"/>
          <w:sz w:val="24"/>
          <w:szCs w:val="24"/>
        </w:rPr>
      </w:pPr>
      <w:r w:rsidRPr="00F36EFF">
        <w:rPr>
          <w:rFonts w:ascii="Arial" w:hAnsi="Arial" w:cs="Arial"/>
          <w:sz w:val="24"/>
          <w:szCs w:val="24"/>
        </w:rPr>
        <w:t>5.2</w:t>
      </w:r>
      <w:r w:rsidRPr="00F36EFF">
        <w:rPr>
          <w:rFonts w:ascii="Arial" w:hAnsi="Arial" w:cs="Arial"/>
          <w:sz w:val="24"/>
          <w:szCs w:val="24"/>
        </w:rPr>
        <w:tab/>
      </w:r>
      <w:r w:rsidR="002F62F4">
        <w:rPr>
          <w:rFonts w:ascii="Arial" w:hAnsi="Arial" w:cs="Arial"/>
          <w:sz w:val="24"/>
          <w:szCs w:val="24"/>
        </w:rPr>
        <w:t>Interpretation of subjective and objective insights</w:t>
      </w:r>
    </w:p>
    <w:p w14:paraId="155772C4" w14:textId="77777777" w:rsidR="00F903E2" w:rsidRPr="00F36EFF" w:rsidRDefault="00F903E2" w:rsidP="00F903E2">
      <w:pPr>
        <w:rPr>
          <w:rFonts w:ascii="Arial" w:hAnsi="Arial" w:cs="Arial"/>
          <w:sz w:val="24"/>
          <w:szCs w:val="24"/>
        </w:rPr>
      </w:pPr>
      <w:r w:rsidRPr="00F36EFF">
        <w:rPr>
          <w:rFonts w:ascii="Arial" w:hAnsi="Arial" w:cs="Arial"/>
          <w:sz w:val="24"/>
          <w:szCs w:val="24"/>
        </w:rPr>
        <w:t>Initially, to appraise the results, the interpretation of the objective components will be discussed. Unpacking the detail (even with this very limited dataset) provides plenty of content for consideration. The differing perspectives of the interpretations will be presented and weighed up. Dialogue, as the method, is the principal way to reconcile disagreement, embrace nuance and integrate ideas - “the truth</w:t>
      </w:r>
      <w:r w:rsidRPr="00F36EFF">
        <w:rPr>
          <w:rFonts w:ascii="Arial" w:hAnsi="Arial" w:cs="Arial"/>
          <w:color w:val="333333"/>
          <w:sz w:val="24"/>
          <w:szCs w:val="24"/>
          <w:shd w:val="clear" w:color="auto" w:fill="FFFFFF"/>
        </w:rPr>
        <w:t xml:space="preserve"> is found by way of the conversation” (Ying, 2020).</w:t>
      </w:r>
    </w:p>
    <w:p w14:paraId="56DA8C43" w14:textId="77777777" w:rsidR="00F903E2" w:rsidRPr="00F36EFF" w:rsidRDefault="00F903E2" w:rsidP="00F903E2">
      <w:pPr>
        <w:rPr>
          <w:rFonts w:ascii="Arial" w:hAnsi="Arial" w:cs="Arial"/>
          <w:sz w:val="24"/>
          <w:szCs w:val="24"/>
        </w:rPr>
      </w:pPr>
      <w:r w:rsidRPr="00F36EFF">
        <w:rPr>
          <w:rFonts w:ascii="Arial" w:hAnsi="Arial" w:cs="Arial"/>
          <w:sz w:val="24"/>
          <w:szCs w:val="24"/>
        </w:rPr>
        <w:t>This concept from Confucius extends into the following section. Here the subjective themes from the semi-structured interviews will be explored. These will be considered holistically, so that the positive as well as the less positive aspects can be contemplated. Furthermore, given that there is a balance of opinion, which influences these identified themes; counter arguments and responses will be part of the analysis.</w:t>
      </w:r>
    </w:p>
    <w:p w14:paraId="0B820D49" w14:textId="77777777" w:rsidR="00AB20AD" w:rsidRDefault="00AB20AD" w:rsidP="00A22AE9">
      <w:pPr>
        <w:rPr>
          <w:rFonts w:ascii="Arial" w:hAnsi="Arial" w:cs="Arial"/>
          <w:sz w:val="18"/>
          <w:szCs w:val="18"/>
        </w:rPr>
      </w:pPr>
    </w:p>
    <w:p w14:paraId="146E119F" w14:textId="2E44A6C9" w:rsidR="00A22AE9" w:rsidRPr="00DF551D" w:rsidRDefault="00A22AE9" w:rsidP="00DF551D">
      <w:pPr>
        <w:rPr>
          <w:rFonts w:ascii="Arial" w:hAnsi="Arial" w:cs="Arial"/>
          <w:sz w:val="18"/>
          <w:szCs w:val="18"/>
        </w:rPr>
      </w:pPr>
      <w:r w:rsidRPr="00A22AE9">
        <w:rPr>
          <w:rFonts w:ascii="Arial" w:hAnsi="Arial" w:cs="Arial"/>
          <w:noProof/>
          <w:sz w:val="24"/>
          <w:szCs w:val="24"/>
        </w:rPr>
        <w:lastRenderedPageBreak/>
        <w:drawing>
          <wp:inline distT="0" distB="0" distL="0" distR="0" wp14:anchorId="25A5D774" wp14:editId="50B804C5">
            <wp:extent cx="5731510" cy="22402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240280"/>
                    </a:xfrm>
                    <a:prstGeom prst="rect">
                      <a:avLst/>
                    </a:prstGeom>
                  </pic:spPr>
                </pic:pic>
              </a:graphicData>
            </a:graphic>
          </wp:inline>
        </w:drawing>
      </w:r>
      <w:r w:rsidR="00DF551D" w:rsidRPr="00DF551D">
        <w:rPr>
          <w:rFonts w:ascii="Arial" w:hAnsi="Arial" w:cs="Arial"/>
          <w:sz w:val="18"/>
          <w:szCs w:val="18"/>
        </w:rPr>
        <w:t xml:space="preserve"> </w:t>
      </w:r>
      <w:r w:rsidR="00DF551D" w:rsidRPr="00B700D1">
        <w:rPr>
          <w:rFonts w:ascii="Arial" w:hAnsi="Arial" w:cs="Arial"/>
          <w:sz w:val="18"/>
          <w:szCs w:val="18"/>
        </w:rPr>
        <w:t>Figure</w:t>
      </w:r>
      <w:r w:rsidR="00DF551D">
        <w:rPr>
          <w:rFonts w:ascii="Arial" w:hAnsi="Arial" w:cs="Arial"/>
          <w:sz w:val="18"/>
          <w:szCs w:val="18"/>
        </w:rPr>
        <w:t xml:space="preserve"> 5.1: Likert (1932) representation of identified themes regarding ACP feasibility</w:t>
      </w:r>
    </w:p>
    <w:p w14:paraId="5CC19B55" w14:textId="77777777" w:rsidR="00AB20AD" w:rsidRDefault="00AB20AD" w:rsidP="00AB20AD">
      <w:pPr>
        <w:rPr>
          <w:rFonts w:ascii="Arial" w:hAnsi="Arial" w:cs="Arial"/>
          <w:sz w:val="24"/>
          <w:szCs w:val="24"/>
        </w:rPr>
      </w:pPr>
    </w:p>
    <w:p w14:paraId="0A70ED84" w14:textId="77777777" w:rsidR="00AB20AD" w:rsidRDefault="00AB20AD" w:rsidP="00AB20AD">
      <w:pPr>
        <w:rPr>
          <w:rFonts w:ascii="Arial" w:hAnsi="Arial" w:cs="Arial"/>
          <w:sz w:val="24"/>
          <w:szCs w:val="24"/>
        </w:rPr>
      </w:pPr>
      <w:r w:rsidRPr="00F36EFF">
        <w:rPr>
          <w:rFonts w:ascii="Arial" w:hAnsi="Arial" w:cs="Arial"/>
          <w:sz w:val="24"/>
          <w:szCs w:val="24"/>
        </w:rPr>
        <w:t>5.3</w:t>
      </w:r>
      <w:r w:rsidRPr="00F36EFF">
        <w:rPr>
          <w:rFonts w:ascii="Arial" w:hAnsi="Arial" w:cs="Arial"/>
          <w:sz w:val="24"/>
          <w:szCs w:val="24"/>
        </w:rPr>
        <w:tab/>
      </w:r>
      <w:r>
        <w:rPr>
          <w:rFonts w:ascii="Arial" w:hAnsi="Arial" w:cs="Arial"/>
          <w:sz w:val="24"/>
          <w:szCs w:val="24"/>
        </w:rPr>
        <w:t>Framework for discussion</w:t>
      </w:r>
    </w:p>
    <w:p w14:paraId="165104DB" w14:textId="1744604C" w:rsidR="00F903E2" w:rsidRDefault="00AB20AD" w:rsidP="00010BDA">
      <w:pPr>
        <w:rPr>
          <w:rFonts w:ascii="Arial" w:hAnsi="Arial" w:cs="Arial"/>
          <w:sz w:val="24"/>
          <w:szCs w:val="24"/>
        </w:rPr>
      </w:pPr>
      <w:r w:rsidRPr="00F36EFF">
        <w:rPr>
          <w:rFonts w:ascii="Arial" w:hAnsi="Arial" w:cs="Arial"/>
          <w:sz w:val="24"/>
          <w:szCs w:val="24"/>
        </w:rPr>
        <w:t>This chapter builds on the explicit results presented in chapter four.</w:t>
      </w:r>
      <w:r w:rsidRPr="00A22AE9">
        <w:rPr>
          <w:rFonts w:ascii="Arial" w:hAnsi="Arial" w:cs="Arial"/>
          <w:sz w:val="18"/>
          <w:szCs w:val="18"/>
        </w:rPr>
        <w:t xml:space="preserve"> </w:t>
      </w:r>
      <w:r w:rsidR="00F903E2" w:rsidRPr="00F36EFF">
        <w:rPr>
          <w:rFonts w:ascii="Arial" w:hAnsi="Arial" w:cs="Arial"/>
          <w:sz w:val="24"/>
          <w:szCs w:val="24"/>
        </w:rPr>
        <w:t xml:space="preserve">The framework </w:t>
      </w:r>
      <w:r w:rsidR="002F62F4" w:rsidRPr="002F62F4">
        <w:rPr>
          <w:rFonts w:ascii="Arial" w:hAnsi="Arial" w:cs="Arial"/>
          <w:sz w:val="24"/>
          <w:szCs w:val="24"/>
        </w:rPr>
        <w:t>outlined in this chapter builds on the components identified in the previous chapter, incorporating a range of perspectives that contribute to a deeper understanding of the nuances involved.</w:t>
      </w:r>
      <w:r w:rsidR="00ED2F5B">
        <w:rPr>
          <w:rFonts w:ascii="Arial" w:hAnsi="Arial" w:cs="Arial"/>
          <w:sz w:val="24"/>
          <w:szCs w:val="24"/>
        </w:rPr>
        <w:t xml:space="preserve"> Figure 5.1 poses the themes identified </w:t>
      </w:r>
      <w:r w:rsidR="00A22AE9">
        <w:rPr>
          <w:rFonts w:ascii="Arial" w:hAnsi="Arial" w:cs="Arial"/>
          <w:sz w:val="24"/>
          <w:szCs w:val="24"/>
        </w:rPr>
        <w:t>in the last chapter as a Likert scale (1932).</w:t>
      </w:r>
      <w:r w:rsidR="002F62F4" w:rsidRPr="002F62F4">
        <w:rPr>
          <w:rFonts w:ascii="Arial" w:hAnsi="Arial" w:cs="Arial"/>
          <w:sz w:val="24"/>
          <w:szCs w:val="24"/>
        </w:rPr>
        <w:t xml:space="preserve"> These perspectives are critically examined to explore areas of potential consensus, fostering a constructive dialogue. At this stage of the research, the framework aims to synthesise a collection of key discussion points, which serve as a foundation for evaluating the feasibility of this approach. This aligns with the project’s stated objective from its inception. Furthermore, the evolution of this discourse not only advances the current project but </w:t>
      </w:r>
      <w:r w:rsidR="00ED2F5B">
        <w:rPr>
          <w:rFonts w:ascii="Arial" w:hAnsi="Arial" w:cs="Arial"/>
          <w:sz w:val="24"/>
          <w:szCs w:val="24"/>
        </w:rPr>
        <w:t>also generates potential hypotheses for future research.</w:t>
      </w:r>
    </w:p>
    <w:p w14:paraId="431C9307" w14:textId="77777777" w:rsidR="00010BDA" w:rsidRPr="00F36EFF" w:rsidRDefault="00010BDA" w:rsidP="00010BDA">
      <w:pPr>
        <w:rPr>
          <w:rFonts w:ascii="Arial" w:hAnsi="Arial" w:cs="Arial"/>
          <w:sz w:val="24"/>
          <w:szCs w:val="24"/>
        </w:rPr>
      </w:pPr>
    </w:p>
    <w:p w14:paraId="6981C202" w14:textId="58D38C86" w:rsidR="00F903E2" w:rsidRDefault="00F903E2" w:rsidP="00F903E2">
      <w:pPr>
        <w:rPr>
          <w:rFonts w:ascii="Arial" w:hAnsi="Arial" w:cs="Arial"/>
          <w:sz w:val="24"/>
          <w:szCs w:val="24"/>
        </w:rPr>
      </w:pPr>
      <w:r>
        <w:rPr>
          <w:rFonts w:ascii="Arial" w:hAnsi="Arial" w:cs="Arial"/>
          <w:sz w:val="24"/>
          <w:szCs w:val="24"/>
        </w:rPr>
        <w:t>5.4</w:t>
      </w:r>
      <w:r>
        <w:rPr>
          <w:rFonts w:ascii="Arial" w:hAnsi="Arial" w:cs="Arial"/>
          <w:sz w:val="24"/>
          <w:szCs w:val="24"/>
        </w:rPr>
        <w:tab/>
      </w:r>
      <w:r w:rsidR="00572536">
        <w:rPr>
          <w:rFonts w:ascii="Arial" w:hAnsi="Arial" w:cs="Arial"/>
          <w:sz w:val="24"/>
          <w:szCs w:val="24"/>
        </w:rPr>
        <w:t>Discussion - L</w:t>
      </w:r>
      <w:r>
        <w:rPr>
          <w:rFonts w:ascii="Arial" w:hAnsi="Arial" w:cs="Arial"/>
          <w:sz w:val="24"/>
          <w:szCs w:val="24"/>
        </w:rPr>
        <w:t>ooking backwards</w:t>
      </w:r>
    </w:p>
    <w:p w14:paraId="31FCC069" w14:textId="4140ADC6" w:rsidR="00F903E2" w:rsidRDefault="00F903E2" w:rsidP="00F903E2">
      <w:pPr>
        <w:rPr>
          <w:rFonts w:ascii="Arial" w:hAnsi="Arial" w:cs="Arial"/>
          <w:sz w:val="24"/>
          <w:szCs w:val="24"/>
        </w:rPr>
      </w:pPr>
      <w:r>
        <w:rPr>
          <w:rFonts w:ascii="Arial" w:hAnsi="Arial" w:cs="Arial"/>
          <w:sz w:val="24"/>
          <w:szCs w:val="24"/>
        </w:rPr>
        <w:t xml:space="preserve">The retrospective quantitative component of this project was vital in setting the scene for the subsequent qualitative discussions. Stating the obvious, the data obtained was for six months rather than twelve. The informatics department misread the request and pulled data from 2024 rather than 2023. </w:t>
      </w:r>
      <w:r w:rsidR="00572536">
        <w:rPr>
          <w:rFonts w:ascii="Arial" w:hAnsi="Arial" w:cs="Arial"/>
          <w:sz w:val="24"/>
          <w:szCs w:val="24"/>
        </w:rPr>
        <w:t>Regrettably,</w:t>
      </w:r>
      <w:r>
        <w:rPr>
          <w:rFonts w:ascii="Arial" w:hAnsi="Arial" w:cs="Arial"/>
          <w:sz w:val="24"/>
          <w:szCs w:val="24"/>
        </w:rPr>
        <w:t xml:space="preserve"> the time </w:t>
      </w:r>
      <w:r w:rsidR="00572536">
        <w:rPr>
          <w:rFonts w:ascii="Arial" w:hAnsi="Arial" w:cs="Arial"/>
          <w:sz w:val="24"/>
          <w:szCs w:val="24"/>
        </w:rPr>
        <w:t>constraints of this project</w:t>
      </w:r>
      <w:r>
        <w:rPr>
          <w:rFonts w:ascii="Arial" w:hAnsi="Arial" w:cs="Arial"/>
          <w:sz w:val="24"/>
          <w:szCs w:val="24"/>
        </w:rPr>
        <w:t xml:space="preserve"> did not </w:t>
      </w:r>
      <w:r w:rsidR="00572536">
        <w:rPr>
          <w:rFonts w:ascii="Arial" w:hAnsi="Arial" w:cs="Arial"/>
          <w:sz w:val="24"/>
          <w:szCs w:val="24"/>
        </w:rPr>
        <w:t>allow for further clarification</w:t>
      </w:r>
      <w:r>
        <w:rPr>
          <w:rFonts w:ascii="Arial" w:hAnsi="Arial" w:cs="Arial"/>
          <w:sz w:val="24"/>
          <w:szCs w:val="24"/>
        </w:rPr>
        <w:t>. Having six months of data, comparison with Clark’s group (2014) (as was the original intent) was still possible.</w:t>
      </w:r>
    </w:p>
    <w:p w14:paraId="575A696A" w14:textId="443D6574" w:rsidR="00AB20AD" w:rsidRDefault="00AB20AD" w:rsidP="00AB20AD">
      <w:pPr>
        <w:rPr>
          <w:rFonts w:ascii="Arial" w:hAnsi="Arial" w:cs="Arial"/>
          <w:sz w:val="24"/>
          <w:szCs w:val="24"/>
        </w:rPr>
      </w:pPr>
      <w:r w:rsidRPr="00F36EFF">
        <w:rPr>
          <w:rFonts w:ascii="Arial" w:hAnsi="Arial" w:cs="Arial"/>
          <w:sz w:val="24"/>
          <w:szCs w:val="24"/>
        </w:rPr>
        <w:t>The chart (figure 5.</w:t>
      </w:r>
      <w:r>
        <w:rPr>
          <w:rFonts w:ascii="Arial" w:hAnsi="Arial" w:cs="Arial"/>
          <w:sz w:val="24"/>
          <w:szCs w:val="24"/>
        </w:rPr>
        <w:t>2</w:t>
      </w:r>
      <w:r w:rsidRPr="00F36EFF">
        <w:rPr>
          <w:rFonts w:ascii="Arial" w:hAnsi="Arial" w:cs="Arial"/>
          <w:sz w:val="24"/>
          <w:szCs w:val="24"/>
        </w:rPr>
        <w:t xml:space="preserve">) </w:t>
      </w:r>
      <w:r>
        <w:rPr>
          <w:rFonts w:ascii="Arial" w:hAnsi="Arial" w:cs="Arial"/>
          <w:sz w:val="24"/>
          <w:szCs w:val="24"/>
        </w:rPr>
        <w:t>compares</w:t>
      </w:r>
      <w:r w:rsidRPr="00F36EFF">
        <w:rPr>
          <w:rFonts w:ascii="Arial" w:hAnsi="Arial" w:cs="Arial"/>
          <w:sz w:val="24"/>
          <w:szCs w:val="24"/>
        </w:rPr>
        <w:t xml:space="preserve"> the profile of hospital inpatients across</w:t>
      </w:r>
      <w:r>
        <w:rPr>
          <w:rFonts w:ascii="Arial" w:hAnsi="Arial" w:cs="Arial"/>
          <w:sz w:val="24"/>
          <w:szCs w:val="24"/>
        </w:rPr>
        <w:t xml:space="preserve"> Scotland, within their prevalent cohort study, (10743 patients) with the local scenario in North Wales. The subtleties of the variances between these two snapshots – for example, why the cohort of </w:t>
      </w:r>
      <w:r w:rsidR="00797478">
        <w:rPr>
          <w:rFonts w:ascii="Arial" w:hAnsi="Arial" w:cs="Arial"/>
          <w:sz w:val="24"/>
          <w:szCs w:val="24"/>
        </w:rPr>
        <w:t>75- to 79-year-olds</w:t>
      </w:r>
      <w:r>
        <w:rPr>
          <w:rFonts w:ascii="Arial" w:hAnsi="Arial" w:cs="Arial"/>
          <w:sz w:val="24"/>
          <w:szCs w:val="24"/>
        </w:rPr>
        <w:t xml:space="preserve"> fared better in North Wales – is beyond the scope of this research project.</w:t>
      </w:r>
    </w:p>
    <w:p w14:paraId="486E5562" w14:textId="428AECF6" w:rsidR="00F903E2" w:rsidRDefault="00F903E2" w:rsidP="00F903E2">
      <w:pPr>
        <w:rPr>
          <w:rFonts w:ascii="Arial" w:hAnsi="Arial" w:cs="Arial"/>
          <w:sz w:val="24"/>
          <w:szCs w:val="24"/>
        </w:rPr>
      </w:pPr>
    </w:p>
    <w:p w14:paraId="66B170F5" w14:textId="77777777" w:rsidR="00AB20AD" w:rsidRDefault="00AB20AD" w:rsidP="00F903E2">
      <w:pPr>
        <w:rPr>
          <w:rFonts w:ascii="Arial" w:hAnsi="Arial" w:cs="Arial"/>
          <w:sz w:val="24"/>
          <w:szCs w:val="24"/>
        </w:rPr>
      </w:pPr>
    </w:p>
    <w:p w14:paraId="73B2CE06" w14:textId="082DCB27" w:rsidR="00DF551D" w:rsidRDefault="00F903E2" w:rsidP="00DF551D">
      <w:pPr>
        <w:rPr>
          <w:rFonts w:ascii="Arial" w:hAnsi="Arial" w:cs="Arial"/>
          <w:sz w:val="18"/>
          <w:szCs w:val="18"/>
        </w:rPr>
      </w:pPr>
      <w:r>
        <w:rPr>
          <w:rFonts w:ascii="Arial" w:hAnsi="Arial" w:cs="Arial"/>
          <w:noProof/>
          <w:sz w:val="24"/>
          <w:szCs w:val="24"/>
          <w:lang w:eastAsia="en-GB"/>
        </w:rPr>
        <w:lastRenderedPageBreak/>
        <w:drawing>
          <wp:inline distT="0" distB="0" distL="0" distR="0" wp14:anchorId="614111C5" wp14:editId="1853A5E2">
            <wp:extent cx="5670550" cy="2787650"/>
            <wp:effectExtent l="0" t="0" r="6350" b="1270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r w:rsidR="00DF551D" w:rsidRPr="00DF551D">
        <w:rPr>
          <w:rFonts w:ascii="Arial" w:hAnsi="Arial" w:cs="Arial"/>
          <w:sz w:val="18"/>
          <w:szCs w:val="18"/>
        </w:rPr>
        <w:t xml:space="preserve"> </w:t>
      </w:r>
      <w:r w:rsidR="00DF551D" w:rsidRPr="00F36EFF">
        <w:rPr>
          <w:rFonts w:ascii="Arial" w:hAnsi="Arial" w:cs="Arial"/>
          <w:sz w:val="18"/>
          <w:szCs w:val="18"/>
        </w:rPr>
        <w:t>Figure 5.</w:t>
      </w:r>
      <w:r w:rsidR="00DF551D">
        <w:rPr>
          <w:rFonts w:ascii="Arial" w:hAnsi="Arial" w:cs="Arial"/>
          <w:sz w:val="18"/>
          <w:szCs w:val="18"/>
        </w:rPr>
        <w:t>2</w:t>
      </w:r>
      <w:r w:rsidR="00DF551D" w:rsidRPr="00F36EFF">
        <w:rPr>
          <w:rFonts w:ascii="Arial" w:hAnsi="Arial" w:cs="Arial"/>
          <w:sz w:val="18"/>
          <w:szCs w:val="18"/>
        </w:rPr>
        <w:t xml:space="preserve">: </w:t>
      </w:r>
      <w:r w:rsidR="00DF551D">
        <w:rPr>
          <w:rFonts w:ascii="Arial" w:hAnsi="Arial" w:cs="Arial"/>
          <w:sz w:val="18"/>
          <w:szCs w:val="18"/>
        </w:rPr>
        <w:t>Comparison of p</w:t>
      </w:r>
      <w:r w:rsidR="00DF551D" w:rsidRPr="00F36EFF">
        <w:rPr>
          <w:rFonts w:ascii="Arial" w:hAnsi="Arial" w:cs="Arial"/>
          <w:sz w:val="18"/>
          <w:szCs w:val="18"/>
        </w:rPr>
        <w:t>ercentage of patients dying, by age profile, within six months from the census date</w:t>
      </w:r>
    </w:p>
    <w:p w14:paraId="4AC1CC9C" w14:textId="2D96AB13" w:rsidR="00F903E2" w:rsidRDefault="00F903E2" w:rsidP="00DF551D">
      <w:pPr>
        <w:rPr>
          <w:rFonts w:ascii="Arial" w:hAnsi="Arial" w:cs="Arial"/>
          <w:sz w:val="24"/>
          <w:szCs w:val="24"/>
        </w:rPr>
      </w:pPr>
    </w:p>
    <w:p w14:paraId="4F7A2A7B" w14:textId="4C7AE14C" w:rsidR="00F903E2" w:rsidRDefault="00F903E2" w:rsidP="00F903E2">
      <w:pPr>
        <w:rPr>
          <w:rFonts w:ascii="Arial" w:hAnsi="Arial" w:cs="Arial"/>
          <w:sz w:val="24"/>
          <w:szCs w:val="24"/>
        </w:rPr>
      </w:pPr>
      <w:r>
        <w:rPr>
          <w:rFonts w:ascii="Arial" w:hAnsi="Arial" w:cs="Arial"/>
          <w:sz w:val="24"/>
          <w:szCs w:val="24"/>
        </w:rPr>
        <w:t>Locally this data provides a number of highlights and headlines that warrant further consideration (</w:t>
      </w:r>
      <w:r w:rsidR="00797478">
        <w:rPr>
          <w:rFonts w:ascii="Arial" w:hAnsi="Arial" w:cs="Arial"/>
          <w:sz w:val="24"/>
          <w:szCs w:val="24"/>
        </w:rPr>
        <w:t>e.g.,</w:t>
      </w:r>
      <w:r>
        <w:rPr>
          <w:rFonts w:ascii="Arial" w:hAnsi="Arial" w:cs="Arial"/>
          <w:sz w:val="24"/>
          <w:szCs w:val="24"/>
        </w:rPr>
        <w:t xml:space="preserve"> the variations between the three acute hospitals). However, </w:t>
      </w:r>
      <w:r w:rsidR="00851019">
        <w:rPr>
          <w:rFonts w:ascii="Arial" w:hAnsi="Arial" w:cs="Arial"/>
          <w:sz w:val="24"/>
          <w:szCs w:val="24"/>
        </w:rPr>
        <w:t>additional interpretation of the results is</w:t>
      </w:r>
      <w:r>
        <w:rPr>
          <w:rFonts w:ascii="Arial" w:hAnsi="Arial" w:cs="Arial"/>
          <w:sz w:val="24"/>
          <w:szCs w:val="24"/>
        </w:rPr>
        <w:t xml:space="preserve"> not pertinent to this dissertation. The purpose of this aspect of this research was to illustrate the experienced profile of the wider patient cohort locally. Demonstrating the validity of the “inconceivable” statistics raises the relevance of the advocacy that the recognition of these individuals would bring. Within the semi-structured interviews there was still incredulity that the proportion of deaths within six months of an admission were as high as they were.</w:t>
      </w:r>
    </w:p>
    <w:p w14:paraId="590897B1" w14:textId="77777777" w:rsidR="00F903E2" w:rsidRDefault="00F903E2" w:rsidP="00F903E2">
      <w:pPr>
        <w:rPr>
          <w:rFonts w:ascii="Arial" w:hAnsi="Arial" w:cs="Arial"/>
          <w:sz w:val="18"/>
          <w:szCs w:val="18"/>
        </w:rPr>
      </w:pPr>
    </w:p>
    <w:p w14:paraId="1A217CCC" w14:textId="260F8341" w:rsidR="005905F4" w:rsidRDefault="00F903E2" w:rsidP="005905F4">
      <w:pPr>
        <w:rPr>
          <w:rFonts w:ascii="Arial" w:hAnsi="Arial" w:cs="Arial"/>
          <w:sz w:val="18"/>
          <w:szCs w:val="18"/>
        </w:rPr>
      </w:pPr>
      <w:r>
        <w:rPr>
          <w:rFonts w:ascii="Arial" w:hAnsi="Arial" w:cs="Arial"/>
          <w:noProof/>
          <w:sz w:val="24"/>
          <w:szCs w:val="24"/>
          <w:lang w:eastAsia="en-GB"/>
        </w:rPr>
        <w:drawing>
          <wp:inline distT="0" distB="0" distL="0" distR="0" wp14:anchorId="5C0F977B" wp14:editId="5D33355B">
            <wp:extent cx="5892800" cy="2952750"/>
            <wp:effectExtent l="0" t="0" r="1270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r w:rsidR="005905F4" w:rsidRPr="005905F4">
        <w:rPr>
          <w:rFonts w:ascii="Arial" w:hAnsi="Arial" w:cs="Arial"/>
          <w:sz w:val="18"/>
          <w:szCs w:val="18"/>
        </w:rPr>
        <w:t xml:space="preserve"> </w:t>
      </w:r>
      <w:r w:rsidR="005905F4" w:rsidRPr="00F36EFF">
        <w:rPr>
          <w:rFonts w:ascii="Arial" w:hAnsi="Arial" w:cs="Arial"/>
          <w:sz w:val="18"/>
          <w:szCs w:val="18"/>
        </w:rPr>
        <w:t>Figure 5.</w:t>
      </w:r>
      <w:r w:rsidR="005905F4">
        <w:rPr>
          <w:rFonts w:ascii="Arial" w:hAnsi="Arial" w:cs="Arial"/>
          <w:sz w:val="18"/>
          <w:szCs w:val="18"/>
        </w:rPr>
        <w:t>3</w:t>
      </w:r>
      <w:r w:rsidR="005905F4" w:rsidRPr="00F36EFF">
        <w:rPr>
          <w:rFonts w:ascii="Arial" w:hAnsi="Arial" w:cs="Arial"/>
          <w:sz w:val="18"/>
          <w:szCs w:val="18"/>
        </w:rPr>
        <w:t xml:space="preserve">: </w:t>
      </w:r>
      <w:r w:rsidR="005905F4">
        <w:rPr>
          <w:rFonts w:ascii="Arial" w:hAnsi="Arial" w:cs="Arial"/>
          <w:sz w:val="18"/>
          <w:szCs w:val="18"/>
        </w:rPr>
        <w:t>Comparison of p</w:t>
      </w:r>
      <w:r w:rsidR="005905F4" w:rsidRPr="00F36EFF">
        <w:rPr>
          <w:rFonts w:ascii="Arial" w:hAnsi="Arial" w:cs="Arial"/>
          <w:sz w:val="18"/>
          <w:szCs w:val="18"/>
        </w:rPr>
        <w:t>ercentage of patients dying longitudinally from the census date</w:t>
      </w:r>
    </w:p>
    <w:p w14:paraId="3B018CEC" w14:textId="11BD4BBE" w:rsidR="00F903E2" w:rsidRDefault="00F903E2" w:rsidP="00F903E2">
      <w:pPr>
        <w:jc w:val="center"/>
        <w:rPr>
          <w:rFonts w:ascii="Arial" w:hAnsi="Arial" w:cs="Arial"/>
          <w:sz w:val="24"/>
          <w:szCs w:val="24"/>
        </w:rPr>
      </w:pPr>
    </w:p>
    <w:p w14:paraId="4587FB26" w14:textId="0ED472E7" w:rsidR="00F903E2" w:rsidRDefault="00F903E2" w:rsidP="00F903E2">
      <w:pPr>
        <w:rPr>
          <w:rFonts w:ascii="Arial" w:hAnsi="Arial" w:cs="Arial"/>
          <w:sz w:val="24"/>
          <w:szCs w:val="24"/>
        </w:rPr>
      </w:pPr>
      <w:r>
        <w:rPr>
          <w:rFonts w:ascii="Arial" w:hAnsi="Arial" w:cs="Arial"/>
          <w:sz w:val="24"/>
          <w:szCs w:val="24"/>
        </w:rPr>
        <w:lastRenderedPageBreak/>
        <w:t xml:space="preserve">The longitudinal data here has been taken at the simplest level. </w:t>
      </w:r>
      <w:r w:rsidRPr="00F36EFF">
        <w:rPr>
          <w:rFonts w:ascii="Arial" w:hAnsi="Arial" w:cs="Arial"/>
          <w:sz w:val="24"/>
          <w:szCs w:val="24"/>
        </w:rPr>
        <w:t>Figure</w:t>
      </w:r>
      <w:r>
        <w:rPr>
          <w:rFonts w:ascii="Arial" w:hAnsi="Arial" w:cs="Arial"/>
          <w:sz w:val="24"/>
          <w:szCs w:val="24"/>
        </w:rPr>
        <w:t xml:space="preserve"> 5.</w:t>
      </w:r>
      <w:r w:rsidR="00AB20AD">
        <w:rPr>
          <w:rFonts w:ascii="Arial" w:hAnsi="Arial" w:cs="Arial"/>
          <w:sz w:val="24"/>
          <w:szCs w:val="24"/>
        </w:rPr>
        <w:t>3</w:t>
      </w:r>
      <w:r>
        <w:rPr>
          <w:rFonts w:ascii="Arial" w:hAnsi="Arial" w:cs="Arial"/>
          <w:sz w:val="24"/>
          <w:szCs w:val="24"/>
        </w:rPr>
        <w:t xml:space="preserve"> illustrates the cumulative mortality, which is comparable to the Scottish findings (Clark et al., 2014). The quantitative interrogation could have considered ‘indices of social deprivation’ (</w:t>
      </w:r>
      <w:proofErr w:type="spellStart"/>
      <w:r>
        <w:rPr>
          <w:rFonts w:ascii="Arial" w:hAnsi="Arial" w:cs="Arial"/>
          <w:sz w:val="24"/>
          <w:szCs w:val="24"/>
        </w:rPr>
        <w:t>StatsWales</w:t>
      </w:r>
      <w:proofErr w:type="spellEnd"/>
      <w:r>
        <w:rPr>
          <w:rFonts w:ascii="Arial" w:hAnsi="Arial" w:cs="Arial"/>
          <w:sz w:val="24"/>
          <w:szCs w:val="24"/>
        </w:rPr>
        <w:t xml:space="preserve">, 2021) or ‘specialty of admission’ but they would have been tangential to this current study. The details about gender and age have been captured but do not add meaningfully to the current concern. Speculatively, an epidemiological multivariate analysis is an opportunity if this were to be pursued as a ‘Health Needs Assessment’ in informing service planning. </w:t>
      </w:r>
    </w:p>
    <w:p w14:paraId="0CBAAA3D" w14:textId="77777777" w:rsidR="00F903E2" w:rsidRPr="00F5574C" w:rsidRDefault="00F903E2" w:rsidP="00F903E2">
      <w:pPr>
        <w:rPr>
          <w:rFonts w:ascii="Arial" w:hAnsi="Arial" w:cs="Arial"/>
          <w:sz w:val="24"/>
          <w:szCs w:val="24"/>
        </w:rPr>
      </w:pPr>
      <w:r>
        <w:rPr>
          <w:rFonts w:ascii="Arial" w:hAnsi="Arial" w:cs="Arial"/>
          <w:sz w:val="24"/>
          <w:szCs w:val="24"/>
        </w:rPr>
        <w:t xml:space="preserve">Returning to this research, the scale of the opportunity can be appreciated in the </w:t>
      </w:r>
      <w:r w:rsidRPr="00F5574C">
        <w:rPr>
          <w:rFonts w:ascii="Arial" w:hAnsi="Arial" w:cs="Arial"/>
          <w:sz w:val="24"/>
          <w:szCs w:val="24"/>
        </w:rPr>
        <w:t xml:space="preserve">gradient of the line. Marie Curie commissioned a report – Public expenditure in the last year of life (Cummins et al., 2025) – which found that “of public funds spent on health care for people in their last year of life, 81% was spent in hospital”. The report provides plenty of figures, but distilling these down to a single person the hospital healthcare cost per adult who dies was £18020. Managers may appreciate the financial expediency that intervention could provide but the human component ought not to be undervalued (albeit less quantifiable). </w:t>
      </w:r>
    </w:p>
    <w:p w14:paraId="702199EF" w14:textId="77777777" w:rsidR="00F903E2" w:rsidRPr="00CD2BF9" w:rsidRDefault="00F903E2" w:rsidP="00F903E2">
      <w:pPr>
        <w:ind w:right="804"/>
        <w:rPr>
          <w:rFonts w:ascii="Arial" w:hAnsi="Arial" w:cs="Arial"/>
          <w:sz w:val="24"/>
          <w:szCs w:val="24"/>
        </w:rPr>
      </w:pPr>
    </w:p>
    <w:p w14:paraId="541B535E" w14:textId="77777777" w:rsidR="00F903E2" w:rsidRPr="00F5574C"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F5574C">
        <w:rPr>
          <w:rFonts w:ascii="Arial" w:hAnsi="Arial" w:cs="Arial"/>
          <w:sz w:val="24"/>
          <w:szCs w:val="24"/>
        </w:rPr>
        <w:t xml:space="preserve">“Most devastatingly, too many people are dying in places where they don’t want or need to be.” </w:t>
      </w:r>
    </w:p>
    <w:p w14:paraId="375A2C91" w14:textId="77777777" w:rsidR="00F903E2" w:rsidRPr="00CD2BF9"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CD2BF9">
        <w:rPr>
          <w:rFonts w:ascii="Arial" w:hAnsi="Arial" w:cs="Arial"/>
          <w:sz w:val="18"/>
          <w:szCs w:val="18"/>
        </w:rPr>
        <w:t>(</w:t>
      </w:r>
      <w:r>
        <w:rPr>
          <w:rFonts w:ascii="Arial" w:hAnsi="Arial" w:cs="Arial"/>
          <w:sz w:val="18"/>
          <w:szCs w:val="18"/>
        </w:rPr>
        <w:t>Dr Sam Royston, Executive Director of Policy and Research, Marie Curie</w:t>
      </w:r>
      <w:r w:rsidRPr="00CD2BF9">
        <w:rPr>
          <w:rFonts w:ascii="Arial" w:hAnsi="Arial" w:cs="Arial"/>
          <w:sz w:val="18"/>
          <w:szCs w:val="18"/>
        </w:rPr>
        <w:t xml:space="preserve">) </w:t>
      </w:r>
    </w:p>
    <w:p w14:paraId="196C9457" w14:textId="77777777" w:rsidR="00F903E2" w:rsidRPr="00CD2BF9" w:rsidRDefault="00F903E2" w:rsidP="00F903E2">
      <w:pPr>
        <w:ind w:right="804"/>
        <w:rPr>
          <w:rFonts w:ascii="Arial" w:hAnsi="Arial" w:cs="Arial"/>
          <w:sz w:val="24"/>
          <w:szCs w:val="24"/>
        </w:rPr>
      </w:pPr>
    </w:p>
    <w:p w14:paraId="75838307" w14:textId="00710731" w:rsidR="00F903E2" w:rsidRDefault="00F903E2" w:rsidP="00F903E2">
      <w:pPr>
        <w:rPr>
          <w:rFonts w:ascii="Arial" w:hAnsi="Arial" w:cs="Arial"/>
          <w:sz w:val="24"/>
          <w:szCs w:val="24"/>
        </w:rPr>
      </w:pPr>
      <w:r>
        <w:rPr>
          <w:rFonts w:ascii="Arial" w:hAnsi="Arial" w:cs="Arial"/>
          <w:sz w:val="24"/>
          <w:szCs w:val="24"/>
        </w:rPr>
        <w:t>If three in ten inpatients are in their last twelve months of life, then the relevant variables underpinning these figures are the medical profiles that influence the future. It is the feasibility of this identification step that is being tested. Clinical tools are available. Frailty scores (Moorhouse and Rockwood, 2012) are relatively crude, whereas the ‘Supportive and Palliative Care Indicators Tool’ (SPICT) (University of Edinburgh, 2025) helps identify individuals so they can be offered “timely palliative care and future care planning”. The data demonstrates that there is a population of patients that could be more proactively supported. One point of recognition of these individuals is with presentation to hospital (arguably there will be other opportunities short of acute intervention) and being able to embrace the wealth of digital data that this affords. Automated prompts, as was brought out in the literature review, can use the power of digital to enhance the clinical consultation.</w:t>
      </w:r>
    </w:p>
    <w:p w14:paraId="514690F0" w14:textId="77777777" w:rsidR="00F903E2" w:rsidRPr="00AF576B" w:rsidRDefault="00F903E2" w:rsidP="00F903E2">
      <w:pPr>
        <w:rPr>
          <w:rFonts w:ascii="Arial" w:hAnsi="Arial" w:cs="Arial"/>
          <w:sz w:val="24"/>
          <w:szCs w:val="24"/>
        </w:rPr>
      </w:pPr>
    </w:p>
    <w:p w14:paraId="1B332886" w14:textId="63BBBDEE" w:rsidR="00F903E2" w:rsidRPr="00AF576B" w:rsidRDefault="00F903E2" w:rsidP="00F903E2">
      <w:pPr>
        <w:rPr>
          <w:rFonts w:ascii="Arial" w:hAnsi="Arial" w:cs="Arial"/>
          <w:sz w:val="24"/>
          <w:szCs w:val="24"/>
        </w:rPr>
      </w:pPr>
      <w:r w:rsidRPr="00AF576B">
        <w:rPr>
          <w:rFonts w:ascii="Arial" w:hAnsi="Arial" w:cs="Arial"/>
          <w:sz w:val="24"/>
          <w:szCs w:val="24"/>
        </w:rPr>
        <w:t>5.5</w:t>
      </w:r>
      <w:r w:rsidRPr="00AF576B">
        <w:rPr>
          <w:rFonts w:ascii="Arial" w:hAnsi="Arial" w:cs="Arial"/>
          <w:sz w:val="24"/>
          <w:szCs w:val="24"/>
        </w:rPr>
        <w:tab/>
      </w:r>
      <w:r w:rsidR="00572536">
        <w:rPr>
          <w:rFonts w:ascii="Arial" w:hAnsi="Arial" w:cs="Arial"/>
          <w:sz w:val="24"/>
          <w:szCs w:val="24"/>
        </w:rPr>
        <w:t xml:space="preserve">Discussion - </w:t>
      </w:r>
      <w:r w:rsidRPr="00AF576B">
        <w:rPr>
          <w:rFonts w:ascii="Arial" w:hAnsi="Arial" w:cs="Arial"/>
          <w:sz w:val="24"/>
          <w:szCs w:val="24"/>
        </w:rPr>
        <w:t>Looking forwards</w:t>
      </w:r>
    </w:p>
    <w:p w14:paraId="14A64E49" w14:textId="77777777" w:rsidR="00F903E2" w:rsidRPr="00AF576B" w:rsidRDefault="00F903E2" w:rsidP="00F903E2">
      <w:pPr>
        <w:rPr>
          <w:rFonts w:ascii="Arial" w:hAnsi="Arial" w:cs="Arial"/>
          <w:sz w:val="24"/>
          <w:szCs w:val="24"/>
        </w:rPr>
      </w:pPr>
      <w:r w:rsidRPr="00AF576B">
        <w:rPr>
          <w:rFonts w:ascii="Arial" w:hAnsi="Arial" w:cs="Arial"/>
          <w:sz w:val="24"/>
          <w:szCs w:val="24"/>
        </w:rPr>
        <w:t>Weighing the feasibility of a tool to identify those individuals approaching the end of their life does not present distinct themes. Discussions, and human thought, blends ideas. Earlier the metaphor was of adding colour, but more than that the blending of concepts is shading across the picture rather than colouring within the lines. This interplay has been teased out to a degree but the complexity of humans and healthcare will remain evident throughout this section.</w:t>
      </w:r>
    </w:p>
    <w:p w14:paraId="268EAD04" w14:textId="77777777" w:rsidR="00F903E2" w:rsidRPr="00CD2BF9" w:rsidRDefault="00F903E2" w:rsidP="00F903E2">
      <w:pPr>
        <w:rPr>
          <w:rFonts w:ascii="Arial" w:hAnsi="Arial" w:cs="Arial"/>
          <w:b/>
          <w:sz w:val="24"/>
          <w:szCs w:val="24"/>
        </w:rPr>
      </w:pPr>
      <w:r w:rsidRPr="00713F63">
        <w:rPr>
          <w:rFonts w:ascii="Arial" w:hAnsi="Arial" w:cs="Arial"/>
          <w:sz w:val="24"/>
          <w:szCs w:val="24"/>
        </w:rPr>
        <w:lastRenderedPageBreak/>
        <w:t>5.51</w:t>
      </w:r>
      <w:r w:rsidRPr="00713F63">
        <w:rPr>
          <w:rFonts w:ascii="Arial" w:hAnsi="Arial" w:cs="Arial"/>
          <w:sz w:val="24"/>
          <w:szCs w:val="24"/>
        </w:rPr>
        <w:tab/>
        <w:t>Utility</w:t>
      </w:r>
    </w:p>
    <w:p w14:paraId="4A903750" w14:textId="77777777" w:rsidR="00F903E2" w:rsidRPr="00CD2BF9" w:rsidRDefault="00F903E2" w:rsidP="00F903E2">
      <w:pPr>
        <w:rPr>
          <w:rFonts w:ascii="Arial" w:hAnsi="Arial" w:cs="Arial"/>
          <w:sz w:val="24"/>
          <w:szCs w:val="24"/>
        </w:rPr>
      </w:pPr>
      <w:r w:rsidRPr="00CD2BF9">
        <w:rPr>
          <w:rFonts w:ascii="Arial" w:hAnsi="Arial" w:cs="Arial"/>
          <w:sz w:val="24"/>
          <w:szCs w:val="24"/>
        </w:rPr>
        <w:t>The potential of this tool was acknowledged by all those interviewed. The rich picture helped personalise the concept and simply opened up the conversation. A number of wistful anecdotes were shared reminiscing about the consequences of missed opportunities. One reflection was that the team they worked with should already be being more proactive. This individual had previously worked on the dialysis unit and regularly supported the same cohort of patients. ‘Regularly’ being up to three times each week, given the nature of dialysis, alongside associated acute episodes necessitating hospital admission. With so much contact the clinician had been able to develop a relationship – primarily professional but they did recognise social aspects – and had had opportunity to reflect forwards. In conversation, it was the social relationship that limited them from introducing the challenge of future care needs. The feasibility of having a prompt – whether automated or following a trigger event – was a welcome consideration to flag the appropriateness of considering future needs more urgently.</w:t>
      </w:r>
    </w:p>
    <w:p w14:paraId="19A6CF22" w14:textId="77777777" w:rsidR="00F903E2" w:rsidRPr="00CD2BF9" w:rsidRDefault="00F903E2" w:rsidP="00F903E2">
      <w:pPr>
        <w:ind w:right="804"/>
        <w:rPr>
          <w:rFonts w:ascii="Arial" w:hAnsi="Arial" w:cs="Arial"/>
          <w:sz w:val="24"/>
          <w:szCs w:val="24"/>
        </w:rPr>
      </w:pPr>
    </w:p>
    <w:p w14:paraId="2F650160" w14:textId="77777777" w:rsidR="00F903E2" w:rsidRPr="00CD2BF9"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CD2BF9">
        <w:rPr>
          <w:rFonts w:ascii="Arial" w:hAnsi="Arial" w:cs="Arial"/>
          <w:sz w:val="24"/>
          <w:szCs w:val="24"/>
        </w:rPr>
        <w:t xml:space="preserve">“…gives a prompt to discuss things. Almost the authority to start a conversation.” </w:t>
      </w:r>
    </w:p>
    <w:p w14:paraId="50F2984A" w14:textId="77777777" w:rsidR="00F903E2" w:rsidRPr="00CD2BF9"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CD2BF9">
        <w:rPr>
          <w:rFonts w:ascii="Arial" w:hAnsi="Arial" w:cs="Arial"/>
          <w:sz w:val="18"/>
          <w:szCs w:val="18"/>
        </w:rPr>
        <w:t xml:space="preserve">(Participant 3, clinical nurse specialist) </w:t>
      </w:r>
    </w:p>
    <w:p w14:paraId="05C9359D" w14:textId="77777777" w:rsidR="00F903E2" w:rsidRPr="00CD2BF9" w:rsidRDefault="00F903E2" w:rsidP="00F903E2">
      <w:pPr>
        <w:ind w:right="804"/>
        <w:rPr>
          <w:rFonts w:ascii="Arial" w:hAnsi="Arial" w:cs="Arial"/>
          <w:sz w:val="24"/>
          <w:szCs w:val="24"/>
        </w:rPr>
      </w:pPr>
    </w:p>
    <w:p w14:paraId="131A7CA3" w14:textId="77777777" w:rsidR="00F903E2" w:rsidRPr="00CD2BF9"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CD2BF9">
        <w:rPr>
          <w:rFonts w:ascii="Arial" w:hAnsi="Arial" w:cs="Arial"/>
          <w:sz w:val="24"/>
          <w:szCs w:val="24"/>
        </w:rPr>
        <w:t xml:space="preserve">“Like getting a CT to prove what we know allows the doctors to stop treatment.” </w:t>
      </w:r>
    </w:p>
    <w:p w14:paraId="7A2C4052" w14:textId="77777777" w:rsidR="00F903E2" w:rsidRPr="00CD2BF9"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CD2BF9">
        <w:rPr>
          <w:rFonts w:ascii="Arial" w:hAnsi="Arial" w:cs="Arial"/>
          <w:sz w:val="18"/>
          <w:szCs w:val="18"/>
        </w:rPr>
        <w:t xml:space="preserve">(Participant </w:t>
      </w:r>
      <w:r>
        <w:rPr>
          <w:rFonts w:ascii="Arial" w:hAnsi="Arial" w:cs="Arial"/>
          <w:sz w:val="18"/>
          <w:szCs w:val="18"/>
        </w:rPr>
        <w:t>4</w:t>
      </w:r>
      <w:r w:rsidRPr="00CD2BF9">
        <w:rPr>
          <w:rFonts w:ascii="Arial" w:hAnsi="Arial" w:cs="Arial"/>
          <w:sz w:val="18"/>
          <w:szCs w:val="18"/>
        </w:rPr>
        <w:t xml:space="preserve">, chemotherapy nurse) </w:t>
      </w:r>
    </w:p>
    <w:p w14:paraId="0EAC7218" w14:textId="77777777" w:rsidR="00F903E2" w:rsidRDefault="00F903E2" w:rsidP="00F903E2">
      <w:pPr>
        <w:ind w:left="851" w:right="804"/>
        <w:rPr>
          <w:rFonts w:ascii="Arial" w:hAnsi="Arial" w:cs="Arial"/>
          <w:sz w:val="24"/>
          <w:szCs w:val="24"/>
        </w:rPr>
      </w:pPr>
    </w:p>
    <w:p w14:paraId="08A1B034" w14:textId="4B2D6DD9" w:rsidR="00F903E2" w:rsidRDefault="00F903E2" w:rsidP="00F903E2">
      <w:pPr>
        <w:ind w:right="804"/>
        <w:rPr>
          <w:rFonts w:ascii="Arial" w:hAnsi="Arial" w:cs="Arial"/>
          <w:sz w:val="24"/>
          <w:szCs w:val="24"/>
        </w:rPr>
      </w:pPr>
      <w:r>
        <w:rPr>
          <w:rFonts w:ascii="Arial" w:hAnsi="Arial" w:cs="Arial"/>
          <w:sz w:val="24"/>
          <w:szCs w:val="24"/>
        </w:rPr>
        <w:t>References were shared to other tools and templates. The additional component that this proposal brings is that it seeks to identify individuals not currently being identified as within their last twelve months of life. Chronic conditions have a characteristic intermittent declining trajectory (Murray et al., 2005) which can be categorised with tools such as SPICT (2025).</w:t>
      </w:r>
    </w:p>
    <w:p w14:paraId="3DF1782F" w14:textId="77777777" w:rsidR="00F903E2" w:rsidRPr="00CD2BF9" w:rsidRDefault="00F903E2" w:rsidP="00F903E2">
      <w:pPr>
        <w:ind w:left="851" w:right="804"/>
        <w:rPr>
          <w:rFonts w:ascii="Arial" w:hAnsi="Arial" w:cs="Arial"/>
          <w:sz w:val="24"/>
          <w:szCs w:val="24"/>
        </w:rPr>
      </w:pPr>
    </w:p>
    <w:p w14:paraId="739C6CE0" w14:textId="77777777" w:rsidR="00F903E2" w:rsidRPr="00CD2BF9"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CD2BF9">
        <w:rPr>
          <w:rFonts w:ascii="Arial" w:hAnsi="Arial" w:cs="Arial"/>
          <w:sz w:val="24"/>
          <w:szCs w:val="24"/>
        </w:rPr>
        <w:t xml:space="preserve">“We used to use TEPs [treatment escalation plans] as a way to make it easier to do the right thing.” </w:t>
      </w:r>
    </w:p>
    <w:p w14:paraId="5309CA5B" w14:textId="77777777" w:rsidR="00F903E2" w:rsidRPr="00CD2BF9"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CD2BF9">
        <w:rPr>
          <w:rFonts w:ascii="Arial" w:hAnsi="Arial" w:cs="Arial"/>
          <w:sz w:val="18"/>
          <w:szCs w:val="18"/>
        </w:rPr>
        <w:t>(Participant 2, resident doctor in oncology)</w:t>
      </w:r>
    </w:p>
    <w:p w14:paraId="39A4DE00" w14:textId="77777777" w:rsidR="00F903E2" w:rsidRDefault="00F903E2" w:rsidP="00F903E2">
      <w:pPr>
        <w:ind w:right="804"/>
        <w:rPr>
          <w:rFonts w:ascii="Arial" w:hAnsi="Arial" w:cs="Arial"/>
          <w:sz w:val="24"/>
          <w:szCs w:val="24"/>
        </w:rPr>
      </w:pPr>
    </w:p>
    <w:p w14:paraId="04E570C8" w14:textId="77777777" w:rsidR="00F903E2" w:rsidRDefault="00F903E2" w:rsidP="00F903E2">
      <w:pPr>
        <w:ind w:right="804"/>
        <w:rPr>
          <w:rFonts w:ascii="Arial" w:hAnsi="Arial" w:cs="Arial"/>
          <w:color w:val="212529"/>
          <w:sz w:val="24"/>
          <w:szCs w:val="24"/>
          <w:shd w:val="clear" w:color="auto" w:fill="FEFEFE"/>
        </w:rPr>
      </w:pPr>
      <w:r w:rsidRPr="00CD2BF9">
        <w:rPr>
          <w:rFonts w:ascii="Arial" w:hAnsi="Arial" w:cs="Arial"/>
          <w:sz w:val="24"/>
          <w:szCs w:val="24"/>
        </w:rPr>
        <w:t>Treatment escalation plans are “</w:t>
      </w:r>
      <w:r w:rsidRPr="00CD2BF9">
        <w:rPr>
          <w:rFonts w:ascii="Arial" w:hAnsi="Arial" w:cs="Arial"/>
          <w:color w:val="212529"/>
          <w:sz w:val="24"/>
          <w:szCs w:val="24"/>
          <w:shd w:val="clear" w:color="auto" w:fill="FEFEFE"/>
        </w:rPr>
        <w:t xml:space="preserve">a tool which records and communicates the personalised and realistic goals of treatment.” (NHS Scotland, 2021) They are highly specific as they relate to a single episode of care at a single point in time. The relevance is that they are a form of advance care planning, reflecting an individual’s values and preferences should they deteriorate. </w:t>
      </w:r>
      <w:r>
        <w:rPr>
          <w:rFonts w:ascii="Arial" w:hAnsi="Arial" w:cs="Arial"/>
          <w:color w:val="212529"/>
          <w:sz w:val="24"/>
          <w:szCs w:val="24"/>
          <w:shd w:val="clear" w:color="auto" w:fill="FEFEFE"/>
        </w:rPr>
        <w:lastRenderedPageBreak/>
        <w:t xml:space="preserve">Similarly, ‘Do Not Attempt Cardio Pulmonary Resuscitation’ (DNACPR) forms were brought up. These are also a form of advance care plan but have some common acceptance. This tool seeks to identify individuals earlier in their disease trajectories in order that generalised, and specific, plans can be considered. This is an opportunity to empower patients, to give them time to weigh their priorities in the calm before the storm. </w:t>
      </w:r>
    </w:p>
    <w:p w14:paraId="712466C5" w14:textId="77777777" w:rsidR="00F903E2" w:rsidRDefault="00F903E2" w:rsidP="00F903E2">
      <w:pPr>
        <w:ind w:right="804"/>
        <w:rPr>
          <w:rFonts w:ascii="Arial" w:hAnsi="Arial" w:cs="Arial"/>
          <w:color w:val="212529"/>
          <w:sz w:val="24"/>
          <w:szCs w:val="24"/>
          <w:shd w:val="clear" w:color="auto" w:fill="FEFEFE"/>
        </w:rPr>
      </w:pPr>
    </w:p>
    <w:p w14:paraId="1C8783A9" w14:textId="77777777" w:rsidR="00F903E2" w:rsidRDefault="00F903E2" w:rsidP="00F903E2">
      <w:pPr>
        <w:ind w:right="804"/>
        <w:rPr>
          <w:rFonts w:ascii="Arial" w:hAnsi="Arial" w:cs="Arial"/>
          <w:color w:val="212529"/>
          <w:sz w:val="24"/>
          <w:szCs w:val="24"/>
          <w:shd w:val="clear" w:color="auto" w:fill="FEFEFE"/>
        </w:rPr>
      </w:pPr>
      <w:r>
        <w:rPr>
          <w:rFonts w:ascii="Arial" w:hAnsi="Arial" w:cs="Arial"/>
          <w:color w:val="212529"/>
          <w:sz w:val="24"/>
          <w:szCs w:val="24"/>
          <w:shd w:val="clear" w:color="auto" w:fill="FEFEFE"/>
        </w:rPr>
        <w:t>The value of this intervention was highly respected. The two overriding sub-themes were:</w:t>
      </w:r>
    </w:p>
    <w:p w14:paraId="15D2BA0C" w14:textId="77777777" w:rsidR="00F903E2" w:rsidRDefault="00F903E2" w:rsidP="00F903E2">
      <w:pPr>
        <w:pStyle w:val="ListParagraph"/>
        <w:numPr>
          <w:ilvl w:val="0"/>
          <w:numId w:val="11"/>
        </w:numPr>
        <w:ind w:right="804"/>
        <w:rPr>
          <w:rFonts w:ascii="Arial" w:hAnsi="Arial" w:cs="Arial"/>
          <w:color w:val="212529"/>
          <w:sz w:val="24"/>
          <w:szCs w:val="24"/>
          <w:shd w:val="clear" w:color="auto" w:fill="FEFEFE"/>
        </w:rPr>
      </w:pPr>
      <w:r w:rsidRPr="004E565E">
        <w:rPr>
          <w:rFonts w:ascii="Arial" w:hAnsi="Arial" w:cs="Arial"/>
          <w:color w:val="212529"/>
          <w:sz w:val="24"/>
          <w:szCs w:val="24"/>
          <w:shd w:val="clear" w:color="auto" w:fill="FEFEFE"/>
        </w:rPr>
        <w:t xml:space="preserve"> its potential usefulness in catching patients sooner, especially those without regular healthcare interaction</w:t>
      </w:r>
      <w:r>
        <w:rPr>
          <w:rFonts w:ascii="Arial" w:hAnsi="Arial" w:cs="Arial"/>
          <w:color w:val="212529"/>
          <w:sz w:val="24"/>
          <w:szCs w:val="24"/>
          <w:shd w:val="clear" w:color="auto" w:fill="FEFEFE"/>
        </w:rPr>
        <w:t>.</w:t>
      </w:r>
    </w:p>
    <w:p w14:paraId="5038150E" w14:textId="77777777" w:rsidR="00F903E2" w:rsidRPr="004E565E" w:rsidRDefault="00F903E2" w:rsidP="00F903E2">
      <w:pPr>
        <w:pStyle w:val="ListParagraph"/>
        <w:numPr>
          <w:ilvl w:val="0"/>
          <w:numId w:val="11"/>
        </w:numPr>
        <w:ind w:right="804"/>
        <w:rPr>
          <w:rFonts w:ascii="Arial" w:hAnsi="Arial" w:cs="Arial"/>
          <w:color w:val="212529"/>
          <w:sz w:val="24"/>
          <w:szCs w:val="24"/>
          <w:shd w:val="clear" w:color="auto" w:fill="FEFEFE"/>
        </w:rPr>
      </w:pPr>
      <w:r>
        <w:rPr>
          <w:rFonts w:ascii="Arial" w:hAnsi="Arial" w:cs="Arial"/>
          <w:color w:val="212529"/>
          <w:sz w:val="24"/>
          <w:szCs w:val="24"/>
          <w:shd w:val="clear" w:color="auto" w:fill="FEFEFE"/>
        </w:rPr>
        <w:t>as a formulaic necessity within ongoing care, enabling professionals to hide behind process (whilst, simultaneously, accepting the right to expedite conversations when necessary).</w:t>
      </w:r>
    </w:p>
    <w:p w14:paraId="128CAADB" w14:textId="28DBF041" w:rsidR="00F903E2" w:rsidRDefault="00F903E2" w:rsidP="00F903E2">
      <w:pPr>
        <w:ind w:right="804"/>
        <w:rPr>
          <w:rFonts w:ascii="Arial" w:hAnsi="Arial" w:cs="Arial"/>
          <w:color w:val="212529"/>
          <w:sz w:val="24"/>
          <w:szCs w:val="24"/>
          <w:shd w:val="clear" w:color="auto" w:fill="FEFEFE"/>
        </w:rPr>
      </w:pPr>
      <w:r>
        <w:rPr>
          <w:rFonts w:ascii="Arial" w:hAnsi="Arial" w:cs="Arial"/>
          <w:color w:val="212529"/>
          <w:sz w:val="24"/>
          <w:szCs w:val="24"/>
          <w:shd w:val="clear" w:color="auto" w:fill="FEFEFE"/>
        </w:rPr>
        <w:t>Regarding the feasibility of its adoption several points for discussion were raised.</w:t>
      </w:r>
    </w:p>
    <w:p w14:paraId="6CFEDD3F" w14:textId="77777777" w:rsidR="00F903E2" w:rsidRDefault="00F903E2" w:rsidP="00F903E2">
      <w:pPr>
        <w:rPr>
          <w:rFonts w:ascii="Arial" w:hAnsi="Arial" w:cs="Arial"/>
          <w:sz w:val="24"/>
          <w:szCs w:val="24"/>
        </w:rPr>
      </w:pPr>
    </w:p>
    <w:p w14:paraId="087AAC88" w14:textId="77777777" w:rsidR="00F903E2" w:rsidRPr="00713F63" w:rsidRDefault="00F903E2" w:rsidP="00F903E2">
      <w:pPr>
        <w:rPr>
          <w:rFonts w:ascii="Arial" w:hAnsi="Arial" w:cs="Arial"/>
          <w:sz w:val="24"/>
          <w:szCs w:val="24"/>
        </w:rPr>
      </w:pPr>
      <w:r>
        <w:rPr>
          <w:rFonts w:ascii="Arial" w:hAnsi="Arial" w:cs="Arial"/>
          <w:sz w:val="24"/>
          <w:szCs w:val="24"/>
        </w:rPr>
        <w:t>5.52</w:t>
      </w:r>
      <w:r w:rsidRPr="00713F63">
        <w:rPr>
          <w:rFonts w:ascii="Arial" w:hAnsi="Arial" w:cs="Arial"/>
          <w:sz w:val="24"/>
          <w:szCs w:val="24"/>
        </w:rPr>
        <w:tab/>
        <w:t>Medical complexity</w:t>
      </w:r>
    </w:p>
    <w:p w14:paraId="65399B38" w14:textId="77777777" w:rsidR="00F903E2" w:rsidRPr="00713F63" w:rsidRDefault="00F903E2" w:rsidP="00F903E2">
      <w:pPr>
        <w:rPr>
          <w:rFonts w:ascii="Arial" w:hAnsi="Arial" w:cs="Arial"/>
          <w:sz w:val="24"/>
          <w:szCs w:val="24"/>
        </w:rPr>
      </w:pPr>
      <w:r w:rsidRPr="00713F63">
        <w:rPr>
          <w:rFonts w:ascii="Arial" w:hAnsi="Arial" w:cs="Arial"/>
          <w:sz w:val="24"/>
          <w:szCs w:val="24"/>
        </w:rPr>
        <w:t>A reservation that recurred in these conversations was individual professionals having enough confidence in the tool. This is in contrast to some of the thoughts (and quote above) which valued the objectivity of this process. It simply demonstrates that there is a multitude of opinions which need to be accommodated if this tool is to find a role to serve.</w:t>
      </w:r>
    </w:p>
    <w:p w14:paraId="6E04ADED" w14:textId="77777777" w:rsidR="00F903E2" w:rsidRPr="003B5F72" w:rsidRDefault="00F903E2" w:rsidP="00F903E2">
      <w:pPr>
        <w:rPr>
          <w:rFonts w:ascii="Arial" w:hAnsi="Arial" w:cs="Arial"/>
          <w:sz w:val="24"/>
          <w:szCs w:val="24"/>
          <w:highlight w:val="green"/>
        </w:rPr>
      </w:pPr>
    </w:p>
    <w:p w14:paraId="44913D3B" w14:textId="77777777" w:rsidR="00F903E2" w:rsidRPr="002B4022"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2B4022">
        <w:rPr>
          <w:rFonts w:ascii="Arial" w:hAnsi="Arial" w:cs="Arial"/>
          <w:sz w:val="24"/>
          <w:szCs w:val="24"/>
        </w:rPr>
        <w:t xml:space="preserve"> “</w:t>
      </w:r>
      <w:r w:rsidRPr="00EB54FE">
        <w:rPr>
          <w:rFonts w:ascii="Arial" w:hAnsi="Arial" w:cs="Arial"/>
          <w:sz w:val="24"/>
          <w:szCs w:val="24"/>
        </w:rPr>
        <w:t>Medicine is just not that straightforward</w:t>
      </w:r>
      <w:r w:rsidRPr="002B4022">
        <w:rPr>
          <w:rFonts w:ascii="Arial" w:hAnsi="Arial" w:cs="Arial"/>
          <w:sz w:val="24"/>
          <w:szCs w:val="24"/>
        </w:rPr>
        <w:t>.”</w:t>
      </w:r>
    </w:p>
    <w:p w14:paraId="12E6DC13" w14:textId="77777777" w:rsidR="00F903E2" w:rsidRPr="00221B2E"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221B2E">
        <w:rPr>
          <w:rFonts w:ascii="Arial" w:hAnsi="Arial" w:cs="Arial"/>
          <w:sz w:val="18"/>
          <w:szCs w:val="18"/>
        </w:rPr>
        <w:t>(Participant 6, consultant geriatrician)</w:t>
      </w:r>
    </w:p>
    <w:p w14:paraId="3D957E00" w14:textId="77777777" w:rsidR="00F903E2" w:rsidRDefault="00F903E2" w:rsidP="00F903E2">
      <w:pPr>
        <w:ind w:left="851" w:right="804"/>
        <w:rPr>
          <w:rFonts w:ascii="Arial" w:hAnsi="Arial" w:cs="Arial"/>
          <w:sz w:val="24"/>
          <w:szCs w:val="24"/>
        </w:rPr>
      </w:pPr>
    </w:p>
    <w:p w14:paraId="2B0F8936" w14:textId="77777777" w:rsidR="00F903E2" w:rsidRPr="002B4022"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2B4022">
        <w:rPr>
          <w:rFonts w:ascii="Arial" w:hAnsi="Arial" w:cs="Arial"/>
          <w:sz w:val="24"/>
          <w:szCs w:val="24"/>
        </w:rPr>
        <w:t>“</w:t>
      </w:r>
      <w:r w:rsidRPr="00EB54FE">
        <w:rPr>
          <w:rFonts w:ascii="Arial" w:hAnsi="Arial" w:cs="Arial"/>
          <w:sz w:val="24"/>
          <w:szCs w:val="24"/>
        </w:rPr>
        <w:t>We get it wrong all the time… With hindsight, I may be overly optimistic but what if we are too doom and gloom? I am not ready to let the computer tell me what to do</w:t>
      </w:r>
      <w:r w:rsidRPr="002B4022">
        <w:rPr>
          <w:rFonts w:ascii="Arial" w:hAnsi="Arial" w:cs="Arial"/>
          <w:sz w:val="24"/>
          <w:szCs w:val="24"/>
        </w:rPr>
        <w:t>.”</w:t>
      </w:r>
    </w:p>
    <w:p w14:paraId="0E0FB3D6" w14:textId="77777777" w:rsidR="00F903E2" w:rsidRPr="00221B2E"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221B2E">
        <w:rPr>
          <w:rFonts w:ascii="Arial" w:hAnsi="Arial" w:cs="Arial"/>
          <w:sz w:val="18"/>
          <w:szCs w:val="18"/>
        </w:rPr>
        <w:t xml:space="preserve">(Participant </w:t>
      </w:r>
      <w:r>
        <w:rPr>
          <w:rFonts w:ascii="Arial" w:hAnsi="Arial" w:cs="Arial"/>
          <w:sz w:val="18"/>
          <w:szCs w:val="18"/>
        </w:rPr>
        <w:t>1</w:t>
      </w:r>
      <w:r w:rsidRPr="00221B2E">
        <w:rPr>
          <w:rFonts w:ascii="Arial" w:hAnsi="Arial" w:cs="Arial"/>
          <w:sz w:val="18"/>
          <w:szCs w:val="18"/>
        </w:rPr>
        <w:t xml:space="preserve">, </w:t>
      </w:r>
      <w:r>
        <w:rPr>
          <w:rFonts w:ascii="Arial" w:hAnsi="Arial" w:cs="Arial"/>
          <w:sz w:val="18"/>
          <w:szCs w:val="18"/>
        </w:rPr>
        <w:t>resident doctor in nephrology</w:t>
      </w:r>
      <w:r w:rsidRPr="00221B2E">
        <w:rPr>
          <w:rFonts w:ascii="Arial" w:hAnsi="Arial" w:cs="Arial"/>
          <w:sz w:val="18"/>
          <w:szCs w:val="18"/>
        </w:rPr>
        <w:t>)</w:t>
      </w:r>
    </w:p>
    <w:p w14:paraId="0B72DCB5" w14:textId="77777777" w:rsidR="00F903E2" w:rsidRPr="00713F63" w:rsidRDefault="00F903E2" w:rsidP="00F903E2">
      <w:pPr>
        <w:rPr>
          <w:rFonts w:ascii="Arial" w:hAnsi="Arial" w:cs="Arial"/>
          <w:sz w:val="24"/>
          <w:szCs w:val="24"/>
        </w:rPr>
      </w:pPr>
    </w:p>
    <w:p w14:paraId="5089B590" w14:textId="77777777" w:rsidR="00F903E2" w:rsidRPr="00713F63" w:rsidRDefault="00F903E2" w:rsidP="00F903E2">
      <w:pPr>
        <w:rPr>
          <w:rFonts w:ascii="Arial" w:hAnsi="Arial" w:cs="Arial"/>
          <w:sz w:val="24"/>
          <w:szCs w:val="24"/>
        </w:rPr>
      </w:pPr>
      <w:r w:rsidRPr="00713F63">
        <w:rPr>
          <w:rFonts w:ascii="Arial" w:hAnsi="Arial" w:cs="Arial"/>
          <w:sz w:val="24"/>
          <w:szCs w:val="24"/>
        </w:rPr>
        <w:t>Another participant told an anecdote of a gentleman who was told he had three months left to live, but was still living independently twelve months later. The power of story-telling in undermining generalizable observations is high (Line et al., 2024) and it is recognised for “anecdotal evidence to be more persuasive than statistical evidence when emotional engagement is high” (</w:t>
      </w:r>
      <w:proofErr w:type="spellStart"/>
      <w:r w:rsidRPr="00713F63">
        <w:rPr>
          <w:rFonts w:ascii="Arial" w:hAnsi="Arial" w:cs="Arial"/>
          <w:sz w:val="24"/>
          <w:szCs w:val="24"/>
        </w:rPr>
        <w:t>Freling</w:t>
      </w:r>
      <w:proofErr w:type="spellEnd"/>
      <w:r w:rsidRPr="00713F63">
        <w:rPr>
          <w:rFonts w:ascii="Arial" w:hAnsi="Arial" w:cs="Arial"/>
          <w:sz w:val="24"/>
          <w:szCs w:val="24"/>
        </w:rPr>
        <w:t xml:space="preserve"> et al., 2020).</w:t>
      </w:r>
    </w:p>
    <w:p w14:paraId="4E073CCA" w14:textId="77777777" w:rsidR="00F903E2" w:rsidRPr="00713F63" w:rsidRDefault="00F903E2" w:rsidP="00F903E2">
      <w:pPr>
        <w:rPr>
          <w:rFonts w:ascii="Arial" w:hAnsi="Arial" w:cs="Arial"/>
          <w:color w:val="1F1F1F"/>
          <w:sz w:val="24"/>
          <w:szCs w:val="24"/>
        </w:rPr>
      </w:pPr>
      <w:r w:rsidRPr="00713F63">
        <w:rPr>
          <w:rFonts w:ascii="Arial" w:hAnsi="Arial" w:cs="Arial"/>
          <w:sz w:val="24"/>
          <w:szCs w:val="24"/>
        </w:rPr>
        <w:lastRenderedPageBreak/>
        <w:t>The digital scientific response is to focus on the potential for process mining.  Pr</w:t>
      </w:r>
      <w:r w:rsidRPr="00713F63">
        <w:rPr>
          <w:rFonts w:ascii="Arial" w:hAnsi="Arial" w:cs="Arial"/>
          <w:color w:val="1F1F1F"/>
          <w:sz w:val="24"/>
          <w:szCs w:val="24"/>
        </w:rPr>
        <w:t>ocess mining focuses on gaining insight from event logs (van der Aalst, 2012). The wealth of digital data available in the healthcare environment, at both the individual and population scale, provide a rich opportunity for pattern recognition and digital development. The concern of ‘drowning in data’ is less applicable to an inanimate analyser, so generalizable and specific modelling are both viable. The overriding concern, limiting large-scale development, is regarding data security. However, machine learning is a means by which data is already being interrogated, variables identified, parameters recognised and processes refined (He et al., 2024). Correlating the existing observations and investigations to distil the components most relevant to the outcome (of death, as the measure of prognostication, in this research) will inform good clinical care.</w:t>
      </w:r>
    </w:p>
    <w:p w14:paraId="06B3E54E" w14:textId="77777777" w:rsidR="00F903E2" w:rsidRPr="00713F63" w:rsidRDefault="00F903E2" w:rsidP="00F903E2">
      <w:pPr>
        <w:rPr>
          <w:rFonts w:ascii="Arial" w:hAnsi="Arial" w:cs="Arial"/>
          <w:color w:val="1F1F1F"/>
          <w:sz w:val="24"/>
          <w:szCs w:val="24"/>
        </w:rPr>
      </w:pPr>
      <w:r w:rsidRPr="00713F63">
        <w:rPr>
          <w:rFonts w:ascii="Arial" w:hAnsi="Arial" w:cs="Arial"/>
          <w:color w:val="1F1F1F"/>
          <w:sz w:val="24"/>
          <w:szCs w:val="24"/>
        </w:rPr>
        <w:t>Medicine is an art rather than a science. The clinician makes the decisions, but these can be informed by the digital prompt. The utility of the tool has been acknowledged earlier but the adoption of it needs careful consideration. The feasibility of the tool necessitates that the credibility of the tool itself (not a focus of this research, per se) is established.</w:t>
      </w:r>
    </w:p>
    <w:p w14:paraId="028DA445" w14:textId="77777777" w:rsidR="00F903E2" w:rsidRPr="00713F63" w:rsidRDefault="00F903E2" w:rsidP="00F903E2">
      <w:pPr>
        <w:rPr>
          <w:rFonts w:ascii="Arial" w:hAnsi="Arial" w:cs="Arial"/>
          <w:color w:val="1B1B1B"/>
          <w:sz w:val="24"/>
          <w:szCs w:val="24"/>
          <w:shd w:val="clear" w:color="auto" w:fill="FFFFFF"/>
        </w:rPr>
      </w:pPr>
    </w:p>
    <w:p w14:paraId="0EE39BB3" w14:textId="77777777" w:rsidR="00F903E2" w:rsidRPr="004C6186" w:rsidRDefault="00F903E2" w:rsidP="00F903E2">
      <w:pPr>
        <w:rPr>
          <w:rFonts w:ascii="Arial" w:hAnsi="Arial" w:cs="Arial"/>
          <w:sz w:val="24"/>
          <w:szCs w:val="24"/>
        </w:rPr>
      </w:pPr>
      <w:r w:rsidRPr="004C6186">
        <w:rPr>
          <w:rFonts w:ascii="Arial" w:hAnsi="Arial" w:cs="Arial"/>
          <w:sz w:val="24"/>
          <w:szCs w:val="24"/>
        </w:rPr>
        <w:t>5.53</w:t>
      </w:r>
      <w:r w:rsidRPr="004C6186">
        <w:rPr>
          <w:rFonts w:ascii="Arial" w:hAnsi="Arial" w:cs="Arial"/>
          <w:sz w:val="24"/>
          <w:szCs w:val="24"/>
        </w:rPr>
        <w:tab/>
        <w:t>Self-preservation</w:t>
      </w:r>
    </w:p>
    <w:p w14:paraId="4CD8D116" w14:textId="77777777" w:rsidR="00F903E2" w:rsidRDefault="00F903E2" w:rsidP="00F903E2">
      <w:pPr>
        <w:rPr>
          <w:rFonts w:ascii="Arial" w:hAnsi="Arial" w:cs="Arial"/>
          <w:sz w:val="24"/>
          <w:szCs w:val="24"/>
        </w:rPr>
      </w:pPr>
      <w:r w:rsidRPr="004C6186">
        <w:rPr>
          <w:rFonts w:ascii="Arial" w:hAnsi="Arial" w:cs="Arial"/>
          <w:sz w:val="24"/>
          <w:szCs w:val="24"/>
        </w:rPr>
        <w:t>Another theme that arose was resistance regarding the feasibility of application. Although identification of individuals was felt to be a positive opportunity, the subsequent requirement for time and effort to develop that opportunity was less tangible. The mind-set of ‘not my job’, or of protest at missed chances with earlier admissions (when discussing experiences), was evident.</w:t>
      </w:r>
    </w:p>
    <w:p w14:paraId="34DA062B" w14:textId="77777777" w:rsidR="00F903E2" w:rsidRPr="004C6186" w:rsidRDefault="00F903E2" w:rsidP="00F903E2">
      <w:pPr>
        <w:rPr>
          <w:rFonts w:ascii="Arial" w:hAnsi="Arial" w:cs="Arial"/>
          <w:sz w:val="24"/>
          <w:szCs w:val="24"/>
        </w:rPr>
      </w:pPr>
    </w:p>
    <w:p w14:paraId="2B2B7CE9" w14:textId="77777777" w:rsidR="00F903E2" w:rsidRPr="005E5DCA"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5E5DCA">
        <w:rPr>
          <w:rFonts w:ascii="Arial" w:hAnsi="Arial" w:cs="Arial"/>
          <w:sz w:val="24"/>
          <w:szCs w:val="24"/>
        </w:rPr>
        <w:t>“I have had enough of doing other people’s jobs.”</w:t>
      </w:r>
    </w:p>
    <w:p w14:paraId="3E63AF97" w14:textId="77777777" w:rsidR="00F903E2" w:rsidRPr="005E5DCA"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5E5DCA">
        <w:rPr>
          <w:rFonts w:ascii="Arial" w:hAnsi="Arial" w:cs="Arial"/>
          <w:sz w:val="18"/>
          <w:szCs w:val="18"/>
        </w:rPr>
        <w:t>(Participant 5, advanced nurse practitioner, emergency quadrant)</w:t>
      </w:r>
    </w:p>
    <w:p w14:paraId="11540F7F" w14:textId="77777777" w:rsidR="00F903E2" w:rsidRPr="005E5DCA" w:rsidRDefault="00F903E2" w:rsidP="00F903E2">
      <w:pPr>
        <w:ind w:left="851" w:right="804"/>
        <w:rPr>
          <w:rFonts w:ascii="Arial" w:hAnsi="Arial" w:cs="Arial"/>
          <w:sz w:val="24"/>
          <w:szCs w:val="24"/>
        </w:rPr>
      </w:pPr>
    </w:p>
    <w:p w14:paraId="60E3343B" w14:textId="77777777" w:rsidR="00F903E2" w:rsidRPr="005E5DCA"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5E5DCA">
        <w:rPr>
          <w:rFonts w:ascii="Arial" w:hAnsi="Arial" w:cs="Arial"/>
          <w:sz w:val="24"/>
          <w:szCs w:val="24"/>
        </w:rPr>
        <w:t>“It’s all well and good finding these patients, but where is the time.”</w:t>
      </w:r>
    </w:p>
    <w:p w14:paraId="0757A503" w14:textId="77777777" w:rsidR="00F903E2" w:rsidRPr="005E5DCA"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5E5DCA">
        <w:rPr>
          <w:rFonts w:ascii="Arial" w:hAnsi="Arial" w:cs="Arial"/>
          <w:sz w:val="18"/>
          <w:szCs w:val="18"/>
        </w:rPr>
        <w:t>(Participant 1, resident doctor in nephrology)</w:t>
      </w:r>
    </w:p>
    <w:p w14:paraId="486214F1" w14:textId="77777777" w:rsidR="00F903E2" w:rsidRDefault="00F903E2" w:rsidP="00AB20AD">
      <w:pPr>
        <w:rPr>
          <w:rFonts w:ascii="Arial" w:hAnsi="Arial" w:cs="Arial"/>
          <w:sz w:val="24"/>
          <w:szCs w:val="24"/>
        </w:rPr>
      </w:pPr>
    </w:p>
    <w:p w14:paraId="75CA4BDF" w14:textId="77777777" w:rsidR="00F903E2" w:rsidRPr="005E5DCA" w:rsidRDefault="00F903E2" w:rsidP="00F903E2">
      <w:pPr>
        <w:spacing w:after="0"/>
        <w:rPr>
          <w:rFonts w:ascii="Arial" w:hAnsi="Arial" w:cs="Arial"/>
          <w:sz w:val="24"/>
          <w:szCs w:val="24"/>
        </w:rPr>
      </w:pPr>
      <w:r w:rsidRPr="005E5DCA">
        <w:rPr>
          <w:rFonts w:ascii="Arial" w:hAnsi="Arial" w:cs="Arial"/>
          <w:sz w:val="24"/>
          <w:szCs w:val="24"/>
        </w:rPr>
        <w:t>In expanding this point of reservation, there was enthusiasm if signposting were possible rather than it impacting the primary role of the clinician. That is an alert being triggered, but then having somewhere to pass that responsibility. The underlying concerns appear to be of having enough capacity to provide the necessary support. Capacity, here, is at least twofold:</w:t>
      </w:r>
    </w:p>
    <w:p w14:paraId="6CCDA08C" w14:textId="77777777" w:rsidR="00F903E2" w:rsidRPr="005E5DCA" w:rsidRDefault="00F903E2" w:rsidP="00F903E2">
      <w:pPr>
        <w:pStyle w:val="ListParagraph"/>
        <w:numPr>
          <w:ilvl w:val="0"/>
          <w:numId w:val="15"/>
        </w:numPr>
        <w:rPr>
          <w:rFonts w:ascii="Arial" w:hAnsi="Arial" w:cs="Arial"/>
          <w:sz w:val="24"/>
          <w:szCs w:val="24"/>
        </w:rPr>
      </w:pPr>
      <w:r w:rsidRPr="005E5DCA">
        <w:rPr>
          <w:rFonts w:ascii="Arial" w:hAnsi="Arial" w:cs="Arial"/>
          <w:sz w:val="24"/>
          <w:szCs w:val="24"/>
        </w:rPr>
        <w:t>Having enough time, as highlighted in the quote above.</w:t>
      </w:r>
    </w:p>
    <w:p w14:paraId="2795027D" w14:textId="77777777" w:rsidR="00F903E2" w:rsidRPr="005E5DCA" w:rsidRDefault="00F903E2" w:rsidP="00F903E2">
      <w:pPr>
        <w:pStyle w:val="ListParagraph"/>
        <w:numPr>
          <w:ilvl w:val="0"/>
          <w:numId w:val="15"/>
        </w:numPr>
        <w:rPr>
          <w:rFonts w:ascii="Arial" w:hAnsi="Arial" w:cs="Arial"/>
          <w:sz w:val="24"/>
          <w:szCs w:val="24"/>
        </w:rPr>
      </w:pPr>
      <w:r w:rsidRPr="005E5DCA">
        <w:rPr>
          <w:rFonts w:ascii="Arial" w:hAnsi="Arial" w:cs="Arial"/>
          <w:sz w:val="24"/>
          <w:szCs w:val="24"/>
        </w:rPr>
        <w:t xml:space="preserve">Having adequate skills. </w:t>
      </w:r>
    </w:p>
    <w:p w14:paraId="3C3C0A2D" w14:textId="77777777" w:rsidR="00D9063A" w:rsidRDefault="00D9063A">
      <w:pPr>
        <w:rPr>
          <w:rFonts w:ascii="Arial" w:hAnsi="Arial" w:cs="Arial"/>
          <w:sz w:val="24"/>
          <w:szCs w:val="24"/>
        </w:rPr>
      </w:pPr>
      <w:r>
        <w:rPr>
          <w:rFonts w:ascii="Arial" w:hAnsi="Arial" w:cs="Arial"/>
          <w:sz w:val="24"/>
          <w:szCs w:val="24"/>
        </w:rPr>
        <w:br w:type="page"/>
      </w:r>
    </w:p>
    <w:p w14:paraId="1A8D30FB" w14:textId="6BEE9E4E" w:rsidR="00F903E2" w:rsidRDefault="00F903E2" w:rsidP="00F903E2">
      <w:pPr>
        <w:rPr>
          <w:rFonts w:ascii="Arial" w:hAnsi="Arial" w:cs="Arial"/>
          <w:sz w:val="24"/>
          <w:szCs w:val="24"/>
        </w:rPr>
      </w:pPr>
      <w:r w:rsidRPr="005E5DCA">
        <w:rPr>
          <w:rFonts w:ascii="Arial" w:hAnsi="Arial" w:cs="Arial"/>
          <w:sz w:val="24"/>
          <w:szCs w:val="24"/>
        </w:rPr>
        <w:lastRenderedPageBreak/>
        <w:t xml:space="preserve">This second point was encapsulated by likening it to Pandora’s Box. </w:t>
      </w:r>
    </w:p>
    <w:p w14:paraId="359CD02C" w14:textId="77777777" w:rsidR="00F903E2" w:rsidRPr="005E5DCA" w:rsidRDefault="00F903E2" w:rsidP="00F903E2">
      <w:pPr>
        <w:rPr>
          <w:rFonts w:ascii="Arial" w:hAnsi="Arial" w:cs="Arial"/>
          <w:sz w:val="24"/>
          <w:szCs w:val="24"/>
        </w:rPr>
      </w:pPr>
    </w:p>
    <w:p w14:paraId="5BEAEA4B" w14:textId="77777777" w:rsidR="00F903E2" w:rsidRPr="005E5DCA"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5E5DCA">
        <w:rPr>
          <w:rFonts w:ascii="Arial" w:hAnsi="Arial" w:cs="Arial"/>
          <w:sz w:val="24"/>
          <w:szCs w:val="24"/>
        </w:rPr>
        <w:t>“Once you open it, it is hard to close it again.”</w:t>
      </w:r>
    </w:p>
    <w:p w14:paraId="5E2B35EE" w14:textId="77777777" w:rsidR="00F903E2" w:rsidRPr="005E5DCA"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5E5DCA">
        <w:rPr>
          <w:rFonts w:ascii="Arial" w:hAnsi="Arial" w:cs="Arial"/>
          <w:sz w:val="18"/>
          <w:szCs w:val="18"/>
        </w:rPr>
        <w:t>(Participant 4, chemotherapy nurse)</w:t>
      </w:r>
    </w:p>
    <w:p w14:paraId="3AC0E0E0" w14:textId="77777777" w:rsidR="00F903E2" w:rsidRDefault="00F903E2" w:rsidP="00F903E2">
      <w:pPr>
        <w:rPr>
          <w:rFonts w:ascii="Arial" w:hAnsi="Arial" w:cs="Arial"/>
          <w:sz w:val="24"/>
          <w:szCs w:val="24"/>
        </w:rPr>
      </w:pPr>
    </w:p>
    <w:p w14:paraId="147FBD0E" w14:textId="77777777" w:rsidR="00F903E2" w:rsidRPr="005E5DCA" w:rsidRDefault="00F903E2" w:rsidP="00F903E2">
      <w:pPr>
        <w:rPr>
          <w:rFonts w:ascii="Arial" w:hAnsi="Arial" w:cs="Arial"/>
          <w:sz w:val="24"/>
          <w:szCs w:val="24"/>
        </w:rPr>
      </w:pPr>
      <w:r w:rsidRPr="005E5DCA">
        <w:rPr>
          <w:rFonts w:ascii="Arial" w:hAnsi="Arial" w:cs="Arial"/>
          <w:sz w:val="24"/>
          <w:szCs w:val="24"/>
        </w:rPr>
        <w:t>A response to these perspectives is that there is no single role carrying this responsibility. The duty for supporting patients stretches across the perceived silos of specialty. All professionals will have some ability to communicate. The skill, of sensitivity, does arise with the timing for initiating a conversation. Rather than permission to prevaricate, this brings a moral responsibility (unenforceable) for professionals to start the process. To introduce the concept of thinking ahead and advance care planning enables others to develop them. Patients need the time and space to reflect on what they might desire. There is also, inherently, an ethical obligation, as “no one knows your future self better than you do” (George and Harlow, 2011).</w:t>
      </w:r>
    </w:p>
    <w:p w14:paraId="45076453" w14:textId="77B4A2CF" w:rsidR="00CF264B" w:rsidRDefault="00F903E2" w:rsidP="00F903E2">
      <w:pPr>
        <w:rPr>
          <w:rFonts w:ascii="Arial" w:hAnsi="Arial" w:cs="Arial"/>
          <w:sz w:val="24"/>
          <w:szCs w:val="24"/>
        </w:rPr>
      </w:pPr>
      <w:r>
        <w:rPr>
          <w:rFonts w:ascii="Arial" w:hAnsi="Arial" w:cs="Arial"/>
          <w:sz w:val="24"/>
          <w:szCs w:val="24"/>
        </w:rPr>
        <w:t xml:space="preserve">Staff and patient expectations need to be realistic. Akin to other clinical conversations, such as the appropriateness (or not) of cardiopulmonary resuscitation, timings for discussion are not always convenient or orderly. </w:t>
      </w:r>
      <w:r w:rsidRPr="005E5DCA">
        <w:rPr>
          <w:rFonts w:ascii="Arial" w:hAnsi="Arial" w:cs="Arial"/>
          <w:sz w:val="24"/>
          <w:szCs w:val="24"/>
        </w:rPr>
        <w:t xml:space="preserve">The challenge from surveying this scenario is </w:t>
      </w:r>
      <w:r w:rsidR="00E25F0B">
        <w:rPr>
          <w:rFonts w:ascii="Arial" w:hAnsi="Arial" w:cs="Arial"/>
          <w:sz w:val="24"/>
          <w:szCs w:val="24"/>
        </w:rPr>
        <w:t>whether</w:t>
      </w:r>
      <w:r w:rsidR="00CF264B">
        <w:rPr>
          <w:rFonts w:ascii="Arial" w:hAnsi="Arial" w:cs="Arial"/>
          <w:sz w:val="24"/>
          <w:szCs w:val="24"/>
        </w:rPr>
        <w:t xml:space="preserve"> discussions are initiated where identification has occurred.</w:t>
      </w:r>
    </w:p>
    <w:p w14:paraId="0E3F88BA" w14:textId="77777777" w:rsidR="00F903E2" w:rsidRDefault="00F903E2" w:rsidP="00F903E2"/>
    <w:p w14:paraId="366CF55A" w14:textId="77777777" w:rsidR="00F903E2" w:rsidRPr="00713F63" w:rsidRDefault="00F903E2" w:rsidP="00F903E2">
      <w:pPr>
        <w:rPr>
          <w:rFonts w:ascii="Arial" w:hAnsi="Arial" w:cs="Arial"/>
          <w:sz w:val="24"/>
          <w:szCs w:val="24"/>
        </w:rPr>
      </w:pPr>
      <w:r>
        <w:rPr>
          <w:rFonts w:ascii="Arial" w:hAnsi="Arial" w:cs="Arial"/>
          <w:sz w:val="24"/>
          <w:szCs w:val="24"/>
        </w:rPr>
        <w:t>5.54</w:t>
      </w:r>
      <w:r>
        <w:rPr>
          <w:rFonts w:ascii="Arial" w:hAnsi="Arial" w:cs="Arial"/>
          <w:sz w:val="24"/>
          <w:szCs w:val="24"/>
        </w:rPr>
        <w:tab/>
      </w:r>
      <w:r w:rsidRPr="00713F63">
        <w:rPr>
          <w:rFonts w:ascii="Arial" w:hAnsi="Arial" w:cs="Arial"/>
          <w:sz w:val="24"/>
          <w:szCs w:val="24"/>
        </w:rPr>
        <w:t>Terminally Ill Adults (End of Life) Bill</w:t>
      </w:r>
    </w:p>
    <w:p w14:paraId="0D0D56DD" w14:textId="77777777" w:rsidR="00F903E2" w:rsidRPr="002B4022" w:rsidRDefault="00F903E2" w:rsidP="00F903E2">
      <w:pPr>
        <w:rPr>
          <w:rFonts w:ascii="Arial" w:hAnsi="Arial" w:cs="Arial"/>
          <w:sz w:val="24"/>
          <w:szCs w:val="24"/>
        </w:rPr>
      </w:pPr>
      <w:r w:rsidRPr="002B4022">
        <w:rPr>
          <w:rFonts w:ascii="Arial" w:hAnsi="Arial" w:cs="Arial"/>
          <w:sz w:val="24"/>
          <w:szCs w:val="24"/>
        </w:rPr>
        <w:t>Introduced by Kim Leadbeater, as a private members bill, this (at the time of writing) is at the committee stage of the process of being considered for legislation. In short, “the broad aim of the </w:t>
      </w:r>
      <w:hyperlink r:id="rId35" w:history="1">
        <w:r w:rsidRPr="002B4022">
          <w:rPr>
            <w:rFonts w:ascii="Arial" w:hAnsi="Arial" w:cs="Arial"/>
            <w:sz w:val="24"/>
            <w:szCs w:val="24"/>
          </w:rPr>
          <w:t>Terminally Ill Adults (End of Life) Bill</w:t>
        </w:r>
      </w:hyperlink>
      <w:r w:rsidRPr="002B4022">
        <w:rPr>
          <w:rFonts w:ascii="Arial" w:hAnsi="Arial" w:cs="Arial"/>
          <w:sz w:val="24"/>
          <w:szCs w:val="24"/>
        </w:rPr>
        <w:t> is to allow adults aged 18 and over, who have mental capacity, are terminally ill and are in the final six months of their life, to request assistance from a doctor to end their life.” (Lipscombe et al., 2024)</w:t>
      </w:r>
    </w:p>
    <w:p w14:paraId="53CA159B" w14:textId="77777777" w:rsidR="00F903E2" w:rsidRDefault="00F903E2" w:rsidP="00F903E2">
      <w:pPr>
        <w:rPr>
          <w:rFonts w:ascii="Arial" w:hAnsi="Arial" w:cs="Arial"/>
          <w:sz w:val="24"/>
          <w:szCs w:val="24"/>
        </w:rPr>
      </w:pPr>
      <w:r w:rsidRPr="002B4022">
        <w:rPr>
          <w:rFonts w:ascii="Arial" w:hAnsi="Arial" w:cs="Arial"/>
          <w:sz w:val="24"/>
          <w:szCs w:val="24"/>
        </w:rPr>
        <w:t>Although this appears to be a tangent, it is warranted as a theme. It may be a topical concern, with significant media discussion, at the time the semi-structured interviews were happening throughout January 2025. However, the frequency of this area as a topic merited its identification for specific discussion. Albeit a largely hypothetical discussion at this point in time, the feasibility of identifying patients within their last 12 months and prognostication as a step for access to assisted dying (potentially) were too close to each other to avoid. All, but one, of the interviews ventured into this topic.</w:t>
      </w:r>
    </w:p>
    <w:p w14:paraId="0AABB36E" w14:textId="77777777" w:rsidR="00F903E2" w:rsidRPr="002B4022" w:rsidRDefault="00F903E2" w:rsidP="00F903E2">
      <w:pPr>
        <w:rPr>
          <w:rFonts w:ascii="Arial" w:hAnsi="Arial" w:cs="Arial"/>
          <w:sz w:val="24"/>
          <w:szCs w:val="24"/>
        </w:rPr>
      </w:pPr>
    </w:p>
    <w:p w14:paraId="780F2773" w14:textId="77777777" w:rsidR="00F903E2" w:rsidRPr="002B4022"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2B4022">
        <w:rPr>
          <w:rFonts w:ascii="Arial" w:hAnsi="Arial" w:cs="Arial"/>
          <w:sz w:val="24"/>
          <w:szCs w:val="24"/>
        </w:rPr>
        <w:t>“Prognosis is such an art form. It is like looking into a crystal ball.”</w:t>
      </w:r>
    </w:p>
    <w:p w14:paraId="78695239" w14:textId="77777777" w:rsidR="00F903E2" w:rsidRPr="002B4022"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2B4022">
        <w:rPr>
          <w:rFonts w:ascii="Arial" w:hAnsi="Arial" w:cs="Arial"/>
          <w:sz w:val="18"/>
          <w:szCs w:val="18"/>
        </w:rPr>
        <w:t xml:space="preserve">(Participant 2, resident doctor in oncology) </w:t>
      </w:r>
    </w:p>
    <w:p w14:paraId="7B8440D3" w14:textId="77777777" w:rsidR="00F903E2" w:rsidRDefault="00F903E2" w:rsidP="00D9063A">
      <w:pPr>
        <w:ind w:right="804"/>
        <w:rPr>
          <w:rFonts w:ascii="Arial" w:hAnsi="Arial" w:cs="Arial"/>
          <w:sz w:val="24"/>
          <w:szCs w:val="24"/>
        </w:rPr>
      </w:pPr>
    </w:p>
    <w:p w14:paraId="1BB7E30E" w14:textId="77777777" w:rsidR="00F903E2" w:rsidRPr="002B4022"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2B4022">
        <w:rPr>
          <w:rFonts w:ascii="Arial" w:hAnsi="Arial" w:cs="Arial"/>
          <w:sz w:val="24"/>
          <w:szCs w:val="24"/>
        </w:rPr>
        <w:t xml:space="preserve">“[Prognostication] is mysterious but at the same time powerful and dangerous.” </w:t>
      </w:r>
    </w:p>
    <w:p w14:paraId="788E420F" w14:textId="77777777" w:rsidR="00F903E2" w:rsidRPr="00221B2E"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221B2E">
        <w:rPr>
          <w:rFonts w:ascii="Arial" w:hAnsi="Arial" w:cs="Arial"/>
          <w:sz w:val="18"/>
          <w:szCs w:val="18"/>
        </w:rPr>
        <w:t xml:space="preserve">(Participant 3, clinical nurse specialist) </w:t>
      </w:r>
    </w:p>
    <w:p w14:paraId="04893F93" w14:textId="77777777" w:rsidR="00F903E2" w:rsidRDefault="00F903E2" w:rsidP="00F903E2">
      <w:pPr>
        <w:ind w:left="851" w:right="804"/>
        <w:rPr>
          <w:rFonts w:ascii="Arial" w:hAnsi="Arial" w:cs="Arial"/>
          <w:sz w:val="24"/>
          <w:szCs w:val="24"/>
        </w:rPr>
      </w:pPr>
    </w:p>
    <w:p w14:paraId="2058A346" w14:textId="77777777" w:rsidR="00F903E2" w:rsidRPr="002B4022" w:rsidRDefault="00F903E2" w:rsidP="00F903E2">
      <w:pPr>
        <w:pBdr>
          <w:top w:val="single" w:sz="4" w:space="1" w:color="auto"/>
          <w:left w:val="single" w:sz="4" w:space="4" w:color="auto"/>
          <w:bottom w:val="single" w:sz="4" w:space="1" w:color="auto"/>
          <w:right w:val="single" w:sz="4" w:space="4" w:color="auto"/>
        </w:pBdr>
        <w:ind w:left="567" w:right="521"/>
        <w:rPr>
          <w:rFonts w:ascii="Arial" w:hAnsi="Arial" w:cs="Arial"/>
          <w:sz w:val="24"/>
          <w:szCs w:val="24"/>
        </w:rPr>
      </w:pPr>
      <w:r w:rsidRPr="002B4022">
        <w:rPr>
          <w:rFonts w:ascii="Arial" w:hAnsi="Arial" w:cs="Arial"/>
          <w:sz w:val="24"/>
          <w:szCs w:val="24"/>
        </w:rPr>
        <w:t>“Having some objectivity brings some reassurance about my instincts.”</w:t>
      </w:r>
    </w:p>
    <w:p w14:paraId="037C891A" w14:textId="77777777" w:rsidR="00F903E2" w:rsidRPr="00221B2E" w:rsidRDefault="00F903E2" w:rsidP="00F903E2">
      <w:pPr>
        <w:pBdr>
          <w:top w:val="single" w:sz="4" w:space="1" w:color="auto"/>
          <w:left w:val="single" w:sz="4" w:space="4" w:color="auto"/>
          <w:bottom w:val="single" w:sz="4" w:space="1" w:color="auto"/>
          <w:right w:val="single" w:sz="4" w:space="4" w:color="auto"/>
        </w:pBdr>
        <w:ind w:left="567" w:right="521"/>
        <w:jc w:val="right"/>
        <w:rPr>
          <w:rFonts w:ascii="Arial" w:hAnsi="Arial" w:cs="Arial"/>
          <w:sz w:val="18"/>
          <w:szCs w:val="18"/>
        </w:rPr>
      </w:pPr>
      <w:r w:rsidRPr="00221B2E">
        <w:rPr>
          <w:rFonts w:ascii="Arial" w:hAnsi="Arial" w:cs="Arial"/>
          <w:sz w:val="18"/>
          <w:szCs w:val="18"/>
        </w:rPr>
        <w:t>(Participant 6, consultant geriatrician)</w:t>
      </w:r>
    </w:p>
    <w:p w14:paraId="5BA467A9" w14:textId="77777777" w:rsidR="00F903E2" w:rsidRPr="002B4022" w:rsidRDefault="00F903E2" w:rsidP="00F903E2">
      <w:pPr>
        <w:rPr>
          <w:rFonts w:ascii="Arial" w:hAnsi="Arial" w:cs="Arial"/>
          <w:sz w:val="24"/>
          <w:szCs w:val="24"/>
        </w:rPr>
      </w:pPr>
    </w:p>
    <w:p w14:paraId="4D29A798" w14:textId="2F7520BE" w:rsidR="00F903E2" w:rsidRPr="002B4022" w:rsidRDefault="00F903E2" w:rsidP="00F903E2">
      <w:pPr>
        <w:rPr>
          <w:rFonts w:ascii="Arial" w:hAnsi="Arial" w:cs="Arial"/>
          <w:sz w:val="24"/>
          <w:szCs w:val="24"/>
        </w:rPr>
      </w:pPr>
      <w:r w:rsidRPr="002B4022">
        <w:rPr>
          <w:rFonts w:ascii="Arial" w:hAnsi="Arial" w:cs="Arial"/>
          <w:sz w:val="24"/>
          <w:szCs w:val="24"/>
        </w:rPr>
        <w:t xml:space="preserve">The comments pertaining to the feasibility of this tool and its consideration related to the theme here arose from seeing the quantitative figures. The detail reflected back was that if, following the data, one in five patients in hospital are likely to die within six months (setting aside the original </w:t>
      </w:r>
      <w:r w:rsidR="00797478" w:rsidRPr="002B4022">
        <w:rPr>
          <w:rFonts w:ascii="Arial" w:hAnsi="Arial" w:cs="Arial"/>
          <w:sz w:val="24"/>
          <w:szCs w:val="24"/>
        </w:rPr>
        <w:t>twelve-month</w:t>
      </w:r>
      <w:r w:rsidRPr="002B4022">
        <w:rPr>
          <w:rFonts w:ascii="Arial" w:hAnsi="Arial" w:cs="Arial"/>
          <w:sz w:val="24"/>
          <w:szCs w:val="24"/>
        </w:rPr>
        <w:t xml:space="preserve"> parameter), can these then be identified to enable objectiveness. Here the overlap of themes begins to become more evident. Individuals then have the (potential) option to consider assisted dying, even if it is not introduced explicitly; but without the onus of prognostication on clinicians. </w:t>
      </w:r>
    </w:p>
    <w:p w14:paraId="520F4CF5" w14:textId="77777777" w:rsidR="00F903E2" w:rsidRPr="002B4022" w:rsidRDefault="00F903E2" w:rsidP="00F903E2">
      <w:pPr>
        <w:spacing w:after="0"/>
        <w:rPr>
          <w:rFonts w:ascii="Arial" w:hAnsi="Arial" w:cs="Arial"/>
          <w:sz w:val="24"/>
          <w:szCs w:val="24"/>
        </w:rPr>
      </w:pPr>
      <w:r w:rsidRPr="002B4022">
        <w:rPr>
          <w:rFonts w:ascii="Arial" w:hAnsi="Arial" w:cs="Arial"/>
          <w:sz w:val="24"/>
          <w:szCs w:val="24"/>
        </w:rPr>
        <w:t xml:space="preserve">In the interviews, clinicians did acknowledge that they have been surprised by both: </w:t>
      </w:r>
    </w:p>
    <w:p w14:paraId="30082B92" w14:textId="77777777" w:rsidR="00F903E2" w:rsidRPr="002B4022" w:rsidRDefault="00F903E2" w:rsidP="00F903E2">
      <w:pPr>
        <w:pStyle w:val="ListParagraph"/>
        <w:numPr>
          <w:ilvl w:val="1"/>
          <w:numId w:val="10"/>
        </w:numPr>
        <w:rPr>
          <w:rFonts w:ascii="Arial" w:hAnsi="Arial" w:cs="Arial"/>
          <w:sz w:val="24"/>
          <w:szCs w:val="24"/>
        </w:rPr>
      </w:pPr>
      <w:r w:rsidRPr="002B4022">
        <w:rPr>
          <w:rFonts w:ascii="Arial" w:hAnsi="Arial" w:cs="Arial"/>
          <w:sz w:val="24"/>
          <w:szCs w:val="24"/>
        </w:rPr>
        <w:t xml:space="preserve">patients ‘outliving’ expectations, and, </w:t>
      </w:r>
    </w:p>
    <w:p w14:paraId="447C4E57" w14:textId="77777777" w:rsidR="00F903E2" w:rsidRPr="002B4022" w:rsidRDefault="00F903E2" w:rsidP="00F903E2">
      <w:pPr>
        <w:pStyle w:val="ListParagraph"/>
        <w:numPr>
          <w:ilvl w:val="1"/>
          <w:numId w:val="10"/>
        </w:numPr>
        <w:rPr>
          <w:rFonts w:ascii="Arial" w:hAnsi="Arial" w:cs="Arial"/>
          <w:sz w:val="24"/>
          <w:szCs w:val="24"/>
        </w:rPr>
      </w:pPr>
      <w:r w:rsidRPr="002B4022">
        <w:rPr>
          <w:rFonts w:ascii="Arial" w:hAnsi="Arial" w:cs="Arial"/>
          <w:sz w:val="24"/>
          <w:szCs w:val="24"/>
        </w:rPr>
        <w:t>patients dying sooner than anticipated.</w:t>
      </w:r>
    </w:p>
    <w:p w14:paraId="6FD63253" w14:textId="77777777" w:rsidR="00F903E2" w:rsidRPr="002B4022" w:rsidRDefault="00F903E2" w:rsidP="00F903E2">
      <w:pPr>
        <w:rPr>
          <w:rFonts w:ascii="Arial" w:hAnsi="Arial" w:cs="Arial"/>
          <w:sz w:val="24"/>
          <w:szCs w:val="24"/>
        </w:rPr>
      </w:pPr>
      <w:r w:rsidRPr="002B4022">
        <w:rPr>
          <w:rFonts w:ascii="Arial" w:hAnsi="Arial" w:cs="Arial"/>
          <w:sz w:val="24"/>
          <w:szCs w:val="24"/>
        </w:rPr>
        <w:t>Another comment was that an expected date of death was less reliable than the expected date of delivery for a baby. The reflection being that if the accuracy for the estimated date of birth is less than 5% (</w:t>
      </w:r>
      <w:r w:rsidRPr="002B4022">
        <w:rPr>
          <w:rFonts w:ascii="Arial" w:hAnsi="Arial" w:cs="Arial"/>
          <w:color w:val="212121"/>
          <w:sz w:val="24"/>
          <w:szCs w:val="24"/>
          <w:shd w:val="clear" w:color="auto" w:fill="FFFFFF"/>
        </w:rPr>
        <w:t>regardless of the dating method or timing of the dating) (</w:t>
      </w:r>
      <w:proofErr w:type="spellStart"/>
      <w:r w:rsidRPr="002B4022">
        <w:rPr>
          <w:rFonts w:ascii="Arial" w:hAnsi="Arial" w:cs="Arial"/>
          <w:sz w:val="24"/>
          <w:szCs w:val="24"/>
        </w:rPr>
        <w:t>Khambalia</w:t>
      </w:r>
      <w:proofErr w:type="spellEnd"/>
      <w:r w:rsidRPr="002B4022">
        <w:rPr>
          <w:rFonts w:ascii="Arial" w:hAnsi="Arial" w:cs="Arial"/>
          <w:color w:val="212121"/>
          <w:sz w:val="24"/>
          <w:szCs w:val="24"/>
          <w:shd w:val="clear" w:color="auto" w:fill="FFFFFF"/>
        </w:rPr>
        <w:t xml:space="preserve"> et al., 2013) with its more linear parameters, then what credibility does a doctor’s opinion add. This reinforces the value of the tool as an adjunct to clinical assessment.</w:t>
      </w:r>
    </w:p>
    <w:p w14:paraId="07558860" w14:textId="77777777" w:rsidR="00F903E2" w:rsidRPr="006D5574" w:rsidRDefault="00F903E2" w:rsidP="00F903E2">
      <w:pPr>
        <w:rPr>
          <w:rFonts w:ascii="Arial" w:hAnsi="Arial" w:cs="Arial"/>
          <w:sz w:val="24"/>
          <w:szCs w:val="24"/>
        </w:rPr>
      </w:pPr>
      <w:r w:rsidRPr="002B4022">
        <w:rPr>
          <w:rFonts w:ascii="Arial" w:hAnsi="Arial" w:cs="Arial"/>
          <w:sz w:val="24"/>
          <w:szCs w:val="24"/>
        </w:rPr>
        <w:t xml:space="preserve">This application would be an extension of advance care planning. Its use in this respect would present a significant challenge given the diverse positions regarding assisted dying. Its adoption would be constrained as the British Geriatrics Society (2024) and the Association of Palliative Medicine (2024) both oppose the legislation </w:t>
      </w:r>
      <w:r w:rsidRPr="00713F63">
        <w:rPr>
          <w:rFonts w:ascii="Arial" w:hAnsi="Arial" w:cs="Arial"/>
          <w:sz w:val="24"/>
          <w:szCs w:val="24"/>
        </w:rPr>
        <w:t>currently being considered.</w:t>
      </w:r>
    </w:p>
    <w:p w14:paraId="775D85D7" w14:textId="77777777" w:rsidR="00F903E2" w:rsidRPr="006D5574" w:rsidRDefault="00F903E2" w:rsidP="00F903E2">
      <w:pPr>
        <w:rPr>
          <w:rFonts w:ascii="Arial" w:hAnsi="Arial" w:cs="Arial"/>
          <w:sz w:val="24"/>
          <w:szCs w:val="24"/>
        </w:rPr>
      </w:pPr>
    </w:p>
    <w:p w14:paraId="59E4876F" w14:textId="77777777" w:rsidR="00F903E2" w:rsidRPr="0012729F" w:rsidRDefault="00F903E2" w:rsidP="00F903E2">
      <w:pPr>
        <w:rPr>
          <w:rFonts w:ascii="Arial" w:hAnsi="Arial" w:cs="Arial"/>
          <w:sz w:val="24"/>
          <w:szCs w:val="24"/>
        </w:rPr>
      </w:pPr>
      <w:r w:rsidRPr="0012729F">
        <w:rPr>
          <w:rFonts w:ascii="Arial" w:hAnsi="Arial" w:cs="Arial"/>
          <w:sz w:val="24"/>
          <w:szCs w:val="24"/>
        </w:rPr>
        <w:t>5.55</w:t>
      </w:r>
      <w:r w:rsidRPr="0012729F">
        <w:rPr>
          <w:rFonts w:ascii="Arial" w:hAnsi="Arial" w:cs="Arial"/>
          <w:sz w:val="24"/>
          <w:szCs w:val="24"/>
        </w:rPr>
        <w:tab/>
        <w:t>E</w:t>
      </w:r>
      <w:r>
        <w:rPr>
          <w:rFonts w:ascii="Arial" w:hAnsi="Arial" w:cs="Arial"/>
          <w:sz w:val="24"/>
          <w:szCs w:val="24"/>
        </w:rPr>
        <w:t>thical dilemmas</w:t>
      </w:r>
    </w:p>
    <w:p w14:paraId="2F2C90C1" w14:textId="1F18A056" w:rsidR="00F903E2" w:rsidRDefault="00F903E2" w:rsidP="00F903E2">
      <w:pPr>
        <w:rPr>
          <w:rFonts w:ascii="Arial" w:hAnsi="Arial" w:cs="Arial"/>
          <w:sz w:val="24"/>
          <w:szCs w:val="24"/>
        </w:rPr>
      </w:pPr>
      <w:r w:rsidRPr="0064665A">
        <w:rPr>
          <w:rFonts w:ascii="Arial" w:hAnsi="Arial" w:cs="Arial"/>
          <w:sz w:val="24"/>
          <w:szCs w:val="24"/>
        </w:rPr>
        <w:t xml:space="preserve">Ethical concerns underpin a number of the hesitancies regarding application of this tool that were raised within these interviews. Not to say that they are insurmountable, but understanding these anxieties will help guide the further development of this project. The concept itself does not raise disquiet, but the feasibility of its use is less clear. These ethical considerations were implicit rather than explicit, even if sidestepping the conundrum regarding assisted dying. They will, briefly, be touched upon using the traditional (Gillon, 1994) </w:t>
      </w:r>
      <w:proofErr w:type="spellStart"/>
      <w:r w:rsidRPr="0064665A">
        <w:rPr>
          <w:rFonts w:ascii="Arial" w:hAnsi="Arial" w:cs="Arial"/>
          <w:sz w:val="24"/>
          <w:szCs w:val="24"/>
        </w:rPr>
        <w:t>principlist</w:t>
      </w:r>
      <w:proofErr w:type="spellEnd"/>
      <w:r w:rsidRPr="0064665A">
        <w:rPr>
          <w:rFonts w:ascii="Arial" w:hAnsi="Arial" w:cs="Arial"/>
          <w:sz w:val="24"/>
          <w:szCs w:val="24"/>
        </w:rPr>
        <w:t xml:space="preserve"> framework.</w:t>
      </w:r>
    </w:p>
    <w:p w14:paraId="5BBA1760" w14:textId="77777777" w:rsidR="00F903E2" w:rsidRPr="0012729F" w:rsidRDefault="00F903E2" w:rsidP="00F903E2">
      <w:pPr>
        <w:pStyle w:val="ListParagraph"/>
        <w:numPr>
          <w:ilvl w:val="0"/>
          <w:numId w:val="14"/>
        </w:numPr>
        <w:rPr>
          <w:rFonts w:ascii="Arial" w:hAnsi="Arial" w:cs="Arial"/>
          <w:sz w:val="24"/>
          <w:szCs w:val="24"/>
        </w:rPr>
      </w:pPr>
      <w:r w:rsidRPr="0012729F">
        <w:rPr>
          <w:rFonts w:ascii="Arial" w:hAnsi="Arial" w:cs="Arial"/>
          <w:sz w:val="24"/>
          <w:szCs w:val="24"/>
        </w:rPr>
        <w:lastRenderedPageBreak/>
        <w:t>Respect for autonomy</w:t>
      </w:r>
    </w:p>
    <w:p w14:paraId="0D1FA0DC" w14:textId="2F6BBF62" w:rsidR="00F903E2" w:rsidRDefault="00F903E2" w:rsidP="00F903E2">
      <w:pPr>
        <w:rPr>
          <w:rFonts w:ascii="Arial" w:hAnsi="Arial" w:cs="Arial"/>
          <w:color w:val="212121"/>
          <w:sz w:val="24"/>
          <w:szCs w:val="24"/>
          <w:shd w:val="clear" w:color="auto" w:fill="FFFFFF"/>
        </w:rPr>
      </w:pPr>
      <w:r w:rsidRPr="0064665A">
        <w:rPr>
          <w:rFonts w:ascii="Arial" w:hAnsi="Arial" w:cs="Arial"/>
          <w:sz w:val="24"/>
          <w:szCs w:val="24"/>
        </w:rPr>
        <w:t>Even restricting this section to the two participants – the professional and the patient – there are knots to tie oneself in. Accepting that there is professional insight about prognosis, then the patient has a right to know. However, the patient may not want to know the details so imposing the conversation would be inappropriate. The extent to which the patient can then make informed decisions is debatable. Paradoxically the expectation of the professional’s role and their autonomy are equal components to this conversation. This is not simply about having the necessary skills in communication, but rather respecting the professional relationship. The ethical challenge is that this approach promotes depersonalisation of care, or just practicing by numbers (or algorithm). The charge of ‘paternalism’ hangs heavily. Returning to the value of relationship, some of the emphasis moves from paternalism to maternalism. These are not gender specific labels – just as any clinician can be paternalistic, maternalism is not the preserve of the female.  Succinctly, “</w:t>
      </w:r>
      <w:r w:rsidRPr="0064665A">
        <w:rPr>
          <w:rFonts w:ascii="Arial" w:hAnsi="Arial" w:cs="Arial"/>
          <w:color w:val="212121"/>
          <w:sz w:val="24"/>
          <w:szCs w:val="24"/>
          <w:shd w:val="clear" w:color="auto" w:fill="FFFFFF"/>
        </w:rPr>
        <w:t>to act maternalistically is to decide for another person based on a reasonable understanding of that person's own preferences.” (Sullivan, 2016)</w:t>
      </w:r>
    </w:p>
    <w:p w14:paraId="5399D357" w14:textId="77777777" w:rsidR="003A301E" w:rsidRPr="0064665A" w:rsidRDefault="003A301E" w:rsidP="00F903E2">
      <w:pPr>
        <w:rPr>
          <w:rFonts w:ascii="Arial" w:hAnsi="Arial" w:cs="Arial"/>
          <w:sz w:val="24"/>
          <w:szCs w:val="24"/>
        </w:rPr>
      </w:pPr>
    </w:p>
    <w:p w14:paraId="116AC961" w14:textId="77777777" w:rsidR="00F903E2" w:rsidRPr="0012729F" w:rsidRDefault="00F903E2" w:rsidP="00F903E2">
      <w:pPr>
        <w:pStyle w:val="ListParagraph"/>
        <w:numPr>
          <w:ilvl w:val="0"/>
          <w:numId w:val="13"/>
        </w:numPr>
        <w:rPr>
          <w:rFonts w:ascii="Arial" w:hAnsi="Arial" w:cs="Arial"/>
          <w:sz w:val="24"/>
          <w:szCs w:val="24"/>
        </w:rPr>
      </w:pPr>
      <w:r w:rsidRPr="0012729F">
        <w:rPr>
          <w:rFonts w:ascii="Arial" w:hAnsi="Arial" w:cs="Arial"/>
          <w:sz w:val="24"/>
          <w:szCs w:val="24"/>
        </w:rPr>
        <w:t xml:space="preserve">Beneficence and non-maleficence </w:t>
      </w:r>
    </w:p>
    <w:p w14:paraId="48BC3D38" w14:textId="77777777" w:rsidR="00F903E2" w:rsidRPr="0064665A" w:rsidRDefault="00F903E2" w:rsidP="00F903E2">
      <w:pPr>
        <w:rPr>
          <w:rFonts w:ascii="Arial" w:hAnsi="Arial" w:cs="Arial"/>
          <w:sz w:val="24"/>
          <w:szCs w:val="24"/>
        </w:rPr>
      </w:pPr>
      <w:r w:rsidRPr="0064665A">
        <w:rPr>
          <w:rFonts w:ascii="Arial" w:hAnsi="Arial" w:cs="Arial"/>
          <w:sz w:val="24"/>
          <w:szCs w:val="24"/>
        </w:rPr>
        <w:t xml:space="preserve">The good that might be available is greater patient empowerment. The opportunity to focus care, and the care environment, so that time is spent meaningfully (which is an individual interpretation, and not to be presupposed) and wider clinical management anticipated. Transparency between all those in the scenario is another (idealistic) benefit. And finally, similar to having a diagnosis, an ‘answer’ provides a tangible focus and clarity on which plans can be built. </w:t>
      </w:r>
    </w:p>
    <w:p w14:paraId="788562E9" w14:textId="4F4D880C" w:rsidR="00F903E2" w:rsidRDefault="00F903E2" w:rsidP="00F903E2">
      <w:pPr>
        <w:rPr>
          <w:rFonts w:ascii="Arial" w:hAnsi="Arial" w:cs="Arial"/>
          <w:sz w:val="24"/>
          <w:szCs w:val="24"/>
          <w:bdr w:val="none" w:sz="0" w:space="0" w:color="auto" w:frame="1"/>
          <w:shd w:val="clear" w:color="auto" w:fill="FFFFFF"/>
        </w:rPr>
      </w:pPr>
      <w:r w:rsidRPr="0064665A">
        <w:rPr>
          <w:rFonts w:ascii="Arial" w:hAnsi="Arial" w:cs="Arial"/>
          <w:sz w:val="24"/>
          <w:szCs w:val="24"/>
        </w:rPr>
        <w:t>There is also potential harm inherent in this conversation. The ‘burden’ of knowing time is short could limit the ability to live fulfilled. The psychological sequelae would not be reversible. So, although there is a tendency to ‘bury heads in the sand’ (</w:t>
      </w:r>
      <w:r w:rsidRPr="0064665A">
        <w:rPr>
          <w:rFonts w:ascii="Arial" w:hAnsi="Arial" w:cs="Arial"/>
          <w:sz w:val="24"/>
          <w:szCs w:val="24"/>
          <w:bdr w:val="none" w:sz="0" w:space="0" w:color="auto" w:frame="1"/>
          <w:shd w:val="clear" w:color="auto" w:fill="FFFFFF"/>
        </w:rPr>
        <w:t>61% of people in Wales do not have a will (Nation Cymru, 2023)), ignoring something does not change the inevitability of the future. There is an ethical responsibility for some awareness about the future.</w:t>
      </w:r>
    </w:p>
    <w:p w14:paraId="6C690D39" w14:textId="77777777" w:rsidR="003A301E" w:rsidRPr="0064665A" w:rsidRDefault="003A301E" w:rsidP="00F903E2">
      <w:pPr>
        <w:rPr>
          <w:rFonts w:ascii="Arial" w:hAnsi="Arial" w:cs="Arial"/>
          <w:sz w:val="24"/>
          <w:szCs w:val="24"/>
          <w:bdr w:val="none" w:sz="0" w:space="0" w:color="auto" w:frame="1"/>
          <w:shd w:val="clear" w:color="auto" w:fill="FFFFFF"/>
        </w:rPr>
      </w:pPr>
    </w:p>
    <w:p w14:paraId="30306F1E" w14:textId="77777777" w:rsidR="00F903E2" w:rsidRPr="0012729F" w:rsidRDefault="00F903E2" w:rsidP="00F903E2">
      <w:pPr>
        <w:pStyle w:val="ListParagraph"/>
        <w:numPr>
          <w:ilvl w:val="0"/>
          <w:numId w:val="12"/>
        </w:numPr>
        <w:rPr>
          <w:rFonts w:ascii="Arial" w:hAnsi="Arial" w:cs="Arial"/>
          <w:sz w:val="24"/>
          <w:szCs w:val="24"/>
        </w:rPr>
      </w:pPr>
      <w:r w:rsidRPr="0012729F">
        <w:rPr>
          <w:rFonts w:ascii="Arial" w:hAnsi="Arial" w:cs="Arial"/>
          <w:sz w:val="24"/>
          <w:szCs w:val="24"/>
        </w:rPr>
        <w:t>Justice</w:t>
      </w:r>
    </w:p>
    <w:p w14:paraId="4D23B015" w14:textId="77777777" w:rsidR="00F903E2" w:rsidRPr="0064665A" w:rsidRDefault="00F903E2" w:rsidP="00F903E2">
      <w:pPr>
        <w:rPr>
          <w:rFonts w:ascii="Arial" w:hAnsi="Arial" w:cs="Arial"/>
          <w:sz w:val="24"/>
          <w:szCs w:val="24"/>
        </w:rPr>
      </w:pPr>
      <w:r w:rsidRPr="0064665A">
        <w:rPr>
          <w:rFonts w:ascii="Arial" w:hAnsi="Arial" w:cs="Arial"/>
          <w:sz w:val="24"/>
          <w:szCs w:val="24"/>
        </w:rPr>
        <w:t>Resources bring their own ethical permutations at both the individual and societal levels. Although the focus is on the individual patient there will be implications for the wider health service. The consequence of supporting a patient to stay out of hospital is that there is one less inpatient. This will then be available for someone else. The associated costs of ambulance, investigation, medication, admission and staff time can be ‘saved’. However, despite this ‘saving’, the reality is that there are not enough resources to fully support care in the community. Whether it is hands-on care needs, supporting equipment or access to medical review, the system is wanting. The ethical concern is that the ideal makes assurances that cannot be fulfilled.</w:t>
      </w:r>
    </w:p>
    <w:p w14:paraId="0B97EAEE" w14:textId="3B75F543" w:rsidR="00F903E2" w:rsidRPr="004B642E" w:rsidRDefault="00F903E2" w:rsidP="00F903E2">
      <w:pPr>
        <w:rPr>
          <w:rFonts w:ascii="Arial" w:hAnsi="Arial" w:cs="Arial"/>
          <w:sz w:val="24"/>
          <w:szCs w:val="24"/>
        </w:rPr>
      </w:pPr>
      <w:r w:rsidRPr="0064665A">
        <w:rPr>
          <w:rFonts w:ascii="Arial" w:hAnsi="Arial" w:cs="Arial"/>
          <w:sz w:val="24"/>
          <w:szCs w:val="24"/>
        </w:rPr>
        <w:lastRenderedPageBreak/>
        <w:t xml:space="preserve">The </w:t>
      </w:r>
      <w:proofErr w:type="spellStart"/>
      <w:r w:rsidRPr="0064665A">
        <w:rPr>
          <w:rFonts w:ascii="Arial" w:hAnsi="Arial" w:cs="Arial"/>
          <w:sz w:val="24"/>
          <w:szCs w:val="24"/>
        </w:rPr>
        <w:t>principlist</w:t>
      </w:r>
      <w:proofErr w:type="spellEnd"/>
      <w:r w:rsidRPr="0064665A">
        <w:rPr>
          <w:rFonts w:ascii="Arial" w:hAnsi="Arial" w:cs="Arial"/>
          <w:sz w:val="24"/>
          <w:szCs w:val="24"/>
        </w:rPr>
        <w:t xml:space="preserve"> approach to ethics provides a number of soapboxes to appreciate. It does not provide a resolution or guide as to how they may be navigated. This section hig</w:t>
      </w:r>
      <w:r w:rsidR="00797478">
        <w:rPr>
          <w:rFonts w:ascii="Arial" w:hAnsi="Arial" w:cs="Arial"/>
          <w:sz w:val="24"/>
          <w:szCs w:val="24"/>
        </w:rPr>
        <w:t>h</w:t>
      </w:r>
      <w:r w:rsidRPr="0064665A">
        <w:rPr>
          <w:rFonts w:ascii="Arial" w:hAnsi="Arial" w:cs="Arial"/>
          <w:sz w:val="24"/>
          <w:szCs w:val="24"/>
        </w:rPr>
        <w:t xml:space="preserve">lights the debate that exists, and will continue to exist, with any aspect of </w:t>
      </w:r>
      <w:r w:rsidRPr="004B642E">
        <w:rPr>
          <w:rFonts w:ascii="Arial" w:hAnsi="Arial" w:cs="Arial"/>
          <w:sz w:val="24"/>
          <w:szCs w:val="24"/>
        </w:rPr>
        <w:t>healthcare. Different people (whether patient or professional) will have differing outlooks, which may well change over time. This will remain an unknown unknown.</w:t>
      </w:r>
    </w:p>
    <w:p w14:paraId="5E1C6A20" w14:textId="77777777" w:rsidR="00F903E2" w:rsidRPr="004B642E" w:rsidRDefault="00F903E2" w:rsidP="00F903E2">
      <w:pPr>
        <w:rPr>
          <w:rFonts w:ascii="Arial" w:hAnsi="Arial" w:cs="Arial"/>
          <w:sz w:val="24"/>
          <w:szCs w:val="24"/>
        </w:rPr>
      </w:pPr>
    </w:p>
    <w:p w14:paraId="03203A46" w14:textId="77777777" w:rsidR="00F903E2" w:rsidRPr="006E087E" w:rsidRDefault="00F903E2" w:rsidP="00F903E2">
      <w:pPr>
        <w:rPr>
          <w:rFonts w:ascii="Arial" w:hAnsi="Arial" w:cs="Arial"/>
          <w:sz w:val="24"/>
          <w:szCs w:val="24"/>
        </w:rPr>
      </w:pPr>
      <w:r w:rsidRPr="006E087E">
        <w:rPr>
          <w:rFonts w:ascii="Arial" w:hAnsi="Arial" w:cs="Arial"/>
          <w:sz w:val="24"/>
          <w:szCs w:val="24"/>
        </w:rPr>
        <w:t>5.6</w:t>
      </w:r>
      <w:r w:rsidRPr="006E087E">
        <w:rPr>
          <w:rFonts w:ascii="Arial" w:hAnsi="Arial" w:cs="Arial"/>
          <w:sz w:val="24"/>
          <w:szCs w:val="24"/>
        </w:rPr>
        <w:tab/>
        <w:t>Limitations (and delimitations)</w:t>
      </w:r>
    </w:p>
    <w:p w14:paraId="06685172" w14:textId="77777777" w:rsidR="00F903E2" w:rsidRPr="006E087E" w:rsidRDefault="00F903E2" w:rsidP="00F903E2">
      <w:pPr>
        <w:rPr>
          <w:rFonts w:ascii="Arial" w:hAnsi="Arial" w:cs="Arial"/>
          <w:sz w:val="24"/>
          <w:szCs w:val="24"/>
        </w:rPr>
      </w:pPr>
      <w:r w:rsidRPr="006E087E">
        <w:rPr>
          <w:rFonts w:ascii="Arial" w:hAnsi="Arial" w:cs="Arial"/>
          <w:sz w:val="24"/>
          <w:szCs w:val="24"/>
        </w:rPr>
        <w:t>Delimitations, initially, as conscious choices in this project were necessary to focus the scope of this research (Creswell, 2003). Assessing the inpatient population at a specific time point, as in this research, was an opportune conscious choice. Herein lies an opportunity, amongst several, for extending this potential tool. For example, considering a primary care population, or a cohort within that group, could identify additional foci where this tool might be utilised.</w:t>
      </w:r>
    </w:p>
    <w:p w14:paraId="6B0936DD" w14:textId="77777777" w:rsidR="00F903E2" w:rsidRPr="006E087E" w:rsidRDefault="00F903E2" w:rsidP="00F903E2">
      <w:pPr>
        <w:rPr>
          <w:rFonts w:ascii="Arial" w:hAnsi="Arial" w:cs="Arial"/>
          <w:sz w:val="24"/>
          <w:szCs w:val="24"/>
        </w:rPr>
      </w:pPr>
      <w:r w:rsidRPr="006E087E">
        <w:rPr>
          <w:rFonts w:ascii="Arial" w:hAnsi="Arial" w:cs="Arial"/>
          <w:sz w:val="24"/>
          <w:szCs w:val="24"/>
        </w:rPr>
        <w:t xml:space="preserve">A further conscious choice was with the semi-structured interviews. These, however, simultaneously bring limitations as they introduce factors outside the researcher’s control. There was convenience sampling (Edgar and </w:t>
      </w:r>
      <w:proofErr w:type="spellStart"/>
      <w:r w:rsidRPr="006E087E">
        <w:rPr>
          <w:rFonts w:ascii="Arial" w:hAnsi="Arial" w:cs="Arial"/>
          <w:sz w:val="24"/>
          <w:szCs w:val="24"/>
        </w:rPr>
        <w:t>Manz</w:t>
      </w:r>
      <w:proofErr w:type="spellEnd"/>
      <w:r w:rsidRPr="006E087E">
        <w:rPr>
          <w:rFonts w:ascii="Arial" w:hAnsi="Arial" w:cs="Arial"/>
          <w:sz w:val="24"/>
          <w:szCs w:val="24"/>
        </w:rPr>
        <w:t>, 2017) which, by definition, removed any randomness and biased the representation of views – at least two limitations. Mitigation, by engaging more individuals and departments, would have been possible given a larger timeframe. Expanding the perspectives on the feasibility of the prognostication aid being proposed is already anticipated. The value of integrating such a tool clinically warrants further attention given the Welsh Government’s priorities for 2025 (HEIW, 2025). In extending this project drawing on the experience and resources of the wider academic team will mitigate another limitation – the limited ability of the interviewer. Although a number of a physician’s ‘soft skills’ are transferable (Moberly, 2016), there are professionals able to elicit greater depth within the research context. Independently optimising the input from those willing to invest is a duty as much as a service.</w:t>
      </w:r>
    </w:p>
    <w:p w14:paraId="5B8AB2D0" w14:textId="76916BEE" w:rsidR="00F903E2" w:rsidRPr="006E087E" w:rsidRDefault="00F903E2" w:rsidP="00F903E2">
      <w:pPr>
        <w:spacing w:after="0"/>
        <w:rPr>
          <w:rFonts w:ascii="Arial" w:hAnsi="Arial" w:cs="Arial"/>
          <w:sz w:val="24"/>
          <w:szCs w:val="24"/>
        </w:rPr>
      </w:pPr>
      <w:r w:rsidRPr="006E087E">
        <w:rPr>
          <w:rFonts w:ascii="Arial" w:hAnsi="Arial" w:cs="Arial"/>
          <w:sz w:val="24"/>
          <w:szCs w:val="24"/>
        </w:rPr>
        <w:t xml:space="preserve">Underpinning several of these limitations is the constraint of time. </w:t>
      </w:r>
      <w:r w:rsidR="00797478" w:rsidRPr="006E087E">
        <w:rPr>
          <w:rFonts w:ascii="Arial" w:hAnsi="Arial" w:cs="Arial"/>
          <w:sz w:val="24"/>
          <w:szCs w:val="24"/>
        </w:rPr>
        <w:t>Specifically,</w:t>
      </w:r>
      <w:r w:rsidRPr="006E087E">
        <w:rPr>
          <w:rFonts w:ascii="Arial" w:hAnsi="Arial" w:cs="Arial"/>
          <w:sz w:val="24"/>
          <w:szCs w:val="24"/>
        </w:rPr>
        <w:t xml:space="preserve"> the constraint of time in accommodating the dissertation timetable within the academic year. Time constraints have:</w:t>
      </w:r>
    </w:p>
    <w:p w14:paraId="72FAADE6" w14:textId="77777777" w:rsidR="00F903E2" w:rsidRPr="006E087E" w:rsidRDefault="00F903E2" w:rsidP="00F903E2">
      <w:pPr>
        <w:pStyle w:val="ListParagraph"/>
        <w:numPr>
          <w:ilvl w:val="0"/>
          <w:numId w:val="16"/>
        </w:numPr>
        <w:rPr>
          <w:rFonts w:ascii="Arial" w:hAnsi="Arial" w:cs="Arial"/>
          <w:sz w:val="24"/>
          <w:szCs w:val="24"/>
        </w:rPr>
      </w:pPr>
      <w:r w:rsidRPr="006E087E">
        <w:rPr>
          <w:rFonts w:ascii="Arial" w:hAnsi="Arial" w:cs="Arial"/>
          <w:sz w:val="24"/>
          <w:szCs w:val="24"/>
        </w:rPr>
        <w:t xml:space="preserve">limited the ability to challenge discrepancies (such as data being drawn from 2024 rather than 2023, as requested); </w:t>
      </w:r>
    </w:p>
    <w:p w14:paraId="15EE56AE" w14:textId="77777777" w:rsidR="00F903E2" w:rsidRPr="006E087E" w:rsidRDefault="00F903E2" w:rsidP="00F903E2">
      <w:pPr>
        <w:pStyle w:val="ListParagraph"/>
        <w:numPr>
          <w:ilvl w:val="0"/>
          <w:numId w:val="16"/>
        </w:numPr>
        <w:rPr>
          <w:rFonts w:ascii="Arial" w:hAnsi="Arial" w:cs="Arial"/>
          <w:sz w:val="24"/>
          <w:szCs w:val="24"/>
        </w:rPr>
      </w:pPr>
      <w:r w:rsidRPr="006E087E">
        <w:rPr>
          <w:rFonts w:ascii="Arial" w:hAnsi="Arial" w:cs="Arial"/>
          <w:sz w:val="24"/>
          <w:szCs w:val="24"/>
        </w:rPr>
        <w:t xml:space="preserve">restricted the number and range of semi-structured interviews conducted; </w:t>
      </w:r>
    </w:p>
    <w:p w14:paraId="73800A14" w14:textId="77777777" w:rsidR="00F903E2" w:rsidRPr="006E087E" w:rsidRDefault="00F903E2" w:rsidP="00F903E2">
      <w:pPr>
        <w:pStyle w:val="ListParagraph"/>
        <w:numPr>
          <w:ilvl w:val="0"/>
          <w:numId w:val="16"/>
        </w:numPr>
        <w:rPr>
          <w:rFonts w:ascii="Arial" w:hAnsi="Arial" w:cs="Arial"/>
          <w:sz w:val="24"/>
          <w:szCs w:val="24"/>
        </w:rPr>
      </w:pPr>
      <w:r w:rsidRPr="006E087E">
        <w:rPr>
          <w:rFonts w:ascii="Arial" w:hAnsi="Arial" w:cs="Arial"/>
          <w:sz w:val="24"/>
          <w:szCs w:val="24"/>
        </w:rPr>
        <w:t>minimised the potential for review and refinement of the interview template;</w:t>
      </w:r>
    </w:p>
    <w:p w14:paraId="120F9C4D" w14:textId="77777777" w:rsidR="00F903E2" w:rsidRPr="006E087E" w:rsidRDefault="00F903E2" w:rsidP="00F903E2">
      <w:pPr>
        <w:pStyle w:val="ListParagraph"/>
        <w:numPr>
          <w:ilvl w:val="0"/>
          <w:numId w:val="16"/>
        </w:numPr>
        <w:rPr>
          <w:rFonts w:ascii="Arial" w:hAnsi="Arial" w:cs="Arial"/>
          <w:sz w:val="24"/>
          <w:szCs w:val="24"/>
        </w:rPr>
      </w:pPr>
      <w:r w:rsidRPr="006E087E">
        <w:rPr>
          <w:rFonts w:ascii="Arial" w:hAnsi="Arial" w:cs="Arial"/>
          <w:sz w:val="24"/>
          <w:szCs w:val="24"/>
        </w:rPr>
        <w:t>prevented clarification of interviewees points or phrases.</w:t>
      </w:r>
    </w:p>
    <w:p w14:paraId="25E32161" w14:textId="15B97AA6" w:rsidR="00F903E2" w:rsidRPr="006E087E" w:rsidRDefault="00F903E2" w:rsidP="00F903E2">
      <w:pPr>
        <w:rPr>
          <w:rFonts w:ascii="Arial" w:hAnsi="Arial" w:cs="Arial"/>
          <w:sz w:val="24"/>
          <w:szCs w:val="24"/>
        </w:rPr>
      </w:pPr>
      <w:r w:rsidRPr="006E087E">
        <w:rPr>
          <w:rFonts w:ascii="Arial" w:hAnsi="Arial" w:cs="Arial"/>
          <w:sz w:val="24"/>
          <w:szCs w:val="24"/>
        </w:rPr>
        <w:t xml:space="preserve">This section is an acknowledgement that the assessment of the feasibility of a prognostication aid </w:t>
      </w:r>
      <w:r w:rsidR="00A71751">
        <w:rPr>
          <w:rFonts w:ascii="Arial" w:hAnsi="Arial" w:cs="Arial"/>
          <w:sz w:val="24"/>
          <w:szCs w:val="24"/>
        </w:rPr>
        <w:t>to</w:t>
      </w:r>
      <w:r w:rsidRPr="006E087E">
        <w:rPr>
          <w:rFonts w:ascii="Arial" w:hAnsi="Arial" w:cs="Arial"/>
          <w:sz w:val="24"/>
          <w:szCs w:val="24"/>
        </w:rPr>
        <w:t xml:space="preserve"> promot</w:t>
      </w:r>
      <w:r w:rsidR="00A71751">
        <w:rPr>
          <w:rFonts w:ascii="Arial" w:hAnsi="Arial" w:cs="Arial"/>
          <w:sz w:val="24"/>
          <w:szCs w:val="24"/>
        </w:rPr>
        <w:t>e</w:t>
      </w:r>
      <w:r w:rsidRPr="006E087E">
        <w:rPr>
          <w:rFonts w:ascii="Arial" w:hAnsi="Arial" w:cs="Arial"/>
          <w:sz w:val="24"/>
          <w:szCs w:val="24"/>
        </w:rPr>
        <w:t xml:space="preserve"> advance care planning is in its infancy. Its relevance with the ministerial priorities (HEIW, 2025) seeking to “deliver the Welsh Government Quality Statements for </w:t>
      </w:r>
      <w:proofErr w:type="spellStart"/>
      <w:r w:rsidRPr="006E087E">
        <w:rPr>
          <w:rFonts w:ascii="Arial" w:hAnsi="Arial" w:cs="Arial"/>
          <w:sz w:val="24"/>
          <w:szCs w:val="24"/>
        </w:rPr>
        <w:t>PEoLC</w:t>
      </w:r>
      <w:proofErr w:type="spellEnd"/>
      <w:r w:rsidRPr="006E087E">
        <w:rPr>
          <w:rFonts w:ascii="Arial" w:hAnsi="Arial" w:cs="Arial"/>
          <w:sz w:val="24"/>
          <w:szCs w:val="24"/>
        </w:rPr>
        <w:t xml:space="preserve"> [Palliative and End-of-Life Care] for Wales (2022)” is immediate. Recognising that “the quality and rigor of research is largely defined by </w:t>
      </w:r>
      <w:r w:rsidRPr="006E087E">
        <w:rPr>
          <w:rFonts w:ascii="Arial" w:hAnsi="Arial" w:cs="Arial"/>
          <w:sz w:val="24"/>
          <w:szCs w:val="24"/>
        </w:rPr>
        <w:lastRenderedPageBreak/>
        <w:t>its limitations” (Ross and Zaidi, 2019), this project does (and has) informed the consideration of ways to support advance and future care plans.</w:t>
      </w:r>
    </w:p>
    <w:p w14:paraId="158458E3" w14:textId="77777777" w:rsidR="00F903E2" w:rsidRPr="006E087E" w:rsidRDefault="00F903E2" w:rsidP="00F903E2">
      <w:pPr>
        <w:rPr>
          <w:rFonts w:ascii="Arial" w:hAnsi="Arial" w:cs="Arial"/>
          <w:sz w:val="24"/>
          <w:szCs w:val="24"/>
        </w:rPr>
      </w:pPr>
    </w:p>
    <w:p w14:paraId="1152BD5B" w14:textId="77777777" w:rsidR="00F903E2" w:rsidRDefault="00F903E2" w:rsidP="00F903E2">
      <w:pPr>
        <w:rPr>
          <w:rFonts w:ascii="Arial" w:hAnsi="Arial" w:cs="Arial"/>
          <w:sz w:val="24"/>
          <w:szCs w:val="24"/>
        </w:rPr>
      </w:pPr>
      <w:r>
        <w:rPr>
          <w:rFonts w:ascii="Arial" w:hAnsi="Arial" w:cs="Arial"/>
          <w:sz w:val="24"/>
          <w:szCs w:val="24"/>
        </w:rPr>
        <w:t>5.7</w:t>
      </w:r>
      <w:r>
        <w:rPr>
          <w:rFonts w:ascii="Arial" w:hAnsi="Arial" w:cs="Arial"/>
          <w:sz w:val="24"/>
          <w:szCs w:val="24"/>
        </w:rPr>
        <w:tab/>
        <w:t>Conclusion</w:t>
      </w:r>
    </w:p>
    <w:p w14:paraId="2E370B13" w14:textId="77777777" w:rsidR="00F903E2" w:rsidRDefault="00F903E2" w:rsidP="00F903E2">
      <w:pPr>
        <w:rPr>
          <w:rFonts w:ascii="Arial" w:hAnsi="Arial" w:cs="Arial"/>
          <w:sz w:val="24"/>
          <w:szCs w:val="24"/>
        </w:rPr>
      </w:pPr>
      <w:r>
        <w:rPr>
          <w:rFonts w:ascii="Arial" w:hAnsi="Arial" w:cs="Arial"/>
          <w:sz w:val="24"/>
          <w:szCs w:val="24"/>
        </w:rPr>
        <w:t>This chapter has reinforced the appreciation of the possibility that there is an increased risk that death will occur following hospital admission. The association of greater risk of death following hospital admission with greater age is, unsurprisingly, demonstrated. The professional perspective is that there is an opportunity to support the individual and counsel the family whilst being efficient with the healthcare resources. There is value (both human and financial) in identifying a cohort where focused input can generate better experiential outcomes.</w:t>
      </w:r>
    </w:p>
    <w:p w14:paraId="10B0A887" w14:textId="77777777" w:rsidR="00F903E2" w:rsidRDefault="00F903E2" w:rsidP="00F903E2">
      <w:pPr>
        <w:rPr>
          <w:rFonts w:ascii="Arial" w:hAnsi="Arial" w:cs="Arial"/>
          <w:sz w:val="24"/>
          <w:szCs w:val="24"/>
        </w:rPr>
      </w:pPr>
      <w:r>
        <w:rPr>
          <w:rFonts w:ascii="Arial" w:hAnsi="Arial" w:cs="Arial"/>
          <w:sz w:val="24"/>
          <w:szCs w:val="24"/>
        </w:rPr>
        <w:t>The balance of discussion comes with a perceived responsibility to embrace this support (by the professional) against an individual’s readiness to explore the future. The personalisation of this aspect has been touched upon but every encounter will be unique. There is plenty of scope to expound upon the duty of care, the duty to share the experience and wisdom from the professional vantage point. The moral dilemma of being truthful against the possible resulting distress. The ethical conundrum is developed in this chapter, but the detail will always be specific to a situation – it is analogous to ‘breaking bad news’ which is embedded in medical and nursing curricula. An associated, topical, point that arose was regarding assisted dying. This chapter cannot, and does not, provide an answer here either. Whether this prognostication aid would be an, accurate enough, objective means of assessing life expectancy has been left for discussion elsewhere. This point does reflect back to where the duty lies for discussing the professional insight about prognostication. Informed choices are dependent upon knowing the underlying information.</w:t>
      </w:r>
    </w:p>
    <w:p w14:paraId="643E079A" w14:textId="77777777" w:rsidR="00F903E2" w:rsidRDefault="00F903E2" w:rsidP="00F903E2">
      <w:pPr>
        <w:rPr>
          <w:rFonts w:ascii="Arial" w:hAnsi="Arial" w:cs="Arial"/>
          <w:sz w:val="24"/>
          <w:szCs w:val="24"/>
        </w:rPr>
      </w:pPr>
      <w:r>
        <w:rPr>
          <w:rFonts w:ascii="Arial" w:hAnsi="Arial" w:cs="Arial"/>
          <w:sz w:val="24"/>
          <w:szCs w:val="24"/>
        </w:rPr>
        <w:t xml:space="preserve">The other concluding recognition is that confidence and capacity were also raised as concerns. Given the semi-structured interviews were with individuals more open to establishing holistic support, this clearly needs further consideration. The degree to which these are generic skills and should be core competencies is another, ongoing, topical discussion. The usefulness of the prognostication aid is appreciated and the acceptance of the need to engage patients is present. The challenge to the feasibility of application appears to rest with existing busyness - </w:t>
      </w:r>
      <w:r w:rsidRPr="005E5DCA">
        <w:rPr>
          <w:rFonts w:ascii="Arial" w:hAnsi="Arial" w:cs="Arial"/>
          <w:sz w:val="24"/>
          <w:szCs w:val="24"/>
        </w:rPr>
        <w:t>“everybody blamed somebody when nobody did what anybody could have” (Osgood, no date).</w:t>
      </w:r>
    </w:p>
    <w:p w14:paraId="6AC25505" w14:textId="01F3C7EE" w:rsidR="000C28F9" w:rsidRDefault="000C28F9">
      <w:pPr>
        <w:rPr>
          <w:rFonts w:ascii="Arial" w:hAnsi="Arial" w:cs="Arial"/>
        </w:rPr>
      </w:pPr>
      <w:r>
        <w:rPr>
          <w:rFonts w:ascii="Arial" w:hAnsi="Arial" w:cs="Arial"/>
        </w:rPr>
        <w:br w:type="page"/>
      </w:r>
    </w:p>
    <w:p w14:paraId="5BE4E280" w14:textId="77777777" w:rsidR="0058243A" w:rsidRPr="001D3A3A" w:rsidRDefault="0058243A" w:rsidP="0058243A">
      <w:pPr>
        <w:spacing w:line="240" w:lineRule="auto"/>
        <w:rPr>
          <w:rFonts w:ascii="Arial" w:hAnsi="Arial" w:cs="Arial"/>
          <w:b/>
          <w:sz w:val="28"/>
          <w:szCs w:val="28"/>
        </w:rPr>
      </w:pPr>
    </w:p>
    <w:p w14:paraId="76D2384A" w14:textId="77777777" w:rsidR="0058243A" w:rsidRDefault="0058243A" w:rsidP="0058243A">
      <w:pPr>
        <w:spacing w:line="240" w:lineRule="auto"/>
        <w:jc w:val="center"/>
        <w:rPr>
          <w:rFonts w:ascii="Arial" w:hAnsi="Arial" w:cs="Arial"/>
          <w:b/>
          <w:sz w:val="28"/>
          <w:szCs w:val="28"/>
        </w:rPr>
      </w:pPr>
    </w:p>
    <w:p w14:paraId="79C66F62" w14:textId="77777777" w:rsidR="0058243A" w:rsidRDefault="0058243A" w:rsidP="0058243A">
      <w:pPr>
        <w:spacing w:line="240" w:lineRule="auto"/>
        <w:jc w:val="center"/>
        <w:rPr>
          <w:rFonts w:ascii="Arial" w:hAnsi="Arial" w:cs="Arial"/>
          <w:b/>
          <w:sz w:val="28"/>
          <w:szCs w:val="28"/>
        </w:rPr>
      </w:pPr>
    </w:p>
    <w:p w14:paraId="4CABF039" w14:textId="77777777" w:rsidR="0058243A" w:rsidRPr="00E34799" w:rsidRDefault="0058243A" w:rsidP="0058243A">
      <w:pPr>
        <w:spacing w:line="240" w:lineRule="auto"/>
        <w:jc w:val="center"/>
        <w:rPr>
          <w:rFonts w:ascii="Arial" w:hAnsi="Arial" w:cs="Arial"/>
          <w:b/>
          <w:sz w:val="28"/>
          <w:szCs w:val="28"/>
        </w:rPr>
      </w:pPr>
      <w:r w:rsidRPr="00E34799">
        <w:rPr>
          <w:rFonts w:ascii="Arial" w:hAnsi="Arial" w:cs="Arial"/>
          <w:b/>
          <w:sz w:val="28"/>
          <w:szCs w:val="28"/>
        </w:rPr>
        <w:t xml:space="preserve">CHAPTER </w:t>
      </w:r>
      <w:r>
        <w:rPr>
          <w:rFonts w:ascii="Arial" w:hAnsi="Arial" w:cs="Arial"/>
          <w:b/>
          <w:sz w:val="28"/>
          <w:szCs w:val="28"/>
        </w:rPr>
        <w:t>6</w:t>
      </w:r>
    </w:p>
    <w:p w14:paraId="7B2B8AA7" w14:textId="77777777" w:rsidR="0058243A" w:rsidRDefault="0058243A" w:rsidP="0058243A">
      <w:pPr>
        <w:spacing w:line="240" w:lineRule="auto"/>
        <w:jc w:val="center"/>
        <w:rPr>
          <w:rFonts w:ascii="Arial" w:hAnsi="Arial" w:cs="Arial"/>
          <w:b/>
          <w:sz w:val="32"/>
          <w:szCs w:val="32"/>
          <w:u w:val="single"/>
        </w:rPr>
      </w:pPr>
      <w:r>
        <w:rPr>
          <w:rFonts w:ascii="Arial" w:hAnsi="Arial" w:cs="Arial"/>
          <w:b/>
          <w:sz w:val="32"/>
          <w:szCs w:val="32"/>
          <w:u w:val="single"/>
        </w:rPr>
        <w:t>Conclusion</w:t>
      </w:r>
    </w:p>
    <w:p w14:paraId="5073219A" w14:textId="77777777" w:rsidR="0058243A" w:rsidRDefault="0058243A" w:rsidP="0058243A">
      <w:pPr>
        <w:spacing w:line="240" w:lineRule="auto"/>
        <w:rPr>
          <w:rFonts w:ascii="Arial" w:hAnsi="Arial" w:cs="Arial"/>
          <w:bCs/>
          <w:sz w:val="24"/>
          <w:szCs w:val="24"/>
        </w:rPr>
      </w:pPr>
    </w:p>
    <w:p w14:paraId="6BDCF160" w14:textId="77777777" w:rsidR="0058243A" w:rsidRDefault="0058243A" w:rsidP="0058243A">
      <w:pPr>
        <w:spacing w:after="0" w:line="240" w:lineRule="auto"/>
        <w:rPr>
          <w:rFonts w:ascii="Arial" w:hAnsi="Arial" w:cs="Arial"/>
          <w:bCs/>
          <w:sz w:val="24"/>
          <w:szCs w:val="24"/>
        </w:rPr>
      </w:pPr>
    </w:p>
    <w:p w14:paraId="1624E750" w14:textId="77777777" w:rsidR="0058243A" w:rsidRDefault="0058243A" w:rsidP="0058243A">
      <w:pPr>
        <w:rPr>
          <w:rFonts w:ascii="Arial" w:hAnsi="Arial" w:cs="Arial"/>
          <w:sz w:val="24"/>
          <w:szCs w:val="24"/>
        </w:rPr>
      </w:pPr>
      <w:r>
        <w:rPr>
          <w:rFonts w:ascii="Arial" w:hAnsi="Arial" w:cs="Arial"/>
          <w:sz w:val="24"/>
          <w:szCs w:val="24"/>
        </w:rPr>
        <w:t>6.1</w:t>
      </w:r>
      <w:r>
        <w:rPr>
          <w:rFonts w:ascii="Arial" w:hAnsi="Arial" w:cs="Arial"/>
          <w:sz w:val="24"/>
          <w:szCs w:val="24"/>
        </w:rPr>
        <w:tab/>
        <w:t>A useful prompt</w:t>
      </w:r>
    </w:p>
    <w:p w14:paraId="20CAB038" w14:textId="77777777" w:rsidR="0058243A" w:rsidRPr="00282AED" w:rsidRDefault="0058243A" w:rsidP="0058243A">
      <w:pPr>
        <w:rPr>
          <w:rFonts w:ascii="Arial" w:hAnsi="Arial" w:cs="Arial"/>
          <w:sz w:val="24"/>
          <w:szCs w:val="24"/>
        </w:rPr>
      </w:pPr>
      <w:r>
        <w:rPr>
          <w:rFonts w:ascii="Arial" w:hAnsi="Arial" w:cs="Arial"/>
          <w:sz w:val="24"/>
          <w:szCs w:val="24"/>
        </w:rPr>
        <w:t xml:space="preserve">The strength of this research is </w:t>
      </w:r>
      <w:r w:rsidRPr="0069031F">
        <w:rPr>
          <w:rFonts w:ascii="Arial" w:hAnsi="Arial" w:cs="Arial"/>
          <w:sz w:val="24"/>
          <w:szCs w:val="24"/>
        </w:rPr>
        <w:t xml:space="preserve">its localisation to North Wales, with its applicable data. It explores a novel interface between the digital and clinical environments and is highly clinically relevant. </w:t>
      </w:r>
      <w:r>
        <w:rPr>
          <w:rFonts w:ascii="Arial" w:hAnsi="Arial" w:cs="Arial"/>
          <w:sz w:val="24"/>
          <w:szCs w:val="24"/>
        </w:rPr>
        <w:t xml:space="preserve">The recognition of the usefulness of identifying those more likely to be in their last year of life was confirmed. The feasibility of it as an opportunity to promote advance care planning was also appreciated. The semi-structured interviews did extend to consider the feasibility of adoption, rather than promotion. The current opinion regarding this was of a wariness about its feasibility. The proportion of inpatients who are within their last six </w:t>
      </w:r>
      <w:r w:rsidRPr="00282AED">
        <w:rPr>
          <w:rFonts w:ascii="Arial" w:hAnsi="Arial" w:cs="Arial"/>
          <w:sz w:val="24"/>
          <w:szCs w:val="24"/>
        </w:rPr>
        <w:t>months of life generated genuine surprise amongst clinicians. This blind spot reflected the taboo that is discussing death. Having an aid to recognise death, or to facilitate the ‘surprise question’ (“Would you be surprised if this patient died within the next 12 months?” (Lyon, 2005), was perceived to be a valuable adjunct to clinical instinct.</w:t>
      </w:r>
    </w:p>
    <w:p w14:paraId="1AD72B1D" w14:textId="77777777" w:rsidR="0058243A" w:rsidRDefault="0058243A" w:rsidP="0058243A">
      <w:pPr>
        <w:rPr>
          <w:rFonts w:ascii="Arial" w:hAnsi="Arial" w:cs="Arial"/>
          <w:sz w:val="24"/>
          <w:szCs w:val="24"/>
        </w:rPr>
      </w:pPr>
      <w:r w:rsidRPr="00282AED">
        <w:rPr>
          <w:rFonts w:ascii="Arial" w:hAnsi="Arial" w:cs="Arial"/>
          <w:sz w:val="24"/>
          <w:szCs w:val="24"/>
        </w:rPr>
        <w:t>The potential for harnessing the digital data already being collected remains an unexploited opportunity. The processing power of machine learning seeking</w:t>
      </w:r>
      <w:r>
        <w:rPr>
          <w:rFonts w:ascii="Arial" w:hAnsi="Arial" w:cs="Arial"/>
          <w:sz w:val="24"/>
          <w:szCs w:val="24"/>
        </w:rPr>
        <w:t xml:space="preserve"> to identify more reliable indicators with multi-morbidity provides a research opportunity. The technical aspects for digital transformation will need further consideration, whereas the principle of feasibility at the level of the clinician is positive.</w:t>
      </w:r>
    </w:p>
    <w:p w14:paraId="4B9DB80C" w14:textId="77777777" w:rsidR="0058243A" w:rsidRDefault="0058243A" w:rsidP="0058243A">
      <w:pPr>
        <w:rPr>
          <w:rFonts w:ascii="Arial" w:hAnsi="Arial" w:cs="Arial"/>
          <w:sz w:val="24"/>
          <w:szCs w:val="24"/>
        </w:rPr>
      </w:pPr>
    </w:p>
    <w:p w14:paraId="7CAA8D41" w14:textId="77777777" w:rsidR="0058243A" w:rsidRDefault="0058243A" w:rsidP="0058243A">
      <w:pPr>
        <w:rPr>
          <w:rFonts w:ascii="Arial" w:hAnsi="Arial" w:cs="Arial"/>
          <w:sz w:val="24"/>
          <w:szCs w:val="24"/>
        </w:rPr>
      </w:pPr>
      <w:r>
        <w:rPr>
          <w:rFonts w:ascii="Arial" w:hAnsi="Arial" w:cs="Arial"/>
          <w:sz w:val="24"/>
          <w:szCs w:val="24"/>
        </w:rPr>
        <w:t>6.2</w:t>
      </w:r>
      <w:r>
        <w:rPr>
          <w:rFonts w:ascii="Arial" w:hAnsi="Arial" w:cs="Arial"/>
          <w:sz w:val="24"/>
          <w:szCs w:val="24"/>
        </w:rPr>
        <w:tab/>
        <w:t>Value of recognising individuals</w:t>
      </w:r>
    </w:p>
    <w:p w14:paraId="35FA0235" w14:textId="77777777" w:rsidR="0058243A" w:rsidRDefault="0058243A" w:rsidP="0058243A">
      <w:pPr>
        <w:rPr>
          <w:rFonts w:ascii="Arial" w:hAnsi="Arial" w:cs="Arial"/>
          <w:sz w:val="24"/>
          <w:szCs w:val="24"/>
        </w:rPr>
      </w:pPr>
      <w:r>
        <w:rPr>
          <w:rFonts w:ascii="Arial" w:hAnsi="Arial" w:cs="Arial"/>
          <w:sz w:val="24"/>
          <w:szCs w:val="24"/>
        </w:rPr>
        <w:t>The value of having the option to discuss advance care planning is primarily owned by the patient – being able to take an active role in their care decisions. There may initially be associated distress but the opportunity to voice preferences and opinions is core to Western understanding of autonomy. Through the semi-structured interviews, the consequence of (potentially) initiating conversations about the future was that it would empower patients. Breaking down some of the barriers, and improving the professional relationship, between clinician and patient were also identified as positive consequences.</w:t>
      </w:r>
    </w:p>
    <w:p w14:paraId="53336E04" w14:textId="77777777" w:rsidR="0058243A" w:rsidRPr="00282AED" w:rsidRDefault="0058243A" w:rsidP="0058243A">
      <w:pPr>
        <w:rPr>
          <w:rFonts w:ascii="Arial" w:hAnsi="Arial" w:cs="Arial"/>
          <w:color w:val="333333"/>
          <w:sz w:val="24"/>
          <w:szCs w:val="24"/>
        </w:rPr>
      </w:pPr>
      <w:r>
        <w:rPr>
          <w:rFonts w:ascii="Arial" w:hAnsi="Arial" w:cs="Arial"/>
          <w:sz w:val="24"/>
          <w:szCs w:val="24"/>
        </w:rPr>
        <w:t xml:space="preserve">In addition to this relational benefit (which of itself facilitates further communication), another consequence is that the limited resources can be re-focused. Even in the </w:t>
      </w:r>
      <w:r w:rsidRPr="00282AED">
        <w:rPr>
          <w:rFonts w:ascii="Arial" w:hAnsi="Arial" w:cs="Arial"/>
          <w:sz w:val="24"/>
          <w:szCs w:val="24"/>
        </w:rPr>
        <w:t>intensivist setting a cluster randomised trial (Courtright et al., 2025) found that ‘nudging’ clinicians to consider prognosis and focus of care had effects. There was “</w:t>
      </w:r>
      <w:r w:rsidRPr="00282AED">
        <w:rPr>
          <w:rFonts w:ascii="Arial" w:hAnsi="Arial" w:cs="Arial"/>
          <w:color w:val="333333"/>
          <w:sz w:val="24"/>
          <w:szCs w:val="24"/>
        </w:rPr>
        <w:t xml:space="preserve">a significant increase in discharge to hospice and earlier comfort-care orders”; </w:t>
      </w:r>
      <w:r w:rsidRPr="00282AED">
        <w:rPr>
          <w:rFonts w:ascii="Arial" w:hAnsi="Arial" w:cs="Arial"/>
          <w:color w:val="333333"/>
          <w:sz w:val="24"/>
          <w:szCs w:val="24"/>
        </w:rPr>
        <w:lastRenderedPageBreak/>
        <w:t xml:space="preserve">illustrating that the institutional resources (e.g., the intensive care support) could be focused and that the individual experience altered. </w:t>
      </w:r>
    </w:p>
    <w:p w14:paraId="77106338" w14:textId="77777777" w:rsidR="0058243A" w:rsidRPr="00282AED" w:rsidRDefault="0058243A" w:rsidP="0058243A">
      <w:pPr>
        <w:rPr>
          <w:rFonts w:ascii="Arial" w:hAnsi="Arial" w:cs="Arial"/>
          <w:sz w:val="24"/>
          <w:szCs w:val="24"/>
        </w:rPr>
      </w:pPr>
      <w:r w:rsidRPr="00282AED">
        <w:rPr>
          <w:rFonts w:ascii="Arial" w:hAnsi="Arial" w:cs="Arial"/>
          <w:color w:val="333333"/>
          <w:sz w:val="24"/>
          <w:szCs w:val="24"/>
        </w:rPr>
        <w:t xml:space="preserve">The value of earlier identification of these individuals and advance care planning discussion will facilitate greater likelihood that they are achievable. This supports dignified care as was the initial focus in section 1.2. The appreciated feasibility of a prognostication aid also </w:t>
      </w:r>
      <w:r w:rsidRPr="00282AED">
        <w:rPr>
          <w:rFonts w:ascii="Arial" w:hAnsi="Arial" w:cs="Arial"/>
          <w:sz w:val="24"/>
          <w:szCs w:val="24"/>
        </w:rPr>
        <w:t>provides prompts to support ‘multi-morbidity’ as an illness trajectory (Murray et al., 2024).  This trajectory is more insidious being overlooked by professionals and dismissed by patients given the cumulative effects from their different conditions. It varies from the traditional trajectories (“short period of evident decline”, “long term limitations with intermittent serious episodes”, “prolonged dwindling” (Murray et al., 2005)) with a recognised reduction in life expectancy.</w:t>
      </w:r>
    </w:p>
    <w:p w14:paraId="4ABB5E65" w14:textId="77777777" w:rsidR="0058243A" w:rsidRPr="00282AED" w:rsidRDefault="0058243A" w:rsidP="0058243A">
      <w:pPr>
        <w:rPr>
          <w:rFonts w:ascii="Arial" w:hAnsi="Arial" w:cs="Arial"/>
          <w:sz w:val="24"/>
          <w:szCs w:val="24"/>
        </w:rPr>
      </w:pPr>
      <w:r w:rsidRPr="00282AED">
        <w:rPr>
          <w:rFonts w:ascii="Arial" w:hAnsi="Arial" w:cs="Arial"/>
          <w:sz w:val="24"/>
          <w:szCs w:val="24"/>
        </w:rPr>
        <w:t>The value for clinicians is as a prompt to consider the wider context rather than focusing on the immediate situation. It can also be a reassurance regarding a clinician’s clinical instinct; or provide a point of reflection where opinions vary. It is a tool that will support a range of clinicians to improve their skills in holistic assessment.</w:t>
      </w:r>
    </w:p>
    <w:p w14:paraId="112116B2" w14:textId="77777777" w:rsidR="0058243A" w:rsidRDefault="0058243A" w:rsidP="0058243A">
      <w:pPr>
        <w:rPr>
          <w:rFonts w:ascii="Arial" w:hAnsi="Arial" w:cs="Arial"/>
          <w:sz w:val="24"/>
          <w:szCs w:val="24"/>
        </w:rPr>
      </w:pPr>
    </w:p>
    <w:p w14:paraId="3D706183" w14:textId="77777777" w:rsidR="0058243A" w:rsidRDefault="0058243A" w:rsidP="0058243A">
      <w:pPr>
        <w:rPr>
          <w:rFonts w:ascii="Arial" w:hAnsi="Arial" w:cs="Arial"/>
          <w:sz w:val="24"/>
          <w:szCs w:val="24"/>
        </w:rPr>
      </w:pPr>
      <w:r>
        <w:rPr>
          <w:rFonts w:ascii="Arial" w:hAnsi="Arial" w:cs="Arial"/>
          <w:sz w:val="24"/>
          <w:szCs w:val="24"/>
        </w:rPr>
        <w:t>6.3</w:t>
      </w:r>
      <w:r>
        <w:rPr>
          <w:rFonts w:ascii="Arial" w:hAnsi="Arial" w:cs="Arial"/>
          <w:sz w:val="24"/>
          <w:szCs w:val="24"/>
        </w:rPr>
        <w:tab/>
        <w:t>Limitations</w:t>
      </w:r>
    </w:p>
    <w:p w14:paraId="1B59B6EF" w14:textId="77777777" w:rsidR="0058243A" w:rsidRDefault="0058243A" w:rsidP="0058243A">
      <w:pPr>
        <w:rPr>
          <w:rFonts w:ascii="Arial" w:hAnsi="Arial" w:cs="Arial"/>
          <w:sz w:val="24"/>
          <w:szCs w:val="24"/>
        </w:rPr>
      </w:pPr>
      <w:r w:rsidRPr="0069031F">
        <w:rPr>
          <w:rFonts w:ascii="Arial" w:hAnsi="Arial" w:cs="Arial"/>
          <w:sz w:val="24"/>
          <w:szCs w:val="24"/>
        </w:rPr>
        <w:t>There have been limitations (as have been drawn out in sections 3.6 and 5.6). The main weaknesses arise from the necessary time constraints. This pressure required an efficiency of interviews that presented a sampling bias. The more interested clinicians have become involved; so, the depth of qualitative data has been at the expense of the breadth of the insights. Another limitation is the current level of digitalisation in NHS Wales - the infrastructure not yet being fully established. The literature review drawing more from worldwide experiences, rather than from the United Kingdom, is a reflection of this reality. One final acknowledgement is the lack of any patient involvement (influenced by the required ethical protocols within the academic year); but rather than a weakness this is an opportunity to step forward into further research.</w:t>
      </w:r>
    </w:p>
    <w:p w14:paraId="5BCBA838" w14:textId="77777777" w:rsidR="0058243A" w:rsidRPr="00282AED" w:rsidRDefault="0058243A" w:rsidP="0058243A">
      <w:pPr>
        <w:spacing w:after="120"/>
        <w:rPr>
          <w:rFonts w:ascii="Arial" w:hAnsi="Arial" w:cs="Arial"/>
          <w:sz w:val="24"/>
          <w:szCs w:val="24"/>
        </w:rPr>
      </w:pPr>
    </w:p>
    <w:p w14:paraId="2F014B6E" w14:textId="77777777" w:rsidR="0058243A" w:rsidRPr="00282AED" w:rsidRDefault="0058243A" w:rsidP="0058243A">
      <w:pPr>
        <w:rPr>
          <w:rFonts w:ascii="Arial" w:hAnsi="Arial" w:cs="Arial"/>
          <w:sz w:val="24"/>
          <w:szCs w:val="24"/>
        </w:rPr>
      </w:pPr>
      <w:r w:rsidRPr="00282AED">
        <w:rPr>
          <w:rFonts w:ascii="Arial" w:hAnsi="Arial" w:cs="Arial"/>
          <w:sz w:val="24"/>
          <w:szCs w:val="24"/>
        </w:rPr>
        <w:t>6.</w:t>
      </w:r>
      <w:r>
        <w:rPr>
          <w:rFonts w:ascii="Arial" w:hAnsi="Arial" w:cs="Arial"/>
          <w:sz w:val="24"/>
          <w:szCs w:val="24"/>
        </w:rPr>
        <w:t>4</w:t>
      </w:r>
      <w:r w:rsidRPr="00282AED">
        <w:rPr>
          <w:rFonts w:ascii="Arial" w:hAnsi="Arial" w:cs="Arial"/>
          <w:sz w:val="24"/>
          <w:szCs w:val="24"/>
        </w:rPr>
        <w:tab/>
        <w:t>Applying this research</w:t>
      </w:r>
    </w:p>
    <w:p w14:paraId="5FB781B1" w14:textId="77777777" w:rsidR="0058243A" w:rsidRPr="00282AED" w:rsidRDefault="0058243A" w:rsidP="0058243A">
      <w:pPr>
        <w:rPr>
          <w:rFonts w:ascii="Arial" w:hAnsi="Arial" w:cs="Arial"/>
          <w:color w:val="212529"/>
          <w:sz w:val="24"/>
          <w:szCs w:val="24"/>
          <w:shd w:val="clear" w:color="auto" w:fill="FFFFFF"/>
        </w:rPr>
      </w:pPr>
      <w:r w:rsidRPr="00415EC7">
        <w:rPr>
          <w:rFonts w:ascii="Arial" w:hAnsi="Arial" w:cs="Arial"/>
          <w:sz w:val="24"/>
          <w:szCs w:val="24"/>
        </w:rPr>
        <w:t>The potential for larger scale (broader) qualitative research is an opportunity to build upon this groundwork research. T</w:t>
      </w:r>
      <w:r>
        <w:rPr>
          <w:rFonts w:ascii="Arial" w:hAnsi="Arial" w:cs="Arial"/>
          <w:sz w:val="24"/>
          <w:szCs w:val="24"/>
        </w:rPr>
        <w:t>h</w:t>
      </w:r>
      <w:r w:rsidRPr="00282AED">
        <w:rPr>
          <w:rFonts w:ascii="Arial" w:hAnsi="Arial" w:cs="Arial"/>
          <w:sz w:val="24"/>
          <w:szCs w:val="24"/>
        </w:rPr>
        <w:t>is research is the first step of a larger project embedding a tool into clinical practice. This is an expanding field of interest as was illustrated in figure</w:t>
      </w:r>
      <w:r>
        <w:rPr>
          <w:rFonts w:ascii="Arial" w:hAnsi="Arial" w:cs="Arial"/>
          <w:sz w:val="24"/>
          <w:szCs w:val="24"/>
        </w:rPr>
        <w:t xml:space="preserve"> </w:t>
      </w:r>
      <w:r w:rsidRPr="00282AED">
        <w:rPr>
          <w:rFonts w:ascii="Arial" w:hAnsi="Arial" w:cs="Arial"/>
          <w:sz w:val="24"/>
          <w:szCs w:val="24"/>
        </w:rPr>
        <w:t xml:space="preserve">2.3, with a further increase in published articles about digital aids relating to end-of-life care into the beginning of 2025. It is opportune as a priority for Welsh Government priority, in 2025, is to </w:t>
      </w:r>
      <w:r w:rsidRPr="00282AED">
        <w:rPr>
          <w:rFonts w:ascii="Arial" w:hAnsi="Arial" w:cs="Arial"/>
          <w:color w:val="212529"/>
          <w:sz w:val="24"/>
          <w:szCs w:val="24"/>
          <w:shd w:val="clear" w:color="auto" w:fill="FFFFFF"/>
        </w:rPr>
        <w:t>“increase patient-centred palliative end-of-life care… ensuring that the needs and preferences of patients are at the forefront of care planning and delivery” (HEIW, 2025).</w:t>
      </w:r>
    </w:p>
    <w:p w14:paraId="1DF74F20" w14:textId="77777777" w:rsidR="0058243A" w:rsidRPr="00282AED" w:rsidRDefault="0058243A" w:rsidP="0058243A">
      <w:pPr>
        <w:rPr>
          <w:rFonts w:ascii="Arial" w:hAnsi="Arial" w:cs="Arial"/>
          <w:color w:val="212529"/>
          <w:sz w:val="24"/>
          <w:szCs w:val="24"/>
          <w:shd w:val="clear" w:color="auto" w:fill="FFFFFF"/>
        </w:rPr>
      </w:pPr>
      <w:r w:rsidRPr="00282AED">
        <w:rPr>
          <w:rFonts w:ascii="Arial" w:hAnsi="Arial" w:cs="Arial"/>
          <w:color w:val="212529"/>
          <w:sz w:val="24"/>
          <w:szCs w:val="24"/>
          <w:shd w:val="clear" w:color="auto" w:fill="FFFFFF"/>
        </w:rPr>
        <w:t xml:space="preserve">Practically the transition from the conceptual discussion regarding feasibility to one of implementation will need significant change management. A further element of research which will be necessary as a preparatory step is to widen the consultation </w:t>
      </w:r>
      <w:r w:rsidRPr="00282AED">
        <w:rPr>
          <w:rFonts w:ascii="Arial" w:hAnsi="Arial" w:cs="Arial"/>
          <w:color w:val="212529"/>
          <w:sz w:val="24"/>
          <w:szCs w:val="24"/>
          <w:shd w:val="clear" w:color="auto" w:fill="FFFFFF"/>
        </w:rPr>
        <w:lastRenderedPageBreak/>
        <w:t xml:space="preserve">about this proposal. </w:t>
      </w:r>
      <w:r w:rsidRPr="00415EC7">
        <w:rPr>
          <w:rFonts w:ascii="Arial" w:hAnsi="Arial" w:cs="Arial"/>
          <w:color w:val="212529"/>
          <w:sz w:val="24"/>
          <w:szCs w:val="24"/>
          <w:shd w:val="clear" w:color="auto" w:fill="FFFFFF"/>
        </w:rPr>
        <w:t xml:space="preserve">To appreciate the patient perspective and to increase the clinical conversation will, invaluably, broaden the understanding of this area. Generating an increased awareness of the potential, for better care from digital tools to aid prognostication to focus care appropriately, will build momentum and engagement with continued project development. </w:t>
      </w:r>
      <w:r w:rsidRPr="00282AED">
        <w:rPr>
          <w:rFonts w:ascii="Arial" w:hAnsi="Arial" w:cs="Arial"/>
          <w:color w:val="212529"/>
          <w:sz w:val="24"/>
          <w:szCs w:val="24"/>
          <w:shd w:val="clear" w:color="auto" w:fill="FFFFFF"/>
        </w:rPr>
        <w:t>Section 5.55 broached some of the ethical considerations which will be raised again with patient consultations. The ‘paradox of choice’ (Schwartz, 2005) – where although autonomy is seen as an ideal, the burden of decision making can be paralysing – is an unknown quantity. Hence the urgency for an understanding of patents’ preferences for discussions where expectation of death is shared.</w:t>
      </w:r>
    </w:p>
    <w:p w14:paraId="33A340B6" w14:textId="77777777" w:rsidR="0058243A" w:rsidRPr="001E7AC5" w:rsidRDefault="0058243A" w:rsidP="0058243A">
      <w:pPr>
        <w:rPr>
          <w:rFonts w:ascii="Arial" w:hAnsi="Arial" w:cs="Arial"/>
          <w:color w:val="212529"/>
          <w:sz w:val="24"/>
          <w:szCs w:val="24"/>
          <w:shd w:val="clear" w:color="auto" w:fill="FFFFFF"/>
        </w:rPr>
      </w:pPr>
      <w:r w:rsidRPr="001E7AC5">
        <w:rPr>
          <w:rFonts w:ascii="Arial" w:hAnsi="Arial" w:cs="Arial"/>
          <w:color w:val="212529"/>
          <w:sz w:val="24"/>
          <w:szCs w:val="24"/>
          <w:shd w:val="clear" w:color="auto" w:fill="FFFFFF"/>
        </w:rPr>
        <w:t xml:space="preserve">In addition, this (novel) focus provides the potential to influence wider policies relating to healthcare. There is an opportunity, as electronic health records begin to become embedded in Wales, for integration of a digital tool such as this. The challenge is in building the collaborative team, with the technical and clinical skills, to take this forward; recognising that the subsequent change management to support this vision is an entire dissertation of its own. </w:t>
      </w:r>
    </w:p>
    <w:p w14:paraId="18F667E7" w14:textId="77777777" w:rsidR="0058243A" w:rsidRDefault="0058243A" w:rsidP="0058243A">
      <w:pPr>
        <w:rPr>
          <w:rFonts w:ascii="Arial" w:hAnsi="Arial" w:cs="Arial"/>
          <w:color w:val="212529"/>
          <w:sz w:val="24"/>
          <w:szCs w:val="24"/>
          <w:shd w:val="clear" w:color="auto" w:fill="FFFFFF"/>
        </w:rPr>
      </w:pPr>
    </w:p>
    <w:p w14:paraId="3FFCBDF8" w14:textId="77777777" w:rsidR="0058243A" w:rsidRDefault="0058243A" w:rsidP="0058243A">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6.5 </w:t>
      </w:r>
      <w:r>
        <w:rPr>
          <w:rFonts w:ascii="Arial" w:hAnsi="Arial" w:cs="Arial"/>
          <w:color w:val="212529"/>
          <w:sz w:val="24"/>
          <w:szCs w:val="24"/>
          <w:shd w:val="clear" w:color="auto" w:fill="FFFFFF"/>
        </w:rPr>
        <w:tab/>
        <w:t>Potential challenges</w:t>
      </w:r>
    </w:p>
    <w:p w14:paraId="5E109DA5" w14:textId="77777777" w:rsidR="0058243A" w:rsidRPr="001E7AC5" w:rsidRDefault="0058243A" w:rsidP="0058243A">
      <w:pPr>
        <w:rPr>
          <w:rFonts w:ascii="Arial" w:hAnsi="Arial" w:cs="Arial"/>
          <w:color w:val="212529"/>
          <w:sz w:val="24"/>
          <w:szCs w:val="24"/>
          <w:shd w:val="clear" w:color="auto" w:fill="FFFFFF"/>
        </w:rPr>
      </w:pPr>
      <w:r w:rsidRPr="001E7AC5">
        <w:rPr>
          <w:rFonts w:ascii="Arial" w:hAnsi="Arial" w:cs="Arial"/>
          <w:color w:val="212529"/>
          <w:sz w:val="24"/>
          <w:szCs w:val="24"/>
          <w:shd w:val="clear" w:color="auto" w:fill="FFFFFF"/>
        </w:rPr>
        <w:t xml:space="preserve">Change management presents the biggest threat as the resistance of clinicians should not be underestimated. The risk of misinterpretation, misrepresentation or misuse of this tool is also present. Section 5.54 (Assisted Dying Bill) illustrates one insight into this blurring of understanding; and the experience of the ‘Liverpool Care Pathway’ (Neuberger, 2013) continues to echo around the specialty of palliative care. In addition, the threat of data incompatibility and interoperability of current systems also present technical barriers. </w:t>
      </w:r>
      <w:proofErr w:type="gramStart"/>
      <w:r w:rsidRPr="001E7AC5">
        <w:rPr>
          <w:rFonts w:ascii="Arial" w:hAnsi="Arial" w:cs="Arial"/>
          <w:color w:val="212529"/>
          <w:sz w:val="24"/>
          <w:szCs w:val="24"/>
          <w:shd w:val="clear" w:color="auto" w:fill="FFFFFF"/>
        </w:rPr>
        <w:t>These need</w:t>
      </w:r>
      <w:proofErr w:type="gramEnd"/>
      <w:r w:rsidRPr="001E7AC5">
        <w:rPr>
          <w:rFonts w:ascii="Arial" w:hAnsi="Arial" w:cs="Arial"/>
          <w:color w:val="212529"/>
          <w:sz w:val="24"/>
          <w:szCs w:val="24"/>
          <w:shd w:val="clear" w:color="auto" w:fill="FFFFFF"/>
        </w:rPr>
        <w:t xml:space="preserve"> recognising even though there are ongoing projects to mitigate them. One last recognition is the legal and regulatory framework that is evolving across the digital horizon – most definitely an ‘unknown unknown’. </w:t>
      </w:r>
    </w:p>
    <w:p w14:paraId="3E7CB8E1" w14:textId="77777777" w:rsidR="0058243A" w:rsidRPr="00282AED" w:rsidRDefault="0058243A" w:rsidP="0058243A">
      <w:pPr>
        <w:rPr>
          <w:rFonts w:ascii="Arial" w:hAnsi="Arial" w:cs="Arial"/>
          <w:color w:val="212529"/>
          <w:sz w:val="24"/>
          <w:szCs w:val="24"/>
          <w:shd w:val="clear" w:color="auto" w:fill="FFFFFF"/>
        </w:rPr>
      </w:pPr>
    </w:p>
    <w:p w14:paraId="51CD65D5" w14:textId="77777777" w:rsidR="0058243A" w:rsidRPr="00282AED" w:rsidRDefault="0058243A" w:rsidP="0058243A">
      <w:pPr>
        <w:rPr>
          <w:rFonts w:ascii="Arial" w:hAnsi="Arial" w:cs="Arial"/>
          <w:color w:val="212529"/>
          <w:sz w:val="24"/>
          <w:szCs w:val="24"/>
          <w:shd w:val="clear" w:color="auto" w:fill="FFFFFF"/>
        </w:rPr>
      </w:pPr>
      <w:r w:rsidRPr="00282AED">
        <w:rPr>
          <w:rFonts w:ascii="Arial" w:hAnsi="Arial" w:cs="Arial"/>
          <w:color w:val="212529"/>
          <w:sz w:val="24"/>
          <w:szCs w:val="24"/>
          <w:shd w:val="clear" w:color="auto" w:fill="FFFFFF"/>
        </w:rPr>
        <w:t>6.</w:t>
      </w:r>
      <w:r>
        <w:rPr>
          <w:rFonts w:ascii="Arial" w:hAnsi="Arial" w:cs="Arial"/>
          <w:color w:val="212529"/>
          <w:sz w:val="24"/>
          <w:szCs w:val="24"/>
          <w:shd w:val="clear" w:color="auto" w:fill="FFFFFF"/>
        </w:rPr>
        <w:t>6</w:t>
      </w:r>
      <w:r w:rsidRPr="00282AED">
        <w:rPr>
          <w:rFonts w:ascii="Arial" w:hAnsi="Arial" w:cs="Arial"/>
          <w:color w:val="212529"/>
          <w:sz w:val="24"/>
          <w:szCs w:val="24"/>
          <w:shd w:val="clear" w:color="auto" w:fill="FFFFFF"/>
        </w:rPr>
        <w:t xml:space="preserve"> </w:t>
      </w:r>
      <w:r>
        <w:rPr>
          <w:rFonts w:ascii="Arial" w:hAnsi="Arial" w:cs="Arial"/>
          <w:color w:val="212529"/>
          <w:sz w:val="24"/>
          <w:szCs w:val="24"/>
          <w:shd w:val="clear" w:color="auto" w:fill="FFFFFF"/>
        </w:rPr>
        <w:tab/>
      </w:r>
      <w:r w:rsidRPr="00282AED">
        <w:rPr>
          <w:rFonts w:ascii="Arial" w:hAnsi="Arial" w:cs="Arial"/>
          <w:color w:val="212529"/>
          <w:sz w:val="24"/>
          <w:szCs w:val="24"/>
          <w:shd w:val="clear" w:color="auto" w:fill="FFFFFF"/>
        </w:rPr>
        <w:t>Conclusion</w:t>
      </w:r>
    </w:p>
    <w:p w14:paraId="4FC86AE7" w14:textId="77777777" w:rsidR="0058243A" w:rsidRPr="00282AED" w:rsidRDefault="0058243A" w:rsidP="0058243A">
      <w:pPr>
        <w:rPr>
          <w:rFonts w:ascii="Arial" w:hAnsi="Arial" w:cs="Arial"/>
          <w:color w:val="212529"/>
          <w:sz w:val="24"/>
          <w:szCs w:val="24"/>
          <w:shd w:val="clear" w:color="auto" w:fill="FFFFFF"/>
        </w:rPr>
      </w:pPr>
      <w:r w:rsidRPr="00282AED">
        <w:rPr>
          <w:rFonts w:ascii="Arial" w:hAnsi="Arial" w:cs="Arial"/>
          <w:color w:val="212529"/>
          <w:sz w:val="24"/>
          <w:szCs w:val="24"/>
          <w:shd w:val="clear" w:color="auto" w:fill="FFFFFF"/>
        </w:rPr>
        <w:t>This research project has reinforced the apparent sense of the approach to identify individuals in order to promote advance care planning. Conversations with clinicians have raised aspects for further consideration. The realities of weighing multiple pathologies, and the practicalities of having adequate time and skills, indicate foci for research and application. There is scope to bring artificial intelligence into this aspect of healthcare but the clinicians remain vital for their empathy and face-to-face interactions - “seeing the person in the patient” (The King’s Fund, 2008).</w:t>
      </w:r>
    </w:p>
    <w:p w14:paraId="56BA078B" w14:textId="77777777" w:rsidR="0058243A" w:rsidRPr="00282AED" w:rsidRDefault="0058243A" w:rsidP="0058243A">
      <w:pPr>
        <w:rPr>
          <w:rFonts w:ascii="Arial" w:hAnsi="Arial" w:cs="Arial"/>
          <w:color w:val="212529"/>
          <w:sz w:val="24"/>
          <w:szCs w:val="24"/>
          <w:shd w:val="clear" w:color="auto" w:fill="FFFFFF"/>
        </w:rPr>
      </w:pPr>
      <w:r w:rsidRPr="00282AED">
        <w:rPr>
          <w:rFonts w:ascii="Arial" w:hAnsi="Arial" w:cs="Arial"/>
          <w:color w:val="212529"/>
          <w:sz w:val="24"/>
          <w:szCs w:val="24"/>
          <w:shd w:val="clear" w:color="auto" w:fill="FFFFFF"/>
        </w:rPr>
        <w:t>A closing recognition that this research regarding feasibility is an initial foray into the possible. To borrow from Winston Churchill (1942):</w:t>
      </w:r>
    </w:p>
    <w:p w14:paraId="3BC4460A" w14:textId="484EBC64" w:rsidR="00D9318E" w:rsidRPr="0058243A" w:rsidRDefault="0058243A" w:rsidP="0058243A">
      <w:pPr>
        <w:pBdr>
          <w:top w:val="single" w:sz="4" w:space="1" w:color="auto"/>
          <w:left w:val="single" w:sz="4" w:space="4" w:color="auto"/>
          <w:bottom w:val="single" w:sz="4" w:space="1" w:color="auto"/>
          <w:right w:val="single" w:sz="4" w:space="4" w:color="auto"/>
        </w:pBdr>
        <w:ind w:left="567" w:right="521"/>
        <w:rPr>
          <w:rFonts w:ascii="Arial" w:hAnsi="Arial" w:cs="Arial"/>
          <w:sz w:val="18"/>
          <w:szCs w:val="18"/>
        </w:rPr>
      </w:pPr>
      <w:r w:rsidRPr="00282AED">
        <w:rPr>
          <w:rFonts w:ascii="Arial" w:hAnsi="Arial" w:cs="Arial"/>
          <w:sz w:val="24"/>
          <w:szCs w:val="24"/>
        </w:rPr>
        <w:t xml:space="preserve">“Now </w:t>
      </w:r>
      <w:r w:rsidRPr="00282AED">
        <w:rPr>
          <w:rFonts w:ascii="Arial" w:hAnsi="Arial" w:cs="Arial"/>
          <w:color w:val="101010"/>
          <w:sz w:val="24"/>
          <w:szCs w:val="24"/>
          <w:shd w:val="clear" w:color="auto" w:fill="FFFFFF"/>
        </w:rPr>
        <w:t>this is not the end. It is not even the beginning of the end. But it is, perhaps, the end of the beginning.”</w:t>
      </w:r>
      <w:r w:rsidR="00D9318E">
        <w:rPr>
          <w:rFonts w:ascii="Arial" w:hAnsi="Arial" w:cs="Arial"/>
          <w:b/>
          <w:sz w:val="32"/>
          <w:szCs w:val="32"/>
        </w:rPr>
        <w:br w:type="page"/>
      </w:r>
    </w:p>
    <w:p w14:paraId="3B6C2A52" w14:textId="21184964" w:rsidR="00243DCE" w:rsidRPr="00D9318E" w:rsidRDefault="00243DCE" w:rsidP="00D9318E">
      <w:pPr>
        <w:jc w:val="center"/>
        <w:rPr>
          <w:rFonts w:ascii="Arial" w:hAnsi="Arial" w:cs="Arial"/>
          <w:b/>
          <w:sz w:val="32"/>
          <w:szCs w:val="32"/>
        </w:rPr>
      </w:pPr>
      <w:r>
        <w:rPr>
          <w:rFonts w:ascii="Arial" w:hAnsi="Arial" w:cs="Arial"/>
          <w:b/>
          <w:sz w:val="28"/>
          <w:szCs w:val="28"/>
        </w:rPr>
        <w:lastRenderedPageBreak/>
        <w:t>BIBLIOGRAPHY</w:t>
      </w:r>
    </w:p>
    <w:p w14:paraId="2D6198EA" w14:textId="14342027" w:rsidR="00243DCE" w:rsidRPr="00DE7279" w:rsidRDefault="00243DCE" w:rsidP="00243DCE">
      <w:pPr>
        <w:spacing w:line="240" w:lineRule="auto"/>
        <w:jc w:val="center"/>
        <w:rPr>
          <w:rFonts w:ascii="Arial" w:hAnsi="Arial" w:cs="Arial"/>
          <w:b/>
          <w:sz w:val="24"/>
          <w:szCs w:val="24"/>
        </w:rPr>
      </w:pPr>
    </w:p>
    <w:p w14:paraId="37C5173A" w14:textId="77777777" w:rsidR="00DE7279" w:rsidRPr="00300F4F" w:rsidRDefault="00DE7279" w:rsidP="00DE7279">
      <w:pPr>
        <w:rPr>
          <w:rFonts w:ascii="Arial" w:hAnsi="Arial" w:cs="Arial"/>
          <w:sz w:val="24"/>
          <w:szCs w:val="24"/>
        </w:rPr>
      </w:pPr>
      <w:r w:rsidRPr="00300F4F">
        <w:rPr>
          <w:rFonts w:ascii="Arial" w:hAnsi="Arial" w:cs="Arial"/>
          <w:sz w:val="24"/>
          <w:szCs w:val="24"/>
        </w:rPr>
        <w:t>Association of Palliative Medicine (2024) ‘</w:t>
      </w:r>
      <w:r w:rsidRPr="00300F4F">
        <w:rPr>
          <w:rFonts w:ascii="Arial" w:hAnsi="Arial" w:cs="Arial"/>
          <w:i/>
          <w:sz w:val="24"/>
          <w:szCs w:val="24"/>
        </w:rPr>
        <w:t>Position Statement on Assisted Dying</w:t>
      </w:r>
      <w:r w:rsidRPr="00300F4F">
        <w:rPr>
          <w:rFonts w:ascii="Arial" w:hAnsi="Arial" w:cs="Arial"/>
          <w:sz w:val="24"/>
          <w:szCs w:val="24"/>
        </w:rPr>
        <w:t>’. Available at: https://apmonline.org/wp-content/uploads/APM-Position-Statement-on-Assisted-Dying-October-2024-v2.pdf (Accessed 28 February 2025)</w:t>
      </w:r>
    </w:p>
    <w:p w14:paraId="1F18DC19"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Aude, C.A., </w:t>
      </w:r>
      <w:proofErr w:type="spellStart"/>
      <w:r w:rsidRPr="009C66F9">
        <w:rPr>
          <w:rFonts w:ascii="Arial" w:eastAsia="Times New Roman" w:hAnsi="Arial" w:cs="Arial"/>
          <w:sz w:val="24"/>
          <w:szCs w:val="24"/>
          <w:lang w:eastAsia="en-GB"/>
        </w:rPr>
        <w:t>Vattipally</w:t>
      </w:r>
      <w:proofErr w:type="spellEnd"/>
      <w:r w:rsidRPr="009C66F9">
        <w:rPr>
          <w:rFonts w:ascii="Arial" w:eastAsia="Times New Roman" w:hAnsi="Arial" w:cs="Arial"/>
          <w:sz w:val="24"/>
          <w:szCs w:val="24"/>
          <w:lang w:eastAsia="en-GB"/>
        </w:rPr>
        <w:t xml:space="preserve">, V.N., Das, O., Ran, K.R., </w:t>
      </w:r>
      <w:proofErr w:type="spellStart"/>
      <w:r w:rsidRPr="009C66F9">
        <w:rPr>
          <w:rFonts w:ascii="Arial" w:eastAsia="Times New Roman" w:hAnsi="Arial" w:cs="Arial"/>
          <w:sz w:val="24"/>
          <w:szCs w:val="24"/>
          <w:lang w:eastAsia="en-GB"/>
        </w:rPr>
        <w:t>Giwa</w:t>
      </w:r>
      <w:proofErr w:type="spellEnd"/>
      <w:r w:rsidRPr="009C66F9">
        <w:rPr>
          <w:rFonts w:ascii="Arial" w:eastAsia="Times New Roman" w:hAnsi="Arial" w:cs="Arial"/>
          <w:sz w:val="24"/>
          <w:szCs w:val="24"/>
          <w:lang w:eastAsia="en-GB"/>
        </w:rPr>
        <w:t>, G., Rincon-</w:t>
      </w:r>
      <w:proofErr w:type="spellStart"/>
      <w:r w:rsidRPr="009C66F9">
        <w:rPr>
          <w:rFonts w:ascii="Arial" w:eastAsia="Times New Roman" w:hAnsi="Arial" w:cs="Arial"/>
          <w:sz w:val="24"/>
          <w:szCs w:val="24"/>
          <w:lang w:eastAsia="en-GB"/>
        </w:rPr>
        <w:t>Torroella</w:t>
      </w:r>
      <w:proofErr w:type="spellEnd"/>
      <w:r w:rsidRPr="009C66F9">
        <w:rPr>
          <w:rFonts w:ascii="Arial" w:eastAsia="Times New Roman" w:hAnsi="Arial" w:cs="Arial"/>
          <w:sz w:val="24"/>
          <w:szCs w:val="24"/>
          <w:lang w:eastAsia="en-GB"/>
        </w:rPr>
        <w:t xml:space="preserve">, J., Xu, R., Byrne, J.P., </w:t>
      </w:r>
      <w:proofErr w:type="spellStart"/>
      <w:r w:rsidRPr="009C66F9">
        <w:rPr>
          <w:rFonts w:ascii="Arial" w:eastAsia="Times New Roman" w:hAnsi="Arial" w:cs="Arial"/>
          <w:sz w:val="24"/>
          <w:szCs w:val="24"/>
          <w:lang w:eastAsia="en-GB"/>
        </w:rPr>
        <w:t>Muehlschlegel</w:t>
      </w:r>
      <w:proofErr w:type="spellEnd"/>
      <w:r w:rsidRPr="009C66F9">
        <w:rPr>
          <w:rFonts w:ascii="Arial" w:eastAsia="Times New Roman" w:hAnsi="Arial" w:cs="Arial"/>
          <w:sz w:val="24"/>
          <w:szCs w:val="24"/>
          <w:lang w:eastAsia="en-GB"/>
        </w:rPr>
        <w:t xml:space="preserve">, S., Suarez, J.I., Mukherjee, D., Huang, J., Azad, T.D. and </w:t>
      </w:r>
      <w:proofErr w:type="spellStart"/>
      <w:r w:rsidRPr="009C66F9">
        <w:rPr>
          <w:rFonts w:ascii="Arial" w:eastAsia="Times New Roman" w:hAnsi="Arial" w:cs="Arial"/>
          <w:sz w:val="24"/>
          <w:szCs w:val="24"/>
          <w:lang w:eastAsia="en-GB"/>
        </w:rPr>
        <w:t>Bettegowda</w:t>
      </w:r>
      <w:proofErr w:type="spellEnd"/>
      <w:r w:rsidRPr="009C66F9">
        <w:rPr>
          <w:rFonts w:ascii="Arial" w:eastAsia="Times New Roman" w:hAnsi="Arial" w:cs="Arial"/>
          <w:sz w:val="24"/>
          <w:szCs w:val="24"/>
          <w:lang w:eastAsia="en-GB"/>
        </w:rPr>
        <w:t xml:space="preserve">, C. (2024) ‘Machine learning identifies variation in timing of palliative care consultations among traumatic brain injury patients’, </w:t>
      </w:r>
      <w:r w:rsidRPr="009C66F9">
        <w:rPr>
          <w:rFonts w:ascii="Arial" w:eastAsia="Times New Roman" w:hAnsi="Arial" w:cs="Arial"/>
          <w:i/>
          <w:iCs/>
          <w:sz w:val="24"/>
          <w:szCs w:val="24"/>
          <w:lang w:eastAsia="en-GB"/>
        </w:rPr>
        <w:t>Research Square</w:t>
      </w:r>
      <w:r w:rsidRPr="009C66F9">
        <w:rPr>
          <w:rFonts w:ascii="Arial" w:eastAsia="Times New Roman" w:hAnsi="Arial" w:cs="Arial"/>
          <w:sz w:val="24"/>
          <w:szCs w:val="24"/>
          <w:lang w:eastAsia="en-GB"/>
        </w:rPr>
        <w:t>. Available at: https://doi.org/10.21203/rs.3.rs-4290808/v1</w:t>
      </w:r>
    </w:p>
    <w:p w14:paraId="17C05E43"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Avati</w:t>
      </w:r>
      <w:proofErr w:type="spellEnd"/>
      <w:r w:rsidRPr="009C66F9">
        <w:rPr>
          <w:rFonts w:ascii="Arial" w:eastAsia="Times New Roman" w:hAnsi="Arial" w:cs="Arial"/>
          <w:sz w:val="24"/>
          <w:szCs w:val="24"/>
          <w:lang w:eastAsia="en-GB"/>
        </w:rPr>
        <w:t xml:space="preserve">, A., Jung, K., Harman, S., Downing, L., Ng, A. and Shah, N. (2018) ‘Improving palliative care with deep learning’, </w:t>
      </w:r>
      <w:r w:rsidRPr="009C66F9">
        <w:rPr>
          <w:rFonts w:ascii="Arial" w:eastAsia="Times New Roman" w:hAnsi="Arial" w:cs="Arial"/>
          <w:i/>
          <w:iCs/>
          <w:sz w:val="24"/>
          <w:szCs w:val="24"/>
          <w:lang w:eastAsia="en-GB"/>
        </w:rPr>
        <w:t>BMC Medical Informatics and Decision Making</w:t>
      </w:r>
      <w:r w:rsidRPr="009C66F9">
        <w:rPr>
          <w:rFonts w:ascii="Arial" w:eastAsia="Times New Roman" w:hAnsi="Arial" w:cs="Arial"/>
          <w:sz w:val="24"/>
          <w:szCs w:val="24"/>
          <w:lang w:eastAsia="en-GB"/>
        </w:rPr>
        <w:t>, 18. Available at: https://doi.org/10.1186/s12911-018-0677-8</w:t>
      </w:r>
    </w:p>
    <w:p w14:paraId="49ECE623"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Bailey, C. and Talbot, D. (2024) ‘UK hospices: fairness, funding, fit’, </w:t>
      </w:r>
      <w:r w:rsidRPr="009C66F9">
        <w:rPr>
          <w:rFonts w:ascii="Arial" w:eastAsia="Times New Roman" w:hAnsi="Arial" w:cs="Arial"/>
          <w:i/>
          <w:iCs/>
          <w:sz w:val="24"/>
          <w:szCs w:val="24"/>
          <w:lang w:eastAsia="en-GB"/>
        </w:rPr>
        <w:t>BMJ Supportive and Palliative Care</w:t>
      </w:r>
      <w:r w:rsidRPr="009C66F9">
        <w:rPr>
          <w:rFonts w:ascii="Arial" w:eastAsia="Times New Roman" w:hAnsi="Arial" w:cs="Arial"/>
          <w:sz w:val="24"/>
          <w:szCs w:val="24"/>
          <w:lang w:eastAsia="en-GB"/>
        </w:rPr>
        <w:t>, 14(4), pp. 416–418. Available at: https://doi.org/10.1136/spcare-2024-004990</w:t>
      </w:r>
    </w:p>
    <w:p w14:paraId="2045B697"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Bakitas</w:t>
      </w:r>
      <w:proofErr w:type="spellEnd"/>
      <w:r w:rsidRPr="009C66F9">
        <w:rPr>
          <w:rFonts w:ascii="Arial" w:eastAsia="Times New Roman" w:hAnsi="Arial" w:cs="Arial"/>
          <w:sz w:val="24"/>
          <w:szCs w:val="24"/>
          <w:lang w:eastAsia="en-GB"/>
        </w:rPr>
        <w:t>, M., K.D.,</w:t>
      </w:r>
      <w:hyperlink r:id="rId36" w:history="1">
        <w:r w:rsidRPr="009C66F9">
          <w:rPr>
            <w:rFonts w:ascii="Arial" w:eastAsia="Times New Roman" w:hAnsi="Arial" w:cs="Arial"/>
            <w:sz w:val="24"/>
            <w:szCs w:val="24"/>
            <w:lang w:eastAsia="en-GB"/>
          </w:rPr>
          <w:t xml:space="preserve"> Hegel</w:t>
        </w:r>
      </w:hyperlink>
      <w:r w:rsidRPr="009C66F9">
        <w:rPr>
          <w:rFonts w:ascii="Arial" w:eastAsia="Times New Roman" w:hAnsi="Arial" w:cs="Arial"/>
          <w:sz w:val="24"/>
          <w:szCs w:val="24"/>
          <w:lang w:eastAsia="en-GB"/>
        </w:rPr>
        <w:t>, M.T., </w:t>
      </w:r>
      <w:hyperlink r:id="rId37" w:history="1">
        <w:r w:rsidRPr="009C66F9">
          <w:rPr>
            <w:rFonts w:ascii="Arial" w:eastAsia="Times New Roman" w:hAnsi="Arial" w:cs="Arial"/>
            <w:sz w:val="24"/>
            <w:szCs w:val="24"/>
            <w:lang w:eastAsia="en-GB"/>
          </w:rPr>
          <w:t>Balan</w:t>
        </w:r>
      </w:hyperlink>
      <w:r w:rsidRPr="009C66F9">
        <w:rPr>
          <w:rFonts w:ascii="Arial" w:eastAsia="Times New Roman" w:hAnsi="Arial" w:cs="Arial"/>
          <w:sz w:val="24"/>
          <w:szCs w:val="24"/>
          <w:lang w:eastAsia="en-GB"/>
        </w:rPr>
        <w:t>, S., </w:t>
      </w:r>
      <w:hyperlink r:id="rId38" w:history="1">
        <w:r w:rsidRPr="009C66F9">
          <w:rPr>
            <w:rFonts w:ascii="Arial" w:eastAsia="Times New Roman" w:hAnsi="Arial" w:cs="Arial"/>
            <w:sz w:val="24"/>
            <w:szCs w:val="24"/>
            <w:lang w:eastAsia="en-GB"/>
          </w:rPr>
          <w:t>Brokaw</w:t>
        </w:r>
      </w:hyperlink>
      <w:r w:rsidRPr="009C66F9">
        <w:rPr>
          <w:rFonts w:ascii="Arial" w:eastAsia="Times New Roman" w:hAnsi="Arial" w:cs="Arial"/>
          <w:sz w:val="24"/>
          <w:szCs w:val="24"/>
          <w:lang w:eastAsia="en-GB"/>
        </w:rPr>
        <w:t>, </w:t>
      </w:r>
      <w:hyperlink r:id="rId39" w:history="1">
        <w:r w:rsidRPr="009C66F9">
          <w:rPr>
            <w:rFonts w:ascii="Arial" w:eastAsia="Times New Roman" w:hAnsi="Arial" w:cs="Arial"/>
            <w:sz w:val="24"/>
            <w:szCs w:val="24"/>
            <w:lang w:eastAsia="en-GB"/>
          </w:rPr>
          <w:t>F.C., Seville</w:t>
        </w:r>
      </w:hyperlink>
      <w:r w:rsidRPr="009C66F9">
        <w:rPr>
          <w:rFonts w:ascii="Arial" w:eastAsia="Times New Roman" w:hAnsi="Arial" w:cs="Arial"/>
          <w:sz w:val="24"/>
          <w:szCs w:val="24"/>
          <w:lang w:eastAsia="en-GB"/>
        </w:rPr>
        <w:t>, J., </w:t>
      </w:r>
      <w:hyperlink r:id="rId40" w:history="1">
        <w:r w:rsidRPr="009C66F9">
          <w:rPr>
            <w:rFonts w:ascii="Arial" w:eastAsia="Times New Roman" w:hAnsi="Arial" w:cs="Arial"/>
            <w:sz w:val="24"/>
            <w:szCs w:val="24"/>
            <w:lang w:eastAsia="en-GB"/>
          </w:rPr>
          <w:t>Hull</w:t>
        </w:r>
      </w:hyperlink>
      <w:r w:rsidRPr="009C66F9">
        <w:rPr>
          <w:rFonts w:ascii="Arial" w:eastAsia="Times New Roman" w:hAnsi="Arial" w:cs="Arial"/>
          <w:sz w:val="24"/>
          <w:szCs w:val="24"/>
          <w:lang w:eastAsia="en-GB"/>
        </w:rPr>
        <w:t xml:space="preserve">, J.G., </w:t>
      </w:r>
      <w:hyperlink r:id="rId41" w:history="1">
        <w:r w:rsidRPr="009C66F9">
          <w:rPr>
            <w:rFonts w:ascii="Arial" w:eastAsia="Times New Roman" w:hAnsi="Arial" w:cs="Arial"/>
            <w:sz w:val="24"/>
            <w:szCs w:val="24"/>
            <w:lang w:eastAsia="en-GB"/>
          </w:rPr>
          <w:t>Li</w:t>
        </w:r>
      </w:hyperlink>
      <w:r w:rsidRPr="009C66F9">
        <w:rPr>
          <w:rFonts w:ascii="Arial" w:eastAsia="Times New Roman" w:hAnsi="Arial" w:cs="Arial"/>
          <w:sz w:val="24"/>
          <w:szCs w:val="24"/>
          <w:lang w:eastAsia="en-GB"/>
        </w:rPr>
        <w:t>, Z., </w:t>
      </w:r>
      <w:hyperlink r:id="rId42" w:history="1">
        <w:r w:rsidRPr="009C66F9">
          <w:rPr>
            <w:rFonts w:ascii="Arial" w:eastAsia="Times New Roman" w:hAnsi="Arial" w:cs="Arial"/>
            <w:sz w:val="24"/>
            <w:szCs w:val="24"/>
            <w:lang w:eastAsia="en-GB"/>
          </w:rPr>
          <w:t>Tosteson</w:t>
        </w:r>
      </w:hyperlink>
      <w:r w:rsidRPr="009C66F9">
        <w:rPr>
          <w:rFonts w:ascii="Arial" w:eastAsia="Times New Roman" w:hAnsi="Arial" w:cs="Arial"/>
          <w:sz w:val="24"/>
          <w:szCs w:val="24"/>
          <w:lang w:eastAsia="en-GB"/>
        </w:rPr>
        <w:t>, T.D., </w:t>
      </w:r>
      <w:hyperlink r:id="rId43" w:history="1">
        <w:r w:rsidRPr="009C66F9">
          <w:rPr>
            <w:rFonts w:ascii="Arial" w:eastAsia="Times New Roman" w:hAnsi="Arial" w:cs="Arial"/>
            <w:sz w:val="24"/>
            <w:szCs w:val="24"/>
            <w:lang w:eastAsia="en-GB"/>
          </w:rPr>
          <w:t>Byock</w:t>
        </w:r>
      </w:hyperlink>
      <w:r w:rsidRPr="009C66F9">
        <w:rPr>
          <w:rFonts w:ascii="Arial" w:eastAsia="Times New Roman" w:hAnsi="Arial" w:cs="Arial"/>
          <w:sz w:val="24"/>
          <w:szCs w:val="24"/>
          <w:lang w:eastAsia="en-GB"/>
        </w:rPr>
        <w:t>, I.R. and</w:t>
      </w:r>
      <w:hyperlink r:id="rId44" w:history="1">
        <w:r w:rsidRPr="009C66F9">
          <w:rPr>
            <w:rFonts w:ascii="Arial" w:eastAsia="Times New Roman" w:hAnsi="Arial" w:cs="Arial"/>
            <w:sz w:val="24"/>
            <w:szCs w:val="24"/>
            <w:lang w:eastAsia="en-GB"/>
          </w:rPr>
          <w:t xml:space="preserve"> Ahles</w:t>
        </w:r>
      </w:hyperlink>
      <w:r w:rsidRPr="009C66F9">
        <w:rPr>
          <w:rFonts w:ascii="Arial" w:eastAsia="Times New Roman" w:hAnsi="Arial" w:cs="Arial"/>
          <w:sz w:val="24"/>
          <w:szCs w:val="24"/>
          <w:lang w:eastAsia="en-GB"/>
        </w:rPr>
        <w:t xml:space="preserve">, T.A. (2009) ‘Effects of a palliative care intervention on clinical outcomes in patients with advanced cancer’, </w:t>
      </w:r>
      <w:r w:rsidRPr="009C66F9">
        <w:rPr>
          <w:rFonts w:ascii="Arial" w:eastAsia="Times New Roman" w:hAnsi="Arial" w:cs="Arial"/>
          <w:i/>
          <w:iCs/>
          <w:sz w:val="24"/>
          <w:szCs w:val="24"/>
          <w:lang w:eastAsia="en-GB"/>
        </w:rPr>
        <w:t>Journal of the American Medical Association</w:t>
      </w:r>
      <w:r w:rsidRPr="009C66F9">
        <w:rPr>
          <w:rFonts w:ascii="Arial" w:eastAsia="Times New Roman" w:hAnsi="Arial" w:cs="Arial"/>
          <w:sz w:val="24"/>
          <w:szCs w:val="24"/>
          <w:lang w:eastAsia="en-GB"/>
        </w:rPr>
        <w:t>, 302(7), pp. 741. Available at: https://doi.org/10.1001/jama.2009.1198</w:t>
      </w:r>
    </w:p>
    <w:p w14:paraId="2D7A8B95" w14:textId="77777777" w:rsidR="00DE7279" w:rsidRDefault="00DE7279" w:rsidP="00DE7279">
      <w:pPr>
        <w:spacing w:line="240" w:lineRule="auto"/>
        <w:rPr>
          <w:rFonts w:ascii="Arial" w:eastAsia="Times New Roman" w:hAnsi="Arial" w:cs="Arial"/>
          <w:color w:val="231F20"/>
          <w:sz w:val="24"/>
          <w:szCs w:val="24"/>
          <w:lang w:eastAsia="en-GB"/>
        </w:rPr>
      </w:pPr>
      <w:r>
        <w:rPr>
          <w:rFonts w:ascii="Arial" w:hAnsi="Arial" w:cs="Arial"/>
          <w:sz w:val="24"/>
          <w:szCs w:val="24"/>
        </w:rPr>
        <w:t xml:space="preserve">Bartley, A. and Hashemi, L. (2021) ‘Quantitative data analysis and interpretation’, in </w:t>
      </w:r>
      <w:proofErr w:type="spellStart"/>
      <w:r>
        <w:rPr>
          <w:rFonts w:ascii="Arial" w:hAnsi="Arial" w:cs="Arial"/>
          <w:color w:val="222222"/>
          <w:sz w:val="24"/>
          <w:szCs w:val="24"/>
          <w:shd w:val="clear" w:color="auto" w:fill="FFFFFF"/>
        </w:rPr>
        <w:t>Fouché</w:t>
      </w:r>
      <w:proofErr w:type="spellEnd"/>
      <w:r>
        <w:rPr>
          <w:rFonts w:ascii="Arial" w:hAnsi="Arial" w:cs="Arial"/>
          <w:color w:val="222222"/>
          <w:sz w:val="24"/>
          <w:szCs w:val="24"/>
          <w:shd w:val="clear" w:color="auto" w:fill="FFFFFF"/>
        </w:rPr>
        <w:t xml:space="preserve">, C.B., Strydom, H.C. and </w:t>
      </w:r>
      <w:proofErr w:type="spellStart"/>
      <w:r>
        <w:rPr>
          <w:rFonts w:ascii="Arial" w:hAnsi="Arial" w:cs="Arial"/>
          <w:color w:val="222222"/>
          <w:sz w:val="24"/>
          <w:szCs w:val="24"/>
          <w:shd w:val="clear" w:color="auto" w:fill="FFFFFF"/>
        </w:rPr>
        <w:t>Roestenburg</w:t>
      </w:r>
      <w:proofErr w:type="spellEnd"/>
      <w:r>
        <w:rPr>
          <w:rFonts w:ascii="Arial" w:hAnsi="Arial" w:cs="Arial"/>
          <w:color w:val="222222"/>
          <w:sz w:val="24"/>
          <w:szCs w:val="24"/>
          <w:shd w:val="clear" w:color="auto" w:fill="FFFFFF"/>
        </w:rPr>
        <w:t xml:space="preserve">, V. (eds) </w:t>
      </w:r>
      <w:r>
        <w:rPr>
          <w:rFonts w:ascii="Arial" w:hAnsi="Arial" w:cs="Arial"/>
          <w:i/>
          <w:iCs/>
          <w:color w:val="222222"/>
          <w:sz w:val="24"/>
          <w:szCs w:val="24"/>
          <w:shd w:val="clear" w:color="auto" w:fill="FFFFFF"/>
        </w:rPr>
        <w:t>Research at grass roots: For the social sciences and human services professions</w:t>
      </w:r>
      <w:r>
        <w:rPr>
          <w:rFonts w:ascii="Arial" w:hAnsi="Arial" w:cs="Arial"/>
          <w:color w:val="222222"/>
          <w:sz w:val="24"/>
          <w:szCs w:val="24"/>
          <w:shd w:val="clear" w:color="auto" w:fill="FFFFFF"/>
        </w:rPr>
        <w:t xml:space="preserve">. Pretoria: Van Schaik, </w:t>
      </w:r>
      <w:r>
        <w:rPr>
          <w:rFonts w:ascii="Arial" w:eastAsia="Times New Roman" w:hAnsi="Arial" w:cs="Arial"/>
          <w:color w:val="231F20"/>
          <w:sz w:val="24"/>
          <w:szCs w:val="24"/>
          <w:lang w:eastAsia="en-GB"/>
        </w:rPr>
        <w:t>pp. 249-285</w:t>
      </w:r>
    </w:p>
    <w:p w14:paraId="5149ACF8"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Bernacki</w:t>
      </w:r>
      <w:proofErr w:type="spellEnd"/>
      <w:r w:rsidRPr="009C66F9">
        <w:rPr>
          <w:rFonts w:ascii="Arial" w:eastAsia="Times New Roman" w:hAnsi="Arial" w:cs="Arial"/>
          <w:sz w:val="24"/>
          <w:szCs w:val="24"/>
          <w:lang w:eastAsia="en-GB"/>
        </w:rPr>
        <w:t xml:space="preserve">, R.E. and Block, S.D. (2014) ‘Communication about serious illness care goals’, </w:t>
      </w:r>
      <w:r w:rsidRPr="009C66F9">
        <w:rPr>
          <w:rFonts w:ascii="Arial" w:eastAsia="Times New Roman" w:hAnsi="Arial" w:cs="Arial"/>
          <w:i/>
          <w:iCs/>
          <w:sz w:val="24"/>
          <w:szCs w:val="24"/>
          <w:lang w:eastAsia="en-GB"/>
        </w:rPr>
        <w:t>JAMA Internal Medicine</w:t>
      </w:r>
      <w:r w:rsidRPr="009C66F9">
        <w:rPr>
          <w:rFonts w:ascii="Arial" w:eastAsia="Times New Roman" w:hAnsi="Arial" w:cs="Arial"/>
          <w:sz w:val="24"/>
          <w:szCs w:val="24"/>
          <w:lang w:eastAsia="en-GB"/>
        </w:rPr>
        <w:t>, 174(12), pp. 1994. Available at: https://doi.org/10.1001/jamainternmed.2014.5271</w:t>
      </w:r>
    </w:p>
    <w:p w14:paraId="127D77C5"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Blanes-Selva, V., Ruiz-Garcia, V., </w:t>
      </w:r>
      <w:proofErr w:type="spellStart"/>
      <w:r w:rsidRPr="009C66F9">
        <w:rPr>
          <w:rFonts w:ascii="Arial" w:eastAsia="Times New Roman" w:hAnsi="Arial" w:cs="Arial"/>
          <w:sz w:val="24"/>
          <w:szCs w:val="24"/>
          <w:lang w:eastAsia="en-GB"/>
        </w:rPr>
        <w:t>Tortajada</w:t>
      </w:r>
      <w:proofErr w:type="spellEnd"/>
      <w:r w:rsidRPr="009C66F9">
        <w:rPr>
          <w:rFonts w:ascii="Arial" w:eastAsia="Times New Roman" w:hAnsi="Arial" w:cs="Arial"/>
          <w:sz w:val="24"/>
          <w:szCs w:val="24"/>
          <w:lang w:eastAsia="en-GB"/>
        </w:rPr>
        <w:t xml:space="preserve">, S., </w:t>
      </w:r>
      <w:proofErr w:type="spellStart"/>
      <w:r w:rsidRPr="009C66F9">
        <w:rPr>
          <w:rFonts w:ascii="Arial" w:eastAsia="Times New Roman" w:hAnsi="Arial" w:cs="Arial"/>
          <w:sz w:val="24"/>
          <w:szCs w:val="24"/>
          <w:lang w:eastAsia="en-GB"/>
        </w:rPr>
        <w:t>Benedi</w:t>
      </w:r>
      <w:proofErr w:type="spellEnd"/>
      <w:r w:rsidRPr="009C66F9">
        <w:rPr>
          <w:rFonts w:ascii="Arial" w:eastAsia="Times New Roman" w:hAnsi="Arial" w:cs="Arial"/>
          <w:sz w:val="24"/>
          <w:szCs w:val="24"/>
          <w:lang w:eastAsia="en-GB"/>
        </w:rPr>
        <w:t xml:space="preserve">, J. </w:t>
      </w:r>
      <w:proofErr w:type="spellStart"/>
      <w:r w:rsidRPr="009C66F9">
        <w:rPr>
          <w:rFonts w:ascii="Arial" w:eastAsia="Times New Roman" w:hAnsi="Arial" w:cs="Arial"/>
          <w:sz w:val="24"/>
          <w:szCs w:val="24"/>
          <w:lang w:eastAsia="en-GB"/>
        </w:rPr>
        <w:t>Valdivieso</w:t>
      </w:r>
      <w:proofErr w:type="spellEnd"/>
      <w:r w:rsidRPr="009C66F9">
        <w:rPr>
          <w:rFonts w:ascii="Arial" w:eastAsia="Times New Roman" w:hAnsi="Arial" w:cs="Arial"/>
          <w:sz w:val="24"/>
          <w:szCs w:val="24"/>
          <w:lang w:eastAsia="en-GB"/>
        </w:rPr>
        <w:t xml:space="preserve">, B. and Garcia-Gomez, J. (2021) ‘Design of 1-year mortality forecast at hospital admission: A machine learning approach’, </w:t>
      </w:r>
      <w:r w:rsidRPr="009C66F9">
        <w:rPr>
          <w:rFonts w:ascii="Arial" w:eastAsia="Times New Roman" w:hAnsi="Arial" w:cs="Arial"/>
          <w:i/>
          <w:iCs/>
          <w:sz w:val="24"/>
          <w:szCs w:val="24"/>
          <w:lang w:eastAsia="en-GB"/>
        </w:rPr>
        <w:t>Health Informatics Journal</w:t>
      </w:r>
      <w:r w:rsidRPr="009C66F9">
        <w:rPr>
          <w:rFonts w:ascii="Arial" w:eastAsia="Times New Roman" w:hAnsi="Arial" w:cs="Arial"/>
          <w:sz w:val="24"/>
          <w:szCs w:val="24"/>
          <w:lang w:eastAsia="en-GB"/>
        </w:rPr>
        <w:t>, 27(1). Available at: https://doi.org/10.1177/1460458220987580</w:t>
      </w:r>
    </w:p>
    <w:p w14:paraId="2243B12F" w14:textId="77777777" w:rsidR="00A1103D" w:rsidRDefault="00A1103D" w:rsidP="00DE7279">
      <w:pPr>
        <w:spacing w:line="240" w:lineRule="auto"/>
        <w:rPr>
          <w:rFonts w:ascii="Arial" w:eastAsia="Times New Roman" w:hAnsi="Arial" w:cs="Arial"/>
          <w:sz w:val="24"/>
          <w:szCs w:val="24"/>
          <w:lang w:eastAsia="en-GB"/>
        </w:rPr>
      </w:pPr>
      <w:r w:rsidRPr="00D25C90">
        <w:rPr>
          <w:rFonts w:ascii="Arial" w:hAnsi="Arial" w:cs="Arial"/>
          <w:color w:val="1B1B1B"/>
          <w:sz w:val="24"/>
          <w:szCs w:val="24"/>
          <w:shd w:val="clear" w:color="auto" w:fill="FFFFFF"/>
        </w:rPr>
        <w:t xml:space="preserve">Borges do Nascimento, I.J., </w:t>
      </w:r>
      <w:proofErr w:type="spellStart"/>
      <w:r w:rsidRPr="00D25C90">
        <w:rPr>
          <w:rFonts w:ascii="Arial" w:hAnsi="Arial" w:cs="Arial"/>
          <w:color w:val="1B1B1B"/>
          <w:sz w:val="24"/>
          <w:szCs w:val="24"/>
          <w:shd w:val="clear" w:color="auto" w:fill="FFFFFF"/>
        </w:rPr>
        <w:t>Abdulazeem</w:t>
      </w:r>
      <w:proofErr w:type="spellEnd"/>
      <w:r w:rsidRPr="00D25C90">
        <w:rPr>
          <w:rFonts w:ascii="Arial" w:hAnsi="Arial" w:cs="Arial"/>
          <w:color w:val="1B1B1B"/>
          <w:sz w:val="24"/>
          <w:szCs w:val="24"/>
          <w:shd w:val="clear" w:color="auto" w:fill="FFFFFF"/>
        </w:rPr>
        <w:t xml:space="preserve">, H., </w:t>
      </w:r>
      <w:proofErr w:type="spellStart"/>
      <w:r w:rsidRPr="00D25C90">
        <w:rPr>
          <w:rFonts w:ascii="Arial" w:hAnsi="Arial" w:cs="Arial"/>
          <w:color w:val="1B1B1B"/>
          <w:sz w:val="24"/>
          <w:szCs w:val="24"/>
          <w:shd w:val="clear" w:color="auto" w:fill="FFFFFF"/>
        </w:rPr>
        <w:t>Vasanthan</w:t>
      </w:r>
      <w:proofErr w:type="spellEnd"/>
      <w:r w:rsidRPr="00D25C90">
        <w:rPr>
          <w:rFonts w:ascii="Arial" w:hAnsi="Arial" w:cs="Arial"/>
          <w:color w:val="1B1B1B"/>
          <w:sz w:val="24"/>
          <w:szCs w:val="24"/>
          <w:shd w:val="clear" w:color="auto" w:fill="FFFFFF"/>
        </w:rPr>
        <w:t xml:space="preserve">, L.T., Martinez, E.Z., </w:t>
      </w:r>
      <w:proofErr w:type="spellStart"/>
      <w:r w:rsidRPr="00D25C90">
        <w:rPr>
          <w:rFonts w:ascii="Arial" w:hAnsi="Arial" w:cs="Arial"/>
          <w:color w:val="1B1B1B"/>
          <w:sz w:val="24"/>
          <w:szCs w:val="24"/>
          <w:shd w:val="clear" w:color="auto" w:fill="FFFFFF"/>
        </w:rPr>
        <w:t>Zucoloto</w:t>
      </w:r>
      <w:proofErr w:type="spellEnd"/>
      <w:r w:rsidRPr="00D25C90">
        <w:rPr>
          <w:rFonts w:ascii="Arial" w:hAnsi="Arial" w:cs="Arial"/>
          <w:color w:val="1B1B1B"/>
          <w:sz w:val="24"/>
          <w:szCs w:val="24"/>
          <w:shd w:val="clear" w:color="auto" w:fill="FFFFFF"/>
        </w:rPr>
        <w:t xml:space="preserve">, M.L., </w:t>
      </w:r>
      <w:proofErr w:type="spellStart"/>
      <w:r w:rsidRPr="00D25C90">
        <w:rPr>
          <w:rFonts w:ascii="Arial" w:hAnsi="Arial" w:cs="Arial"/>
          <w:color w:val="1B1B1B"/>
          <w:sz w:val="24"/>
          <w:szCs w:val="24"/>
          <w:shd w:val="clear" w:color="auto" w:fill="FFFFFF"/>
        </w:rPr>
        <w:t>Østengaard</w:t>
      </w:r>
      <w:proofErr w:type="spellEnd"/>
      <w:r w:rsidRPr="00D25C90">
        <w:rPr>
          <w:rFonts w:ascii="Arial" w:hAnsi="Arial" w:cs="Arial"/>
          <w:color w:val="1B1B1B"/>
          <w:sz w:val="24"/>
          <w:szCs w:val="24"/>
          <w:shd w:val="clear" w:color="auto" w:fill="FFFFFF"/>
        </w:rPr>
        <w:t xml:space="preserve">, L., Azzopardi-Muscat, N., Zapata, T. and Novillo-Ortiz, D. (2023) ‘Barriers and facilitators to utilizing digital health technologies by healthcare professionals’, </w:t>
      </w:r>
      <w:proofErr w:type="spellStart"/>
      <w:r w:rsidRPr="00D25C90">
        <w:rPr>
          <w:rFonts w:ascii="Arial" w:hAnsi="Arial" w:cs="Arial"/>
          <w:color w:val="1B1B1B"/>
          <w:sz w:val="24"/>
          <w:szCs w:val="24"/>
          <w:shd w:val="clear" w:color="auto" w:fill="FFFFFF"/>
        </w:rPr>
        <w:t>npj</w:t>
      </w:r>
      <w:proofErr w:type="spellEnd"/>
      <w:r w:rsidRPr="00D25C90">
        <w:rPr>
          <w:rFonts w:ascii="Arial" w:hAnsi="Arial" w:cs="Arial"/>
          <w:color w:val="1B1B1B"/>
          <w:sz w:val="24"/>
          <w:szCs w:val="24"/>
          <w:shd w:val="clear" w:color="auto" w:fill="FFFFFF"/>
        </w:rPr>
        <w:t xml:space="preserve"> Digital Medicine, 6(1):161.</w:t>
      </w:r>
      <w:r>
        <w:rPr>
          <w:rFonts w:ascii="Arial" w:hAnsi="Arial" w:cs="Arial"/>
          <w:color w:val="1B1B1B"/>
          <w:sz w:val="24"/>
          <w:szCs w:val="24"/>
          <w:shd w:val="clear" w:color="auto" w:fill="FFFFFF"/>
        </w:rPr>
        <w:t xml:space="preserve"> </w:t>
      </w:r>
      <w:r w:rsidRPr="00CE0245">
        <w:rPr>
          <w:rFonts w:ascii="Arial" w:eastAsia="Times New Roman" w:hAnsi="Arial" w:cs="Arial"/>
          <w:sz w:val="24"/>
          <w:szCs w:val="24"/>
          <w:lang w:eastAsia="en-GB"/>
        </w:rPr>
        <w:t>Available at: https://doi.org</w:t>
      </w:r>
      <w:r>
        <w:rPr>
          <w:rFonts w:ascii="Arial" w:eastAsia="Times New Roman" w:hAnsi="Arial" w:cs="Arial"/>
          <w:sz w:val="24"/>
          <w:szCs w:val="24"/>
          <w:lang w:eastAsia="en-GB"/>
        </w:rPr>
        <w:t>/</w:t>
      </w:r>
      <w:r w:rsidRPr="00EC3CEB">
        <w:rPr>
          <w:rFonts w:ascii="Arial" w:eastAsia="Times New Roman" w:hAnsi="Arial" w:cs="Arial"/>
          <w:sz w:val="24"/>
          <w:szCs w:val="24"/>
          <w:lang w:eastAsia="en-GB"/>
        </w:rPr>
        <w:t>10.1038/s41746-023-00899-4</w:t>
      </w:r>
    </w:p>
    <w:p w14:paraId="72687397" w14:textId="7F595CA2"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Bowers, A., Drake, C., </w:t>
      </w:r>
      <w:proofErr w:type="spellStart"/>
      <w:r w:rsidRPr="009C66F9">
        <w:rPr>
          <w:rFonts w:ascii="Arial" w:eastAsia="Times New Roman" w:hAnsi="Arial" w:cs="Arial"/>
          <w:sz w:val="24"/>
          <w:szCs w:val="24"/>
          <w:lang w:eastAsia="en-GB"/>
        </w:rPr>
        <w:t>Makarkin</w:t>
      </w:r>
      <w:proofErr w:type="spellEnd"/>
      <w:r w:rsidRPr="009C66F9">
        <w:rPr>
          <w:rFonts w:ascii="Arial" w:eastAsia="Times New Roman" w:hAnsi="Arial" w:cs="Arial"/>
          <w:sz w:val="24"/>
          <w:szCs w:val="24"/>
          <w:lang w:eastAsia="en-GB"/>
        </w:rPr>
        <w:t xml:space="preserve">, A., </w:t>
      </w:r>
      <w:proofErr w:type="spellStart"/>
      <w:r w:rsidRPr="009C66F9">
        <w:rPr>
          <w:rFonts w:ascii="Arial" w:eastAsia="Times New Roman" w:hAnsi="Arial" w:cs="Arial"/>
          <w:sz w:val="24"/>
          <w:szCs w:val="24"/>
          <w:lang w:eastAsia="en-GB"/>
        </w:rPr>
        <w:t>Monzyk</w:t>
      </w:r>
      <w:proofErr w:type="spellEnd"/>
      <w:r w:rsidRPr="009C66F9">
        <w:rPr>
          <w:rFonts w:ascii="Arial" w:eastAsia="Times New Roman" w:hAnsi="Arial" w:cs="Arial"/>
          <w:sz w:val="24"/>
          <w:szCs w:val="24"/>
          <w:lang w:eastAsia="en-GB"/>
        </w:rPr>
        <w:t xml:space="preserve">, R., </w:t>
      </w:r>
      <w:proofErr w:type="spellStart"/>
      <w:r w:rsidRPr="009C66F9">
        <w:rPr>
          <w:rFonts w:ascii="Arial" w:eastAsia="Times New Roman" w:hAnsi="Arial" w:cs="Arial"/>
          <w:sz w:val="24"/>
          <w:szCs w:val="24"/>
          <w:lang w:eastAsia="en-GB"/>
        </w:rPr>
        <w:t>Maity</w:t>
      </w:r>
      <w:proofErr w:type="spellEnd"/>
      <w:r w:rsidRPr="009C66F9">
        <w:rPr>
          <w:rFonts w:ascii="Arial" w:eastAsia="Times New Roman" w:hAnsi="Arial" w:cs="Arial"/>
          <w:sz w:val="24"/>
          <w:szCs w:val="24"/>
          <w:lang w:eastAsia="en-GB"/>
        </w:rPr>
        <w:t xml:space="preserve">, B. and Telle, A. (2023) ‘Predicting patient mortality for earlier palliative care identification in Medicare advantage plans: features of a machine learning model’, </w:t>
      </w:r>
      <w:r w:rsidRPr="009C66F9">
        <w:rPr>
          <w:rFonts w:ascii="Arial" w:eastAsia="Times New Roman" w:hAnsi="Arial" w:cs="Arial"/>
          <w:i/>
          <w:iCs/>
          <w:sz w:val="24"/>
          <w:szCs w:val="24"/>
          <w:lang w:eastAsia="en-GB"/>
        </w:rPr>
        <w:t>Journal of Medical Internet Research Artificial Intelligence</w:t>
      </w:r>
      <w:r w:rsidRPr="009C66F9">
        <w:rPr>
          <w:rFonts w:ascii="Arial" w:eastAsia="Times New Roman" w:hAnsi="Arial" w:cs="Arial"/>
          <w:sz w:val="24"/>
          <w:szCs w:val="24"/>
          <w:lang w:eastAsia="en-GB"/>
        </w:rPr>
        <w:t>, 2, pp. e42253. Available at: https://doi.org/10.2196/42253</w:t>
      </w:r>
    </w:p>
    <w:p w14:paraId="2C275C72" w14:textId="77777777" w:rsidR="00DE7279" w:rsidRPr="00441B5D" w:rsidRDefault="00DE7279" w:rsidP="00DE7279">
      <w:pPr>
        <w:shd w:val="clear" w:color="auto" w:fill="FFFFFF"/>
        <w:spacing w:line="240" w:lineRule="auto"/>
        <w:rPr>
          <w:rFonts w:ascii="Arial" w:hAnsi="Arial" w:cs="Arial"/>
          <w:sz w:val="24"/>
          <w:szCs w:val="24"/>
        </w:rPr>
      </w:pPr>
      <w:r>
        <w:rPr>
          <w:rFonts w:ascii="Arial" w:hAnsi="Arial" w:cs="Arial"/>
          <w:sz w:val="24"/>
          <w:szCs w:val="24"/>
        </w:rPr>
        <w:lastRenderedPageBreak/>
        <w:t>Braun, V. and Clarke, V. (2006)</w:t>
      </w:r>
      <w:r w:rsidRPr="00EE42E1">
        <w:rPr>
          <w:rFonts w:ascii="Arial" w:hAnsi="Arial" w:cs="Arial"/>
          <w:sz w:val="24"/>
          <w:szCs w:val="24"/>
        </w:rPr>
        <w:t xml:space="preserve"> </w:t>
      </w:r>
      <w:r>
        <w:rPr>
          <w:rFonts w:ascii="Arial" w:hAnsi="Arial" w:cs="Arial"/>
          <w:sz w:val="24"/>
          <w:szCs w:val="24"/>
        </w:rPr>
        <w:t>‘</w:t>
      </w:r>
      <w:r w:rsidRPr="00EE42E1">
        <w:rPr>
          <w:rFonts w:ascii="Arial" w:hAnsi="Arial" w:cs="Arial"/>
          <w:sz w:val="24"/>
          <w:szCs w:val="24"/>
        </w:rPr>
        <w:t>Using thematic analysis in psychology</w:t>
      </w:r>
      <w:r>
        <w:rPr>
          <w:rFonts w:ascii="Arial" w:hAnsi="Arial" w:cs="Arial"/>
          <w:sz w:val="24"/>
          <w:szCs w:val="24"/>
        </w:rPr>
        <w:t>’,</w:t>
      </w:r>
      <w:r w:rsidRPr="00EE42E1">
        <w:rPr>
          <w:rFonts w:ascii="Arial" w:hAnsi="Arial" w:cs="Arial"/>
          <w:sz w:val="24"/>
          <w:szCs w:val="24"/>
        </w:rPr>
        <w:t xml:space="preserve"> </w:t>
      </w:r>
      <w:r w:rsidRPr="00EE42E1">
        <w:rPr>
          <w:rFonts w:ascii="Arial" w:hAnsi="Arial" w:cs="Arial"/>
          <w:i/>
          <w:sz w:val="24"/>
          <w:szCs w:val="24"/>
        </w:rPr>
        <w:t>Qualitative Research in Psychology</w:t>
      </w:r>
      <w:r w:rsidRPr="00EE42E1">
        <w:rPr>
          <w:rFonts w:ascii="Arial" w:hAnsi="Arial" w:cs="Arial"/>
          <w:sz w:val="24"/>
          <w:szCs w:val="24"/>
        </w:rPr>
        <w:t xml:space="preserve">, 3, pp. 77-101. </w:t>
      </w:r>
      <w:r w:rsidRPr="00F040F0">
        <w:rPr>
          <w:rFonts w:ascii="Arial" w:hAnsi="Arial" w:cs="Arial"/>
          <w:sz w:val="24"/>
          <w:szCs w:val="24"/>
        </w:rPr>
        <w:t xml:space="preserve">Available at </w:t>
      </w:r>
      <w:r w:rsidRPr="00441B5D">
        <w:rPr>
          <w:rFonts w:ascii="Arial" w:hAnsi="Arial" w:cs="Arial"/>
          <w:sz w:val="24"/>
          <w:szCs w:val="24"/>
        </w:rPr>
        <w:t>https://doi.org/10.1191/1478088706qp063oa</w:t>
      </w:r>
    </w:p>
    <w:p w14:paraId="7D124D2A" w14:textId="77777777" w:rsidR="00DE7279" w:rsidRPr="00300F4F" w:rsidRDefault="00DE7279" w:rsidP="00DE7279">
      <w:pPr>
        <w:rPr>
          <w:rFonts w:ascii="Arial" w:hAnsi="Arial" w:cs="Arial"/>
          <w:sz w:val="24"/>
          <w:szCs w:val="24"/>
        </w:rPr>
      </w:pPr>
      <w:r w:rsidRPr="00300F4F">
        <w:rPr>
          <w:rFonts w:ascii="Arial" w:hAnsi="Arial" w:cs="Arial"/>
          <w:sz w:val="24"/>
          <w:szCs w:val="24"/>
        </w:rPr>
        <w:t>British Geriatrics Society (2024) ‘</w:t>
      </w:r>
      <w:r w:rsidRPr="00300F4F">
        <w:rPr>
          <w:rFonts w:ascii="Arial" w:hAnsi="Arial" w:cs="Arial"/>
          <w:i/>
          <w:sz w:val="24"/>
          <w:szCs w:val="24"/>
        </w:rPr>
        <w:t>BGS Position Statement on Assisted Dying (Physician Assisted Suicide and Voluntary Active Euthanasia)</w:t>
      </w:r>
      <w:r w:rsidRPr="00300F4F">
        <w:rPr>
          <w:rFonts w:ascii="Arial" w:hAnsi="Arial" w:cs="Arial"/>
          <w:sz w:val="24"/>
          <w:szCs w:val="24"/>
        </w:rPr>
        <w:t>’. Available at: https://www.bgs.org.uk/bgs-position-statement-on-assisted-dying (Accessed 28 February 2025)</w:t>
      </w:r>
    </w:p>
    <w:p w14:paraId="42273699" w14:textId="77777777" w:rsidR="00DE7279" w:rsidRDefault="00DE7279" w:rsidP="00DE7279">
      <w:pPr>
        <w:spacing w:line="240" w:lineRule="auto"/>
        <w:rPr>
          <w:rFonts w:ascii="Arial" w:hAnsi="Arial" w:cs="Arial"/>
          <w:sz w:val="24"/>
          <w:szCs w:val="24"/>
        </w:rPr>
      </w:pPr>
      <w:r>
        <w:rPr>
          <w:rFonts w:ascii="Arial" w:hAnsi="Arial" w:cs="Arial"/>
          <w:sz w:val="24"/>
          <w:szCs w:val="24"/>
        </w:rPr>
        <w:t xml:space="preserve">Brown, R.F., St. John, A., Hu, Y. and Sandhu, G. (2024) ‘Differential Electronic Survey Response: Does Survey Fatigue Affect Everyone Equally?’, </w:t>
      </w:r>
      <w:r>
        <w:rPr>
          <w:rFonts w:ascii="Arial" w:hAnsi="Arial" w:cs="Arial"/>
          <w:i/>
          <w:sz w:val="24"/>
          <w:szCs w:val="24"/>
        </w:rPr>
        <w:t>Journal of Surgical Research</w:t>
      </w:r>
      <w:r>
        <w:rPr>
          <w:rFonts w:ascii="Arial" w:hAnsi="Arial" w:cs="Arial"/>
          <w:sz w:val="24"/>
          <w:szCs w:val="24"/>
        </w:rPr>
        <w:t>, 294, pp. 191-197,</w:t>
      </w:r>
      <w:r>
        <w:rPr>
          <w:rFonts w:ascii="Arial" w:hAnsi="Arial" w:cs="Arial"/>
          <w:color w:val="212121"/>
          <w:sz w:val="24"/>
          <w:szCs w:val="24"/>
          <w:shd w:val="clear" w:color="auto" w:fill="FFFFFF"/>
        </w:rPr>
        <w:t xml:space="preserve"> Available at </w:t>
      </w:r>
      <w:r>
        <w:rPr>
          <w:rFonts w:ascii="Arial" w:hAnsi="Arial" w:cs="Arial"/>
          <w:sz w:val="24"/>
          <w:szCs w:val="24"/>
        </w:rPr>
        <w:t>https://doi.org/10.1016/j.jss.2023.09.072</w:t>
      </w:r>
    </w:p>
    <w:p w14:paraId="75666C9C" w14:textId="77777777" w:rsidR="00DE7279" w:rsidRDefault="00DE7279" w:rsidP="00DE7279">
      <w:pPr>
        <w:spacing w:line="240" w:lineRule="auto"/>
        <w:rPr>
          <w:rFonts w:ascii="Arial" w:hAnsi="Arial" w:cs="Arial"/>
          <w:sz w:val="24"/>
          <w:szCs w:val="24"/>
        </w:rPr>
      </w:pPr>
      <w:r>
        <w:rPr>
          <w:rFonts w:ascii="Arial" w:hAnsi="Arial" w:cs="Arial"/>
          <w:sz w:val="24"/>
          <w:szCs w:val="24"/>
        </w:rPr>
        <w:t xml:space="preserve">Brunetti, L., </w:t>
      </w:r>
      <w:proofErr w:type="spellStart"/>
      <w:r>
        <w:rPr>
          <w:rFonts w:ascii="Arial" w:hAnsi="Arial" w:cs="Arial"/>
          <w:sz w:val="24"/>
          <w:szCs w:val="24"/>
        </w:rPr>
        <w:t>Santell</w:t>
      </w:r>
      <w:proofErr w:type="spellEnd"/>
      <w:r>
        <w:rPr>
          <w:rFonts w:ascii="Arial" w:hAnsi="Arial" w:cs="Arial"/>
          <w:sz w:val="24"/>
          <w:szCs w:val="24"/>
        </w:rPr>
        <w:t xml:space="preserve">, J.P. and Hicks, R.W. (2007) ‘The impact of abbreviations on patient safety’, </w:t>
      </w:r>
      <w:r>
        <w:rPr>
          <w:rFonts w:ascii="Arial" w:hAnsi="Arial" w:cs="Arial"/>
          <w:i/>
          <w:sz w:val="24"/>
          <w:szCs w:val="24"/>
        </w:rPr>
        <w:t>The Joint Commission Journal on Quality and Patient Safety</w:t>
      </w:r>
      <w:r>
        <w:rPr>
          <w:rFonts w:ascii="Arial" w:hAnsi="Arial" w:cs="Arial"/>
          <w:sz w:val="24"/>
          <w:szCs w:val="24"/>
        </w:rPr>
        <w:t xml:space="preserve">, 33(9), pp. 576–583. https://doi.org/10.1016/s1553-7250(07)33062-6 </w:t>
      </w:r>
    </w:p>
    <w:p w14:paraId="7561A57D" w14:textId="77777777" w:rsidR="00DE7279" w:rsidRDefault="00DE7279" w:rsidP="00DE7279">
      <w:pPr>
        <w:spacing w:line="240" w:lineRule="auto"/>
        <w:rPr>
          <w:rFonts w:ascii="Arial" w:hAnsi="Arial" w:cs="Arial"/>
          <w:sz w:val="24"/>
          <w:szCs w:val="24"/>
        </w:rPr>
      </w:pPr>
      <w:r>
        <w:rPr>
          <w:rFonts w:ascii="Arial" w:hAnsi="Arial" w:cs="Arial"/>
          <w:sz w:val="24"/>
          <w:szCs w:val="24"/>
        </w:rPr>
        <w:t>Burgess, R.G. (1984) </w:t>
      </w:r>
      <w:r>
        <w:rPr>
          <w:rFonts w:ascii="Arial" w:hAnsi="Arial" w:cs="Arial"/>
          <w:i/>
          <w:sz w:val="24"/>
          <w:szCs w:val="24"/>
        </w:rPr>
        <w:t>In the Field: An Introduction to Field Research</w:t>
      </w:r>
      <w:r>
        <w:rPr>
          <w:rFonts w:ascii="Arial" w:hAnsi="Arial" w:cs="Arial"/>
          <w:sz w:val="24"/>
          <w:szCs w:val="24"/>
        </w:rPr>
        <w:t>. London: Unwin Hyman.</w:t>
      </w:r>
    </w:p>
    <w:p w14:paraId="3E16A053" w14:textId="77777777" w:rsidR="00DE7279" w:rsidRPr="009C66F9" w:rsidRDefault="00DE7279" w:rsidP="00DE7279">
      <w:pPr>
        <w:spacing w:line="240" w:lineRule="auto"/>
        <w:rPr>
          <w:rFonts w:ascii="Arial" w:eastAsia="Times New Roman" w:hAnsi="Arial" w:cs="Arial"/>
          <w:sz w:val="24"/>
          <w:szCs w:val="24"/>
          <w:lang w:eastAsia="en-GB"/>
        </w:rPr>
      </w:pPr>
      <w:r w:rsidRPr="009A00D1">
        <w:rPr>
          <w:rFonts w:ascii="Arial" w:eastAsia="Times New Roman" w:hAnsi="Arial" w:cs="Arial"/>
          <w:sz w:val="24"/>
          <w:szCs w:val="24"/>
          <w:lang w:eastAsia="en-GB"/>
        </w:rPr>
        <w:t xml:space="preserve">Care Quality </w:t>
      </w:r>
      <w:proofErr w:type="spellStart"/>
      <w:r w:rsidRPr="009A00D1">
        <w:rPr>
          <w:rFonts w:ascii="Arial" w:eastAsia="Times New Roman" w:hAnsi="Arial" w:cs="Arial"/>
          <w:sz w:val="24"/>
          <w:szCs w:val="24"/>
          <w:lang w:eastAsia="en-GB"/>
        </w:rPr>
        <w:t>Commision</w:t>
      </w:r>
      <w:proofErr w:type="spellEnd"/>
      <w:r w:rsidRPr="009A00D1">
        <w:rPr>
          <w:rFonts w:ascii="Arial" w:eastAsia="Times New Roman" w:hAnsi="Arial" w:cs="Arial"/>
          <w:sz w:val="24"/>
          <w:szCs w:val="24"/>
          <w:lang w:eastAsia="en-GB"/>
        </w:rPr>
        <w:t xml:space="preserve"> (2021) ‘</w:t>
      </w:r>
      <w:r w:rsidRPr="009A00D1">
        <w:rPr>
          <w:rFonts w:ascii="Arial" w:eastAsia="Times New Roman" w:hAnsi="Arial" w:cs="Arial"/>
          <w:i/>
          <w:iCs/>
          <w:sz w:val="24"/>
          <w:szCs w:val="24"/>
          <w:lang w:eastAsia="en-GB"/>
        </w:rPr>
        <w:t>Protect, respect, connect-decisions about living and</w:t>
      </w:r>
      <w:r w:rsidRPr="009C66F9">
        <w:rPr>
          <w:rFonts w:ascii="Arial" w:eastAsia="Times New Roman" w:hAnsi="Arial" w:cs="Arial"/>
          <w:i/>
          <w:iCs/>
          <w:sz w:val="24"/>
          <w:szCs w:val="24"/>
          <w:lang w:eastAsia="en-GB"/>
        </w:rPr>
        <w:t xml:space="preserve"> dying well during COVID-19’</w:t>
      </w:r>
      <w:r w:rsidRPr="009C66F9">
        <w:rPr>
          <w:rFonts w:ascii="Arial" w:eastAsia="Times New Roman" w:hAnsi="Arial" w:cs="Arial"/>
          <w:sz w:val="24"/>
          <w:szCs w:val="24"/>
          <w:lang w:eastAsia="en-GB"/>
        </w:rPr>
        <w:t xml:space="preserve"> Available at: https://www.cqc.org.uk/sites/default/files/20210318_dnacpr_printer-version.pdf (Accessed 14 February 2025)</w:t>
      </w:r>
    </w:p>
    <w:p w14:paraId="051169FF" w14:textId="77777777" w:rsidR="00DE7279" w:rsidRDefault="00DE7279" w:rsidP="00DE7279">
      <w:pPr>
        <w:spacing w:line="240" w:lineRule="auto"/>
        <w:rPr>
          <w:rFonts w:ascii="Arial" w:hAnsi="Arial" w:cs="Arial"/>
          <w:sz w:val="24"/>
          <w:szCs w:val="24"/>
        </w:rPr>
      </w:pPr>
      <w:r>
        <w:rPr>
          <w:rFonts w:ascii="Arial" w:hAnsi="Arial" w:cs="Arial"/>
          <w:sz w:val="24"/>
          <w:szCs w:val="24"/>
        </w:rPr>
        <w:t xml:space="preserve">Carey, M.A. and Smith, M.W. (1994) ‘Capturing the group effect in focus groups: A special concern in analysis’, </w:t>
      </w:r>
      <w:r>
        <w:rPr>
          <w:rFonts w:ascii="Arial" w:hAnsi="Arial" w:cs="Arial"/>
          <w:i/>
          <w:sz w:val="24"/>
          <w:szCs w:val="24"/>
        </w:rPr>
        <w:t>Qualitative Health Research</w:t>
      </w:r>
      <w:r>
        <w:rPr>
          <w:rFonts w:ascii="Arial" w:hAnsi="Arial" w:cs="Arial"/>
          <w:sz w:val="24"/>
          <w:szCs w:val="24"/>
        </w:rPr>
        <w:t>, 4(1), pp. 123-127. Available at h</w:t>
      </w:r>
      <w:r>
        <w:rPr>
          <w:rFonts w:ascii="Arial" w:hAnsi="Arial" w:cs="Arial"/>
          <w:sz w:val="24"/>
          <w:szCs w:val="24"/>
          <w:shd w:val="clear" w:color="auto" w:fill="FFFFFF"/>
        </w:rPr>
        <w:t>ttps://doi.org/10.1177/1049732394004001</w:t>
      </w:r>
    </w:p>
    <w:p w14:paraId="081C06F3"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Cary, M.P., Zhuang, F., </w:t>
      </w:r>
      <w:proofErr w:type="spellStart"/>
      <w:r w:rsidRPr="009C66F9">
        <w:rPr>
          <w:rFonts w:ascii="Arial" w:eastAsia="Times New Roman" w:hAnsi="Arial" w:cs="Arial"/>
          <w:sz w:val="24"/>
          <w:szCs w:val="24"/>
          <w:lang w:eastAsia="en-GB"/>
        </w:rPr>
        <w:t>Draelos</w:t>
      </w:r>
      <w:proofErr w:type="spellEnd"/>
      <w:r w:rsidRPr="009C66F9">
        <w:rPr>
          <w:rFonts w:ascii="Arial" w:eastAsia="Times New Roman" w:hAnsi="Arial" w:cs="Arial"/>
          <w:sz w:val="24"/>
          <w:szCs w:val="24"/>
          <w:lang w:eastAsia="en-GB"/>
        </w:rPr>
        <w:t xml:space="preserve">, R., Pan, W., </w:t>
      </w:r>
      <w:proofErr w:type="spellStart"/>
      <w:r w:rsidRPr="009C66F9">
        <w:rPr>
          <w:rFonts w:ascii="Arial" w:eastAsia="Times New Roman" w:hAnsi="Arial" w:cs="Arial"/>
          <w:sz w:val="24"/>
          <w:szCs w:val="24"/>
          <w:lang w:eastAsia="en-GB"/>
        </w:rPr>
        <w:t>Amarasekara</w:t>
      </w:r>
      <w:proofErr w:type="spellEnd"/>
      <w:r w:rsidRPr="009C66F9">
        <w:rPr>
          <w:rFonts w:ascii="Arial" w:eastAsia="Times New Roman" w:hAnsi="Arial" w:cs="Arial"/>
          <w:sz w:val="24"/>
          <w:szCs w:val="24"/>
          <w:lang w:eastAsia="en-GB"/>
        </w:rPr>
        <w:t xml:space="preserve">, S., </w:t>
      </w:r>
      <w:proofErr w:type="spellStart"/>
      <w:r w:rsidRPr="009C66F9">
        <w:rPr>
          <w:rFonts w:ascii="Arial" w:eastAsia="Times New Roman" w:hAnsi="Arial" w:cs="Arial"/>
          <w:sz w:val="24"/>
          <w:szCs w:val="24"/>
          <w:lang w:eastAsia="en-GB"/>
        </w:rPr>
        <w:t>Douthit</w:t>
      </w:r>
      <w:proofErr w:type="spellEnd"/>
      <w:r w:rsidRPr="009C66F9">
        <w:rPr>
          <w:rFonts w:ascii="Arial" w:eastAsia="Times New Roman" w:hAnsi="Arial" w:cs="Arial"/>
          <w:sz w:val="24"/>
          <w:szCs w:val="24"/>
          <w:lang w:eastAsia="en-GB"/>
        </w:rPr>
        <w:t>, B., Kang, Y. and Colon-</w:t>
      </w:r>
      <w:proofErr w:type="spellStart"/>
      <w:r w:rsidRPr="009C66F9">
        <w:rPr>
          <w:rFonts w:ascii="Arial" w:eastAsia="Times New Roman" w:hAnsi="Arial" w:cs="Arial"/>
          <w:sz w:val="24"/>
          <w:szCs w:val="24"/>
          <w:lang w:eastAsia="en-GB"/>
        </w:rPr>
        <w:t>Emeric</w:t>
      </w:r>
      <w:proofErr w:type="spellEnd"/>
      <w:r w:rsidRPr="009C66F9">
        <w:rPr>
          <w:rFonts w:ascii="Arial" w:eastAsia="Times New Roman" w:hAnsi="Arial" w:cs="Arial"/>
          <w:sz w:val="24"/>
          <w:szCs w:val="24"/>
          <w:lang w:eastAsia="en-GB"/>
        </w:rPr>
        <w:t xml:space="preserve">, C. (2021) ‘Machine learning algorithms to predict mortality and allocate palliative care for older patients with hip fracture’, </w:t>
      </w:r>
      <w:r w:rsidRPr="009C66F9">
        <w:rPr>
          <w:rFonts w:ascii="Arial" w:eastAsia="Times New Roman" w:hAnsi="Arial" w:cs="Arial"/>
          <w:i/>
          <w:iCs/>
          <w:sz w:val="24"/>
          <w:szCs w:val="24"/>
          <w:lang w:eastAsia="en-GB"/>
        </w:rPr>
        <w:t>Journal of the American Medical Directors Association</w:t>
      </w:r>
      <w:r w:rsidRPr="009C66F9">
        <w:rPr>
          <w:rFonts w:ascii="Arial" w:eastAsia="Times New Roman" w:hAnsi="Arial" w:cs="Arial"/>
          <w:sz w:val="24"/>
          <w:szCs w:val="24"/>
          <w:lang w:eastAsia="en-GB"/>
        </w:rPr>
        <w:t>, 22(2), pp. 291–296. Available at: https://doi.org/10.1016/j.jamda.2020.09.025</w:t>
      </w:r>
    </w:p>
    <w:p w14:paraId="36434B4E"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Cho, C.K.J., Vahedi, E., Wu, J., Dean, M., </w:t>
      </w:r>
      <w:proofErr w:type="spellStart"/>
      <w:r w:rsidRPr="009C66F9">
        <w:rPr>
          <w:rFonts w:ascii="Arial" w:eastAsia="Times New Roman" w:hAnsi="Arial" w:cs="Arial"/>
          <w:sz w:val="24"/>
          <w:szCs w:val="24"/>
          <w:lang w:eastAsia="en-GB"/>
        </w:rPr>
        <w:t>Studenski</w:t>
      </w:r>
      <w:proofErr w:type="spellEnd"/>
      <w:r w:rsidRPr="009C66F9">
        <w:rPr>
          <w:rFonts w:ascii="Arial" w:eastAsia="Times New Roman" w:hAnsi="Arial" w:cs="Arial"/>
          <w:sz w:val="24"/>
          <w:szCs w:val="24"/>
          <w:lang w:eastAsia="en-GB"/>
        </w:rPr>
        <w:t xml:space="preserve">, M., </w:t>
      </w:r>
      <w:proofErr w:type="spellStart"/>
      <w:r w:rsidRPr="009C66F9">
        <w:rPr>
          <w:rFonts w:ascii="Arial" w:eastAsia="Times New Roman" w:hAnsi="Arial" w:cs="Arial"/>
          <w:sz w:val="24"/>
          <w:szCs w:val="24"/>
          <w:lang w:eastAsia="en-GB"/>
        </w:rPr>
        <w:t>Paez</w:t>
      </w:r>
      <w:proofErr w:type="spellEnd"/>
      <w:r w:rsidRPr="009C66F9">
        <w:rPr>
          <w:rFonts w:ascii="Arial" w:eastAsia="Times New Roman" w:hAnsi="Arial" w:cs="Arial"/>
          <w:sz w:val="24"/>
          <w:szCs w:val="24"/>
          <w:lang w:eastAsia="en-GB"/>
        </w:rPr>
        <w:t xml:space="preserve">-Escamilla, M., Walter, S., </w:t>
      </w:r>
      <w:proofErr w:type="spellStart"/>
      <w:r w:rsidRPr="009C66F9">
        <w:rPr>
          <w:rFonts w:ascii="Arial" w:eastAsia="Times New Roman" w:hAnsi="Arial" w:cs="Arial"/>
          <w:sz w:val="24"/>
          <w:szCs w:val="24"/>
          <w:lang w:eastAsia="en-GB"/>
        </w:rPr>
        <w:t>Markoe</w:t>
      </w:r>
      <w:proofErr w:type="spellEnd"/>
      <w:r w:rsidRPr="009C66F9">
        <w:rPr>
          <w:rFonts w:ascii="Arial" w:eastAsia="Times New Roman" w:hAnsi="Arial" w:cs="Arial"/>
          <w:sz w:val="24"/>
          <w:szCs w:val="24"/>
          <w:lang w:eastAsia="en-GB"/>
        </w:rPr>
        <w:t>, A., Harbour J. and Samuels, S. (2018) ‘</w:t>
      </w:r>
      <w:r w:rsidRPr="009C66F9">
        <w:rPr>
          <w:rFonts w:ascii="Arial" w:eastAsia="Times New Roman" w:hAnsi="Arial" w:cs="Arial"/>
          <w:iCs/>
          <w:sz w:val="24"/>
          <w:szCs w:val="24"/>
          <w:lang w:eastAsia="en-GB"/>
        </w:rPr>
        <w:t xml:space="preserve">The Development of a Prediction Model using Deep Learning for Short Term Prognosis in Patients Seen in a Palliative Rapid Access Clinic </w:t>
      </w:r>
      <w:proofErr w:type="spellStart"/>
      <w:r w:rsidRPr="009C66F9">
        <w:rPr>
          <w:rFonts w:ascii="Arial" w:eastAsia="Times New Roman" w:hAnsi="Arial" w:cs="Arial"/>
          <w:iCs/>
          <w:sz w:val="24"/>
          <w:szCs w:val="24"/>
          <w:lang w:eastAsia="en-GB"/>
        </w:rPr>
        <w:t>Dosimetric</w:t>
      </w:r>
      <w:proofErr w:type="spellEnd"/>
      <w:r w:rsidRPr="009C66F9">
        <w:rPr>
          <w:rFonts w:ascii="Arial" w:eastAsia="Times New Roman" w:hAnsi="Arial" w:cs="Arial"/>
          <w:iCs/>
          <w:sz w:val="24"/>
          <w:szCs w:val="24"/>
          <w:lang w:eastAsia="en-GB"/>
        </w:rPr>
        <w:t xml:space="preserve"> Comparison of COMS and Circular Eye Physics Plaques to Treat Uveal Melanoma</w:t>
      </w:r>
      <w:r w:rsidRPr="009C66F9">
        <w:rPr>
          <w:rFonts w:ascii="Arial" w:eastAsia="Times New Roman" w:hAnsi="Arial" w:cs="Arial"/>
          <w:sz w:val="24"/>
          <w:szCs w:val="24"/>
          <w:lang w:eastAsia="en-GB"/>
        </w:rPr>
        <w:t xml:space="preserve">’, </w:t>
      </w:r>
      <w:r w:rsidRPr="009C66F9">
        <w:rPr>
          <w:rFonts w:ascii="Arial" w:eastAsia="Times New Roman" w:hAnsi="Arial" w:cs="Arial"/>
          <w:i/>
          <w:sz w:val="24"/>
          <w:szCs w:val="24"/>
          <w:lang w:eastAsia="en-GB"/>
        </w:rPr>
        <w:t>International Journal of Radiation Oncology</w:t>
      </w:r>
      <w:r w:rsidRPr="009C66F9">
        <w:rPr>
          <w:rFonts w:ascii="Arial" w:eastAsia="Times New Roman" w:hAnsi="Arial" w:cs="Arial"/>
          <w:sz w:val="24"/>
          <w:szCs w:val="24"/>
          <w:lang w:eastAsia="en-GB"/>
        </w:rPr>
        <w:t xml:space="preserve">, 102(3S), pp e261. Available at: https://www.redjournal.org/article/S0360-3016(18)32307-1/pdf (Accessed 14 February 2025). </w:t>
      </w:r>
    </w:p>
    <w:p w14:paraId="666887C0" w14:textId="77777777" w:rsidR="00946A75" w:rsidRDefault="00946A75" w:rsidP="00946A75">
      <w:pPr>
        <w:rPr>
          <w:rFonts w:ascii="Arial" w:hAnsi="Arial" w:cs="Arial"/>
          <w:sz w:val="24"/>
          <w:szCs w:val="24"/>
        </w:rPr>
      </w:pPr>
      <w:r>
        <w:rPr>
          <w:rFonts w:ascii="Arial" w:hAnsi="Arial" w:cs="Arial"/>
          <w:color w:val="2B2B2B"/>
          <w:sz w:val="24"/>
          <w:szCs w:val="24"/>
          <w:shd w:val="clear" w:color="auto" w:fill="FFFFFF"/>
        </w:rPr>
        <w:t>Churchill, W. (1942) The Lord Mayor’s Luncheon, Mansion House, November 10, 1942</w:t>
      </w:r>
    </w:p>
    <w:p w14:paraId="4EACBD8F"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Cilla, S., Rossi, R., </w:t>
      </w:r>
      <w:proofErr w:type="spellStart"/>
      <w:r w:rsidRPr="009C66F9">
        <w:rPr>
          <w:rFonts w:ascii="Arial" w:eastAsia="Times New Roman" w:hAnsi="Arial" w:cs="Arial"/>
          <w:sz w:val="24"/>
          <w:szCs w:val="24"/>
          <w:lang w:eastAsia="en-GB"/>
        </w:rPr>
        <w:t>Habberstad</w:t>
      </w:r>
      <w:proofErr w:type="spellEnd"/>
      <w:r w:rsidRPr="009C66F9">
        <w:rPr>
          <w:rFonts w:ascii="Arial" w:eastAsia="Times New Roman" w:hAnsi="Arial" w:cs="Arial"/>
          <w:sz w:val="24"/>
          <w:szCs w:val="24"/>
          <w:lang w:eastAsia="en-GB"/>
        </w:rPr>
        <w:t xml:space="preserve">, R., </w:t>
      </w:r>
      <w:proofErr w:type="spellStart"/>
      <w:r w:rsidRPr="009C66F9">
        <w:rPr>
          <w:rFonts w:ascii="Arial" w:eastAsia="Times New Roman" w:hAnsi="Arial" w:cs="Arial"/>
          <w:sz w:val="24"/>
          <w:szCs w:val="24"/>
          <w:lang w:eastAsia="en-GB"/>
        </w:rPr>
        <w:t>Klepstad</w:t>
      </w:r>
      <w:proofErr w:type="spellEnd"/>
      <w:r w:rsidRPr="009C66F9">
        <w:rPr>
          <w:rFonts w:ascii="Arial" w:eastAsia="Times New Roman" w:hAnsi="Arial" w:cs="Arial"/>
          <w:sz w:val="24"/>
          <w:szCs w:val="24"/>
          <w:lang w:eastAsia="en-GB"/>
        </w:rPr>
        <w:t xml:space="preserve">, P., </w:t>
      </w:r>
      <w:proofErr w:type="spellStart"/>
      <w:r w:rsidRPr="009C66F9">
        <w:rPr>
          <w:rFonts w:ascii="Arial" w:eastAsia="Times New Roman" w:hAnsi="Arial" w:cs="Arial"/>
          <w:sz w:val="24"/>
          <w:szCs w:val="24"/>
          <w:lang w:eastAsia="en-GB"/>
        </w:rPr>
        <w:t>Dall’Agata</w:t>
      </w:r>
      <w:proofErr w:type="spellEnd"/>
      <w:r w:rsidRPr="009C66F9">
        <w:rPr>
          <w:rFonts w:ascii="Arial" w:eastAsia="Times New Roman" w:hAnsi="Arial" w:cs="Arial"/>
          <w:sz w:val="24"/>
          <w:szCs w:val="24"/>
          <w:lang w:eastAsia="en-GB"/>
        </w:rPr>
        <w:t xml:space="preserve">, M., </w:t>
      </w:r>
      <w:proofErr w:type="spellStart"/>
      <w:r w:rsidRPr="009C66F9">
        <w:rPr>
          <w:rFonts w:ascii="Arial" w:eastAsia="Times New Roman" w:hAnsi="Arial" w:cs="Arial"/>
          <w:sz w:val="24"/>
          <w:szCs w:val="24"/>
          <w:lang w:eastAsia="en-GB"/>
        </w:rPr>
        <w:t>Kaasa</w:t>
      </w:r>
      <w:proofErr w:type="spellEnd"/>
      <w:r w:rsidRPr="009C66F9">
        <w:rPr>
          <w:rFonts w:ascii="Arial" w:eastAsia="Times New Roman" w:hAnsi="Arial" w:cs="Arial"/>
          <w:sz w:val="24"/>
          <w:szCs w:val="24"/>
          <w:lang w:eastAsia="en-GB"/>
        </w:rPr>
        <w:t xml:space="preserve">, S., </w:t>
      </w:r>
      <w:proofErr w:type="spellStart"/>
      <w:r w:rsidRPr="009C66F9">
        <w:rPr>
          <w:rFonts w:ascii="Arial" w:eastAsia="Times New Roman" w:hAnsi="Arial" w:cs="Arial"/>
          <w:sz w:val="24"/>
          <w:szCs w:val="24"/>
          <w:lang w:eastAsia="en-GB"/>
        </w:rPr>
        <w:t>Valenti</w:t>
      </w:r>
      <w:proofErr w:type="spellEnd"/>
      <w:r w:rsidRPr="009C66F9">
        <w:rPr>
          <w:rFonts w:ascii="Arial" w:eastAsia="Times New Roman" w:hAnsi="Arial" w:cs="Arial"/>
          <w:sz w:val="24"/>
          <w:szCs w:val="24"/>
          <w:lang w:eastAsia="en-GB"/>
        </w:rPr>
        <w:t xml:space="preserve">, V., </w:t>
      </w:r>
      <w:proofErr w:type="spellStart"/>
      <w:r w:rsidRPr="009C66F9">
        <w:rPr>
          <w:rFonts w:ascii="Arial" w:eastAsia="Times New Roman" w:hAnsi="Arial" w:cs="Arial"/>
          <w:sz w:val="24"/>
          <w:szCs w:val="24"/>
          <w:lang w:eastAsia="en-GB"/>
        </w:rPr>
        <w:t>Donati</w:t>
      </w:r>
      <w:proofErr w:type="spellEnd"/>
      <w:r w:rsidRPr="009C66F9">
        <w:rPr>
          <w:rFonts w:ascii="Arial" w:eastAsia="Times New Roman" w:hAnsi="Arial" w:cs="Arial"/>
          <w:sz w:val="24"/>
          <w:szCs w:val="24"/>
          <w:lang w:eastAsia="en-GB"/>
        </w:rPr>
        <w:t xml:space="preserve">, C., </w:t>
      </w:r>
      <w:proofErr w:type="spellStart"/>
      <w:r w:rsidRPr="009C66F9">
        <w:rPr>
          <w:rFonts w:ascii="Arial" w:eastAsia="Times New Roman" w:hAnsi="Arial" w:cs="Arial"/>
          <w:sz w:val="24"/>
          <w:szCs w:val="24"/>
          <w:lang w:eastAsia="en-GB"/>
        </w:rPr>
        <w:t>Maltoni</w:t>
      </w:r>
      <w:proofErr w:type="spellEnd"/>
      <w:r w:rsidRPr="009C66F9">
        <w:rPr>
          <w:rFonts w:ascii="Arial" w:eastAsia="Times New Roman" w:hAnsi="Arial" w:cs="Arial"/>
          <w:sz w:val="24"/>
          <w:szCs w:val="24"/>
          <w:lang w:eastAsia="en-GB"/>
        </w:rPr>
        <w:t xml:space="preserve">, M. and </w:t>
      </w:r>
      <w:proofErr w:type="spellStart"/>
      <w:r w:rsidRPr="009C66F9">
        <w:rPr>
          <w:rFonts w:ascii="Arial" w:eastAsia="Times New Roman" w:hAnsi="Arial" w:cs="Arial"/>
          <w:sz w:val="24"/>
          <w:szCs w:val="24"/>
          <w:lang w:eastAsia="en-GB"/>
        </w:rPr>
        <w:t>Morganti</w:t>
      </w:r>
      <w:proofErr w:type="spellEnd"/>
      <w:r w:rsidRPr="009C66F9">
        <w:rPr>
          <w:rFonts w:ascii="Arial" w:eastAsia="Times New Roman" w:hAnsi="Arial" w:cs="Arial"/>
          <w:sz w:val="24"/>
          <w:szCs w:val="24"/>
          <w:lang w:eastAsia="en-GB"/>
        </w:rPr>
        <w:t xml:space="preserve">, A. (2024) ‘Explainable machine learning model to predict overall survival in patients treated with palliative radiotherapy for bone metastases’, </w:t>
      </w:r>
      <w:r w:rsidRPr="009C66F9">
        <w:rPr>
          <w:rFonts w:ascii="Arial" w:eastAsia="Times New Roman" w:hAnsi="Arial" w:cs="Arial"/>
          <w:i/>
          <w:iCs/>
          <w:sz w:val="24"/>
          <w:szCs w:val="24"/>
          <w:lang w:eastAsia="en-GB"/>
        </w:rPr>
        <w:t>Journal of Clinical Oncology Clinical Cancer Informatics</w:t>
      </w:r>
      <w:r w:rsidRPr="009C66F9">
        <w:rPr>
          <w:rFonts w:ascii="Arial" w:eastAsia="Times New Roman" w:hAnsi="Arial" w:cs="Arial"/>
          <w:sz w:val="24"/>
          <w:szCs w:val="24"/>
          <w:lang w:eastAsia="en-GB"/>
        </w:rPr>
        <w:t>, 8(8). Available at: https://doi.org/10.1200/CCI.24.00027</w:t>
      </w:r>
    </w:p>
    <w:p w14:paraId="53F10910" w14:textId="77777777" w:rsidR="00DE7279" w:rsidRDefault="00DE7279" w:rsidP="00DE7279">
      <w:pPr>
        <w:spacing w:line="240" w:lineRule="auto"/>
        <w:rPr>
          <w:rFonts w:ascii="Arial" w:hAnsi="Arial" w:cs="Arial"/>
          <w:sz w:val="24"/>
          <w:szCs w:val="24"/>
        </w:rPr>
      </w:pPr>
      <w:r>
        <w:rPr>
          <w:rFonts w:ascii="Arial" w:hAnsi="Arial" w:cs="Arial"/>
          <w:color w:val="212121"/>
          <w:sz w:val="24"/>
          <w:szCs w:val="24"/>
          <w:shd w:val="clear" w:color="auto" w:fill="FFFFFF"/>
        </w:rPr>
        <w:lastRenderedPageBreak/>
        <w:t xml:space="preserve">Clark, D., Armstrong, M., Allan, A., Graham, F., </w:t>
      </w:r>
      <w:proofErr w:type="spellStart"/>
      <w:r>
        <w:rPr>
          <w:rFonts w:ascii="Arial" w:hAnsi="Arial" w:cs="Arial"/>
          <w:color w:val="212121"/>
          <w:sz w:val="24"/>
          <w:szCs w:val="24"/>
          <w:shd w:val="clear" w:color="auto" w:fill="FFFFFF"/>
        </w:rPr>
        <w:t>Carnon</w:t>
      </w:r>
      <w:proofErr w:type="spellEnd"/>
      <w:r>
        <w:rPr>
          <w:rFonts w:ascii="Arial" w:hAnsi="Arial" w:cs="Arial"/>
          <w:color w:val="212121"/>
          <w:sz w:val="24"/>
          <w:szCs w:val="24"/>
          <w:shd w:val="clear" w:color="auto" w:fill="FFFFFF"/>
        </w:rPr>
        <w:t xml:space="preserve">, A. and Isles, C. (2014) ‘Imminence of death among hospital inpatients: Prevalent cohort study’, </w:t>
      </w:r>
      <w:r>
        <w:rPr>
          <w:rFonts w:ascii="Arial" w:hAnsi="Arial" w:cs="Arial"/>
          <w:i/>
          <w:color w:val="212121"/>
          <w:sz w:val="24"/>
          <w:szCs w:val="24"/>
          <w:shd w:val="clear" w:color="auto" w:fill="FFFFFF"/>
        </w:rPr>
        <w:t>Palliative Medicine</w:t>
      </w:r>
      <w:r>
        <w:rPr>
          <w:rFonts w:ascii="Arial" w:hAnsi="Arial" w:cs="Arial"/>
          <w:color w:val="212121"/>
          <w:sz w:val="24"/>
          <w:szCs w:val="24"/>
          <w:shd w:val="clear" w:color="auto" w:fill="FFFFFF"/>
        </w:rPr>
        <w:t>, 28(6), pp. 474-479. Available at https//</w:t>
      </w:r>
      <w:proofErr w:type="spellStart"/>
      <w:r>
        <w:rPr>
          <w:rFonts w:ascii="Arial" w:hAnsi="Arial" w:cs="Arial"/>
          <w:color w:val="212121"/>
          <w:sz w:val="24"/>
          <w:szCs w:val="24"/>
          <w:shd w:val="clear" w:color="auto" w:fill="FFFFFF"/>
        </w:rPr>
        <w:t>doi</w:t>
      </w:r>
      <w:proofErr w:type="spellEnd"/>
      <w:r>
        <w:rPr>
          <w:rFonts w:ascii="Arial" w:hAnsi="Arial" w:cs="Arial"/>
          <w:color w:val="212121"/>
          <w:sz w:val="24"/>
          <w:szCs w:val="24"/>
          <w:shd w:val="clear" w:color="auto" w:fill="FFFFFF"/>
        </w:rPr>
        <w:t>: 10.1177/0269216314526443</w:t>
      </w:r>
    </w:p>
    <w:p w14:paraId="60F59D27"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Cornetta</w:t>
      </w:r>
      <w:proofErr w:type="spellEnd"/>
      <w:r w:rsidRPr="009C66F9">
        <w:rPr>
          <w:rFonts w:ascii="Arial" w:eastAsia="Times New Roman" w:hAnsi="Arial" w:cs="Arial"/>
          <w:sz w:val="24"/>
          <w:szCs w:val="24"/>
          <w:lang w:eastAsia="en-GB"/>
        </w:rPr>
        <w:t xml:space="preserve">, K., </w:t>
      </w:r>
      <w:proofErr w:type="spellStart"/>
      <w:r w:rsidRPr="009C66F9">
        <w:rPr>
          <w:rFonts w:ascii="Arial" w:eastAsia="Times New Roman" w:hAnsi="Arial" w:cs="Arial"/>
          <w:sz w:val="24"/>
          <w:szCs w:val="24"/>
          <w:lang w:eastAsia="en-GB"/>
        </w:rPr>
        <w:t>Nyariki</w:t>
      </w:r>
      <w:proofErr w:type="spellEnd"/>
      <w:r w:rsidRPr="009C66F9">
        <w:rPr>
          <w:rFonts w:ascii="Arial" w:eastAsia="Times New Roman" w:hAnsi="Arial" w:cs="Arial"/>
          <w:sz w:val="24"/>
          <w:szCs w:val="24"/>
          <w:lang w:eastAsia="en-GB"/>
        </w:rPr>
        <w:t xml:space="preserve">, S., Manji, I., </w:t>
      </w:r>
      <w:proofErr w:type="spellStart"/>
      <w:r w:rsidRPr="009C66F9">
        <w:rPr>
          <w:rFonts w:ascii="Arial" w:eastAsia="Times New Roman" w:hAnsi="Arial" w:cs="Arial"/>
          <w:sz w:val="24"/>
          <w:szCs w:val="24"/>
          <w:lang w:eastAsia="en-GB"/>
        </w:rPr>
        <w:t>Kiplimo</w:t>
      </w:r>
      <w:proofErr w:type="spellEnd"/>
      <w:r w:rsidRPr="009C66F9">
        <w:rPr>
          <w:rFonts w:ascii="Arial" w:eastAsia="Times New Roman" w:hAnsi="Arial" w:cs="Arial"/>
          <w:sz w:val="24"/>
          <w:szCs w:val="24"/>
          <w:lang w:eastAsia="en-GB"/>
        </w:rPr>
        <w:t xml:space="preserve">, I., </w:t>
      </w:r>
      <w:proofErr w:type="spellStart"/>
      <w:r w:rsidRPr="009C66F9">
        <w:rPr>
          <w:rFonts w:ascii="Arial" w:eastAsia="Times New Roman" w:hAnsi="Arial" w:cs="Arial"/>
          <w:sz w:val="24"/>
          <w:szCs w:val="24"/>
          <w:lang w:eastAsia="en-GB"/>
        </w:rPr>
        <w:t>Korir</w:t>
      </w:r>
      <w:proofErr w:type="spellEnd"/>
      <w:r w:rsidRPr="009C66F9">
        <w:rPr>
          <w:rFonts w:ascii="Arial" w:eastAsia="Times New Roman" w:hAnsi="Arial" w:cs="Arial"/>
          <w:sz w:val="24"/>
          <w:szCs w:val="24"/>
          <w:lang w:eastAsia="en-GB"/>
        </w:rPr>
        <w:t xml:space="preserve">, M., </w:t>
      </w:r>
      <w:proofErr w:type="spellStart"/>
      <w:r w:rsidRPr="009C66F9">
        <w:rPr>
          <w:rFonts w:ascii="Arial" w:eastAsia="Times New Roman" w:hAnsi="Arial" w:cs="Arial"/>
          <w:sz w:val="24"/>
          <w:szCs w:val="24"/>
          <w:lang w:eastAsia="en-GB"/>
        </w:rPr>
        <w:t>Muinga</w:t>
      </w:r>
      <w:proofErr w:type="spellEnd"/>
      <w:r w:rsidRPr="009C66F9">
        <w:rPr>
          <w:rFonts w:ascii="Arial" w:eastAsia="Times New Roman" w:hAnsi="Arial" w:cs="Arial"/>
          <w:sz w:val="24"/>
          <w:szCs w:val="24"/>
          <w:lang w:eastAsia="en-GB"/>
        </w:rPr>
        <w:t xml:space="preserve">, E., </w:t>
      </w:r>
      <w:proofErr w:type="spellStart"/>
      <w:r w:rsidRPr="009C66F9">
        <w:rPr>
          <w:rFonts w:ascii="Arial" w:eastAsia="Times New Roman" w:hAnsi="Arial" w:cs="Arial"/>
          <w:sz w:val="24"/>
          <w:szCs w:val="24"/>
          <w:lang w:eastAsia="en-GB"/>
        </w:rPr>
        <w:t>Busakhala</w:t>
      </w:r>
      <w:proofErr w:type="spellEnd"/>
      <w:r w:rsidRPr="009C66F9">
        <w:rPr>
          <w:rFonts w:ascii="Arial" w:eastAsia="Times New Roman" w:hAnsi="Arial" w:cs="Arial"/>
          <w:sz w:val="24"/>
          <w:szCs w:val="24"/>
          <w:lang w:eastAsia="en-GB"/>
        </w:rPr>
        <w:t>, N. and Elias, H. (2023) ‘</w:t>
      </w:r>
      <w:proofErr w:type="spellStart"/>
      <w:r w:rsidRPr="009C66F9">
        <w:rPr>
          <w:rFonts w:ascii="Arial" w:eastAsia="Times New Roman" w:hAnsi="Arial" w:cs="Arial"/>
          <w:sz w:val="24"/>
          <w:szCs w:val="24"/>
          <w:lang w:eastAsia="en-GB"/>
        </w:rPr>
        <w:t>Telehospice</w:t>
      </w:r>
      <w:proofErr w:type="spellEnd"/>
      <w:r w:rsidRPr="009C66F9">
        <w:rPr>
          <w:rFonts w:ascii="Arial" w:eastAsia="Times New Roman" w:hAnsi="Arial" w:cs="Arial"/>
          <w:sz w:val="24"/>
          <w:szCs w:val="24"/>
          <w:lang w:eastAsia="en-GB"/>
        </w:rPr>
        <w:t xml:space="preserve"> for cancer patients discharged from a tertiary care hospital in Western Kenya’, </w:t>
      </w:r>
      <w:r w:rsidRPr="009C66F9">
        <w:rPr>
          <w:rFonts w:ascii="Arial" w:eastAsia="Times New Roman" w:hAnsi="Arial" w:cs="Arial"/>
          <w:i/>
          <w:iCs/>
          <w:sz w:val="24"/>
          <w:szCs w:val="24"/>
          <w:lang w:eastAsia="en-GB"/>
        </w:rPr>
        <w:t>Journal of Pain and Symptom Management</w:t>
      </w:r>
      <w:r w:rsidRPr="009C66F9">
        <w:rPr>
          <w:rFonts w:ascii="Arial" w:eastAsia="Times New Roman" w:hAnsi="Arial" w:cs="Arial"/>
          <w:sz w:val="24"/>
          <w:szCs w:val="24"/>
          <w:lang w:eastAsia="en-GB"/>
        </w:rPr>
        <w:t>, 65(5), pp. 378–387. Available at: https://doi.org/10.1016/j.jpainsymman.2023.01.027</w:t>
      </w:r>
    </w:p>
    <w:p w14:paraId="499AC20D"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Courtright, K.R., </w:t>
      </w:r>
      <w:proofErr w:type="spellStart"/>
      <w:r w:rsidRPr="009C66F9">
        <w:rPr>
          <w:rFonts w:ascii="Arial" w:eastAsia="Times New Roman" w:hAnsi="Arial" w:cs="Arial"/>
          <w:sz w:val="24"/>
          <w:szCs w:val="24"/>
          <w:lang w:eastAsia="en-GB"/>
        </w:rPr>
        <w:t>Chivers</w:t>
      </w:r>
      <w:proofErr w:type="spellEnd"/>
      <w:r w:rsidRPr="009C66F9">
        <w:rPr>
          <w:rFonts w:ascii="Arial" w:eastAsia="Times New Roman" w:hAnsi="Arial" w:cs="Arial"/>
          <w:sz w:val="24"/>
          <w:szCs w:val="24"/>
          <w:lang w:eastAsia="en-GB"/>
        </w:rPr>
        <w:t xml:space="preserve">, C., Becker, M., </w:t>
      </w:r>
      <w:proofErr w:type="spellStart"/>
      <w:r w:rsidRPr="009C66F9">
        <w:rPr>
          <w:rFonts w:ascii="Arial" w:eastAsia="Times New Roman" w:hAnsi="Arial" w:cs="Arial"/>
          <w:sz w:val="24"/>
          <w:szCs w:val="24"/>
          <w:lang w:eastAsia="en-GB"/>
        </w:rPr>
        <w:t>Regli</w:t>
      </w:r>
      <w:proofErr w:type="spellEnd"/>
      <w:r w:rsidRPr="009C66F9">
        <w:rPr>
          <w:rFonts w:ascii="Arial" w:eastAsia="Times New Roman" w:hAnsi="Arial" w:cs="Arial"/>
          <w:sz w:val="24"/>
          <w:szCs w:val="24"/>
          <w:lang w:eastAsia="en-GB"/>
        </w:rPr>
        <w:t xml:space="preserve">, S., Pepper, L., </w:t>
      </w:r>
      <w:proofErr w:type="spellStart"/>
      <w:r w:rsidRPr="009C66F9">
        <w:rPr>
          <w:rFonts w:ascii="Arial" w:eastAsia="Times New Roman" w:hAnsi="Arial" w:cs="Arial"/>
          <w:sz w:val="24"/>
          <w:szCs w:val="24"/>
          <w:lang w:eastAsia="en-GB"/>
        </w:rPr>
        <w:t>Draugelis</w:t>
      </w:r>
      <w:proofErr w:type="spellEnd"/>
      <w:r w:rsidRPr="009C66F9">
        <w:rPr>
          <w:rFonts w:ascii="Arial" w:eastAsia="Times New Roman" w:hAnsi="Arial" w:cs="Arial"/>
          <w:sz w:val="24"/>
          <w:szCs w:val="24"/>
          <w:lang w:eastAsia="en-GB"/>
        </w:rPr>
        <w:t xml:space="preserve">, M. and O’Connor, N. (2019) ‘Electronic Health Record mortality prediction model for targeted palliative care among hospitalized medical patients: a pilot quasi-experimental study’, </w:t>
      </w:r>
      <w:r w:rsidRPr="009C66F9">
        <w:rPr>
          <w:rFonts w:ascii="Arial" w:eastAsia="Times New Roman" w:hAnsi="Arial" w:cs="Arial"/>
          <w:i/>
          <w:iCs/>
          <w:sz w:val="24"/>
          <w:szCs w:val="24"/>
          <w:lang w:eastAsia="en-GB"/>
        </w:rPr>
        <w:t>Journal of General Internal Medicine</w:t>
      </w:r>
      <w:r w:rsidRPr="009C66F9">
        <w:rPr>
          <w:rFonts w:ascii="Arial" w:eastAsia="Times New Roman" w:hAnsi="Arial" w:cs="Arial"/>
          <w:sz w:val="24"/>
          <w:szCs w:val="24"/>
          <w:lang w:eastAsia="en-GB"/>
        </w:rPr>
        <w:t>, 34(9), pp. 1841–1847. Available at: https://doi.org/10.1007/s11606-019-05169-2</w:t>
      </w:r>
    </w:p>
    <w:p w14:paraId="3D1D0A88" w14:textId="102C8ED1" w:rsidR="00946A75" w:rsidRDefault="00946A75" w:rsidP="00946A75">
      <w:pPr>
        <w:rPr>
          <w:rFonts w:ascii="Arial" w:hAnsi="Arial" w:cs="Arial"/>
          <w:color w:val="333333"/>
          <w:sz w:val="24"/>
          <w:szCs w:val="24"/>
          <w:shd w:val="clear" w:color="auto" w:fill="FFFFFF"/>
        </w:rPr>
      </w:pPr>
      <w:r>
        <w:rPr>
          <w:rFonts w:ascii="Arial" w:hAnsi="Arial" w:cs="Arial"/>
          <w:color w:val="333333"/>
          <w:sz w:val="24"/>
          <w:szCs w:val="24"/>
          <w:shd w:val="clear" w:color="auto" w:fill="FFFFFF"/>
        </w:rPr>
        <w:t>Courtright, K.R.</w:t>
      </w:r>
      <w:r>
        <w:rPr>
          <w:rStyle w:val="al-author-delim"/>
          <w:rFonts w:ascii="Arial" w:hAnsi="Arial" w:cs="Arial"/>
          <w:color w:val="333333"/>
          <w:sz w:val="24"/>
          <w:szCs w:val="24"/>
          <w:shd w:val="clear" w:color="auto" w:fill="FFFFFF"/>
        </w:rPr>
        <w:t>, </w:t>
      </w:r>
      <w:r>
        <w:rPr>
          <w:rFonts w:ascii="Arial" w:hAnsi="Arial" w:cs="Arial"/>
          <w:color w:val="333333"/>
          <w:sz w:val="24"/>
          <w:szCs w:val="24"/>
          <w:shd w:val="clear" w:color="auto" w:fill="FFFFFF"/>
        </w:rPr>
        <w:t>Singh, J.</w:t>
      </w:r>
      <w:r>
        <w:rPr>
          <w:rStyle w:val="al-author-delim"/>
          <w:rFonts w:ascii="Arial" w:hAnsi="Arial" w:cs="Arial"/>
          <w:color w:val="333333"/>
          <w:sz w:val="24"/>
          <w:szCs w:val="24"/>
          <w:shd w:val="clear" w:color="auto" w:fill="FFFFFF"/>
        </w:rPr>
        <w:t>, </w:t>
      </w:r>
      <w:r>
        <w:rPr>
          <w:rFonts w:ascii="Arial" w:hAnsi="Arial" w:cs="Arial"/>
          <w:color w:val="333333"/>
          <w:sz w:val="24"/>
          <w:szCs w:val="24"/>
          <w:shd w:val="clear" w:color="auto" w:fill="FFFFFF"/>
        </w:rPr>
        <w:t>Dress, E.M,</w:t>
      </w:r>
      <w:r>
        <w:rPr>
          <w:rFonts w:ascii="Arial" w:hAnsi="Arial" w:cs="Arial"/>
          <w:sz w:val="24"/>
          <w:szCs w:val="24"/>
        </w:rPr>
        <w:t xml:space="preserve"> Bayes, B., </w:t>
      </w:r>
      <w:proofErr w:type="spellStart"/>
      <w:r>
        <w:rPr>
          <w:rFonts w:ascii="Arial" w:hAnsi="Arial" w:cs="Arial"/>
          <w:sz w:val="24"/>
          <w:szCs w:val="24"/>
        </w:rPr>
        <w:t>Harhay</w:t>
      </w:r>
      <w:proofErr w:type="spellEnd"/>
      <w:r>
        <w:rPr>
          <w:rFonts w:ascii="Arial" w:hAnsi="Arial" w:cs="Arial"/>
          <w:sz w:val="24"/>
          <w:szCs w:val="24"/>
        </w:rPr>
        <w:t>, M.O., Chowdhury, M., </w:t>
      </w:r>
      <w:r w:rsidRPr="00A1103D">
        <w:rPr>
          <w:rFonts w:ascii="Arial" w:hAnsi="Arial" w:cs="Arial"/>
          <w:sz w:val="24"/>
          <w:szCs w:val="24"/>
        </w:rPr>
        <w:t>Lu, Y.,</w:t>
      </w:r>
      <w:r>
        <w:rPr>
          <w:rFonts w:ascii="Arial" w:hAnsi="Arial" w:cs="Arial"/>
          <w:sz w:val="24"/>
          <w:szCs w:val="24"/>
        </w:rPr>
        <w:t xml:space="preserve"> Lee, K.M., Small, D.S., Whitman, C., Tian, J., Madden, V., Hetherington, T., Placket, </w:t>
      </w:r>
      <w:proofErr w:type="gramStart"/>
      <w:r>
        <w:rPr>
          <w:rFonts w:ascii="Arial" w:hAnsi="Arial" w:cs="Arial"/>
          <w:sz w:val="24"/>
          <w:szCs w:val="24"/>
        </w:rPr>
        <w:t>L.,;</w:t>
      </w:r>
      <w:proofErr w:type="gramEnd"/>
      <w:r>
        <w:rPr>
          <w:rFonts w:ascii="Arial" w:hAnsi="Arial" w:cs="Arial"/>
          <w:sz w:val="24"/>
          <w:szCs w:val="24"/>
        </w:rPr>
        <w:t xml:space="preserve"> Sullivan, D.M., Burke, H.L., Green, M.B. and Halpern, S.D. (2025) </w:t>
      </w:r>
      <w:r>
        <w:rPr>
          <w:rFonts w:ascii="Arial" w:hAnsi="Arial" w:cs="Arial"/>
          <w:color w:val="333333"/>
          <w:sz w:val="24"/>
          <w:szCs w:val="24"/>
          <w:shd w:val="clear" w:color="auto" w:fill="FFFFFF"/>
        </w:rPr>
        <w:t>‘Nudging Clinicians to Promote Serious Illness Communication for Critically Ill Patients</w:t>
      </w:r>
      <w:r>
        <w:rPr>
          <w:rStyle w:val="colon-for-citation-subtitle"/>
          <w:rFonts w:ascii="Arial" w:hAnsi="Arial" w:cs="Arial"/>
          <w:color w:val="333333"/>
          <w:sz w:val="24"/>
          <w:szCs w:val="24"/>
          <w:shd w:val="clear" w:color="auto" w:fill="FFFFFF"/>
        </w:rPr>
        <w:t>: </w:t>
      </w:r>
      <w:r>
        <w:rPr>
          <w:rStyle w:val="Subtitle1"/>
          <w:rFonts w:ascii="Arial" w:hAnsi="Arial" w:cs="Arial"/>
          <w:color w:val="333333"/>
          <w:sz w:val="24"/>
          <w:szCs w:val="24"/>
          <w:shd w:val="clear" w:color="auto" w:fill="FFFFFF"/>
        </w:rPr>
        <w:t>A Pragmatic Cluster Randomized Trial’</w:t>
      </w:r>
      <w:r>
        <w:rPr>
          <w:rFonts w:ascii="Arial" w:hAnsi="Arial" w:cs="Arial"/>
          <w:color w:val="333333"/>
          <w:sz w:val="24"/>
          <w:szCs w:val="24"/>
          <w:shd w:val="clear" w:color="auto" w:fill="FFFFFF"/>
        </w:rPr>
        <w:t> </w:t>
      </w:r>
      <w:r>
        <w:rPr>
          <w:rStyle w:val="Emphasis"/>
          <w:rFonts w:ascii="Arial" w:hAnsi="Arial" w:cs="Arial"/>
          <w:color w:val="333333"/>
          <w:sz w:val="24"/>
          <w:szCs w:val="24"/>
          <w:shd w:val="clear" w:color="auto" w:fill="FFFFFF"/>
        </w:rPr>
        <w:t>JAMA Internal Medicine.</w:t>
      </w:r>
      <w:r>
        <w:rPr>
          <w:rFonts w:ascii="Arial" w:hAnsi="Arial" w:cs="Arial"/>
          <w:color w:val="333333"/>
          <w:sz w:val="24"/>
          <w:szCs w:val="24"/>
          <w:shd w:val="clear" w:color="auto" w:fill="FFFFFF"/>
        </w:rPr>
        <w:t> Available at: https://doi.org/10.1001/jamainternmed.2025.0090</w:t>
      </w:r>
    </w:p>
    <w:p w14:paraId="5113413E" w14:textId="77777777" w:rsidR="00DE7279" w:rsidRPr="00300F4F" w:rsidRDefault="00DE7279" w:rsidP="00DE7279">
      <w:pPr>
        <w:rPr>
          <w:rFonts w:ascii="Arial" w:hAnsi="Arial" w:cs="Arial"/>
          <w:sz w:val="24"/>
          <w:szCs w:val="24"/>
        </w:rPr>
      </w:pPr>
      <w:r w:rsidRPr="00300F4F">
        <w:rPr>
          <w:rFonts w:ascii="Arial" w:hAnsi="Arial" w:cs="Arial"/>
          <w:sz w:val="24"/>
          <w:szCs w:val="24"/>
        </w:rPr>
        <w:t xml:space="preserve">Creswell, J.W. (2003) Research design. Qualitative, quantitative, and mixed methods </w:t>
      </w:r>
      <w:proofErr w:type="gramStart"/>
      <w:r w:rsidRPr="00300F4F">
        <w:rPr>
          <w:rFonts w:ascii="Arial" w:hAnsi="Arial" w:cs="Arial"/>
          <w:sz w:val="24"/>
          <w:szCs w:val="24"/>
        </w:rPr>
        <w:t>approaches</w:t>
      </w:r>
      <w:proofErr w:type="gramEnd"/>
      <w:r w:rsidRPr="00300F4F">
        <w:rPr>
          <w:rFonts w:ascii="Arial" w:hAnsi="Arial" w:cs="Arial"/>
          <w:sz w:val="24"/>
          <w:szCs w:val="24"/>
        </w:rPr>
        <w:t xml:space="preserve">. 2nd ed. Thousand Oaks: SAGE; 2003. </w:t>
      </w:r>
    </w:p>
    <w:p w14:paraId="6ABABD2A" w14:textId="77777777" w:rsidR="00DE7279" w:rsidRPr="00300F4F" w:rsidRDefault="00DE7279" w:rsidP="00DE7279">
      <w:pPr>
        <w:rPr>
          <w:rFonts w:ascii="Arial" w:hAnsi="Arial" w:cs="Arial"/>
          <w:sz w:val="24"/>
          <w:szCs w:val="24"/>
        </w:rPr>
      </w:pPr>
      <w:r w:rsidRPr="00300F4F">
        <w:rPr>
          <w:rFonts w:ascii="Arial" w:hAnsi="Arial" w:cs="Arial"/>
          <w:sz w:val="24"/>
          <w:szCs w:val="24"/>
        </w:rPr>
        <w:t xml:space="preserve">Cummins, L., Julian, S., </w:t>
      </w:r>
      <w:proofErr w:type="spellStart"/>
      <w:r w:rsidRPr="00300F4F">
        <w:rPr>
          <w:rFonts w:ascii="Arial" w:hAnsi="Arial" w:cs="Arial"/>
          <w:sz w:val="24"/>
          <w:szCs w:val="24"/>
        </w:rPr>
        <w:t>Georghiou</w:t>
      </w:r>
      <w:proofErr w:type="spellEnd"/>
      <w:r w:rsidRPr="00300F4F">
        <w:rPr>
          <w:rFonts w:ascii="Arial" w:hAnsi="Arial" w:cs="Arial"/>
          <w:sz w:val="24"/>
          <w:szCs w:val="24"/>
        </w:rPr>
        <w:t>, T., Kumar, G. and Scobie, S. (2025) ‘</w:t>
      </w:r>
      <w:r w:rsidRPr="00300F4F">
        <w:rPr>
          <w:rFonts w:ascii="Arial" w:hAnsi="Arial" w:cs="Arial"/>
          <w:i/>
          <w:sz w:val="24"/>
          <w:szCs w:val="24"/>
        </w:rPr>
        <w:t>Public expenditure in the last year of life</w:t>
      </w:r>
      <w:r w:rsidRPr="00300F4F">
        <w:rPr>
          <w:rFonts w:ascii="Arial" w:hAnsi="Arial" w:cs="Arial"/>
          <w:sz w:val="24"/>
          <w:szCs w:val="24"/>
        </w:rPr>
        <w:t>’. Available at: https://www.mariecurie.org.uk/document/public-expenditure-in-the-last-year-of-life-report (Accessed 08 March 2025)</w:t>
      </w:r>
    </w:p>
    <w:p w14:paraId="18F7E5B4" w14:textId="77777777" w:rsidR="00DE7279" w:rsidRPr="00960108" w:rsidRDefault="00DE7279" w:rsidP="00DE7279">
      <w:pPr>
        <w:spacing w:line="240" w:lineRule="auto"/>
        <w:rPr>
          <w:rFonts w:ascii="Arial" w:hAnsi="Arial" w:cs="Arial"/>
          <w:sz w:val="24"/>
          <w:szCs w:val="24"/>
        </w:rPr>
      </w:pPr>
      <w:r w:rsidRPr="00960108">
        <w:rPr>
          <w:rFonts w:ascii="Arial" w:hAnsi="Arial" w:cs="Arial"/>
          <w:sz w:val="24"/>
          <w:szCs w:val="24"/>
        </w:rPr>
        <w:t xml:space="preserve">Department of Health (2021) </w:t>
      </w:r>
      <w:r>
        <w:rPr>
          <w:rFonts w:ascii="Arial" w:hAnsi="Arial" w:cs="Arial"/>
          <w:sz w:val="24"/>
          <w:szCs w:val="24"/>
        </w:rPr>
        <w:t>‘</w:t>
      </w:r>
      <w:r w:rsidRPr="006C7BC4">
        <w:rPr>
          <w:rFonts w:ascii="Arial" w:hAnsi="Arial" w:cs="Arial"/>
          <w:i/>
          <w:iCs/>
          <w:sz w:val="24"/>
          <w:szCs w:val="24"/>
        </w:rPr>
        <w:t>Advance Care Planning Policy for Northern Ireland</w:t>
      </w:r>
      <w:r>
        <w:rPr>
          <w:rFonts w:ascii="Arial" w:hAnsi="Arial" w:cs="Arial"/>
          <w:sz w:val="24"/>
          <w:szCs w:val="24"/>
        </w:rPr>
        <w:t>’. Available at: htt</w:t>
      </w:r>
      <w:r w:rsidRPr="00960108">
        <w:rPr>
          <w:rFonts w:ascii="Arial" w:hAnsi="Arial" w:cs="Arial"/>
          <w:sz w:val="24"/>
          <w:szCs w:val="24"/>
        </w:rPr>
        <w:t xml:space="preserve">ps://consultations2.nidirect.gov.uk/doh-1/advancecareplanning-policy-adults-ni/supporting_documents/Draft%20Department%20of%20Health%20Advance%20Care%20Planning%20Policy%20For%20Adults%20in%20Northern%20Ireland%20December%20%202021.pdf </w:t>
      </w:r>
    </w:p>
    <w:p w14:paraId="7933DE03" w14:textId="77777777" w:rsidR="00DE7279" w:rsidRDefault="00DE7279" w:rsidP="00DE7279">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Digital Communities Wales (2023) ‘</w:t>
      </w:r>
      <w:r>
        <w:rPr>
          <w:rFonts w:ascii="Arial" w:hAnsi="Arial" w:cs="Arial"/>
          <w:i/>
          <w:color w:val="212121"/>
          <w:sz w:val="24"/>
          <w:szCs w:val="24"/>
          <w:shd w:val="clear" w:color="auto" w:fill="FFFFFF"/>
        </w:rPr>
        <w:t>Digital Inclusion in Wales</w:t>
      </w:r>
      <w:r>
        <w:rPr>
          <w:rFonts w:ascii="Arial" w:hAnsi="Arial" w:cs="Arial"/>
          <w:color w:val="212121"/>
          <w:sz w:val="24"/>
          <w:szCs w:val="24"/>
          <w:shd w:val="clear" w:color="auto" w:fill="FFFFFF"/>
        </w:rPr>
        <w:t>’. Available at https://www.digitalcommunities.gov.wales/digital-inclusion-in-wales-2 (Accessed: 14 February 2025)</w:t>
      </w:r>
    </w:p>
    <w:p w14:paraId="55D91F10" w14:textId="77777777" w:rsidR="00DE7279" w:rsidRDefault="00DE7279" w:rsidP="00DE7279">
      <w:pPr>
        <w:rPr>
          <w:rFonts w:ascii="Arial" w:hAnsi="Arial" w:cs="Arial"/>
          <w:sz w:val="24"/>
          <w:szCs w:val="24"/>
        </w:rPr>
      </w:pPr>
      <w:r w:rsidRPr="00300F4F">
        <w:rPr>
          <w:rFonts w:ascii="Arial" w:hAnsi="Arial" w:cs="Arial"/>
          <w:sz w:val="24"/>
          <w:szCs w:val="24"/>
        </w:rPr>
        <w:t xml:space="preserve">Driscoll, J. (1994). ‘Reflective practice for practise’, </w:t>
      </w:r>
      <w:r w:rsidRPr="00300F4F">
        <w:rPr>
          <w:rFonts w:ascii="Arial" w:hAnsi="Arial" w:cs="Arial"/>
          <w:i/>
          <w:sz w:val="24"/>
          <w:szCs w:val="24"/>
        </w:rPr>
        <w:t>Senior Nurse</w:t>
      </w:r>
      <w:r>
        <w:rPr>
          <w:rFonts w:ascii="Arial" w:hAnsi="Arial" w:cs="Arial"/>
          <w:sz w:val="24"/>
          <w:szCs w:val="24"/>
        </w:rPr>
        <w:t>, 13, pp. 47</w:t>
      </w:r>
      <w:r w:rsidRPr="00300F4F">
        <w:rPr>
          <w:rFonts w:ascii="Arial" w:hAnsi="Arial" w:cs="Arial"/>
          <w:sz w:val="24"/>
          <w:szCs w:val="24"/>
        </w:rPr>
        <w:t>-50</w:t>
      </w:r>
    </w:p>
    <w:p w14:paraId="058979F7" w14:textId="77777777" w:rsidR="00DE7279" w:rsidRPr="00300F4F" w:rsidRDefault="00DE7279" w:rsidP="00DE7279">
      <w:pPr>
        <w:rPr>
          <w:rFonts w:ascii="Arial" w:hAnsi="Arial" w:cs="Arial"/>
          <w:sz w:val="24"/>
          <w:szCs w:val="24"/>
        </w:rPr>
      </w:pPr>
      <w:r w:rsidRPr="00300F4F">
        <w:rPr>
          <w:rFonts w:ascii="Arial" w:hAnsi="Arial" w:cs="Arial"/>
          <w:sz w:val="24"/>
          <w:szCs w:val="24"/>
        </w:rPr>
        <w:t xml:space="preserve">Edgar, T.W. and </w:t>
      </w:r>
      <w:proofErr w:type="spellStart"/>
      <w:r w:rsidRPr="00300F4F">
        <w:rPr>
          <w:rFonts w:ascii="Arial" w:hAnsi="Arial" w:cs="Arial"/>
          <w:sz w:val="24"/>
          <w:szCs w:val="24"/>
        </w:rPr>
        <w:t>Manz</w:t>
      </w:r>
      <w:proofErr w:type="spellEnd"/>
      <w:r w:rsidRPr="00300F4F">
        <w:rPr>
          <w:rFonts w:ascii="Arial" w:hAnsi="Arial" w:cs="Arial"/>
          <w:sz w:val="24"/>
          <w:szCs w:val="24"/>
        </w:rPr>
        <w:t xml:space="preserve">, D.O. (2017) </w:t>
      </w:r>
      <w:r w:rsidRPr="00300F4F">
        <w:rPr>
          <w:rFonts w:ascii="Arial" w:hAnsi="Arial" w:cs="Arial"/>
          <w:i/>
          <w:sz w:val="24"/>
          <w:szCs w:val="24"/>
        </w:rPr>
        <w:t>Research Methods for Cyber Security</w:t>
      </w:r>
      <w:r w:rsidRPr="00300F4F">
        <w:rPr>
          <w:rFonts w:ascii="Arial" w:hAnsi="Arial" w:cs="Arial"/>
          <w:sz w:val="24"/>
          <w:szCs w:val="24"/>
        </w:rPr>
        <w:t>, Oxford: Syngress</w:t>
      </w:r>
    </w:p>
    <w:p w14:paraId="0618A158"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Enguidanos</w:t>
      </w:r>
      <w:proofErr w:type="spellEnd"/>
      <w:r w:rsidRPr="009C66F9">
        <w:rPr>
          <w:rFonts w:ascii="Arial" w:eastAsia="Times New Roman" w:hAnsi="Arial" w:cs="Arial"/>
          <w:sz w:val="24"/>
          <w:szCs w:val="24"/>
          <w:lang w:eastAsia="en-GB"/>
        </w:rPr>
        <w:t xml:space="preserve">, S., Rahman, A., Fields, T., Mack, W., Brumley, R., </w:t>
      </w:r>
      <w:proofErr w:type="spellStart"/>
      <w:r w:rsidRPr="009C66F9">
        <w:rPr>
          <w:rFonts w:ascii="Arial" w:eastAsia="Times New Roman" w:hAnsi="Arial" w:cs="Arial"/>
          <w:sz w:val="24"/>
          <w:szCs w:val="24"/>
          <w:lang w:eastAsia="en-GB"/>
        </w:rPr>
        <w:t>Rabow</w:t>
      </w:r>
      <w:proofErr w:type="spellEnd"/>
      <w:r w:rsidRPr="009C66F9">
        <w:rPr>
          <w:rFonts w:ascii="Arial" w:eastAsia="Times New Roman" w:hAnsi="Arial" w:cs="Arial"/>
          <w:sz w:val="24"/>
          <w:szCs w:val="24"/>
          <w:lang w:eastAsia="en-GB"/>
        </w:rPr>
        <w:t xml:space="preserve">, M. and </w:t>
      </w:r>
      <w:proofErr w:type="spellStart"/>
      <w:r w:rsidRPr="009C66F9">
        <w:rPr>
          <w:rFonts w:ascii="Arial" w:eastAsia="Times New Roman" w:hAnsi="Arial" w:cs="Arial"/>
          <w:sz w:val="24"/>
          <w:szCs w:val="24"/>
          <w:lang w:eastAsia="en-GB"/>
        </w:rPr>
        <w:t>Mert</w:t>
      </w:r>
      <w:proofErr w:type="spellEnd"/>
      <w:r w:rsidRPr="009C66F9">
        <w:rPr>
          <w:rFonts w:ascii="Arial" w:eastAsia="Times New Roman" w:hAnsi="Arial" w:cs="Arial"/>
          <w:sz w:val="24"/>
          <w:szCs w:val="24"/>
          <w:lang w:eastAsia="en-GB"/>
        </w:rPr>
        <w:t xml:space="preserve">, M. (2019) ‘Expanding access to home-based palliative care: a randomized controlled trial protocol’, </w:t>
      </w:r>
      <w:r w:rsidRPr="009C66F9">
        <w:rPr>
          <w:rFonts w:ascii="Arial" w:eastAsia="Times New Roman" w:hAnsi="Arial" w:cs="Arial"/>
          <w:i/>
          <w:iCs/>
          <w:sz w:val="24"/>
          <w:szCs w:val="24"/>
          <w:lang w:eastAsia="en-GB"/>
        </w:rPr>
        <w:t>Journal of Palliative Medicine</w:t>
      </w:r>
      <w:r w:rsidRPr="009C66F9">
        <w:rPr>
          <w:rFonts w:ascii="Arial" w:eastAsia="Times New Roman" w:hAnsi="Arial" w:cs="Arial"/>
          <w:sz w:val="24"/>
          <w:szCs w:val="24"/>
          <w:lang w:eastAsia="en-GB"/>
        </w:rPr>
        <w:t>, 22(S1), pp. S58-S65. Available at: https://doi.org/10.1089/jpm.2019.0147</w:t>
      </w:r>
    </w:p>
    <w:p w14:paraId="79F271AD"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lastRenderedPageBreak/>
        <w:t>Fleuren</w:t>
      </w:r>
      <w:proofErr w:type="spellEnd"/>
      <w:r w:rsidRPr="009C66F9">
        <w:rPr>
          <w:rFonts w:ascii="Arial" w:eastAsia="Times New Roman" w:hAnsi="Arial" w:cs="Arial"/>
          <w:sz w:val="24"/>
          <w:szCs w:val="24"/>
          <w:lang w:eastAsia="en-GB"/>
        </w:rPr>
        <w:t xml:space="preserve">, N., </w:t>
      </w:r>
      <w:proofErr w:type="spellStart"/>
      <w:r w:rsidRPr="009C66F9">
        <w:rPr>
          <w:rFonts w:ascii="Arial" w:eastAsia="Times New Roman" w:hAnsi="Arial" w:cs="Arial"/>
          <w:sz w:val="24"/>
          <w:szCs w:val="24"/>
          <w:lang w:eastAsia="en-GB"/>
        </w:rPr>
        <w:t>Depla</w:t>
      </w:r>
      <w:proofErr w:type="spellEnd"/>
      <w:r w:rsidRPr="009C66F9">
        <w:rPr>
          <w:rFonts w:ascii="Arial" w:eastAsia="Times New Roman" w:hAnsi="Arial" w:cs="Arial"/>
          <w:sz w:val="24"/>
          <w:szCs w:val="24"/>
          <w:lang w:eastAsia="en-GB"/>
        </w:rPr>
        <w:t xml:space="preserve">, M., Janssen, D., Huisman, M. and </w:t>
      </w:r>
      <w:proofErr w:type="spellStart"/>
      <w:r w:rsidRPr="009C66F9">
        <w:rPr>
          <w:rFonts w:ascii="Arial" w:eastAsia="Times New Roman" w:hAnsi="Arial" w:cs="Arial"/>
          <w:sz w:val="24"/>
          <w:szCs w:val="24"/>
          <w:lang w:eastAsia="en-GB"/>
        </w:rPr>
        <w:t>Hertogh</w:t>
      </w:r>
      <w:proofErr w:type="spellEnd"/>
      <w:r w:rsidRPr="009C66F9">
        <w:rPr>
          <w:rFonts w:ascii="Arial" w:eastAsia="Times New Roman" w:hAnsi="Arial" w:cs="Arial"/>
          <w:sz w:val="24"/>
          <w:szCs w:val="24"/>
          <w:lang w:eastAsia="en-GB"/>
        </w:rPr>
        <w:t xml:space="preserve">, C. (2020) ‘Underlying goals of advance care planning (ACP): a qualitative analysis of the literature’, </w:t>
      </w:r>
      <w:r w:rsidRPr="009C66F9">
        <w:rPr>
          <w:rFonts w:ascii="Arial" w:eastAsia="Times New Roman" w:hAnsi="Arial" w:cs="Arial"/>
          <w:i/>
          <w:iCs/>
          <w:sz w:val="24"/>
          <w:szCs w:val="24"/>
          <w:lang w:eastAsia="en-GB"/>
        </w:rPr>
        <w:t>BMC Palliative Care</w:t>
      </w:r>
      <w:r w:rsidRPr="009C66F9">
        <w:rPr>
          <w:rFonts w:ascii="Arial" w:eastAsia="Times New Roman" w:hAnsi="Arial" w:cs="Arial"/>
          <w:sz w:val="24"/>
          <w:szCs w:val="24"/>
          <w:lang w:eastAsia="en-GB"/>
        </w:rPr>
        <w:t>, 19(1), pp. 27. Available at: https://doi.org/10.1186/s12904-020-0535-1</w:t>
      </w:r>
    </w:p>
    <w:p w14:paraId="64FFE957" w14:textId="77777777" w:rsidR="00DE7279" w:rsidRPr="00300F4F" w:rsidRDefault="00DE7279" w:rsidP="00DE7279">
      <w:pPr>
        <w:rPr>
          <w:rFonts w:ascii="Arial" w:hAnsi="Arial" w:cs="Arial"/>
          <w:sz w:val="24"/>
          <w:szCs w:val="24"/>
        </w:rPr>
      </w:pPr>
      <w:proofErr w:type="spellStart"/>
      <w:r w:rsidRPr="00300F4F">
        <w:rPr>
          <w:rFonts w:ascii="Arial" w:hAnsi="Arial" w:cs="Arial"/>
          <w:sz w:val="24"/>
          <w:szCs w:val="24"/>
        </w:rPr>
        <w:t>Freling</w:t>
      </w:r>
      <w:proofErr w:type="spellEnd"/>
      <w:r w:rsidRPr="00300F4F">
        <w:rPr>
          <w:rFonts w:ascii="Arial" w:hAnsi="Arial" w:cs="Arial"/>
          <w:sz w:val="24"/>
          <w:szCs w:val="24"/>
        </w:rPr>
        <w:t xml:space="preserve">, T.H., Yang, Z., Saini, R., </w:t>
      </w:r>
      <w:proofErr w:type="spellStart"/>
      <w:r w:rsidRPr="00300F4F">
        <w:rPr>
          <w:rFonts w:ascii="Arial" w:hAnsi="Arial" w:cs="Arial"/>
          <w:sz w:val="24"/>
          <w:szCs w:val="24"/>
        </w:rPr>
        <w:t>Itani</w:t>
      </w:r>
      <w:proofErr w:type="spellEnd"/>
      <w:r w:rsidRPr="00300F4F">
        <w:rPr>
          <w:rFonts w:ascii="Arial" w:hAnsi="Arial" w:cs="Arial"/>
          <w:sz w:val="24"/>
          <w:szCs w:val="24"/>
        </w:rPr>
        <w:t xml:space="preserve">, O.S. and </w:t>
      </w:r>
      <w:proofErr w:type="spellStart"/>
      <w:r w:rsidRPr="00300F4F">
        <w:rPr>
          <w:rFonts w:ascii="Arial" w:hAnsi="Arial" w:cs="Arial"/>
          <w:sz w:val="24"/>
          <w:szCs w:val="24"/>
        </w:rPr>
        <w:t>Abualsamh</w:t>
      </w:r>
      <w:proofErr w:type="spellEnd"/>
      <w:r w:rsidRPr="00300F4F">
        <w:rPr>
          <w:rFonts w:ascii="Arial" w:hAnsi="Arial" w:cs="Arial"/>
          <w:sz w:val="24"/>
          <w:szCs w:val="24"/>
        </w:rPr>
        <w:t xml:space="preserve">, R.R. (2020) ‘When poignant stories outweigh cold hard facts: A meta-analysis of the anecdotal bias’, </w:t>
      </w:r>
      <w:r w:rsidRPr="00300F4F">
        <w:rPr>
          <w:rFonts w:ascii="Arial" w:hAnsi="Arial" w:cs="Arial"/>
          <w:i/>
          <w:sz w:val="24"/>
          <w:szCs w:val="24"/>
        </w:rPr>
        <w:t xml:space="preserve">Organizational </w:t>
      </w:r>
      <w:proofErr w:type="spellStart"/>
      <w:r w:rsidRPr="00300F4F">
        <w:rPr>
          <w:rFonts w:ascii="Arial" w:hAnsi="Arial" w:cs="Arial"/>
          <w:i/>
          <w:sz w:val="24"/>
          <w:szCs w:val="24"/>
        </w:rPr>
        <w:t>Behavior</w:t>
      </w:r>
      <w:proofErr w:type="spellEnd"/>
      <w:r w:rsidRPr="00300F4F">
        <w:rPr>
          <w:rFonts w:ascii="Arial" w:hAnsi="Arial" w:cs="Arial"/>
          <w:i/>
          <w:sz w:val="24"/>
          <w:szCs w:val="24"/>
        </w:rPr>
        <w:t xml:space="preserve"> and Human Decision Processes</w:t>
      </w:r>
      <w:r w:rsidRPr="00300F4F">
        <w:rPr>
          <w:rFonts w:ascii="Arial" w:hAnsi="Arial" w:cs="Arial"/>
          <w:sz w:val="24"/>
          <w:szCs w:val="24"/>
        </w:rPr>
        <w:t>, 160, pp. 51-67. Available at: https://doi.org/10.1016/j.obhdp.2020.01.006</w:t>
      </w:r>
    </w:p>
    <w:p w14:paraId="48A7933C" w14:textId="77777777" w:rsidR="00DE7279" w:rsidRDefault="00DE7279" w:rsidP="00DE7279">
      <w:pPr>
        <w:spacing w:line="240" w:lineRule="auto"/>
        <w:rPr>
          <w:rFonts w:ascii="Arial" w:hAnsi="Arial" w:cs="Arial"/>
          <w:sz w:val="24"/>
          <w:szCs w:val="24"/>
        </w:rPr>
      </w:pPr>
      <w:r w:rsidRPr="00CF558F">
        <w:rPr>
          <w:rFonts w:ascii="Arial" w:hAnsi="Arial" w:cs="Arial"/>
          <w:sz w:val="24"/>
          <w:szCs w:val="24"/>
        </w:rPr>
        <w:t>Gawande, A. (201</w:t>
      </w:r>
      <w:r>
        <w:rPr>
          <w:rFonts w:ascii="Arial" w:hAnsi="Arial" w:cs="Arial"/>
          <w:sz w:val="24"/>
          <w:szCs w:val="24"/>
        </w:rPr>
        <w:t>5</w:t>
      </w:r>
      <w:r w:rsidRPr="00CF558F">
        <w:rPr>
          <w:rFonts w:ascii="Arial" w:hAnsi="Arial" w:cs="Arial"/>
          <w:sz w:val="24"/>
          <w:szCs w:val="24"/>
        </w:rPr>
        <w:t>) </w:t>
      </w:r>
      <w:r w:rsidRPr="009D05DA">
        <w:rPr>
          <w:rFonts w:ascii="Arial" w:hAnsi="Arial" w:cs="Arial"/>
          <w:i/>
          <w:iCs/>
          <w:sz w:val="24"/>
          <w:szCs w:val="24"/>
        </w:rPr>
        <w:t>Being Mortal Medicine and What Matters in the End</w:t>
      </w:r>
      <w:r w:rsidRPr="00CF558F">
        <w:rPr>
          <w:rFonts w:ascii="Arial" w:hAnsi="Arial" w:cs="Arial"/>
          <w:sz w:val="24"/>
          <w:szCs w:val="24"/>
        </w:rPr>
        <w:t xml:space="preserve">. </w:t>
      </w:r>
      <w:r>
        <w:rPr>
          <w:rFonts w:ascii="Arial" w:hAnsi="Arial" w:cs="Arial"/>
          <w:sz w:val="24"/>
          <w:szCs w:val="24"/>
        </w:rPr>
        <w:t>London: Profile Books Ltd.</w:t>
      </w:r>
    </w:p>
    <w:p w14:paraId="5FC83C76" w14:textId="77777777" w:rsidR="00DE7279" w:rsidRPr="00300F4F" w:rsidRDefault="00DE7279" w:rsidP="00DE7279">
      <w:pPr>
        <w:rPr>
          <w:rFonts w:ascii="Arial" w:hAnsi="Arial" w:cs="Arial"/>
          <w:sz w:val="24"/>
          <w:szCs w:val="24"/>
        </w:rPr>
      </w:pPr>
      <w:r w:rsidRPr="00300F4F">
        <w:rPr>
          <w:rFonts w:ascii="Arial" w:hAnsi="Arial" w:cs="Arial"/>
          <w:sz w:val="24"/>
          <w:szCs w:val="24"/>
        </w:rPr>
        <w:t>George, R. and Harlow, T. (2011</w:t>
      </w:r>
      <w:proofErr w:type="gramStart"/>
      <w:r w:rsidRPr="00300F4F">
        <w:rPr>
          <w:rFonts w:ascii="Arial" w:hAnsi="Arial" w:cs="Arial"/>
          <w:sz w:val="24"/>
          <w:szCs w:val="24"/>
        </w:rPr>
        <w:t>)  '</w:t>
      </w:r>
      <w:proofErr w:type="gramEnd"/>
      <w:r w:rsidRPr="00300F4F">
        <w:rPr>
          <w:rFonts w:ascii="Arial" w:hAnsi="Arial" w:cs="Arial"/>
          <w:sz w:val="24"/>
          <w:szCs w:val="24"/>
        </w:rPr>
        <w:t>Advance Care Planning: politically correct, but ethically sound?', in Keri Thomas, and Ben Lobo (eds), </w:t>
      </w:r>
      <w:r w:rsidRPr="00300F4F">
        <w:rPr>
          <w:rFonts w:ascii="Arial" w:hAnsi="Arial" w:cs="Arial"/>
          <w:i/>
          <w:iCs/>
          <w:sz w:val="24"/>
          <w:szCs w:val="24"/>
        </w:rPr>
        <w:t>Advance Care Planning in End of Life Care</w:t>
      </w:r>
      <w:r w:rsidRPr="00300F4F">
        <w:rPr>
          <w:rFonts w:ascii="Arial" w:hAnsi="Arial" w:cs="Arial"/>
          <w:sz w:val="24"/>
          <w:szCs w:val="24"/>
        </w:rPr>
        <w:t>, 1st ed. Oxford University Press</w:t>
      </w:r>
    </w:p>
    <w:p w14:paraId="1FC468A4" w14:textId="77777777" w:rsidR="00DE7279" w:rsidRPr="00300F4F" w:rsidRDefault="00DE7279" w:rsidP="00DE7279">
      <w:pPr>
        <w:rPr>
          <w:rFonts w:ascii="Arial" w:hAnsi="Arial" w:cs="Arial"/>
          <w:sz w:val="24"/>
          <w:szCs w:val="24"/>
        </w:rPr>
      </w:pPr>
      <w:r w:rsidRPr="00300F4F">
        <w:rPr>
          <w:rFonts w:ascii="Arial" w:hAnsi="Arial" w:cs="Arial"/>
          <w:sz w:val="24"/>
          <w:szCs w:val="24"/>
        </w:rPr>
        <w:t xml:space="preserve">Gillon R. (1994) ‘Medical ethics: four principles plus attention to scope’, </w:t>
      </w:r>
      <w:r w:rsidRPr="00300F4F">
        <w:rPr>
          <w:rFonts w:ascii="Arial" w:hAnsi="Arial" w:cs="Arial"/>
          <w:i/>
          <w:sz w:val="24"/>
          <w:szCs w:val="24"/>
        </w:rPr>
        <w:t>British Medical Journal</w:t>
      </w:r>
      <w:r w:rsidRPr="00300F4F">
        <w:rPr>
          <w:rFonts w:ascii="Arial" w:hAnsi="Arial" w:cs="Arial"/>
          <w:sz w:val="24"/>
          <w:szCs w:val="24"/>
        </w:rPr>
        <w:t>, 309 (6948), pp. 184–8. Available at ht</w:t>
      </w:r>
      <w:r w:rsidRPr="00300F4F">
        <w:rPr>
          <w:rFonts w:ascii="Arial" w:hAnsi="Arial" w:cs="Arial"/>
          <w:sz w:val="24"/>
          <w:szCs w:val="24"/>
          <w:bdr w:val="none" w:sz="0" w:space="0" w:color="auto" w:frame="1"/>
          <w:shd w:val="clear" w:color="auto" w:fill="FFFFFF"/>
        </w:rPr>
        <w:t>tps://doi.org/10.1136/bmj.309.6948.184</w:t>
      </w:r>
      <w:r w:rsidRPr="00300F4F">
        <w:rPr>
          <w:rFonts w:ascii="Arial" w:hAnsi="Arial" w:cs="Arial"/>
          <w:sz w:val="24"/>
          <w:szCs w:val="24"/>
        </w:rPr>
        <w:t xml:space="preserve"> </w:t>
      </w:r>
    </w:p>
    <w:p w14:paraId="4CEF1306"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Gondode</w:t>
      </w:r>
      <w:proofErr w:type="spellEnd"/>
      <w:r w:rsidRPr="009C66F9">
        <w:rPr>
          <w:rFonts w:ascii="Arial" w:eastAsia="Times New Roman" w:hAnsi="Arial" w:cs="Arial"/>
          <w:sz w:val="24"/>
          <w:szCs w:val="24"/>
          <w:lang w:eastAsia="en-GB"/>
        </w:rPr>
        <w:t xml:space="preserve">, P.G., </w:t>
      </w:r>
      <w:proofErr w:type="spellStart"/>
      <w:r w:rsidRPr="009C66F9">
        <w:rPr>
          <w:rFonts w:ascii="Arial" w:eastAsia="Times New Roman" w:hAnsi="Arial" w:cs="Arial"/>
          <w:sz w:val="24"/>
          <w:szCs w:val="24"/>
          <w:lang w:eastAsia="en-GB"/>
        </w:rPr>
        <w:t>Mahor</w:t>
      </w:r>
      <w:proofErr w:type="spellEnd"/>
      <w:r w:rsidRPr="009C66F9">
        <w:rPr>
          <w:rFonts w:ascii="Arial" w:eastAsia="Times New Roman" w:hAnsi="Arial" w:cs="Arial"/>
          <w:sz w:val="24"/>
          <w:szCs w:val="24"/>
          <w:lang w:eastAsia="en-GB"/>
        </w:rPr>
        <w:t>, V., Rani, D., Ramkumar, R. and Yadav, P. (2024) ‘Debunking palliative care myths: assessing the performance of artificial intelligence chatbots (</w:t>
      </w:r>
      <w:proofErr w:type="spellStart"/>
      <w:r w:rsidRPr="009C66F9">
        <w:rPr>
          <w:rFonts w:ascii="Arial" w:eastAsia="Times New Roman" w:hAnsi="Arial" w:cs="Arial"/>
          <w:sz w:val="24"/>
          <w:szCs w:val="24"/>
          <w:lang w:eastAsia="en-GB"/>
        </w:rPr>
        <w:t>ChatGPT</w:t>
      </w:r>
      <w:proofErr w:type="spellEnd"/>
      <w:r w:rsidRPr="009C66F9">
        <w:rPr>
          <w:rFonts w:ascii="Arial" w:eastAsia="Times New Roman" w:hAnsi="Arial" w:cs="Arial"/>
          <w:sz w:val="24"/>
          <w:szCs w:val="24"/>
          <w:lang w:eastAsia="en-GB"/>
        </w:rPr>
        <w:t xml:space="preserve"> vs. Google Gemini)’, </w:t>
      </w:r>
      <w:r w:rsidRPr="009C66F9">
        <w:rPr>
          <w:rFonts w:ascii="Arial" w:eastAsia="Times New Roman" w:hAnsi="Arial" w:cs="Arial"/>
          <w:i/>
          <w:iCs/>
          <w:sz w:val="24"/>
          <w:szCs w:val="24"/>
          <w:lang w:eastAsia="en-GB"/>
        </w:rPr>
        <w:t>Indian Journal of Palliative Care</w:t>
      </w:r>
      <w:r w:rsidRPr="009C66F9">
        <w:rPr>
          <w:rFonts w:ascii="Arial" w:eastAsia="Times New Roman" w:hAnsi="Arial" w:cs="Arial"/>
          <w:sz w:val="24"/>
          <w:szCs w:val="24"/>
          <w:lang w:eastAsia="en-GB"/>
        </w:rPr>
        <w:t>, 30(3), pp. 284–287. Available at: https://doi.org/10.25259/IJPC_44_2024</w:t>
      </w:r>
    </w:p>
    <w:p w14:paraId="0AB9B6E8"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Gupta, N. and Gupta, A. (2024) ‘Artificial Intelligence: a boon to palliative care providers and cancer patients?’, </w:t>
      </w:r>
      <w:r w:rsidRPr="009C66F9">
        <w:rPr>
          <w:rFonts w:ascii="Arial" w:eastAsia="Times New Roman" w:hAnsi="Arial" w:cs="Arial"/>
          <w:i/>
          <w:iCs/>
          <w:sz w:val="24"/>
          <w:szCs w:val="24"/>
          <w:lang w:eastAsia="en-GB"/>
        </w:rPr>
        <w:t>Indian Journal of Palliative Care</w:t>
      </w:r>
      <w:r w:rsidRPr="009C66F9">
        <w:rPr>
          <w:rFonts w:ascii="Arial" w:eastAsia="Times New Roman" w:hAnsi="Arial" w:cs="Arial"/>
          <w:sz w:val="24"/>
          <w:szCs w:val="24"/>
          <w:lang w:eastAsia="en-GB"/>
        </w:rPr>
        <w:t>, 30(3), pp. 187–188. Available at: https://doi.org/10.25259/IJPC_218_2024</w:t>
      </w:r>
    </w:p>
    <w:p w14:paraId="11AAA113"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Hamdoune</w:t>
      </w:r>
      <w:proofErr w:type="spellEnd"/>
      <w:r w:rsidRPr="009C66F9">
        <w:rPr>
          <w:rFonts w:ascii="Arial" w:eastAsia="Times New Roman" w:hAnsi="Arial" w:cs="Arial"/>
          <w:sz w:val="24"/>
          <w:szCs w:val="24"/>
          <w:lang w:eastAsia="en-GB"/>
        </w:rPr>
        <w:t xml:space="preserve">, M., </w:t>
      </w:r>
      <w:proofErr w:type="spellStart"/>
      <w:r w:rsidRPr="009C66F9">
        <w:rPr>
          <w:rFonts w:ascii="Arial" w:eastAsia="Times New Roman" w:hAnsi="Arial" w:cs="Arial"/>
          <w:sz w:val="24"/>
          <w:szCs w:val="24"/>
          <w:lang w:eastAsia="en-GB"/>
        </w:rPr>
        <w:t>Jounaidi</w:t>
      </w:r>
      <w:proofErr w:type="spellEnd"/>
      <w:r w:rsidRPr="009C66F9">
        <w:rPr>
          <w:rFonts w:ascii="Arial" w:eastAsia="Times New Roman" w:hAnsi="Arial" w:cs="Arial"/>
          <w:sz w:val="24"/>
          <w:szCs w:val="24"/>
          <w:lang w:eastAsia="en-GB"/>
        </w:rPr>
        <w:t xml:space="preserve">, K., </w:t>
      </w:r>
      <w:proofErr w:type="spellStart"/>
      <w:r w:rsidRPr="009C66F9">
        <w:rPr>
          <w:rFonts w:ascii="Arial" w:eastAsia="Times New Roman" w:hAnsi="Arial" w:cs="Arial"/>
          <w:sz w:val="24"/>
          <w:szCs w:val="24"/>
          <w:lang w:eastAsia="en-GB"/>
        </w:rPr>
        <w:t>Ammari</w:t>
      </w:r>
      <w:proofErr w:type="spellEnd"/>
      <w:r w:rsidRPr="009C66F9">
        <w:rPr>
          <w:rFonts w:ascii="Arial" w:eastAsia="Times New Roman" w:hAnsi="Arial" w:cs="Arial"/>
          <w:sz w:val="24"/>
          <w:szCs w:val="24"/>
          <w:lang w:eastAsia="en-GB"/>
        </w:rPr>
        <w:t xml:space="preserve">, N. and </w:t>
      </w:r>
      <w:proofErr w:type="spellStart"/>
      <w:r w:rsidRPr="009C66F9">
        <w:rPr>
          <w:rFonts w:ascii="Arial" w:eastAsia="Times New Roman" w:hAnsi="Arial" w:cs="Arial"/>
          <w:sz w:val="24"/>
          <w:szCs w:val="24"/>
          <w:lang w:eastAsia="en-GB"/>
        </w:rPr>
        <w:t>Gantare</w:t>
      </w:r>
      <w:proofErr w:type="spellEnd"/>
      <w:r w:rsidRPr="009C66F9">
        <w:rPr>
          <w:rFonts w:ascii="Arial" w:eastAsia="Times New Roman" w:hAnsi="Arial" w:cs="Arial"/>
          <w:sz w:val="24"/>
          <w:szCs w:val="24"/>
          <w:lang w:eastAsia="en-GB"/>
        </w:rPr>
        <w:t xml:space="preserve">, A. (2024) ‘Digital health for cancer symptom management in palliative medicine: systematic review’, </w:t>
      </w:r>
      <w:r w:rsidRPr="009C66F9">
        <w:rPr>
          <w:rFonts w:ascii="Arial" w:eastAsia="Times New Roman" w:hAnsi="Arial" w:cs="Arial"/>
          <w:i/>
          <w:iCs/>
          <w:sz w:val="24"/>
          <w:szCs w:val="24"/>
          <w:lang w:eastAsia="en-GB"/>
        </w:rPr>
        <w:t>BMJ Supportive and Palliative Care</w:t>
      </w:r>
      <w:r w:rsidRPr="009C66F9">
        <w:rPr>
          <w:rFonts w:ascii="Arial" w:eastAsia="Times New Roman" w:hAnsi="Arial" w:cs="Arial"/>
          <w:sz w:val="24"/>
          <w:szCs w:val="24"/>
          <w:lang w:eastAsia="en-GB"/>
        </w:rPr>
        <w:t>, 14(4), pp. 392–402. Available at: https://doi.org/10.1136/spcare-2024-005107</w:t>
      </w:r>
    </w:p>
    <w:p w14:paraId="59F2119E"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He, J.C., </w:t>
      </w:r>
      <w:proofErr w:type="spellStart"/>
      <w:r w:rsidRPr="009C66F9">
        <w:rPr>
          <w:rFonts w:ascii="Arial" w:eastAsia="Times New Roman" w:hAnsi="Arial" w:cs="Arial"/>
          <w:sz w:val="24"/>
          <w:szCs w:val="24"/>
          <w:lang w:eastAsia="en-GB"/>
        </w:rPr>
        <w:t>Moffat</w:t>
      </w:r>
      <w:proofErr w:type="spellEnd"/>
      <w:r w:rsidRPr="009C66F9">
        <w:rPr>
          <w:rFonts w:ascii="Arial" w:eastAsia="Times New Roman" w:hAnsi="Arial" w:cs="Arial"/>
          <w:sz w:val="24"/>
          <w:szCs w:val="24"/>
          <w:lang w:eastAsia="en-GB"/>
        </w:rPr>
        <w:t xml:space="preserve">, G., </w:t>
      </w:r>
      <w:proofErr w:type="spellStart"/>
      <w:r w:rsidRPr="009C66F9">
        <w:rPr>
          <w:rFonts w:ascii="Arial" w:eastAsia="Times New Roman" w:hAnsi="Arial" w:cs="Arial"/>
          <w:sz w:val="24"/>
          <w:szCs w:val="24"/>
          <w:lang w:eastAsia="en-GB"/>
        </w:rPr>
        <w:t>Podolsky</w:t>
      </w:r>
      <w:proofErr w:type="spellEnd"/>
      <w:r w:rsidRPr="009C66F9">
        <w:rPr>
          <w:rFonts w:ascii="Arial" w:eastAsia="Times New Roman" w:hAnsi="Arial" w:cs="Arial"/>
          <w:sz w:val="24"/>
          <w:szCs w:val="24"/>
          <w:lang w:eastAsia="en-GB"/>
        </w:rPr>
        <w:t xml:space="preserve">, S., Khan, F., Liu, N., </w:t>
      </w:r>
      <w:proofErr w:type="spellStart"/>
      <w:r w:rsidRPr="009C66F9">
        <w:rPr>
          <w:rFonts w:ascii="Arial" w:eastAsia="Times New Roman" w:hAnsi="Arial" w:cs="Arial"/>
          <w:sz w:val="24"/>
          <w:szCs w:val="24"/>
          <w:lang w:eastAsia="en-GB"/>
        </w:rPr>
        <w:t>Taback</w:t>
      </w:r>
      <w:proofErr w:type="spellEnd"/>
      <w:r w:rsidRPr="009C66F9">
        <w:rPr>
          <w:rFonts w:ascii="Arial" w:eastAsia="Times New Roman" w:hAnsi="Arial" w:cs="Arial"/>
          <w:sz w:val="24"/>
          <w:szCs w:val="24"/>
          <w:lang w:eastAsia="en-GB"/>
        </w:rPr>
        <w:t xml:space="preserve">, N., </w:t>
      </w:r>
      <w:proofErr w:type="spellStart"/>
      <w:r w:rsidRPr="009C66F9">
        <w:rPr>
          <w:rFonts w:ascii="Arial" w:eastAsia="Times New Roman" w:hAnsi="Arial" w:cs="Arial"/>
          <w:sz w:val="24"/>
          <w:szCs w:val="24"/>
          <w:lang w:eastAsia="en-GB"/>
        </w:rPr>
        <w:t>Gallinger</w:t>
      </w:r>
      <w:proofErr w:type="spellEnd"/>
      <w:r w:rsidRPr="009C66F9">
        <w:rPr>
          <w:rFonts w:ascii="Arial" w:eastAsia="Times New Roman" w:hAnsi="Arial" w:cs="Arial"/>
          <w:sz w:val="24"/>
          <w:szCs w:val="24"/>
          <w:lang w:eastAsia="en-GB"/>
        </w:rPr>
        <w:t xml:space="preserve">, S., Hannon, B., </w:t>
      </w:r>
      <w:proofErr w:type="spellStart"/>
      <w:r w:rsidRPr="009C66F9">
        <w:rPr>
          <w:rFonts w:ascii="Arial" w:eastAsia="Times New Roman" w:hAnsi="Arial" w:cs="Arial"/>
          <w:sz w:val="24"/>
          <w:szCs w:val="24"/>
          <w:lang w:eastAsia="en-GB"/>
        </w:rPr>
        <w:t>Krzyzanowska</w:t>
      </w:r>
      <w:proofErr w:type="spellEnd"/>
      <w:r w:rsidRPr="009C66F9">
        <w:rPr>
          <w:rFonts w:ascii="Arial" w:eastAsia="Times New Roman" w:hAnsi="Arial" w:cs="Arial"/>
          <w:sz w:val="24"/>
          <w:szCs w:val="24"/>
          <w:lang w:eastAsia="en-GB"/>
        </w:rPr>
        <w:t xml:space="preserve">, M., </w:t>
      </w:r>
      <w:proofErr w:type="spellStart"/>
      <w:r w:rsidRPr="009C66F9">
        <w:rPr>
          <w:rFonts w:ascii="Arial" w:eastAsia="Times New Roman" w:hAnsi="Arial" w:cs="Arial"/>
          <w:sz w:val="24"/>
          <w:szCs w:val="24"/>
          <w:lang w:eastAsia="en-GB"/>
        </w:rPr>
        <w:t>Ghassemi</w:t>
      </w:r>
      <w:proofErr w:type="spellEnd"/>
      <w:r w:rsidRPr="009C66F9">
        <w:rPr>
          <w:rFonts w:ascii="Arial" w:eastAsia="Times New Roman" w:hAnsi="Arial" w:cs="Arial"/>
          <w:sz w:val="24"/>
          <w:szCs w:val="24"/>
          <w:lang w:eastAsia="en-GB"/>
        </w:rPr>
        <w:t xml:space="preserve">, M., Chan, K. and Grant, R. (2024) ‘Machine learning to allocate palliative care consultations during cancer treatment’, </w:t>
      </w:r>
      <w:r w:rsidRPr="009C66F9">
        <w:rPr>
          <w:rFonts w:ascii="Arial" w:eastAsia="Times New Roman" w:hAnsi="Arial" w:cs="Arial"/>
          <w:i/>
          <w:iCs/>
          <w:sz w:val="24"/>
          <w:szCs w:val="24"/>
          <w:lang w:eastAsia="en-GB"/>
        </w:rPr>
        <w:t>Journal of Clinical Oncology</w:t>
      </w:r>
      <w:r w:rsidRPr="009C66F9">
        <w:rPr>
          <w:rFonts w:ascii="Arial" w:eastAsia="Times New Roman" w:hAnsi="Arial" w:cs="Arial"/>
          <w:sz w:val="24"/>
          <w:szCs w:val="24"/>
          <w:lang w:eastAsia="en-GB"/>
        </w:rPr>
        <w:t>, 42(14), pp. 1625–1634. Available at: https://doi.org/10.1200/JCO.23.01291</w:t>
      </w:r>
    </w:p>
    <w:p w14:paraId="369AD1AF" w14:textId="543CFE60" w:rsidR="00DE7279" w:rsidRPr="00300F4F" w:rsidRDefault="00DE7279" w:rsidP="00DE7279">
      <w:pPr>
        <w:rPr>
          <w:rFonts w:ascii="Arial" w:hAnsi="Arial" w:cs="Arial"/>
          <w:sz w:val="24"/>
          <w:szCs w:val="24"/>
        </w:rPr>
      </w:pPr>
      <w:r w:rsidRPr="00300F4F">
        <w:rPr>
          <w:rFonts w:ascii="Arial" w:hAnsi="Arial" w:cs="Arial"/>
          <w:sz w:val="24"/>
          <w:szCs w:val="24"/>
        </w:rPr>
        <w:t>Health Education and Improvement in Wales (HEIW) (2025)</w:t>
      </w:r>
      <w:r w:rsidRPr="00300F4F">
        <w:rPr>
          <w:rFonts w:ascii="Arial" w:hAnsi="Arial" w:cs="Arial"/>
          <w:i/>
          <w:sz w:val="24"/>
          <w:szCs w:val="24"/>
        </w:rPr>
        <w:t>,</w:t>
      </w:r>
      <w:r w:rsidRPr="00300F4F">
        <w:rPr>
          <w:rFonts w:ascii="Arial" w:hAnsi="Arial" w:cs="Arial"/>
          <w:i/>
          <w:color w:val="6C757D"/>
          <w:sz w:val="24"/>
          <w:szCs w:val="24"/>
          <w:shd w:val="clear" w:color="auto" w:fill="FFFFFF"/>
        </w:rPr>
        <w:t> </w:t>
      </w:r>
      <w:r w:rsidRPr="00CA050C">
        <w:rPr>
          <w:rFonts w:ascii="Arial" w:hAnsi="Arial" w:cs="Arial"/>
          <w:i/>
          <w:sz w:val="24"/>
          <w:szCs w:val="24"/>
          <w:shd w:val="clear" w:color="auto" w:fill="FFFFFF"/>
        </w:rPr>
        <w:t>All Wales Palliative End of Life Competency Framework</w:t>
      </w:r>
      <w:r w:rsidRPr="00300F4F">
        <w:rPr>
          <w:rFonts w:ascii="Arial" w:hAnsi="Arial" w:cs="Arial"/>
          <w:i/>
          <w:sz w:val="24"/>
          <w:szCs w:val="24"/>
        </w:rPr>
        <w:t xml:space="preserve">. </w:t>
      </w:r>
      <w:r w:rsidRPr="00300F4F">
        <w:rPr>
          <w:rFonts w:ascii="Arial" w:hAnsi="Arial" w:cs="Arial"/>
          <w:sz w:val="24"/>
          <w:szCs w:val="24"/>
        </w:rPr>
        <w:t>Available at: https://heiw.nhs.wales/news/all-wales-palliative-end-of-life-competency-framework/#:~:text=It%20aims%20to%20support%20those,of%20care%20planning%20and%20delivery (Accessed 18 March 2025)</w:t>
      </w:r>
    </w:p>
    <w:p w14:paraId="6C6B0701"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Heinzen, E.P., Wilson, P., </w:t>
      </w:r>
      <w:proofErr w:type="spellStart"/>
      <w:r w:rsidRPr="009C66F9">
        <w:rPr>
          <w:rFonts w:ascii="Arial" w:eastAsia="Times New Roman" w:hAnsi="Arial" w:cs="Arial"/>
          <w:sz w:val="24"/>
          <w:szCs w:val="24"/>
          <w:lang w:eastAsia="en-GB"/>
        </w:rPr>
        <w:t>Storlie</w:t>
      </w:r>
      <w:proofErr w:type="spellEnd"/>
      <w:r w:rsidRPr="009C66F9">
        <w:rPr>
          <w:rFonts w:ascii="Arial" w:eastAsia="Times New Roman" w:hAnsi="Arial" w:cs="Arial"/>
          <w:sz w:val="24"/>
          <w:szCs w:val="24"/>
          <w:lang w:eastAsia="en-GB"/>
        </w:rPr>
        <w:t xml:space="preserve">, C., Demuth, G., </w:t>
      </w:r>
      <w:proofErr w:type="spellStart"/>
      <w:r w:rsidRPr="009C66F9">
        <w:rPr>
          <w:rFonts w:ascii="Arial" w:eastAsia="Times New Roman" w:hAnsi="Arial" w:cs="Arial"/>
          <w:sz w:val="24"/>
          <w:szCs w:val="24"/>
          <w:lang w:eastAsia="en-GB"/>
        </w:rPr>
        <w:t>Asai</w:t>
      </w:r>
      <w:proofErr w:type="spellEnd"/>
      <w:r w:rsidRPr="009C66F9">
        <w:rPr>
          <w:rFonts w:ascii="Arial" w:eastAsia="Times New Roman" w:hAnsi="Arial" w:cs="Arial"/>
          <w:sz w:val="24"/>
          <w:szCs w:val="24"/>
          <w:lang w:eastAsia="en-GB"/>
        </w:rPr>
        <w:t xml:space="preserve">, S., </w:t>
      </w:r>
      <w:proofErr w:type="spellStart"/>
      <w:r w:rsidRPr="009C66F9">
        <w:rPr>
          <w:rFonts w:ascii="Arial" w:eastAsia="Times New Roman" w:hAnsi="Arial" w:cs="Arial"/>
          <w:sz w:val="24"/>
          <w:szCs w:val="24"/>
          <w:lang w:eastAsia="en-GB"/>
        </w:rPr>
        <w:t>Schaeferle</w:t>
      </w:r>
      <w:proofErr w:type="spellEnd"/>
      <w:r w:rsidRPr="009C66F9">
        <w:rPr>
          <w:rFonts w:ascii="Arial" w:eastAsia="Times New Roman" w:hAnsi="Arial" w:cs="Arial"/>
          <w:sz w:val="24"/>
          <w:szCs w:val="24"/>
          <w:lang w:eastAsia="en-GB"/>
        </w:rPr>
        <w:t xml:space="preserve">, G., Bartley, M. and </w:t>
      </w:r>
      <w:proofErr w:type="spellStart"/>
      <w:r w:rsidRPr="009C66F9">
        <w:rPr>
          <w:rFonts w:ascii="Arial" w:eastAsia="Times New Roman" w:hAnsi="Arial" w:cs="Arial"/>
          <w:sz w:val="24"/>
          <w:szCs w:val="24"/>
          <w:lang w:eastAsia="en-GB"/>
        </w:rPr>
        <w:t>Havyer</w:t>
      </w:r>
      <w:proofErr w:type="spellEnd"/>
      <w:r w:rsidRPr="009C66F9">
        <w:rPr>
          <w:rFonts w:ascii="Arial" w:eastAsia="Times New Roman" w:hAnsi="Arial" w:cs="Arial"/>
          <w:sz w:val="24"/>
          <w:szCs w:val="24"/>
          <w:lang w:eastAsia="en-GB"/>
        </w:rPr>
        <w:t xml:space="preserve">, R. (2023) ‘Impact of a machine learning algorithm on time to palliative care in a primary care population: protocol for a stepped-wedge pragmatic randomized trial’, </w:t>
      </w:r>
      <w:r w:rsidRPr="009C66F9">
        <w:rPr>
          <w:rFonts w:ascii="Arial" w:eastAsia="Times New Roman" w:hAnsi="Arial" w:cs="Arial"/>
          <w:i/>
          <w:iCs/>
          <w:sz w:val="24"/>
          <w:szCs w:val="24"/>
          <w:lang w:eastAsia="en-GB"/>
        </w:rPr>
        <w:t>BMC Palliative Care</w:t>
      </w:r>
      <w:r w:rsidRPr="009C66F9">
        <w:rPr>
          <w:rFonts w:ascii="Arial" w:eastAsia="Times New Roman" w:hAnsi="Arial" w:cs="Arial"/>
          <w:sz w:val="24"/>
          <w:szCs w:val="24"/>
          <w:lang w:eastAsia="en-GB"/>
        </w:rPr>
        <w:t>, 22(1). Available at: https://doi.org/10.1186/S12904-022-01113-0</w:t>
      </w:r>
    </w:p>
    <w:p w14:paraId="60F8A8CC"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lastRenderedPageBreak/>
        <w:t xml:space="preserve">Heyman, E.T., Ashfaq, A., </w:t>
      </w:r>
      <w:proofErr w:type="spellStart"/>
      <w:r w:rsidRPr="009C66F9">
        <w:rPr>
          <w:rFonts w:ascii="Arial" w:eastAsia="Times New Roman" w:hAnsi="Arial" w:cs="Arial"/>
          <w:sz w:val="24"/>
          <w:szCs w:val="24"/>
          <w:lang w:eastAsia="en-GB"/>
        </w:rPr>
        <w:t>Khosnood</w:t>
      </w:r>
      <w:proofErr w:type="spellEnd"/>
      <w:r w:rsidRPr="009C66F9">
        <w:rPr>
          <w:rFonts w:ascii="Arial" w:eastAsia="Times New Roman" w:hAnsi="Arial" w:cs="Arial"/>
          <w:sz w:val="24"/>
          <w:szCs w:val="24"/>
          <w:lang w:eastAsia="en-GB"/>
        </w:rPr>
        <w:t xml:space="preserve">, A., Ohlsson, M., </w:t>
      </w:r>
      <w:proofErr w:type="spellStart"/>
      <w:r w:rsidRPr="009C66F9">
        <w:rPr>
          <w:rFonts w:ascii="Arial" w:eastAsia="Times New Roman" w:hAnsi="Arial" w:cs="Arial"/>
          <w:sz w:val="24"/>
          <w:szCs w:val="24"/>
          <w:lang w:eastAsia="en-GB"/>
        </w:rPr>
        <w:t>Ekelund</w:t>
      </w:r>
      <w:proofErr w:type="spellEnd"/>
      <w:r w:rsidRPr="009C66F9">
        <w:rPr>
          <w:rFonts w:ascii="Arial" w:eastAsia="Times New Roman" w:hAnsi="Arial" w:cs="Arial"/>
          <w:sz w:val="24"/>
          <w:szCs w:val="24"/>
          <w:lang w:eastAsia="en-GB"/>
        </w:rPr>
        <w:t xml:space="preserve">, U., </w:t>
      </w:r>
      <w:proofErr w:type="spellStart"/>
      <w:r w:rsidRPr="009C66F9">
        <w:rPr>
          <w:rFonts w:ascii="Arial" w:eastAsia="Times New Roman" w:hAnsi="Arial" w:cs="Arial"/>
          <w:sz w:val="24"/>
          <w:szCs w:val="24"/>
          <w:lang w:eastAsia="en-GB"/>
        </w:rPr>
        <w:t>Holmqvist</w:t>
      </w:r>
      <w:proofErr w:type="spellEnd"/>
      <w:r w:rsidRPr="009C66F9">
        <w:rPr>
          <w:rFonts w:ascii="Arial" w:eastAsia="Times New Roman" w:hAnsi="Arial" w:cs="Arial"/>
          <w:sz w:val="24"/>
          <w:szCs w:val="24"/>
          <w:lang w:eastAsia="en-GB"/>
        </w:rPr>
        <w:t xml:space="preserve">, L. and </w:t>
      </w:r>
      <w:proofErr w:type="spellStart"/>
      <w:r w:rsidRPr="009C66F9">
        <w:rPr>
          <w:rFonts w:ascii="Arial" w:eastAsia="Times New Roman" w:hAnsi="Arial" w:cs="Arial"/>
          <w:sz w:val="24"/>
          <w:szCs w:val="24"/>
          <w:lang w:eastAsia="en-GB"/>
        </w:rPr>
        <w:t>Lingman</w:t>
      </w:r>
      <w:proofErr w:type="spellEnd"/>
      <w:r w:rsidRPr="009C66F9">
        <w:rPr>
          <w:rFonts w:ascii="Arial" w:eastAsia="Times New Roman" w:hAnsi="Arial" w:cs="Arial"/>
          <w:sz w:val="24"/>
          <w:szCs w:val="24"/>
          <w:lang w:eastAsia="en-GB"/>
        </w:rPr>
        <w:t xml:space="preserve">, M. (2021) ‘Improving machine learning 30-day mortality prediction by discounting surprising deaths’, </w:t>
      </w:r>
      <w:r w:rsidRPr="009C66F9">
        <w:rPr>
          <w:rFonts w:ascii="Arial" w:eastAsia="Times New Roman" w:hAnsi="Arial" w:cs="Arial"/>
          <w:i/>
          <w:iCs/>
          <w:sz w:val="24"/>
          <w:szCs w:val="24"/>
          <w:lang w:eastAsia="en-GB"/>
        </w:rPr>
        <w:t>The Journal of Emergency Medicine</w:t>
      </w:r>
      <w:r w:rsidRPr="009C66F9">
        <w:rPr>
          <w:rFonts w:ascii="Arial" w:eastAsia="Times New Roman" w:hAnsi="Arial" w:cs="Arial"/>
          <w:sz w:val="24"/>
          <w:szCs w:val="24"/>
          <w:lang w:eastAsia="en-GB"/>
        </w:rPr>
        <w:t>, 61(6), pp. 763–773. Available at: https://doi.org/10.1016/j.jemermed.2021.09.004</w:t>
      </w:r>
    </w:p>
    <w:p w14:paraId="3E7088A1"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Ho, Y.X., Morse, R., Lambden, K., Mushi, B., Ngoma, M., </w:t>
      </w:r>
      <w:proofErr w:type="spellStart"/>
      <w:r w:rsidRPr="009C66F9">
        <w:rPr>
          <w:rFonts w:ascii="Arial" w:eastAsia="Times New Roman" w:hAnsi="Arial" w:cs="Arial"/>
          <w:sz w:val="24"/>
          <w:szCs w:val="24"/>
          <w:lang w:eastAsia="en-GB"/>
        </w:rPr>
        <w:t>Mahuna</w:t>
      </w:r>
      <w:proofErr w:type="spellEnd"/>
      <w:r w:rsidRPr="009C66F9">
        <w:rPr>
          <w:rFonts w:ascii="Arial" w:eastAsia="Times New Roman" w:hAnsi="Arial" w:cs="Arial"/>
          <w:sz w:val="24"/>
          <w:szCs w:val="24"/>
          <w:lang w:eastAsia="en-GB"/>
        </w:rPr>
        <w:t xml:space="preserve">, H., Ngoma, T. and </w:t>
      </w:r>
      <w:proofErr w:type="spellStart"/>
      <w:r w:rsidRPr="009C66F9">
        <w:rPr>
          <w:rFonts w:ascii="Arial" w:eastAsia="Times New Roman" w:hAnsi="Arial" w:cs="Arial"/>
          <w:sz w:val="24"/>
          <w:szCs w:val="24"/>
          <w:lang w:eastAsia="en-GB"/>
        </w:rPr>
        <w:t>Miesfeldt</w:t>
      </w:r>
      <w:proofErr w:type="spellEnd"/>
      <w:r w:rsidRPr="009C66F9">
        <w:rPr>
          <w:rFonts w:ascii="Arial" w:eastAsia="Times New Roman" w:hAnsi="Arial" w:cs="Arial"/>
          <w:sz w:val="24"/>
          <w:szCs w:val="24"/>
          <w:lang w:eastAsia="en-GB"/>
        </w:rPr>
        <w:t xml:space="preserve">, S. (2022) ‘How a Digital Case Management Platform Affects Community-Based Palliative Care of Sub-Saharan African Cancer Patients: Clinician-Users’ Perspectives’, </w:t>
      </w:r>
      <w:r w:rsidRPr="009C66F9">
        <w:rPr>
          <w:rFonts w:ascii="Arial" w:eastAsia="Times New Roman" w:hAnsi="Arial" w:cs="Arial"/>
          <w:i/>
          <w:iCs/>
          <w:sz w:val="24"/>
          <w:szCs w:val="24"/>
          <w:lang w:eastAsia="en-GB"/>
        </w:rPr>
        <w:t>Applied Clinical Informatics</w:t>
      </w:r>
      <w:r w:rsidRPr="009C66F9">
        <w:rPr>
          <w:rFonts w:ascii="Arial" w:eastAsia="Times New Roman" w:hAnsi="Arial" w:cs="Arial"/>
          <w:sz w:val="24"/>
          <w:szCs w:val="24"/>
          <w:lang w:eastAsia="en-GB"/>
        </w:rPr>
        <w:t>, 13(05), pp. 1092–1099. Available at: https://doi.org/10.1055/s-0042-1758223</w:t>
      </w:r>
    </w:p>
    <w:p w14:paraId="7E365F40"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de </w:t>
      </w:r>
      <w:proofErr w:type="spellStart"/>
      <w:r w:rsidRPr="009C66F9">
        <w:rPr>
          <w:rFonts w:ascii="Arial" w:eastAsia="Times New Roman" w:hAnsi="Arial" w:cs="Arial"/>
          <w:sz w:val="24"/>
          <w:szCs w:val="24"/>
          <w:lang w:eastAsia="en-GB"/>
        </w:rPr>
        <w:t>Hond</w:t>
      </w:r>
      <w:proofErr w:type="spellEnd"/>
      <w:r w:rsidRPr="009C66F9">
        <w:rPr>
          <w:rFonts w:ascii="Arial" w:eastAsia="Times New Roman" w:hAnsi="Arial" w:cs="Arial"/>
          <w:sz w:val="24"/>
          <w:szCs w:val="24"/>
          <w:lang w:eastAsia="en-GB"/>
        </w:rPr>
        <w:t xml:space="preserve">, A.A.H., </w:t>
      </w:r>
      <w:proofErr w:type="spellStart"/>
      <w:r w:rsidRPr="009C66F9">
        <w:rPr>
          <w:rFonts w:ascii="Arial" w:eastAsia="Times New Roman" w:hAnsi="Arial" w:cs="Arial"/>
          <w:sz w:val="24"/>
          <w:szCs w:val="24"/>
          <w:lang w:eastAsia="en-GB"/>
        </w:rPr>
        <w:t>Steyerberg</w:t>
      </w:r>
      <w:proofErr w:type="spellEnd"/>
      <w:r w:rsidRPr="009C66F9">
        <w:rPr>
          <w:rFonts w:ascii="Arial" w:eastAsia="Times New Roman" w:hAnsi="Arial" w:cs="Arial"/>
          <w:sz w:val="24"/>
          <w:szCs w:val="24"/>
          <w:lang w:eastAsia="en-GB"/>
        </w:rPr>
        <w:t xml:space="preserve">, E.W. and van </w:t>
      </w:r>
      <w:proofErr w:type="spellStart"/>
      <w:r w:rsidRPr="009C66F9">
        <w:rPr>
          <w:rFonts w:ascii="Arial" w:eastAsia="Times New Roman" w:hAnsi="Arial" w:cs="Arial"/>
          <w:sz w:val="24"/>
          <w:szCs w:val="24"/>
          <w:lang w:eastAsia="en-GB"/>
        </w:rPr>
        <w:t>Calster</w:t>
      </w:r>
      <w:proofErr w:type="spellEnd"/>
      <w:r w:rsidRPr="009C66F9">
        <w:rPr>
          <w:rFonts w:ascii="Arial" w:eastAsia="Times New Roman" w:hAnsi="Arial" w:cs="Arial"/>
          <w:sz w:val="24"/>
          <w:szCs w:val="24"/>
          <w:lang w:eastAsia="en-GB"/>
        </w:rPr>
        <w:t xml:space="preserve">, B. (2022) ‘Interpreting area under the receiver operating characteristic curve’, </w:t>
      </w:r>
      <w:r w:rsidRPr="009C66F9">
        <w:rPr>
          <w:rFonts w:ascii="Arial" w:eastAsia="Times New Roman" w:hAnsi="Arial" w:cs="Arial"/>
          <w:i/>
          <w:iCs/>
          <w:sz w:val="24"/>
          <w:szCs w:val="24"/>
          <w:lang w:eastAsia="en-GB"/>
        </w:rPr>
        <w:t>The Lancet Digital Health</w:t>
      </w:r>
      <w:r w:rsidRPr="009C66F9">
        <w:rPr>
          <w:rFonts w:ascii="Arial" w:eastAsia="Times New Roman" w:hAnsi="Arial" w:cs="Arial"/>
          <w:sz w:val="24"/>
          <w:szCs w:val="24"/>
          <w:lang w:eastAsia="en-GB"/>
        </w:rPr>
        <w:t>, 4(12), pp. e853–e855. Available at: https://doi.org/10.1016/S2589-7500(22)00188-1</w:t>
      </w:r>
    </w:p>
    <w:p w14:paraId="06F1277E"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Huang, Y., Roy, N., Dhar, E., Upadhyay, U., Kabir, M., Uddin M., Tseng, C. and Syed-Abdul, S. (2023) ‘Deep Learning Prediction Model for Patient Survival Outcomes in Palliative Care Using Actigraphy Data and Clinical Information’, </w:t>
      </w:r>
      <w:r w:rsidRPr="009C66F9">
        <w:rPr>
          <w:rFonts w:ascii="Arial" w:eastAsia="Times New Roman" w:hAnsi="Arial" w:cs="Arial"/>
          <w:i/>
          <w:iCs/>
          <w:sz w:val="24"/>
          <w:szCs w:val="24"/>
          <w:lang w:eastAsia="en-GB"/>
        </w:rPr>
        <w:t>Cancers</w:t>
      </w:r>
      <w:r w:rsidRPr="009C66F9">
        <w:rPr>
          <w:rFonts w:ascii="Arial" w:eastAsia="Times New Roman" w:hAnsi="Arial" w:cs="Arial"/>
          <w:sz w:val="24"/>
          <w:szCs w:val="24"/>
          <w:lang w:eastAsia="en-GB"/>
        </w:rPr>
        <w:t>, 15(8). Available at: https://doi.org/10.3390/cancers15082232</w:t>
      </w:r>
    </w:p>
    <w:p w14:paraId="6C84CF62" w14:textId="77777777" w:rsidR="00DE7279" w:rsidRDefault="00DE7279" w:rsidP="00DE7279">
      <w:pPr>
        <w:spacing w:line="240" w:lineRule="auto"/>
        <w:rPr>
          <w:rFonts w:ascii="Arial" w:hAnsi="Arial" w:cs="Arial"/>
          <w:sz w:val="24"/>
          <w:szCs w:val="24"/>
        </w:rPr>
      </w:pPr>
      <w:r>
        <w:rPr>
          <w:rFonts w:ascii="Arial" w:hAnsi="Arial" w:cs="Arial"/>
          <w:sz w:val="24"/>
          <w:szCs w:val="24"/>
        </w:rPr>
        <w:t>Jansen, D. (2024) ‘</w:t>
      </w:r>
      <w:r>
        <w:rPr>
          <w:rFonts w:ascii="Arial" w:hAnsi="Arial" w:cs="Arial"/>
          <w:i/>
          <w:sz w:val="24"/>
          <w:szCs w:val="24"/>
        </w:rPr>
        <w:t>Research limitations 101</w:t>
      </w:r>
      <w:r>
        <w:rPr>
          <w:rFonts w:ascii="Arial" w:hAnsi="Arial" w:cs="Arial"/>
          <w:sz w:val="24"/>
          <w:szCs w:val="24"/>
        </w:rPr>
        <w:t>’. Available at https://gradcoach.com/research-limitations (Accessed: 14 February 2025)</w:t>
      </w:r>
    </w:p>
    <w:p w14:paraId="3E14CECC"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Jung, E.H., Park, Y., Kim, Y., Yi, S., Kim, K., Oh, J., Lee, S., Kang, B., Suh, K., Lee, J., Kim, J., Kim, S., Kim, J., Lee, J., lee, K., Kim, J., Bang, S. and Lee, J. (2023) ‘1609P A machine learning-based prognostic model to predict survival in patients with advanced cancer admitted to an acute palliative care unit’, </w:t>
      </w:r>
      <w:r w:rsidRPr="009C66F9">
        <w:rPr>
          <w:rFonts w:ascii="Arial" w:eastAsia="Times New Roman" w:hAnsi="Arial" w:cs="Arial"/>
          <w:i/>
          <w:iCs/>
          <w:sz w:val="24"/>
          <w:szCs w:val="24"/>
          <w:lang w:eastAsia="en-GB"/>
        </w:rPr>
        <w:t>Annals of Oncology</w:t>
      </w:r>
      <w:r w:rsidRPr="009C66F9">
        <w:rPr>
          <w:rFonts w:ascii="Arial" w:eastAsia="Times New Roman" w:hAnsi="Arial" w:cs="Arial"/>
          <w:sz w:val="24"/>
          <w:szCs w:val="24"/>
          <w:lang w:eastAsia="en-GB"/>
        </w:rPr>
        <w:t>, 34, pp. S891. Available at: https://doi.org/10.1016/j.annonc.2023.09.806</w:t>
      </w:r>
    </w:p>
    <w:p w14:paraId="3F4E4D0A"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Jung, E.H., Park, Y., Kim, Y., Yi, S., Kim, K., Oh, J., Lee, S., Kang, B., Suh, K., Lee, J., Kim, J., Kim, S., Kim, J., Lee, J., lee, K., Kim, J., Bang, S. and Lee, J. (2023) ‘PP464 A machine learning-based prognostic model to predict survival in patients with advanced cancer admitted to an acute palliative care unit’, </w:t>
      </w:r>
      <w:r w:rsidRPr="009C66F9">
        <w:rPr>
          <w:rFonts w:ascii="Arial" w:eastAsia="Times New Roman" w:hAnsi="Arial" w:cs="Arial"/>
          <w:i/>
          <w:iCs/>
          <w:sz w:val="24"/>
          <w:szCs w:val="24"/>
          <w:lang w:eastAsia="en-GB"/>
        </w:rPr>
        <w:t>European Society of Medical Oncology Open</w:t>
      </w:r>
      <w:r w:rsidRPr="009C66F9">
        <w:rPr>
          <w:rFonts w:ascii="Arial" w:eastAsia="Times New Roman" w:hAnsi="Arial" w:cs="Arial"/>
          <w:sz w:val="24"/>
          <w:szCs w:val="24"/>
          <w:lang w:eastAsia="en-GB"/>
        </w:rPr>
        <w:t>, 8(1), pp. 102187. Available at: https://doi.org/10.1016/j.esmoop.2023.102187</w:t>
      </w:r>
    </w:p>
    <w:p w14:paraId="39EE45CF" w14:textId="7A689512" w:rsidR="00DE7279" w:rsidRDefault="00DE7279" w:rsidP="00DE7279">
      <w:pPr>
        <w:spacing w:line="240" w:lineRule="auto"/>
        <w:rPr>
          <w:rFonts w:ascii="Arial" w:hAnsi="Arial" w:cs="Arial"/>
          <w:sz w:val="24"/>
          <w:szCs w:val="24"/>
        </w:rPr>
      </w:pPr>
      <w:proofErr w:type="spellStart"/>
      <w:r>
        <w:rPr>
          <w:rFonts w:ascii="Arial" w:hAnsi="Arial" w:cs="Arial"/>
          <w:sz w:val="24"/>
          <w:szCs w:val="24"/>
        </w:rPr>
        <w:t>Kakilla</w:t>
      </w:r>
      <w:proofErr w:type="spellEnd"/>
      <w:r>
        <w:rPr>
          <w:rFonts w:ascii="Arial" w:hAnsi="Arial" w:cs="Arial"/>
          <w:sz w:val="24"/>
          <w:szCs w:val="24"/>
        </w:rPr>
        <w:t>, C. (2021) ‘Strengths and Weaknesses of Semi-Structured Interviews in Qualitative Research: A Critical Essay’. Available at https://doi.org/</w:t>
      </w:r>
      <w:r w:rsidRPr="004513AB">
        <w:rPr>
          <w:rFonts w:ascii="Arial" w:hAnsi="Arial" w:cs="Arial"/>
          <w:sz w:val="24"/>
          <w:szCs w:val="24"/>
        </w:rPr>
        <w:t>10.20944/preprints202106.0491.v1</w:t>
      </w:r>
      <w:r>
        <w:rPr>
          <w:rFonts w:ascii="Arial" w:hAnsi="Arial" w:cs="Arial"/>
          <w:sz w:val="24"/>
          <w:szCs w:val="24"/>
        </w:rPr>
        <w:t xml:space="preserve"> (Accessed: 14 February 2025)</w:t>
      </w:r>
    </w:p>
    <w:p w14:paraId="04F8F37D" w14:textId="77777777" w:rsidR="00DE7279" w:rsidRPr="00CD331C" w:rsidRDefault="00DE7279" w:rsidP="00DE7279">
      <w:pPr>
        <w:shd w:val="clear" w:color="auto" w:fill="FFFFFF"/>
        <w:spacing w:line="240" w:lineRule="auto"/>
        <w:rPr>
          <w:rFonts w:ascii="Arial" w:hAnsi="Arial" w:cs="Arial"/>
          <w:sz w:val="24"/>
          <w:szCs w:val="24"/>
          <w:bdr w:val="none" w:sz="0" w:space="0" w:color="auto" w:frame="1"/>
          <w:shd w:val="clear" w:color="auto" w:fill="FFFFFF"/>
        </w:rPr>
      </w:pPr>
      <w:proofErr w:type="spellStart"/>
      <w:r>
        <w:rPr>
          <w:rFonts w:ascii="Arial" w:hAnsi="Arial" w:cs="Arial"/>
          <w:color w:val="222222"/>
          <w:sz w:val="24"/>
          <w:szCs w:val="24"/>
          <w:shd w:val="clear" w:color="auto" w:fill="FFFFFF"/>
        </w:rPr>
        <w:t>Kalton</w:t>
      </w:r>
      <w:proofErr w:type="spellEnd"/>
      <w:r>
        <w:rPr>
          <w:rFonts w:ascii="Arial" w:hAnsi="Arial" w:cs="Arial"/>
          <w:color w:val="222222"/>
          <w:sz w:val="24"/>
          <w:szCs w:val="24"/>
          <w:shd w:val="clear" w:color="auto" w:fill="FFFFFF"/>
        </w:rPr>
        <w:t>, G. and Schuman, H.</w:t>
      </w:r>
      <w:r w:rsidRPr="00DD0512">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DD0512">
        <w:rPr>
          <w:rFonts w:ascii="Arial" w:hAnsi="Arial" w:cs="Arial"/>
          <w:color w:val="222222"/>
          <w:sz w:val="24"/>
          <w:szCs w:val="24"/>
          <w:shd w:val="clear" w:color="auto" w:fill="FFFFFF"/>
        </w:rPr>
        <w:t>1982</w:t>
      </w:r>
      <w:r>
        <w:rPr>
          <w:rFonts w:ascii="Arial" w:hAnsi="Arial" w:cs="Arial"/>
          <w:color w:val="222222"/>
          <w:sz w:val="24"/>
          <w:szCs w:val="24"/>
          <w:shd w:val="clear" w:color="auto" w:fill="FFFFFF"/>
        </w:rPr>
        <w:t>)</w:t>
      </w:r>
      <w:r w:rsidRPr="00DD0512">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DD0512">
        <w:rPr>
          <w:rFonts w:ascii="Arial" w:hAnsi="Arial" w:cs="Arial"/>
          <w:color w:val="222222"/>
          <w:sz w:val="24"/>
          <w:szCs w:val="24"/>
          <w:shd w:val="clear" w:color="auto" w:fill="FFFFFF"/>
        </w:rPr>
        <w:t>The effect of the question on survey responses: A review</w:t>
      </w:r>
      <w:r>
        <w:rPr>
          <w:rFonts w:ascii="Arial" w:hAnsi="Arial" w:cs="Arial"/>
          <w:color w:val="222222"/>
          <w:sz w:val="24"/>
          <w:szCs w:val="24"/>
          <w:shd w:val="clear" w:color="auto" w:fill="FFFFFF"/>
        </w:rPr>
        <w:t>’,</w:t>
      </w:r>
      <w:r w:rsidRPr="00DD0512">
        <w:rPr>
          <w:rFonts w:ascii="Arial" w:hAnsi="Arial" w:cs="Arial"/>
          <w:color w:val="222222"/>
          <w:sz w:val="24"/>
          <w:szCs w:val="24"/>
          <w:shd w:val="clear" w:color="auto" w:fill="FFFFFF"/>
        </w:rPr>
        <w:t> </w:t>
      </w:r>
      <w:r w:rsidRPr="00DD0512">
        <w:rPr>
          <w:rFonts w:ascii="Arial" w:hAnsi="Arial" w:cs="Arial"/>
          <w:i/>
          <w:iCs/>
          <w:color w:val="222222"/>
          <w:sz w:val="24"/>
          <w:szCs w:val="24"/>
          <w:shd w:val="clear" w:color="auto" w:fill="FFFFFF"/>
        </w:rPr>
        <w:t>Journal of the Royal Statistical Society Series A: Statistics in Society</w:t>
      </w:r>
      <w:r w:rsidRPr="00DD0512">
        <w:rPr>
          <w:rFonts w:ascii="Arial" w:hAnsi="Arial" w:cs="Arial"/>
          <w:color w:val="222222"/>
          <w:sz w:val="24"/>
          <w:szCs w:val="24"/>
          <w:shd w:val="clear" w:color="auto" w:fill="FFFFFF"/>
        </w:rPr>
        <w:t>, </w:t>
      </w:r>
      <w:r w:rsidRPr="00DD0512">
        <w:rPr>
          <w:rFonts w:ascii="Arial" w:hAnsi="Arial" w:cs="Arial"/>
          <w:i/>
          <w:iCs/>
          <w:color w:val="222222"/>
          <w:sz w:val="24"/>
          <w:szCs w:val="24"/>
          <w:shd w:val="clear" w:color="auto" w:fill="FFFFFF"/>
        </w:rPr>
        <w:t>145</w:t>
      </w:r>
      <w:r w:rsidRPr="00DD0512">
        <w:rPr>
          <w:rFonts w:ascii="Arial" w:hAnsi="Arial" w:cs="Arial"/>
          <w:color w:val="222222"/>
          <w:sz w:val="24"/>
          <w:szCs w:val="24"/>
          <w:shd w:val="clear" w:color="auto" w:fill="FFFFFF"/>
        </w:rPr>
        <w:t>(1), pp.</w:t>
      </w:r>
      <w:r>
        <w:rPr>
          <w:rFonts w:ascii="Arial" w:hAnsi="Arial" w:cs="Arial"/>
          <w:color w:val="222222"/>
          <w:sz w:val="24"/>
          <w:szCs w:val="24"/>
          <w:shd w:val="clear" w:color="auto" w:fill="FFFFFF"/>
        </w:rPr>
        <w:t xml:space="preserve"> </w:t>
      </w:r>
      <w:r w:rsidRPr="00EE42E1">
        <w:rPr>
          <w:rFonts w:ascii="Arial" w:hAnsi="Arial" w:cs="Arial"/>
          <w:color w:val="222222"/>
          <w:sz w:val="24"/>
          <w:szCs w:val="24"/>
          <w:shd w:val="clear" w:color="auto" w:fill="FFFFFF"/>
        </w:rPr>
        <w:t xml:space="preserve">42-57. </w:t>
      </w:r>
      <w:r w:rsidRPr="00EE42E1">
        <w:rPr>
          <w:rFonts w:ascii="Arial" w:hAnsi="Arial" w:cs="Arial"/>
          <w:sz w:val="24"/>
          <w:szCs w:val="24"/>
        </w:rPr>
        <w:t xml:space="preserve">Available at </w:t>
      </w:r>
      <w:r w:rsidRPr="00EE42E1">
        <w:rPr>
          <w:rFonts w:ascii="Arial" w:hAnsi="Arial" w:cs="Arial"/>
          <w:sz w:val="24"/>
          <w:szCs w:val="24"/>
          <w:bdr w:val="none" w:sz="0" w:space="0" w:color="auto" w:frame="1"/>
          <w:shd w:val="clear" w:color="auto" w:fill="FFFFFF"/>
        </w:rPr>
        <w:t>https://doi.org/10.2307/2981421</w:t>
      </w:r>
    </w:p>
    <w:p w14:paraId="5DA1BB5B" w14:textId="77777777" w:rsidR="00DE7279" w:rsidRDefault="00DE7279" w:rsidP="00DE7279">
      <w:pPr>
        <w:spacing w:line="240" w:lineRule="auto"/>
        <w:rPr>
          <w:rFonts w:ascii="Arial" w:hAnsi="Arial" w:cs="Arial"/>
          <w:sz w:val="24"/>
          <w:szCs w:val="24"/>
        </w:rPr>
      </w:pPr>
      <w:r>
        <w:rPr>
          <w:rFonts w:ascii="Arial" w:hAnsi="Arial" w:cs="Arial"/>
          <w:sz w:val="24"/>
          <w:szCs w:val="24"/>
        </w:rPr>
        <w:t xml:space="preserve">Kelemen, M. and Rumens, N. (2008) </w:t>
      </w:r>
      <w:r>
        <w:rPr>
          <w:rFonts w:ascii="Arial" w:hAnsi="Arial" w:cs="Arial"/>
          <w:i/>
          <w:sz w:val="24"/>
          <w:szCs w:val="24"/>
        </w:rPr>
        <w:t>An Introduction to Critical Management Research</w:t>
      </w:r>
      <w:r>
        <w:rPr>
          <w:rFonts w:ascii="Arial" w:hAnsi="Arial" w:cs="Arial"/>
          <w:sz w:val="24"/>
          <w:szCs w:val="24"/>
        </w:rPr>
        <w:t>. London: Sage.</w:t>
      </w:r>
    </w:p>
    <w:p w14:paraId="209D6DB3" w14:textId="77777777" w:rsidR="00DE7279" w:rsidRDefault="00DE7279" w:rsidP="00DE7279">
      <w:pPr>
        <w:spacing w:line="240" w:lineRule="auto"/>
        <w:rPr>
          <w:rFonts w:ascii="Arial" w:hAnsi="Arial" w:cs="Arial"/>
          <w:sz w:val="24"/>
          <w:szCs w:val="24"/>
        </w:rPr>
      </w:pPr>
      <w:r w:rsidRPr="00501D6D">
        <w:rPr>
          <w:rFonts w:ascii="Arial" w:hAnsi="Arial" w:cs="Arial"/>
          <w:color w:val="222222"/>
          <w:sz w:val="24"/>
          <w:szCs w:val="24"/>
          <w:shd w:val="clear" w:color="auto" w:fill="FFFFFF"/>
        </w:rPr>
        <w:t>Kendall, M. and Gibbons</w:t>
      </w:r>
      <w:r>
        <w:rPr>
          <w:rFonts w:ascii="Arial" w:hAnsi="Arial" w:cs="Arial"/>
          <w:color w:val="222222"/>
          <w:sz w:val="24"/>
          <w:szCs w:val="24"/>
          <w:shd w:val="clear" w:color="auto" w:fill="FFFFFF"/>
        </w:rPr>
        <w:t xml:space="preserve">, J.D. (1990) </w:t>
      </w:r>
      <w:r w:rsidRPr="00501D6D">
        <w:rPr>
          <w:rFonts w:ascii="Arial" w:hAnsi="Arial" w:cs="Arial"/>
          <w:i/>
          <w:color w:val="222222"/>
          <w:sz w:val="24"/>
          <w:szCs w:val="24"/>
          <w:shd w:val="clear" w:color="auto" w:fill="FFFFFF"/>
        </w:rPr>
        <w:t>Rank Correlation Methods</w:t>
      </w:r>
      <w:r w:rsidRPr="00501D6D">
        <w:rPr>
          <w:rFonts w:ascii="Arial" w:hAnsi="Arial" w:cs="Arial"/>
          <w:color w:val="222222"/>
          <w:sz w:val="24"/>
          <w:szCs w:val="24"/>
          <w:shd w:val="clear" w:color="auto" w:fill="FFFFFF"/>
        </w:rPr>
        <w:t>. 5th edition. New York: Oxford University Press</w:t>
      </w:r>
      <w:r>
        <w:rPr>
          <w:rFonts w:ascii="Arial" w:hAnsi="Arial" w:cs="Arial"/>
          <w:sz w:val="24"/>
          <w:szCs w:val="24"/>
        </w:rPr>
        <w:t xml:space="preserve"> OHID [Office for health improvement and disparities] (2020) ‘</w:t>
      </w:r>
      <w:r>
        <w:rPr>
          <w:rFonts w:ascii="Arial" w:hAnsi="Arial" w:cs="Arial"/>
          <w:i/>
          <w:sz w:val="24"/>
          <w:szCs w:val="24"/>
        </w:rPr>
        <w:t xml:space="preserve">Focus Group study: qualitative </w:t>
      </w:r>
      <w:proofErr w:type="gramStart"/>
      <w:r>
        <w:rPr>
          <w:rFonts w:ascii="Arial" w:hAnsi="Arial" w:cs="Arial"/>
          <w:i/>
          <w:sz w:val="24"/>
          <w:szCs w:val="24"/>
        </w:rPr>
        <w:t>studies</w:t>
      </w:r>
      <w:r>
        <w:rPr>
          <w:rFonts w:ascii="Arial" w:hAnsi="Arial" w:cs="Arial"/>
          <w:sz w:val="24"/>
          <w:szCs w:val="24"/>
        </w:rPr>
        <w:t>’</w:t>
      </w:r>
      <w:proofErr w:type="gramEnd"/>
      <w:r>
        <w:rPr>
          <w:rFonts w:ascii="Arial" w:hAnsi="Arial" w:cs="Arial"/>
          <w:sz w:val="24"/>
          <w:szCs w:val="24"/>
        </w:rPr>
        <w:t>. Available at https://www.gov.uk/guidance/focus-group-study-qualitative-studies (Accessed: 14 February 2025)</w:t>
      </w:r>
    </w:p>
    <w:p w14:paraId="5286251F" w14:textId="77777777" w:rsidR="00DE7279" w:rsidRPr="00300F4F" w:rsidRDefault="00DE7279" w:rsidP="00DE7279">
      <w:pPr>
        <w:rPr>
          <w:rFonts w:ascii="Arial" w:hAnsi="Arial" w:cs="Arial"/>
          <w:sz w:val="24"/>
          <w:szCs w:val="24"/>
        </w:rPr>
      </w:pPr>
      <w:proofErr w:type="spellStart"/>
      <w:r w:rsidRPr="00300F4F">
        <w:rPr>
          <w:rFonts w:ascii="Arial" w:hAnsi="Arial" w:cs="Arial"/>
          <w:sz w:val="24"/>
          <w:szCs w:val="24"/>
        </w:rPr>
        <w:t>Khambalia</w:t>
      </w:r>
      <w:proofErr w:type="spellEnd"/>
      <w:r w:rsidRPr="00300F4F">
        <w:rPr>
          <w:rFonts w:ascii="Arial" w:hAnsi="Arial" w:cs="Arial"/>
          <w:sz w:val="24"/>
          <w:szCs w:val="24"/>
        </w:rPr>
        <w:t xml:space="preserve"> A.Z., Roberts, C.L., Nguyen, M., </w:t>
      </w:r>
      <w:proofErr w:type="spellStart"/>
      <w:r w:rsidRPr="00300F4F">
        <w:rPr>
          <w:rFonts w:ascii="Arial" w:hAnsi="Arial" w:cs="Arial"/>
          <w:sz w:val="24"/>
          <w:szCs w:val="24"/>
        </w:rPr>
        <w:t>Algert</w:t>
      </w:r>
      <w:proofErr w:type="spellEnd"/>
      <w:r w:rsidRPr="00300F4F">
        <w:rPr>
          <w:rFonts w:ascii="Arial" w:hAnsi="Arial" w:cs="Arial"/>
          <w:sz w:val="24"/>
          <w:szCs w:val="24"/>
        </w:rPr>
        <w:t xml:space="preserve">, C.S., Nicholl, M.C. and Morris, J. (2013) ‘Predicting date of birth and examining the best time to date a pregnancy’, </w:t>
      </w:r>
      <w:r w:rsidRPr="00300F4F">
        <w:rPr>
          <w:rFonts w:ascii="Arial" w:hAnsi="Arial" w:cs="Arial"/>
          <w:i/>
          <w:sz w:val="24"/>
          <w:szCs w:val="24"/>
        </w:rPr>
        <w:lastRenderedPageBreak/>
        <w:t>International Journal of Gynaecology and Obstetrics</w:t>
      </w:r>
      <w:r w:rsidRPr="00300F4F">
        <w:rPr>
          <w:rFonts w:ascii="Arial" w:hAnsi="Arial" w:cs="Arial"/>
          <w:sz w:val="24"/>
          <w:szCs w:val="24"/>
        </w:rPr>
        <w:t xml:space="preserve">, 123(2), pp.105-9. Available at: https://doi.org/ 10.1016/j.ijgo.2013.05.007 </w:t>
      </w:r>
    </w:p>
    <w:p w14:paraId="7F4AFFD5" w14:textId="77777777" w:rsidR="00DE7279" w:rsidRDefault="00DE7279" w:rsidP="00DE7279">
      <w:pPr>
        <w:spacing w:line="240" w:lineRule="auto"/>
        <w:rPr>
          <w:rFonts w:ascii="Arial" w:hAnsi="Arial" w:cs="Arial"/>
          <w:sz w:val="24"/>
          <w:szCs w:val="24"/>
        </w:rPr>
      </w:pPr>
      <w:proofErr w:type="spellStart"/>
      <w:r w:rsidRPr="001431C2">
        <w:rPr>
          <w:rFonts w:ascii="Arial" w:hAnsi="Arial" w:cs="Arial"/>
          <w:sz w:val="24"/>
          <w:szCs w:val="24"/>
        </w:rPr>
        <w:t>Krogerus</w:t>
      </w:r>
      <w:proofErr w:type="spellEnd"/>
      <w:r w:rsidRPr="001431C2">
        <w:rPr>
          <w:rFonts w:ascii="Arial" w:hAnsi="Arial" w:cs="Arial"/>
          <w:sz w:val="24"/>
          <w:szCs w:val="24"/>
        </w:rPr>
        <w:t>, M</w:t>
      </w:r>
      <w:r>
        <w:rPr>
          <w:rFonts w:ascii="Arial" w:hAnsi="Arial" w:cs="Arial"/>
          <w:sz w:val="24"/>
          <w:szCs w:val="24"/>
        </w:rPr>
        <w:t>.</w:t>
      </w:r>
      <w:r w:rsidRPr="001431C2">
        <w:rPr>
          <w:rFonts w:ascii="Arial" w:hAnsi="Arial" w:cs="Arial"/>
          <w:sz w:val="24"/>
          <w:szCs w:val="24"/>
        </w:rPr>
        <w:t xml:space="preserve"> (20</w:t>
      </w:r>
      <w:r>
        <w:rPr>
          <w:rFonts w:ascii="Arial" w:hAnsi="Arial" w:cs="Arial"/>
          <w:sz w:val="24"/>
          <w:szCs w:val="24"/>
        </w:rPr>
        <w:t>23</w:t>
      </w:r>
      <w:r w:rsidRPr="001431C2">
        <w:rPr>
          <w:rFonts w:ascii="Arial" w:hAnsi="Arial" w:cs="Arial"/>
          <w:sz w:val="24"/>
          <w:szCs w:val="24"/>
        </w:rPr>
        <w:t>). </w:t>
      </w:r>
      <w:hyperlink r:id="rId45" w:history="1">
        <w:r w:rsidRPr="001431C2">
          <w:rPr>
            <w:rFonts w:ascii="Arial" w:hAnsi="Arial" w:cs="Arial"/>
            <w:i/>
            <w:iCs/>
            <w:sz w:val="24"/>
            <w:szCs w:val="24"/>
          </w:rPr>
          <w:t>The Decision Book: Fifty Models for Strategic Thinking</w:t>
        </w:r>
      </w:hyperlink>
      <w:r>
        <w:rPr>
          <w:rFonts w:ascii="Arial" w:hAnsi="Arial" w:cs="Arial"/>
          <w:sz w:val="24"/>
          <w:szCs w:val="24"/>
        </w:rPr>
        <w:t>.</w:t>
      </w:r>
      <w:r w:rsidRPr="001431C2">
        <w:rPr>
          <w:rFonts w:ascii="Arial" w:hAnsi="Arial" w:cs="Arial"/>
          <w:sz w:val="24"/>
          <w:szCs w:val="24"/>
        </w:rPr>
        <w:t xml:space="preserve"> </w:t>
      </w:r>
      <w:r>
        <w:rPr>
          <w:rFonts w:ascii="Arial" w:hAnsi="Arial" w:cs="Arial"/>
          <w:sz w:val="24"/>
          <w:szCs w:val="24"/>
        </w:rPr>
        <w:t>London: Profile Books Ltd.</w:t>
      </w:r>
    </w:p>
    <w:p w14:paraId="7B458BF5" w14:textId="77777777" w:rsidR="00DE7279" w:rsidRDefault="00DE7279" w:rsidP="00DE7279">
      <w:pPr>
        <w:spacing w:line="240" w:lineRule="auto"/>
        <w:rPr>
          <w:rFonts w:ascii="Arial" w:hAnsi="Arial" w:cs="Arial"/>
          <w:color w:val="232323"/>
          <w:sz w:val="24"/>
          <w:szCs w:val="24"/>
          <w:shd w:val="clear" w:color="auto" w:fill="FFFFFF"/>
        </w:rPr>
      </w:pPr>
      <w:r w:rsidRPr="00ED2F5B">
        <w:rPr>
          <w:rFonts w:ascii="Arial" w:hAnsi="Arial" w:cs="Arial"/>
          <w:color w:val="232323"/>
          <w:sz w:val="24"/>
          <w:szCs w:val="24"/>
          <w:shd w:val="clear" w:color="auto" w:fill="FFFFFF"/>
        </w:rPr>
        <w:t xml:space="preserve">Likert, R. (1932) </w:t>
      </w:r>
      <w:r>
        <w:rPr>
          <w:rFonts w:ascii="Arial" w:hAnsi="Arial" w:cs="Arial"/>
          <w:color w:val="232323"/>
          <w:sz w:val="24"/>
          <w:szCs w:val="24"/>
          <w:shd w:val="clear" w:color="auto" w:fill="FFFFFF"/>
        </w:rPr>
        <w:t>‘</w:t>
      </w:r>
      <w:r w:rsidRPr="00ED2F5B">
        <w:rPr>
          <w:rFonts w:ascii="Arial" w:hAnsi="Arial" w:cs="Arial"/>
          <w:color w:val="232323"/>
          <w:sz w:val="24"/>
          <w:szCs w:val="24"/>
          <w:shd w:val="clear" w:color="auto" w:fill="FFFFFF"/>
        </w:rPr>
        <w:t>The method of constructing an attitude scale</w:t>
      </w:r>
      <w:r>
        <w:rPr>
          <w:rFonts w:ascii="Arial" w:hAnsi="Arial" w:cs="Arial"/>
          <w:color w:val="232323"/>
          <w:sz w:val="24"/>
          <w:szCs w:val="24"/>
          <w:shd w:val="clear" w:color="auto" w:fill="FFFFFF"/>
        </w:rPr>
        <w:t>’,</w:t>
      </w:r>
      <w:r w:rsidRPr="00ED2F5B">
        <w:rPr>
          <w:rFonts w:ascii="Arial" w:hAnsi="Arial" w:cs="Arial"/>
          <w:color w:val="232323"/>
          <w:sz w:val="24"/>
          <w:szCs w:val="24"/>
          <w:shd w:val="clear" w:color="auto" w:fill="FFFFFF"/>
        </w:rPr>
        <w:t xml:space="preserve"> </w:t>
      </w:r>
      <w:r w:rsidRPr="00ED2F5B">
        <w:rPr>
          <w:rFonts w:ascii="Arial" w:hAnsi="Arial" w:cs="Arial"/>
          <w:i/>
          <w:iCs/>
          <w:color w:val="232323"/>
          <w:sz w:val="24"/>
          <w:szCs w:val="24"/>
          <w:shd w:val="clear" w:color="auto" w:fill="FFFFFF"/>
        </w:rPr>
        <w:t>Archives of Psychology</w:t>
      </w:r>
      <w:r w:rsidRPr="00ED2F5B">
        <w:rPr>
          <w:rFonts w:ascii="Arial" w:hAnsi="Arial" w:cs="Arial"/>
          <w:color w:val="232323"/>
          <w:sz w:val="24"/>
          <w:szCs w:val="24"/>
          <w:shd w:val="clear" w:color="auto" w:fill="FFFFFF"/>
        </w:rPr>
        <w:t xml:space="preserve">, 140, </w:t>
      </w:r>
      <w:r>
        <w:rPr>
          <w:rFonts w:ascii="Arial" w:hAnsi="Arial" w:cs="Arial"/>
          <w:color w:val="232323"/>
          <w:sz w:val="24"/>
          <w:szCs w:val="24"/>
          <w:shd w:val="clear" w:color="auto" w:fill="FFFFFF"/>
        </w:rPr>
        <w:t xml:space="preserve">pp. </w:t>
      </w:r>
      <w:r w:rsidRPr="00ED2F5B">
        <w:rPr>
          <w:rFonts w:ascii="Arial" w:hAnsi="Arial" w:cs="Arial"/>
          <w:color w:val="232323"/>
          <w:sz w:val="24"/>
          <w:szCs w:val="24"/>
          <w:shd w:val="clear" w:color="auto" w:fill="FFFFFF"/>
        </w:rPr>
        <w:t>44-53</w:t>
      </w:r>
    </w:p>
    <w:p w14:paraId="36172054" w14:textId="77777777" w:rsidR="00DE7279" w:rsidRPr="00300F4F" w:rsidRDefault="00DE7279" w:rsidP="00DE7279">
      <w:pPr>
        <w:rPr>
          <w:rFonts w:ascii="Arial" w:hAnsi="Arial" w:cs="Arial"/>
          <w:sz w:val="24"/>
          <w:szCs w:val="24"/>
          <w:highlight w:val="green"/>
        </w:rPr>
      </w:pPr>
      <w:r w:rsidRPr="00300F4F">
        <w:rPr>
          <w:rFonts w:ascii="Arial" w:hAnsi="Arial" w:cs="Arial"/>
          <w:color w:val="333333"/>
          <w:sz w:val="24"/>
          <w:szCs w:val="24"/>
          <w:shd w:val="clear" w:color="auto" w:fill="FCFCFC"/>
        </w:rPr>
        <w:t>Line, E.N., Jaramillo, S., Goldwater, M. and Horne, Z. (2024) ‘</w:t>
      </w:r>
      <w:proofErr w:type="gramStart"/>
      <w:r w:rsidRPr="00300F4F">
        <w:rPr>
          <w:rFonts w:ascii="Arial" w:hAnsi="Arial" w:cs="Arial"/>
          <w:color w:val="333333"/>
          <w:sz w:val="24"/>
          <w:szCs w:val="24"/>
          <w:shd w:val="clear" w:color="auto" w:fill="FCFCFC"/>
        </w:rPr>
        <w:t>Anecdotes</w:t>
      </w:r>
      <w:proofErr w:type="gramEnd"/>
      <w:r w:rsidRPr="00300F4F">
        <w:rPr>
          <w:rFonts w:ascii="Arial" w:hAnsi="Arial" w:cs="Arial"/>
          <w:color w:val="333333"/>
          <w:sz w:val="24"/>
          <w:szCs w:val="24"/>
          <w:shd w:val="clear" w:color="auto" w:fill="FCFCFC"/>
        </w:rPr>
        <w:t xml:space="preserve"> impact medical decisions even when presented with statistical information or decision aids’, </w:t>
      </w:r>
      <w:r w:rsidRPr="00300F4F">
        <w:rPr>
          <w:rFonts w:ascii="Arial" w:hAnsi="Arial" w:cs="Arial"/>
          <w:i/>
          <w:iCs/>
          <w:color w:val="333333"/>
          <w:sz w:val="24"/>
          <w:szCs w:val="24"/>
          <w:shd w:val="clear" w:color="auto" w:fill="FCFCFC"/>
        </w:rPr>
        <w:t>Cognitive Research: Principles and Implications,</w:t>
      </w:r>
      <w:r w:rsidRPr="00300F4F">
        <w:rPr>
          <w:rFonts w:ascii="Arial" w:hAnsi="Arial" w:cs="Arial"/>
          <w:color w:val="333333"/>
          <w:sz w:val="24"/>
          <w:szCs w:val="24"/>
          <w:shd w:val="clear" w:color="auto" w:fill="FCFCFC"/>
        </w:rPr>
        <w:t> 9(51). Available at: https://doi.org/10.1186/s41235-024-00577-3</w:t>
      </w:r>
    </w:p>
    <w:p w14:paraId="304006C4" w14:textId="77777777" w:rsidR="00DE7279" w:rsidRPr="00300F4F" w:rsidRDefault="00DE7279" w:rsidP="00DE7279">
      <w:pPr>
        <w:rPr>
          <w:rFonts w:ascii="Arial" w:hAnsi="Arial" w:cs="Arial"/>
          <w:sz w:val="24"/>
          <w:szCs w:val="24"/>
        </w:rPr>
      </w:pPr>
      <w:r w:rsidRPr="00300F4F">
        <w:rPr>
          <w:rFonts w:ascii="Arial" w:hAnsi="Arial" w:cs="Arial"/>
          <w:sz w:val="24"/>
          <w:szCs w:val="24"/>
        </w:rPr>
        <w:t>Lipscombe, S., Rough, E., Dawson, J. and Rowland, L. (2024) ‘</w:t>
      </w:r>
      <w:r w:rsidRPr="00300F4F">
        <w:rPr>
          <w:rFonts w:ascii="Arial" w:hAnsi="Arial" w:cs="Arial"/>
          <w:i/>
          <w:sz w:val="24"/>
          <w:szCs w:val="24"/>
        </w:rPr>
        <w:t>The </w:t>
      </w:r>
      <w:hyperlink r:id="rId46" w:history="1">
        <w:r w:rsidRPr="00300F4F">
          <w:rPr>
            <w:rFonts w:ascii="Arial" w:hAnsi="Arial" w:cs="Arial"/>
            <w:i/>
            <w:sz w:val="24"/>
            <w:szCs w:val="24"/>
          </w:rPr>
          <w:t>Terminally Ill Adults (End of Life) Bill</w:t>
        </w:r>
      </w:hyperlink>
      <w:r w:rsidRPr="00300F4F">
        <w:rPr>
          <w:rFonts w:ascii="Arial" w:hAnsi="Arial" w:cs="Arial"/>
          <w:i/>
          <w:sz w:val="24"/>
          <w:szCs w:val="24"/>
        </w:rPr>
        <w:t xml:space="preserve"> 2024-25</w:t>
      </w:r>
      <w:r w:rsidRPr="00300F4F">
        <w:rPr>
          <w:rFonts w:ascii="Arial" w:hAnsi="Arial" w:cs="Arial"/>
          <w:sz w:val="24"/>
          <w:szCs w:val="24"/>
        </w:rPr>
        <w:t xml:space="preserve">’. House of Commons Library. Available at: https://researchbriefings.files.parliament.uk/documents/CBP-10123/CBP-10123.pdf </w:t>
      </w:r>
    </w:p>
    <w:p w14:paraId="54942811" w14:textId="77777777" w:rsidR="00946A75" w:rsidRDefault="00946A75" w:rsidP="00946A75">
      <w:pPr>
        <w:rPr>
          <w:rFonts w:ascii="Arial" w:hAnsi="Arial" w:cs="Arial"/>
          <w:sz w:val="24"/>
          <w:szCs w:val="24"/>
        </w:rPr>
      </w:pPr>
      <w:r>
        <w:rPr>
          <w:rFonts w:ascii="Arial" w:hAnsi="Arial" w:cs="Arial"/>
          <w:color w:val="222222"/>
          <w:sz w:val="24"/>
          <w:szCs w:val="24"/>
          <w:shd w:val="clear" w:color="auto" w:fill="FFFFFF"/>
        </w:rPr>
        <w:t>Lynn, J. (2005) ‘Living long in fragile health: the new demographics shape end of life care’. </w:t>
      </w:r>
      <w:r>
        <w:rPr>
          <w:rFonts w:ascii="Arial" w:hAnsi="Arial" w:cs="Arial"/>
          <w:i/>
          <w:iCs/>
          <w:color w:val="222222"/>
          <w:sz w:val="24"/>
          <w:szCs w:val="24"/>
          <w:shd w:val="clear" w:color="auto" w:fill="FFFFFF"/>
        </w:rPr>
        <w:t xml:space="preserve">Hastings </w:t>
      </w:r>
      <w:proofErr w:type="spellStart"/>
      <w:r>
        <w:rPr>
          <w:rFonts w:ascii="Arial" w:hAnsi="Arial" w:cs="Arial"/>
          <w:i/>
          <w:iCs/>
          <w:color w:val="222222"/>
          <w:sz w:val="24"/>
          <w:szCs w:val="24"/>
          <w:shd w:val="clear" w:color="auto" w:fill="FFFFFF"/>
        </w:rPr>
        <w:t>Center</w:t>
      </w:r>
      <w:proofErr w:type="spellEnd"/>
      <w:r>
        <w:rPr>
          <w:rFonts w:ascii="Arial" w:hAnsi="Arial" w:cs="Arial"/>
          <w:i/>
          <w:iCs/>
          <w:color w:val="222222"/>
          <w:sz w:val="24"/>
          <w:szCs w:val="24"/>
          <w:shd w:val="clear" w:color="auto" w:fill="FFFFFF"/>
        </w:rPr>
        <w:t xml:space="preserve"> Report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35</w:t>
      </w:r>
      <w:r>
        <w:rPr>
          <w:rFonts w:ascii="Arial" w:hAnsi="Arial" w:cs="Arial"/>
          <w:color w:val="222222"/>
          <w:sz w:val="24"/>
          <w:szCs w:val="24"/>
          <w:shd w:val="clear" w:color="auto" w:fill="FFFFFF"/>
        </w:rPr>
        <w:t>(7), pp. s14-s18</w:t>
      </w:r>
    </w:p>
    <w:p w14:paraId="23505549"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McDermott, M.B.A., Hansen, L., Zhang, H. </w:t>
      </w:r>
      <w:proofErr w:type="spellStart"/>
      <w:r w:rsidRPr="009C66F9">
        <w:rPr>
          <w:rFonts w:ascii="Arial" w:eastAsia="Times New Roman" w:hAnsi="Arial" w:cs="Arial"/>
          <w:sz w:val="24"/>
          <w:szCs w:val="24"/>
          <w:lang w:eastAsia="en-GB"/>
        </w:rPr>
        <w:t>Angelotti</w:t>
      </w:r>
      <w:proofErr w:type="spellEnd"/>
      <w:r w:rsidRPr="009C66F9">
        <w:rPr>
          <w:rFonts w:ascii="Arial" w:eastAsia="Times New Roman" w:hAnsi="Arial" w:cs="Arial"/>
          <w:sz w:val="24"/>
          <w:szCs w:val="24"/>
          <w:lang w:eastAsia="en-GB"/>
        </w:rPr>
        <w:t xml:space="preserve">, G. and </w:t>
      </w:r>
      <w:proofErr w:type="spellStart"/>
      <w:r w:rsidRPr="009C66F9">
        <w:rPr>
          <w:rFonts w:ascii="Arial" w:eastAsia="Times New Roman" w:hAnsi="Arial" w:cs="Arial"/>
          <w:sz w:val="24"/>
          <w:szCs w:val="24"/>
          <w:lang w:eastAsia="en-GB"/>
        </w:rPr>
        <w:t>Gallifant</w:t>
      </w:r>
      <w:proofErr w:type="spellEnd"/>
      <w:r w:rsidRPr="009C66F9">
        <w:rPr>
          <w:rFonts w:ascii="Arial" w:eastAsia="Times New Roman" w:hAnsi="Arial" w:cs="Arial"/>
          <w:sz w:val="24"/>
          <w:szCs w:val="24"/>
          <w:lang w:eastAsia="en-GB"/>
        </w:rPr>
        <w:t>, J. (2024) ‘</w:t>
      </w:r>
      <w:r w:rsidRPr="009C66F9">
        <w:rPr>
          <w:rFonts w:ascii="Arial" w:eastAsia="Times New Roman" w:hAnsi="Arial" w:cs="Arial"/>
          <w:i/>
          <w:sz w:val="24"/>
          <w:szCs w:val="24"/>
          <w:lang w:eastAsia="en-GB"/>
        </w:rPr>
        <w:t>A Closer Look at AUROC and AUPRC under Class Imbalance</w:t>
      </w:r>
      <w:r w:rsidRPr="009C66F9">
        <w:rPr>
          <w:rFonts w:ascii="Arial" w:eastAsia="Times New Roman" w:hAnsi="Arial" w:cs="Arial"/>
          <w:sz w:val="24"/>
          <w:szCs w:val="24"/>
          <w:lang w:eastAsia="en-GB"/>
        </w:rPr>
        <w:t>’. Available at: http://arxiv.org/abs/2401.06091</w:t>
      </w:r>
    </w:p>
    <w:p w14:paraId="5BE4A151" w14:textId="77777777" w:rsidR="00DE7279" w:rsidRDefault="00DE7279" w:rsidP="00DE7279">
      <w:pPr>
        <w:spacing w:line="240" w:lineRule="auto"/>
        <w:rPr>
          <w:rFonts w:ascii="Arial" w:hAnsi="Arial" w:cs="Arial"/>
          <w:color w:val="001D35"/>
          <w:sz w:val="24"/>
          <w:szCs w:val="24"/>
          <w:shd w:val="clear" w:color="auto" w:fill="FFFFFF"/>
        </w:rPr>
      </w:pPr>
      <w:r w:rsidRPr="001431C2">
        <w:rPr>
          <w:rFonts w:ascii="Arial" w:hAnsi="Arial" w:cs="Arial"/>
          <w:sz w:val="24"/>
          <w:szCs w:val="24"/>
        </w:rPr>
        <w:t>Minton, O. (2024) End of Life Care</w:t>
      </w:r>
      <w:r w:rsidRPr="003158D0">
        <w:rPr>
          <w:rFonts w:ascii="Arial" w:hAnsi="Arial" w:cs="Arial"/>
          <w:color w:val="001D35"/>
          <w:sz w:val="24"/>
          <w:szCs w:val="24"/>
          <w:shd w:val="clear" w:color="auto" w:fill="FFFFFF"/>
        </w:rPr>
        <w:t xml:space="preserve"> in Hospitals: Quality Improvement. In: </w:t>
      </w:r>
      <w:r w:rsidRPr="003158D0">
        <w:rPr>
          <w:rFonts w:ascii="Arial" w:hAnsi="Arial" w:cs="Arial"/>
          <w:i/>
          <w:iCs/>
          <w:color w:val="001D35"/>
          <w:sz w:val="24"/>
          <w:szCs w:val="24"/>
          <w:shd w:val="clear" w:color="auto" w:fill="FFFFFF"/>
        </w:rPr>
        <w:t>Advanced Pain and Symptom Management Course</w:t>
      </w:r>
      <w:r w:rsidRPr="003158D0">
        <w:rPr>
          <w:rFonts w:ascii="Arial" w:hAnsi="Arial" w:cs="Arial"/>
          <w:color w:val="001D35"/>
          <w:sz w:val="24"/>
          <w:szCs w:val="24"/>
          <w:shd w:val="clear" w:color="auto" w:fill="FFFFFF"/>
        </w:rPr>
        <w:t>, Oxford, 11 July 2024.</w:t>
      </w:r>
    </w:p>
    <w:p w14:paraId="6D0D8B6C" w14:textId="77777777" w:rsidR="00DE7279" w:rsidRPr="00300F4F" w:rsidRDefault="00DE7279" w:rsidP="00DE7279">
      <w:pPr>
        <w:rPr>
          <w:rFonts w:ascii="Arial" w:hAnsi="Arial" w:cs="Arial"/>
          <w:sz w:val="24"/>
          <w:szCs w:val="24"/>
        </w:rPr>
      </w:pPr>
      <w:r w:rsidRPr="00300F4F">
        <w:rPr>
          <w:rFonts w:ascii="Arial" w:hAnsi="Arial" w:cs="Arial"/>
          <w:sz w:val="24"/>
          <w:szCs w:val="24"/>
        </w:rPr>
        <w:t>Moberly, T. (2016) ‘</w:t>
      </w:r>
      <w:r w:rsidRPr="008F659A">
        <w:rPr>
          <w:rFonts w:ascii="Arial" w:hAnsi="Arial" w:cs="Arial"/>
          <w:sz w:val="24"/>
          <w:szCs w:val="24"/>
        </w:rPr>
        <w:t>The hard truth about soft skills</w:t>
      </w:r>
      <w:r w:rsidRPr="00300F4F">
        <w:rPr>
          <w:rFonts w:ascii="Arial" w:hAnsi="Arial" w:cs="Arial"/>
          <w:sz w:val="24"/>
          <w:szCs w:val="24"/>
        </w:rPr>
        <w:t xml:space="preserve">’, British Medical Journal, 352, i435. Available at: </w:t>
      </w:r>
      <w:hyperlink r:id="rId47" w:history="1">
        <w:r w:rsidRPr="00300F4F">
          <w:rPr>
            <w:rFonts w:ascii="Arial" w:hAnsi="Arial" w:cs="Arial"/>
            <w:sz w:val="24"/>
            <w:szCs w:val="24"/>
          </w:rPr>
          <w:t>https://doi.org/10.1136/bmj.i435</w:t>
        </w:r>
      </w:hyperlink>
      <w:r w:rsidRPr="00300F4F">
        <w:rPr>
          <w:rFonts w:ascii="Arial" w:hAnsi="Arial" w:cs="Arial"/>
          <w:sz w:val="24"/>
          <w:szCs w:val="24"/>
        </w:rPr>
        <w:t> </w:t>
      </w:r>
    </w:p>
    <w:p w14:paraId="3BAA96C3" w14:textId="77777777" w:rsidR="00DE7279" w:rsidRPr="00300F4F" w:rsidRDefault="00DE7279" w:rsidP="00DE7279">
      <w:pPr>
        <w:rPr>
          <w:rFonts w:ascii="Arial" w:hAnsi="Arial" w:cs="Arial"/>
          <w:sz w:val="24"/>
          <w:szCs w:val="24"/>
        </w:rPr>
      </w:pPr>
      <w:r w:rsidRPr="00300F4F">
        <w:rPr>
          <w:rFonts w:ascii="Arial" w:hAnsi="Arial" w:cs="Arial"/>
          <w:color w:val="212121"/>
          <w:sz w:val="24"/>
          <w:szCs w:val="24"/>
          <w:shd w:val="clear" w:color="auto" w:fill="FFFFFF"/>
        </w:rPr>
        <w:t>Moorhouse, P. and Rockwood, K. (2012) ‘Frailty and its quantitative clinical evaluation’, </w:t>
      </w:r>
      <w:r w:rsidRPr="00300F4F">
        <w:rPr>
          <w:rFonts w:ascii="Arial" w:hAnsi="Arial" w:cs="Arial"/>
          <w:i/>
          <w:iCs/>
          <w:sz w:val="24"/>
          <w:szCs w:val="24"/>
        </w:rPr>
        <w:t xml:space="preserve">Journal of the Royal College of Physicians of Edinburgh, </w:t>
      </w:r>
      <w:r w:rsidRPr="00300F4F">
        <w:rPr>
          <w:rFonts w:ascii="Arial" w:hAnsi="Arial" w:cs="Arial"/>
          <w:sz w:val="24"/>
          <w:szCs w:val="24"/>
        </w:rPr>
        <w:t xml:space="preserve">42(4), pp.333-340. </w:t>
      </w:r>
      <w:r w:rsidRPr="00300F4F">
        <w:rPr>
          <w:rFonts w:ascii="Arial" w:eastAsia="Times New Roman" w:hAnsi="Arial" w:cs="Arial"/>
          <w:color w:val="000000"/>
          <w:sz w:val="24"/>
          <w:szCs w:val="24"/>
          <w:lang w:eastAsia="en-GB"/>
        </w:rPr>
        <w:t>Available at: https://doi.org/1</w:t>
      </w:r>
      <w:r w:rsidRPr="00300F4F">
        <w:rPr>
          <w:rFonts w:ascii="Arial" w:hAnsi="Arial" w:cs="Arial"/>
          <w:color w:val="212121"/>
          <w:sz w:val="24"/>
          <w:szCs w:val="24"/>
          <w:shd w:val="clear" w:color="auto" w:fill="FFFFFF"/>
        </w:rPr>
        <w:t>0.4997/JRCPE.2012.412</w:t>
      </w:r>
    </w:p>
    <w:p w14:paraId="1A66794E" w14:textId="77777777" w:rsidR="00DE7279" w:rsidRPr="00300F4F" w:rsidRDefault="00DE7279" w:rsidP="00DE7279">
      <w:pPr>
        <w:rPr>
          <w:rFonts w:ascii="Arial" w:hAnsi="Arial" w:cs="Arial"/>
          <w:color w:val="212121"/>
          <w:sz w:val="24"/>
          <w:szCs w:val="24"/>
          <w:shd w:val="clear" w:color="auto" w:fill="FFFFFF"/>
        </w:rPr>
      </w:pPr>
      <w:r w:rsidRPr="00300F4F">
        <w:rPr>
          <w:rFonts w:ascii="Arial" w:hAnsi="Arial" w:cs="Arial"/>
          <w:color w:val="212121"/>
          <w:sz w:val="24"/>
          <w:szCs w:val="24"/>
          <w:shd w:val="clear" w:color="auto" w:fill="FFFFFF"/>
        </w:rPr>
        <w:t>Murray, S.A., Kendall, M., Boyd, K. and Sheikh, A. (2005) ‘Illness trajectories and palliative care’, </w:t>
      </w:r>
      <w:r w:rsidRPr="00300F4F">
        <w:rPr>
          <w:rFonts w:ascii="Arial" w:hAnsi="Arial" w:cs="Arial"/>
          <w:i/>
          <w:iCs/>
          <w:color w:val="212121"/>
          <w:sz w:val="24"/>
          <w:szCs w:val="24"/>
          <w:shd w:val="clear" w:color="auto" w:fill="FFFFFF"/>
        </w:rPr>
        <w:t xml:space="preserve">British Medical Journal, </w:t>
      </w:r>
      <w:r w:rsidRPr="00300F4F">
        <w:rPr>
          <w:rFonts w:ascii="Arial" w:hAnsi="Arial" w:cs="Arial"/>
          <w:color w:val="212121"/>
          <w:sz w:val="24"/>
          <w:szCs w:val="24"/>
          <w:shd w:val="clear" w:color="auto" w:fill="FFFFFF"/>
        </w:rPr>
        <w:t>330(7498), pp. 1007-1011. Available at: https://doi.org/10.1136/bmj.330.7498.1007</w:t>
      </w:r>
    </w:p>
    <w:p w14:paraId="5CE3507F" w14:textId="77777777" w:rsidR="00946A75" w:rsidRDefault="00946A75" w:rsidP="00946A75">
      <w:pPr>
        <w:rPr>
          <w:rFonts w:ascii="Arial" w:hAnsi="Arial" w:cs="Arial"/>
          <w:sz w:val="24"/>
          <w:szCs w:val="24"/>
        </w:rPr>
      </w:pPr>
      <w:r>
        <w:rPr>
          <w:rFonts w:ascii="Arial" w:hAnsi="Arial" w:cs="Arial"/>
          <w:sz w:val="24"/>
          <w:szCs w:val="24"/>
        </w:rPr>
        <w:t xml:space="preserve">Murray, S.A., Boyd, K., Moine, S., Kendall, M., Macpherson, S., Mitchell, G. and </w:t>
      </w:r>
      <w:proofErr w:type="spellStart"/>
      <w:r>
        <w:rPr>
          <w:rFonts w:ascii="Arial" w:hAnsi="Arial" w:cs="Arial"/>
          <w:sz w:val="24"/>
          <w:szCs w:val="24"/>
        </w:rPr>
        <w:t>Amblas</w:t>
      </w:r>
      <w:proofErr w:type="spellEnd"/>
      <w:r>
        <w:rPr>
          <w:rFonts w:ascii="Arial" w:hAnsi="Arial" w:cs="Arial"/>
          <w:sz w:val="24"/>
          <w:szCs w:val="24"/>
        </w:rPr>
        <w:t>-Novellas, J. (2024) ‘Using illness trajectories to inform person centred, advance care planning’, </w:t>
      </w:r>
      <w:r>
        <w:rPr>
          <w:rFonts w:ascii="Arial" w:hAnsi="Arial" w:cs="Arial"/>
          <w:i/>
          <w:iCs/>
          <w:sz w:val="24"/>
          <w:szCs w:val="24"/>
        </w:rPr>
        <w:t>British Medical Journal</w:t>
      </w:r>
      <w:r>
        <w:rPr>
          <w:rFonts w:ascii="Arial" w:hAnsi="Arial" w:cs="Arial"/>
          <w:sz w:val="24"/>
          <w:szCs w:val="24"/>
        </w:rPr>
        <w:t>, </w:t>
      </w:r>
      <w:proofErr w:type="gramStart"/>
      <w:r>
        <w:rPr>
          <w:rFonts w:ascii="Arial" w:hAnsi="Arial" w:cs="Arial"/>
          <w:sz w:val="24"/>
          <w:szCs w:val="24"/>
        </w:rPr>
        <w:t>384:e</w:t>
      </w:r>
      <w:proofErr w:type="gramEnd"/>
      <w:r>
        <w:rPr>
          <w:rFonts w:ascii="Arial" w:hAnsi="Arial" w:cs="Arial"/>
          <w:sz w:val="24"/>
          <w:szCs w:val="24"/>
        </w:rPr>
        <w:t>067896. Available at: https://doi.org/10.1136/bmj-2021-067896</w:t>
      </w:r>
    </w:p>
    <w:p w14:paraId="68485D3B" w14:textId="77777777" w:rsidR="00DE7279" w:rsidRDefault="00DE7279" w:rsidP="00DE7279">
      <w:pPr>
        <w:rPr>
          <w:rFonts w:ascii="Arial" w:hAnsi="Arial" w:cs="Arial"/>
          <w:sz w:val="24"/>
          <w:szCs w:val="24"/>
        </w:rPr>
      </w:pPr>
      <w:r w:rsidRPr="00D42156">
        <w:rPr>
          <w:rFonts w:ascii="Arial" w:hAnsi="Arial" w:cs="Arial"/>
          <w:sz w:val="24"/>
          <w:szCs w:val="24"/>
        </w:rPr>
        <w:t xml:space="preserve">Naeem, M., </w:t>
      </w:r>
      <w:proofErr w:type="spellStart"/>
      <w:r w:rsidRPr="00D42156">
        <w:rPr>
          <w:rFonts w:ascii="Arial" w:hAnsi="Arial" w:cs="Arial"/>
          <w:sz w:val="24"/>
          <w:szCs w:val="24"/>
        </w:rPr>
        <w:t>Ozuem</w:t>
      </w:r>
      <w:proofErr w:type="spellEnd"/>
      <w:r w:rsidRPr="00D42156">
        <w:rPr>
          <w:rFonts w:ascii="Arial" w:hAnsi="Arial" w:cs="Arial"/>
          <w:sz w:val="24"/>
          <w:szCs w:val="24"/>
        </w:rPr>
        <w:t xml:space="preserve">, W., Howell, K. and Ranfagni, S. (2023) ‘A Step-by-Step Process of Thematic Analysis to Develop a Conceptual Model in Qualitative Research’, </w:t>
      </w:r>
      <w:r w:rsidRPr="00D42156">
        <w:rPr>
          <w:rFonts w:ascii="Arial" w:hAnsi="Arial" w:cs="Arial"/>
          <w:i/>
          <w:sz w:val="24"/>
          <w:szCs w:val="24"/>
        </w:rPr>
        <w:t>International Journal of Qualitative Methods</w:t>
      </w:r>
      <w:r w:rsidRPr="00D42156">
        <w:rPr>
          <w:rFonts w:ascii="Arial" w:hAnsi="Arial" w:cs="Arial"/>
          <w:sz w:val="24"/>
          <w:szCs w:val="24"/>
        </w:rPr>
        <w:t>, 22. Available at: https://doi.org/10.1177/16094069231205789</w:t>
      </w:r>
    </w:p>
    <w:p w14:paraId="3B2D8D9B" w14:textId="77777777" w:rsidR="00DE7279" w:rsidRPr="00300F4F" w:rsidRDefault="00DE7279" w:rsidP="00DE7279">
      <w:pPr>
        <w:rPr>
          <w:rFonts w:ascii="Arial" w:hAnsi="Arial" w:cs="Arial"/>
          <w:sz w:val="24"/>
          <w:szCs w:val="24"/>
        </w:rPr>
      </w:pPr>
      <w:r w:rsidRPr="00300F4F">
        <w:rPr>
          <w:rFonts w:ascii="Arial" w:hAnsi="Arial" w:cs="Arial"/>
          <w:sz w:val="24"/>
          <w:szCs w:val="24"/>
        </w:rPr>
        <w:t>Nation Cymru (2023) ‘News. 61% of people in Wales don’t have a will’. Available at https://nation.cymru/news/61-of-people-in-wales-dont-have-a-will (Accessed 3 March 2025)</w:t>
      </w:r>
    </w:p>
    <w:p w14:paraId="75AE03F7" w14:textId="77777777" w:rsidR="001679AE" w:rsidRPr="001679AE" w:rsidRDefault="001679AE" w:rsidP="00DE7279">
      <w:pPr>
        <w:spacing w:line="240" w:lineRule="auto"/>
        <w:rPr>
          <w:rFonts w:ascii="Arial" w:hAnsi="Arial" w:cs="Arial"/>
          <w:sz w:val="24"/>
          <w:szCs w:val="24"/>
        </w:rPr>
      </w:pPr>
      <w:r w:rsidRPr="001679AE">
        <w:rPr>
          <w:rFonts w:ascii="Arial" w:hAnsi="Arial" w:cs="Arial"/>
          <w:color w:val="222222"/>
          <w:sz w:val="24"/>
          <w:szCs w:val="24"/>
          <w:shd w:val="clear" w:color="auto" w:fill="FFFFFF"/>
        </w:rPr>
        <w:lastRenderedPageBreak/>
        <w:t>Neuberger, J. (2013) ‘</w:t>
      </w:r>
      <w:r w:rsidRPr="001679AE">
        <w:rPr>
          <w:rFonts w:ascii="Arial" w:hAnsi="Arial" w:cs="Arial"/>
          <w:i/>
          <w:iCs/>
          <w:color w:val="222222"/>
          <w:sz w:val="24"/>
          <w:szCs w:val="24"/>
          <w:shd w:val="clear" w:color="auto" w:fill="FFFFFF"/>
        </w:rPr>
        <w:t xml:space="preserve">More care, less pathway: review of Liverpool Care Pathway for dying </w:t>
      </w:r>
      <w:proofErr w:type="gramStart"/>
      <w:r w:rsidRPr="001679AE">
        <w:rPr>
          <w:rFonts w:ascii="Arial" w:hAnsi="Arial" w:cs="Arial"/>
          <w:i/>
          <w:iCs/>
          <w:color w:val="222222"/>
          <w:sz w:val="24"/>
          <w:szCs w:val="24"/>
          <w:shd w:val="clear" w:color="auto" w:fill="FFFFFF"/>
        </w:rPr>
        <w:t>patients’</w:t>
      </w:r>
      <w:proofErr w:type="gramEnd"/>
      <w:r w:rsidRPr="001679AE">
        <w:rPr>
          <w:rFonts w:ascii="Arial" w:hAnsi="Arial" w:cs="Arial"/>
          <w:color w:val="222222"/>
          <w:sz w:val="24"/>
          <w:szCs w:val="24"/>
          <w:shd w:val="clear" w:color="auto" w:fill="FFFFFF"/>
        </w:rPr>
        <w:t>. Department of Health. Available at: http</w:t>
      </w:r>
      <w:r w:rsidRPr="001679AE">
        <w:rPr>
          <w:rFonts w:ascii="Arial" w:hAnsi="Arial" w:cs="Arial"/>
          <w:sz w:val="24"/>
          <w:szCs w:val="24"/>
        </w:rPr>
        <w:t>s://www.gov.uk/government/publications/review-of-liverpool-care-pathway-for-dying-patients (Accessed 03 May 2025)</w:t>
      </w:r>
    </w:p>
    <w:p w14:paraId="5D9E3FBC" w14:textId="22E992B6" w:rsidR="00DE7279" w:rsidRPr="009C66F9" w:rsidRDefault="00DE7279" w:rsidP="00DE7279">
      <w:pPr>
        <w:spacing w:line="240" w:lineRule="auto"/>
        <w:rPr>
          <w:rFonts w:ascii="Arial" w:eastAsia="Times New Roman" w:hAnsi="Arial" w:cs="Arial"/>
          <w:sz w:val="24"/>
          <w:szCs w:val="24"/>
          <w:lang w:eastAsia="en-GB"/>
        </w:rPr>
      </w:pPr>
      <w:r w:rsidRPr="009A00D1">
        <w:rPr>
          <w:rFonts w:ascii="Arial" w:eastAsia="Times New Roman" w:hAnsi="Arial" w:cs="Arial"/>
          <w:sz w:val="24"/>
          <w:szCs w:val="24"/>
          <w:lang w:eastAsia="en-GB"/>
        </w:rPr>
        <w:t>NHS England (2022) ‘</w:t>
      </w:r>
      <w:r w:rsidRPr="009A00D1">
        <w:rPr>
          <w:rFonts w:ascii="Arial" w:eastAsia="Times New Roman" w:hAnsi="Arial" w:cs="Arial"/>
          <w:i/>
          <w:iCs/>
          <w:sz w:val="24"/>
          <w:szCs w:val="24"/>
          <w:lang w:eastAsia="en-GB"/>
        </w:rPr>
        <w:t>Universal Principles for Advance Care Planning (ACP)</w:t>
      </w:r>
      <w:r w:rsidRPr="009A00D1">
        <w:rPr>
          <w:rFonts w:ascii="Arial" w:eastAsia="Times New Roman" w:hAnsi="Arial" w:cs="Arial"/>
          <w:sz w:val="24"/>
          <w:szCs w:val="24"/>
          <w:lang w:eastAsia="en-GB"/>
        </w:rPr>
        <w:t xml:space="preserve"> (2022)’.</w:t>
      </w:r>
      <w:r w:rsidRPr="009C66F9">
        <w:rPr>
          <w:rFonts w:ascii="Arial" w:eastAsia="Times New Roman" w:hAnsi="Arial" w:cs="Arial"/>
          <w:sz w:val="24"/>
          <w:szCs w:val="24"/>
          <w:lang w:eastAsia="en-GB"/>
        </w:rPr>
        <w:t xml:space="preserve"> Available at: www.england.nhs.uk/eolc/resources/</w:t>
      </w:r>
    </w:p>
    <w:p w14:paraId="1AFFF3A1" w14:textId="77777777" w:rsidR="00DE7279" w:rsidRPr="00300F4F" w:rsidRDefault="00DE7279" w:rsidP="00DE7279">
      <w:pPr>
        <w:rPr>
          <w:rFonts w:ascii="Arial" w:hAnsi="Arial" w:cs="Arial"/>
          <w:sz w:val="24"/>
          <w:szCs w:val="24"/>
        </w:rPr>
      </w:pPr>
      <w:r w:rsidRPr="00300F4F">
        <w:rPr>
          <w:rFonts w:ascii="Arial" w:hAnsi="Arial" w:cs="Arial"/>
          <w:sz w:val="24"/>
          <w:szCs w:val="24"/>
        </w:rPr>
        <w:t>NHS Scotland (2021) ‘</w:t>
      </w:r>
      <w:r w:rsidRPr="00300F4F">
        <w:rPr>
          <w:rFonts w:ascii="Arial" w:hAnsi="Arial" w:cs="Arial"/>
          <w:i/>
          <w:sz w:val="24"/>
          <w:szCs w:val="24"/>
        </w:rPr>
        <w:t>Treatment Escalation Plans</w:t>
      </w:r>
      <w:r w:rsidRPr="00300F4F">
        <w:rPr>
          <w:rFonts w:ascii="Arial" w:hAnsi="Arial" w:cs="Arial"/>
          <w:sz w:val="24"/>
          <w:szCs w:val="24"/>
        </w:rPr>
        <w:t>’. Available at: https://www.med.scot.nhs.uk/resources/resources/treatment-escalation-plans (Accessed 3 March 2025)</w:t>
      </w:r>
    </w:p>
    <w:p w14:paraId="68322347" w14:textId="5B354211" w:rsidR="00DE7279" w:rsidRPr="00D42156" w:rsidRDefault="00DE7279" w:rsidP="00DE7279">
      <w:pPr>
        <w:rPr>
          <w:rFonts w:ascii="Arial" w:hAnsi="Arial" w:cs="Arial"/>
          <w:sz w:val="24"/>
          <w:szCs w:val="24"/>
        </w:rPr>
      </w:pPr>
      <w:r w:rsidRPr="00D42156">
        <w:rPr>
          <w:rFonts w:ascii="Arial" w:hAnsi="Arial" w:cs="Arial"/>
          <w:sz w:val="24"/>
          <w:szCs w:val="24"/>
        </w:rPr>
        <w:t xml:space="preserve">Office of National statistics </w:t>
      </w:r>
      <w:r w:rsidR="00042FC4">
        <w:rPr>
          <w:rFonts w:ascii="Arial" w:hAnsi="Arial" w:cs="Arial"/>
          <w:sz w:val="24"/>
          <w:szCs w:val="24"/>
        </w:rPr>
        <w:t>(</w:t>
      </w:r>
      <w:r w:rsidRPr="00D42156">
        <w:rPr>
          <w:rFonts w:ascii="Arial" w:hAnsi="Arial" w:cs="Arial"/>
          <w:sz w:val="24"/>
          <w:szCs w:val="24"/>
        </w:rPr>
        <w:t>ONS</w:t>
      </w:r>
      <w:r w:rsidR="00042FC4">
        <w:rPr>
          <w:rFonts w:ascii="Arial" w:hAnsi="Arial" w:cs="Arial"/>
          <w:sz w:val="24"/>
          <w:szCs w:val="24"/>
        </w:rPr>
        <w:t>)</w:t>
      </w:r>
      <w:r w:rsidRPr="00D42156">
        <w:rPr>
          <w:rFonts w:ascii="Arial" w:hAnsi="Arial" w:cs="Arial"/>
          <w:sz w:val="24"/>
          <w:szCs w:val="24"/>
        </w:rPr>
        <w:t xml:space="preserve"> (2015) </w:t>
      </w:r>
      <w:r w:rsidRPr="00D42156">
        <w:rPr>
          <w:rFonts w:ascii="Arial" w:hAnsi="Arial" w:cs="Arial"/>
          <w:i/>
          <w:sz w:val="24"/>
          <w:szCs w:val="24"/>
        </w:rPr>
        <w:t>Death rate by age group in England and Wales</w:t>
      </w:r>
      <w:r w:rsidRPr="00D42156">
        <w:rPr>
          <w:rFonts w:ascii="Arial" w:hAnsi="Arial" w:cs="Arial"/>
          <w:sz w:val="24"/>
          <w:szCs w:val="24"/>
        </w:rPr>
        <w:t>. Available at: https://ourworldindata.org/grapher/death-rate-by-age-group-in-england-and-wales?tab=table (Accessed 20 March 2025)</w:t>
      </w:r>
    </w:p>
    <w:p w14:paraId="6680590C"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Oo</w:t>
      </w:r>
      <w:proofErr w:type="spellEnd"/>
      <w:r w:rsidRPr="009C66F9">
        <w:rPr>
          <w:rFonts w:ascii="Arial" w:eastAsia="Times New Roman" w:hAnsi="Arial" w:cs="Arial"/>
          <w:sz w:val="24"/>
          <w:szCs w:val="24"/>
          <w:lang w:eastAsia="en-GB"/>
        </w:rPr>
        <w:t xml:space="preserve">, T.H., Marroquin, O., McKibben, J., Schell, J., Arnold, R. and Kip, K. (2023) ‘Improved Palliative Care Practices Through Machine-Learning Prediction of 90-Day Risk of Mortality Following Hospitalization’, </w:t>
      </w:r>
      <w:r w:rsidRPr="009C66F9">
        <w:rPr>
          <w:rFonts w:ascii="Arial" w:eastAsia="Times New Roman" w:hAnsi="Arial" w:cs="Arial"/>
          <w:i/>
          <w:iCs/>
          <w:sz w:val="24"/>
          <w:szCs w:val="24"/>
          <w:lang w:eastAsia="en-GB"/>
        </w:rPr>
        <w:t>New England Journal of Medicine Catalyst</w:t>
      </w:r>
      <w:r w:rsidRPr="009C66F9">
        <w:rPr>
          <w:rFonts w:ascii="Arial" w:eastAsia="Times New Roman" w:hAnsi="Arial" w:cs="Arial"/>
          <w:sz w:val="24"/>
          <w:szCs w:val="24"/>
          <w:lang w:eastAsia="en-GB"/>
        </w:rPr>
        <w:t>, 4(1). Available at: https://doi.org/10.1056/CAT.22.0214</w:t>
      </w:r>
    </w:p>
    <w:p w14:paraId="64E4FDAB" w14:textId="77777777" w:rsidR="00DE7279" w:rsidRPr="00300F4F" w:rsidRDefault="00DE7279" w:rsidP="00DE7279">
      <w:pPr>
        <w:rPr>
          <w:rFonts w:ascii="Arial" w:hAnsi="Arial" w:cs="Arial"/>
          <w:sz w:val="24"/>
          <w:szCs w:val="24"/>
        </w:rPr>
      </w:pPr>
      <w:r w:rsidRPr="00300F4F">
        <w:rPr>
          <w:rFonts w:ascii="Arial" w:hAnsi="Arial" w:cs="Arial"/>
          <w:sz w:val="24"/>
          <w:szCs w:val="24"/>
        </w:rPr>
        <w:t xml:space="preserve">Osgood, C. (no date) ‘Responsibility Poem’. Available at: https://www.organizationbuilders.com/content1/responsibiltypoem#:~:text=Anybody%20could%20have%20done%20it,did%20what%20Anybody%20could%20have (Accessed 11 March 2025) </w:t>
      </w:r>
    </w:p>
    <w:p w14:paraId="3FE480EF"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Patel, M.N., Mara, A., Acker, Y., </w:t>
      </w:r>
      <w:proofErr w:type="spellStart"/>
      <w:r w:rsidRPr="009C66F9">
        <w:rPr>
          <w:rFonts w:ascii="Arial" w:eastAsia="Times New Roman" w:hAnsi="Arial" w:cs="Arial"/>
          <w:sz w:val="24"/>
          <w:szCs w:val="24"/>
          <w:lang w:eastAsia="en-GB"/>
        </w:rPr>
        <w:t>Gollon</w:t>
      </w:r>
      <w:proofErr w:type="spellEnd"/>
      <w:r w:rsidRPr="009C66F9">
        <w:rPr>
          <w:rFonts w:ascii="Arial" w:eastAsia="Times New Roman" w:hAnsi="Arial" w:cs="Arial"/>
          <w:sz w:val="24"/>
          <w:szCs w:val="24"/>
          <w:lang w:eastAsia="en-GB"/>
        </w:rPr>
        <w:t xml:space="preserve">, J. </w:t>
      </w:r>
      <w:proofErr w:type="spellStart"/>
      <w:r w:rsidRPr="009C66F9">
        <w:rPr>
          <w:rFonts w:ascii="Arial" w:eastAsia="Times New Roman" w:hAnsi="Arial" w:cs="Arial"/>
          <w:sz w:val="24"/>
          <w:szCs w:val="24"/>
          <w:lang w:eastAsia="en-GB"/>
        </w:rPr>
        <w:t>Setji</w:t>
      </w:r>
      <w:proofErr w:type="spellEnd"/>
      <w:r w:rsidRPr="009C66F9">
        <w:rPr>
          <w:rFonts w:ascii="Arial" w:eastAsia="Times New Roman" w:hAnsi="Arial" w:cs="Arial"/>
          <w:sz w:val="24"/>
          <w:szCs w:val="24"/>
          <w:lang w:eastAsia="en-GB"/>
        </w:rPr>
        <w:t xml:space="preserve">, N., Walter, J., Wolf, S., Zafar, S., </w:t>
      </w:r>
      <w:proofErr w:type="spellStart"/>
      <w:r w:rsidRPr="009C66F9">
        <w:rPr>
          <w:rFonts w:ascii="Arial" w:eastAsia="Times New Roman" w:hAnsi="Arial" w:cs="Arial"/>
          <w:sz w:val="24"/>
          <w:szCs w:val="24"/>
          <w:lang w:eastAsia="en-GB"/>
        </w:rPr>
        <w:t>Balu</w:t>
      </w:r>
      <w:proofErr w:type="spellEnd"/>
      <w:r w:rsidRPr="009C66F9">
        <w:rPr>
          <w:rFonts w:ascii="Arial" w:eastAsia="Times New Roman" w:hAnsi="Arial" w:cs="Arial"/>
          <w:sz w:val="24"/>
          <w:szCs w:val="24"/>
          <w:lang w:eastAsia="en-GB"/>
        </w:rPr>
        <w:t xml:space="preserve">, S., Gao, M., Sendak, M., </w:t>
      </w:r>
      <w:proofErr w:type="spellStart"/>
      <w:r w:rsidRPr="009C66F9">
        <w:rPr>
          <w:rFonts w:ascii="Arial" w:eastAsia="Times New Roman" w:hAnsi="Arial" w:cs="Arial"/>
          <w:sz w:val="24"/>
          <w:szCs w:val="24"/>
          <w:lang w:eastAsia="en-GB"/>
        </w:rPr>
        <w:t>Casarett</w:t>
      </w:r>
      <w:proofErr w:type="spellEnd"/>
      <w:r w:rsidRPr="009C66F9">
        <w:rPr>
          <w:rFonts w:ascii="Arial" w:eastAsia="Times New Roman" w:hAnsi="Arial" w:cs="Arial"/>
          <w:sz w:val="24"/>
          <w:szCs w:val="24"/>
          <w:lang w:eastAsia="en-GB"/>
        </w:rPr>
        <w:t xml:space="preserve">, D., LeBlanc, T. and Ma, J. (2024) ‘Machine Learning for Targeted Advance Care Planning in Cancer Patients: A Quality Improvement Study’, </w:t>
      </w:r>
      <w:r w:rsidRPr="009C66F9">
        <w:rPr>
          <w:rFonts w:ascii="Arial" w:eastAsia="Times New Roman" w:hAnsi="Arial" w:cs="Arial"/>
          <w:i/>
          <w:iCs/>
          <w:sz w:val="24"/>
          <w:szCs w:val="24"/>
          <w:lang w:eastAsia="en-GB"/>
        </w:rPr>
        <w:t>Journal of Pain and Symptom Management</w:t>
      </w:r>
      <w:r w:rsidRPr="009C66F9">
        <w:rPr>
          <w:rFonts w:ascii="Arial" w:eastAsia="Times New Roman" w:hAnsi="Arial" w:cs="Arial"/>
          <w:sz w:val="24"/>
          <w:szCs w:val="24"/>
          <w:lang w:eastAsia="en-GB"/>
        </w:rPr>
        <w:t>, 68(6), pp. 539-547.e3. Available at: https://doi.org/10.1016/j.jpainsymman.2024.08.036</w:t>
      </w:r>
    </w:p>
    <w:p w14:paraId="3C33154F" w14:textId="77777777" w:rsidR="00DE7279" w:rsidRPr="00D931F0" w:rsidRDefault="00DE7279" w:rsidP="00DE7279">
      <w:pPr>
        <w:spacing w:line="240" w:lineRule="auto"/>
        <w:rPr>
          <w:rFonts w:ascii="Arial" w:hAnsi="Arial" w:cs="Arial"/>
          <w:color w:val="001D35"/>
          <w:sz w:val="24"/>
          <w:szCs w:val="24"/>
          <w:shd w:val="clear" w:color="auto" w:fill="FFFFFF"/>
        </w:rPr>
      </w:pPr>
      <w:r>
        <w:rPr>
          <w:rFonts w:ascii="Arial" w:hAnsi="Arial" w:cs="Arial"/>
          <w:color w:val="001D35"/>
          <w:sz w:val="24"/>
          <w:szCs w:val="24"/>
          <w:shd w:val="clear" w:color="auto" w:fill="FFFFFF"/>
        </w:rPr>
        <w:t>d</w:t>
      </w:r>
      <w:r w:rsidRPr="00D931F0">
        <w:rPr>
          <w:rFonts w:ascii="Arial" w:hAnsi="Arial" w:cs="Arial"/>
          <w:color w:val="001D35"/>
          <w:sz w:val="24"/>
          <w:szCs w:val="24"/>
          <w:shd w:val="clear" w:color="auto" w:fill="FFFFFF"/>
        </w:rPr>
        <w:t>e Phillips, F</w:t>
      </w:r>
      <w:r>
        <w:rPr>
          <w:rFonts w:ascii="Arial" w:hAnsi="Arial" w:cs="Arial"/>
          <w:color w:val="001D35"/>
          <w:sz w:val="24"/>
          <w:szCs w:val="24"/>
          <w:shd w:val="clear" w:color="auto" w:fill="FFFFFF"/>
        </w:rPr>
        <w:t>.A.,</w:t>
      </w:r>
      <w:r w:rsidRPr="00D931F0">
        <w:rPr>
          <w:rFonts w:ascii="Arial" w:hAnsi="Arial" w:cs="Arial"/>
          <w:color w:val="001D35"/>
          <w:sz w:val="24"/>
          <w:szCs w:val="24"/>
          <w:shd w:val="clear" w:color="auto" w:fill="FFFFFF"/>
        </w:rPr>
        <w:t xml:space="preserve"> Berliner, W.M. and </w:t>
      </w:r>
      <w:proofErr w:type="spellStart"/>
      <w:r w:rsidRPr="00D931F0">
        <w:rPr>
          <w:rFonts w:ascii="Arial" w:hAnsi="Arial" w:cs="Arial"/>
          <w:color w:val="001D35"/>
          <w:sz w:val="24"/>
          <w:szCs w:val="24"/>
          <w:shd w:val="clear" w:color="auto" w:fill="FFFFFF"/>
        </w:rPr>
        <w:t>Cribbin</w:t>
      </w:r>
      <w:proofErr w:type="spellEnd"/>
      <w:r w:rsidRPr="00D931F0">
        <w:rPr>
          <w:rFonts w:ascii="Arial" w:hAnsi="Arial" w:cs="Arial"/>
          <w:color w:val="001D35"/>
          <w:sz w:val="24"/>
          <w:szCs w:val="24"/>
          <w:shd w:val="clear" w:color="auto" w:fill="FFFFFF"/>
        </w:rPr>
        <w:t>, J.J. (1960). ‘</w:t>
      </w:r>
      <w:hyperlink r:id="rId48" w:history="1">
        <w:r w:rsidRPr="00D931F0">
          <w:rPr>
            <w:rFonts w:ascii="Arial" w:hAnsi="Arial" w:cs="Arial"/>
            <w:color w:val="001D35"/>
            <w:sz w:val="24"/>
            <w:szCs w:val="24"/>
          </w:rPr>
          <w:t>Meaning of learning and knowledge’</w:t>
        </w:r>
      </w:hyperlink>
      <w:r w:rsidRPr="00D931F0">
        <w:rPr>
          <w:rFonts w:ascii="Arial" w:hAnsi="Arial" w:cs="Arial"/>
          <w:color w:val="001D35"/>
          <w:sz w:val="24"/>
          <w:szCs w:val="24"/>
          <w:shd w:val="clear" w:color="auto" w:fill="FFFFFF"/>
        </w:rPr>
        <w:t>. </w:t>
      </w:r>
      <w:hyperlink r:id="rId49" w:history="1">
        <w:r w:rsidRPr="004D43D0">
          <w:rPr>
            <w:rFonts w:ascii="Arial" w:hAnsi="Arial" w:cs="Arial"/>
            <w:i/>
            <w:iCs/>
            <w:color w:val="001D35"/>
            <w:sz w:val="24"/>
            <w:szCs w:val="24"/>
          </w:rPr>
          <w:t>Management of training programs</w:t>
        </w:r>
      </w:hyperlink>
      <w:r w:rsidRPr="00D931F0">
        <w:rPr>
          <w:rFonts w:ascii="Arial" w:hAnsi="Arial" w:cs="Arial"/>
          <w:color w:val="001D35"/>
          <w:sz w:val="24"/>
          <w:szCs w:val="24"/>
          <w:shd w:val="clear" w:color="auto" w:fill="FFFFFF"/>
        </w:rPr>
        <w:t>. Homewood: R</w:t>
      </w:r>
      <w:r>
        <w:rPr>
          <w:rFonts w:ascii="Arial" w:hAnsi="Arial" w:cs="Arial"/>
          <w:color w:val="001D35"/>
          <w:sz w:val="24"/>
          <w:szCs w:val="24"/>
          <w:shd w:val="clear" w:color="auto" w:fill="FFFFFF"/>
        </w:rPr>
        <w:t>.</w:t>
      </w:r>
      <w:r w:rsidRPr="00D931F0">
        <w:rPr>
          <w:rFonts w:ascii="Arial" w:hAnsi="Arial" w:cs="Arial"/>
          <w:color w:val="001D35"/>
          <w:sz w:val="24"/>
          <w:szCs w:val="24"/>
          <w:shd w:val="clear" w:color="auto" w:fill="FFFFFF"/>
        </w:rPr>
        <w:t>D. Irwin</w:t>
      </w:r>
      <w:r>
        <w:rPr>
          <w:rFonts w:ascii="Arial" w:hAnsi="Arial" w:cs="Arial"/>
          <w:color w:val="001D35"/>
          <w:sz w:val="24"/>
          <w:szCs w:val="24"/>
          <w:shd w:val="clear" w:color="auto" w:fill="FFFFFF"/>
        </w:rPr>
        <w:t>.</w:t>
      </w:r>
    </w:p>
    <w:p w14:paraId="0EC5524A" w14:textId="77777777" w:rsidR="00DE7279" w:rsidRDefault="00DE7279" w:rsidP="00DE7279">
      <w:pPr>
        <w:spacing w:line="240" w:lineRule="auto"/>
        <w:rPr>
          <w:rFonts w:ascii="Arial" w:hAnsi="Arial" w:cs="Arial"/>
          <w:sz w:val="24"/>
          <w:szCs w:val="24"/>
        </w:rPr>
      </w:pPr>
      <w:r w:rsidRPr="00A00969">
        <w:rPr>
          <w:rFonts w:ascii="Arial" w:hAnsi="Arial" w:cs="Arial"/>
          <w:sz w:val="24"/>
          <w:szCs w:val="24"/>
        </w:rPr>
        <w:t>Pollock, K. (2015) ‘Is home always the best and preferred place of death?’ </w:t>
      </w:r>
      <w:r w:rsidRPr="00A00969">
        <w:rPr>
          <w:rFonts w:ascii="Arial" w:hAnsi="Arial" w:cs="Arial"/>
          <w:i/>
          <w:iCs/>
          <w:sz w:val="24"/>
          <w:szCs w:val="24"/>
        </w:rPr>
        <w:t>British Medical Journal</w:t>
      </w:r>
      <w:r w:rsidRPr="00A00969">
        <w:rPr>
          <w:rFonts w:ascii="Arial" w:hAnsi="Arial" w:cs="Arial"/>
          <w:sz w:val="24"/>
          <w:szCs w:val="24"/>
        </w:rPr>
        <w:t>, 35</w:t>
      </w:r>
      <w:r>
        <w:rPr>
          <w:rFonts w:ascii="Arial" w:hAnsi="Arial" w:cs="Arial"/>
          <w:sz w:val="24"/>
          <w:szCs w:val="24"/>
        </w:rPr>
        <w:t>1</w:t>
      </w:r>
      <w:r w:rsidRPr="00A00969">
        <w:rPr>
          <w:rFonts w:ascii="Arial" w:hAnsi="Arial" w:cs="Arial"/>
          <w:sz w:val="24"/>
          <w:szCs w:val="24"/>
        </w:rPr>
        <w:t>:h4855</w:t>
      </w:r>
      <w:r>
        <w:rPr>
          <w:rFonts w:ascii="Arial" w:hAnsi="Arial" w:cs="Arial"/>
          <w:sz w:val="24"/>
          <w:szCs w:val="24"/>
        </w:rPr>
        <w:t>. Available at: https://doi.org/</w:t>
      </w:r>
      <w:r w:rsidRPr="00A00969">
        <w:rPr>
          <w:rFonts w:ascii="Arial" w:hAnsi="Arial" w:cs="Arial"/>
          <w:sz w:val="24"/>
          <w:szCs w:val="24"/>
        </w:rPr>
        <w:t>10.1136/bmj.h4855</w:t>
      </w:r>
    </w:p>
    <w:p w14:paraId="42F2AB83"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Prigerson</w:t>
      </w:r>
      <w:proofErr w:type="spellEnd"/>
      <w:r w:rsidRPr="009C66F9">
        <w:rPr>
          <w:rFonts w:ascii="Arial" w:eastAsia="Times New Roman" w:hAnsi="Arial" w:cs="Arial"/>
          <w:sz w:val="24"/>
          <w:szCs w:val="24"/>
          <w:lang w:eastAsia="en-GB"/>
        </w:rPr>
        <w:t xml:space="preserve">, H.G., Viola M., </w:t>
      </w:r>
      <w:proofErr w:type="spellStart"/>
      <w:r w:rsidRPr="009C66F9">
        <w:rPr>
          <w:rFonts w:ascii="Arial" w:eastAsia="Times New Roman" w:hAnsi="Arial" w:cs="Arial"/>
          <w:sz w:val="24"/>
          <w:szCs w:val="24"/>
          <w:lang w:eastAsia="en-GB"/>
        </w:rPr>
        <w:t>Maciejewski</w:t>
      </w:r>
      <w:proofErr w:type="spellEnd"/>
      <w:r w:rsidRPr="009C66F9">
        <w:rPr>
          <w:rFonts w:ascii="Arial" w:eastAsia="Times New Roman" w:hAnsi="Arial" w:cs="Arial"/>
          <w:sz w:val="24"/>
          <w:szCs w:val="24"/>
          <w:lang w:eastAsia="en-GB"/>
        </w:rPr>
        <w:t xml:space="preserve">, P. and </w:t>
      </w:r>
      <w:proofErr w:type="spellStart"/>
      <w:r w:rsidRPr="009C66F9">
        <w:rPr>
          <w:rFonts w:ascii="Arial" w:eastAsia="Times New Roman" w:hAnsi="Arial" w:cs="Arial"/>
          <w:sz w:val="24"/>
          <w:szCs w:val="24"/>
          <w:lang w:eastAsia="en-GB"/>
        </w:rPr>
        <w:t>Falzarano</w:t>
      </w:r>
      <w:proofErr w:type="spellEnd"/>
      <w:r w:rsidRPr="009C66F9">
        <w:rPr>
          <w:rFonts w:ascii="Arial" w:eastAsia="Times New Roman" w:hAnsi="Arial" w:cs="Arial"/>
          <w:sz w:val="24"/>
          <w:szCs w:val="24"/>
          <w:lang w:eastAsia="en-GB"/>
        </w:rPr>
        <w:t xml:space="preserve">, F. (2023) ‘Advance care planning (ACP) to promote receipt of value-concordant care: Results vary according to patient priorities’, </w:t>
      </w:r>
      <w:r w:rsidRPr="009C66F9">
        <w:rPr>
          <w:rFonts w:ascii="Arial" w:eastAsia="Times New Roman" w:hAnsi="Arial" w:cs="Arial"/>
          <w:i/>
          <w:iCs/>
          <w:sz w:val="24"/>
          <w:szCs w:val="24"/>
          <w:lang w:eastAsia="en-GB"/>
        </w:rPr>
        <w:t>Public Library of Science ONE</w:t>
      </w:r>
      <w:r w:rsidRPr="009C66F9">
        <w:rPr>
          <w:rFonts w:ascii="Arial" w:eastAsia="Times New Roman" w:hAnsi="Arial" w:cs="Arial"/>
          <w:sz w:val="24"/>
          <w:szCs w:val="24"/>
          <w:lang w:eastAsia="en-GB"/>
        </w:rPr>
        <w:t>, 18(1), pp. e0280197. Available at: https://doi.org/10.1371/journal.pone.0280197</w:t>
      </w:r>
    </w:p>
    <w:p w14:paraId="72AA9721"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Rotenstein</w:t>
      </w:r>
      <w:proofErr w:type="spellEnd"/>
      <w:r w:rsidRPr="009C66F9">
        <w:rPr>
          <w:rFonts w:ascii="Arial" w:eastAsia="Times New Roman" w:hAnsi="Arial" w:cs="Arial"/>
          <w:sz w:val="24"/>
          <w:szCs w:val="24"/>
          <w:lang w:eastAsia="en-GB"/>
        </w:rPr>
        <w:t xml:space="preserve">, L., Wang, L., </w:t>
      </w:r>
      <w:proofErr w:type="spellStart"/>
      <w:r w:rsidRPr="009C66F9">
        <w:rPr>
          <w:rFonts w:ascii="Arial" w:eastAsia="Times New Roman" w:hAnsi="Arial" w:cs="Arial"/>
          <w:sz w:val="24"/>
          <w:szCs w:val="24"/>
          <w:lang w:eastAsia="en-GB"/>
        </w:rPr>
        <w:t>Zupanc</w:t>
      </w:r>
      <w:proofErr w:type="spellEnd"/>
      <w:r w:rsidRPr="009C66F9">
        <w:rPr>
          <w:rFonts w:ascii="Arial" w:eastAsia="Times New Roman" w:hAnsi="Arial" w:cs="Arial"/>
          <w:sz w:val="24"/>
          <w:szCs w:val="24"/>
          <w:lang w:eastAsia="en-GB"/>
        </w:rPr>
        <w:t xml:space="preserve">, S., </w:t>
      </w:r>
      <w:proofErr w:type="spellStart"/>
      <w:r w:rsidRPr="009C66F9">
        <w:rPr>
          <w:rFonts w:ascii="Arial" w:eastAsia="Times New Roman" w:hAnsi="Arial" w:cs="Arial"/>
          <w:sz w:val="24"/>
          <w:szCs w:val="24"/>
          <w:lang w:eastAsia="en-GB"/>
        </w:rPr>
        <w:t>Penumarthy</w:t>
      </w:r>
      <w:proofErr w:type="spellEnd"/>
      <w:r w:rsidRPr="009C66F9">
        <w:rPr>
          <w:rFonts w:ascii="Arial" w:eastAsia="Times New Roman" w:hAnsi="Arial" w:cs="Arial"/>
          <w:sz w:val="24"/>
          <w:szCs w:val="24"/>
          <w:lang w:eastAsia="en-GB"/>
        </w:rPr>
        <w:t xml:space="preserve">, A., </w:t>
      </w:r>
      <w:proofErr w:type="spellStart"/>
      <w:r w:rsidRPr="009C66F9">
        <w:rPr>
          <w:rFonts w:ascii="Arial" w:eastAsia="Times New Roman" w:hAnsi="Arial" w:cs="Arial"/>
          <w:sz w:val="24"/>
          <w:szCs w:val="24"/>
          <w:lang w:eastAsia="en-GB"/>
        </w:rPr>
        <w:t>Laurentiev</w:t>
      </w:r>
      <w:proofErr w:type="spellEnd"/>
      <w:r w:rsidRPr="009C66F9">
        <w:rPr>
          <w:rFonts w:ascii="Arial" w:eastAsia="Times New Roman" w:hAnsi="Arial" w:cs="Arial"/>
          <w:sz w:val="24"/>
          <w:szCs w:val="24"/>
          <w:lang w:eastAsia="en-GB"/>
        </w:rPr>
        <w:t xml:space="preserve">, J., </w:t>
      </w:r>
      <w:proofErr w:type="spellStart"/>
      <w:r w:rsidRPr="009C66F9">
        <w:rPr>
          <w:rFonts w:ascii="Arial" w:eastAsia="Times New Roman" w:hAnsi="Arial" w:cs="Arial"/>
          <w:sz w:val="24"/>
          <w:szCs w:val="24"/>
          <w:lang w:eastAsia="en-GB"/>
        </w:rPr>
        <w:t>Lamey</w:t>
      </w:r>
      <w:proofErr w:type="spellEnd"/>
      <w:r w:rsidRPr="009C66F9">
        <w:rPr>
          <w:rFonts w:ascii="Arial" w:eastAsia="Times New Roman" w:hAnsi="Arial" w:cs="Arial"/>
          <w:sz w:val="24"/>
          <w:szCs w:val="24"/>
          <w:lang w:eastAsia="en-GB"/>
        </w:rPr>
        <w:t xml:space="preserve">, J., Farah, S., Lipsitz, S., Jain, N., Bates, D., Zhou, L. and Lakin, J. (2024) ‘Looking beyond Mortality Prediction: Primary Care Physician Views of Patients’ Palliative Care Needs Predicted by a Machine Learning Tool’, </w:t>
      </w:r>
      <w:r w:rsidRPr="009C66F9">
        <w:rPr>
          <w:rFonts w:ascii="Arial" w:eastAsia="Times New Roman" w:hAnsi="Arial" w:cs="Arial"/>
          <w:i/>
          <w:iCs/>
          <w:sz w:val="24"/>
          <w:szCs w:val="24"/>
          <w:lang w:eastAsia="en-GB"/>
        </w:rPr>
        <w:t>Applied Clinical Informatics</w:t>
      </w:r>
      <w:r w:rsidRPr="009C66F9">
        <w:rPr>
          <w:rFonts w:ascii="Arial" w:eastAsia="Times New Roman" w:hAnsi="Arial" w:cs="Arial"/>
          <w:sz w:val="24"/>
          <w:szCs w:val="24"/>
          <w:lang w:eastAsia="en-GB"/>
        </w:rPr>
        <w:t>, 15(3), pp. 460–468. Available at: https://doi.org/10.1055/a-2309-1599</w:t>
      </w:r>
    </w:p>
    <w:p w14:paraId="1574C553" w14:textId="77777777" w:rsidR="00DE7279" w:rsidRPr="001431C2" w:rsidRDefault="00DE7279" w:rsidP="00DE7279">
      <w:pPr>
        <w:spacing w:line="240" w:lineRule="auto"/>
        <w:rPr>
          <w:rFonts w:ascii="Arial" w:hAnsi="Arial" w:cs="Arial"/>
          <w:sz w:val="24"/>
          <w:szCs w:val="24"/>
        </w:rPr>
      </w:pPr>
      <w:proofErr w:type="spellStart"/>
      <w:r>
        <w:rPr>
          <w:rFonts w:ascii="Arial" w:hAnsi="Arial" w:cs="Arial"/>
          <w:sz w:val="24"/>
          <w:szCs w:val="24"/>
        </w:rPr>
        <w:t>Rumsfold</w:t>
      </w:r>
      <w:proofErr w:type="spellEnd"/>
      <w:r>
        <w:rPr>
          <w:rFonts w:ascii="Arial" w:hAnsi="Arial" w:cs="Arial"/>
          <w:sz w:val="24"/>
          <w:szCs w:val="24"/>
        </w:rPr>
        <w:t xml:space="preserve">, D. (2002) Department of </w:t>
      </w:r>
      <w:proofErr w:type="spellStart"/>
      <w:r>
        <w:rPr>
          <w:rFonts w:ascii="Arial" w:hAnsi="Arial" w:cs="Arial"/>
          <w:sz w:val="24"/>
          <w:szCs w:val="24"/>
        </w:rPr>
        <w:t>Defense</w:t>
      </w:r>
      <w:proofErr w:type="spellEnd"/>
      <w:r>
        <w:rPr>
          <w:rFonts w:ascii="Arial" w:hAnsi="Arial" w:cs="Arial"/>
          <w:sz w:val="24"/>
          <w:szCs w:val="24"/>
        </w:rPr>
        <w:t xml:space="preserve"> News Briefing. </w:t>
      </w:r>
      <w:r w:rsidRPr="001431C2">
        <w:rPr>
          <w:rFonts w:ascii="Arial" w:hAnsi="Arial" w:cs="Arial"/>
          <w:i/>
          <w:iCs/>
          <w:sz w:val="24"/>
          <w:szCs w:val="24"/>
        </w:rPr>
        <w:t xml:space="preserve">United States Department of </w:t>
      </w:r>
      <w:proofErr w:type="spellStart"/>
      <w:r w:rsidRPr="001431C2">
        <w:rPr>
          <w:rFonts w:ascii="Arial" w:hAnsi="Arial" w:cs="Arial"/>
          <w:i/>
          <w:iCs/>
          <w:sz w:val="24"/>
          <w:szCs w:val="24"/>
        </w:rPr>
        <w:t>Defense</w:t>
      </w:r>
      <w:proofErr w:type="spellEnd"/>
      <w:r w:rsidRPr="001431C2">
        <w:rPr>
          <w:rFonts w:ascii="Arial" w:hAnsi="Arial" w:cs="Arial"/>
          <w:sz w:val="24"/>
          <w:szCs w:val="24"/>
        </w:rPr>
        <w:t xml:space="preserve">. 12 February 2002. </w:t>
      </w:r>
    </w:p>
    <w:p w14:paraId="3BC2D034" w14:textId="77777777" w:rsidR="00DE7279" w:rsidRDefault="00DE7279" w:rsidP="00DE7279">
      <w:pPr>
        <w:shd w:val="clear" w:color="auto" w:fill="FFFFFF"/>
        <w:spacing w:line="240" w:lineRule="auto"/>
        <w:rPr>
          <w:rFonts w:ascii="Arial" w:hAnsi="Arial" w:cs="Arial"/>
          <w:sz w:val="24"/>
          <w:szCs w:val="24"/>
        </w:rPr>
      </w:pPr>
      <w:r>
        <w:rPr>
          <w:rFonts w:ascii="Arial" w:hAnsi="Arial" w:cs="Arial"/>
          <w:sz w:val="24"/>
          <w:szCs w:val="24"/>
        </w:rPr>
        <w:lastRenderedPageBreak/>
        <w:t>Ruona WE. (2005) ‘</w:t>
      </w:r>
      <w:proofErr w:type="spellStart"/>
      <w:r>
        <w:rPr>
          <w:rFonts w:ascii="Arial" w:hAnsi="Arial" w:cs="Arial"/>
          <w:sz w:val="24"/>
          <w:szCs w:val="24"/>
        </w:rPr>
        <w:t>Analyzing</w:t>
      </w:r>
      <w:proofErr w:type="spellEnd"/>
      <w:r>
        <w:rPr>
          <w:rFonts w:ascii="Arial" w:hAnsi="Arial" w:cs="Arial"/>
          <w:sz w:val="24"/>
          <w:szCs w:val="24"/>
        </w:rPr>
        <w:t xml:space="preserve"> qualitative data’, in Swanson, R.A. and Elwood, F.H. (eds) </w:t>
      </w:r>
      <w:r>
        <w:rPr>
          <w:rFonts w:ascii="Arial" w:hAnsi="Arial" w:cs="Arial"/>
          <w:i/>
          <w:sz w:val="24"/>
          <w:szCs w:val="24"/>
        </w:rPr>
        <w:t>Research in organizations: Foundations and methods of inquiry</w:t>
      </w:r>
      <w:r>
        <w:rPr>
          <w:rFonts w:ascii="Arial" w:hAnsi="Arial" w:cs="Arial"/>
          <w:sz w:val="24"/>
          <w:szCs w:val="24"/>
        </w:rPr>
        <w:t>. California: Berrett-Koehler, pp. 223-263.</w:t>
      </w:r>
    </w:p>
    <w:p w14:paraId="3BBA2692" w14:textId="77777777" w:rsidR="00DE7279" w:rsidRDefault="00DE7279" w:rsidP="00DE7279">
      <w:pPr>
        <w:shd w:val="clear" w:color="auto" w:fill="FFFFFF"/>
        <w:spacing w:line="240" w:lineRule="auto"/>
        <w:rPr>
          <w:rFonts w:ascii="Arial" w:hAnsi="Arial" w:cs="Arial"/>
          <w:sz w:val="24"/>
          <w:szCs w:val="24"/>
          <w:bdr w:val="none" w:sz="0" w:space="0" w:color="auto" w:frame="1"/>
          <w:shd w:val="clear" w:color="auto" w:fill="FFFFFF"/>
        </w:rPr>
      </w:pPr>
      <w:proofErr w:type="spellStart"/>
      <w:r>
        <w:rPr>
          <w:rFonts w:ascii="Arial" w:eastAsia="Times New Roman" w:hAnsi="Arial" w:cs="Arial"/>
          <w:color w:val="231F20"/>
          <w:sz w:val="24"/>
          <w:szCs w:val="24"/>
          <w:lang w:eastAsia="en-GB"/>
        </w:rPr>
        <w:t>Ruslin</w:t>
      </w:r>
      <w:proofErr w:type="spellEnd"/>
      <w:r>
        <w:rPr>
          <w:rFonts w:ascii="Arial" w:eastAsia="Times New Roman" w:hAnsi="Arial" w:cs="Arial"/>
          <w:color w:val="231F20"/>
          <w:sz w:val="24"/>
          <w:szCs w:val="24"/>
          <w:lang w:eastAsia="en-GB"/>
        </w:rPr>
        <w:t xml:space="preserve">, R., </w:t>
      </w:r>
      <w:proofErr w:type="spellStart"/>
      <w:r>
        <w:rPr>
          <w:rFonts w:ascii="Arial" w:eastAsia="Times New Roman" w:hAnsi="Arial" w:cs="Arial"/>
          <w:color w:val="231F20"/>
          <w:sz w:val="24"/>
          <w:szCs w:val="24"/>
          <w:lang w:eastAsia="en-GB"/>
        </w:rPr>
        <w:t>Mashuri</w:t>
      </w:r>
      <w:proofErr w:type="spellEnd"/>
      <w:r>
        <w:rPr>
          <w:rFonts w:ascii="Arial" w:eastAsia="Times New Roman" w:hAnsi="Arial" w:cs="Arial"/>
          <w:color w:val="231F20"/>
          <w:sz w:val="24"/>
          <w:szCs w:val="24"/>
          <w:lang w:eastAsia="en-GB"/>
        </w:rPr>
        <w:t xml:space="preserve">, S., </w:t>
      </w:r>
      <w:proofErr w:type="spellStart"/>
      <w:r>
        <w:rPr>
          <w:rFonts w:ascii="Arial" w:eastAsia="Times New Roman" w:hAnsi="Arial" w:cs="Arial"/>
          <w:color w:val="231F20"/>
          <w:sz w:val="24"/>
          <w:szCs w:val="24"/>
          <w:lang w:eastAsia="en-GB"/>
        </w:rPr>
        <w:t>Rasak</w:t>
      </w:r>
      <w:proofErr w:type="spellEnd"/>
      <w:r>
        <w:rPr>
          <w:rFonts w:ascii="Arial" w:eastAsia="Times New Roman" w:hAnsi="Arial" w:cs="Arial"/>
          <w:color w:val="231F20"/>
          <w:sz w:val="24"/>
          <w:szCs w:val="24"/>
          <w:lang w:eastAsia="en-GB"/>
        </w:rPr>
        <w:t xml:space="preserve">, M.S.A., </w:t>
      </w:r>
      <w:proofErr w:type="spellStart"/>
      <w:r>
        <w:rPr>
          <w:rFonts w:ascii="Arial" w:eastAsia="Times New Roman" w:hAnsi="Arial" w:cs="Arial"/>
          <w:color w:val="231F20"/>
          <w:sz w:val="24"/>
          <w:szCs w:val="24"/>
          <w:lang w:eastAsia="en-GB"/>
        </w:rPr>
        <w:t>Alhabsyi</w:t>
      </w:r>
      <w:proofErr w:type="spellEnd"/>
      <w:r>
        <w:rPr>
          <w:rFonts w:ascii="Arial" w:eastAsia="Times New Roman" w:hAnsi="Arial" w:cs="Arial"/>
          <w:color w:val="231F20"/>
          <w:sz w:val="24"/>
          <w:szCs w:val="24"/>
          <w:lang w:eastAsia="en-GB"/>
        </w:rPr>
        <w:t xml:space="preserve">, F. and </w:t>
      </w:r>
      <w:proofErr w:type="spellStart"/>
      <w:r>
        <w:rPr>
          <w:rFonts w:ascii="Arial" w:eastAsia="Times New Roman" w:hAnsi="Arial" w:cs="Arial"/>
          <w:color w:val="231F20"/>
          <w:sz w:val="24"/>
          <w:szCs w:val="24"/>
          <w:lang w:eastAsia="en-GB"/>
        </w:rPr>
        <w:t>Syam</w:t>
      </w:r>
      <w:proofErr w:type="spellEnd"/>
      <w:r>
        <w:rPr>
          <w:rFonts w:ascii="Arial" w:eastAsia="Times New Roman" w:hAnsi="Arial" w:cs="Arial"/>
          <w:color w:val="231F20"/>
          <w:sz w:val="24"/>
          <w:szCs w:val="24"/>
          <w:lang w:eastAsia="en-GB"/>
        </w:rPr>
        <w:t xml:space="preserve">, H. (2022) ‘Semi-structured Interview: A Methodological Reflection on the Development of a Qualitative Research Instrument in Educational Studies’, </w:t>
      </w:r>
      <w:r>
        <w:rPr>
          <w:rFonts w:ascii="Arial" w:eastAsia="Times New Roman" w:hAnsi="Arial" w:cs="Arial"/>
          <w:i/>
          <w:color w:val="231F20"/>
          <w:sz w:val="24"/>
          <w:szCs w:val="24"/>
          <w:lang w:eastAsia="en-GB"/>
        </w:rPr>
        <w:t>IOSR Journal of Research and Method in Education</w:t>
      </w:r>
      <w:r>
        <w:rPr>
          <w:rFonts w:ascii="Arial" w:eastAsia="Times New Roman" w:hAnsi="Arial" w:cs="Arial"/>
          <w:color w:val="231F20"/>
          <w:sz w:val="24"/>
          <w:szCs w:val="24"/>
          <w:lang w:eastAsia="en-GB"/>
        </w:rPr>
        <w:t xml:space="preserve">, 12(1), pp 22-29. </w:t>
      </w:r>
      <w:r>
        <w:rPr>
          <w:rFonts w:ascii="Arial" w:hAnsi="Arial" w:cs="Arial"/>
          <w:sz w:val="24"/>
          <w:szCs w:val="24"/>
        </w:rPr>
        <w:t>h</w:t>
      </w:r>
      <w:r>
        <w:rPr>
          <w:rFonts w:ascii="Arial" w:hAnsi="Arial" w:cs="Arial"/>
          <w:sz w:val="24"/>
          <w:szCs w:val="24"/>
          <w:shd w:val="clear" w:color="auto" w:fill="FFFFFF"/>
        </w:rPr>
        <w:t>ttps://doi.org/10.</w:t>
      </w:r>
      <w:r>
        <w:rPr>
          <w:rFonts w:ascii="Arial" w:hAnsi="Arial" w:cs="Arial"/>
          <w:sz w:val="24"/>
          <w:szCs w:val="24"/>
          <w:bdr w:val="none" w:sz="0" w:space="0" w:color="auto" w:frame="1"/>
          <w:shd w:val="clear" w:color="auto" w:fill="FFFFFF"/>
        </w:rPr>
        <w:t>9790/7388-1201052229</w:t>
      </w:r>
    </w:p>
    <w:p w14:paraId="6F66740C"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Sallnow</w:t>
      </w:r>
      <w:proofErr w:type="spellEnd"/>
      <w:r w:rsidRPr="009C66F9">
        <w:rPr>
          <w:rFonts w:ascii="Arial" w:eastAsia="Times New Roman" w:hAnsi="Arial" w:cs="Arial"/>
          <w:sz w:val="24"/>
          <w:szCs w:val="24"/>
          <w:lang w:eastAsia="en-GB"/>
        </w:rPr>
        <w:t xml:space="preserve">, L., Smith, R., </w:t>
      </w:r>
      <w:proofErr w:type="spellStart"/>
      <w:r w:rsidRPr="009C66F9">
        <w:rPr>
          <w:rFonts w:ascii="Arial" w:eastAsia="Times New Roman" w:hAnsi="Arial" w:cs="Arial"/>
          <w:sz w:val="24"/>
          <w:szCs w:val="24"/>
          <w:lang w:eastAsia="en-GB"/>
        </w:rPr>
        <w:t>Ahmedzai</w:t>
      </w:r>
      <w:proofErr w:type="spellEnd"/>
      <w:r w:rsidRPr="009C66F9">
        <w:rPr>
          <w:rFonts w:ascii="Arial" w:eastAsia="Times New Roman" w:hAnsi="Arial" w:cs="Arial"/>
          <w:sz w:val="24"/>
          <w:szCs w:val="24"/>
          <w:lang w:eastAsia="en-GB"/>
        </w:rPr>
        <w:t xml:space="preserve">, S., </w:t>
      </w:r>
      <w:proofErr w:type="spellStart"/>
      <w:r w:rsidRPr="009C66F9">
        <w:rPr>
          <w:rFonts w:ascii="Arial" w:eastAsia="Times New Roman" w:hAnsi="Arial" w:cs="Arial"/>
          <w:sz w:val="24"/>
          <w:szCs w:val="24"/>
          <w:lang w:eastAsia="en-GB"/>
        </w:rPr>
        <w:t>Bhadelia</w:t>
      </w:r>
      <w:proofErr w:type="spellEnd"/>
      <w:r w:rsidRPr="009C66F9">
        <w:rPr>
          <w:rFonts w:ascii="Arial" w:eastAsia="Times New Roman" w:hAnsi="Arial" w:cs="Arial"/>
          <w:sz w:val="24"/>
          <w:szCs w:val="24"/>
          <w:lang w:eastAsia="en-GB"/>
        </w:rPr>
        <w:t xml:space="preserve">, A., Chamberlain, C., Cong, Y., Doble, B., </w:t>
      </w:r>
      <w:proofErr w:type="spellStart"/>
      <w:r w:rsidRPr="009C66F9">
        <w:rPr>
          <w:rFonts w:ascii="Arial" w:eastAsia="Times New Roman" w:hAnsi="Arial" w:cs="Arial"/>
          <w:sz w:val="24"/>
          <w:szCs w:val="24"/>
          <w:lang w:eastAsia="en-GB"/>
        </w:rPr>
        <w:t>Dullie</w:t>
      </w:r>
      <w:proofErr w:type="spellEnd"/>
      <w:r w:rsidRPr="009C66F9">
        <w:rPr>
          <w:rFonts w:ascii="Arial" w:eastAsia="Times New Roman" w:hAnsi="Arial" w:cs="Arial"/>
          <w:sz w:val="24"/>
          <w:szCs w:val="24"/>
          <w:lang w:eastAsia="en-GB"/>
        </w:rPr>
        <w:t xml:space="preserve">, L., Durie, R., Finkelstein, E., </w:t>
      </w:r>
      <w:proofErr w:type="spellStart"/>
      <w:r w:rsidRPr="009C66F9">
        <w:rPr>
          <w:rFonts w:ascii="Arial" w:eastAsia="Times New Roman" w:hAnsi="Arial" w:cs="Arial"/>
          <w:sz w:val="24"/>
          <w:szCs w:val="24"/>
          <w:lang w:eastAsia="en-GB"/>
        </w:rPr>
        <w:t>Guglani</w:t>
      </w:r>
      <w:proofErr w:type="spellEnd"/>
      <w:r w:rsidRPr="009C66F9">
        <w:rPr>
          <w:rFonts w:ascii="Arial" w:eastAsia="Times New Roman" w:hAnsi="Arial" w:cs="Arial"/>
          <w:sz w:val="24"/>
          <w:szCs w:val="24"/>
          <w:lang w:eastAsia="en-GB"/>
        </w:rPr>
        <w:t xml:space="preserve">, S., Hodson, M., </w:t>
      </w:r>
      <w:proofErr w:type="spellStart"/>
      <w:r w:rsidRPr="009C66F9">
        <w:rPr>
          <w:rFonts w:ascii="Arial" w:eastAsia="Times New Roman" w:hAnsi="Arial" w:cs="Arial"/>
          <w:sz w:val="24"/>
          <w:szCs w:val="24"/>
          <w:lang w:eastAsia="en-GB"/>
        </w:rPr>
        <w:t>Husebo</w:t>
      </w:r>
      <w:proofErr w:type="spellEnd"/>
      <w:r w:rsidRPr="009C66F9">
        <w:rPr>
          <w:rFonts w:ascii="Arial" w:eastAsia="Times New Roman" w:hAnsi="Arial" w:cs="Arial"/>
          <w:sz w:val="24"/>
          <w:szCs w:val="24"/>
          <w:lang w:eastAsia="en-GB"/>
        </w:rPr>
        <w:t xml:space="preserve">, B., </w:t>
      </w:r>
      <w:proofErr w:type="spellStart"/>
      <w:r w:rsidRPr="009C66F9">
        <w:rPr>
          <w:rFonts w:ascii="Arial" w:eastAsia="Times New Roman" w:hAnsi="Arial" w:cs="Arial"/>
          <w:sz w:val="24"/>
          <w:szCs w:val="24"/>
          <w:lang w:eastAsia="en-GB"/>
        </w:rPr>
        <w:t>Kellehear</w:t>
      </w:r>
      <w:proofErr w:type="spellEnd"/>
      <w:r w:rsidRPr="009C66F9">
        <w:rPr>
          <w:rFonts w:ascii="Arial" w:eastAsia="Times New Roman" w:hAnsi="Arial" w:cs="Arial"/>
          <w:sz w:val="24"/>
          <w:szCs w:val="24"/>
          <w:lang w:eastAsia="en-GB"/>
        </w:rPr>
        <w:t xml:space="preserve">, A., Kitzinger, C., Knaul, F., Murray, S., Neuberger, J., </w:t>
      </w:r>
      <w:proofErr w:type="spellStart"/>
      <w:r w:rsidRPr="009C66F9">
        <w:rPr>
          <w:rFonts w:ascii="Arial" w:eastAsia="Times New Roman" w:hAnsi="Arial" w:cs="Arial"/>
          <w:sz w:val="24"/>
          <w:szCs w:val="24"/>
          <w:lang w:eastAsia="en-GB"/>
        </w:rPr>
        <w:t>O’Mahony</w:t>
      </w:r>
      <w:proofErr w:type="spellEnd"/>
      <w:r w:rsidRPr="009C66F9">
        <w:rPr>
          <w:rFonts w:ascii="Arial" w:eastAsia="Times New Roman" w:hAnsi="Arial" w:cs="Arial"/>
          <w:sz w:val="24"/>
          <w:szCs w:val="24"/>
          <w:lang w:eastAsia="en-GB"/>
        </w:rPr>
        <w:t xml:space="preserve">, S., </w:t>
      </w:r>
      <w:proofErr w:type="spellStart"/>
      <w:r w:rsidRPr="009C66F9">
        <w:rPr>
          <w:rFonts w:ascii="Arial" w:eastAsia="Times New Roman" w:hAnsi="Arial" w:cs="Arial"/>
          <w:sz w:val="24"/>
          <w:szCs w:val="24"/>
          <w:lang w:eastAsia="en-GB"/>
        </w:rPr>
        <w:t>rajagopal</w:t>
      </w:r>
      <w:proofErr w:type="spellEnd"/>
      <w:r w:rsidRPr="009C66F9">
        <w:rPr>
          <w:rFonts w:ascii="Arial" w:eastAsia="Times New Roman" w:hAnsi="Arial" w:cs="Arial"/>
          <w:sz w:val="24"/>
          <w:szCs w:val="24"/>
          <w:lang w:eastAsia="en-GB"/>
        </w:rPr>
        <w:t xml:space="preserve">, M., Russell, S., </w:t>
      </w:r>
      <w:proofErr w:type="spellStart"/>
      <w:r w:rsidRPr="009C66F9">
        <w:rPr>
          <w:rFonts w:ascii="Arial" w:eastAsia="Times New Roman" w:hAnsi="Arial" w:cs="Arial"/>
          <w:sz w:val="24"/>
          <w:szCs w:val="24"/>
          <w:lang w:eastAsia="en-GB"/>
        </w:rPr>
        <w:t>Sase</w:t>
      </w:r>
      <w:proofErr w:type="spellEnd"/>
      <w:r w:rsidRPr="009C66F9">
        <w:rPr>
          <w:rFonts w:ascii="Arial" w:eastAsia="Times New Roman" w:hAnsi="Arial" w:cs="Arial"/>
          <w:sz w:val="24"/>
          <w:szCs w:val="24"/>
          <w:lang w:eastAsia="en-GB"/>
        </w:rPr>
        <w:t xml:space="preserve">, E., </w:t>
      </w:r>
      <w:proofErr w:type="spellStart"/>
      <w:r w:rsidRPr="009C66F9">
        <w:rPr>
          <w:rFonts w:ascii="Arial" w:eastAsia="Times New Roman" w:hAnsi="Arial" w:cs="Arial"/>
          <w:sz w:val="24"/>
          <w:szCs w:val="24"/>
          <w:lang w:eastAsia="en-GB"/>
        </w:rPr>
        <w:t>Sleeman</w:t>
      </w:r>
      <w:proofErr w:type="spellEnd"/>
      <w:r w:rsidRPr="009C66F9">
        <w:rPr>
          <w:rFonts w:ascii="Arial" w:eastAsia="Times New Roman" w:hAnsi="Arial" w:cs="Arial"/>
          <w:sz w:val="24"/>
          <w:szCs w:val="24"/>
          <w:lang w:eastAsia="en-GB"/>
        </w:rPr>
        <w:t xml:space="preserve">, K., Solomon, S., Taylor, R., Tutu van Furth, M. and Wyatt, K. (2022) ‘Report of the Lancet Commission on the Value of Death: bringing death back into life’, </w:t>
      </w:r>
      <w:r w:rsidRPr="009C66F9">
        <w:rPr>
          <w:rFonts w:ascii="Arial" w:eastAsia="Times New Roman" w:hAnsi="Arial" w:cs="Arial"/>
          <w:i/>
          <w:iCs/>
          <w:sz w:val="24"/>
          <w:szCs w:val="24"/>
          <w:lang w:eastAsia="en-GB"/>
        </w:rPr>
        <w:t>The Lancet</w:t>
      </w:r>
      <w:r w:rsidRPr="009C66F9">
        <w:rPr>
          <w:rFonts w:ascii="Arial" w:eastAsia="Times New Roman" w:hAnsi="Arial" w:cs="Arial"/>
          <w:sz w:val="24"/>
          <w:szCs w:val="24"/>
          <w:lang w:eastAsia="en-GB"/>
        </w:rPr>
        <w:t>, 399(10327), pp. 837–884. Available at: https://doi.org/10.1016/S0140-6736(21)02314-X</w:t>
      </w:r>
    </w:p>
    <w:p w14:paraId="487ED55D" w14:textId="77777777" w:rsidR="00DE7279" w:rsidRDefault="00DE7279" w:rsidP="00DE7279">
      <w:pPr>
        <w:spacing w:line="240" w:lineRule="auto"/>
        <w:rPr>
          <w:rFonts w:ascii="Arial" w:hAnsi="Arial" w:cs="Arial"/>
          <w:sz w:val="24"/>
          <w:szCs w:val="24"/>
        </w:rPr>
      </w:pPr>
      <w:r>
        <w:rPr>
          <w:rFonts w:ascii="Arial" w:hAnsi="Arial" w:cs="Arial"/>
          <w:color w:val="000000"/>
          <w:sz w:val="24"/>
          <w:szCs w:val="24"/>
          <w:shd w:val="clear" w:color="auto" w:fill="FFFFFF"/>
        </w:rPr>
        <w:t xml:space="preserve">Saunders, M., Lewis, P., &amp; Thornhill, A. (2007) </w:t>
      </w:r>
      <w:r>
        <w:rPr>
          <w:rFonts w:ascii="Arial" w:hAnsi="Arial" w:cs="Arial"/>
          <w:i/>
          <w:color w:val="000000"/>
          <w:sz w:val="24"/>
          <w:szCs w:val="24"/>
          <w:shd w:val="clear" w:color="auto" w:fill="FFFFFF"/>
        </w:rPr>
        <w:t>Research methods for </w:t>
      </w:r>
      <w:r>
        <w:rPr>
          <w:rFonts w:ascii="Arial" w:hAnsi="Arial" w:cs="Arial"/>
          <w:i/>
          <w:iCs/>
          <w:color w:val="000000"/>
          <w:sz w:val="24"/>
          <w:szCs w:val="24"/>
          <w:bdr w:val="none" w:sz="0" w:space="0" w:color="auto" w:frame="1"/>
          <w:shd w:val="clear" w:color="auto" w:fill="FFFFFF"/>
        </w:rPr>
        <w:t>Business Students</w:t>
      </w:r>
      <w:r>
        <w:rPr>
          <w:rFonts w:ascii="Arial" w:hAnsi="Arial" w:cs="Arial"/>
          <w:iCs/>
          <w:color w:val="000000"/>
          <w:sz w:val="24"/>
          <w:szCs w:val="24"/>
          <w:bdr w:val="none" w:sz="0" w:space="0" w:color="auto" w:frame="1"/>
          <w:shd w:val="clear" w:color="auto" w:fill="FFFFFF"/>
        </w:rPr>
        <w:t>. 4</w:t>
      </w:r>
      <w:r>
        <w:rPr>
          <w:rFonts w:ascii="Arial" w:hAnsi="Arial" w:cs="Arial"/>
          <w:iCs/>
          <w:color w:val="000000"/>
          <w:sz w:val="24"/>
          <w:szCs w:val="24"/>
          <w:bdr w:val="none" w:sz="0" w:space="0" w:color="auto" w:frame="1"/>
          <w:shd w:val="clear" w:color="auto" w:fill="FFFFFF"/>
          <w:vertAlign w:val="superscript"/>
        </w:rPr>
        <w:t>th</w:t>
      </w:r>
      <w:r>
        <w:rPr>
          <w:rFonts w:ascii="Arial" w:hAnsi="Arial" w:cs="Arial"/>
          <w:iCs/>
          <w:color w:val="000000"/>
          <w:sz w:val="24"/>
          <w:szCs w:val="24"/>
          <w:bdr w:val="none" w:sz="0" w:space="0" w:color="auto" w:frame="1"/>
          <w:shd w:val="clear" w:color="auto" w:fill="FFFFFF"/>
        </w:rPr>
        <w:t xml:space="preserve"> edition. Madrid: Pearson Education</w:t>
      </w:r>
      <w:r>
        <w:rPr>
          <w:rFonts w:ascii="Arial" w:hAnsi="Arial" w:cs="Arial"/>
          <w:color w:val="000000"/>
          <w:sz w:val="24"/>
          <w:szCs w:val="24"/>
          <w:shd w:val="clear" w:color="auto" w:fill="FFFFFF"/>
        </w:rPr>
        <w:t>.</w:t>
      </w:r>
    </w:p>
    <w:p w14:paraId="44CC24EE" w14:textId="77777777" w:rsidR="00DE7279" w:rsidRDefault="00DE7279" w:rsidP="00DE7279">
      <w:pPr>
        <w:shd w:val="clear" w:color="auto" w:fill="FFFFFF"/>
        <w:spacing w:line="240" w:lineRule="auto"/>
        <w:rPr>
          <w:rFonts w:ascii="Arial" w:eastAsia="Times New Roman" w:hAnsi="Arial" w:cs="Arial"/>
          <w:color w:val="231F20"/>
          <w:sz w:val="24"/>
          <w:szCs w:val="24"/>
          <w:lang w:eastAsia="en-GB"/>
        </w:rPr>
      </w:pPr>
      <w:r>
        <w:rPr>
          <w:rFonts w:ascii="Arial" w:eastAsia="Times New Roman" w:hAnsi="Arial" w:cs="Arial"/>
          <w:color w:val="231F20"/>
          <w:sz w:val="24"/>
          <w:szCs w:val="24"/>
          <w:lang w:eastAsia="en-GB"/>
        </w:rPr>
        <w:t xml:space="preserve">Saunders, M.N.K., Lewis, P., and Thornhill, A. (2019). </w:t>
      </w:r>
      <w:r>
        <w:rPr>
          <w:rFonts w:ascii="Arial" w:eastAsia="Times New Roman" w:hAnsi="Arial" w:cs="Arial"/>
          <w:i/>
          <w:color w:val="231F20"/>
          <w:sz w:val="24"/>
          <w:szCs w:val="24"/>
          <w:lang w:eastAsia="en-GB"/>
        </w:rPr>
        <w:t>Research Methods for Business Students</w:t>
      </w:r>
      <w:r>
        <w:rPr>
          <w:rFonts w:ascii="Arial" w:eastAsia="Times New Roman" w:hAnsi="Arial" w:cs="Arial"/>
          <w:color w:val="231F20"/>
          <w:sz w:val="24"/>
          <w:szCs w:val="24"/>
          <w:lang w:eastAsia="en-GB"/>
        </w:rPr>
        <w:t>. 8</w:t>
      </w:r>
      <w:r>
        <w:rPr>
          <w:rFonts w:ascii="Arial" w:eastAsia="Times New Roman" w:hAnsi="Arial" w:cs="Arial"/>
          <w:color w:val="231F20"/>
          <w:sz w:val="24"/>
          <w:szCs w:val="24"/>
          <w:vertAlign w:val="superscript"/>
          <w:lang w:eastAsia="en-GB"/>
        </w:rPr>
        <w:t>th</w:t>
      </w:r>
      <w:r>
        <w:rPr>
          <w:rFonts w:ascii="Arial" w:eastAsia="Times New Roman" w:hAnsi="Arial" w:cs="Arial"/>
          <w:color w:val="231F20"/>
          <w:sz w:val="24"/>
          <w:szCs w:val="24"/>
          <w:lang w:eastAsia="en-GB"/>
        </w:rPr>
        <w:t xml:space="preserve"> edition. London: Pearson Education</w:t>
      </w:r>
    </w:p>
    <w:p w14:paraId="21E4D36D" w14:textId="77777777" w:rsidR="00946A75" w:rsidRDefault="00946A75" w:rsidP="00946A75">
      <w:pPr>
        <w:rPr>
          <w:rFonts w:ascii="Arial" w:hAnsi="Arial" w:cs="Arial"/>
          <w:sz w:val="24"/>
          <w:szCs w:val="24"/>
        </w:rPr>
      </w:pPr>
      <w:r>
        <w:rPr>
          <w:rFonts w:ascii="Arial" w:hAnsi="Arial" w:cs="Arial"/>
          <w:sz w:val="24"/>
          <w:szCs w:val="24"/>
        </w:rPr>
        <w:t xml:space="preserve">Schwartz, B. (2005) </w:t>
      </w:r>
      <w:r>
        <w:rPr>
          <w:rFonts w:ascii="Arial" w:hAnsi="Arial" w:cs="Arial"/>
          <w:i/>
          <w:iCs/>
          <w:sz w:val="24"/>
          <w:szCs w:val="24"/>
        </w:rPr>
        <w:t>The Paradox of Choice: why more is less</w:t>
      </w:r>
      <w:r>
        <w:rPr>
          <w:rFonts w:ascii="Arial" w:hAnsi="Arial" w:cs="Arial"/>
          <w:sz w:val="24"/>
          <w:szCs w:val="24"/>
        </w:rPr>
        <w:t>. New York: HarperCollins Publisher Inc.</w:t>
      </w:r>
    </w:p>
    <w:p w14:paraId="66B197A0" w14:textId="77777777" w:rsidR="00DE7279" w:rsidRPr="00300F4F" w:rsidRDefault="00DE7279" w:rsidP="00DE7279">
      <w:pPr>
        <w:rPr>
          <w:rFonts w:ascii="Arial" w:hAnsi="Arial" w:cs="Arial"/>
          <w:sz w:val="24"/>
          <w:szCs w:val="24"/>
        </w:rPr>
      </w:pPr>
      <w:r w:rsidRPr="00300F4F">
        <w:rPr>
          <w:rFonts w:ascii="Arial" w:hAnsi="Arial" w:cs="Arial"/>
          <w:sz w:val="24"/>
          <w:szCs w:val="24"/>
        </w:rPr>
        <w:t>SPICT (2025) ‘</w:t>
      </w:r>
      <w:r w:rsidRPr="00300F4F">
        <w:rPr>
          <w:rFonts w:ascii="Arial" w:hAnsi="Arial" w:cs="Arial"/>
          <w:i/>
          <w:sz w:val="24"/>
          <w:szCs w:val="24"/>
        </w:rPr>
        <w:t>Supportive and Palliative Care Indicators Tool</w:t>
      </w:r>
      <w:r w:rsidRPr="00300F4F">
        <w:rPr>
          <w:rFonts w:ascii="Arial" w:hAnsi="Arial" w:cs="Arial"/>
          <w:sz w:val="24"/>
          <w:szCs w:val="24"/>
        </w:rPr>
        <w:t>’. Available at https://www.spict.org.uk/the-spict (Accessed 3 March 2025)</w:t>
      </w:r>
    </w:p>
    <w:p w14:paraId="4612B4CF" w14:textId="77777777" w:rsidR="00DE7279" w:rsidRPr="009C66F9" w:rsidRDefault="00DE7279" w:rsidP="00DE7279">
      <w:pPr>
        <w:spacing w:line="240" w:lineRule="auto"/>
        <w:rPr>
          <w:rFonts w:ascii="Arial" w:eastAsia="Times New Roman" w:hAnsi="Arial" w:cs="Arial"/>
          <w:sz w:val="24"/>
          <w:szCs w:val="24"/>
          <w:lang w:eastAsia="en-GB"/>
        </w:rPr>
      </w:pPr>
      <w:r w:rsidRPr="009C66F9">
        <w:rPr>
          <w:rFonts w:ascii="Arial" w:eastAsia="Times New Roman" w:hAnsi="Arial" w:cs="Arial"/>
          <w:sz w:val="24"/>
          <w:szCs w:val="24"/>
          <w:lang w:eastAsia="en-GB"/>
        </w:rPr>
        <w:t xml:space="preserve">Srivastava, R. and Srivastava, S. (2023) ‘Can Artificial Intelligence aid communication? Considering the possibilities of GPT-3 in Palliative care’, </w:t>
      </w:r>
      <w:r w:rsidRPr="009C66F9">
        <w:rPr>
          <w:rFonts w:ascii="Arial" w:eastAsia="Times New Roman" w:hAnsi="Arial" w:cs="Arial"/>
          <w:i/>
          <w:iCs/>
          <w:sz w:val="24"/>
          <w:szCs w:val="24"/>
          <w:lang w:eastAsia="en-GB"/>
        </w:rPr>
        <w:t>Indian Journal of Palliative Care</w:t>
      </w:r>
      <w:r w:rsidRPr="009C66F9">
        <w:rPr>
          <w:rFonts w:ascii="Arial" w:eastAsia="Times New Roman" w:hAnsi="Arial" w:cs="Arial"/>
          <w:sz w:val="24"/>
          <w:szCs w:val="24"/>
          <w:lang w:eastAsia="en-GB"/>
        </w:rPr>
        <w:t>, 29(4), pp. 418–425. Available at: https://doi.org/10.25259/IJPC_155_2023</w:t>
      </w:r>
    </w:p>
    <w:p w14:paraId="56AF4150" w14:textId="77777777" w:rsidR="00DE7279" w:rsidRPr="00D42156" w:rsidRDefault="00DE7279" w:rsidP="00DE7279">
      <w:pPr>
        <w:rPr>
          <w:rFonts w:ascii="Arial" w:hAnsi="Arial" w:cs="Arial"/>
          <w:sz w:val="24"/>
          <w:szCs w:val="24"/>
        </w:rPr>
      </w:pPr>
      <w:r w:rsidRPr="00D42156">
        <w:rPr>
          <w:rFonts w:ascii="Arial" w:hAnsi="Arial" w:cs="Arial"/>
          <w:sz w:val="24"/>
          <w:szCs w:val="24"/>
        </w:rPr>
        <w:t xml:space="preserve">Statista (2025) </w:t>
      </w:r>
      <w:r w:rsidRPr="00D42156">
        <w:rPr>
          <w:rFonts w:ascii="Arial" w:hAnsi="Arial" w:cs="Arial"/>
          <w:i/>
          <w:sz w:val="24"/>
          <w:szCs w:val="24"/>
        </w:rPr>
        <w:t>Crude death rate in the United Kingdom from 1953 to 2021</w:t>
      </w:r>
      <w:r w:rsidRPr="00D42156">
        <w:rPr>
          <w:rFonts w:ascii="Arial" w:hAnsi="Arial" w:cs="Arial"/>
          <w:sz w:val="24"/>
          <w:szCs w:val="24"/>
        </w:rPr>
        <w:t>. Available at: https://www.statista.com/statistics/281478/death-rate-united-kingdom-uk (Accessed 20 March 2025)</w:t>
      </w:r>
    </w:p>
    <w:p w14:paraId="1C698B48" w14:textId="77777777" w:rsidR="00DE7279" w:rsidRPr="00300F4F" w:rsidRDefault="00DE7279" w:rsidP="00DE7279">
      <w:pPr>
        <w:rPr>
          <w:rFonts w:ascii="Arial" w:hAnsi="Arial" w:cs="Arial"/>
          <w:sz w:val="24"/>
          <w:szCs w:val="24"/>
        </w:rPr>
      </w:pPr>
      <w:proofErr w:type="spellStart"/>
      <w:r w:rsidRPr="00300F4F">
        <w:rPr>
          <w:rFonts w:ascii="Arial" w:hAnsi="Arial" w:cs="Arial"/>
          <w:sz w:val="24"/>
          <w:szCs w:val="24"/>
        </w:rPr>
        <w:t>StatsWales</w:t>
      </w:r>
      <w:proofErr w:type="spellEnd"/>
      <w:r w:rsidRPr="00300F4F">
        <w:rPr>
          <w:rFonts w:ascii="Arial" w:hAnsi="Arial" w:cs="Arial"/>
          <w:sz w:val="24"/>
          <w:szCs w:val="24"/>
        </w:rPr>
        <w:t xml:space="preserve"> (2021) ‘</w:t>
      </w:r>
      <w:r w:rsidRPr="00300F4F">
        <w:rPr>
          <w:rFonts w:ascii="Arial" w:hAnsi="Arial" w:cs="Arial"/>
          <w:i/>
          <w:sz w:val="24"/>
          <w:szCs w:val="24"/>
        </w:rPr>
        <w:t>Welsh Index of Multiple Deprivation</w:t>
      </w:r>
      <w:r w:rsidRPr="00300F4F">
        <w:rPr>
          <w:rFonts w:ascii="Arial" w:hAnsi="Arial" w:cs="Arial"/>
          <w:sz w:val="24"/>
          <w:szCs w:val="24"/>
        </w:rPr>
        <w:t>’. Available at: https://statswales.gov.wales/Catalogue/Community-Safety-and-Social-Inclusion/Welsh-Index-of-Multiple-Deprivation (Accessed 08 March 2025)</w:t>
      </w:r>
    </w:p>
    <w:p w14:paraId="18110E3E"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Storick</w:t>
      </w:r>
      <w:proofErr w:type="spellEnd"/>
      <w:r w:rsidRPr="009C66F9">
        <w:rPr>
          <w:rFonts w:ascii="Arial" w:eastAsia="Times New Roman" w:hAnsi="Arial" w:cs="Arial"/>
          <w:sz w:val="24"/>
          <w:szCs w:val="24"/>
          <w:lang w:eastAsia="en-GB"/>
        </w:rPr>
        <w:t xml:space="preserve">, V., </w:t>
      </w:r>
      <w:proofErr w:type="spellStart"/>
      <w:r w:rsidRPr="009C66F9">
        <w:rPr>
          <w:rFonts w:ascii="Arial" w:eastAsia="Times New Roman" w:hAnsi="Arial" w:cs="Arial"/>
          <w:sz w:val="24"/>
          <w:szCs w:val="24"/>
          <w:lang w:eastAsia="en-GB"/>
        </w:rPr>
        <w:t>O’Herlihy</w:t>
      </w:r>
      <w:proofErr w:type="spellEnd"/>
      <w:r w:rsidRPr="009C66F9">
        <w:rPr>
          <w:rFonts w:ascii="Arial" w:eastAsia="Times New Roman" w:hAnsi="Arial" w:cs="Arial"/>
          <w:sz w:val="24"/>
          <w:szCs w:val="24"/>
          <w:lang w:eastAsia="en-GB"/>
        </w:rPr>
        <w:t xml:space="preserve">, A., </w:t>
      </w:r>
      <w:proofErr w:type="spellStart"/>
      <w:r w:rsidRPr="009C66F9">
        <w:rPr>
          <w:rFonts w:ascii="Arial" w:eastAsia="Times New Roman" w:hAnsi="Arial" w:cs="Arial"/>
          <w:sz w:val="24"/>
          <w:szCs w:val="24"/>
          <w:lang w:eastAsia="en-GB"/>
        </w:rPr>
        <w:t>Abdelhafeez</w:t>
      </w:r>
      <w:proofErr w:type="spellEnd"/>
      <w:r w:rsidRPr="009C66F9">
        <w:rPr>
          <w:rFonts w:ascii="Arial" w:eastAsia="Times New Roman" w:hAnsi="Arial" w:cs="Arial"/>
          <w:sz w:val="24"/>
          <w:szCs w:val="24"/>
          <w:lang w:eastAsia="en-GB"/>
        </w:rPr>
        <w:t xml:space="preserve">, S., Ahmed, R. and May, P. (2019) ‘Improving palliative and end-of-life care with machine learning and routine data: a rapid review’, </w:t>
      </w:r>
      <w:r w:rsidRPr="009C66F9">
        <w:rPr>
          <w:rFonts w:ascii="Arial" w:eastAsia="Times New Roman" w:hAnsi="Arial" w:cs="Arial"/>
          <w:i/>
          <w:iCs/>
          <w:sz w:val="24"/>
          <w:szCs w:val="24"/>
          <w:lang w:eastAsia="en-GB"/>
        </w:rPr>
        <w:t>Health Research Board open research</w:t>
      </w:r>
      <w:r w:rsidRPr="009C66F9">
        <w:rPr>
          <w:rFonts w:ascii="Arial" w:eastAsia="Times New Roman" w:hAnsi="Arial" w:cs="Arial"/>
          <w:sz w:val="24"/>
          <w:szCs w:val="24"/>
          <w:lang w:eastAsia="en-GB"/>
        </w:rPr>
        <w:t>, 2, pp. 13. Available at: https://doi.org/10.12688/hrbopenres.12923.2</w:t>
      </w:r>
    </w:p>
    <w:p w14:paraId="615C2621" w14:textId="77777777" w:rsidR="00DE7279" w:rsidRPr="00300F4F" w:rsidRDefault="00DE7279" w:rsidP="00DE7279">
      <w:pPr>
        <w:rPr>
          <w:rFonts w:ascii="Arial" w:hAnsi="Arial" w:cs="Arial"/>
          <w:color w:val="212121"/>
          <w:sz w:val="24"/>
          <w:szCs w:val="24"/>
          <w:shd w:val="clear" w:color="auto" w:fill="FFFFFF"/>
        </w:rPr>
      </w:pPr>
      <w:r w:rsidRPr="00300F4F">
        <w:rPr>
          <w:rFonts w:ascii="Arial" w:hAnsi="Arial" w:cs="Arial"/>
          <w:color w:val="212121"/>
          <w:sz w:val="24"/>
          <w:szCs w:val="24"/>
          <w:shd w:val="clear" w:color="auto" w:fill="FFFFFF"/>
        </w:rPr>
        <w:t xml:space="preserve">Sullivan L.S. (2016) ‘Medical maternalism: beyond paternalism and </w:t>
      </w:r>
      <w:proofErr w:type="spellStart"/>
      <w:r w:rsidRPr="00300F4F">
        <w:rPr>
          <w:rFonts w:ascii="Arial" w:hAnsi="Arial" w:cs="Arial"/>
          <w:color w:val="212121"/>
          <w:sz w:val="24"/>
          <w:szCs w:val="24"/>
          <w:shd w:val="clear" w:color="auto" w:fill="FFFFFF"/>
        </w:rPr>
        <w:t>antipaternalism</w:t>
      </w:r>
      <w:proofErr w:type="spellEnd"/>
      <w:r w:rsidRPr="00300F4F">
        <w:rPr>
          <w:rFonts w:ascii="Arial" w:hAnsi="Arial" w:cs="Arial"/>
          <w:color w:val="212121"/>
          <w:sz w:val="24"/>
          <w:szCs w:val="24"/>
          <w:shd w:val="clear" w:color="auto" w:fill="FFFFFF"/>
        </w:rPr>
        <w:t>’, </w:t>
      </w:r>
      <w:r w:rsidRPr="00300F4F">
        <w:rPr>
          <w:rFonts w:ascii="Arial" w:hAnsi="Arial" w:cs="Arial"/>
          <w:i/>
          <w:iCs/>
          <w:color w:val="212121"/>
          <w:sz w:val="24"/>
          <w:szCs w:val="24"/>
          <w:shd w:val="clear" w:color="auto" w:fill="FFFFFF"/>
        </w:rPr>
        <w:t>Journal of Medical Ethics,</w:t>
      </w:r>
      <w:r w:rsidRPr="00300F4F">
        <w:rPr>
          <w:rFonts w:ascii="Arial" w:hAnsi="Arial" w:cs="Arial"/>
          <w:color w:val="212121"/>
          <w:sz w:val="24"/>
          <w:szCs w:val="24"/>
          <w:shd w:val="clear" w:color="auto" w:fill="FFFFFF"/>
        </w:rPr>
        <w:t xml:space="preserve"> 42(7), pp. 439-444. Available at: https://doi:10.1136/medethics-2015-103095</w:t>
      </w:r>
    </w:p>
    <w:p w14:paraId="272FB660" w14:textId="77777777" w:rsidR="00DE7279" w:rsidRPr="009C66F9" w:rsidRDefault="00DE7279" w:rsidP="00DE7279">
      <w:pPr>
        <w:spacing w:line="240" w:lineRule="auto"/>
        <w:rPr>
          <w:rFonts w:ascii="Arial" w:eastAsia="Times New Roman" w:hAnsi="Arial" w:cs="Arial"/>
          <w:sz w:val="24"/>
          <w:szCs w:val="24"/>
          <w:lang w:eastAsia="en-GB"/>
        </w:rPr>
      </w:pPr>
      <w:proofErr w:type="spellStart"/>
      <w:r w:rsidRPr="009C66F9">
        <w:rPr>
          <w:rFonts w:ascii="Arial" w:eastAsia="Times New Roman" w:hAnsi="Arial" w:cs="Arial"/>
          <w:sz w:val="24"/>
          <w:szCs w:val="24"/>
          <w:lang w:eastAsia="en-GB"/>
        </w:rPr>
        <w:t>Teno</w:t>
      </w:r>
      <w:proofErr w:type="spellEnd"/>
      <w:r w:rsidRPr="009C66F9">
        <w:rPr>
          <w:rFonts w:ascii="Arial" w:eastAsia="Times New Roman" w:hAnsi="Arial" w:cs="Arial"/>
          <w:sz w:val="24"/>
          <w:szCs w:val="24"/>
          <w:lang w:eastAsia="en-GB"/>
        </w:rPr>
        <w:t xml:space="preserve">, J.M., Nelson, H.L. and Lynn, J. (1994) ‘Advance care planning. Priorities for ethical and empirical research’, </w:t>
      </w:r>
      <w:r w:rsidRPr="009C66F9">
        <w:rPr>
          <w:rFonts w:ascii="Arial" w:eastAsia="Times New Roman" w:hAnsi="Arial" w:cs="Arial"/>
          <w:i/>
          <w:iCs/>
          <w:sz w:val="24"/>
          <w:szCs w:val="24"/>
          <w:lang w:eastAsia="en-GB"/>
        </w:rPr>
        <w:t xml:space="preserve">The Hastings </w:t>
      </w:r>
      <w:proofErr w:type="spellStart"/>
      <w:r w:rsidRPr="009C66F9">
        <w:rPr>
          <w:rFonts w:ascii="Arial" w:eastAsia="Times New Roman" w:hAnsi="Arial" w:cs="Arial"/>
          <w:i/>
          <w:iCs/>
          <w:sz w:val="24"/>
          <w:szCs w:val="24"/>
          <w:lang w:eastAsia="en-GB"/>
        </w:rPr>
        <w:t>Center</w:t>
      </w:r>
      <w:proofErr w:type="spellEnd"/>
      <w:r w:rsidRPr="009C66F9">
        <w:rPr>
          <w:rFonts w:ascii="Arial" w:eastAsia="Times New Roman" w:hAnsi="Arial" w:cs="Arial"/>
          <w:i/>
          <w:iCs/>
          <w:sz w:val="24"/>
          <w:szCs w:val="24"/>
          <w:lang w:eastAsia="en-GB"/>
        </w:rPr>
        <w:t xml:space="preserve"> report</w:t>
      </w:r>
      <w:r w:rsidRPr="009C66F9">
        <w:rPr>
          <w:rFonts w:ascii="Arial" w:eastAsia="Times New Roman" w:hAnsi="Arial" w:cs="Arial"/>
          <w:sz w:val="24"/>
          <w:szCs w:val="24"/>
          <w:lang w:eastAsia="en-GB"/>
        </w:rPr>
        <w:t>, 24(6), pp. S32-6</w:t>
      </w:r>
    </w:p>
    <w:p w14:paraId="33F68821" w14:textId="77777777" w:rsidR="00946A75" w:rsidRDefault="00946A75" w:rsidP="00946A75">
      <w:pPr>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The King’s Fund (2008) </w:t>
      </w:r>
      <w:r>
        <w:rPr>
          <w:rFonts w:ascii="Arial" w:hAnsi="Arial" w:cs="Arial"/>
          <w:i/>
          <w:iCs/>
          <w:color w:val="222222"/>
          <w:sz w:val="24"/>
          <w:szCs w:val="24"/>
          <w:shd w:val="clear" w:color="auto" w:fill="FFFFFF"/>
        </w:rPr>
        <w:t xml:space="preserve">Seeing the person in the patient. </w:t>
      </w:r>
      <w:r>
        <w:rPr>
          <w:rFonts w:ascii="Arial" w:hAnsi="Arial" w:cs="Arial"/>
          <w:color w:val="222222"/>
          <w:sz w:val="24"/>
          <w:szCs w:val="24"/>
          <w:shd w:val="clear" w:color="auto" w:fill="FFFFFF"/>
        </w:rPr>
        <w:t>Available at:</w:t>
      </w:r>
      <w:r>
        <w:rPr>
          <w:rFonts w:ascii="Arial" w:hAnsi="Arial" w:cs="Arial"/>
          <w:sz w:val="24"/>
          <w:szCs w:val="24"/>
        </w:rPr>
        <w:t xml:space="preserve"> htt</w:t>
      </w:r>
      <w:r>
        <w:rPr>
          <w:rFonts w:ascii="Arial" w:hAnsi="Arial" w:cs="Arial"/>
          <w:color w:val="222222"/>
          <w:sz w:val="24"/>
          <w:szCs w:val="24"/>
          <w:shd w:val="clear" w:color="auto" w:fill="FFFFFF"/>
        </w:rPr>
        <w:t>ps://assets.kingsfund.org.uk/f/256914/x/f8d42c9e2e/seeing_the_person_in_patient_december_2008.pdf (Accessed: 18 April 2025)</w:t>
      </w:r>
    </w:p>
    <w:p w14:paraId="6C745A69" w14:textId="77777777" w:rsidR="00DE7279" w:rsidRDefault="00DE7279" w:rsidP="00DE7279">
      <w:pPr>
        <w:rPr>
          <w:rFonts w:ascii="Arial" w:hAnsi="Arial" w:cs="Arial"/>
          <w:sz w:val="24"/>
          <w:szCs w:val="24"/>
        </w:rPr>
      </w:pPr>
      <w:proofErr w:type="spellStart"/>
      <w:r>
        <w:rPr>
          <w:rFonts w:ascii="Arial" w:hAnsi="Arial" w:cs="Arial"/>
          <w:sz w:val="24"/>
          <w:szCs w:val="24"/>
          <w:bdr w:val="none" w:sz="0" w:space="0" w:color="auto" w:frame="1"/>
          <w:shd w:val="clear" w:color="auto" w:fill="FFFFFF"/>
        </w:rPr>
        <w:t>Timalsina</w:t>
      </w:r>
      <w:proofErr w:type="spellEnd"/>
      <w:r>
        <w:rPr>
          <w:rFonts w:ascii="Arial" w:hAnsi="Arial" w:cs="Arial"/>
          <w:sz w:val="24"/>
          <w:szCs w:val="24"/>
          <w:bdr w:val="none" w:sz="0" w:space="0" w:color="auto" w:frame="1"/>
          <w:shd w:val="clear" w:color="auto" w:fill="FFFFFF"/>
        </w:rPr>
        <w:t>, J. (2024) ‘</w:t>
      </w:r>
      <w:r>
        <w:rPr>
          <w:rFonts w:ascii="Arial" w:eastAsia="Times New Roman" w:hAnsi="Arial" w:cs="Arial"/>
          <w:color w:val="231F20"/>
          <w:sz w:val="24"/>
          <w:szCs w:val="24"/>
          <w:lang w:eastAsia="en-GB"/>
        </w:rPr>
        <w:t xml:space="preserve">Qualitative Data Analysis: Explore Types, Methods, and Examples’. </w:t>
      </w:r>
      <w:r>
        <w:rPr>
          <w:rFonts w:ascii="Arial" w:hAnsi="Arial" w:cs="Arial"/>
          <w:sz w:val="24"/>
          <w:szCs w:val="24"/>
        </w:rPr>
        <w:t>Available at https://</w:t>
      </w:r>
      <w:r>
        <w:rPr>
          <w:rFonts w:ascii="Arial" w:eastAsia="Times New Roman" w:hAnsi="Arial" w:cs="Arial"/>
          <w:color w:val="231F20"/>
          <w:sz w:val="24"/>
          <w:szCs w:val="24"/>
          <w:lang w:eastAsia="en-GB"/>
        </w:rPr>
        <w:t>www.grepsr.com/blog/qualitative-data-analysis-explore-types-methods-examples</w:t>
      </w:r>
      <w:r>
        <w:rPr>
          <w:rFonts w:ascii="Arial" w:hAnsi="Arial" w:cs="Arial"/>
          <w:sz w:val="24"/>
          <w:szCs w:val="24"/>
        </w:rPr>
        <w:t xml:space="preserve"> (Accessed: 14 February 2025)</w:t>
      </w:r>
    </w:p>
    <w:p w14:paraId="46BD70AB" w14:textId="77777777" w:rsidR="00DE7279" w:rsidRPr="00300F4F" w:rsidRDefault="00DE7279" w:rsidP="00DE7279">
      <w:pPr>
        <w:rPr>
          <w:rFonts w:ascii="Arial" w:hAnsi="Arial" w:cs="Arial"/>
          <w:sz w:val="24"/>
          <w:szCs w:val="24"/>
        </w:rPr>
      </w:pPr>
      <w:r w:rsidRPr="00300F4F">
        <w:rPr>
          <w:rFonts w:ascii="Arial" w:hAnsi="Arial" w:cs="Arial"/>
          <w:sz w:val="24"/>
          <w:szCs w:val="24"/>
        </w:rPr>
        <w:t>University of Edinburgh (2025) ‘</w:t>
      </w:r>
      <w:r w:rsidRPr="00300F4F">
        <w:rPr>
          <w:rFonts w:ascii="Arial" w:hAnsi="Arial" w:cs="Arial"/>
          <w:i/>
          <w:sz w:val="24"/>
          <w:szCs w:val="24"/>
        </w:rPr>
        <w:t>Supportive and Palliative Care Indicators</w:t>
      </w:r>
      <w:r w:rsidRPr="00300F4F">
        <w:rPr>
          <w:rFonts w:ascii="Arial" w:hAnsi="Arial" w:cs="Arial"/>
          <w:sz w:val="24"/>
          <w:szCs w:val="24"/>
        </w:rPr>
        <w:t xml:space="preserve"> </w:t>
      </w:r>
      <w:r w:rsidRPr="00300F4F">
        <w:rPr>
          <w:rFonts w:ascii="Arial" w:hAnsi="Arial" w:cs="Arial"/>
          <w:i/>
          <w:sz w:val="24"/>
          <w:szCs w:val="24"/>
        </w:rPr>
        <w:t>Tool’</w:t>
      </w:r>
      <w:r w:rsidRPr="00300F4F">
        <w:rPr>
          <w:rFonts w:ascii="Arial" w:hAnsi="Arial" w:cs="Arial"/>
          <w:sz w:val="24"/>
          <w:szCs w:val="24"/>
        </w:rPr>
        <w:t>. Available at: https://www.spict.org.uk (Accessed 08 March 2025)</w:t>
      </w:r>
    </w:p>
    <w:p w14:paraId="6C983A24" w14:textId="77777777" w:rsidR="00DE7279" w:rsidRPr="00300F4F" w:rsidRDefault="00DE7279" w:rsidP="00DE7279">
      <w:pPr>
        <w:rPr>
          <w:rFonts w:ascii="Arial" w:hAnsi="Arial" w:cs="Arial"/>
          <w:sz w:val="24"/>
          <w:szCs w:val="24"/>
          <w:highlight w:val="green"/>
        </w:rPr>
      </w:pPr>
      <w:r w:rsidRPr="00300F4F">
        <w:rPr>
          <w:rFonts w:ascii="Arial" w:hAnsi="Arial" w:cs="Arial"/>
          <w:color w:val="222222"/>
          <w:sz w:val="24"/>
          <w:szCs w:val="24"/>
          <w:shd w:val="clear" w:color="auto" w:fill="FFFFFF"/>
        </w:rPr>
        <w:t>Van Der Aalst, W. (2012) ‘Process mining’, </w:t>
      </w:r>
      <w:r w:rsidRPr="00300F4F">
        <w:rPr>
          <w:rFonts w:ascii="Arial" w:hAnsi="Arial" w:cs="Arial"/>
          <w:i/>
          <w:iCs/>
          <w:color w:val="222222"/>
          <w:sz w:val="24"/>
          <w:szCs w:val="24"/>
          <w:shd w:val="clear" w:color="auto" w:fill="FFFFFF"/>
        </w:rPr>
        <w:t>Communications of the ACM</w:t>
      </w:r>
      <w:r w:rsidRPr="00300F4F">
        <w:rPr>
          <w:rFonts w:ascii="Arial" w:hAnsi="Arial" w:cs="Arial"/>
          <w:color w:val="222222"/>
          <w:sz w:val="24"/>
          <w:szCs w:val="24"/>
          <w:shd w:val="clear" w:color="auto" w:fill="FFFFFF"/>
        </w:rPr>
        <w:t>, </w:t>
      </w:r>
      <w:r w:rsidRPr="00300F4F">
        <w:rPr>
          <w:rFonts w:ascii="Arial" w:hAnsi="Arial" w:cs="Arial"/>
          <w:i/>
          <w:iCs/>
          <w:color w:val="222222"/>
          <w:sz w:val="24"/>
          <w:szCs w:val="24"/>
          <w:shd w:val="clear" w:color="auto" w:fill="FFFFFF"/>
        </w:rPr>
        <w:t>55</w:t>
      </w:r>
      <w:r w:rsidRPr="00300F4F">
        <w:rPr>
          <w:rFonts w:ascii="Arial" w:hAnsi="Arial" w:cs="Arial"/>
          <w:color w:val="222222"/>
          <w:sz w:val="24"/>
          <w:szCs w:val="24"/>
          <w:shd w:val="clear" w:color="auto" w:fill="FFFFFF"/>
        </w:rPr>
        <w:t>(8), pp.76-83. Available at: ht</w:t>
      </w:r>
      <w:r w:rsidRPr="00300F4F">
        <w:rPr>
          <w:rFonts w:ascii="Arial" w:hAnsi="Arial" w:cs="Arial"/>
          <w:sz w:val="24"/>
          <w:szCs w:val="24"/>
        </w:rPr>
        <w:t>tps://dl.acm.org/doi/pdf/10.1145/2240236.2240257</w:t>
      </w:r>
    </w:p>
    <w:p w14:paraId="26FB781B" w14:textId="77777777" w:rsidR="00DE7279" w:rsidRPr="00CE0245" w:rsidRDefault="00DE7279" w:rsidP="00DE7279">
      <w:pPr>
        <w:spacing w:line="240" w:lineRule="auto"/>
        <w:rPr>
          <w:rFonts w:ascii="Arial" w:eastAsia="Times New Roman" w:hAnsi="Arial" w:cs="Arial"/>
          <w:sz w:val="24"/>
          <w:szCs w:val="24"/>
          <w:lang w:eastAsia="en-GB"/>
        </w:rPr>
      </w:pPr>
      <w:r w:rsidRPr="00CE0245">
        <w:rPr>
          <w:rFonts w:ascii="Arial" w:eastAsia="Times New Roman" w:hAnsi="Arial" w:cs="Arial"/>
          <w:sz w:val="24"/>
          <w:szCs w:val="24"/>
          <w:lang w:eastAsia="en-GB"/>
        </w:rPr>
        <w:t>Vu, E.</w:t>
      </w:r>
      <w:r>
        <w:rPr>
          <w:rFonts w:ascii="Arial" w:eastAsia="Times New Roman" w:hAnsi="Arial" w:cs="Arial"/>
          <w:sz w:val="24"/>
          <w:szCs w:val="24"/>
          <w:lang w:eastAsia="en-GB"/>
        </w:rPr>
        <w:t xml:space="preserve"> Steinmann, N., Schroder, C., Forster, R., </w:t>
      </w:r>
      <w:proofErr w:type="spellStart"/>
      <w:r>
        <w:rPr>
          <w:rFonts w:ascii="Arial" w:eastAsia="Times New Roman" w:hAnsi="Arial" w:cs="Arial"/>
          <w:sz w:val="24"/>
          <w:szCs w:val="24"/>
          <w:lang w:eastAsia="en-GB"/>
        </w:rPr>
        <w:t>Aebersold</w:t>
      </w:r>
      <w:proofErr w:type="spellEnd"/>
      <w:r>
        <w:rPr>
          <w:rFonts w:ascii="Arial" w:eastAsia="Times New Roman" w:hAnsi="Arial" w:cs="Arial"/>
          <w:sz w:val="24"/>
          <w:szCs w:val="24"/>
          <w:lang w:eastAsia="en-GB"/>
        </w:rPr>
        <w:t xml:space="preserve">, D., </w:t>
      </w:r>
      <w:proofErr w:type="spellStart"/>
      <w:r>
        <w:rPr>
          <w:rFonts w:ascii="Arial" w:eastAsia="Times New Roman" w:hAnsi="Arial" w:cs="Arial"/>
          <w:sz w:val="24"/>
          <w:szCs w:val="24"/>
          <w:lang w:eastAsia="en-GB"/>
        </w:rPr>
        <w:t>Eychmuller</w:t>
      </w:r>
      <w:proofErr w:type="spellEnd"/>
      <w:r>
        <w:rPr>
          <w:rFonts w:ascii="Arial" w:eastAsia="Times New Roman" w:hAnsi="Arial" w:cs="Arial"/>
          <w:sz w:val="24"/>
          <w:szCs w:val="24"/>
          <w:lang w:eastAsia="en-GB"/>
        </w:rPr>
        <w:t xml:space="preserve">, S., </w:t>
      </w:r>
      <w:proofErr w:type="spellStart"/>
      <w:r>
        <w:rPr>
          <w:rFonts w:ascii="Arial" w:eastAsia="Times New Roman" w:hAnsi="Arial" w:cs="Arial"/>
          <w:sz w:val="24"/>
          <w:szCs w:val="24"/>
          <w:lang w:eastAsia="en-GB"/>
        </w:rPr>
        <w:t>Cihoric</w:t>
      </w:r>
      <w:proofErr w:type="spellEnd"/>
      <w:r>
        <w:rPr>
          <w:rFonts w:ascii="Arial" w:eastAsia="Times New Roman" w:hAnsi="Arial" w:cs="Arial"/>
          <w:sz w:val="24"/>
          <w:szCs w:val="24"/>
          <w:lang w:eastAsia="en-GB"/>
        </w:rPr>
        <w:t xml:space="preserve">, N., </w:t>
      </w:r>
      <w:proofErr w:type="spellStart"/>
      <w:r>
        <w:rPr>
          <w:rFonts w:ascii="Arial" w:eastAsia="Times New Roman" w:hAnsi="Arial" w:cs="Arial"/>
          <w:sz w:val="24"/>
          <w:szCs w:val="24"/>
          <w:lang w:eastAsia="en-GB"/>
        </w:rPr>
        <w:t>Hertler</w:t>
      </w:r>
      <w:proofErr w:type="spellEnd"/>
      <w:r>
        <w:rPr>
          <w:rFonts w:ascii="Arial" w:eastAsia="Times New Roman" w:hAnsi="Arial" w:cs="Arial"/>
          <w:sz w:val="24"/>
          <w:szCs w:val="24"/>
          <w:lang w:eastAsia="en-GB"/>
        </w:rPr>
        <w:t xml:space="preserve">, C., </w:t>
      </w:r>
      <w:proofErr w:type="spellStart"/>
      <w:r>
        <w:rPr>
          <w:rFonts w:ascii="Arial" w:eastAsia="Times New Roman" w:hAnsi="Arial" w:cs="Arial"/>
          <w:sz w:val="24"/>
          <w:szCs w:val="24"/>
          <w:lang w:eastAsia="en-GB"/>
        </w:rPr>
        <w:t>Windisch</w:t>
      </w:r>
      <w:proofErr w:type="spellEnd"/>
      <w:r>
        <w:rPr>
          <w:rFonts w:ascii="Arial" w:eastAsia="Times New Roman" w:hAnsi="Arial" w:cs="Arial"/>
          <w:sz w:val="24"/>
          <w:szCs w:val="24"/>
          <w:lang w:eastAsia="en-GB"/>
        </w:rPr>
        <w:t xml:space="preserve">, P. and </w:t>
      </w:r>
      <w:proofErr w:type="spellStart"/>
      <w:r>
        <w:rPr>
          <w:rFonts w:ascii="Arial" w:eastAsia="Times New Roman" w:hAnsi="Arial" w:cs="Arial"/>
          <w:sz w:val="24"/>
          <w:szCs w:val="24"/>
          <w:lang w:eastAsia="en-GB"/>
        </w:rPr>
        <w:t>Zwahlen</w:t>
      </w:r>
      <w:proofErr w:type="spellEnd"/>
      <w:r>
        <w:rPr>
          <w:rFonts w:ascii="Arial" w:eastAsia="Times New Roman" w:hAnsi="Arial" w:cs="Arial"/>
          <w:sz w:val="24"/>
          <w:szCs w:val="24"/>
          <w:lang w:eastAsia="en-GB"/>
        </w:rPr>
        <w:t>, D.</w:t>
      </w:r>
      <w:r w:rsidRPr="00CE0245">
        <w:rPr>
          <w:rFonts w:ascii="Arial" w:eastAsia="Times New Roman" w:hAnsi="Arial" w:cs="Arial"/>
          <w:sz w:val="24"/>
          <w:szCs w:val="24"/>
          <w:lang w:eastAsia="en-GB"/>
        </w:rPr>
        <w:t xml:space="preserve"> (2023) </w:t>
      </w:r>
      <w:r>
        <w:rPr>
          <w:rFonts w:ascii="Arial" w:eastAsia="Times New Roman" w:hAnsi="Arial" w:cs="Arial"/>
          <w:sz w:val="24"/>
          <w:szCs w:val="24"/>
          <w:lang w:eastAsia="en-GB"/>
        </w:rPr>
        <w:t>‘</w:t>
      </w:r>
      <w:r w:rsidRPr="00CE0245">
        <w:rPr>
          <w:rFonts w:ascii="Arial" w:eastAsia="Times New Roman" w:hAnsi="Arial" w:cs="Arial"/>
          <w:sz w:val="24"/>
          <w:szCs w:val="24"/>
          <w:lang w:eastAsia="en-GB"/>
        </w:rPr>
        <w:t>Applications of Machine Learning in Palliative Care: A Systematic Review</w:t>
      </w:r>
      <w:r>
        <w:rPr>
          <w:rFonts w:ascii="Arial" w:eastAsia="Times New Roman" w:hAnsi="Arial" w:cs="Arial"/>
          <w:sz w:val="24"/>
          <w:szCs w:val="24"/>
          <w:lang w:eastAsia="en-GB"/>
        </w:rPr>
        <w:t>’</w:t>
      </w:r>
      <w:r w:rsidRPr="00CE0245">
        <w:rPr>
          <w:rFonts w:ascii="Arial" w:eastAsia="Times New Roman" w:hAnsi="Arial" w:cs="Arial"/>
          <w:sz w:val="24"/>
          <w:szCs w:val="24"/>
          <w:lang w:eastAsia="en-GB"/>
        </w:rPr>
        <w:t xml:space="preserve">, </w:t>
      </w:r>
      <w:r w:rsidRPr="00CE0245">
        <w:rPr>
          <w:rFonts w:ascii="Arial" w:eastAsia="Times New Roman" w:hAnsi="Arial" w:cs="Arial"/>
          <w:i/>
          <w:iCs/>
          <w:sz w:val="24"/>
          <w:szCs w:val="24"/>
          <w:lang w:eastAsia="en-GB"/>
        </w:rPr>
        <w:t>Cancers</w:t>
      </w:r>
      <w:r w:rsidRPr="00CE0245">
        <w:rPr>
          <w:rFonts w:ascii="Arial" w:eastAsia="Times New Roman" w:hAnsi="Arial" w:cs="Arial"/>
          <w:sz w:val="24"/>
          <w:szCs w:val="24"/>
          <w:lang w:eastAsia="en-GB"/>
        </w:rPr>
        <w:t>, 15(5). Available at: https://doi.org/10.3390/CANCERS15051596</w:t>
      </w:r>
    </w:p>
    <w:p w14:paraId="183B758F" w14:textId="77777777" w:rsidR="00DE7279" w:rsidRPr="00CE0245" w:rsidRDefault="00DE7279" w:rsidP="00DE7279">
      <w:pPr>
        <w:spacing w:line="240" w:lineRule="auto"/>
        <w:rPr>
          <w:rFonts w:ascii="Arial" w:eastAsia="Times New Roman" w:hAnsi="Arial" w:cs="Arial"/>
          <w:sz w:val="24"/>
          <w:szCs w:val="24"/>
          <w:lang w:eastAsia="en-GB"/>
        </w:rPr>
      </w:pPr>
      <w:r w:rsidRPr="00CE0245">
        <w:rPr>
          <w:rFonts w:ascii="Arial" w:eastAsia="Times New Roman" w:hAnsi="Arial" w:cs="Arial"/>
          <w:sz w:val="24"/>
          <w:szCs w:val="24"/>
          <w:lang w:eastAsia="en-GB"/>
        </w:rPr>
        <w:t>Wang, L.</w:t>
      </w:r>
      <w:r>
        <w:rPr>
          <w:rFonts w:ascii="Arial" w:eastAsia="Times New Roman" w:hAnsi="Arial" w:cs="Arial"/>
          <w:sz w:val="24"/>
          <w:szCs w:val="24"/>
          <w:lang w:eastAsia="en-GB"/>
        </w:rPr>
        <w:t>, Sha, L., Lakin, J., Bynum, J., Bates, D., Hong, P. and Zhou, L.</w:t>
      </w:r>
      <w:r w:rsidRPr="00CE0245">
        <w:rPr>
          <w:rFonts w:ascii="Arial" w:eastAsia="Times New Roman" w:hAnsi="Arial" w:cs="Arial"/>
          <w:sz w:val="24"/>
          <w:szCs w:val="24"/>
          <w:lang w:eastAsia="en-GB"/>
        </w:rPr>
        <w:t xml:space="preserve"> (2019) </w:t>
      </w:r>
      <w:r>
        <w:rPr>
          <w:rFonts w:ascii="Arial" w:eastAsia="Times New Roman" w:hAnsi="Arial" w:cs="Arial"/>
          <w:sz w:val="24"/>
          <w:szCs w:val="24"/>
          <w:lang w:eastAsia="en-GB"/>
        </w:rPr>
        <w:t>‘</w:t>
      </w:r>
      <w:r w:rsidRPr="00CE0245">
        <w:rPr>
          <w:rFonts w:ascii="Arial" w:eastAsia="Times New Roman" w:hAnsi="Arial" w:cs="Arial"/>
          <w:sz w:val="24"/>
          <w:szCs w:val="24"/>
          <w:lang w:eastAsia="en-GB"/>
        </w:rPr>
        <w:t>Development and Validation of a Deep Learning Algorithm for Mortality Prediction in Selecting Patients With Dementia for Earlier Palliative Care Interventions</w:t>
      </w:r>
      <w:r>
        <w:rPr>
          <w:rFonts w:ascii="Arial" w:eastAsia="Times New Roman" w:hAnsi="Arial" w:cs="Arial"/>
          <w:sz w:val="24"/>
          <w:szCs w:val="24"/>
          <w:lang w:eastAsia="en-GB"/>
        </w:rPr>
        <w:t>’</w:t>
      </w:r>
      <w:r w:rsidRPr="00CE0245">
        <w:rPr>
          <w:rFonts w:ascii="Arial" w:eastAsia="Times New Roman" w:hAnsi="Arial" w:cs="Arial"/>
          <w:sz w:val="24"/>
          <w:szCs w:val="24"/>
          <w:lang w:eastAsia="en-GB"/>
        </w:rPr>
        <w:t xml:space="preserve">, </w:t>
      </w:r>
      <w:r w:rsidRPr="00CE0245">
        <w:rPr>
          <w:rFonts w:ascii="Arial" w:eastAsia="Times New Roman" w:hAnsi="Arial" w:cs="Arial"/>
          <w:i/>
          <w:iCs/>
          <w:sz w:val="24"/>
          <w:szCs w:val="24"/>
          <w:lang w:eastAsia="en-GB"/>
        </w:rPr>
        <w:t>J</w:t>
      </w:r>
      <w:r>
        <w:rPr>
          <w:rFonts w:ascii="Arial" w:eastAsia="Times New Roman" w:hAnsi="Arial" w:cs="Arial"/>
          <w:i/>
          <w:iCs/>
          <w:sz w:val="24"/>
          <w:szCs w:val="24"/>
          <w:lang w:eastAsia="en-GB"/>
        </w:rPr>
        <w:t xml:space="preserve">ournal of the </w:t>
      </w:r>
      <w:r w:rsidRPr="00CE0245">
        <w:rPr>
          <w:rFonts w:ascii="Arial" w:eastAsia="Times New Roman" w:hAnsi="Arial" w:cs="Arial"/>
          <w:i/>
          <w:iCs/>
          <w:sz w:val="24"/>
          <w:szCs w:val="24"/>
          <w:lang w:eastAsia="en-GB"/>
        </w:rPr>
        <w:t>A</w:t>
      </w:r>
      <w:r>
        <w:rPr>
          <w:rFonts w:ascii="Arial" w:eastAsia="Times New Roman" w:hAnsi="Arial" w:cs="Arial"/>
          <w:i/>
          <w:iCs/>
          <w:sz w:val="24"/>
          <w:szCs w:val="24"/>
          <w:lang w:eastAsia="en-GB"/>
        </w:rPr>
        <w:t xml:space="preserve">merican </w:t>
      </w:r>
      <w:r w:rsidRPr="00CE0245">
        <w:rPr>
          <w:rFonts w:ascii="Arial" w:eastAsia="Times New Roman" w:hAnsi="Arial" w:cs="Arial"/>
          <w:i/>
          <w:iCs/>
          <w:sz w:val="24"/>
          <w:szCs w:val="24"/>
          <w:lang w:eastAsia="en-GB"/>
        </w:rPr>
        <w:t>M</w:t>
      </w:r>
      <w:r>
        <w:rPr>
          <w:rFonts w:ascii="Arial" w:eastAsia="Times New Roman" w:hAnsi="Arial" w:cs="Arial"/>
          <w:i/>
          <w:iCs/>
          <w:sz w:val="24"/>
          <w:szCs w:val="24"/>
          <w:lang w:eastAsia="en-GB"/>
        </w:rPr>
        <w:t xml:space="preserve">edical </w:t>
      </w:r>
      <w:r w:rsidRPr="00CE0245">
        <w:rPr>
          <w:rFonts w:ascii="Arial" w:eastAsia="Times New Roman" w:hAnsi="Arial" w:cs="Arial"/>
          <w:i/>
          <w:iCs/>
          <w:sz w:val="24"/>
          <w:szCs w:val="24"/>
          <w:lang w:eastAsia="en-GB"/>
        </w:rPr>
        <w:t>A</w:t>
      </w:r>
      <w:r>
        <w:rPr>
          <w:rFonts w:ascii="Arial" w:eastAsia="Times New Roman" w:hAnsi="Arial" w:cs="Arial"/>
          <w:i/>
          <w:iCs/>
          <w:sz w:val="24"/>
          <w:szCs w:val="24"/>
          <w:lang w:eastAsia="en-GB"/>
        </w:rPr>
        <w:t>ssociation</w:t>
      </w:r>
      <w:r w:rsidRPr="00CE0245">
        <w:rPr>
          <w:rFonts w:ascii="Arial" w:eastAsia="Times New Roman" w:hAnsi="Arial" w:cs="Arial"/>
          <w:i/>
          <w:iCs/>
          <w:sz w:val="24"/>
          <w:szCs w:val="24"/>
          <w:lang w:eastAsia="en-GB"/>
        </w:rPr>
        <w:t xml:space="preserve"> Network Open</w:t>
      </w:r>
      <w:r w:rsidRPr="00CE0245">
        <w:rPr>
          <w:rFonts w:ascii="Arial" w:eastAsia="Times New Roman" w:hAnsi="Arial" w:cs="Arial"/>
          <w:sz w:val="24"/>
          <w:szCs w:val="24"/>
          <w:lang w:eastAsia="en-GB"/>
        </w:rPr>
        <w:t>, 2(7), p</w:t>
      </w:r>
      <w:r>
        <w:rPr>
          <w:rFonts w:ascii="Arial" w:eastAsia="Times New Roman" w:hAnsi="Arial" w:cs="Arial"/>
          <w:sz w:val="24"/>
          <w:szCs w:val="24"/>
          <w:lang w:eastAsia="en-GB"/>
        </w:rPr>
        <w:t>p</w:t>
      </w:r>
      <w:r w:rsidRPr="00CE0245">
        <w:rPr>
          <w:rFonts w:ascii="Arial" w:eastAsia="Times New Roman" w:hAnsi="Arial" w:cs="Arial"/>
          <w:sz w:val="24"/>
          <w:szCs w:val="24"/>
          <w:lang w:eastAsia="en-GB"/>
        </w:rPr>
        <w:t>. E196972. Available at: https://doi.org/10.1</w:t>
      </w:r>
      <w:r>
        <w:rPr>
          <w:rFonts w:ascii="Arial" w:eastAsia="Times New Roman" w:hAnsi="Arial" w:cs="Arial"/>
          <w:sz w:val="24"/>
          <w:szCs w:val="24"/>
          <w:lang w:eastAsia="en-GB"/>
        </w:rPr>
        <w:t>001/jamanetworkopen.2019.6972</w:t>
      </w:r>
    </w:p>
    <w:p w14:paraId="3C19A8F2" w14:textId="77777777" w:rsidR="00DE7279" w:rsidRPr="00CE0245" w:rsidRDefault="00DE7279" w:rsidP="00DE7279">
      <w:pPr>
        <w:spacing w:line="240" w:lineRule="auto"/>
        <w:rPr>
          <w:rFonts w:ascii="Arial" w:hAnsi="Arial" w:cs="Arial"/>
          <w:sz w:val="24"/>
          <w:szCs w:val="24"/>
        </w:rPr>
      </w:pPr>
      <w:r w:rsidRPr="009A00D1">
        <w:rPr>
          <w:rFonts w:ascii="Arial" w:hAnsi="Arial" w:cs="Arial"/>
          <w:sz w:val="24"/>
          <w:szCs w:val="24"/>
        </w:rPr>
        <w:t>Weisman, A.D. (1972) </w:t>
      </w:r>
      <w:r w:rsidRPr="009A00D1">
        <w:rPr>
          <w:rFonts w:ascii="Arial" w:hAnsi="Arial" w:cs="Arial"/>
          <w:i/>
          <w:sz w:val="24"/>
          <w:szCs w:val="24"/>
        </w:rPr>
        <w:t>On Dying and Denying: A Psychiatric Study of</w:t>
      </w:r>
      <w:r w:rsidRPr="009C66F9">
        <w:rPr>
          <w:rFonts w:ascii="Arial" w:hAnsi="Arial" w:cs="Arial"/>
          <w:i/>
          <w:sz w:val="24"/>
          <w:szCs w:val="24"/>
        </w:rPr>
        <w:t xml:space="preserve"> </w:t>
      </w:r>
      <w:proofErr w:type="spellStart"/>
      <w:r w:rsidRPr="009C66F9">
        <w:rPr>
          <w:rFonts w:ascii="Arial" w:hAnsi="Arial" w:cs="Arial"/>
          <w:i/>
          <w:sz w:val="24"/>
          <w:szCs w:val="24"/>
        </w:rPr>
        <w:t>Terminality</w:t>
      </w:r>
      <w:proofErr w:type="spellEnd"/>
      <w:r w:rsidRPr="00CE0245">
        <w:rPr>
          <w:rFonts w:ascii="Arial" w:hAnsi="Arial" w:cs="Arial"/>
          <w:sz w:val="24"/>
          <w:szCs w:val="24"/>
        </w:rPr>
        <w:t xml:space="preserve">. New </w:t>
      </w:r>
      <w:r w:rsidRPr="00CE0245">
        <w:rPr>
          <w:rFonts w:ascii="Arial" w:eastAsia="Times New Roman" w:hAnsi="Arial" w:cs="Arial"/>
          <w:sz w:val="24"/>
          <w:szCs w:val="24"/>
          <w:lang w:eastAsia="en-GB"/>
        </w:rPr>
        <w:t>York</w:t>
      </w:r>
      <w:r w:rsidRPr="00CE0245">
        <w:rPr>
          <w:rFonts w:ascii="Arial" w:hAnsi="Arial" w:cs="Arial"/>
          <w:sz w:val="24"/>
          <w:szCs w:val="24"/>
        </w:rPr>
        <w:t>: </w:t>
      </w:r>
      <w:proofErr w:type="spellStart"/>
      <w:r w:rsidRPr="00CE0245">
        <w:rPr>
          <w:rFonts w:ascii="Arial" w:hAnsi="Arial" w:cs="Arial"/>
          <w:sz w:val="24"/>
          <w:szCs w:val="24"/>
        </w:rPr>
        <w:t>Behavioral</w:t>
      </w:r>
      <w:proofErr w:type="spellEnd"/>
      <w:r w:rsidRPr="00CE0245">
        <w:rPr>
          <w:rFonts w:ascii="Arial" w:hAnsi="Arial" w:cs="Arial"/>
          <w:sz w:val="24"/>
          <w:szCs w:val="24"/>
        </w:rPr>
        <w:t xml:space="preserve"> Publications</w:t>
      </w:r>
    </w:p>
    <w:p w14:paraId="3F731605" w14:textId="77777777" w:rsidR="00DE7279" w:rsidRPr="0027740F" w:rsidRDefault="00DE7279" w:rsidP="00DE7279">
      <w:pPr>
        <w:spacing w:line="240" w:lineRule="auto"/>
        <w:rPr>
          <w:rFonts w:ascii="Arial" w:hAnsi="Arial" w:cs="Arial"/>
          <w:sz w:val="24"/>
          <w:szCs w:val="24"/>
        </w:rPr>
      </w:pPr>
      <w:r w:rsidRPr="0027740F">
        <w:rPr>
          <w:rFonts w:ascii="Arial" w:hAnsi="Arial" w:cs="Arial"/>
          <w:sz w:val="24"/>
          <w:szCs w:val="24"/>
        </w:rPr>
        <w:t xml:space="preserve">Welsh Government (2012) </w:t>
      </w:r>
      <w:r w:rsidRPr="0027740F">
        <w:rPr>
          <w:rFonts w:ascii="Arial" w:hAnsi="Arial" w:cs="Arial"/>
          <w:i/>
          <w:sz w:val="24"/>
          <w:szCs w:val="24"/>
        </w:rPr>
        <w:t>Together for Health – Delivering End of Life Care: A Delivery Plan up to 2016 for NHS Wales and its Partners</w:t>
      </w:r>
      <w:r w:rsidRPr="0027740F">
        <w:rPr>
          <w:rFonts w:ascii="Arial" w:hAnsi="Arial" w:cs="Arial"/>
          <w:sz w:val="24"/>
          <w:szCs w:val="24"/>
        </w:rPr>
        <w:t>. Available at: https://www.gov.wales/sites/default/files/publications/2023-12/atisn19339doc1.pdf (Accessed: 1</w:t>
      </w:r>
      <w:r>
        <w:rPr>
          <w:rFonts w:ascii="Arial" w:hAnsi="Arial" w:cs="Arial"/>
          <w:sz w:val="24"/>
          <w:szCs w:val="24"/>
        </w:rPr>
        <w:t>5</w:t>
      </w:r>
      <w:r w:rsidRPr="0027740F">
        <w:rPr>
          <w:rFonts w:ascii="Arial" w:hAnsi="Arial" w:cs="Arial"/>
          <w:sz w:val="24"/>
          <w:szCs w:val="24"/>
        </w:rPr>
        <w:t xml:space="preserve"> </w:t>
      </w:r>
      <w:r>
        <w:rPr>
          <w:rFonts w:ascii="Arial" w:hAnsi="Arial" w:cs="Arial"/>
          <w:sz w:val="24"/>
          <w:szCs w:val="24"/>
        </w:rPr>
        <w:t>April</w:t>
      </w:r>
      <w:r w:rsidRPr="0027740F">
        <w:rPr>
          <w:rFonts w:ascii="Arial" w:hAnsi="Arial" w:cs="Arial"/>
          <w:sz w:val="24"/>
          <w:szCs w:val="24"/>
        </w:rPr>
        <w:t xml:space="preserve"> 202</w:t>
      </w:r>
      <w:r>
        <w:rPr>
          <w:rFonts w:ascii="Arial" w:hAnsi="Arial" w:cs="Arial"/>
          <w:sz w:val="24"/>
          <w:szCs w:val="24"/>
        </w:rPr>
        <w:t>5</w:t>
      </w:r>
      <w:r w:rsidRPr="0027740F">
        <w:rPr>
          <w:rFonts w:ascii="Arial" w:hAnsi="Arial" w:cs="Arial"/>
          <w:sz w:val="24"/>
          <w:szCs w:val="24"/>
        </w:rPr>
        <w:t>)</w:t>
      </w:r>
    </w:p>
    <w:p w14:paraId="3D2089F2" w14:textId="77777777" w:rsidR="00DE7279" w:rsidRPr="00CE0245" w:rsidRDefault="00DE7279" w:rsidP="00DE7279">
      <w:pPr>
        <w:spacing w:line="24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W</w:t>
      </w:r>
      <w:r w:rsidRPr="00CE0245">
        <w:rPr>
          <w:rFonts w:ascii="Arial" w:eastAsia="Times New Roman" w:hAnsi="Arial" w:cs="Arial"/>
          <w:sz w:val="24"/>
          <w:szCs w:val="24"/>
          <w:lang w:eastAsia="en-GB"/>
        </w:rPr>
        <w:t>indisch</w:t>
      </w:r>
      <w:proofErr w:type="spellEnd"/>
      <w:r w:rsidRPr="00CE0245">
        <w:rPr>
          <w:rFonts w:ascii="Arial" w:eastAsia="Times New Roman" w:hAnsi="Arial" w:cs="Arial"/>
          <w:sz w:val="24"/>
          <w:szCs w:val="24"/>
          <w:lang w:eastAsia="en-GB"/>
        </w:rPr>
        <w:t>, P.</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Hertler</w:t>
      </w:r>
      <w:proofErr w:type="spellEnd"/>
      <w:r>
        <w:rPr>
          <w:rFonts w:ascii="Arial" w:eastAsia="Times New Roman" w:hAnsi="Arial" w:cs="Arial"/>
          <w:sz w:val="24"/>
          <w:szCs w:val="24"/>
          <w:lang w:eastAsia="en-GB"/>
        </w:rPr>
        <w:t xml:space="preserve">, C., Blum, D., </w:t>
      </w:r>
      <w:proofErr w:type="spellStart"/>
      <w:r>
        <w:rPr>
          <w:rFonts w:ascii="Arial" w:eastAsia="Times New Roman" w:hAnsi="Arial" w:cs="Arial"/>
          <w:sz w:val="24"/>
          <w:szCs w:val="24"/>
          <w:lang w:eastAsia="en-GB"/>
        </w:rPr>
        <w:t>Zwahlen</w:t>
      </w:r>
      <w:proofErr w:type="spellEnd"/>
      <w:r>
        <w:rPr>
          <w:rFonts w:ascii="Arial" w:eastAsia="Times New Roman" w:hAnsi="Arial" w:cs="Arial"/>
          <w:sz w:val="24"/>
          <w:szCs w:val="24"/>
          <w:lang w:eastAsia="en-GB"/>
        </w:rPr>
        <w:t xml:space="preserve"> D. and Forster, R.</w:t>
      </w:r>
      <w:r w:rsidRPr="00CE0245">
        <w:rPr>
          <w:rFonts w:ascii="Arial" w:eastAsia="Times New Roman" w:hAnsi="Arial" w:cs="Arial"/>
          <w:sz w:val="24"/>
          <w:szCs w:val="24"/>
          <w:lang w:eastAsia="en-GB"/>
        </w:rPr>
        <w:t xml:space="preserve"> (2020) </w:t>
      </w:r>
      <w:r>
        <w:rPr>
          <w:rFonts w:ascii="Arial" w:eastAsia="Times New Roman" w:hAnsi="Arial" w:cs="Arial"/>
          <w:sz w:val="24"/>
          <w:szCs w:val="24"/>
          <w:lang w:eastAsia="en-GB"/>
        </w:rPr>
        <w:t>‘</w:t>
      </w:r>
      <w:r w:rsidRPr="00CE0245">
        <w:rPr>
          <w:rFonts w:ascii="Arial" w:eastAsia="Times New Roman" w:hAnsi="Arial" w:cs="Arial"/>
          <w:sz w:val="24"/>
          <w:szCs w:val="24"/>
          <w:lang w:eastAsia="en-GB"/>
        </w:rPr>
        <w:t>Leveraging Advances in Artificial Intelligence to Improve the Quality and Timing of Palliative Care</w:t>
      </w:r>
      <w:r>
        <w:rPr>
          <w:rFonts w:ascii="Arial" w:eastAsia="Times New Roman" w:hAnsi="Arial" w:cs="Arial"/>
          <w:sz w:val="24"/>
          <w:szCs w:val="24"/>
          <w:lang w:eastAsia="en-GB"/>
        </w:rPr>
        <w:t>’</w:t>
      </w:r>
      <w:r w:rsidRPr="00CE0245">
        <w:rPr>
          <w:rFonts w:ascii="Arial" w:eastAsia="Times New Roman" w:hAnsi="Arial" w:cs="Arial"/>
          <w:sz w:val="24"/>
          <w:szCs w:val="24"/>
          <w:lang w:eastAsia="en-GB"/>
        </w:rPr>
        <w:t xml:space="preserve">, </w:t>
      </w:r>
      <w:r w:rsidRPr="00CE0245">
        <w:rPr>
          <w:rFonts w:ascii="Arial" w:eastAsia="Times New Roman" w:hAnsi="Arial" w:cs="Arial"/>
          <w:i/>
          <w:iCs/>
          <w:sz w:val="24"/>
          <w:szCs w:val="24"/>
          <w:lang w:eastAsia="en-GB"/>
        </w:rPr>
        <w:t>Cancers</w:t>
      </w:r>
      <w:r w:rsidRPr="00CE0245">
        <w:rPr>
          <w:rFonts w:ascii="Arial" w:eastAsia="Times New Roman" w:hAnsi="Arial" w:cs="Arial"/>
          <w:sz w:val="24"/>
          <w:szCs w:val="24"/>
          <w:lang w:eastAsia="en-GB"/>
        </w:rPr>
        <w:t>, 12(5). Available at: https://</w:t>
      </w:r>
      <w:r>
        <w:rPr>
          <w:rFonts w:ascii="Arial" w:eastAsia="Times New Roman" w:hAnsi="Arial" w:cs="Arial"/>
          <w:sz w:val="24"/>
          <w:szCs w:val="24"/>
          <w:lang w:eastAsia="en-GB"/>
        </w:rPr>
        <w:t>doi.org/10.3390/cancers12051149</w:t>
      </w:r>
    </w:p>
    <w:p w14:paraId="2458D15F" w14:textId="77777777" w:rsidR="00DE7279" w:rsidRPr="00CE0245" w:rsidRDefault="00DE7279" w:rsidP="00DE7279">
      <w:pPr>
        <w:spacing w:line="240" w:lineRule="auto"/>
        <w:rPr>
          <w:rFonts w:ascii="Arial" w:eastAsia="Times New Roman" w:hAnsi="Arial" w:cs="Arial"/>
          <w:sz w:val="24"/>
          <w:szCs w:val="24"/>
          <w:lang w:eastAsia="en-GB"/>
        </w:rPr>
      </w:pPr>
      <w:r w:rsidRPr="00CE0245">
        <w:rPr>
          <w:rFonts w:ascii="Arial" w:eastAsia="Times New Roman" w:hAnsi="Arial" w:cs="Arial"/>
          <w:sz w:val="24"/>
          <w:szCs w:val="24"/>
          <w:lang w:eastAsia="en-GB"/>
        </w:rPr>
        <w:t>Wright, A.A</w:t>
      </w:r>
      <w:r>
        <w:rPr>
          <w:rFonts w:ascii="Arial" w:eastAsia="Times New Roman" w:hAnsi="Arial" w:cs="Arial"/>
          <w:sz w:val="24"/>
          <w:szCs w:val="24"/>
          <w:lang w:eastAsia="en-GB"/>
        </w:rPr>
        <w:t>. (2008) ‘</w:t>
      </w:r>
      <w:r w:rsidRPr="00CE0245">
        <w:rPr>
          <w:rFonts w:ascii="Arial" w:eastAsia="Times New Roman" w:hAnsi="Arial" w:cs="Arial"/>
          <w:sz w:val="24"/>
          <w:szCs w:val="24"/>
          <w:lang w:eastAsia="en-GB"/>
        </w:rPr>
        <w:t>Associations Between End-of-Life Discussions, Patient Mental Health, Medical Care Near Death, and Caregiver Bereavement Adjustment</w:t>
      </w:r>
      <w:r>
        <w:rPr>
          <w:rFonts w:ascii="Arial" w:eastAsia="Times New Roman" w:hAnsi="Arial" w:cs="Arial"/>
          <w:sz w:val="24"/>
          <w:szCs w:val="24"/>
          <w:lang w:eastAsia="en-GB"/>
        </w:rPr>
        <w:t>’</w:t>
      </w:r>
      <w:r w:rsidRPr="00CE0245">
        <w:rPr>
          <w:rFonts w:ascii="Arial" w:eastAsia="Times New Roman" w:hAnsi="Arial" w:cs="Arial"/>
          <w:sz w:val="24"/>
          <w:szCs w:val="24"/>
          <w:lang w:eastAsia="en-GB"/>
        </w:rPr>
        <w:t xml:space="preserve">, </w:t>
      </w:r>
      <w:r w:rsidRPr="00CE0245">
        <w:rPr>
          <w:rFonts w:ascii="Arial" w:eastAsia="Times New Roman" w:hAnsi="Arial" w:cs="Arial"/>
          <w:i/>
          <w:iCs/>
          <w:sz w:val="24"/>
          <w:szCs w:val="24"/>
          <w:lang w:eastAsia="en-GB"/>
        </w:rPr>
        <w:t>J</w:t>
      </w:r>
      <w:r>
        <w:rPr>
          <w:rFonts w:ascii="Arial" w:eastAsia="Times New Roman" w:hAnsi="Arial" w:cs="Arial"/>
          <w:i/>
          <w:iCs/>
          <w:sz w:val="24"/>
          <w:szCs w:val="24"/>
          <w:lang w:eastAsia="en-GB"/>
        </w:rPr>
        <w:t xml:space="preserve">ournal of the </w:t>
      </w:r>
      <w:r w:rsidRPr="00CE0245">
        <w:rPr>
          <w:rFonts w:ascii="Arial" w:eastAsia="Times New Roman" w:hAnsi="Arial" w:cs="Arial"/>
          <w:i/>
          <w:iCs/>
          <w:sz w:val="24"/>
          <w:szCs w:val="24"/>
          <w:lang w:eastAsia="en-GB"/>
        </w:rPr>
        <w:t>A</w:t>
      </w:r>
      <w:r>
        <w:rPr>
          <w:rFonts w:ascii="Arial" w:eastAsia="Times New Roman" w:hAnsi="Arial" w:cs="Arial"/>
          <w:i/>
          <w:iCs/>
          <w:sz w:val="24"/>
          <w:szCs w:val="24"/>
          <w:lang w:eastAsia="en-GB"/>
        </w:rPr>
        <w:t xml:space="preserve">merican </w:t>
      </w:r>
      <w:r w:rsidRPr="00CE0245">
        <w:rPr>
          <w:rFonts w:ascii="Arial" w:eastAsia="Times New Roman" w:hAnsi="Arial" w:cs="Arial"/>
          <w:i/>
          <w:iCs/>
          <w:sz w:val="24"/>
          <w:szCs w:val="24"/>
          <w:lang w:eastAsia="en-GB"/>
        </w:rPr>
        <w:t>M</w:t>
      </w:r>
      <w:r>
        <w:rPr>
          <w:rFonts w:ascii="Arial" w:eastAsia="Times New Roman" w:hAnsi="Arial" w:cs="Arial"/>
          <w:i/>
          <w:iCs/>
          <w:sz w:val="24"/>
          <w:szCs w:val="24"/>
          <w:lang w:eastAsia="en-GB"/>
        </w:rPr>
        <w:t xml:space="preserve">edical </w:t>
      </w:r>
      <w:r w:rsidRPr="00CE0245">
        <w:rPr>
          <w:rFonts w:ascii="Arial" w:eastAsia="Times New Roman" w:hAnsi="Arial" w:cs="Arial"/>
          <w:i/>
          <w:iCs/>
          <w:sz w:val="24"/>
          <w:szCs w:val="24"/>
          <w:lang w:eastAsia="en-GB"/>
        </w:rPr>
        <w:t>A</w:t>
      </w:r>
      <w:r>
        <w:rPr>
          <w:rFonts w:ascii="Arial" w:eastAsia="Times New Roman" w:hAnsi="Arial" w:cs="Arial"/>
          <w:i/>
          <w:iCs/>
          <w:sz w:val="24"/>
          <w:szCs w:val="24"/>
          <w:lang w:eastAsia="en-GB"/>
        </w:rPr>
        <w:t>ssociation</w:t>
      </w:r>
      <w:r w:rsidRPr="00CE0245">
        <w:rPr>
          <w:rFonts w:ascii="Arial" w:eastAsia="Times New Roman" w:hAnsi="Arial" w:cs="Arial"/>
          <w:sz w:val="24"/>
          <w:szCs w:val="24"/>
          <w:lang w:eastAsia="en-GB"/>
        </w:rPr>
        <w:t>, 300(14), p</w:t>
      </w:r>
      <w:r>
        <w:rPr>
          <w:rFonts w:ascii="Arial" w:eastAsia="Times New Roman" w:hAnsi="Arial" w:cs="Arial"/>
          <w:sz w:val="24"/>
          <w:szCs w:val="24"/>
          <w:lang w:eastAsia="en-GB"/>
        </w:rPr>
        <w:t>p</w:t>
      </w:r>
      <w:r w:rsidRPr="00CE0245">
        <w:rPr>
          <w:rFonts w:ascii="Arial" w:eastAsia="Times New Roman" w:hAnsi="Arial" w:cs="Arial"/>
          <w:sz w:val="24"/>
          <w:szCs w:val="24"/>
          <w:lang w:eastAsia="en-GB"/>
        </w:rPr>
        <w:t>. 1665. Available at: https://d</w:t>
      </w:r>
      <w:r>
        <w:rPr>
          <w:rFonts w:ascii="Arial" w:eastAsia="Times New Roman" w:hAnsi="Arial" w:cs="Arial"/>
          <w:sz w:val="24"/>
          <w:szCs w:val="24"/>
          <w:lang w:eastAsia="en-GB"/>
        </w:rPr>
        <w:t>oi.org/10.1001/jama.300.14.1665</w:t>
      </w:r>
    </w:p>
    <w:p w14:paraId="7E64F5C9" w14:textId="77777777" w:rsidR="00DE7279" w:rsidRPr="00300F4F" w:rsidRDefault="00DE7279" w:rsidP="00DE7279">
      <w:pPr>
        <w:rPr>
          <w:rFonts w:ascii="Arial" w:hAnsi="Arial" w:cs="Arial"/>
          <w:sz w:val="24"/>
          <w:szCs w:val="24"/>
        </w:rPr>
      </w:pPr>
      <w:r w:rsidRPr="00300F4F">
        <w:rPr>
          <w:rFonts w:ascii="Arial" w:hAnsi="Arial" w:cs="Arial"/>
          <w:sz w:val="24"/>
          <w:szCs w:val="24"/>
        </w:rPr>
        <w:t xml:space="preserve">Ying, J. (2020) ‘The Importance of the Discussion Method in the Undergraduate Business Classroom’, Humanistic Management Journal, 5(2), pp. 251–78. Available at: </w:t>
      </w:r>
      <w:r w:rsidRPr="00300F4F">
        <w:rPr>
          <w:rFonts w:ascii="Arial" w:hAnsi="Arial" w:cs="Arial"/>
          <w:color w:val="212121"/>
          <w:sz w:val="24"/>
          <w:szCs w:val="24"/>
          <w:shd w:val="clear" w:color="auto" w:fill="FFFFFF"/>
        </w:rPr>
        <w:t>https://doi:</w:t>
      </w:r>
      <w:r w:rsidRPr="00300F4F">
        <w:rPr>
          <w:rFonts w:ascii="Arial" w:hAnsi="Arial" w:cs="Arial"/>
          <w:sz w:val="24"/>
          <w:szCs w:val="24"/>
        </w:rPr>
        <w:t>10.1007/s41463-020-00099-2</w:t>
      </w:r>
    </w:p>
    <w:p w14:paraId="02361CC7" w14:textId="77777777" w:rsidR="00DE7279" w:rsidRPr="00CE0245" w:rsidRDefault="00DE7279" w:rsidP="00DE7279">
      <w:pPr>
        <w:spacing w:line="240" w:lineRule="auto"/>
        <w:rPr>
          <w:rFonts w:ascii="Arial" w:eastAsia="Times New Roman" w:hAnsi="Arial" w:cs="Arial"/>
          <w:sz w:val="24"/>
          <w:szCs w:val="24"/>
          <w:lang w:eastAsia="en-GB"/>
        </w:rPr>
      </w:pPr>
      <w:r w:rsidRPr="00CE0245">
        <w:rPr>
          <w:rFonts w:ascii="Arial" w:eastAsia="Times New Roman" w:hAnsi="Arial" w:cs="Arial"/>
          <w:sz w:val="24"/>
          <w:szCs w:val="24"/>
          <w:lang w:eastAsia="en-GB"/>
        </w:rPr>
        <w:t xml:space="preserve">Zhang, H., Li, Y. and McConnell, W. (2021) </w:t>
      </w:r>
      <w:r>
        <w:rPr>
          <w:rFonts w:ascii="Arial" w:eastAsia="Times New Roman" w:hAnsi="Arial" w:cs="Arial"/>
          <w:sz w:val="24"/>
          <w:szCs w:val="24"/>
          <w:lang w:eastAsia="en-GB"/>
        </w:rPr>
        <w:t>‘</w:t>
      </w:r>
      <w:r w:rsidRPr="00CE0245">
        <w:rPr>
          <w:rFonts w:ascii="Arial" w:eastAsia="Times New Roman" w:hAnsi="Arial" w:cs="Arial"/>
          <w:sz w:val="24"/>
          <w:szCs w:val="24"/>
          <w:lang w:eastAsia="en-GB"/>
        </w:rPr>
        <w:t>Predicting potential palliative care beneficiaries for health plans: A generalized machine learning pipeline</w:t>
      </w:r>
      <w:r>
        <w:rPr>
          <w:rFonts w:ascii="Arial" w:eastAsia="Times New Roman" w:hAnsi="Arial" w:cs="Arial"/>
          <w:sz w:val="24"/>
          <w:szCs w:val="24"/>
          <w:lang w:eastAsia="en-GB"/>
        </w:rPr>
        <w:t>’</w:t>
      </w:r>
      <w:r w:rsidRPr="00CE0245">
        <w:rPr>
          <w:rFonts w:ascii="Arial" w:eastAsia="Times New Roman" w:hAnsi="Arial" w:cs="Arial"/>
          <w:sz w:val="24"/>
          <w:szCs w:val="24"/>
          <w:lang w:eastAsia="en-GB"/>
        </w:rPr>
        <w:t xml:space="preserve">, </w:t>
      </w:r>
      <w:r w:rsidRPr="00CE0245">
        <w:rPr>
          <w:rFonts w:ascii="Arial" w:eastAsia="Times New Roman" w:hAnsi="Arial" w:cs="Arial"/>
          <w:i/>
          <w:iCs/>
          <w:sz w:val="24"/>
          <w:szCs w:val="24"/>
          <w:lang w:eastAsia="en-GB"/>
        </w:rPr>
        <w:t>Journal of Biomedical Informatics</w:t>
      </w:r>
      <w:r w:rsidRPr="00CE0245">
        <w:rPr>
          <w:rFonts w:ascii="Arial" w:eastAsia="Times New Roman" w:hAnsi="Arial" w:cs="Arial"/>
          <w:sz w:val="24"/>
          <w:szCs w:val="24"/>
          <w:lang w:eastAsia="en-GB"/>
        </w:rPr>
        <w:t>, 123. Available at: https://do</w:t>
      </w:r>
      <w:r>
        <w:rPr>
          <w:rFonts w:ascii="Arial" w:eastAsia="Times New Roman" w:hAnsi="Arial" w:cs="Arial"/>
          <w:sz w:val="24"/>
          <w:szCs w:val="24"/>
          <w:lang w:eastAsia="en-GB"/>
        </w:rPr>
        <w:t>i.org/10.1016/j.jbi.2021.103922</w:t>
      </w:r>
    </w:p>
    <w:p w14:paraId="70FAC266" w14:textId="77777777" w:rsidR="00DE7279" w:rsidRPr="00CE0245" w:rsidRDefault="00DE7279" w:rsidP="00DE7279">
      <w:pPr>
        <w:spacing w:line="240" w:lineRule="auto"/>
        <w:rPr>
          <w:rFonts w:ascii="Arial" w:eastAsia="Times New Roman" w:hAnsi="Arial" w:cs="Arial"/>
          <w:sz w:val="24"/>
          <w:szCs w:val="24"/>
          <w:lang w:eastAsia="en-GB"/>
        </w:rPr>
      </w:pPr>
      <w:r w:rsidRPr="00CE0245">
        <w:rPr>
          <w:rFonts w:ascii="Arial" w:eastAsia="Times New Roman" w:hAnsi="Arial" w:cs="Arial"/>
          <w:sz w:val="24"/>
          <w:szCs w:val="24"/>
          <w:lang w:eastAsia="en-GB"/>
        </w:rPr>
        <w:t>Zhang, J.</w:t>
      </w:r>
      <w:r>
        <w:rPr>
          <w:rFonts w:ascii="Arial" w:eastAsia="Times New Roman" w:hAnsi="Arial" w:cs="Arial"/>
          <w:sz w:val="24"/>
          <w:szCs w:val="24"/>
          <w:lang w:eastAsia="en-GB"/>
        </w:rPr>
        <w:t>, Song, L., Miller, Z., Chan, K. and Huang, K. (2024) ‘</w:t>
      </w:r>
      <w:r w:rsidRPr="00CE0245">
        <w:rPr>
          <w:rFonts w:ascii="Arial" w:eastAsia="Times New Roman" w:hAnsi="Arial" w:cs="Arial"/>
          <w:sz w:val="24"/>
          <w:szCs w:val="24"/>
          <w:lang w:eastAsia="en-GB"/>
        </w:rPr>
        <w:t>Machine learning models identify predictive features of patient mortality across dementia types</w:t>
      </w:r>
      <w:r>
        <w:rPr>
          <w:rFonts w:ascii="Arial" w:eastAsia="Times New Roman" w:hAnsi="Arial" w:cs="Arial"/>
          <w:sz w:val="24"/>
          <w:szCs w:val="24"/>
          <w:lang w:eastAsia="en-GB"/>
        </w:rPr>
        <w:t>’</w:t>
      </w:r>
      <w:r w:rsidRPr="00CE0245">
        <w:rPr>
          <w:rFonts w:ascii="Arial" w:eastAsia="Times New Roman" w:hAnsi="Arial" w:cs="Arial"/>
          <w:sz w:val="24"/>
          <w:szCs w:val="24"/>
          <w:lang w:eastAsia="en-GB"/>
        </w:rPr>
        <w:t xml:space="preserve">, </w:t>
      </w:r>
      <w:r w:rsidRPr="00CE0245">
        <w:rPr>
          <w:rFonts w:ascii="Arial" w:eastAsia="Times New Roman" w:hAnsi="Arial" w:cs="Arial"/>
          <w:i/>
          <w:iCs/>
          <w:sz w:val="24"/>
          <w:szCs w:val="24"/>
          <w:lang w:eastAsia="en-GB"/>
        </w:rPr>
        <w:t>Communications Medicine</w:t>
      </w:r>
      <w:r w:rsidRPr="00CE0245">
        <w:rPr>
          <w:rFonts w:ascii="Arial" w:eastAsia="Times New Roman" w:hAnsi="Arial" w:cs="Arial"/>
          <w:sz w:val="24"/>
          <w:szCs w:val="24"/>
          <w:lang w:eastAsia="en-GB"/>
        </w:rPr>
        <w:t xml:space="preserve">, 4(1), </w:t>
      </w:r>
      <w:r>
        <w:rPr>
          <w:rFonts w:ascii="Arial" w:eastAsia="Times New Roman" w:hAnsi="Arial" w:cs="Arial"/>
          <w:sz w:val="24"/>
          <w:szCs w:val="24"/>
          <w:lang w:eastAsia="en-GB"/>
        </w:rPr>
        <w:t>p</w:t>
      </w:r>
      <w:r w:rsidRPr="00CE0245">
        <w:rPr>
          <w:rFonts w:ascii="Arial" w:eastAsia="Times New Roman" w:hAnsi="Arial" w:cs="Arial"/>
          <w:sz w:val="24"/>
          <w:szCs w:val="24"/>
          <w:lang w:eastAsia="en-GB"/>
        </w:rPr>
        <w:t>p. 23. Available at: https://doi.org/1</w:t>
      </w:r>
      <w:r>
        <w:rPr>
          <w:rFonts w:ascii="Arial" w:eastAsia="Times New Roman" w:hAnsi="Arial" w:cs="Arial"/>
          <w:sz w:val="24"/>
          <w:szCs w:val="24"/>
          <w:lang w:eastAsia="en-GB"/>
        </w:rPr>
        <w:t>0.1038/s43856-024-00437-7</w:t>
      </w:r>
    </w:p>
    <w:p w14:paraId="5F00C787" w14:textId="77777777" w:rsidR="00DE7279" w:rsidRPr="00CE0245" w:rsidRDefault="00DE7279" w:rsidP="00DE7279">
      <w:pPr>
        <w:spacing w:line="240" w:lineRule="auto"/>
        <w:rPr>
          <w:rFonts w:ascii="Arial" w:eastAsia="Times New Roman" w:hAnsi="Arial" w:cs="Arial"/>
          <w:sz w:val="24"/>
          <w:szCs w:val="24"/>
          <w:lang w:eastAsia="en-GB"/>
        </w:rPr>
      </w:pPr>
      <w:r w:rsidRPr="00CE0245">
        <w:rPr>
          <w:rFonts w:ascii="Arial" w:eastAsia="Times New Roman" w:hAnsi="Arial" w:cs="Arial"/>
          <w:sz w:val="24"/>
          <w:szCs w:val="24"/>
          <w:lang w:eastAsia="en-GB"/>
        </w:rPr>
        <w:lastRenderedPageBreak/>
        <w:t>Zhuang, Q.</w:t>
      </w:r>
      <w:r>
        <w:rPr>
          <w:rFonts w:ascii="Arial" w:eastAsia="Times New Roman" w:hAnsi="Arial" w:cs="Arial"/>
          <w:sz w:val="24"/>
          <w:szCs w:val="24"/>
          <w:lang w:eastAsia="en-GB"/>
        </w:rPr>
        <w:t xml:space="preserve">, Zhang, A., Cong, R., Yang, G., Neo, P., Tan, D., Chua, M., Tan, I., Wong, F., </w:t>
      </w:r>
      <w:proofErr w:type="spellStart"/>
      <w:r>
        <w:rPr>
          <w:rFonts w:ascii="Arial" w:eastAsia="Times New Roman" w:hAnsi="Arial" w:cs="Arial"/>
          <w:sz w:val="24"/>
          <w:szCs w:val="24"/>
          <w:lang w:eastAsia="en-GB"/>
        </w:rPr>
        <w:t>Eng</w:t>
      </w:r>
      <w:proofErr w:type="spellEnd"/>
      <w:r>
        <w:rPr>
          <w:rFonts w:ascii="Arial" w:eastAsia="Times New Roman" w:hAnsi="Arial" w:cs="Arial"/>
          <w:sz w:val="24"/>
          <w:szCs w:val="24"/>
          <w:lang w:eastAsia="en-GB"/>
        </w:rPr>
        <w:t xml:space="preserve"> Hong Ong, M., Shao Wei Lam, S. and Liu, N. (2024) ‘</w:t>
      </w:r>
      <w:r w:rsidRPr="00CE0245">
        <w:rPr>
          <w:rFonts w:ascii="Arial" w:eastAsia="Times New Roman" w:hAnsi="Arial" w:cs="Arial"/>
          <w:sz w:val="24"/>
          <w:szCs w:val="24"/>
          <w:lang w:eastAsia="en-GB"/>
        </w:rPr>
        <w:t>Towards proactive palliative care in oncology: developing an explainable EHR-based machine learning model for mortality risk prediction</w:t>
      </w:r>
      <w:r>
        <w:rPr>
          <w:rFonts w:ascii="Arial" w:eastAsia="Times New Roman" w:hAnsi="Arial" w:cs="Arial"/>
          <w:sz w:val="24"/>
          <w:szCs w:val="24"/>
          <w:lang w:eastAsia="en-GB"/>
        </w:rPr>
        <w:t>’</w:t>
      </w:r>
      <w:r w:rsidRPr="00CE0245">
        <w:rPr>
          <w:rFonts w:ascii="Arial" w:eastAsia="Times New Roman" w:hAnsi="Arial" w:cs="Arial"/>
          <w:sz w:val="24"/>
          <w:szCs w:val="24"/>
          <w:lang w:eastAsia="en-GB"/>
        </w:rPr>
        <w:t xml:space="preserve">, </w:t>
      </w:r>
      <w:r w:rsidRPr="00CE0245">
        <w:rPr>
          <w:rFonts w:ascii="Arial" w:eastAsia="Times New Roman" w:hAnsi="Arial" w:cs="Arial"/>
          <w:i/>
          <w:iCs/>
          <w:sz w:val="24"/>
          <w:szCs w:val="24"/>
          <w:lang w:eastAsia="en-GB"/>
        </w:rPr>
        <w:t>BMC Palliative Care</w:t>
      </w:r>
      <w:r w:rsidRPr="00CE0245">
        <w:rPr>
          <w:rFonts w:ascii="Arial" w:eastAsia="Times New Roman" w:hAnsi="Arial" w:cs="Arial"/>
          <w:sz w:val="24"/>
          <w:szCs w:val="24"/>
          <w:lang w:eastAsia="en-GB"/>
        </w:rPr>
        <w:t>, 23(1). Available at: https://doi.org/10.1186</w:t>
      </w:r>
      <w:r>
        <w:rPr>
          <w:rFonts w:ascii="Arial" w:eastAsia="Times New Roman" w:hAnsi="Arial" w:cs="Arial"/>
          <w:sz w:val="24"/>
          <w:szCs w:val="24"/>
          <w:lang w:eastAsia="en-GB"/>
        </w:rPr>
        <w:t>/s12904-024-01457-9</w:t>
      </w:r>
    </w:p>
    <w:p w14:paraId="3BF37C5B" w14:textId="77777777" w:rsidR="00DE7279" w:rsidRDefault="00DE7279" w:rsidP="00DE7279">
      <w:pPr>
        <w:rPr>
          <w:rFonts w:ascii="Arial" w:hAnsi="Arial" w:cs="Arial"/>
        </w:rPr>
      </w:pPr>
    </w:p>
    <w:p w14:paraId="2DCE679A" w14:textId="77777777" w:rsidR="00CA050C" w:rsidRDefault="00CA050C">
      <w:pPr>
        <w:rPr>
          <w:rFonts w:ascii="Arial" w:hAnsi="Arial" w:cs="Arial"/>
          <w:b/>
          <w:sz w:val="28"/>
          <w:szCs w:val="28"/>
        </w:rPr>
      </w:pPr>
      <w:r>
        <w:rPr>
          <w:rFonts w:ascii="Arial" w:hAnsi="Arial" w:cs="Arial"/>
          <w:b/>
          <w:sz w:val="28"/>
          <w:szCs w:val="28"/>
        </w:rPr>
        <w:br w:type="page"/>
      </w:r>
    </w:p>
    <w:p w14:paraId="23D3924C" w14:textId="42F78C4E" w:rsidR="00F47F29" w:rsidRPr="00186B7B" w:rsidRDefault="00F47F29" w:rsidP="00F47F29">
      <w:pPr>
        <w:rPr>
          <w:rFonts w:ascii="Arial" w:hAnsi="Arial" w:cs="Arial"/>
          <w:b/>
          <w:sz w:val="28"/>
          <w:szCs w:val="28"/>
        </w:rPr>
      </w:pPr>
      <w:r w:rsidRPr="00186B7B">
        <w:rPr>
          <w:rFonts w:ascii="Arial" w:hAnsi="Arial" w:cs="Arial"/>
          <w:b/>
          <w:sz w:val="28"/>
          <w:szCs w:val="28"/>
        </w:rPr>
        <w:lastRenderedPageBreak/>
        <w:t>Appendix A</w:t>
      </w:r>
      <w:r w:rsidRPr="00186B7B">
        <w:rPr>
          <w:rFonts w:ascii="Arial" w:hAnsi="Arial" w:cs="Arial"/>
          <w:b/>
          <w:sz w:val="28"/>
          <w:szCs w:val="28"/>
        </w:rPr>
        <w:tab/>
      </w:r>
      <w:r w:rsidRPr="00186B7B">
        <w:rPr>
          <w:rFonts w:ascii="Arial" w:hAnsi="Arial" w:cs="Arial"/>
          <w:b/>
          <w:sz w:val="28"/>
          <w:szCs w:val="28"/>
        </w:rPr>
        <w:tab/>
        <w:t>Ethics Approval Form</w:t>
      </w:r>
    </w:p>
    <w:p w14:paraId="06A04488"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2A990A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7pt;height:632pt" o:ole="">
            <v:imagedata r:id="rId50" o:title=""/>
          </v:shape>
          <o:OLEObject Type="Embed" ProgID="AcroExch.Document.DC" ShapeID="_x0000_i1025" DrawAspect="Content" ObjectID="_1807770913" r:id="rId51"/>
        </w:object>
      </w:r>
    </w:p>
    <w:p w14:paraId="4D71BD7E" w14:textId="77777777" w:rsidR="00F47F29" w:rsidRPr="00186B7B" w:rsidRDefault="00F47F29" w:rsidP="00F47F29">
      <w:pPr>
        <w:rPr>
          <w:rFonts w:ascii="Arial" w:hAnsi="Arial" w:cs="Arial"/>
          <w:sz w:val="28"/>
          <w:szCs w:val="28"/>
        </w:rPr>
      </w:pPr>
    </w:p>
    <w:p w14:paraId="1F7F6B6F" w14:textId="77777777" w:rsidR="00F47F29" w:rsidRPr="00186B7B" w:rsidRDefault="00F47F29" w:rsidP="00F47F29">
      <w:pPr>
        <w:rPr>
          <w:rFonts w:ascii="Arial" w:hAnsi="Arial" w:cs="Arial"/>
          <w:sz w:val="28"/>
          <w:szCs w:val="28"/>
        </w:rPr>
      </w:pPr>
    </w:p>
    <w:p w14:paraId="764940EF"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4C30321C">
          <v:shape id="_x0000_i1026" type="#_x0000_t75" style="width:447pt;height:632pt" o:ole="">
            <v:imagedata r:id="rId52" o:title=""/>
          </v:shape>
          <o:OLEObject Type="Embed" ProgID="AcroExch.Document.DC" ShapeID="_x0000_i1026" DrawAspect="Content" ObjectID="_1807770914" r:id="rId53"/>
        </w:object>
      </w:r>
    </w:p>
    <w:p w14:paraId="734D1931" w14:textId="77777777" w:rsidR="00F47F29" w:rsidRPr="00186B7B" w:rsidRDefault="00F47F29" w:rsidP="00F47F29">
      <w:pPr>
        <w:rPr>
          <w:rFonts w:ascii="Arial" w:hAnsi="Arial" w:cs="Arial"/>
          <w:sz w:val="28"/>
          <w:szCs w:val="28"/>
        </w:rPr>
      </w:pPr>
    </w:p>
    <w:p w14:paraId="6FCC5D1E" w14:textId="77777777" w:rsidR="00F47F29" w:rsidRPr="00186B7B" w:rsidRDefault="00F47F29" w:rsidP="00F47F29">
      <w:pPr>
        <w:rPr>
          <w:rFonts w:ascii="Arial" w:hAnsi="Arial" w:cs="Arial"/>
          <w:sz w:val="28"/>
          <w:szCs w:val="28"/>
        </w:rPr>
      </w:pPr>
    </w:p>
    <w:p w14:paraId="0E1D2C88"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6FFF3436">
          <v:shape id="_x0000_i1027" type="#_x0000_t75" style="width:447pt;height:632pt" o:ole="">
            <v:imagedata r:id="rId54" o:title=""/>
          </v:shape>
          <o:OLEObject Type="Embed" ProgID="AcroExch.Document.DC" ShapeID="_x0000_i1027" DrawAspect="Content" ObjectID="_1807770915" r:id="rId55"/>
        </w:object>
      </w:r>
    </w:p>
    <w:p w14:paraId="10420ECA" w14:textId="77777777" w:rsidR="00F47F29" w:rsidRPr="00186B7B" w:rsidRDefault="00F47F29" w:rsidP="00F47F29">
      <w:pPr>
        <w:rPr>
          <w:rFonts w:ascii="Arial" w:hAnsi="Arial" w:cs="Arial"/>
          <w:sz w:val="28"/>
          <w:szCs w:val="28"/>
        </w:rPr>
      </w:pPr>
    </w:p>
    <w:p w14:paraId="513E0365" w14:textId="77777777" w:rsidR="00F47F29" w:rsidRPr="00186B7B" w:rsidRDefault="00F47F29" w:rsidP="00F47F29">
      <w:pPr>
        <w:rPr>
          <w:rFonts w:ascii="Arial" w:hAnsi="Arial" w:cs="Arial"/>
          <w:sz w:val="28"/>
          <w:szCs w:val="28"/>
        </w:rPr>
      </w:pPr>
    </w:p>
    <w:p w14:paraId="53151361"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2C82E5DE">
          <v:shape id="_x0000_i1028" type="#_x0000_t75" style="width:447pt;height:632pt" o:ole="">
            <v:imagedata r:id="rId56" o:title=""/>
          </v:shape>
          <o:OLEObject Type="Embed" ProgID="AcroExch.Document.DC" ShapeID="_x0000_i1028" DrawAspect="Content" ObjectID="_1807770916" r:id="rId57"/>
        </w:object>
      </w:r>
    </w:p>
    <w:p w14:paraId="6A955A56" w14:textId="77777777" w:rsidR="00F47F29" w:rsidRPr="00186B7B" w:rsidRDefault="00F47F29" w:rsidP="00F47F29">
      <w:pPr>
        <w:rPr>
          <w:rFonts w:ascii="Arial" w:hAnsi="Arial" w:cs="Arial"/>
          <w:sz w:val="28"/>
          <w:szCs w:val="28"/>
        </w:rPr>
      </w:pPr>
    </w:p>
    <w:p w14:paraId="7EB776DF" w14:textId="77777777" w:rsidR="00F47F29" w:rsidRPr="00186B7B" w:rsidRDefault="00F47F29" w:rsidP="00F47F29">
      <w:pPr>
        <w:rPr>
          <w:rFonts w:ascii="Arial" w:hAnsi="Arial" w:cs="Arial"/>
          <w:sz w:val="28"/>
          <w:szCs w:val="28"/>
        </w:rPr>
      </w:pPr>
    </w:p>
    <w:p w14:paraId="5F583CD9"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34B93F01">
          <v:shape id="_x0000_i1029" type="#_x0000_t75" style="width:447pt;height:632pt" o:ole="">
            <v:imagedata r:id="rId58" o:title=""/>
          </v:shape>
          <o:OLEObject Type="Embed" ProgID="AcroExch.Document.DC" ShapeID="_x0000_i1029" DrawAspect="Content" ObjectID="_1807770917" r:id="rId59"/>
        </w:object>
      </w:r>
    </w:p>
    <w:p w14:paraId="57234A24" w14:textId="77777777" w:rsidR="00F47F29" w:rsidRPr="00186B7B" w:rsidRDefault="00F47F29" w:rsidP="00F47F29">
      <w:pPr>
        <w:rPr>
          <w:rFonts w:ascii="Arial" w:hAnsi="Arial" w:cs="Arial"/>
          <w:sz w:val="28"/>
          <w:szCs w:val="28"/>
        </w:rPr>
      </w:pPr>
    </w:p>
    <w:p w14:paraId="7FE023D6"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41B2DC89">
          <v:shape id="_x0000_i1030" type="#_x0000_t75" style="width:447pt;height:632pt" o:ole="">
            <v:imagedata r:id="rId60" o:title=""/>
          </v:shape>
          <o:OLEObject Type="Embed" ProgID="AcroExch.Document.DC" ShapeID="_x0000_i1030" DrawAspect="Content" ObjectID="_1807770918" r:id="rId61"/>
        </w:object>
      </w:r>
    </w:p>
    <w:p w14:paraId="54CBC400" w14:textId="77777777" w:rsidR="00F47F29" w:rsidRPr="00186B7B" w:rsidRDefault="00F47F29" w:rsidP="00F47F29">
      <w:pPr>
        <w:rPr>
          <w:rFonts w:ascii="Arial" w:hAnsi="Arial" w:cs="Arial"/>
          <w:sz w:val="28"/>
          <w:szCs w:val="28"/>
        </w:rPr>
      </w:pPr>
    </w:p>
    <w:p w14:paraId="282B0633" w14:textId="77777777" w:rsidR="00F47F29" w:rsidRPr="00186B7B" w:rsidRDefault="00F47F29" w:rsidP="00F47F29">
      <w:pPr>
        <w:rPr>
          <w:rFonts w:ascii="Arial" w:hAnsi="Arial" w:cs="Arial"/>
          <w:sz w:val="28"/>
          <w:szCs w:val="28"/>
        </w:rPr>
      </w:pPr>
    </w:p>
    <w:p w14:paraId="15998FF9" w14:textId="77777777" w:rsidR="00F47F29" w:rsidRPr="00186B7B" w:rsidRDefault="00F47F29" w:rsidP="00F47F29">
      <w:pPr>
        <w:rPr>
          <w:rFonts w:ascii="Arial" w:hAnsi="Arial" w:cs="Arial"/>
          <w:sz w:val="28"/>
          <w:szCs w:val="28"/>
        </w:rPr>
      </w:pPr>
    </w:p>
    <w:p w14:paraId="3F34F4D6"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05C33F14">
          <v:shape id="_x0000_i1031" type="#_x0000_t75" style="width:447pt;height:632pt" o:ole="">
            <v:imagedata r:id="rId62" o:title=""/>
          </v:shape>
          <o:OLEObject Type="Embed" ProgID="AcroExch.Document.DC" ShapeID="_x0000_i1031" DrawAspect="Content" ObjectID="_1807770919" r:id="rId63"/>
        </w:object>
      </w:r>
    </w:p>
    <w:p w14:paraId="6DA1841D" w14:textId="77777777" w:rsidR="00F47F29" w:rsidRPr="00186B7B" w:rsidRDefault="00F47F29" w:rsidP="00F47F29">
      <w:pPr>
        <w:rPr>
          <w:rFonts w:ascii="Arial" w:hAnsi="Arial" w:cs="Arial"/>
          <w:sz w:val="28"/>
          <w:szCs w:val="28"/>
        </w:rPr>
      </w:pPr>
    </w:p>
    <w:p w14:paraId="68564C96" w14:textId="77777777" w:rsidR="00F47F29" w:rsidRPr="00186B7B" w:rsidRDefault="00F47F29" w:rsidP="00F47F29">
      <w:pPr>
        <w:rPr>
          <w:rFonts w:ascii="Arial" w:hAnsi="Arial" w:cs="Arial"/>
          <w:sz w:val="28"/>
          <w:szCs w:val="28"/>
        </w:rPr>
      </w:pPr>
    </w:p>
    <w:p w14:paraId="51C500AA"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2E57846F">
          <v:shape id="_x0000_i1032" type="#_x0000_t75" style="width:447pt;height:632pt" o:ole="">
            <v:imagedata r:id="rId64" o:title=""/>
          </v:shape>
          <o:OLEObject Type="Embed" ProgID="AcroExch.Document.DC" ShapeID="_x0000_i1032" DrawAspect="Content" ObjectID="_1807770920" r:id="rId65"/>
        </w:object>
      </w:r>
    </w:p>
    <w:p w14:paraId="0DB7625C" w14:textId="77777777" w:rsidR="00F47F29" w:rsidRPr="00186B7B" w:rsidRDefault="00F47F29" w:rsidP="00F47F29">
      <w:pPr>
        <w:rPr>
          <w:rFonts w:ascii="Arial" w:hAnsi="Arial" w:cs="Arial"/>
          <w:sz w:val="28"/>
          <w:szCs w:val="28"/>
        </w:rPr>
      </w:pPr>
    </w:p>
    <w:p w14:paraId="4F452CC7" w14:textId="77777777" w:rsidR="00F47F29" w:rsidRPr="00186B7B" w:rsidRDefault="00F47F29" w:rsidP="00F47F29">
      <w:pPr>
        <w:rPr>
          <w:rFonts w:ascii="Arial" w:hAnsi="Arial" w:cs="Arial"/>
          <w:sz w:val="28"/>
          <w:szCs w:val="28"/>
        </w:rPr>
      </w:pPr>
    </w:p>
    <w:p w14:paraId="2BD3A177"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6E806991">
          <v:shape id="_x0000_i1033" type="#_x0000_t75" style="width:447pt;height:632pt" o:ole="">
            <v:imagedata r:id="rId66" o:title=""/>
          </v:shape>
          <o:OLEObject Type="Embed" ProgID="AcroExch.Document.DC" ShapeID="_x0000_i1033" DrawAspect="Content" ObjectID="_1807770921" r:id="rId67"/>
        </w:object>
      </w:r>
    </w:p>
    <w:p w14:paraId="70E61D88" w14:textId="77777777" w:rsidR="00F47F29" w:rsidRPr="00186B7B" w:rsidRDefault="00F47F29" w:rsidP="00F47F29">
      <w:pPr>
        <w:rPr>
          <w:rFonts w:ascii="Arial" w:hAnsi="Arial" w:cs="Arial"/>
          <w:sz w:val="28"/>
          <w:szCs w:val="28"/>
        </w:rPr>
      </w:pPr>
    </w:p>
    <w:p w14:paraId="4707D94D" w14:textId="77777777" w:rsidR="00F47F29" w:rsidRPr="00186B7B" w:rsidRDefault="00F47F29" w:rsidP="00F47F29">
      <w:pPr>
        <w:rPr>
          <w:rFonts w:ascii="Arial" w:hAnsi="Arial" w:cs="Arial"/>
          <w:sz w:val="28"/>
          <w:szCs w:val="28"/>
        </w:rPr>
      </w:pPr>
    </w:p>
    <w:p w14:paraId="13283239"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4F5ED84F">
          <v:shape id="_x0000_i1034" type="#_x0000_t75" style="width:447pt;height:632pt" o:ole="">
            <v:imagedata r:id="rId68" o:title=""/>
          </v:shape>
          <o:OLEObject Type="Embed" ProgID="AcroExch.Document.DC" ShapeID="_x0000_i1034" DrawAspect="Content" ObjectID="_1807770922" r:id="rId69"/>
        </w:object>
      </w:r>
    </w:p>
    <w:p w14:paraId="081B609E" w14:textId="77777777" w:rsidR="00F47F29" w:rsidRPr="00186B7B" w:rsidRDefault="00F47F29" w:rsidP="00F47F29">
      <w:pPr>
        <w:rPr>
          <w:rFonts w:ascii="Arial" w:hAnsi="Arial" w:cs="Arial"/>
          <w:sz w:val="28"/>
          <w:szCs w:val="28"/>
        </w:rPr>
      </w:pPr>
    </w:p>
    <w:p w14:paraId="1D5651CF" w14:textId="77777777" w:rsidR="00F47F29" w:rsidRPr="00186B7B" w:rsidRDefault="00F47F29" w:rsidP="00F47F29">
      <w:pPr>
        <w:rPr>
          <w:rFonts w:ascii="Arial" w:hAnsi="Arial" w:cs="Arial"/>
          <w:sz w:val="28"/>
          <w:szCs w:val="28"/>
        </w:rPr>
      </w:pPr>
    </w:p>
    <w:p w14:paraId="138D45D2"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049D39A0">
          <v:shape id="_x0000_i1035" type="#_x0000_t75" style="width:447pt;height:632pt" o:ole="">
            <v:imagedata r:id="rId70" o:title=""/>
          </v:shape>
          <o:OLEObject Type="Embed" ProgID="AcroExch.Document.DC" ShapeID="_x0000_i1035" DrawAspect="Content" ObjectID="_1807770923" r:id="rId71"/>
        </w:object>
      </w:r>
    </w:p>
    <w:p w14:paraId="2DBC580A" w14:textId="77777777" w:rsidR="00F47F29" w:rsidRPr="00186B7B" w:rsidRDefault="00F47F29" w:rsidP="00F47F29">
      <w:pPr>
        <w:rPr>
          <w:rFonts w:ascii="Arial" w:hAnsi="Arial" w:cs="Arial"/>
          <w:sz w:val="28"/>
          <w:szCs w:val="28"/>
        </w:rPr>
      </w:pPr>
    </w:p>
    <w:p w14:paraId="2D8A4DCD" w14:textId="77777777" w:rsidR="00F47F29" w:rsidRPr="00186B7B" w:rsidRDefault="00F47F29" w:rsidP="00F47F29">
      <w:pPr>
        <w:rPr>
          <w:rFonts w:ascii="Arial" w:hAnsi="Arial" w:cs="Arial"/>
          <w:sz w:val="28"/>
          <w:szCs w:val="28"/>
        </w:rPr>
      </w:pPr>
    </w:p>
    <w:p w14:paraId="2DD786F8" w14:textId="77777777" w:rsidR="00F47F29" w:rsidRPr="00186B7B" w:rsidRDefault="00F47F29" w:rsidP="00F47F29">
      <w:pPr>
        <w:rPr>
          <w:rFonts w:ascii="Arial" w:hAnsi="Arial" w:cs="Arial"/>
          <w:sz w:val="28"/>
          <w:szCs w:val="28"/>
        </w:rPr>
      </w:pPr>
      <w:r w:rsidRPr="00186B7B">
        <w:rPr>
          <w:rFonts w:ascii="Arial" w:hAnsi="Arial" w:cs="Arial"/>
          <w:sz w:val="28"/>
          <w:szCs w:val="28"/>
        </w:rPr>
        <w:object w:dxaOrig="8926" w:dyaOrig="12631" w14:anchorId="1EB86A52">
          <v:shape id="_x0000_i1036" type="#_x0000_t75" style="width:447pt;height:632pt" o:ole="">
            <v:imagedata r:id="rId72" o:title=""/>
          </v:shape>
          <o:OLEObject Type="Embed" ProgID="AcroExch.Document.DC" ShapeID="_x0000_i1036" DrawAspect="Content" ObjectID="_1807770924" r:id="rId73"/>
        </w:object>
      </w:r>
    </w:p>
    <w:p w14:paraId="4061953C" w14:textId="77777777" w:rsidR="00F47F29" w:rsidRPr="00186B7B" w:rsidRDefault="00F47F29" w:rsidP="00F47F29">
      <w:pPr>
        <w:rPr>
          <w:rFonts w:ascii="Arial" w:hAnsi="Arial" w:cs="Arial"/>
          <w:sz w:val="28"/>
          <w:szCs w:val="28"/>
        </w:rPr>
      </w:pPr>
      <w:r w:rsidRPr="00186B7B">
        <w:rPr>
          <w:rFonts w:ascii="Arial" w:hAnsi="Arial" w:cs="Arial"/>
          <w:sz w:val="28"/>
          <w:szCs w:val="28"/>
        </w:rPr>
        <w:br w:type="page"/>
      </w:r>
    </w:p>
    <w:p w14:paraId="1BA7C063" w14:textId="77777777" w:rsidR="008C50C6" w:rsidRDefault="008C50C6" w:rsidP="00F47F29">
      <w:pPr>
        <w:rPr>
          <w:rFonts w:ascii="Arial" w:hAnsi="Arial" w:cs="Arial"/>
          <w:b/>
          <w:sz w:val="28"/>
          <w:szCs w:val="28"/>
        </w:rPr>
        <w:sectPr w:rsidR="008C50C6" w:rsidSect="009D2290">
          <w:footerReference w:type="default" r:id="rId74"/>
          <w:pgSz w:w="11906" w:h="16838"/>
          <w:pgMar w:top="1440" w:right="1440" w:bottom="1440" w:left="1440" w:header="708" w:footer="708" w:gutter="0"/>
          <w:pgNumType w:start="1"/>
          <w:cols w:space="708"/>
          <w:docGrid w:linePitch="360"/>
        </w:sectPr>
      </w:pPr>
    </w:p>
    <w:p w14:paraId="7AA70106" w14:textId="259336BD" w:rsidR="00F47F29" w:rsidRPr="002A6760" w:rsidRDefault="00F47F29" w:rsidP="00F47F29">
      <w:pPr>
        <w:rPr>
          <w:rFonts w:ascii="Arial" w:hAnsi="Arial" w:cs="Arial"/>
          <w:b/>
          <w:sz w:val="28"/>
          <w:szCs w:val="28"/>
        </w:rPr>
      </w:pPr>
      <w:r w:rsidRPr="002A6760">
        <w:rPr>
          <w:rFonts w:ascii="Arial" w:hAnsi="Arial" w:cs="Arial"/>
          <w:b/>
          <w:sz w:val="28"/>
          <w:szCs w:val="28"/>
        </w:rPr>
        <w:lastRenderedPageBreak/>
        <w:t>Appendix B</w:t>
      </w:r>
      <w:r w:rsidRPr="002A6760">
        <w:rPr>
          <w:rFonts w:ascii="Arial" w:hAnsi="Arial" w:cs="Arial"/>
          <w:b/>
          <w:sz w:val="28"/>
          <w:szCs w:val="28"/>
        </w:rPr>
        <w:tab/>
      </w:r>
      <w:r w:rsidRPr="002A6760">
        <w:rPr>
          <w:rFonts w:ascii="Arial" w:hAnsi="Arial" w:cs="Arial"/>
          <w:b/>
          <w:sz w:val="28"/>
          <w:szCs w:val="28"/>
        </w:rPr>
        <w:tab/>
      </w:r>
      <w:r>
        <w:rPr>
          <w:rFonts w:ascii="Arial" w:hAnsi="Arial" w:cs="Arial"/>
          <w:b/>
          <w:sz w:val="28"/>
          <w:szCs w:val="28"/>
        </w:rPr>
        <w:t>Scheme of work</w:t>
      </w:r>
    </w:p>
    <w:p w14:paraId="73DF4866" w14:textId="77777777" w:rsidR="00F47F29" w:rsidRDefault="00F47F29" w:rsidP="00F47F29"/>
    <w:tbl>
      <w:tblPr>
        <w:tblpPr w:leftFromText="180" w:rightFromText="180" w:vertAnchor="text" w:horzAnchor="margin" w:tblpXSpec="center" w:tblpY="334"/>
        <w:tblW w:w="11482" w:type="dxa"/>
        <w:tblLook w:val="04A0" w:firstRow="1" w:lastRow="0" w:firstColumn="1" w:lastColumn="0" w:noHBand="0" w:noVBand="1"/>
      </w:tblPr>
      <w:tblGrid>
        <w:gridCol w:w="548"/>
        <w:gridCol w:w="3750"/>
        <w:gridCol w:w="1798"/>
        <w:gridCol w:w="1052"/>
        <w:gridCol w:w="1787"/>
        <w:gridCol w:w="2547"/>
      </w:tblGrid>
      <w:tr w:rsidR="00B47FCF" w:rsidRPr="002A6760" w14:paraId="3A616ED1" w14:textId="77777777" w:rsidTr="00B47FCF">
        <w:trPr>
          <w:trHeight w:val="340"/>
        </w:trPr>
        <w:tc>
          <w:tcPr>
            <w:tcW w:w="548"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14:paraId="5220BFF3"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3750" w:type="dxa"/>
            <w:tcBorders>
              <w:top w:val="single" w:sz="4" w:space="0" w:color="auto"/>
              <w:left w:val="nil"/>
              <w:bottom w:val="single" w:sz="4" w:space="0" w:color="auto"/>
              <w:right w:val="single" w:sz="4" w:space="0" w:color="auto"/>
            </w:tcBorders>
            <w:shd w:val="clear" w:color="000000" w:fill="D0CECE"/>
            <w:noWrap/>
            <w:vAlign w:val="bottom"/>
            <w:hideMark/>
          </w:tcPr>
          <w:p w14:paraId="4D70AFCF"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Activity</w:t>
            </w:r>
          </w:p>
        </w:tc>
        <w:tc>
          <w:tcPr>
            <w:tcW w:w="1798" w:type="dxa"/>
            <w:tcBorders>
              <w:top w:val="single" w:sz="4" w:space="0" w:color="auto"/>
              <w:left w:val="nil"/>
              <w:bottom w:val="single" w:sz="4" w:space="0" w:color="auto"/>
              <w:right w:val="single" w:sz="4" w:space="0" w:color="auto"/>
            </w:tcBorders>
            <w:shd w:val="clear" w:color="000000" w:fill="D0CECE"/>
            <w:noWrap/>
            <w:vAlign w:val="bottom"/>
            <w:hideMark/>
          </w:tcPr>
          <w:p w14:paraId="77156C91"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single" w:sz="4" w:space="0" w:color="auto"/>
              <w:left w:val="nil"/>
              <w:bottom w:val="single" w:sz="4" w:space="0" w:color="auto"/>
              <w:right w:val="single" w:sz="4" w:space="0" w:color="auto"/>
            </w:tcBorders>
            <w:shd w:val="clear" w:color="000000" w:fill="D0CECE"/>
            <w:noWrap/>
            <w:vAlign w:val="bottom"/>
            <w:hideMark/>
          </w:tcPr>
          <w:p w14:paraId="0BF2E4C0"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Words</w:t>
            </w:r>
          </w:p>
        </w:tc>
        <w:tc>
          <w:tcPr>
            <w:tcW w:w="1787" w:type="dxa"/>
            <w:tcBorders>
              <w:top w:val="single" w:sz="4" w:space="0" w:color="auto"/>
              <w:left w:val="nil"/>
              <w:bottom w:val="single" w:sz="4" w:space="0" w:color="auto"/>
              <w:right w:val="single" w:sz="4" w:space="0" w:color="auto"/>
            </w:tcBorders>
            <w:shd w:val="clear" w:color="000000" w:fill="D0CECE"/>
            <w:noWrap/>
            <w:vAlign w:val="bottom"/>
            <w:hideMark/>
          </w:tcPr>
          <w:p w14:paraId="003E46C9"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Pace</w:t>
            </w:r>
          </w:p>
        </w:tc>
        <w:tc>
          <w:tcPr>
            <w:tcW w:w="2547" w:type="dxa"/>
            <w:tcBorders>
              <w:top w:val="single" w:sz="4" w:space="0" w:color="auto"/>
              <w:left w:val="nil"/>
              <w:bottom w:val="single" w:sz="4" w:space="0" w:color="auto"/>
              <w:right w:val="single" w:sz="4" w:space="0" w:color="auto"/>
            </w:tcBorders>
            <w:shd w:val="clear" w:color="000000" w:fill="D0CECE"/>
          </w:tcPr>
          <w:p w14:paraId="702E46DD"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w:t>
            </w:r>
            <w:r w:rsidRPr="008C50C6">
              <w:rPr>
                <w:rFonts w:ascii="Arial" w:eastAsia="Times New Roman" w:hAnsi="Arial" w:cs="Arial"/>
                <w:color w:val="000000"/>
                <w:sz w:val="24"/>
                <w:szCs w:val="24"/>
                <w:lang w:eastAsia="en-GB"/>
              </w:rPr>
              <w:t>st</w:t>
            </w:r>
            <w:r>
              <w:rPr>
                <w:rFonts w:ascii="Arial" w:eastAsia="Times New Roman" w:hAnsi="Arial" w:cs="Arial"/>
                <w:color w:val="000000"/>
                <w:sz w:val="24"/>
                <w:szCs w:val="24"/>
                <w:lang w:eastAsia="en-GB"/>
              </w:rPr>
              <w:t xml:space="preserve"> draft shared</w:t>
            </w:r>
          </w:p>
        </w:tc>
      </w:tr>
      <w:tr w:rsidR="00B47FCF" w:rsidRPr="002A6760" w14:paraId="3030A6EC"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46E52AC2"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1</w:t>
            </w:r>
          </w:p>
        </w:tc>
        <w:tc>
          <w:tcPr>
            <w:tcW w:w="3750" w:type="dxa"/>
            <w:tcBorders>
              <w:top w:val="nil"/>
              <w:left w:val="nil"/>
              <w:bottom w:val="single" w:sz="4" w:space="0" w:color="auto"/>
              <w:right w:val="single" w:sz="4" w:space="0" w:color="auto"/>
            </w:tcBorders>
            <w:shd w:val="clear" w:color="auto" w:fill="auto"/>
            <w:noWrap/>
            <w:vAlign w:val="bottom"/>
            <w:hideMark/>
          </w:tcPr>
          <w:p w14:paraId="60A61E5B"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Project brief</w:t>
            </w:r>
          </w:p>
        </w:tc>
        <w:tc>
          <w:tcPr>
            <w:tcW w:w="1798" w:type="dxa"/>
            <w:tcBorders>
              <w:top w:val="nil"/>
              <w:left w:val="nil"/>
              <w:bottom w:val="single" w:sz="4" w:space="0" w:color="auto"/>
              <w:right w:val="single" w:sz="4" w:space="0" w:color="auto"/>
            </w:tcBorders>
            <w:shd w:val="clear" w:color="auto" w:fill="auto"/>
            <w:noWrap/>
            <w:vAlign w:val="bottom"/>
            <w:hideMark/>
          </w:tcPr>
          <w:p w14:paraId="5FE766A4"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4B599CC3"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14:paraId="47DFAFFE"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Oct</w:t>
            </w:r>
          </w:p>
        </w:tc>
        <w:tc>
          <w:tcPr>
            <w:tcW w:w="2547" w:type="dxa"/>
            <w:tcBorders>
              <w:top w:val="nil"/>
              <w:left w:val="nil"/>
              <w:bottom w:val="single" w:sz="4" w:space="0" w:color="auto"/>
              <w:right w:val="single" w:sz="4" w:space="0" w:color="auto"/>
            </w:tcBorders>
          </w:tcPr>
          <w:p w14:paraId="6B6F843A"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7 October 2024</w:t>
            </w:r>
          </w:p>
        </w:tc>
      </w:tr>
      <w:tr w:rsidR="00B47FCF" w:rsidRPr="002A6760" w14:paraId="74EBA643"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55807D55"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2</w:t>
            </w:r>
          </w:p>
        </w:tc>
        <w:tc>
          <w:tcPr>
            <w:tcW w:w="3750" w:type="dxa"/>
            <w:tcBorders>
              <w:top w:val="nil"/>
              <w:left w:val="nil"/>
              <w:bottom w:val="single" w:sz="4" w:space="0" w:color="auto"/>
              <w:right w:val="single" w:sz="4" w:space="0" w:color="auto"/>
            </w:tcBorders>
            <w:shd w:val="clear" w:color="auto" w:fill="auto"/>
            <w:noWrap/>
            <w:vAlign w:val="bottom"/>
            <w:hideMark/>
          </w:tcPr>
          <w:p w14:paraId="3D54F84D"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Submit ethics approval</w:t>
            </w:r>
          </w:p>
        </w:tc>
        <w:tc>
          <w:tcPr>
            <w:tcW w:w="1798" w:type="dxa"/>
            <w:tcBorders>
              <w:top w:val="nil"/>
              <w:left w:val="nil"/>
              <w:bottom w:val="single" w:sz="4" w:space="0" w:color="auto"/>
              <w:right w:val="single" w:sz="4" w:space="0" w:color="auto"/>
            </w:tcBorders>
            <w:shd w:val="clear" w:color="auto" w:fill="auto"/>
            <w:noWrap/>
            <w:vAlign w:val="bottom"/>
            <w:hideMark/>
          </w:tcPr>
          <w:p w14:paraId="7FC67451"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7B69392A"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14:paraId="0EC2F646"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Oct</w:t>
            </w:r>
          </w:p>
        </w:tc>
        <w:tc>
          <w:tcPr>
            <w:tcW w:w="2547" w:type="dxa"/>
            <w:tcBorders>
              <w:top w:val="nil"/>
              <w:left w:val="nil"/>
              <w:bottom w:val="single" w:sz="4" w:space="0" w:color="auto"/>
              <w:right w:val="single" w:sz="4" w:space="0" w:color="auto"/>
            </w:tcBorders>
          </w:tcPr>
          <w:p w14:paraId="686E9233"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p>
        </w:tc>
      </w:tr>
      <w:tr w:rsidR="00B47FCF" w:rsidRPr="002A6760" w14:paraId="232C266B"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0F563C39"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3</w:t>
            </w:r>
          </w:p>
        </w:tc>
        <w:tc>
          <w:tcPr>
            <w:tcW w:w="3750" w:type="dxa"/>
            <w:tcBorders>
              <w:top w:val="nil"/>
              <w:left w:val="nil"/>
              <w:bottom w:val="single" w:sz="4" w:space="0" w:color="auto"/>
              <w:right w:val="single" w:sz="4" w:space="0" w:color="auto"/>
            </w:tcBorders>
            <w:shd w:val="clear" w:color="auto" w:fill="auto"/>
            <w:noWrap/>
            <w:vAlign w:val="bottom"/>
            <w:hideMark/>
          </w:tcPr>
          <w:p w14:paraId="7A510F20"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Methods selection and justification</w:t>
            </w:r>
          </w:p>
        </w:tc>
        <w:tc>
          <w:tcPr>
            <w:tcW w:w="1798" w:type="dxa"/>
            <w:tcBorders>
              <w:top w:val="nil"/>
              <w:left w:val="nil"/>
              <w:bottom w:val="single" w:sz="4" w:space="0" w:color="auto"/>
              <w:right w:val="single" w:sz="4" w:space="0" w:color="auto"/>
            </w:tcBorders>
            <w:shd w:val="clear" w:color="auto" w:fill="auto"/>
            <w:noWrap/>
            <w:vAlign w:val="bottom"/>
            <w:hideMark/>
          </w:tcPr>
          <w:p w14:paraId="12BE3637"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26328B90"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14:paraId="7C20D3E6"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Nov / Dec</w:t>
            </w:r>
          </w:p>
        </w:tc>
        <w:tc>
          <w:tcPr>
            <w:tcW w:w="2547" w:type="dxa"/>
            <w:tcBorders>
              <w:top w:val="nil"/>
              <w:left w:val="nil"/>
              <w:bottom w:val="single" w:sz="4" w:space="0" w:color="auto"/>
              <w:right w:val="single" w:sz="4" w:space="0" w:color="auto"/>
            </w:tcBorders>
          </w:tcPr>
          <w:p w14:paraId="126E0E6D"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p>
        </w:tc>
      </w:tr>
      <w:tr w:rsidR="00B47FCF" w:rsidRPr="002A6760" w14:paraId="3146A0CC"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6FCAA0E6"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4</w:t>
            </w:r>
          </w:p>
        </w:tc>
        <w:tc>
          <w:tcPr>
            <w:tcW w:w="3750" w:type="dxa"/>
            <w:tcBorders>
              <w:top w:val="nil"/>
              <w:left w:val="nil"/>
              <w:bottom w:val="single" w:sz="4" w:space="0" w:color="auto"/>
              <w:right w:val="single" w:sz="4" w:space="0" w:color="auto"/>
            </w:tcBorders>
            <w:shd w:val="clear" w:color="auto" w:fill="auto"/>
            <w:noWrap/>
            <w:vAlign w:val="bottom"/>
            <w:hideMark/>
          </w:tcPr>
          <w:p w14:paraId="4B8B8314"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Start primary data collection</w:t>
            </w:r>
          </w:p>
        </w:tc>
        <w:tc>
          <w:tcPr>
            <w:tcW w:w="1798" w:type="dxa"/>
            <w:tcBorders>
              <w:top w:val="nil"/>
              <w:left w:val="nil"/>
              <w:bottom w:val="single" w:sz="4" w:space="0" w:color="auto"/>
              <w:right w:val="single" w:sz="4" w:space="0" w:color="auto"/>
            </w:tcBorders>
            <w:shd w:val="clear" w:color="auto" w:fill="auto"/>
            <w:noWrap/>
            <w:vAlign w:val="bottom"/>
            <w:hideMark/>
          </w:tcPr>
          <w:p w14:paraId="423062EB"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Prognostic tool</w:t>
            </w:r>
          </w:p>
        </w:tc>
        <w:tc>
          <w:tcPr>
            <w:tcW w:w="1052" w:type="dxa"/>
            <w:tcBorders>
              <w:top w:val="nil"/>
              <w:left w:val="nil"/>
              <w:bottom w:val="single" w:sz="4" w:space="0" w:color="auto"/>
              <w:right w:val="single" w:sz="4" w:space="0" w:color="auto"/>
            </w:tcBorders>
            <w:shd w:val="clear" w:color="auto" w:fill="auto"/>
            <w:noWrap/>
            <w:vAlign w:val="bottom"/>
            <w:hideMark/>
          </w:tcPr>
          <w:p w14:paraId="554FA43E"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14:paraId="6B5CB450"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Nov / Dec</w:t>
            </w:r>
          </w:p>
        </w:tc>
        <w:tc>
          <w:tcPr>
            <w:tcW w:w="2547" w:type="dxa"/>
            <w:tcBorders>
              <w:top w:val="nil"/>
              <w:left w:val="nil"/>
              <w:bottom w:val="single" w:sz="4" w:space="0" w:color="auto"/>
              <w:right w:val="single" w:sz="4" w:space="0" w:color="auto"/>
            </w:tcBorders>
          </w:tcPr>
          <w:p w14:paraId="5E7E6070"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p>
        </w:tc>
      </w:tr>
      <w:tr w:rsidR="00B47FCF" w:rsidRPr="002A6760" w14:paraId="07090EE7"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7D939277"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5</w:t>
            </w:r>
          </w:p>
        </w:tc>
        <w:tc>
          <w:tcPr>
            <w:tcW w:w="3750" w:type="dxa"/>
            <w:tcBorders>
              <w:top w:val="nil"/>
              <w:left w:val="nil"/>
              <w:bottom w:val="single" w:sz="4" w:space="0" w:color="auto"/>
              <w:right w:val="single" w:sz="4" w:space="0" w:color="auto"/>
            </w:tcBorders>
            <w:shd w:val="clear" w:color="auto" w:fill="auto"/>
            <w:noWrap/>
            <w:vAlign w:val="bottom"/>
            <w:hideMark/>
          </w:tcPr>
          <w:p w14:paraId="2166CFB3"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Draft introduction chapter</w:t>
            </w:r>
          </w:p>
        </w:tc>
        <w:tc>
          <w:tcPr>
            <w:tcW w:w="1798" w:type="dxa"/>
            <w:tcBorders>
              <w:top w:val="nil"/>
              <w:left w:val="nil"/>
              <w:bottom w:val="single" w:sz="4" w:space="0" w:color="auto"/>
              <w:right w:val="single" w:sz="4" w:space="0" w:color="auto"/>
            </w:tcBorders>
            <w:shd w:val="clear" w:color="auto" w:fill="auto"/>
            <w:noWrap/>
            <w:vAlign w:val="bottom"/>
            <w:hideMark/>
          </w:tcPr>
          <w:p w14:paraId="003AD23C"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6B9FF0DB"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14:paraId="71E7F014"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Nov / Dec</w:t>
            </w:r>
          </w:p>
        </w:tc>
        <w:tc>
          <w:tcPr>
            <w:tcW w:w="2547" w:type="dxa"/>
            <w:tcBorders>
              <w:top w:val="nil"/>
              <w:left w:val="nil"/>
              <w:bottom w:val="single" w:sz="4" w:space="0" w:color="auto"/>
              <w:right w:val="single" w:sz="4" w:space="0" w:color="auto"/>
            </w:tcBorders>
          </w:tcPr>
          <w:p w14:paraId="69F2147E"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p>
        </w:tc>
      </w:tr>
      <w:tr w:rsidR="00B47FCF" w:rsidRPr="002A6760" w14:paraId="32CD0BCA"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018D6154"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6</w:t>
            </w:r>
          </w:p>
        </w:tc>
        <w:tc>
          <w:tcPr>
            <w:tcW w:w="3750" w:type="dxa"/>
            <w:tcBorders>
              <w:top w:val="nil"/>
              <w:left w:val="nil"/>
              <w:bottom w:val="single" w:sz="4" w:space="0" w:color="auto"/>
              <w:right w:val="single" w:sz="4" w:space="0" w:color="auto"/>
            </w:tcBorders>
            <w:shd w:val="clear" w:color="auto" w:fill="auto"/>
            <w:noWrap/>
            <w:vAlign w:val="bottom"/>
            <w:hideMark/>
          </w:tcPr>
          <w:p w14:paraId="27DB89D7"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Literature review chapter</w:t>
            </w:r>
          </w:p>
        </w:tc>
        <w:tc>
          <w:tcPr>
            <w:tcW w:w="1798" w:type="dxa"/>
            <w:tcBorders>
              <w:top w:val="nil"/>
              <w:left w:val="nil"/>
              <w:bottom w:val="single" w:sz="4" w:space="0" w:color="auto"/>
              <w:right w:val="single" w:sz="4" w:space="0" w:color="auto"/>
            </w:tcBorders>
            <w:shd w:val="clear" w:color="auto" w:fill="auto"/>
            <w:noWrap/>
            <w:vAlign w:val="bottom"/>
            <w:hideMark/>
          </w:tcPr>
          <w:p w14:paraId="2C43CB09"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3FD0D3A7"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4500</w:t>
            </w:r>
          </w:p>
        </w:tc>
        <w:tc>
          <w:tcPr>
            <w:tcW w:w="1787" w:type="dxa"/>
            <w:tcBorders>
              <w:top w:val="nil"/>
              <w:left w:val="nil"/>
              <w:bottom w:val="single" w:sz="4" w:space="0" w:color="auto"/>
              <w:right w:val="single" w:sz="4" w:space="0" w:color="auto"/>
            </w:tcBorders>
            <w:shd w:val="clear" w:color="auto" w:fill="auto"/>
            <w:noWrap/>
            <w:vAlign w:val="bottom"/>
            <w:hideMark/>
          </w:tcPr>
          <w:p w14:paraId="4954726A"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Nov / Dec</w:t>
            </w:r>
          </w:p>
        </w:tc>
        <w:tc>
          <w:tcPr>
            <w:tcW w:w="2547" w:type="dxa"/>
            <w:tcBorders>
              <w:top w:val="nil"/>
              <w:left w:val="nil"/>
              <w:bottom w:val="single" w:sz="4" w:space="0" w:color="auto"/>
              <w:right w:val="single" w:sz="4" w:space="0" w:color="auto"/>
            </w:tcBorders>
            <w:shd w:val="clear" w:color="auto" w:fill="auto"/>
          </w:tcPr>
          <w:p w14:paraId="47B62C44"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18 December 2024</w:t>
            </w:r>
          </w:p>
        </w:tc>
      </w:tr>
      <w:tr w:rsidR="00B47FCF" w:rsidRPr="002A6760" w14:paraId="5F30BBCB"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7F4A0B1D"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3750" w:type="dxa"/>
            <w:tcBorders>
              <w:top w:val="nil"/>
              <w:left w:val="nil"/>
              <w:bottom w:val="single" w:sz="4" w:space="0" w:color="auto"/>
              <w:right w:val="single" w:sz="4" w:space="0" w:color="auto"/>
            </w:tcBorders>
            <w:shd w:val="clear" w:color="auto" w:fill="auto"/>
            <w:noWrap/>
            <w:vAlign w:val="bottom"/>
            <w:hideMark/>
          </w:tcPr>
          <w:p w14:paraId="5699435B"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98" w:type="dxa"/>
            <w:tcBorders>
              <w:top w:val="nil"/>
              <w:left w:val="nil"/>
              <w:bottom w:val="single" w:sz="4" w:space="0" w:color="auto"/>
              <w:right w:val="single" w:sz="4" w:space="0" w:color="auto"/>
            </w:tcBorders>
            <w:shd w:val="clear" w:color="auto" w:fill="auto"/>
            <w:noWrap/>
            <w:vAlign w:val="bottom"/>
            <w:hideMark/>
          </w:tcPr>
          <w:p w14:paraId="50B9E295"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063656E2"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000000" w:fill="D0CECE"/>
            <w:noWrap/>
            <w:vAlign w:val="bottom"/>
            <w:hideMark/>
          </w:tcPr>
          <w:p w14:paraId="6DAFCD07"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CHRISTMAS</w:t>
            </w:r>
          </w:p>
        </w:tc>
        <w:tc>
          <w:tcPr>
            <w:tcW w:w="2547" w:type="dxa"/>
            <w:tcBorders>
              <w:top w:val="nil"/>
              <w:left w:val="nil"/>
              <w:bottom w:val="single" w:sz="4" w:space="0" w:color="auto"/>
              <w:right w:val="single" w:sz="4" w:space="0" w:color="auto"/>
            </w:tcBorders>
            <w:shd w:val="clear" w:color="auto" w:fill="auto"/>
          </w:tcPr>
          <w:p w14:paraId="0C5976D7"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p>
        </w:tc>
      </w:tr>
      <w:tr w:rsidR="00B47FCF" w:rsidRPr="002A6760" w14:paraId="72023F25"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6BA14298"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7</w:t>
            </w:r>
          </w:p>
        </w:tc>
        <w:tc>
          <w:tcPr>
            <w:tcW w:w="3750" w:type="dxa"/>
            <w:tcBorders>
              <w:top w:val="nil"/>
              <w:left w:val="nil"/>
              <w:bottom w:val="single" w:sz="4" w:space="0" w:color="auto"/>
              <w:right w:val="single" w:sz="4" w:space="0" w:color="auto"/>
            </w:tcBorders>
            <w:shd w:val="clear" w:color="auto" w:fill="auto"/>
            <w:noWrap/>
            <w:vAlign w:val="bottom"/>
            <w:hideMark/>
          </w:tcPr>
          <w:p w14:paraId="2484B7FB"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Methods chapter</w:t>
            </w:r>
          </w:p>
        </w:tc>
        <w:tc>
          <w:tcPr>
            <w:tcW w:w="1798" w:type="dxa"/>
            <w:tcBorders>
              <w:top w:val="nil"/>
              <w:left w:val="nil"/>
              <w:bottom w:val="single" w:sz="4" w:space="0" w:color="auto"/>
              <w:right w:val="single" w:sz="4" w:space="0" w:color="auto"/>
            </w:tcBorders>
            <w:shd w:val="clear" w:color="auto" w:fill="auto"/>
            <w:noWrap/>
            <w:vAlign w:val="bottom"/>
            <w:hideMark/>
          </w:tcPr>
          <w:p w14:paraId="1292EE48"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29CBE852"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2250</w:t>
            </w:r>
          </w:p>
        </w:tc>
        <w:tc>
          <w:tcPr>
            <w:tcW w:w="1787" w:type="dxa"/>
            <w:tcBorders>
              <w:top w:val="nil"/>
              <w:left w:val="nil"/>
              <w:bottom w:val="single" w:sz="4" w:space="0" w:color="auto"/>
              <w:right w:val="single" w:sz="4" w:space="0" w:color="auto"/>
            </w:tcBorders>
            <w:shd w:val="clear" w:color="auto" w:fill="auto"/>
            <w:noWrap/>
            <w:vAlign w:val="bottom"/>
            <w:hideMark/>
          </w:tcPr>
          <w:p w14:paraId="0E9C530E"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Jan</w:t>
            </w:r>
          </w:p>
        </w:tc>
        <w:tc>
          <w:tcPr>
            <w:tcW w:w="2547" w:type="dxa"/>
            <w:tcBorders>
              <w:top w:val="nil"/>
              <w:left w:val="nil"/>
              <w:bottom w:val="single" w:sz="4" w:space="0" w:color="auto"/>
              <w:right w:val="single" w:sz="4" w:space="0" w:color="auto"/>
            </w:tcBorders>
            <w:shd w:val="clear" w:color="auto" w:fill="auto"/>
          </w:tcPr>
          <w:p w14:paraId="1E2AFB95"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25 February 2025</w:t>
            </w:r>
          </w:p>
        </w:tc>
      </w:tr>
      <w:tr w:rsidR="00B47FCF" w:rsidRPr="002A6760" w14:paraId="70737E5A"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5B3D5B3C"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8</w:t>
            </w:r>
          </w:p>
        </w:tc>
        <w:tc>
          <w:tcPr>
            <w:tcW w:w="3750" w:type="dxa"/>
            <w:tcBorders>
              <w:top w:val="nil"/>
              <w:left w:val="nil"/>
              <w:bottom w:val="single" w:sz="4" w:space="0" w:color="auto"/>
              <w:right w:val="single" w:sz="4" w:space="0" w:color="auto"/>
            </w:tcBorders>
            <w:shd w:val="clear" w:color="auto" w:fill="auto"/>
            <w:noWrap/>
            <w:vAlign w:val="bottom"/>
            <w:hideMark/>
          </w:tcPr>
          <w:p w14:paraId="5BE2031B"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Progress review</w:t>
            </w:r>
          </w:p>
        </w:tc>
        <w:tc>
          <w:tcPr>
            <w:tcW w:w="1798" w:type="dxa"/>
            <w:tcBorders>
              <w:top w:val="nil"/>
              <w:left w:val="nil"/>
              <w:bottom w:val="single" w:sz="4" w:space="0" w:color="auto"/>
              <w:right w:val="single" w:sz="4" w:space="0" w:color="auto"/>
            </w:tcBorders>
            <w:shd w:val="clear" w:color="auto" w:fill="auto"/>
            <w:noWrap/>
            <w:vAlign w:val="bottom"/>
            <w:hideMark/>
          </w:tcPr>
          <w:p w14:paraId="089E1BBF"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349B284F"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14:paraId="3F6621D6"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Jan</w:t>
            </w:r>
          </w:p>
        </w:tc>
        <w:tc>
          <w:tcPr>
            <w:tcW w:w="2547" w:type="dxa"/>
            <w:tcBorders>
              <w:top w:val="nil"/>
              <w:left w:val="nil"/>
              <w:bottom w:val="single" w:sz="4" w:space="0" w:color="auto"/>
              <w:right w:val="single" w:sz="4" w:space="0" w:color="auto"/>
            </w:tcBorders>
            <w:shd w:val="clear" w:color="auto" w:fill="auto"/>
          </w:tcPr>
          <w:p w14:paraId="4C2CDEFD"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p>
        </w:tc>
      </w:tr>
      <w:tr w:rsidR="00B47FCF" w:rsidRPr="002A6760" w14:paraId="3B4735EB"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19C338DC"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9</w:t>
            </w:r>
          </w:p>
        </w:tc>
        <w:tc>
          <w:tcPr>
            <w:tcW w:w="3750" w:type="dxa"/>
            <w:tcBorders>
              <w:top w:val="nil"/>
              <w:left w:val="nil"/>
              <w:bottom w:val="single" w:sz="4" w:space="0" w:color="auto"/>
              <w:right w:val="single" w:sz="4" w:space="0" w:color="auto"/>
            </w:tcBorders>
            <w:shd w:val="clear" w:color="auto" w:fill="auto"/>
            <w:noWrap/>
            <w:vAlign w:val="bottom"/>
            <w:hideMark/>
          </w:tcPr>
          <w:p w14:paraId="716914A1"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Primary data analysis</w:t>
            </w:r>
          </w:p>
        </w:tc>
        <w:tc>
          <w:tcPr>
            <w:tcW w:w="1798" w:type="dxa"/>
            <w:tcBorders>
              <w:top w:val="nil"/>
              <w:left w:val="nil"/>
              <w:bottom w:val="single" w:sz="4" w:space="0" w:color="auto"/>
              <w:right w:val="single" w:sz="4" w:space="0" w:color="auto"/>
            </w:tcBorders>
            <w:shd w:val="clear" w:color="auto" w:fill="auto"/>
            <w:noWrap/>
            <w:vAlign w:val="bottom"/>
            <w:hideMark/>
          </w:tcPr>
          <w:p w14:paraId="674953FB"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Prognostic tool</w:t>
            </w:r>
          </w:p>
        </w:tc>
        <w:tc>
          <w:tcPr>
            <w:tcW w:w="1052" w:type="dxa"/>
            <w:tcBorders>
              <w:top w:val="nil"/>
              <w:left w:val="nil"/>
              <w:bottom w:val="single" w:sz="4" w:space="0" w:color="auto"/>
              <w:right w:val="single" w:sz="4" w:space="0" w:color="auto"/>
            </w:tcBorders>
            <w:shd w:val="clear" w:color="auto" w:fill="auto"/>
            <w:noWrap/>
            <w:vAlign w:val="bottom"/>
            <w:hideMark/>
          </w:tcPr>
          <w:p w14:paraId="0327A8D1"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14:paraId="23840B3B"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Jan</w:t>
            </w:r>
          </w:p>
        </w:tc>
        <w:tc>
          <w:tcPr>
            <w:tcW w:w="2547" w:type="dxa"/>
            <w:tcBorders>
              <w:top w:val="nil"/>
              <w:left w:val="nil"/>
              <w:bottom w:val="single" w:sz="4" w:space="0" w:color="auto"/>
              <w:right w:val="single" w:sz="4" w:space="0" w:color="auto"/>
            </w:tcBorders>
            <w:shd w:val="clear" w:color="auto" w:fill="auto"/>
          </w:tcPr>
          <w:p w14:paraId="1BAF9DD8"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p>
        </w:tc>
      </w:tr>
      <w:tr w:rsidR="00B47FCF" w:rsidRPr="002A6760" w14:paraId="7126FD50"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35EC5908"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10</w:t>
            </w:r>
          </w:p>
        </w:tc>
        <w:tc>
          <w:tcPr>
            <w:tcW w:w="3750" w:type="dxa"/>
            <w:tcBorders>
              <w:top w:val="nil"/>
              <w:left w:val="nil"/>
              <w:bottom w:val="single" w:sz="4" w:space="0" w:color="auto"/>
              <w:right w:val="single" w:sz="4" w:space="0" w:color="auto"/>
            </w:tcBorders>
            <w:shd w:val="clear" w:color="auto" w:fill="auto"/>
            <w:noWrap/>
            <w:vAlign w:val="bottom"/>
            <w:hideMark/>
          </w:tcPr>
          <w:p w14:paraId="47204785"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Carry out survey +/- interview</w:t>
            </w:r>
          </w:p>
        </w:tc>
        <w:tc>
          <w:tcPr>
            <w:tcW w:w="1798" w:type="dxa"/>
            <w:tcBorders>
              <w:top w:val="nil"/>
              <w:left w:val="nil"/>
              <w:bottom w:val="single" w:sz="4" w:space="0" w:color="auto"/>
              <w:right w:val="single" w:sz="4" w:space="0" w:color="auto"/>
            </w:tcBorders>
            <w:shd w:val="clear" w:color="auto" w:fill="auto"/>
            <w:noWrap/>
            <w:vAlign w:val="bottom"/>
            <w:hideMark/>
          </w:tcPr>
          <w:p w14:paraId="3C649B53"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Feasibility</w:t>
            </w:r>
          </w:p>
        </w:tc>
        <w:tc>
          <w:tcPr>
            <w:tcW w:w="1052" w:type="dxa"/>
            <w:tcBorders>
              <w:top w:val="nil"/>
              <w:left w:val="nil"/>
              <w:bottom w:val="single" w:sz="4" w:space="0" w:color="auto"/>
              <w:right w:val="single" w:sz="4" w:space="0" w:color="auto"/>
            </w:tcBorders>
            <w:shd w:val="clear" w:color="auto" w:fill="auto"/>
            <w:noWrap/>
            <w:vAlign w:val="bottom"/>
            <w:hideMark/>
          </w:tcPr>
          <w:p w14:paraId="7AA7891A"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14:paraId="0843B55E"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Feb</w:t>
            </w:r>
          </w:p>
        </w:tc>
        <w:tc>
          <w:tcPr>
            <w:tcW w:w="2547" w:type="dxa"/>
            <w:tcBorders>
              <w:top w:val="nil"/>
              <w:left w:val="nil"/>
              <w:bottom w:val="single" w:sz="4" w:space="0" w:color="auto"/>
              <w:right w:val="single" w:sz="4" w:space="0" w:color="auto"/>
            </w:tcBorders>
            <w:shd w:val="clear" w:color="auto" w:fill="auto"/>
          </w:tcPr>
          <w:p w14:paraId="289181A2"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p>
        </w:tc>
      </w:tr>
      <w:tr w:rsidR="00B47FCF" w:rsidRPr="002A6760" w14:paraId="33A55596"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7FD0E19E"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11</w:t>
            </w:r>
          </w:p>
        </w:tc>
        <w:tc>
          <w:tcPr>
            <w:tcW w:w="3750" w:type="dxa"/>
            <w:tcBorders>
              <w:top w:val="nil"/>
              <w:left w:val="nil"/>
              <w:bottom w:val="single" w:sz="4" w:space="0" w:color="auto"/>
              <w:right w:val="single" w:sz="4" w:space="0" w:color="auto"/>
            </w:tcBorders>
            <w:shd w:val="clear" w:color="auto" w:fill="auto"/>
            <w:noWrap/>
            <w:vAlign w:val="bottom"/>
            <w:hideMark/>
          </w:tcPr>
          <w:p w14:paraId="0B6C5879"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Results chapter</w:t>
            </w:r>
          </w:p>
        </w:tc>
        <w:tc>
          <w:tcPr>
            <w:tcW w:w="1798" w:type="dxa"/>
            <w:tcBorders>
              <w:top w:val="nil"/>
              <w:left w:val="nil"/>
              <w:bottom w:val="single" w:sz="4" w:space="0" w:color="auto"/>
              <w:right w:val="single" w:sz="4" w:space="0" w:color="auto"/>
            </w:tcBorders>
            <w:shd w:val="clear" w:color="auto" w:fill="auto"/>
            <w:noWrap/>
            <w:vAlign w:val="bottom"/>
            <w:hideMark/>
          </w:tcPr>
          <w:p w14:paraId="568AC6FD"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2500B81F"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750</w:t>
            </w:r>
          </w:p>
        </w:tc>
        <w:tc>
          <w:tcPr>
            <w:tcW w:w="1787" w:type="dxa"/>
            <w:tcBorders>
              <w:top w:val="nil"/>
              <w:left w:val="nil"/>
              <w:bottom w:val="single" w:sz="4" w:space="0" w:color="auto"/>
              <w:right w:val="single" w:sz="4" w:space="0" w:color="auto"/>
            </w:tcBorders>
            <w:shd w:val="clear" w:color="auto" w:fill="auto"/>
            <w:noWrap/>
            <w:vAlign w:val="bottom"/>
            <w:hideMark/>
          </w:tcPr>
          <w:p w14:paraId="27A4396E"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Mar</w:t>
            </w:r>
          </w:p>
        </w:tc>
        <w:tc>
          <w:tcPr>
            <w:tcW w:w="2547" w:type="dxa"/>
            <w:tcBorders>
              <w:top w:val="nil"/>
              <w:left w:val="nil"/>
              <w:bottom w:val="single" w:sz="4" w:space="0" w:color="auto"/>
              <w:right w:val="single" w:sz="4" w:space="0" w:color="auto"/>
            </w:tcBorders>
            <w:shd w:val="clear" w:color="auto" w:fill="auto"/>
          </w:tcPr>
          <w:p w14:paraId="623C0554"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24 March 2025</w:t>
            </w:r>
          </w:p>
        </w:tc>
      </w:tr>
      <w:tr w:rsidR="00B47FCF" w:rsidRPr="002A6760" w14:paraId="00B20030"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68D12ECF"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12</w:t>
            </w:r>
          </w:p>
        </w:tc>
        <w:tc>
          <w:tcPr>
            <w:tcW w:w="3750" w:type="dxa"/>
            <w:tcBorders>
              <w:top w:val="nil"/>
              <w:left w:val="nil"/>
              <w:bottom w:val="single" w:sz="4" w:space="0" w:color="auto"/>
              <w:right w:val="single" w:sz="4" w:space="0" w:color="auto"/>
            </w:tcBorders>
            <w:shd w:val="clear" w:color="auto" w:fill="auto"/>
            <w:noWrap/>
            <w:vAlign w:val="bottom"/>
            <w:hideMark/>
          </w:tcPr>
          <w:p w14:paraId="3BFDBACD"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Discussion chapter</w:t>
            </w:r>
          </w:p>
        </w:tc>
        <w:tc>
          <w:tcPr>
            <w:tcW w:w="1798" w:type="dxa"/>
            <w:tcBorders>
              <w:top w:val="nil"/>
              <w:left w:val="nil"/>
              <w:bottom w:val="single" w:sz="4" w:space="0" w:color="auto"/>
              <w:right w:val="single" w:sz="4" w:space="0" w:color="auto"/>
            </w:tcBorders>
            <w:shd w:val="clear" w:color="auto" w:fill="auto"/>
            <w:noWrap/>
            <w:vAlign w:val="bottom"/>
            <w:hideMark/>
          </w:tcPr>
          <w:p w14:paraId="0FF43121"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260D6C9F"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4500</w:t>
            </w:r>
          </w:p>
        </w:tc>
        <w:tc>
          <w:tcPr>
            <w:tcW w:w="1787" w:type="dxa"/>
            <w:tcBorders>
              <w:top w:val="nil"/>
              <w:left w:val="nil"/>
              <w:bottom w:val="single" w:sz="4" w:space="0" w:color="auto"/>
              <w:right w:val="single" w:sz="4" w:space="0" w:color="auto"/>
            </w:tcBorders>
            <w:shd w:val="clear" w:color="auto" w:fill="auto"/>
            <w:noWrap/>
            <w:vAlign w:val="bottom"/>
            <w:hideMark/>
          </w:tcPr>
          <w:p w14:paraId="6C0CDAFD"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Mar / Apr</w:t>
            </w:r>
          </w:p>
        </w:tc>
        <w:tc>
          <w:tcPr>
            <w:tcW w:w="2547" w:type="dxa"/>
            <w:tcBorders>
              <w:top w:val="nil"/>
              <w:left w:val="nil"/>
              <w:bottom w:val="single" w:sz="4" w:space="0" w:color="auto"/>
              <w:right w:val="single" w:sz="4" w:space="0" w:color="auto"/>
            </w:tcBorders>
            <w:shd w:val="clear" w:color="auto" w:fill="auto"/>
          </w:tcPr>
          <w:p w14:paraId="443A03D6"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24 March 2025</w:t>
            </w:r>
          </w:p>
        </w:tc>
      </w:tr>
      <w:tr w:rsidR="00B47FCF" w:rsidRPr="002A6760" w14:paraId="1301788C" w14:textId="77777777" w:rsidTr="000658E7">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47BDE3F0"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13</w:t>
            </w:r>
          </w:p>
        </w:tc>
        <w:tc>
          <w:tcPr>
            <w:tcW w:w="3750" w:type="dxa"/>
            <w:tcBorders>
              <w:top w:val="nil"/>
              <w:left w:val="nil"/>
              <w:bottom w:val="single" w:sz="4" w:space="0" w:color="auto"/>
              <w:right w:val="single" w:sz="4" w:space="0" w:color="auto"/>
            </w:tcBorders>
            <w:shd w:val="clear" w:color="auto" w:fill="auto"/>
            <w:noWrap/>
            <w:vAlign w:val="bottom"/>
            <w:hideMark/>
          </w:tcPr>
          <w:p w14:paraId="5ADE585C"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Conclusions chapter</w:t>
            </w:r>
          </w:p>
        </w:tc>
        <w:tc>
          <w:tcPr>
            <w:tcW w:w="1798" w:type="dxa"/>
            <w:tcBorders>
              <w:top w:val="nil"/>
              <w:left w:val="nil"/>
              <w:bottom w:val="single" w:sz="4" w:space="0" w:color="auto"/>
              <w:right w:val="single" w:sz="4" w:space="0" w:color="auto"/>
            </w:tcBorders>
            <w:shd w:val="clear" w:color="auto" w:fill="auto"/>
            <w:noWrap/>
            <w:vAlign w:val="bottom"/>
            <w:hideMark/>
          </w:tcPr>
          <w:p w14:paraId="1EF0B57D"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136F3DC0"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1500</w:t>
            </w:r>
          </w:p>
        </w:tc>
        <w:tc>
          <w:tcPr>
            <w:tcW w:w="1787" w:type="dxa"/>
            <w:tcBorders>
              <w:top w:val="nil"/>
              <w:left w:val="nil"/>
              <w:bottom w:val="single" w:sz="4" w:space="0" w:color="auto"/>
              <w:right w:val="single" w:sz="4" w:space="0" w:color="auto"/>
            </w:tcBorders>
            <w:shd w:val="clear" w:color="auto" w:fill="auto"/>
            <w:noWrap/>
            <w:vAlign w:val="bottom"/>
            <w:hideMark/>
          </w:tcPr>
          <w:p w14:paraId="2DA0B136"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Apr</w:t>
            </w:r>
          </w:p>
        </w:tc>
        <w:tc>
          <w:tcPr>
            <w:tcW w:w="2547" w:type="dxa"/>
            <w:tcBorders>
              <w:top w:val="nil"/>
              <w:left w:val="nil"/>
              <w:bottom w:val="single" w:sz="4" w:space="0" w:color="auto"/>
              <w:right w:val="single" w:sz="4" w:space="0" w:color="auto"/>
            </w:tcBorders>
            <w:shd w:val="clear" w:color="auto" w:fill="auto"/>
          </w:tcPr>
          <w:p w14:paraId="08BB42E1" w14:textId="66AC8AEC" w:rsidR="00B47FCF" w:rsidRPr="002A6760" w:rsidRDefault="000658E7" w:rsidP="000658E7">
            <w:pPr>
              <w:spacing w:after="0" w:line="24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20 April 2025</w:t>
            </w:r>
          </w:p>
        </w:tc>
      </w:tr>
      <w:tr w:rsidR="00B47FCF" w:rsidRPr="002A6760" w14:paraId="6795BA13"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3A7A5F49"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3750" w:type="dxa"/>
            <w:tcBorders>
              <w:top w:val="nil"/>
              <w:left w:val="nil"/>
              <w:bottom w:val="single" w:sz="4" w:space="0" w:color="auto"/>
              <w:right w:val="single" w:sz="4" w:space="0" w:color="auto"/>
            </w:tcBorders>
            <w:shd w:val="clear" w:color="auto" w:fill="auto"/>
            <w:noWrap/>
            <w:vAlign w:val="bottom"/>
            <w:hideMark/>
          </w:tcPr>
          <w:p w14:paraId="03A657DA"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98" w:type="dxa"/>
            <w:tcBorders>
              <w:top w:val="nil"/>
              <w:left w:val="nil"/>
              <w:bottom w:val="single" w:sz="4" w:space="0" w:color="auto"/>
              <w:right w:val="single" w:sz="4" w:space="0" w:color="auto"/>
            </w:tcBorders>
            <w:shd w:val="clear" w:color="auto" w:fill="auto"/>
            <w:noWrap/>
            <w:vAlign w:val="bottom"/>
            <w:hideMark/>
          </w:tcPr>
          <w:p w14:paraId="1F8501FE"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4CAA1ECD"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000000" w:fill="D0CECE"/>
            <w:noWrap/>
            <w:vAlign w:val="bottom"/>
            <w:hideMark/>
          </w:tcPr>
          <w:p w14:paraId="356C7AC9"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EASTER</w:t>
            </w:r>
          </w:p>
        </w:tc>
        <w:tc>
          <w:tcPr>
            <w:tcW w:w="2547" w:type="dxa"/>
            <w:tcBorders>
              <w:top w:val="nil"/>
              <w:left w:val="nil"/>
              <w:bottom w:val="single" w:sz="4" w:space="0" w:color="auto"/>
              <w:right w:val="single" w:sz="4" w:space="0" w:color="auto"/>
            </w:tcBorders>
            <w:shd w:val="clear" w:color="auto" w:fill="auto"/>
          </w:tcPr>
          <w:p w14:paraId="1DAF4278" w14:textId="77777777" w:rsidR="00B47FCF" w:rsidRPr="002A6760" w:rsidRDefault="00B47FCF" w:rsidP="000658E7">
            <w:pPr>
              <w:spacing w:after="0" w:line="240" w:lineRule="auto"/>
              <w:jc w:val="right"/>
              <w:rPr>
                <w:rFonts w:ascii="Arial" w:eastAsia="Times New Roman" w:hAnsi="Arial" w:cs="Arial"/>
                <w:color w:val="000000"/>
                <w:sz w:val="24"/>
                <w:szCs w:val="24"/>
                <w:lang w:eastAsia="en-GB"/>
              </w:rPr>
            </w:pPr>
          </w:p>
        </w:tc>
      </w:tr>
      <w:tr w:rsidR="00B47FCF" w:rsidRPr="002A6760" w14:paraId="05963FA2" w14:textId="77777777" w:rsidTr="000658E7">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76106BDA"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15</w:t>
            </w:r>
          </w:p>
        </w:tc>
        <w:tc>
          <w:tcPr>
            <w:tcW w:w="3750" w:type="dxa"/>
            <w:tcBorders>
              <w:top w:val="nil"/>
              <w:left w:val="nil"/>
              <w:bottom w:val="single" w:sz="4" w:space="0" w:color="auto"/>
              <w:right w:val="single" w:sz="4" w:space="0" w:color="auto"/>
            </w:tcBorders>
            <w:shd w:val="clear" w:color="auto" w:fill="auto"/>
            <w:noWrap/>
            <w:vAlign w:val="bottom"/>
            <w:hideMark/>
          </w:tcPr>
          <w:p w14:paraId="6F067B2F"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Introduction chapter</w:t>
            </w:r>
          </w:p>
        </w:tc>
        <w:tc>
          <w:tcPr>
            <w:tcW w:w="1798" w:type="dxa"/>
            <w:tcBorders>
              <w:top w:val="nil"/>
              <w:left w:val="nil"/>
              <w:bottom w:val="single" w:sz="4" w:space="0" w:color="auto"/>
              <w:right w:val="single" w:sz="4" w:space="0" w:color="auto"/>
            </w:tcBorders>
            <w:shd w:val="clear" w:color="auto" w:fill="auto"/>
            <w:noWrap/>
            <w:vAlign w:val="bottom"/>
            <w:hideMark/>
          </w:tcPr>
          <w:p w14:paraId="66B0B6FA"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24688D3B"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1500</w:t>
            </w:r>
          </w:p>
        </w:tc>
        <w:tc>
          <w:tcPr>
            <w:tcW w:w="1787" w:type="dxa"/>
            <w:tcBorders>
              <w:top w:val="nil"/>
              <w:left w:val="nil"/>
              <w:bottom w:val="single" w:sz="4" w:space="0" w:color="auto"/>
              <w:right w:val="single" w:sz="4" w:space="0" w:color="auto"/>
            </w:tcBorders>
            <w:shd w:val="clear" w:color="auto" w:fill="auto"/>
            <w:noWrap/>
            <w:vAlign w:val="bottom"/>
            <w:hideMark/>
          </w:tcPr>
          <w:p w14:paraId="59FEE64D"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Apr</w:t>
            </w:r>
          </w:p>
        </w:tc>
        <w:tc>
          <w:tcPr>
            <w:tcW w:w="2547" w:type="dxa"/>
            <w:tcBorders>
              <w:top w:val="nil"/>
              <w:left w:val="nil"/>
              <w:bottom w:val="single" w:sz="4" w:space="0" w:color="auto"/>
              <w:right w:val="single" w:sz="4" w:space="0" w:color="auto"/>
            </w:tcBorders>
            <w:shd w:val="clear" w:color="auto" w:fill="auto"/>
          </w:tcPr>
          <w:p w14:paraId="22D5F7F5" w14:textId="2FAF0AAD" w:rsidR="00B47FCF" w:rsidRPr="002A6760" w:rsidRDefault="00B47FCF" w:rsidP="000658E7">
            <w:pPr>
              <w:tabs>
                <w:tab w:val="center" w:pos="1165"/>
                <w:tab w:val="right" w:pos="2331"/>
              </w:tabs>
              <w:spacing w:after="0" w:line="24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0658E7">
              <w:rPr>
                <w:rFonts w:ascii="Arial" w:eastAsia="Times New Roman" w:hAnsi="Arial" w:cs="Arial"/>
                <w:color w:val="000000"/>
                <w:sz w:val="24"/>
                <w:szCs w:val="24"/>
                <w:lang w:eastAsia="en-GB"/>
              </w:rPr>
              <w:t>20 April 2025</w:t>
            </w:r>
          </w:p>
        </w:tc>
      </w:tr>
      <w:tr w:rsidR="00B47FCF" w:rsidRPr="002A6760" w14:paraId="76F2A265"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7013E438"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16</w:t>
            </w:r>
          </w:p>
        </w:tc>
        <w:tc>
          <w:tcPr>
            <w:tcW w:w="3750" w:type="dxa"/>
            <w:tcBorders>
              <w:top w:val="nil"/>
              <w:left w:val="nil"/>
              <w:bottom w:val="single" w:sz="4" w:space="0" w:color="auto"/>
              <w:right w:val="single" w:sz="4" w:space="0" w:color="auto"/>
            </w:tcBorders>
            <w:shd w:val="clear" w:color="auto" w:fill="auto"/>
            <w:noWrap/>
            <w:vAlign w:val="bottom"/>
            <w:hideMark/>
          </w:tcPr>
          <w:p w14:paraId="4627254A"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Final revisions</w:t>
            </w:r>
          </w:p>
        </w:tc>
        <w:tc>
          <w:tcPr>
            <w:tcW w:w="1798" w:type="dxa"/>
            <w:tcBorders>
              <w:top w:val="nil"/>
              <w:left w:val="nil"/>
              <w:bottom w:val="single" w:sz="4" w:space="0" w:color="auto"/>
              <w:right w:val="single" w:sz="4" w:space="0" w:color="auto"/>
            </w:tcBorders>
            <w:shd w:val="clear" w:color="auto" w:fill="auto"/>
            <w:noWrap/>
            <w:vAlign w:val="bottom"/>
            <w:hideMark/>
          </w:tcPr>
          <w:p w14:paraId="66CE65EA"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1728C0A4"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14:paraId="11730602"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May</w:t>
            </w:r>
          </w:p>
        </w:tc>
        <w:tc>
          <w:tcPr>
            <w:tcW w:w="2547" w:type="dxa"/>
            <w:tcBorders>
              <w:top w:val="nil"/>
              <w:left w:val="nil"/>
              <w:bottom w:val="single" w:sz="4" w:space="0" w:color="auto"/>
              <w:right w:val="single" w:sz="4" w:space="0" w:color="auto"/>
            </w:tcBorders>
            <w:shd w:val="clear" w:color="auto" w:fill="auto"/>
          </w:tcPr>
          <w:p w14:paraId="04BA3793"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p>
        </w:tc>
      </w:tr>
      <w:tr w:rsidR="00B47FCF" w:rsidRPr="002A6760" w14:paraId="0ECB6A41" w14:textId="77777777" w:rsidTr="00B47FCF">
        <w:trPr>
          <w:trHeight w:val="340"/>
        </w:trPr>
        <w:tc>
          <w:tcPr>
            <w:tcW w:w="548" w:type="dxa"/>
            <w:tcBorders>
              <w:top w:val="nil"/>
              <w:left w:val="single" w:sz="4" w:space="0" w:color="auto"/>
              <w:bottom w:val="single" w:sz="4" w:space="0" w:color="auto"/>
              <w:right w:val="single" w:sz="4" w:space="0" w:color="auto"/>
            </w:tcBorders>
            <w:shd w:val="clear" w:color="auto" w:fill="auto"/>
            <w:noWrap/>
            <w:vAlign w:val="bottom"/>
            <w:hideMark/>
          </w:tcPr>
          <w:p w14:paraId="554CEC09"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17</w:t>
            </w:r>
          </w:p>
        </w:tc>
        <w:tc>
          <w:tcPr>
            <w:tcW w:w="3750" w:type="dxa"/>
            <w:tcBorders>
              <w:top w:val="nil"/>
              <w:left w:val="nil"/>
              <w:bottom w:val="single" w:sz="4" w:space="0" w:color="auto"/>
              <w:right w:val="single" w:sz="4" w:space="0" w:color="auto"/>
            </w:tcBorders>
            <w:shd w:val="clear" w:color="auto" w:fill="auto"/>
            <w:noWrap/>
            <w:vAlign w:val="bottom"/>
            <w:hideMark/>
          </w:tcPr>
          <w:p w14:paraId="0307EC1E"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Submit</w:t>
            </w:r>
          </w:p>
        </w:tc>
        <w:tc>
          <w:tcPr>
            <w:tcW w:w="1798" w:type="dxa"/>
            <w:tcBorders>
              <w:top w:val="nil"/>
              <w:left w:val="nil"/>
              <w:bottom w:val="single" w:sz="4" w:space="0" w:color="auto"/>
              <w:right w:val="single" w:sz="4" w:space="0" w:color="auto"/>
            </w:tcBorders>
            <w:shd w:val="clear" w:color="auto" w:fill="auto"/>
            <w:noWrap/>
            <w:vAlign w:val="bottom"/>
            <w:hideMark/>
          </w:tcPr>
          <w:p w14:paraId="61F9DC04" w14:textId="77777777" w:rsidR="00B47FCF" w:rsidRPr="002A6760" w:rsidRDefault="00B47FCF" w:rsidP="00B47FCF">
            <w:pPr>
              <w:spacing w:after="0" w:line="240" w:lineRule="auto"/>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052" w:type="dxa"/>
            <w:tcBorders>
              <w:top w:val="nil"/>
              <w:left w:val="nil"/>
              <w:bottom w:val="single" w:sz="4" w:space="0" w:color="auto"/>
              <w:right w:val="single" w:sz="4" w:space="0" w:color="auto"/>
            </w:tcBorders>
            <w:shd w:val="clear" w:color="auto" w:fill="auto"/>
            <w:noWrap/>
            <w:vAlign w:val="bottom"/>
            <w:hideMark/>
          </w:tcPr>
          <w:p w14:paraId="497A6A3C" w14:textId="77777777" w:rsidR="00B47FCF" w:rsidRPr="002A6760" w:rsidRDefault="00B47FCF" w:rsidP="00B47FCF">
            <w:pPr>
              <w:spacing w:after="0" w:line="240" w:lineRule="auto"/>
              <w:jc w:val="center"/>
              <w:rPr>
                <w:rFonts w:ascii="Arial" w:eastAsia="Times New Roman" w:hAnsi="Arial" w:cs="Arial"/>
                <w:color w:val="000000"/>
                <w:sz w:val="24"/>
                <w:szCs w:val="24"/>
                <w:lang w:eastAsia="en-GB"/>
              </w:rPr>
            </w:pPr>
            <w:r w:rsidRPr="002A6760">
              <w:rPr>
                <w:rFonts w:ascii="Arial" w:eastAsia="Times New Roman" w:hAnsi="Arial" w:cs="Arial"/>
                <w:color w:val="000000"/>
                <w:sz w:val="24"/>
                <w:szCs w:val="24"/>
                <w:lang w:eastAsia="en-GB"/>
              </w:rPr>
              <w:t> </w:t>
            </w:r>
          </w:p>
        </w:tc>
        <w:tc>
          <w:tcPr>
            <w:tcW w:w="1787" w:type="dxa"/>
            <w:tcBorders>
              <w:top w:val="nil"/>
              <w:left w:val="nil"/>
              <w:bottom w:val="single" w:sz="4" w:space="0" w:color="auto"/>
              <w:right w:val="single" w:sz="4" w:space="0" w:color="auto"/>
            </w:tcBorders>
            <w:shd w:val="clear" w:color="auto" w:fill="auto"/>
            <w:noWrap/>
            <w:vAlign w:val="bottom"/>
            <w:hideMark/>
          </w:tcPr>
          <w:p w14:paraId="784A5609"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6 May 2025</w:t>
            </w:r>
          </w:p>
        </w:tc>
        <w:tc>
          <w:tcPr>
            <w:tcW w:w="2547" w:type="dxa"/>
            <w:tcBorders>
              <w:top w:val="nil"/>
              <w:left w:val="nil"/>
              <w:bottom w:val="single" w:sz="4" w:space="0" w:color="auto"/>
              <w:right w:val="single" w:sz="4" w:space="0" w:color="auto"/>
            </w:tcBorders>
          </w:tcPr>
          <w:p w14:paraId="56D39A18" w14:textId="77777777" w:rsidR="00B47FCF" w:rsidRPr="002A6760" w:rsidRDefault="00B47FCF" w:rsidP="00B47FCF">
            <w:pPr>
              <w:spacing w:after="0" w:line="240" w:lineRule="auto"/>
              <w:jc w:val="right"/>
              <w:rPr>
                <w:rFonts w:ascii="Arial" w:eastAsia="Times New Roman" w:hAnsi="Arial" w:cs="Arial"/>
                <w:color w:val="000000"/>
                <w:sz w:val="24"/>
                <w:szCs w:val="24"/>
                <w:lang w:eastAsia="en-GB"/>
              </w:rPr>
            </w:pPr>
          </w:p>
        </w:tc>
      </w:tr>
    </w:tbl>
    <w:p w14:paraId="57E96FC2" w14:textId="77777777" w:rsidR="00F47F29" w:rsidRDefault="00F47F29" w:rsidP="00F47F29"/>
    <w:p w14:paraId="0EBE22C0" w14:textId="77777777" w:rsidR="00F47F29" w:rsidRPr="002A6760" w:rsidRDefault="00F47F29" w:rsidP="00F47F29">
      <w:pPr>
        <w:rPr>
          <w:rFonts w:ascii="Arial" w:hAnsi="Arial" w:cs="Arial"/>
          <w:sz w:val="24"/>
          <w:szCs w:val="24"/>
        </w:rPr>
      </w:pPr>
    </w:p>
    <w:p w14:paraId="565D2D01" w14:textId="4F94577A" w:rsidR="00B47FCF" w:rsidRPr="00B47FCF" w:rsidRDefault="00B47FCF" w:rsidP="00B47FCF">
      <w:pPr>
        <w:rPr>
          <w:rFonts w:ascii="Arial" w:hAnsi="Arial" w:cs="Arial"/>
          <w:sz w:val="28"/>
          <w:szCs w:val="28"/>
        </w:rPr>
        <w:sectPr w:rsidR="00B47FCF" w:rsidRPr="00B47FCF" w:rsidSect="00B47FCF">
          <w:type w:val="continuous"/>
          <w:pgSz w:w="16838" w:h="11906" w:orient="landscape"/>
          <w:pgMar w:top="1440" w:right="1440" w:bottom="1440" w:left="1440" w:header="708" w:footer="708" w:gutter="0"/>
          <w:cols w:space="708"/>
          <w:docGrid w:linePitch="360"/>
        </w:sectPr>
      </w:pPr>
    </w:p>
    <w:p w14:paraId="6E3BE29C" w14:textId="2CB809CB" w:rsidR="005D2F5D" w:rsidRDefault="005D2F5D" w:rsidP="00F47F29">
      <w:pPr>
        <w:spacing w:line="240" w:lineRule="auto"/>
        <w:rPr>
          <w:rFonts w:ascii="Arial" w:hAnsi="Arial" w:cs="Arial"/>
          <w:b/>
          <w:sz w:val="28"/>
          <w:szCs w:val="28"/>
        </w:rPr>
      </w:pPr>
      <w:r>
        <w:rPr>
          <w:rFonts w:ascii="Arial" w:hAnsi="Arial" w:cs="Arial"/>
          <w:b/>
          <w:sz w:val="28"/>
          <w:szCs w:val="28"/>
        </w:rPr>
        <w:lastRenderedPageBreak/>
        <w:t>Appendix C</w:t>
      </w:r>
      <w:r>
        <w:rPr>
          <w:rFonts w:ascii="Arial" w:hAnsi="Arial" w:cs="Arial"/>
          <w:b/>
          <w:sz w:val="28"/>
          <w:szCs w:val="28"/>
        </w:rPr>
        <w:tab/>
      </w:r>
      <w:r>
        <w:rPr>
          <w:rFonts w:ascii="Arial" w:hAnsi="Arial" w:cs="Arial"/>
          <w:b/>
          <w:sz w:val="28"/>
          <w:szCs w:val="28"/>
        </w:rPr>
        <w:tab/>
        <w:t>Supervision diary</w:t>
      </w:r>
    </w:p>
    <w:p w14:paraId="2B5C83D8" w14:textId="77777777" w:rsidR="00B47FCF" w:rsidRDefault="00B47FCF" w:rsidP="00F47F29">
      <w:pPr>
        <w:spacing w:line="240" w:lineRule="auto"/>
        <w:rPr>
          <w:rFonts w:ascii="Arial" w:hAnsi="Arial" w:cs="Arial"/>
          <w:b/>
          <w:sz w:val="28"/>
          <w:szCs w:val="28"/>
        </w:rPr>
      </w:pPr>
    </w:p>
    <w:p w14:paraId="37FED02A" w14:textId="4584A6B6" w:rsidR="005D2F5D" w:rsidRDefault="005D2F5D" w:rsidP="00F47F29">
      <w:pPr>
        <w:spacing w:line="240" w:lineRule="auto"/>
        <w:rPr>
          <w:rFonts w:ascii="Arial" w:hAnsi="Arial" w:cs="Arial"/>
          <w:b/>
          <w:sz w:val="28"/>
          <w:szCs w:val="28"/>
        </w:rPr>
      </w:pPr>
    </w:p>
    <w:tbl>
      <w:tblPr>
        <w:tblStyle w:val="TableGrid"/>
        <w:tblW w:w="0" w:type="auto"/>
        <w:tblInd w:w="1129" w:type="dxa"/>
        <w:tblLook w:val="04A0" w:firstRow="1" w:lastRow="0" w:firstColumn="1" w:lastColumn="0" w:noHBand="0" w:noVBand="1"/>
      </w:tblPr>
      <w:tblGrid>
        <w:gridCol w:w="2727"/>
        <w:gridCol w:w="2785"/>
        <w:gridCol w:w="1859"/>
      </w:tblGrid>
      <w:tr w:rsidR="00B47FCF" w:rsidRPr="005D2F5D" w14:paraId="588F5FBD" w14:textId="4BCEE44B" w:rsidTr="002C6BCA">
        <w:tc>
          <w:tcPr>
            <w:tcW w:w="2727" w:type="dxa"/>
            <w:vAlign w:val="center"/>
          </w:tcPr>
          <w:p w14:paraId="11BEFE03" w14:textId="15870F16" w:rsidR="00B47FCF" w:rsidRPr="005D2F5D" w:rsidRDefault="00B47FCF" w:rsidP="005D2F5D">
            <w:pPr>
              <w:rPr>
                <w:rFonts w:ascii="Arial" w:hAnsi="Arial" w:cs="Arial"/>
                <w:bCs/>
                <w:sz w:val="24"/>
                <w:szCs w:val="24"/>
              </w:rPr>
            </w:pPr>
            <w:r w:rsidRPr="005D2F5D">
              <w:rPr>
                <w:rFonts w:ascii="Arial" w:hAnsi="Arial" w:cs="Arial"/>
                <w:bCs/>
                <w:sz w:val="24"/>
                <w:szCs w:val="24"/>
              </w:rPr>
              <w:t>21 September 2024</w:t>
            </w:r>
          </w:p>
        </w:tc>
        <w:tc>
          <w:tcPr>
            <w:tcW w:w="2785" w:type="dxa"/>
            <w:vAlign w:val="center"/>
          </w:tcPr>
          <w:p w14:paraId="67238417" w14:textId="5BB1154B" w:rsidR="00B47FCF" w:rsidRPr="005D2F5D" w:rsidRDefault="00B47FCF" w:rsidP="005D2F5D">
            <w:pPr>
              <w:jc w:val="center"/>
              <w:rPr>
                <w:rFonts w:ascii="Arial" w:hAnsi="Arial" w:cs="Arial"/>
                <w:bCs/>
                <w:sz w:val="24"/>
                <w:szCs w:val="24"/>
              </w:rPr>
            </w:pPr>
            <w:r>
              <w:rPr>
                <w:rFonts w:ascii="Arial" w:hAnsi="Arial" w:cs="Arial"/>
                <w:bCs/>
                <w:sz w:val="24"/>
                <w:szCs w:val="24"/>
              </w:rPr>
              <w:t>Residential, Swansea</w:t>
            </w:r>
          </w:p>
        </w:tc>
        <w:tc>
          <w:tcPr>
            <w:tcW w:w="1859" w:type="dxa"/>
            <w:vAlign w:val="center"/>
          </w:tcPr>
          <w:p w14:paraId="5B18E2FE" w14:textId="77777777" w:rsidR="00B47FCF" w:rsidRDefault="00B47FCF" w:rsidP="005D2F5D">
            <w:pPr>
              <w:jc w:val="center"/>
              <w:rPr>
                <w:rFonts w:ascii="Arial" w:hAnsi="Arial" w:cs="Arial"/>
                <w:bCs/>
                <w:sz w:val="24"/>
                <w:szCs w:val="24"/>
              </w:rPr>
            </w:pPr>
          </w:p>
        </w:tc>
      </w:tr>
      <w:tr w:rsidR="00B47FCF" w:rsidRPr="005D2F5D" w14:paraId="28D671F1" w14:textId="64C90AA1" w:rsidTr="002C6BCA">
        <w:tc>
          <w:tcPr>
            <w:tcW w:w="2727" w:type="dxa"/>
            <w:vAlign w:val="center"/>
          </w:tcPr>
          <w:p w14:paraId="0F58B965" w14:textId="16786679" w:rsidR="00B47FCF" w:rsidRPr="005D2F5D" w:rsidRDefault="00B47FCF" w:rsidP="00F47F29">
            <w:pPr>
              <w:rPr>
                <w:rFonts w:ascii="Arial" w:hAnsi="Arial" w:cs="Arial"/>
                <w:bCs/>
                <w:sz w:val="24"/>
                <w:szCs w:val="24"/>
              </w:rPr>
            </w:pPr>
            <w:r w:rsidRPr="005D2F5D">
              <w:rPr>
                <w:rFonts w:ascii="Arial" w:hAnsi="Arial" w:cs="Arial"/>
                <w:bCs/>
                <w:sz w:val="24"/>
                <w:szCs w:val="24"/>
              </w:rPr>
              <w:t>7 October</w:t>
            </w:r>
          </w:p>
        </w:tc>
        <w:tc>
          <w:tcPr>
            <w:tcW w:w="2785" w:type="dxa"/>
            <w:vAlign w:val="center"/>
          </w:tcPr>
          <w:p w14:paraId="59CD0219" w14:textId="22BB683C" w:rsidR="00B47FCF" w:rsidRPr="005D2F5D" w:rsidRDefault="00B47FCF" w:rsidP="005D2F5D">
            <w:pPr>
              <w:jc w:val="center"/>
              <w:rPr>
                <w:rFonts w:ascii="Arial" w:hAnsi="Arial" w:cs="Arial"/>
                <w:bCs/>
                <w:sz w:val="24"/>
                <w:szCs w:val="24"/>
              </w:rPr>
            </w:pPr>
            <w:r>
              <w:rPr>
                <w:rFonts w:ascii="Arial" w:hAnsi="Arial" w:cs="Arial"/>
                <w:bCs/>
                <w:sz w:val="24"/>
                <w:szCs w:val="24"/>
              </w:rPr>
              <w:t>Supervision</w:t>
            </w:r>
          </w:p>
        </w:tc>
        <w:tc>
          <w:tcPr>
            <w:tcW w:w="1859" w:type="dxa"/>
            <w:vAlign w:val="center"/>
          </w:tcPr>
          <w:p w14:paraId="0FA9B2F5" w14:textId="7CFBBF66" w:rsidR="00B47FCF" w:rsidRDefault="00B47FCF" w:rsidP="005D2F5D">
            <w:pPr>
              <w:jc w:val="center"/>
              <w:rPr>
                <w:rFonts w:ascii="Arial" w:hAnsi="Arial" w:cs="Arial"/>
                <w:bCs/>
                <w:sz w:val="24"/>
                <w:szCs w:val="24"/>
              </w:rPr>
            </w:pPr>
            <w:r>
              <w:rPr>
                <w:rFonts w:ascii="Arial" w:hAnsi="Arial" w:cs="Arial"/>
                <w:bCs/>
                <w:sz w:val="24"/>
                <w:szCs w:val="24"/>
              </w:rPr>
              <w:t>E.</w:t>
            </w:r>
            <w:r w:rsidR="002C6BCA">
              <w:rPr>
                <w:rFonts w:ascii="Arial" w:hAnsi="Arial" w:cs="Arial"/>
                <w:bCs/>
                <w:sz w:val="24"/>
                <w:szCs w:val="24"/>
              </w:rPr>
              <w:t xml:space="preserve"> </w:t>
            </w:r>
            <w:r>
              <w:rPr>
                <w:rFonts w:ascii="Arial" w:hAnsi="Arial" w:cs="Arial"/>
                <w:bCs/>
                <w:sz w:val="24"/>
                <w:szCs w:val="24"/>
              </w:rPr>
              <w:t>Conley</w:t>
            </w:r>
          </w:p>
        </w:tc>
      </w:tr>
      <w:tr w:rsidR="002C6BCA" w:rsidRPr="005D2F5D" w14:paraId="5112EE27" w14:textId="7C432D21" w:rsidTr="002C6BCA">
        <w:tc>
          <w:tcPr>
            <w:tcW w:w="2727" w:type="dxa"/>
            <w:vAlign w:val="center"/>
          </w:tcPr>
          <w:p w14:paraId="45DE03DE" w14:textId="7D4A3713" w:rsidR="002C6BCA" w:rsidRPr="005D2F5D" w:rsidRDefault="002C6BCA" w:rsidP="002C6BCA">
            <w:pPr>
              <w:rPr>
                <w:rFonts w:ascii="Arial" w:hAnsi="Arial" w:cs="Arial"/>
                <w:bCs/>
                <w:sz w:val="24"/>
                <w:szCs w:val="24"/>
              </w:rPr>
            </w:pPr>
            <w:r w:rsidRPr="005D2F5D">
              <w:rPr>
                <w:rFonts w:ascii="Arial" w:hAnsi="Arial" w:cs="Arial"/>
                <w:bCs/>
                <w:sz w:val="24"/>
                <w:szCs w:val="24"/>
              </w:rPr>
              <w:t>23 October</w:t>
            </w:r>
          </w:p>
        </w:tc>
        <w:tc>
          <w:tcPr>
            <w:tcW w:w="2785" w:type="dxa"/>
            <w:vAlign w:val="center"/>
          </w:tcPr>
          <w:p w14:paraId="714722E7" w14:textId="04455EB7" w:rsidR="002C6BCA" w:rsidRPr="005D2F5D" w:rsidRDefault="002C6BCA" w:rsidP="002C6BCA">
            <w:pPr>
              <w:jc w:val="center"/>
              <w:rPr>
                <w:rFonts w:ascii="Arial" w:hAnsi="Arial" w:cs="Arial"/>
                <w:bCs/>
                <w:sz w:val="24"/>
                <w:szCs w:val="24"/>
              </w:rPr>
            </w:pPr>
            <w:r w:rsidRPr="000B019F">
              <w:rPr>
                <w:rFonts w:ascii="Arial" w:hAnsi="Arial" w:cs="Arial"/>
                <w:bCs/>
                <w:sz w:val="24"/>
                <w:szCs w:val="24"/>
              </w:rPr>
              <w:t>Supervision</w:t>
            </w:r>
          </w:p>
        </w:tc>
        <w:tc>
          <w:tcPr>
            <w:tcW w:w="1859" w:type="dxa"/>
            <w:vAlign w:val="center"/>
          </w:tcPr>
          <w:p w14:paraId="382739CF" w14:textId="60EAA0B7" w:rsidR="002C6BCA" w:rsidRPr="000B019F" w:rsidRDefault="002C6BCA" w:rsidP="002C6BCA">
            <w:pPr>
              <w:jc w:val="center"/>
              <w:rPr>
                <w:rFonts w:ascii="Arial" w:hAnsi="Arial" w:cs="Arial"/>
                <w:bCs/>
                <w:sz w:val="24"/>
                <w:szCs w:val="24"/>
              </w:rPr>
            </w:pPr>
            <w:r w:rsidRPr="004469CC">
              <w:rPr>
                <w:rFonts w:ascii="Arial" w:hAnsi="Arial" w:cs="Arial"/>
                <w:bCs/>
                <w:sz w:val="24"/>
                <w:szCs w:val="24"/>
              </w:rPr>
              <w:t>E.</w:t>
            </w:r>
            <w:r>
              <w:rPr>
                <w:rFonts w:ascii="Arial" w:hAnsi="Arial" w:cs="Arial"/>
                <w:bCs/>
                <w:sz w:val="24"/>
                <w:szCs w:val="24"/>
              </w:rPr>
              <w:t xml:space="preserve"> </w:t>
            </w:r>
            <w:r w:rsidRPr="004469CC">
              <w:rPr>
                <w:rFonts w:ascii="Arial" w:hAnsi="Arial" w:cs="Arial"/>
                <w:bCs/>
                <w:sz w:val="24"/>
                <w:szCs w:val="24"/>
              </w:rPr>
              <w:t>Conley</w:t>
            </w:r>
          </w:p>
        </w:tc>
      </w:tr>
      <w:tr w:rsidR="002C6BCA" w:rsidRPr="005D2F5D" w14:paraId="58D87505" w14:textId="53E1868D" w:rsidTr="002C6BCA">
        <w:tc>
          <w:tcPr>
            <w:tcW w:w="2727" w:type="dxa"/>
            <w:vAlign w:val="center"/>
          </w:tcPr>
          <w:p w14:paraId="5E474048" w14:textId="00929D5E" w:rsidR="002C6BCA" w:rsidRPr="005D2F5D" w:rsidRDefault="002C6BCA" w:rsidP="002C6BCA">
            <w:pPr>
              <w:rPr>
                <w:rFonts w:ascii="Arial" w:hAnsi="Arial" w:cs="Arial"/>
                <w:bCs/>
                <w:sz w:val="24"/>
                <w:szCs w:val="24"/>
              </w:rPr>
            </w:pPr>
            <w:r w:rsidRPr="005D2F5D">
              <w:rPr>
                <w:rFonts w:ascii="Arial" w:hAnsi="Arial" w:cs="Arial"/>
                <w:bCs/>
                <w:sz w:val="24"/>
                <w:szCs w:val="24"/>
              </w:rPr>
              <w:t>6 November</w:t>
            </w:r>
          </w:p>
        </w:tc>
        <w:tc>
          <w:tcPr>
            <w:tcW w:w="2785" w:type="dxa"/>
            <w:vAlign w:val="center"/>
          </w:tcPr>
          <w:p w14:paraId="6E79FC7F" w14:textId="744F47AD" w:rsidR="002C6BCA" w:rsidRPr="005D2F5D" w:rsidRDefault="002C6BCA" w:rsidP="002C6BCA">
            <w:pPr>
              <w:jc w:val="center"/>
              <w:rPr>
                <w:rFonts w:ascii="Arial" w:hAnsi="Arial" w:cs="Arial"/>
                <w:bCs/>
                <w:sz w:val="24"/>
                <w:szCs w:val="24"/>
              </w:rPr>
            </w:pPr>
            <w:r w:rsidRPr="000B019F">
              <w:rPr>
                <w:rFonts w:ascii="Arial" w:hAnsi="Arial" w:cs="Arial"/>
                <w:bCs/>
                <w:sz w:val="24"/>
                <w:szCs w:val="24"/>
              </w:rPr>
              <w:t>Supervision</w:t>
            </w:r>
          </w:p>
        </w:tc>
        <w:tc>
          <w:tcPr>
            <w:tcW w:w="1859" w:type="dxa"/>
            <w:vAlign w:val="center"/>
          </w:tcPr>
          <w:p w14:paraId="0DF3AC96" w14:textId="242485A4" w:rsidR="002C6BCA" w:rsidRPr="000B019F" w:rsidRDefault="002C6BCA" w:rsidP="002C6BCA">
            <w:pPr>
              <w:jc w:val="center"/>
              <w:rPr>
                <w:rFonts w:ascii="Arial" w:hAnsi="Arial" w:cs="Arial"/>
                <w:bCs/>
                <w:sz w:val="24"/>
                <w:szCs w:val="24"/>
              </w:rPr>
            </w:pPr>
            <w:r w:rsidRPr="004469CC">
              <w:rPr>
                <w:rFonts w:ascii="Arial" w:hAnsi="Arial" w:cs="Arial"/>
                <w:bCs/>
                <w:sz w:val="24"/>
                <w:szCs w:val="24"/>
              </w:rPr>
              <w:t>E.</w:t>
            </w:r>
            <w:r>
              <w:rPr>
                <w:rFonts w:ascii="Arial" w:hAnsi="Arial" w:cs="Arial"/>
                <w:bCs/>
                <w:sz w:val="24"/>
                <w:szCs w:val="24"/>
              </w:rPr>
              <w:t xml:space="preserve"> </w:t>
            </w:r>
            <w:r w:rsidRPr="004469CC">
              <w:rPr>
                <w:rFonts w:ascii="Arial" w:hAnsi="Arial" w:cs="Arial"/>
                <w:bCs/>
                <w:sz w:val="24"/>
                <w:szCs w:val="24"/>
              </w:rPr>
              <w:t>Conley</w:t>
            </w:r>
          </w:p>
        </w:tc>
      </w:tr>
      <w:tr w:rsidR="002C6BCA" w:rsidRPr="005D2F5D" w14:paraId="29AC8E70" w14:textId="5830B668" w:rsidTr="002C6BCA">
        <w:tc>
          <w:tcPr>
            <w:tcW w:w="2727" w:type="dxa"/>
            <w:vAlign w:val="center"/>
          </w:tcPr>
          <w:p w14:paraId="030E156A" w14:textId="785DC958" w:rsidR="002C6BCA" w:rsidRPr="005D2F5D" w:rsidRDefault="002C6BCA" w:rsidP="002C6BCA">
            <w:pPr>
              <w:rPr>
                <w:rFonts w:ascii="Arial" w:hAnsi="Arial" w:cs="Arial"/>
                <w:bCs/>
                <w:sz w:val="24"/>
                <w:szCs w:val="24"/>
              </w:rPr>
            </w:pPr>
            <w:r w:rsidRPr="005D2F5D">
              <w:rPr>
                <w:rFonts w:ascii="Arial" w:hAnsi="Arial" w:cs="Arial"/>
                <w:bCs/>
                <w:sz w:val="24"/>
                <w:szCs w:val="24"/>
              </w:rPr>
              <w:t>19 November</w:t>
            </w:r>
          </w:p>
        </w:tc>
        <w:tc>
          <w:tcPr>
            <w:tcW w:w="2785" w:type="dxa"/>
            <w:vAlign w:val="center"/>
          </w:tcPr>
          <w:p w14:paraId="4E5839C1" w14:textId="207DB6B4" w:rsidR="002C6BCA" w:rsidRPr="005D2F5D" w:rsidRDefault="002C6BCA" w:rsidP="002C6BCA">
            <w:pPr>
              <w:jc w:val="center"/>
              <w:rPr>
                <w:rFonts w:ascii="Arial" w:hAnsi="Arial" w:cs="Arial"/>
                <w:bCs/>
                <w:sz w:val="24"/>
                <w:szCs w:val="24"/>
              </w:rPr>
            </w:pPr>
            <w:r w:rsidRPr="000B019F">
              <w:rPr>
                <w:rFonts w:ascii="Arial" w:hAnsi="Arial" w:cs="Arial"/>
                <w:bCs/>
                <w:sz w:val="24"/>
                <w:szCs w:val="24"/>
              </w:rPr>
              <w:t>Supervision</w:t>
            </w:r>
          </w:p>
        </w:tc>
        <w:tc>
          <w:tcPr>
            <w:tcW w:w="1859" w:type="dxa"/>
            <w:vAlign w:val="center"/>
          </w:tcPr>
          <w:p w14:paraId="5FD28B4C" w14:textId="2827B368" w:rsidR="002C6BCA" w:rsidRPr="000B019F" w:rsidRDefault="002C6BCA" w:rsidP="002C6BCA">
            <w:pPr>
              <w:jc w:val="center"/>
              <w:rPr>
                <w:rFonts w:ascii="Arial" w:hAnsi="Arial" w:cs="Arial"/>
                <w:bCs/>
                <w:sz w:val="24"/>
                <w:szCs w:val="24"/>
              </w:rPr>
            </w:pPr>
            <w:r w:rsidRPr="004469CC">
              <w:rPr>
                <w:rFonts w:ascii="Arial" w:hAnsi="Arial" w:cs="Arial"/>
                <w:bCs/>
                <w:sz w:val="24"/>
                <w:szCs w:val="24"/>
              </w:rPr>
              <w:t>E.</w:t>
            </w:r>
            <w:r>
              <w:rPr>
                <w:rFonts w:ascii="Arial" w:hAnsi="Arial" w:cs="Arial"/>
                <w:bCs/>
                <w:sz w:val="24"/>
                <w:szCs w:val="24"/>
              </w:rPr>
              <w:t xml:space="preserve"> </w:t>
            </w:r>
            <w:r w:rsidRPr="004469CC">
              <w:rPr>
                <w:rFonts w:ascii="Arial" w:hAnsi="Arial" w:cs="Arial"/>
                <w:bCs/>
                <w:sz w:val="24"/>
                <w:szCs w:val="24"/>
              </w:rPr>
              <w:t>Conley</w:t>
            </w:r>
          </w:p>
        </w:tc>
      </w:tr>
      <w:tr w:rsidR="002C6BCA" w:rsidRPr="005D2F5D" w14:paraId="45A8B385" w14:textId="2B36C272" w:rsidTr="002C6BCA">
        <w:tc>
          <w:tcPr>
            <w:tcW w:w="2727" w:type="dxa"/>
            <w:vAlign w:val="center"/>
          </w:tcPr>
          <w:p w14:paraId="5BE129B0" w14:textId="1233D169" w:rsidR="002C6BCA" w:rsidRPr="005D2F5D" w:rsidRDefault="002C6BCA" w:rsidP="002C6BCA">
            <w:pPr>
              <w:rPr>
                <w:rFonts w:ascii="Arial" w:hAnsi="Arial" w:cs="Arial"/>
                <w:bCs/>
                <w:sz w:val="24"/>
                <w:szCs w:val="24"/>
              </w:rPr>
            </w:pPr>
            <w:r w:rsidRPr="005D2F5D">
              <w:rPr>
                <w:rFonts w:ascii="Arial" w:hAnsi="Arial" w:cs="Arial"/>
                <w:bCs/>
                <w:sz w:val="24"/>
                <w:szCs w:val="24"/>
              </w:rPr>
              <w:t>4 December</w:t>
            </w:r>
          </w:p>
        </w:tc>
        <w:tc>
          <w:tcPr>
            <w:tcW w:w="2785" w:type="dxa"/>
            <w:vAlign w:val="center"/>
          </w:tcPr>
          <w:p w14:paraId="68093E52" w14:textId="11D6DECD" w:rsidR="002C6BCA" w:rsidRPr="005D2F5D" w:rsidRDefault="002C6BCA" w:rsidP="002C6BCA">
            <w:pPr>
              <w:jc w:val="center"/>
              <w:rPr>
                <w:rFonts w:ascii="Arial" w:hAnsi="Arial" w:cs="Arial"/>
                <w:bCs/>
                <w:sz w:val="24"/>
                <w:szCs w:val="24"/>
              </w:rPr>
            </w:pPr>
            <w:r w:rsidRPr="000B019F">
              <w:rPr>
                <w:rFonts w:ascii="Arial" w:hAnsi="Arial" w:cs="Arial"/>
                <w:bCs/>
                <w:sz w:val="24"/>
                <w:szCs w:val="24"/>
              </w:rPr>
              <w:t>Supervision</w:t>
            </w:r>
          </w:p>
        </w:tc>
        <w:tc>
          <w:tcPr>
            <w:tcW w:w="1859" w:type="dxa"/>
            <w:vAlign w:val="center"/>
          </w:tcPr>
          <w:p w14:paraId="6ECE4F1A" w14:textId="161A538F" w:rsidR="002C6BCA" w:rsidRPr="000B019F" w:rsidRDefault="002C6BCA" w:rsidP="002C6BCA">
            <w:pPr>
              <w:jc w:val="center"/>
              <w:rPr>
                <w:rFonts w:ascii="Arial" w:hAnsi="Arial" w:cs="Arial"/>
                <w:bCs/>
                <w:sz w:val="24"/>
                <w:szCs w:val="24"/>
              </w:rPr>
            </w:pPr>
            <w:r w:rsidRPr="004469CC">
              <w:rPr>
                <w:rFonts w:ascii="Arial" w:hAnsi="Arial" w:cs="Arial"/>
                <w:bCs/>
                <w:sz w:val="24"/>
                <w:szCs w:val="24"/>
              </w:rPr>
              <w:t>E.</w:t>
            </w:r>
            <w:r>
              <w:rPr>
                <w:rFonts w:ascii="Arial" w:hAnsi="Arial" w:cs="Arial"/>
                <w:bCs/>
                <w:sz w:val="24"/>
                <w:szCs w:val="24"/>
              </w:rPr>
              <w:t xml:space="preserve"> </w:t>
            </w:r>
            <w:r w:rsidRPr="004469CC">
              <w:rPr>
                <w:rFonts w:ascii="Arial" w:hAnsi="Arial" w:cs="Arial"/>
                <w:bCs/>
                <w:sz w:val="24"/>
                <w:szCs w:val="24"/>
              </w:rPr>
              <w:t>Conley</w:t>
            </w:r>
          </w:p>
        </w:tc>
      </w:tr>
      <w:tr w:rsidR="002C6BCA" w:rsidRPr="005D2F5D" w14:paraId="060AAE97" w14:textId="7BBD816B" w:rsidTr="002C6BCA">
        <w:tc>
          <w:tcPr>
            <w:tcW w:w="7371" w:type="dxa"/>
            <w:gridSpan w:val="3"/>
            <w:shd w:val="clear" w:color="auto" w:fill="D9D9D9" w:themeFill="background1" w:themeFillShade="D9"/>
            <w:vAlign w:val="center"/>
          </w:tcPr>
          <w:p w14:paraId="301AD225" w14:textId="10322CDA" w:rsidR="002C6BCA" w:rsidRDefault="002C6BCA" w:rsidP="005D2F5D">
            <w:pPr>
              <w:jc w:val="center"/>
              <w:rPr>
                <w:rFonts w:ascii="Arial" w:hAnsi="Arial" w:cs="Arial"/>
                <w:bCs/>
                <w:sz w:val="24"/>
                <w:szCs w:val="24"/>
              </w:rPr>
            </w:pPr>
            <w:r>
              <w:rPr>
                <w:rFonts w:ascii="Arial" w:hAnsi="Arial" w:cs="Arial"/>
                <w:bCs/>
                <w:sz w:val="24"/>
                <w:szCs w:val="24"/>
              </w:rPr>
              <w:t>CHRISTMAS</w:t>
            </w:r>
          </w:p>
        </w:tc>
      </w:tr>
      <w:tr w:rsidR="00B47FCF" w:rsidRPr="005D2F5D" w14:paraId="69C2CD8F" w14:textId="0FFC9B0E" w:rsidTr="002C6BCA">
        <w:tc>
          <w:tcPr>
            <w:tcW w:w="2727" w:type="dxa"/>
            <w:vAlign w:val="center"/>
          </w:tcPr>
          <w:p w14:paraId="62D87EB7" w14:textId="0B7035A2" w:rsidR="00B47FCF" w:rsidRPr="005D2F5D" w:rsidRDefault="00B47FCF" w:rsidP="00F47F29">
            <w:pPr>
              <w:rPr>
                <w:rFonts w:ascii="Arial" w:hAnsi="Arial" w:cs="Arial"/>
                <w:bCs/>
                <w:sz w:val="24"/>
                <w:szCs w:val="24"/>
              </w:rPr>
            </w:pPr>
            <w:r w:rsidRPr="005D2F5D">
              <w:rPr>
                <w:rFonts w:ascii="Arial" w:hAnsi="Arial" w:cs="Arial"/>
                <w:bCs/>
                <w:sz w:val="24"/>
                <w:szCs w:val="24"/>
              </w:rPr>
              <w:t>13 January 2025</w:t>
            </w:r>
          </w:p>
        </w:tc>
        <w:tc>
          <w:tcPr>
            <w:tcW w:w="2785" w:type="dxa"/>
            <w:vAlign w:val="center"/>
          </w:tcPr>
          <w:p w14:paraId="26822499" w14:textId="7B3DC914" w:rsidR="00B47FCF" w:rsidRPr="005D2F5D" w:rsidRDefault="00B47FCF" w:rsidP="005D2F5D">
            <w:pPr>
              <w:jc w:val="center"/>
              <w:rPr>
                <w:rFonts w:ascii="Arial" w:hAnsi="Arial" w:cs="Arial"/>
                <w:bCs/>
                <w:sz w:val="24"/>
                <w:szCs w:val="24"/>
              </w:rPr>
            </w:pPr>
            <w:r>
              <w:rPr>
                <w:rFonts w:ascii="Arial" w:hAnsi="Arial" w:cs="Arial"/>
                <w:bCs/>
                <w:sz w:val="24"/>
                <w:szCs w:val="24"/>
              </w:rPr>
              <w:t>Progress review</w:t>
            </w:r>
          </w:p>
        </w:tc>
        <w:tc>
          <w:tcPr>
            <w:tcW w:w="1859" w:type="dxa"/>
            <w:vAlign w:val="center"/>
          </w:tcPr>
          <w:p w14:paraId="68D511BE" w14:textId="52D7F84A" w:rsidR="00B47FCF" w:rsidRPr="002C6BCA" w:rsidRDefault="002C6BCA" w:rsidP="002C6BCA">
            <w:pPr>
              <w:jc w:val="center"/>
              <w:rPr>
                <w:rFonts w:ascii="Times New Roman" w:eastAsia="Times New Roman" w:hAnsi="Times New Roman" w:cs="Times New Roman"/>
                <w:sz w:val="24"/>
                <w:szCs w:val="24"/>
                <w:lang w:eastAsia="en-GB"/>
              </w:rPr>
            </w:pPr>
            <w:r>
              <w:rPr>
                <w:rFonts w:ascii="Arial" w:hAnsi="Arial" w:cs="Arial"/>
                <w:bCs/>
                <w:sz w:val="24"/>
                <w:szCs w:val="24"/>
              </w:rPr>
              <w:t xml:space="preserve">E. Conley, and, S. </w:t>
            </w:r>
            <w:r w:rsidRPr="002C6BCA">
              <w:rPr>
                <w:rFonts w:ascii="Arial" w:hAnsi="Arial" w:cs="Arial"/>
                <w:bCs/>
                <w:sz w:val="24"/>
                <w:szCs w:val="24"/>
              </w:rPr>
              <w:t>Ferraraccio</w:t>
            </w:r>
          </w:p>
        </w:tc>
      </w:tr>
      <w:tr w:rsidR="002C6BCA" w:rsidRPr="005D2F5D" w14:paraId="62A183B1" w14:textId="5116A5ED" w:rsidTr="002C6BCA">
        <w:tc>
          <w:tcPr>
            <w:tcW w:w="2727" w:type="dxa"/>
            <w:vAlign w:val="center"/>
          </w:tcPr>
          <w:p w14:paraId="4122B764" w14:textId="0BD10A43" w:rsidR="002C6BCA" w:rsidRPr="005D2F5D" w:rsidRDefault="002C6BCA" w:rsidP="002C6BCA">
            <w:pPr>
              <w:rPr>
                <w:rFonts w:ascii="Arial" w:hAnsi="Arial" w:cs="Arial"/>
                <w:bCs/>
                <w:sz w:val="24"/>
                <w:szCs w:val="24"/>
              </w:rPr>
            </w:pPr>
            <w:r>
              <w:rPr>
                <w:rFonts w:ascii="Arial" w:hAnsi="Arial" w:cs="Arial"/>
                <w:bCs/>
                <w:sz w:val="24"/>
                <w:szCs w:val="24"/>
              </w:rPr>
              <w:t>29 January</w:t>
            </w:r>
          </w:p>
        </w:tc>
        <w:tc>
          <w:tcPr>
            <w:tcW w:w="2785" w:type="dxa"/>
            <w:vAlign w:val="center"/>
          </w:tcPr>
          <w:p w14:paraId="6BE245ED" w14:textId="741FFB07" w:rsidR="002C6BCA" w:rsidRPr="005D2F5D" w:rsidRDefault="002C6BCA" w:rsidP="002C6BCA">
            <w:pPr>
              <w:jc w:val="center"/>
              <w:rPr>
                <w:rFonts w:ascii="Arial" w:hAnsi="Arial" w:cs="Arial"/>
                <w:bCs/>
                <w:sz w:val="24"/>
                <w:szCs w:val="24"/>
              </w:rPr>
            </w:pPr>
            <w:r w:rsidRPr="00211A31">
              <w:rPr>
                <w:rFonts w:ascii="Arial" w:hAnsi="Arial" w:cs="Arial"/>
                <w:bCs/>
                <w:sz w:val="24"/>
                <w:szCs w:val="24"/>
              </w:rPr>
              <w:t>Supervision</w:t>
            </w:r>
          </w:p>
        </w:tc>
        <w:tc>
          <w:tcPr>
            <w:tcW w:w="1859" w:type="dxa"/>
            <w:vAlign w:val="center"/>
          </w:tcPr>
          <w:p w14:paraId="6CE85142" w14:textId="22E825D0" w:rsidR="002C6BCA" w:rsidRPr="00211A31" w:rsidRDefault="002C6BCA" w:rsidP="002C6BCA">
            <w:pPr>
              <w:jc w:val="center"/>
              <w:rPr>
                <w:rFonts w:ascii="Arial" w:hAnsi="Arial" w:cs="Arial"/>
                <w:bCs/>
                <w:sz w:val="24"/>
                <w:szCs w:val="24"/>
              </w:rPr>
            </w:pPr>
            <w:r w:rsidRPr="00647BFF">
              <w:rPr>
                <w:rFonts w:ascii="Arial" w:hAnsi="Arial" w:cs="Arial"/>
                <w:bCs/>
                <w:sz w:val="24"/>
                <w:szCs w:val="24"/>
              </w:rPr>
              <w:t>E.</w:t>
            </w:r>
            <w:r>
              <w:rPr>
                <w:rFonts w:ascii="Arial" w:hAnsi="Arial" w:cs="Arial"/>
                <w:bCs/>
                <w:sz w:val="24"/>
                <w:szCs w:val="24"/>
              </w:rPr>
              <w:t xml:space="preserve"> </w:t>
            </w:r>
            <w:r w:rsidRPr="00647BFF">
              <w:rPr>
                <w:rFonts w:ascii="Arial" w:hAnsi="Arial" w:cs="Arial"/>
                <w:bCs/>
                <w:sz w:val="24"/>
                <w:szCs w:val="24"/>
              </w:rPr>
              <w:t>Conley</w:t>
            </w:r>
          </w:p>
        </w:tc>
      </w:tr>
      <w:tr w:rsidR="002C6BCA" w:rsidRPr="005D2F5D" w14:paraId="2362AE75" w14:textId="27823ADA" w:rsidTr="002C6BCA">
        <w:tc>
          <w:tcPr>
            <w:tcW w:w="2727" w:type="dxa"/>
            <w:vAlign w:val="center"/>
          </w:tcPr>
          <w:p w14:paraId="6945FB09" w14:textId="34052862" w:rsidR="002C6BCA" w:rsidRPr="005D2F5D" w:rsidRDefault="002C6BCA" w:rsidP="002C6BCA">
            <w:pPr>
              <w:rPr>
                <w:rFonts w:ascii="Arial" w:hAnsi="Arial" w:cs="Arial"/>
                <w:bCs/>
                <w:sz w:val="24"/>
                <w:szCs w:val="24"/>
              </w:rPr>
            </w:pPr>
            <w:r>
              <w:rPr>
                <w:rFonts w:ascii="Arial" w:hAnsi="Arial" w:cs="Arial"/>
                <w:bCs/>
                <w:sz w:val="24"/>
                <w:szCs w:val="24"/>
              </w:rPr>
              <w:t>10 March</w:t>
            </w:r>
          </w:p>
        </w:tc>
        <w:tc>
          <w:tcPr>
            <w:tcW w:w="2785" w:type="dxa"/>
            <w:vAlign w:val="center"/>
          </w:tcPr>
          <w:p w14:paraId="3CBC6B07" w14:textId="09EE1E27" w:rsidR="002C6BCA" w:rsidRPr="005D2F5D" w:rsidRDefault="002C6BCA" w:rsidP="002C6BCA">
            <w:pPr>
              <w:jc w:val="center"/>
              <w:rPr>
                <w:rFonts w:ascii="Arial" w:hAnsi="Arial" w:cs="Arial"/>
                <w:bCs/>
                <w:sz w:val="24"/>
                <w:szCs w:val="24"/>
              </w:rPr>
            </w:pPr>
            <w:r w:rsidRPr="00211A31">
              <w:rPr>
                <w:rFonts w:ascii="Arial" w:hAnsi="Arial" w:cs="Arial"/>
                <w:bCs/>
                <w:sz w:val="24"/>
                <w:szCs w:val="24"/>
              </w:rPr>
              <w:t>Supervision</w:t>
            </w:r>
          </w:p>
        </w:tc>
        <w:tc>
          <w:tcPr>
            <w:tcW w:w="1859" w:type="dxa"/>
            <w:vAlign w:val="center"/>
          </w:tcPr>
          <w:p w14:paraId="4A1889FF" w14:textId="3EFF66D1" w:rsidR="002C6BCA" w:rsidRPr="00211A31" w:rsidRDefault="002C6BCA" w:rsidP="002C6BCA">
            <w:pPr>
              <w:jc w:val="center"/>
              <w:rPr>
                <w:rFonts w:ascii="Arial" w:hAnsi="Arial" w:cs="Arial"/>
                <w:bCs/>
                <w:sz w:val="24"/>
                <w:szCs w:val="24"/>
              </w:rPr>
            </w:pPr>
            <w:r w:rsidRPr="00647BFF">
              <w:rPr>
                <w:rFonts w:ascii="Arial" w:hAnsi="Arial" w:cs="Arial"/>
                <w:bCs/>
                <w:sz w:val="24"/>
                <w:szCs w:val="24"/>
              </w:rPr>
              <w:t>E.</w:t>
            </w:r>
            <w:r>
              <w:rPr>
                <w:rFonts w:ascii="Arial" w:hAnsi="Arial" w:cs="Arial"/>
                <w:bCs/>
                <w:sz w:val="24"/>
                <w:szCs w:val="24"/>
              </w:rPr>
              <w:t xml:space="preserve"> </w:t>
            </w:r>
            <w:r w:rsidRPr="00647BFF">
              <w:rPr>
                <w:rFonts w:ascii="Arial" w:hAnsi="Arial" w:cs="Arial"/>
                <w:bCs/>
                <w:sz w:val="24"/>
                <w:szCs w:val="24"/>
              </w:rPr>
              <w:t>Conley</w:t>
            </w:r>
          </w:p>
        </w:tc>
      </w:tr>
      <w:tr w:rsidR="002C6BCA" w:rsidRPr="005D2F5D" w14:paraId="07DDC879" w14:textId="2A72DC72" w:rsidTr="002C6BCA">
        <w:tc>
          <w:tcPr>
            <w:tcW w:w="2727" w:type="dxa"/>
            <w:vAlign w:val="center"/>
          </w:tcPr>
          <w:p w14:paraId="1BCB79DA" w14:textId="27947AFC" w:rsidR="002C6BCA" w:rsidRPr="005D2F5D" w:rsidRDefault="002C6BCA" w:rsidP="002C6BCA">
            <w:pPr>
              <w:rPr>
                <w:rFonts w:ascii="Arial" w:hAnsi="Arial" w:cs="Arial"/>
                <w:bCs/>
                <w:sz w:val="24"/>
                <w:szCs w:val="24"/>
              </w:rPr>
            </w:pPr>
            <w:r>
              <w:rPr>
                <w:rFonts w:ascii="Arial" w:hAnsi="Arial" w:cs="Arial"/>
                <w:bCs/>
                <w:sz w:val="24"/>
                <w:szCs w:val="24"/>
              </w:rPr>
              <w:t>4 April</w:t>
            </w:r>
          </w:p>
        </w:tc>
        <w:tc>
          <w:tcPr>
            <w:tcW w:w="2785" w:type="dxa"/>
            <w:vAlign w:val="center"/>
          </w:tcPr>
          <w:p w14:paraId="680E4E46" w14:textId="0F077325" w:rsidR="002C6BCA" w:rsidRPr="005D2F5D" w:rsidRDefault="002C6BCA" w:rsidP="002C6BCA">
            <w:pPr>
              <w:jc w:val="center"/>
              <w:rPr>
                <w:rFonts w:ascii="Arial" w:hAnsi="Arial" w:cs="Arial"/>
                <w:bCs/>
                <w:sz w:val="24"/>
                <w:szCs w:val="24"/>
              </w:rPr>
            </w:pPr>
            <w:r w:rsidRPr="00211A31">
              <w:rPr>
                <w:rFonts w:ascii="Arial" w:hAnsi="Arial" w:cs="Arial"/>
                <w:bCs/>
                <w:sz w:val="24"/>
                <w:szCs w:val="24"/>
              </w:rPr>
              <w:t>Supervision</w:t>
            </w:r>
          </w:p>
        </w:tc>
        <w:tc>
          <w:tcPr>
            <w:tcW w:w="1859" w:type="dxa"/>
            <w:vAlign w:val="center"/>
          </w:tcPr>
          <w:p w14:paraId="137FCEF8" w14:textId="671839FD" w:rsidR="002C6BCA" w:rsidRPr="00211A31" w:rsidRDefault="002C6BCA" w:rsidP="002C6BCA">
            <w:pPr>
              <w:jc w:val="center"/>
              <w:rPr>
                <w:rFonts w:ascii="Arial" w:hAnsi="Arial" w:cs="Arial"/>
                <w:bCs/>
                <w:sz w:val="24"/>
                <w:szCs w:val="24"/>
              </w:rPr>
            </w:pPr>
            <w:r w:rsidRPr="00647BFF">
              <w:rPr>
                <w:rFonts w:ascii="Arial" w:hAnsi="Arial" w:cs="Arial"/>
                <w:bCs/>
                <w:sz w:val="24"/>
                <w:szCs w:val="24"/>
              </w:rPr>
              <w:t>E.</w:t>
            </w:r>
            <w:r>
              <w:rPr>
                <w:rFonts w:ascii="Arial" w:hAnsi="Arial" w:cs="Arial"/>
                <w:bCs/>
                <w:sz w:val="24"/>
                <w:szCs w:val="24"/>
              </w:rPr>
              <w:t xml:space="preserve"> </w:t>
            </w:r>
            <w:r w:rsidRPr="00647BFF">
              <w:rPr>
                <w:rFonts w:ascii="Arial" w:hAnsi="Arial" w:cs="Arial"/>
                <w:bCs/>
                <w:sz w:val="24"/>
                <w:szCs w:val="24"/>
              </w:rPr>
              <w:t>Conley</w:t>
            </w:r>
          </w:p>
        </w:tc>
      </w:tr>
      <w:tr w:rsidR="002C6BCA" w:rsidRPr="005D2F5D" w14:paraId="65F43F8D" w14:textId="2933B37F" w:rsidTr="002C6BCA">
        <w:tc>
          <w:tcPr>
            <w:tcW w:w="7371" w:type="dxa"/>
            <w:gridSpan w:val="3"/>
            <w:shd w:val="clear" w:color="auto" w:fill="D9D9D9" w:themeFill="background1" w:themeFillShade="D9"/>
            <w:vAlign w:val="center"/>
          </w:tcPr>
          <w:p w14:paraId="3F79D9D7" w14:textId="64160069" w:rsidR="002C6BCA" w:rsidRDefault="002C6BCA" w:rsidP="005D2F5D">
            <w:pPr>
              <w:jc w:val="center"/>
              <w:rPr>
                <w:rFonts w:ascii="Arial" w:hAnsi="Arial" w:cs="Arial"/>
                <w:bCs/>
                <w:sz w:val="24"/>
                <w:szCs w:val="24"/>
              </w:rPr>
            </w:pPr>
            <w:r>
              <w:rPr>
                <w:rFonts w:ascii="Arial" w:hAnsi="Arial" w:cs="Arial"/>
                <w:bCs/>
                <w:sz w:val="24"/>
                <w:szCs w:val="24"/>
              </w:rPr>
              <w:t>EASTER</w:t>
            </w:r>
          </w:p>
        </w:tc>
      </w:tr>
      <w:tr w:rsidR="00B47FCF" w:rsidRPr="005D2F5D" w14:paraId="14867C0E" w14:textId="40A6EA9E" w:rsidTr="002C6BCA">
        <w:tc>
          <w:tcPr>
            <w:tcW w:w="2727" w:type="dxa"/>
            <w:vAlign w:val="center"/>
          </w:tcPr>
          <w:p w14:paraId="6636E9F9" w14:textId="61830F5D" w:rsidR="00B47FCF" w:rsidRPr="005D2F5D" w:rsidRDefault="00B47FCF" w:rsidP="00F47F29">
            <w:pPr>
              <w:rPr>
                <w:rFonts w:ascii="Arial" w:hAnsi="Arial" w:cs="Arial"/>
                <w:bCs/>
                <w:sz w:val="24"/>
                <w:szCs w:val="24"/>
              </w:rPr>
            </w:pPr>
            <w:r>
              <w:rPr>
                <w:rFonts w:ascii="Arial" w:hAnsi="Arial" w:cs="Arial"/>
                <w:bCs/>
                <w:sz w:val="24"/>
                <w:szCs w:val="24"/>
              </w:rPr>
              <w:t>29 April</w:t>
            </w:r>
          </w:p>
        </w:tc>
        <w:tc>
          <w:tcPr>
            <w:tcW w:w="2785" w:type="dxa"/>
            <w:vAlign w:val="center"/>
          </w:tcPr>
          <w:p w14:paraId="63BAE8EB" w14:textId="2BD91607" w:rsidR="00B47FCF" w:rsidRPr="005D2F5D" w:rsidRDefault="00B47FCF" w:rsidP="005D2F5D">
            <w:pPr>
              <w:jc w:val="center"/>
              <w:rPr>
                <w:rFonts w:ascii="Arial" w:hAnsi="Arial" w:cs="Arial"/>
                <w:bCs/>
                <w:sz w:val="24"/>
                <w:szCs w:val="24"/>
              </w:rPr>
            </w:pPr>
            <w:r>
              <w:rPr>
                <w:rFonts w:ascii="Arial" w:hAnsi="Arial" w:cs="Arial"/>
                <w:bCs/>
                <w:sz w:val="24"/>
                <w:szCs w:val="24"/>
              </w:rPr>
              <w:t>Supervision</w:t>
            </w:r>
          </w:p>
        </w:tc>
        <w:tc>
          <w:tcPr>
            <w:tcW w:w="1859" w:type="dxa"/>
            <w:vAlign w:val="center"/>
          </w:tcPr>
          <w:p w14:paraId="5E837D3F" w14:textId="2775857D" w:rsidR="00B47FCF" w:rsidRDefault="002C6BCA" w:rsidP="005D2F5D">
            <w:pPr>
              <w:jc w:val="center"/>
              <w:rPr>
                <w:rFonts w:ascii="Arial" w:hAnsi="Arial" w:cs="Arial"/>
                <w:bCs/>
                <w:sz w:val="24"/>
                <w:szCs w:val="24"/>
              </w:rPr>
            </w:pPr>
            <w:r>
              <w:rPr>
                <w:rFonts w:ascii="Arial" w:hAnsi="Arial" w:cs="Arial"/>
                <w:bCs/>
                <w:sz w:val="24"/>
                <w:szCs w:val="24"/>
              </w:rPr>
              <w:t>E. Conley</w:t>
            </w:r>
          </w:p>
        </w:tc>
      </w:tr>
    </w:tbl>
    <w:p w14:paraId="0CFC6A96" w14:textId="77777777" w:rsidR="005D2F5D" w:rsidRDefault="005D2F5D" w:rsidP="00F47F29">
      <w:pPr>
        <w:spacing w:line="240" w:lineRule="auto"/>
        <w:rPr>
          <w:rFonts w:ascii="Arial" w:hAnsi="Arial" w:cs="Arial"/>
          <w:b/>
          <w:sz w:val="28"/>
          <w:szCs w:val="28"/>
        </w:rPr>
      </w:pPr>
    </w:p>
    <w:p w14:paraId="238C87B1" w14:textId="7E8F90CE" w:rsidR="0019278B" w:rsidRPr="00F47F29" w:rsidRDefault="0019278B" w:rsidP="00F47F29">
      <w:pPr>
        <w:rPr>
          <w:rFonts w:ascii="Arial" w:hAnsi="Arial" w:cs="Arial"/>
          <w:b/>
          <w:sz w:val="28"/>
          <w:szCs w:val="28"/>
        </w:rPr>
      </w:pPr>
    </w:p>
    <w:sectPr w:rsidR="0019278B" w:rsidRPr="00F47F29" w:rsidSect="00B47F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E1B55" w14:textId="77777777" w:rsidR="00A151F0" w:rsidRDefault="00A151F0" w:rsidP="007F53EC">
      <w:pPr>
        <w:spacing w:after="0" w:line="240" w:lineRule="auto"/>
      </w:pPr>
      <w:r>
        <w:separator/>
      </w:r>
    </w:p>
  </w:endnote>
  <w:endnote w:type="continuationSeparator" w:id="0">
    <w:p w14:paraId="7586CFF8" w14:textId="77777777" w:rsidR="00A151F0" w:rsidRDefault="00A151F0" w:rsidP="007F5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8936311"/>
      <w:docPartObj>
        <w:docPartGallery w:val="Page Numbers (Bottom of Page)"/>
        <w:docPartUnique/>
      </w:docPartObj>
    </w:sdtPr>
    <w:sdtEndPr>
      <w:rPr>
        <w:noProof/>
      </w:rPr>
    </w:sdtEndPr>
    <w:sdtContent>
      <w:p w14:paraId="685031D9" w14:textId="2CC71138" w:rsidR="00B700D1" w:rsidRDefault="00B700D1">
        <w:pPr>
          <w:pStyle w:val="Footer"/>
          <w:jc w:val="center"/>
        </w:pPr>
        <w:r>
          <w:fldChar w:fldCharType="begin"/>
        </w:r>
        <w:r>
          <w:instrText xml:space="preserve"> PAGE   \* MERGEFORMAT </w:instrText>
        </w:r>
        <w:r>
          <w:fldChar w:fldCharType="separate"/>
        </w:r>
        <w:r w:rsidR="005E5803">
          <w:rPr>
            <w:noProof/>
          </w:rPr>
          <w:t>ii</w:t>
        </w:r>
        <w:r>
          <w:rPr>
            <w:noProof/>
          </w:rPr>
          <w:fldChar w:fldCharType="end"/>
        </w:r>
      </w:p>
    </w:sdtContent>
  </w:sdt>
  <w:p w14:paraId="13C2DA66" w14:textId="77777777" w:rsidR="00B700D1" w:rsidRDefault="00B700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321816"/>
      <w:docPartObj>
        <w:docPartGallery w:val="Page Numbers (Bottom of Page)"/>
        <w:docPartUnique/>
      </w:docPartObj>
    </w:sdtPr>
    <w:sdtEndPr>
      <w:rPr>
        <w:noProof/>
      </w:rPr>
    </w:sdtEndPr>
    <w:sdtContent>
      <w:p w14:paraId="4A314AE1" w14:textId="3B97BF08" w:rsidR="00B700D1" w:rsidRDefault="00B700D1">
        <w:pPr>
          <w:pStyle w:val="Footer"/>
          <w:jc w:val="center"/>
        </w:pPr>
        <w:r>
          <w:fldChar w:fldCharType="begin"/>
        </w:r>
        <w:r>
          <w:instrText xml:space="preserve"> PAGE   \* MERGEFORMAT </w:instrText>
        </w:r>
        <w:r>
          <w:fldChar w:fldCharType="separate"/>
        </w:r>
        <w:r w:rsidR="004A3C8E">
          <w:rPr>
            <w:noProof/>
          </w:rPr>
          <w:t>1</w:t>
        </w:r>
        <w:r>
          <w:rPr>
            <w:noProof/>
          </w:rPr>
          <w:fldChar w:fldCharType="end"/>
        </w:r>
      </w:p>
    </w:sdtContent>
  </w:sdt>
  <w:p w14:paraId="601265B7" w14:textId="77777777" w:rsidR="00B700D1" w:rsidRDefault="00B70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E322B" w14:textId="77777777" w:rsidR="00A151F0" w:rsidRDefault="00A151F0" w:rsidP="007F53EC">
      <w:pPr>
        <w:spacing w:after="0" w:line="240" w:lineRule="auto"/>
      </w:pPr>
      <w:r>
        <w:separator/>
      </w:r>
    </w:p>
  </w:footnote>
  <w:footnote w:type="continuationSeparator" w:id="0">
    <w:p w14:paraId="4ECB1320" w14:textId="77777777" w:rsidR="00A151F0" w:rsidRDefault="00A151F0" w:rsidP="007F53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01B94"/>
    <w:multiLevelType w:val="multilevel"/>
    <w:tmpl w:val="5CDCF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5C29F6"/>
    <w:multiLevelType w:val="hybridMultilevel"/>
    <w:tmpl w:val="78968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237087"/>
    <w:multiLevelType w:val="hybridMultilevel"/>
    <w:tmpl w:val="68A27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93C2A"/>
    <w:multiLevelType w:val="hybridMultilevel"/>
    <w:tmpl w:val="CCB0F6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E2D79A5"/>
    <w:multiLevelType w:val="hybridMultilevel"/>
    <w:tmpl w:val="3AA2C3EC"/>
    <w:lvl w:ilvl="0" w:tplc="EA127A10">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78621C"/>
    <w:multiLevelType w:val="hybridMultilevel"/>
    <w:tmpl w:val="34C82F78"/>
    <w:lvl w:ilvl="0" w:tplc="3B1AA072">
      <w:start w:val="1"/>
      <w:numFmt w:val="bullet"/>
      <w:lvlText w:val=""/>
      <w:lvlJc w:val="left"/>
      <w:pPr>
        <w:ind w:left="1440" w:hanging="360"/>
      </w:pPr>
      <w:rPr>
        <w:rFonts w:ascii="Symbol" w:hAnsi="Symbol" w:hint="default"/>
      </w:rPr>
    </w:lvl>
    <w:lvl w:ilvl="1" w:tplc="3B1AA072">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E231A"/>
    <w:multiLevelType w:val="hybridMultilevel"/>
    <w:tmpl w:val="26B0B8B8"/>
    <w:lvl w:ilvl="0" w:tplc="0809000F">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7" w15:restartNumberingAfterBreak="0">
    <w:nsid w:val="4D002D0B"/>
    <w:multiLevelType w:val="hybridMultilevel"/>
    <w:tmpl w:val="60B43AEE"/>
    <w:lvl w:ilvl="0" w:tplc="9A205A96">
      <w:start w:val="1"/>
      <w:numFmt w:val="bullet"/>
      <w:lvlText w:val=""/>
      <w:lvlJc w:val="left"/>
      <w:pPr>
        <w:ind w:left="1440" w:hanging="360"/>
      </w:pPr>
      <w:rPr>
        <w:rFonts w:ascii="Symbol" w:hAnsi="Symbol" w:hint="default"/>
      </w:rPr>
    </w:lvl>
    <w:lvl w:ilvl="1" w:tplc="9A205A96">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A2669"/>
    <w:multiLevelType w:val="hybridMultilevel"/>
    <w:tmpl w:val="A29C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4A554E"/>
    <w:multiLevelType w:val="hybridMultilevel"/>
    <w:tmpl w:val="DB9A3C66"/>
    <w:lvl w:ilvl="0" w:tplc="C5B2EEF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FD97799"/>
    <w:multiLevelType w:val="hybridMultilevel"/>
    <w:tmpl w:val="0F661AC0"/>
    <w:lvl w:ilvl="0" w:tplc="31B07E56">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4433CB"/>
    <w:multiLevelType w:val="hybridMultilevel"/>
    <w:tmpl w:val="AE1E54D0"/>
    <w:lvl w:ilvl="0" w:tplc="9A205A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802B88"/>
    <w:multiLevelType w:val="hybridMultilevel"/>
    <w:tmpl w:val="228CD67A"/>
    <w:lvl w:ilvl="0" w:tplc="8A8A6D0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B52459"/>
    <w:multiLevelType w:val="hybridMultilevel"/>
    <w:tmpl w:val="21F64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1BF3AAE"/>
    <w:multiLevelType w:val="hybridMultilevel"/>
    <w:tmpl w:val="AC667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220BE5"/>
    <w:multiLevelType w:val="hybridMultilevel"/>
    <w:tmpl w:val="EE2A5802"/>
    <w:lvl w:ilvl="0" w:tplc="3B1AA07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7327AE2"/>
    <w:multiLevelType w:val="hybridMultilevel"/>
    <w:tmpl w:val="3FACF34C"/>
    <w:lvl w:ilvl="0" w:tplc="EED88EA2">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142E40"/>
    <w:multiLevelType w:val="hybridMultilevel"/>
    <w:tmpl w:val="0CA435CA"/>
    <w:lvl w:ilvl="0" w:tplc="DBD29C0C">
      <w:start w:val="3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4"/>
  </w:num>
  <w:num w:numId="3">
    <w:abstractNumId w:val="17"/>
  </w:num>
  <w:num w:numId="4">
    <w:abstractNumId w:val="0"/>
  </w:num>
  <w:num w:numId="5">
    <w:abstractNumId w:val="12"/>
  </w:num>
  <w:num w:numId="6">
    <w:abstractNumId w:val="11"/>
  </w:num>
  <w:num w:numId="7">
    <w:abstractNumId w:val="6"/>
  </w:num>
  <w:num w:numId="8">
    <w:abstractNumId w:val="3"/>
  </w:num>
  <w:num w:numId="9">
    <w:abstractNumId w:val="13"/>
  </w:num>
  <w:num w:numId="10">
    <w:abstractNumId w:val="5"/>
  </w:num>
  <w:num w:numId="11">
    <w:abstractNumId w:val="1"/>
  </w:num>
  <w:num w:numId="12">
    <w:abstractNumId w:val="16"/>
  </w:num>
  <w:num w:numId="13">
    <w:abstractNumId w:val="10"/>
  </w:num>
  <w:num w:numId="14">
    <w:abstractNumId w:val="4"/>
  </w:num>
  <w:num w:numId="15">
    <w:abstractNumId w:val="2"/>
  </w:num>
  <w:num w:numId="16">
    <w:abstractNumId w:val="15"/>
  </w:num>
  <w:num w:numId="17">
    <w:abstractNumId w:val="9"/>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0A4"/>
    <w:rsid w:val="00010BDA"/>
    <w:rsid w:val="00012B6D"/>
    <w:rsid w:val="00013B27"/>
    <w:rsid w:val="00027C8E"/>
    <w:rsid w:val="00032AA1"/>
    <w:rsid w:val="00042FC4"/>
    <w:rsid w:val="000562AA"/>
    <w:rsid w:val="000658E7"/>
    <w:rsid w:val="00084BAD"/>
    <w:rsid w:val="000875F6"/>
    <w:rsid w:val="000C11A8"/>
    <w:rsid w:val="000C1A8D"/>
    <w:rsid w:val="000C28F9"/>
    <w:rsid w:val="000C4916"/>
    <w:rsid w:val="000D293D"/>
    <w:rsid w:val="000E25E1"/>
    <w:rsid w:val="001023C0"/>
    <w:rsid w:val="0011275E"/>
    <w:rsid w:val="00117532"/>
    <w:rsid w:val="00133919"/>
    <w:rsid w:val="00134D37"/>
    <w:rsid w:val="00163176"/>
    <w:rsid w:val="001679AE"/>
    <w:rsid w:val="00170A09"/>
    <w:rsid w:val="001718AB"/>
    <w:rsid w:val="0019222E"/>
    <w:rsid w:val="0019278B"/>
    <w:rsid w:val="00196829"/>
    <w:rsid w:val="001979A5"/>
    <w:rsid w:val="001A31F0"/>
    <w:rsid w:val="001B0EFA"/>
    <w:rsid w:val="001C0216"/>
    <w:rsid w:val="001C6389"/>
    <w:rsid w:val="001D3A3A"/>
    <w:rsid w:val="001D6888"/>
    <w:rsid w:val="001E4CFD"/>
    <w:rsid w:val="00210384"/>
    <w:rsid w:val="00212C4A"/>
    <w:rsid w:val="002273A4"/>
    <w:rsid w:val="00242076"/>
    <w:rsid w:val="002421EF"/>
    <w:rsid w:val="0024249D"/>
    <w:rsid w:val="00243DCE"/>
    <w:rsid w:val="00244698"/>
    <w:rsid w:val="00250478"/>
    <w:rsid w:val="00274A9E"/>
    <w:rsid w:val="00282AED"/>
    <w:rsid w:val="00286399"/>
    <w:rsid w:val="00295501"/>
    <w:rsid w:val="002A1B56"/>
    <w:rsid w:val="002B0179"/>
    <w:rsid w:val="002B7BE1"/>
    <w:rsid w:val="002C6BCA"/>
    <w:rsid w:val="002E5A98"/>
    <w:rsid w:val="002E5DD0"/>
    <w:rsid w:val="002F62F4"/>
    <w:rsid w:val="003076FF"/>
    <w:rsid w:val="00312888"/>
    <w:rsid w:val="003445ED"/>
    <w:rsid w:val="00361572"/>
    <w:rsid w:val="00362903"/>
    <w:rsid w:val="00385794"/>
    <w:rsid w:val="00393057"/>
    <w:rsid w:val="003953B9"/>
    <w:rsid w:val="003A301E"/>
    <w:rsid w:val="003D7BF2"/>
    <w:rsid w:val="003E4E0B"/>
    <w:rsid w:val="0042289E"/>
    <w:rsid w:val="00430444"/>
    <w:rsid w:val="0043506E"/>
    <w:rsid w:val="00447F29"/>
    <w:rsid w:val="004513AB"/>
    <w:rsid w:val="00474BA0"/>
    <w:rsid w:val="004A3C8E"/>
    <w:rsid w:val="004B2511"/>
    <w:rsid w:val="004D6551"/>
    <w:rsid w:val="004D764E"/>
    <w:rsid w:val="00501FE4"/>
    <w:rsid w:val="005057C7"/>
    <w:rsid w:val="005109C8"/>
    <w:rsid w:val="00517CD9"/>
    <w:rsid w:val="00533D8B"/>
    <w:rsid w:val="005437EE"/>
    <w:rsid w:val="00571F9A"/>
    <w:rsid w:val="00572536"/>
    <w:rsid w:val="00574317"/>
    <w:rsid w:val="0057596E"/>
    <w:rsid w:val="0058243A"/>
    <w:rsid w:val="00584E7E"/>
    <w:rsid w:val="005905F4"/>
    <w:rsid w:val="0059282A"/>
    <w:rsid w:val="005B5A1D"/>
    <w:rsid w:val="005C3BDC"/>
    <w:rsid w:val="005D2F5D"/>
    <w:rsid w:val="005E0139"/>
    <w:rsid w:val="005E5803"/>
    <w:rsid w:val="005F1510"/>
    <w:rsid w:val="005F4D3B"/>
    <w:rsid w:val="006039F9"/>
    <w:rsid w:val="00611AE9"/>
    <w:rsid w:val="00615734"/>
    <w:rsid w:val="0061631E"/>
    <w:rsid w:val="00621EAD"/>
    <w:rsid w:val="00624928"/>
    <w:rsid w:val="00627A44"/>
    <w:rsid w:val="00633303"/>
    <w:rsid w:val="006454C6"/>
    <w:rsid w:val="0064692C"/>
    <w:rsid w:val="006574FC"/>
    <w:rsid w:val="00660AF6"/>
    <w:rsid w:val="0067355C"/>
    <w:rsid w:val="0069517D"/>
    <w:rsid w:val="006A14EA"/>
    <w:rsid w:val="006A2F40"/>
    <w:rsid w:val="006C47F8"/>
    <w:rsid w:val="006D304E"/>
    <w:rsid w:val="006D4063"/>
    <w:rsid w:val="006E465F"/>
    <w:rsid w:val="00710966"/>
    <w:rsid w:val="00722696"/>
    <w:rsid w:val="007324C1"/>
    <w:rsid w:val="00750689"/>
    <w:rsid w:val="007565B2"/>
    <w:rsid w:val="00797478"/>
    <w:rsid w:val="007D492C"/>
    <w:rsid w:val="007F53EC"/>
    <w:rsid w:val="008009BB"/>
    <w:rsid w:val="00806B84"/>
    <w:rsid w:val="00827983"/>
    <w:rsid w:val="008328EB"/>
    <w:rsid w:val="0083651A"/>
    <w:rsid w:val="00842A1B"/>
    <w:rsid w:val="00844469"/>
    <w:rsid w:val="00851019"/>
    <w:rsid w:val="0086633E"/>
    <w:rsid w:val="00871975"/>
    <w:rsid w:val="00882FD9"/>
    <w:rsid w:val="008A2D5C"/>
    <w:rsid w:val="008C50C6"/>
    <w:rsid w:val="008E2E5C"/>
    <w:rsid w:val="008E3C7C"/>
    <w:rsid w:val="008F0EFB"/>
    <w:rsid w:val="008F6A5A"/>
    <w:rsid w:val="00900216"/>
    <w:rsid w:val="009149A6"/>
    <w:rsid w:val="009156D6"/>
    <w:rsid w:val="00930D2E"/>
    <w:rsid w:val="00940BDF"/>
    <w:rsid w:val="00946A75"/>
    <w:rsid w:val="0094750E"/>
    <w:rsid w:val="00952E59"/>
    <w:rsid w:val="00955084"/>
    <w:rsid w:val="00960108"/>
    <w:rsid w:val="009608F3"/>
    <w:rsid w:val="009614F1"/>
    <w:rsid w:val="00984AFF"/>
    <w:rsid w:val="009A5973"/>
    <w:rsid w:val="009B6503"/>
    <w:rsid w:val="009C3C14"/>
    <w:rsid w:val="009C49BA"/>
    <w:rsid w:val="009D2290"/>
    <w:rsid w:val="009E7633"/>
    <w:rsid w:val="009E79B1"/>
    <w:rsid w:val="009F77E8"/>
    <w:rsid w:val="00A042F5"/>
    <w:rsid w:val="00A1103D"/>
    <w:rsid w:val="00A151F0"/>
    <w:rsid w:val="00A22AE9"/>
    <w:rsid w:val="00A313C0"/>
    <w:rsid w:val="00A519EF"/>
    <w:rsid w:val="00A647E9"/>
    <w:rsid w:val="00A711CB"/>
    <w:rsid w:val="00A71751"/>
    <w:rsid w:val="00A71F76"/>
    <w:rsid w:val="00A86FEA"/>
    <w:rsid w:val="00A87E1A"/>
    <w:rsid w:val="00A9355F"/>
    <w:rsid w:val="00AA2338"/>
    <w:rsid w:val="00AA7155"/>
    <w:rsid w:val="00AB20AD"/>
    <w:rsid w:val="00AC3A7B"/>
    <w:rsid w:val="00AC54B0"/>
    <w:rsid w:val="00AD0821"/>
    <w:rsid w:val="00AD7935"/>
    <w:rsid w:val="00AE23FF"/>
    <w:rsid w:val="00B21DAE"/>
    <w:rsid w:val="00B220AE"/>
    <w:rsid w:val="00B25274"/>
    <w:rsid w:val="00B27B2C"/>
    <w:rsid w:val="00B36F86"/>
    <w:rsid w:val="00B429B5"/>
    <w:rsid w:val="00B47FCF"/>
    <w:rsid w:val="00B5003B"/>
    <w:rsid w:val="00B51757"/>
    <w:rsid w:val="00B700D1"/>
    <w:rsid w:val="00B7142B"/>
    <w:rsid w:val="00B91CFD"/>
    <w:rsid w:val="00BB51C5"/>
    <w:rsid w:val="00BD1620"/>
    <w:rsid w:val="00C00EF5"/>
    <w:rsid w:val="00C05753"/>
    <w:rsid w:val="00C166E3"/>
    <w:rsid w:val="00C22D02"/>
    <w:rsid w:val="00C44FB1"/>
    <w:rsid w:val="00C6640E"/>
    <w:rsid w:val="00C732C5"/>
    <w:rsid w:val="00CA050C"/>
    <w:rsid w:val="00CA4B6B"/>
    <w:rsid w:val="00CA6FD9"/>
    <w:rsid w:val="00CB167D"/>
    <w:rsid w:val="00CB4613"/>
    <w:rsid w:val="00CC12C7"/>
    <w:rsid w:val="00CE573F"/>
    <w:rsid w:val="00CF081B"/>
    <w:rsid w:val="00CF264B"/>
    <w:rsid w:val="00CF4CE8"/>
    <w:rsid w:val="00D07167"/>
    <w:rsid w:val="00D30356"/>
    <w:rsid w:val="00D561AB"/>
    <w:rsid w:val="00D720B9"/>
    <w:rsid w:val="00D7335D"/>
    <w:rsid w:val="00D9063A"/>
    <w:rsid w:val="00D9318E"/>
    <w:rsid w:val="00D97592"/>
    <w:rsid w:val="00DA76CA"/>
    <w:rsid w:val="00DB7FC8"/>
    <w:rsid w:val="00DC217C"/>
    <w:rsid w:val="00DC42E1"/>
    <w:rsid w:val="00DC7679"/>
    <w:rsid w:val="00DD5C51"/>
    <w:rsid w:val="00DE7279"/>
    <w:rsid w:val="00DE76E5"/>
    <w:rsid w:val="00DF551D"/>
    <w:rsid w:val="00DF6A25"/>
    <w:rsid w:val="00E130E6"/>
    <w:rsid w:val="00E16902"/>
    <w:rsid w:val="00E25F0B"/>
    <w:rsid w:val="00E34799"/>
    <w:rsid w:val="00E66AA0"/>
    <w:rsid w:val="00E731D8"/>
    <w:rsid w:val="00E76046"/>
    <w:rsid w:val="00EA256D"/>
    <w:rsid w:val="00EB2B6C"/>
    <w:rsid w:val="00ED07B7"/>
    <w:rsid w:val="00ED2F5B"/>
    <w:rsid w:val="00ED60A4"/>
    <w:rsid w:val="00EE323A"/>
    <w:rsid w:val="00EF01BF"/>
    <w:rsid w:val="00EF48F4"/>
    <w:rsid w:val="00F00B62"/>
    <w:rsid w:val="00F02598"/>
    <w:rsid w:val="00F25CE7"/>
    <w:rsid w:val="00F26767"/>
    <w:rsid w:val="00F31B69"/>
    <w:rsid w:val="00F368CA"/>
    <w:rsid w:val="00F47210"/>
    <w:rsid w:val="00F47F29"/>
    <w:rsid w:val="00F55AE5"/>
    <w:rsid w:val="00F903E2"/>
    <w:rsid w:val="00F93B95"/>
    <w:rsid w:val="00FA366E"/>
    <w:rsid w:val="00FB195F"/>
    <w:rsid w:val="00FC0E9F"/>
    <w:rsid w:val="00FC63B7"/>
    <w:rsid w:val="00FE5BB7"/>
    <w:rsid w:val="00FE75F6"/>
    <w:rsid w:val="00FF5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56FCA"/>
  <w15:chartTrackingRefBased/>
  <w15:docId w15:val="{6216F875-8F09-47B5-A151-0DE3FE776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3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A71F7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42F5"/>
    <w:rPr>
      <w:color w:val="0000FF"/>
      <w:u w:val="single"/>
    </w:rPr>
  </w:style>
  <w:style w:type="character" w:customStyle="1" w:styleId="show-for-sr">
    <w:name w:val="show-for-sr"/>
    <w:basedOn w:val="DefaultParagraphFont"/>
    <w:rsid w:val="00FE75F6"/>
  </w:style>
  <w:style w:type="character" w:customStyle="1" w:styleId="name">
    <w:name w:val="name"/>
    <w:basedOn w:val="DefaultParagraphFont"/>
    <w:rsid w:val="0086633E"/>
  </w:style>
  <w:style w:type="character" w:customStyle="1" w:styleId="surname">
    <w:name w:val="surname"/>
    <w:basedOn w:val="DefaultParagraphFont"/>
    <w:rsid w:val="0086633E"/>
  </w:style>
  <w:style w:type="character" w:customStyle="1" w:styleId="given-names">
    <w:name w:val="given-names"/>
    <w:basedOn w:val="DefaultParagraphFont"/>
    <w:rsid w:val="0086633E"/>
  </w:style>
  <w:style w:type="character" w:customStyle="1" w:styleId="year">
    <w:name w:val="year"/>
    <w:basedOn w:val="DefaultParagraphFont"/>
    <w:rsid w:val="0086633E"/>
  </w:style>
  <w:style w:type="character" w:customStyle="1" w:styleId="source">
    <w:name w:val="source"/>
    <w:basedOn w:val="DefaultParagraphFont"/>
    <w:rsid w:val="0086633E"/>
  </w:style>
  <w:style w:type="character" w:customStyle="1" w:styleId="publisher-loc">
    <w:name w:val="publisher-loc"/>
    <w:basedOn w:val="DefaultParagraphFont"/>
    <w:rsid w:val="0086633E"/>
  </w:style>
  <w:style w:type="character" w:customStyle="1" w:styleId="publisher-name">
    <w:name w:val="publisher-name"/>
    <w:basedOn w:val="DefaultParagraphFont"/>
    <w:rsid w:val="0086633E"/>
  </w:style>
  <w:style w:type="table" w:styleId="TableGrid">
    <w:name w:val="Table Grid"/>
    <w:basedOn w:val="TableNormal"/>
    <w:uiPriority w:val="39"/>
    <w:rsid w:val="006951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517D"/>
    <w:pPr>
      <w:ind w:left="720"/>
      <w:contextualSpacing/>
    </w:pPr>
  </w:style>
  <w:style w:type="character" w:styleId="CommentReference">
    <w:name w:val="annotation reference"/>
    <w:basedOn w:val="DefaultParagraphFont"/>
    <w:uiPriority w:val="99"/>
    <w:semiHidden/>
    <w:unhideWhenUsed/>
    <w:rsid w:val="00D97592"/>
    <w:rPr>
      <w:sz w:val="16"/>
      <w:szCs w:val="16"/>
    </w:rPr>
  </w:style>
  <w:style w:type="paragraph" w:styleId="CommentText">
    <w:name w:val="annotation text"/>
    <w:basedOn w:val="Normal"/>
    <w:link w:val="CommentTextChar"/>
    <w:uiPriority w:val="99"/>
    <w:semiHidden/>
    <w:unhideWhenUsed/>
    <w:rsid w:val="00D97592"/>
    <w:pPr>
      <w:spacing w:line="240" w:lineRule="auto"/>
    </w:pPr>
    <w:rPr>
      <w:sz w:val="20"/>
      <w:szCs w:val="20"/>
    </w:rPr>
  </w:style>
  <w:style w:type="character" w:customStyle="1" w:styleId="CommentTextChar">
    <w:name w:val="Comment Text Char"/>
    <w:basedOn w:val="DefaultParagraphFont"/>
    <w:link w:val="CommentText"/>
    <w:uiPriority w:val="99"/>
    <w:semiHidden/>
    <w:rsid w:val="00D97592"/>
    <w:rPr>
      <w:sz w:val="20"/>
      <w:szCs w:val="20"/>
    </w:rPr>
  </w:style>
  <w:style w:type="paragraph" w:styleId="BalloonText">
    <w:name w:val="Balloon Text"/>
    <w:basedOn w:val="Normal"/>
    <w:link w:val="BalloonTextChar"/>
    <w:uiPriority w:val="99"/>
    <w:semiHidden/>
    <w:unhideWhenUsed/>
    <w:rsid w:val="00D975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7592"/>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C05753"/>
    <w:rPr>
      <w:b/>
      <w:bCs/>
    </w:rPr>
  </w:style>
  <w:style w:type="character" w:customStyle="1" w:styleId="CommentSubjectChar">
    <w:name w:val="Comment Subject Char"/>
    <w:basedOn w:val="CommentTextChar"/>
    <w:link w:val="CommentSubject"/>
    <w:uiPriority w:val="99"/>
    <w:semiHidden/>
    <w:rsid w:val="00C05753"/>
    <w:rPr>
      <w:b/>
      <w:bCs/>
      <w:sz w:val="20"/>
      <w:szCs w:val="20"/>
    </w:rPr>
  </w:style>
  <w:style w:type="character" w:customStyle="1" w:styleId="Heading2Char">
    <w:name w:val="Heading 2 Char"/>
    <w:basedOn w:val="DefaultParagraphFont"/>
    <w:link w:val="Heading2"/>
    <w:uiPriority w:val="9"/>
    <w:rsid w:val="00A71F76"/>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9608F3"/>
    <w:rPr>
      <w:i/>
      <w:iCs/>
    </w:rPr>
  </w:style>
  <w:style w:type="paragraph" w:styleId="Header">
    <w:name w:val="header"/>
    <w:basedOn w:val="Normal"/>
    <w:link w:val="HeaderChar"/>
    <w:uiPriority w:val="99"/>
    <w:unhideWhenUsed/>
    <w:rsid w:val="007F5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3EC"/>
  </w:style>
  <w:style w:type="paragraph" w:styleId="Footer">
    <w:name w:val="footer"/>
    <w:basedOn w:val="Normal"/>
    <w:link w:val="FooterChar"/>
    <w:uiPriority w:val="99"/>
    <w:unhideWhenUsed/>
    <w:rsid w:val="007F5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3EC"/>
  </w:style>
  <w:style w:type="character" w:customStyle="1" w:styleId="Heading1Char">
    <w:name w:val="Heading 1 Char"/>
    <w:basedOn w:val="DefaultParagraphFont"/>
    <w:link w:val="Heading1"/>
    <w:uiPriority w:val="9"/>
    <w:rsid w:val="002273A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273A4"/>
    <w:pPr>
      <w:outlineLvl w:val="9"/>
    </w:pPr>
    <w:rPr>
      <w:lang w:val="en-US"/>
    </w:rPr>
  </w:style>
  <w:style w:type="paragraph" w:styleId="TOC2">
    <w:name w:val="toc 2"/>
    <w:basedOn w:val="Normal"/>
    <w:next w:val="Normal"/>
    <w:autoRedefine/>
    <w:uiPriority w:val="39"/>
    <w:unhideWhenUsed/>
    <w:rsid w:val="002273A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273A4"/>
    <w:pPr>
      <w:spacing w:after="100"/>
    </w:pPr>
    <w:rPr>
      <w:rFonts w:eastAsiaTheme="minorEastAsia" w:cs="Times New Roman"/>
      <w:lang w:val="en-US"/>
    </w:rPr>
  </w:style>
  <w:style w:type="paragraph" w:styleId="TOC3">
    <w:name w:val="toc 3"/>
    <w:basedOn w:val="Normal"/>
    <w:next w:val="Normal"/>
    <w:autoRedefine/>
    <w:uiPriority w:val="39"/>
    <w:unhideWhenUsed/>
    <w:rsid w:val="002273A4"/>
    <w:pPr>
      <w:spacing w:after="100"/>
      <w:ind w:left="440"/>
    </w:pPr>
    <w:rPr>
      <w:rFonts w:eastAsiaTheme="minorEastAsia" w:cs="Times New Roman"/>
      <w:lang w:val="en-US"/>
    </w:rPr>
  </w:style>
  <w:style w:type="character" w:customStyle="1" w:styleId="citation">
    <w:name w:val="citation"/>
    <w:basedOn w:val="DefaultParagraphFont"/>
    <w:rsid w:val="00EF48F4"/>
  </w:style>
  <w:style w:type="paragraph" w:styleId="NormalWeb">
    <w:name w:val="Normal (Web)"/>
    <w:basedOn w:val="Normal"/>
    <w:uiPriority w:val="99"/>
    <w:semiHidden/>
    <w:unhideWhenUsed/>
    <w:rsid w:val="00584E7E"/>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l-author-delim">
    <w:name w:val="al-author-delim"/>
    <w:basedOn w:val="DefaultParagraphFont"/>
    <w:rsid w:val="00946A75"/>
  </w:style>
  <w:style w:type="character" w:customStyle="1" w:styleId="Subtitle1">
    <w:name w:val="Subtitle1"/>
    <w:basedOn w:val="DefaultParagraphFont"/>
    <w:rsid w:val="00946A75"/>
  </w:style>
  <w:style w:type="character" w:customStyle="1" w:styleId="colon-for-citation-subtitle">
    <w:name w:val="colon-for-citation-subtitle"/>
    <w:basedOn w:val="DefaultParagraphFont"/>
    <w:rsid w:val="00946A75"/>
  </w:style>
  <w:style w:type="character" w:styleId="UnresolvedMention">
    <w:name w:val="Unresolved Mention"/>
    <w:basedOn w:val="DefaultParagraphFont"/>
    <w:uiPriority w:val="99"/>
    <w:semiHidden/>
    <w:unhideWhenUsed/>
    <w:rsid w:val="00A110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66558">
      <w:bodyDiv w:val="1"/>
      <w:marLeft w:val="0"/>
      <w:marRight w:val="0"/>
      <w:marTop w:val="0"/>
      <w:marBottom w:val="0"/>
      <w:divBdr>
        <w:top w:val="none" w:sz="0" w:space="0" w:color="auto"/>
        <w:left w:val="none" w:sz="0" w:space="0" w:color="auto"/>
        <w:bottom w:val="none" w:sz="0" w:space="0" w:color="auto"/>
        <w:right w:val="none" w:sz="0" w:space="0" w:color="auto"/>
      </w:divBdr>
    </w:div>
    <w:div w:id="1192497298">
      <w:bodyDiv w:val="1"/>
      <w:marLeft w:val="0"/>
      <w:marRight w:val="0"/>
      <w:marTop w:val="0"/>
      <w:marBottom w:val="0"/>
      <w:divBdr>
        <w:top w:val="none" w:sz="0" w:space="0" w:color="auto"/>
        <w:left w:val="none" w:sz="0" w:space="0" w:color="auto"/>
        <w:bottom w:val="none" w:sz="0" w:space="0" w:color="auto"/>
        <w:right w:val="none" w:sz="0" w:space="0" w:color="auto"/>
      </w:divBdr>
    </w:div>
    <w:div w:id="1248997156">
      <w:bodyDiv w:val="1"/>
      <w:marLeft w:val="0"/>
      <w:marRight w:val="0"/>
      <w:marTop w:val="0"/>
      <w:marBottom w:val="0"/>
      <w:divBdr>
        <w:top w:val="none" w:sz="0" w:space="0" w:color="auto"/>
        <w:left w:val="none" w:sz="0" w:space="0" w:color="auto"/>
        <w:bottom w:val="none" w:sz="0" w:space="0" w:color="auto"/>
        <w:right w:val="none" w:sz="0" w:space="0" w:color="auto"/>
      </w:divBdr>
    </w:div>
    <w:div w:id="1432700732">
      <w:bodyDiv w:val="1"/>
      <w:marLeft w:val="0"/>
      <w:marRight w:val="0"/>
      <w:marTop w:val="0"/>
      <w:marBottom w:val="0"/>
      <w:divBdr>
        <w:top w:val="none" w:sz="0" w:space="0" w:color="auto"/>
        <w:left w:val="none" w:sz="0" w:space="0" w:color="auto"/>
        <w:bottom w:val="none" w:sz="0" w:space="0" w:color="auto"/>
        <w:right w:val="none" w:sz="0" w:space="0" w:color="auto"/>
      </w:divBdr>
    </w:div>
    <w:div w:id="2004040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uidance/interview-study-qualitative-studies" TargetMode="External"/><Relationship Id="rId21" Type="http://schemas.openxmlformats.org/officeDocument/2006/relationships/image" Target="media/image5.png"/><Relationship Id="rId42" Type="http://schemas.openxmlformats.org/officeDocument/2006/relationships/hyperlink" Target="https://pubmed.ncbi.nlm.nih.gov/?sort=date&amp;size=50&amp;show_snippets=off&amp;term=Tosteson+TD&amp;cauthor_id=19690306" TargetMode="External"/><Relationship Id="rId47" Type="http://schemas.openxmlformats.org/officeDocument/2006/relationships/hyperlink" Target="https://doi.org/10.1136/bmj.i435" TargetMode="External"/><Relationship Id="rId63" Type="http://schemas.openxmlformats.org/officeDocument/2006/relationships/oleObject" Target="embeddings/oleObject7.bin"/><Relationship Id="rId68" Type="http://schemas.openxmlformats.org/officeDocument/2006/relationships/image" Target="media/image25.emf"/><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image" Target="media/image12.png"/><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5.png"/><Relationship Id="rId37" Type="http://schemas.openxmlformats.org/officeDocument/2006/relationships/hyperlink" Target="https://pubmed.ncbi.nlm.nih.gov/?sort=date&amp;size=50&amp;show_snippets=off&amp;term=Balan+S&amp;cauthor_id=19690306" TargetMode="External"/><Relationship Id="rId40" Type="http://schemas.openxmlformats.org/officeDocument/2006/relationships/hyperlink" Target="https://pubmed.ncbi.nlm.nih.gov/?sort=date&amp;size=50&amp;show_snippets=off&amp;term=Hull+JG&amp;cauthor_id=19690306" TargetMode="External"/><Relationship Id="rId45" Type="http://schemas.openxmlformats.org/officeDocument/2006/relationships/hyperlink" Target="https://www.worldcat.org/oclc/738350045" TargetMode="External"/><Relationship Id="rId53" Type="http://schemas.openxmlformats.org/officeDocument/2006/relationships/oleObject" Target="embeddings/oleObject2.bin"/><Relationship Id="rId58" Type="http://schemas.openxmlformats.org/officeDocument/2006/relationships/image" Target="media/image20.emf"/><Relationship Id="rId66" Type="http://schemas.openxmlformats.org/officeDocument/2006/relationships/image" Target="media/image24.emf"/><Relationship Id="rId74" Type="http://schemas.openxmlformats.org/officeDocument/2006/relationships/footer" Target="footer2.xml"/><Relationship Id="rId5" Type="http://schemas.openxmlformats.org/officeDocument/2006/relationships/numbering" Target="numbering.xml"/><Relationship Id="rId61" Type="http://schemas.openxmlformats.org/officeDocument/2006/relationships/oleObject" Target="embeddings/oleObject6.bin"/><Relationship Id="rId19" Type="http://schemas.openxmlformats.org/officeDocument/2006/relationships/diagramColors" Target="diagrams/colors1.xml"/><Relationship Id="rId14"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image" Target="media/image10.png"/><Relationship Id="rId30" Type="http://schemas.openxmlformats.org/officeDocument/2006/relationships/image" Target="media/image13.jpg"/><Relationship Id="rId35" Type="http://schemas.openxmlformats.org/officeDocument/2006/relationships/hyperlink" Target="https://bills.parliament.uk/bills/3774" TargetMode="External"/><Relationship Id="rId43" Type="http://schemas.openxmlformats.org/officeDocument/2006/relationships/hyperlink" Target="https://pubmed.ncbi.nlm.nih.gov/?sort=date&amp;size=50&amp;show_snippets=off&amp;term=Byock+IR&amp;cauthor_id=19690306" TargetMode="External"/><Relationship Id="rId48" Type="http://schemas.openxmlformats.org/officeDocument/2006/relationships/hyperlink" Target="https://archive.org/details/managementoftrai0000deph/page/69" TargetMode="External"/><Relationship Id="rId56" Type="http://schemas.openxmlformats.org/officeDocument/2006/relationships/image" Target="media/image19.emf"/><Relationship Id="rId64" Type="http://schemas.openxmlformats.org/officeDocument/2006/relationships/image" Target="media/image23.emf"/><Relationship Id="rId69" Type="http://schemas.openxmlformats.org/officeDocument/2006/relationships/oleObject" Target="embeddings/oleObject10.bin"/><Relationship Id="rId8" Type="http://schemas.openxmlformats.org/officeDocument/2006/relationships/webSettings" Target="webSettings.xml"/><Relationship Id="rId51" Type="http://schemas.openxmlformats.org/officeDocument/2006/relationships/oleObject" Target="embeddings/oleObject1.bin"/><Relationship Id="rId72" Type="http://schemas.openxmlformats.org/officeDocument/2006/relationships/image" Target="media/image27.emf"/><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diagramLayout" Target="diagrams/layout1.xml"/><Relationship Id="rId25" Type="http://schemas.openxmlformats.org/officeDocument/2006/relationships/image" Target="media/image9.png"/><Relationship Id="rId33" Type="http://schemas.openxmlformats.org/officeDocument/2006/relationships/chart" Target="charts/chart1.xml"/><Relationship Id="rId38" Type="http://schemas.openxmlformats.org/officeDocument/2006/relationships/hyperlink" Target="https://pubmed.ncbi.nlm.nih.gov/?sort=date&amp;size=50&amp;show_snippets=off&amp;term=Brokaw+FC&amp;cauthor_id=19690306" TargetMode="External"/><Relationship Id="rId46" Type="http://schemas.openxmlformats.org/officeDocument/2006/relationships/hyperlink" Target="https://bills.parliament.uk/bills/3774" TargetMode="External"/><Relationship Id="rId59" Type="http://schemas.openxmlformats.org/officeDocument/2006/relationships/oleObject" Target="embeddings/oleObject5.bin"/><Relationship Id="rId67" Type="http://schemas.openxmlformats.org/officeDocument/2006/relationships/oleObject" Target="embeddings/oleObject9.bin"/><Relationship Id="rId20" Type="http://schemas.microsoft.com/office/2007/relationships/diagramDrawing" Target="diagrams/drawing1.xml"/><Relationship Id="rId41" Type="http://schemas.openxmlformats.org/officeDocument/2006/relationships/hyperlink" Target="https://pubmed.ncbi.nlm.nih.gov/?sort=date&amp;size=50&amp;show_snippets=off&amp;term=Li+Z&amp;cauthor_id=19690306" TargetMode="External"/><Relationship Id="rId54" Type="http://schemas.openxmlformats.org/officeDocument/2006/relationships/image" Target="media/image18.emf"/><Relationship Id="rId62" Type="http://schemas.openxmlformats.org/officeDocument/2006/relationships/image" Target="media/image22.emf"/><Relationship Id="rId70" Type="http://schemas.openxmlformats.org/officeDocument/2006/relationships/image" Target="media/image26.emf"/><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7.png"/><Relationship Id="rId28" Type="http://schemas.openxmlformats.org/officeDocument/2006/relationships/image" Target="media/image11.png"/><Relationship Id="rId36" Type="http://schemas.openxmlformats.org/officeDocument/2006/relationships/hyperlink" Target="https://pubmed.ncbi.nlm.nih.gov/?sort=date&amp;size=50&amp;show_snippets=off&amp;term=Hegel+MT&amp;cauthor_id=19690306" TargetMode="External"/><Relationship Id="rId49" Type="http://schemas.openxmlformats.org/officeDocument/2006/relationships/hyperlink" Target="https://archive.org/details/managementoftrai0000deph" TargetMode="External"/><Relationship Id="rId57" Type="http://schemas.openxmlformats.org/officeDocument/2006/relationships/oleObject" Target="embeddings/oleObject4.bin"/><Relationship Id="rId10" Type="http://schemas.openxmlformats.org/officeDocument/2006/relationships/endnotes" Target="endnotes.xml"/><Relationship Id="rId31" Type="http://schemas.openxmlformats.org/officeDocument/2006/relationships/image" Target="media/image14.jpg"/><Relationship Id="rId44" Type="http://schemas.openxmlformats.org/officeDocument/2006/relationships/hyperlink" Target="https://pubmed.ncbi.nlm.nih.gov/?sort=date&amp;size=50&amp;show_snippets=off&amp;term=Ahles+TA&amp;cauthor_id=19690306" TargetMode="External"/><Relationship Id="rId52" Type="http://schemas.openxmlformats.org/officeDocument/2006/relationships/image" Target="media/image17.emf"/><Relationship Id="rId60" Type="http://schemas.openxmlformats.org/officeDocument/2006/relationships/image" Target="media/image21.emf"/><Relationship Id="rId65" Type="http://schemas.openxmlformats.org/officeDocument/2006/relationships/oleObject" Target="embeddings/oleObject8.bin"/><Relationship Id="rId73" Type="http://schemas.openxmlformats.org/officeDocument/2006/relationships/oleObject" Target="embeddings/oleObject12.bin"/><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diagramQuickStyle" Target="diagrams/quickStyle1.xml"/><Relationship Id="rId39" Type="http://schemas.openxmlformats.org/officeDocument/2006/relationships/hyperlink" Target="https://pubmed.ncbi.nlm.nih.gov/?sort=date&amp;size=50&amp;show_snippets=off&amp;term=Seville+J&amp;cauthor_id=19690306" TargetMode="External"/><Relationship Id="rId34" Type="http://schemas.openxmlformats.org/officeDocument/2006/relationships/chart" Target="charts/chart2.xml"/><Relationship Id="rId50" Type="http://schemas.openxmlformats.org/officeDocument/2006/relationships/image" Target="media/image16.emf"/><Relationship Id="rId55" Type="http://schemas.openxmlformats.org/officeDocument/2006/relationships/oleObject" Target="embeddings/oleObject3.bin"/><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oleObject" Target="embeddings/oleObject11.bin"/></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Scotland</c:v>
                </c:pt>
              </c:strCache>
            </c:strRef>
          </c:tx>
          <c:spPr>
            <a:ln w="28575" cap="rnd">
              <a:solidFill>
                <a:schemeClr val="accent1"/>
              </a:solidFill>
              <a:round/>
            </a:ln>
            <a:effectLst/>
          </c:spPr>
          <c:marker>
            <c:symbol val="none"/>
          </c:marker>
          <c:cat>
            <c:strRef>
              <c:f>Sheet1!$A$2:$A$8</c:f>
              <c:strCache>
                <c:ptCount val="7"/>
                <c:pt idx="0">
                  <c:v>under 60</c:v>
                </c:pt>
                <c:pt idx="1">
                  <c:v>60-64</c:v>
                </c:pt>
                <c:pt idx="2">
                  <c:v>65-69</c:v>
                </c:pt>
                <c:pt idx="3">
                  <c:v>70-74</c:v>
                </c:pt>
                <c:pt idx="4">
                  <c:v>75-79</c:v>
                </c:pt>
                <c:pt idx="5">
                  <c:v>80-84</c:v>
                </c:pt>
                <c:pt idx="6">
                  <c:v>85 and over</c:v>
                </c:pt>
              </c:strCache>
            </c:strRef>
          </c:cat>
          <c:val>
            <c:numRef>
              <c:f>Sheet1!$B$2:$B$8</c:f>
              <c:numCache>
                <c:formatCode>General</c:formatCode>
                <c:ptCount val="7"/>
                <c:pt idx="0">
                  <c:v>9.4</c:v>
                </c:pt>
                <c:pt idx="1">
                  <c:v>15.9</c:v>
                </c:pt>
                <c:pt idx="2">
                  <c:v>20.100000000000001</c:v>
                </c:pt>
                <c:pt idx="3">
                  <c:v>22.5</c:v>
                </c:pt>
                <c:pt idx="4">
                  <c:v>24.9</c:v>
                </c:pt>
                <c:pt idx="5">
                  <c:v>28.8</c:v>
                </c:pt>
                <c:pt idx="6">
                  <c:v>34.4</c:v>
                </c:pt>
              </c:numCache>
            </c:numRef>
          </c:val>
          <c:smooth val="1"/>
          <c:extLst>
            <c:ext xmlns:c16="http://schemas.microsoft.com/office/drawing/2014/chart" uri="{C3380CC4-5D6E-409C-BE32-E72D297353CC}">
              <c16:uniqueId val="{00000000-E4BA-42F9-97B4-C1411374582A}"/>
            </c:ext>
          </c:extLst>
        </c:ser>
        <c:ser>
          <c:idx val="1"/>
          <c:order val="1"/>
          <c:tx>
            <c:strRef>
              <c:f>Sheet1!$C$1</c:f>
              <c:strCache>
                <c:ptCount val="1"/>
                <c:pt idx="0">
                  <c:v>North Wales</c:v>
                </c:pt>
              </c:strCache>
            </c:strRef>
          </c:tx>
          <c:spPr>
            <a:ln w="28575" cap="rnd">
              <a:solidFill>
                <a:schemeClr val="accent2"/>
              </a:solidFill>
              <a:round/>
            </a:ln>
            <a:effectLst/>
          </c:spPr>
          <c:marker>
            <c:symbol val="diamond"/>
            <c:size val="5"/>
            <c:spPr>
              <a:solidFill>
                <a:schemeClr val="accent2"/>
              </a:solidFill>
              <a:ln w="9525">
                <a:solidFill>
                  <a:schemeClr val="accent2"/>
                </a:solidFill>
              </a:ln>
              <a:effectLst/>
            </c:spPr>
          </c:marker>
          <c:cat>
            <c:strRef>
              <c:f>Sheet1!$A$2:$A$8</c:f>
              <c:strCache>
                <c:ptCount val="7"/>
                <c:pt idx="0">
                  <c:v>under 60</c:v>
                </c:pt>
                <c:pt idx="1">
                  <c:v>60-64</c:v>
                </c:pt>
                <c:pt idx="2">
                  <c:v>65-69</c:v>
                </c:pt>
                <c:pt idx="3">
                  <c:v>70-74</c:v>
                </c:pt>
                <c:pt idx="4">
                  <c:v>75-79</c:v>
                </c:pt>
                <c:pt idx="5">
                  <c:v>80-84</c:v>
                </c:pt>
                <c:pt idx="6">
                  <c:v>85 and over</c:v>
                </c:pt>
              </c:strCache>
            </c:strRef>
          </c:cat>
          <c:val>
            <c:numRef>
              <c:f>Sheet1!$C$2:$C$8</c:f>
              <c:numCache>
                <c:formatCode>General</c:formatCode>
                <c:ptCount val="7"/>
                <c:pt idx="0">
                  <c:v>4.5</c:v>
                </c:pt>
                <c:pt idx="1">
                  <c:v>13</c:v>
                </c:pt>
                <c:pt idx="2">
                  <c:v>17.100000000000001</c:v>
                </c:pt>
                <c:pt idx="3">
                  <c:v>17.899999999999999</c:v>
                </c:pt>
                <c:pt idx="4">
                  <c:v>16.600000000000001</c:v>
                </c:pt>
                <c:pt idx="5">
                  <c:v>28.4</c:v>
                </c:pt>
                <c:pt idx="6">
                  <c:v>37.700000000000003</c:v>
                </c:pt>
              </c:numCache>
            </c:numRef>
          </c:val>
          <c:smooth val="1"/>
          <c:extLst>
            <c:ext xmlns:c16="http://schemas.microsoft.com/office/drawing/2014/chart" uri="{C3380CC4-5D6E-409C-BE32-E72D297353CC}">
              <c16:uniqueId val="{00000001-E4BA-42F9-97B4-C1411374582A}"/>
            </c:ext>
          </c:extLst>
        </c:ser>
        <c:dLbls>
          <c:showLegendKey val="0"/>
          <c:showVal val="0"/>
          <c:showCatName val="0"/>
          <c:showSerName val="0"/>
          <c:showPercent val="0"/>
          <c:showBubbleSize val="0"/>
        </c:dLbls>
        <c:smooth val="0"/>
        <c:axId val="435025808"/>
        <c:axId val="435024824"/>
      </c:lineChart>
      <c:catAx>
        <c:axId val="435025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 (years)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024824"/>
        <c:crosses val="autoZero"/>
        <c:auto val="1"/>
        <c:lblAlgn val="ctr"/>
        <c:lblOffset val="100"/>
        <c:noMultiLvlLbl val="0"/>
      </c:catAx>
      <c:valAx>
        <c:axId val="435024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Deaths</a:t>
                </a:r>
                <a:r>
                  <a:rPr lang="en-GB" baseline="0"/>
                  <a:t> within 6 months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502580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Sheet2!$B$1</c:f>
              <c:strCache>
                <c:ptCount val="1"/>
                <c:pt idx="0">
                  <c:v>Scotland</c:v>
                </c:pt>
              </c:strCache>
            </c:strRef>
          </c:tx>
          <c:spPr>
            <a:ln w="28575" cap="rnd">
              <a:solidFill>
                <a:schemeClr val="accent1"/>
              </a:solidFill>
              <a:prstDash val="sysDash"/>
              <a:round/>
            </a:ln>
            <a:effectLst/>
          </c:spPr>
          <c:marker>
            <c:symbol val="none"/>
          </c:marker>
          <c:cat>
            <c:strRef>
              <c:f>Sheet2!$A$2:$A$5</c:f>
              <c:strCache>
                <c:ptCount val="4"/>
                <c:pt idx="0">
                  <c:v>Deaths within 7 day</c:v>
                </c:pt>
                <c:pt idx="1">
                  <c:v>Deaths within 30 day</c:v>
                </c:pt>
                <c:pt idx="2">
                  <c:v>Deaths within 3 months</c:v>
                </c:pt>
                <c:pt idx="3">
                  <c:v>Deaths within 6 months</c:v>
                </c:pt>
              </c:strCache>
            </c:strRef>
          </c:cat>
          <c:val>
            <c:numRef>
              <c:f>Sheet2!$B$2:$B$5</c:f>
              <c:numCache>
                <c:formatCode>General</c:formatCode>
                <c:ptCount val="4"/>
                <c:pt idx="0">
                  <c:v>2.9</c:v>
                </c:pt>
                <c:pt idx="1">
                  <c:v>8.9</c:v>
                </c:pt>
                <c:pt idx="2">
                  <c:v>16</c:v>
                </c:pt>
                <c:pt idx="3">
                  <c:v>21.2</c:v>
                </c:pt>
              </c:numCache>
            </c:numRef>
          </c:val>
          <c:smooth val="1"/>
          <c:extLst>
            <c:ext xmlns:c16="http://schemas.microsoft.com/office/drawing/2014/chart" uri="{C3380CC4-5D6E-409C-BE32-E72D297353CC}">
              <c16:uniqueId val="{00000000-4F02-4896-B60F-2207B0319AE8}"/>
            </c:ext>
          </c:extLst>
        </c:ser>
        <c:ser>
          <c:idx val="1"/>
          <c:order val="1"/>
          <c:tx>
            <c:strRef>
              <c:f>Sheet2!$C$1</c:f>
              <c:strCache>
                <c:ptCount val="1"/>
                <c:pt idx="0">
                  <c:v>North Wales</c:v>
                </c:pt>
              </c:strCache>
            </c:strRef>
          </c:tx>
          <c:spPr>
            <a:ln w="28575" cap="rnd">
              <a:solidFill>
                <a:schemeClr val="accent2"/>
              </a:solidFill>
              <a:round/>
            </a:ln>
            <a:effectLst/>
          </c:spPr>
          <c:marker>
            <c:symbol val="diamond"/>
            <c:size val="5"/>
            <c:spPr>
              <a:solidFill>
                <a:schemeClr val="accent2"/>
              </a:solidFill>
              <a:ln w="9525">
                <a:solidFill>
                  <a:schemeClr val="accent2"/>
                </a:solidFill>
              </a:ln>
              <a:effectLst/>
            </c:spPr>
          </c:marker>
          <c:cat>
            <c:strRef>
              <c:f>Sheet2!$A$2:$A$5</c:f>
              <c:strCache>
                <c:ptCount val="4"/>
                <c:pt idx="0">
                  <c:v>Deaths within 7 day</c:v>
                </c:pt>
                <c:pt idx="1">
                  <c:v>Deaths within 30 day</c:v>
                </c:pt>
                <c:pt idx="2">
                  <c:v>Deaths within 3 months</c:v>
                </c:pt>
                <c:pt idx="3">
                  <c:v>Deaths within 6 months</c:v>
                </c:pt>
              </c:strCache>
            </c:strRef>
          </c:cat>
          <c:val>
            <c:numRef>
              <c:f>Sheet2!$C$2:$C$5</c:f>
              <c:numCache>
                <c:formatCode>General</c:formatCode>
                <c:ptCount val="4"/>
                <c:pt idx="0">
                  <c:v>2.2000000000000002</c:v>
                </c:pt>
                <c:pt idx="1">
                  <c:v>6.7</c:v>
                </c:pt>
                <c:pt idx="2">
                  <c:v>15.1</c:v>
                </c:pt>
                <c:pt idx="3">
                  <c:v>19.3</c:v>
                </c:pt>
              </c:numCache>
            </c:numRef>
          </c:val>
          <c:smooth val="1"/>
          <c:extLst>
            <c:ext xmlns:c16="http://schemas.microsoft.com/office/drawing/2014/chart" uri="{C3380CC4-5D6E-409C-BE32-E72D297353CC}">
              <c16:uniqueId val="{00000001-4F02-4896-B60F-2207B0319AE8}"/>
            </c:ext>
          </c:extLst>
        </c:ser>
        <c:dLbls>
          <c:showLegendKey val="0"/>
          <c:showVal val="0"/>
          <c:showCatName val="0"/>
          <c:showSerName val="0"/>
          <c:showPercent val="0"/>
          <c:showBubbleSize val="0"/>
        </c:dLbls>
        <c:smooth val="0"/>
        <c:axId val="432496408"/>
        <c:axId val="432496736"/>
      </c:lineChart>
      <c:catAx>
        <c:axId val="43249640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496736"/>
        <c:crosses val="autoZero"/>
        <c:auto val="1"/>
        <c:lblAlgn val="ctr"/>
        <c:lblOffset val="100"/>
        <c:noMultiLvlLbl val="0"/>
      </c:catAx>
      <c:valAx>
        <c:axId val="432496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Proportion</a:t>
                </a:r>
                <a:r>
                  <a:rPr lang="en-GB" baseline="0"/>
                  <a:t> of patients from census date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49640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FACD3D-E1F5-45B3-A5F0-73C1754A46FC}" type="doc">
      <dgm:prSet loTypeId="urn:microsoft.com/office/officeart/2005/8/layout/chevron1" loCatId="process" qsTypeId="urn:microsoft.com/office/officeart/2005/8/quickstyle/simple1" qsCatId="simple" csTypeId="urn:microsoft.com/office/officeart/2005/8/colors/accent1_2" csCatId="accent1" phldr="1"/>
      <dgm:spPr/>
    </dgm:pt>
    <dgm:pt modelId="{B15AE0AF-F0D9-4F06-9900-949CC45EF6C2}">
      <dgm:prSet phldrT="[Text]" custT="1"/>
      <dgm:spPr/>
      <dgm:t>
        <a:bodyPr/>
        <a:lstStyle/>
        <a:p>
          <a:r>
            <a:rPr lang="en-GB" sz="1100"/>
            <a:t>Not Knowing</a:t>
          </a:r>
        </a:p>
      </dgm:t>
    </dgm:pt>
    <dgm:pt modelId="{F6D98D5A-334B-4753-B145-A642E2EB3D47}" type="parTrans" cxnId="{1A2B355A-33FF-4BED-8B5E-3018B1F527C1}">
      <dgm:prSet/>
      <dgm:spPr/>
      <dgm:t>
        <a:bodyPr/>
        <a:lstStyle/>
        <a:p>
          <a:endParaRPr lang="en-GB"/>
        </a:p>
      </dgm:t>
    </dgm:pt>
    <dgm:pt modelId="{95ADA37F-9C03-4AA3-AC21-371D1EE1F70D}" type="sibTrans" cxnId="{1A2B355A-33FF-4BED-8B5E-3018B1F527C1}">
      <dgm:prSet/>
      <dgm:spPr/>
      <dgm:t>
        <a:bodyPr/>
        <a:lstStyle/>
        <a:p>
          <a:endParaRPr lang="en-GB"/>
        </a:p>
      </dgm:t>
    </dgm:pt>
    <dgm:pt modelId="{88BF8FB6-A828-4647-91AA-22E6DAA8FCC0}">
      <dgm:prSet phldrT="[Text]" custT="1"/>
      <dgm:spPr/>
      <dgm:t>
        <a:bodyPr/>
        <a:lstStyle/>
        <a:p>
          <a:r>
            <a:rPr lang="en-GB" sz="1100"/>
            <a:t>Knowing</a:t>
          </a:r>
        </a:p>
      </dgm:t>
    </dgm:pt>
    <dgm:pt modelId="{D03FCF91-FBEC-42A2-B1B3-1E9E1C72DB03}" type="parTrans" cxnId="{25232CA8-918C-46A3-AEEA-75AC5FB32BFC}">
      <dgm:prSet/>
      <dgm:spPr/>
      <dgm:t>
        <a:bodyPr/>
        <a:lstStyle/>
        <a:p>
          <a:endParaRPr lang="en-GB"/>
        </a:p>
      </dgm:t>
    </dgm:pt>
    <dgm:pt modelId="{E9C17F30-4CDE-4FF4-A8E3-85DF36E6C2E6}" type="sibTrans" cxnId="{25232CA8-918C-46A3-AEEA-75AC5FB32BFC}">
      <dgm:prSet/>
      <dgm:spPr/>
      <dgm:t>
        <a:bodyPr/>
        <a:lstStyle/>
        <a:p>
          <a:endParaRPr lang="en-GB"/>
        </a:p>
      </dgm:t>
    </dgm:pt>
    <dgm:pt modelId="{9A25F796-91BA-427C-B119-8255661029A0}">
      <dgm:prSet phldrT="[Text]" custT="1"/>
      <dgm:spPr/>
      <dgm:t>
        <a:bodyPr/>
        <a:lstStyle/>
        <a:p>
          <a:r>
            <a:rPr lang="en-GB" sz="1100"/>
            <a:t>Reviewing</a:t>
          </a:r>
        </a:p>
      </dgm:t>
    </dgm:pt>
    <dgm:pt modelId="{03944B4C-0686-4FE0-812D-ED2EDADC580C}" type="parTrans" cxnId="{5407F14F-06DE-4475-BADF-056F373BBD67}">
      <dgm:prSet/>
      <dgm:spPr/>
      <dgm:t>
        <a:bodyPr/>
        <a:lstStyle/>
        <a:p>
          <a:endParaRPr lang="en-GB"/>
        </a:p>
      </dgm:t>
    </dgm:pt>
    <dgm:pt modelId="{470451E4-2158-4C53-8A3F-0C1F9D3B71A3}" type="sibTrans" cxnId="{5407F14F-06DE-4475-BADF-056F373BBD67}">
      <dgm:prSet/>
      <dgm:spPr/>
      <dgm:t>
        <a:bodyPr/>
        <a:lstStyle/>
        <a:p>
          <a:endParaRPr lang="en-GB"/>
        </a:p>
      </dgm:t>
    </dgm:pt>
    <dgm:pt modelId="{552C674D-D20A-4251-B3C2-E093C7E5834D}">
      <dgm:prSet custT="1"/>
      <dgm:spPr/>
      <dgm:t>
        <a:bodyPr/>
        <a:lstStyle/>
        <a:p>
          <a:r>
            <a:rPr lang="en-GB" sz="1100"/>
            <a:t>Doing</a:t>
          </a:r>
        </a:p>
      </dgm:t>
    </dgm:pt>
    <dgm:pt modelId="{C0BBC965-4A58-4D9A-BDAF-24F429B74D6F}" type="parTrans" cxnId="{9E955454-552C-4E14-9D73-1EF31989CCD4}">
      <dgm:prSet/>
      <dgm:spPr/>
      <dgm:t>
        <a:bodyPr/>
        <a:lstStyle/>
        <a:p>
          <a:endParaRPr lang="en-GB"/>
        </a:p>
      </dgm:t>
    </dgm:pt>
    <dgm:pt modelId="{38F737D7-3C28-4B28-92F5-0AFCAAF59CD9}" type="sibTrans" cxnId="{9E955454-552C-4E14-9D73-1EF31989CCD4}">
      <dgm:prSet/>
      <dgm:spPr/>
      <dgm:t>
        <a:bodyPr/>
        <a:lstStyle/>
        <a:p>
          <a:endParaRPr lang="en-GB"/>
        </a:p>
      </dgm:t>
    </dgm:pt>
    <dgm:pt modelId="{D902F44B-5084-44F4-93F9-237F3B2C3FD9}">
      <dgm:prSet custT="1"/>
      <dgm:spPr/>
      <dgm:t>
        <a:bodyPr/>
        <a:lstStyle/>
        <a:p>
          <a:r>
            <a:rPr lang="en-GB" sz="1100"/>
            <a:t>Thinking</a:t>
          </a:r>
        </a:p>
      </dgm:t>
    </dgm:pt>
    <dgm:pt modelId="{3514150D-A063-4E27-BF2E-237D626CDC1A}" type="parTrans" cxnId="{B31443F4-5EEA-4D03-9B48-7C304E1AB71D}">
      <dgm:prSet/>
      <dgm:spPr/>
      <dgm:t>
        <a:bodyPr/>
        <a:lstStyle/>
        <a:p>
          <a:endParaRPr lang="en-GB"/>
        </a:p>
      </dgm:t>
    </dgm:pt>
    <dgm:pt modelId="{F7B0B221-1134-4E4E-BEF9-D83F1E81FA8C}" type="sibTrans" cxnId="{B31443F4-5EEA-4D03-9B48-7C304E1AB71D}">
      <dgm:prSet/>
      <dgm:spPr/>
      <dgm:t>
        <a:bodyPr/>
        <a:lstStyle/>
        <a:p>
          <a:endParaRPr lang="en-GB"/>
        </a:p>
      </dgm:t>
    </dgm:pt>
    <dgm:pt modelId="{2A6421B5-BDAA-4C5A-8A32-E959EA03F275}">
      <dgm:prSet custT="1"/>
      <dgm:spPr/>
      <dgm:t>
        <a:bodyPr/>
        <a:lstStyle/>
        <a:p>
          <a:r>
            <a:rPr lang="en-GB" sz="1100"/>
            <a:t>Understanding</a:t>
          </a:r>
        </a:p>
      </dgm:t>
    </dgm:pt>
    <dgm:pt modelId="{57772BCB-18D2-41FE-92C2-3BDAAEBF73FF}" type="parTrans" cxnId="{9B10FFAE-505C-4248-A8D7-D55E89A1A96B}">
      <dgm:prSet/>
      <dgm:spPr/>
      <dgm:t>
        <a:bodyPr/>
        <a:lstStyle/>
        <a:p>
          <a:endParaRPr lang="en-GB"/>
        </a:p>
      </dgm:t>
    </dgm:pt>
    <dgm:pt modelId="{F56ADE84-AB7A-4C1D-B781-BAEC5F83A373}" type="sibTrans" cxnId="{9B10FFAE-505C-4248-A8D7-D55E89A1A96B}">
      <dgm:prSet/>
      <dgm:spPr/>
      <dgm:t>
        <a:bodyPr/>
        <a:lstStyle/>
        <a:p>
          <a:endParaRPr lang="en-GB"/>
        </a:p>
      </dgm:t>
    </dgm:pt>
    <dgm:pt modelId="{73AF64CD-5185-40FF-996A-398DF3FC32B2}" type="pres">
      <dgm:prSet presAssocID="{78FACD3D-E1F5-45B3-A5F0-73C1754A46FC}" presName="Name0" presStyleCnt="0">
        <dgm:presLayoutVars>
          <dgm:dir/>
          <dgm:animLvl val="lvl"/>
          <dgm:resizeHandles val="exact"/>
        </dgm:presLayoutVars>
      </dgm:prSet>
      <dgm:spPr/>
    </dgm:pt>
    <dgm:pt modelId="{3F7B5B93-6A92-47A2-A9E8-1DFB68F1A225}" type="pres">
      <dgm:prSet presAssocID="{B15AE0AF-F0D9-4F06-9900-949CC45EF6C2}" presName="parTxOnly" presStyleLbl="node1" presStyleIdx="0" presStyleCnt="6">
        <dgm:presLayoutVars>
          <dgm:chMax val="0"/>
          <dgm:chPref val="0"/>
          <dgm:bulletEnabled val="1"/>
        </dgm:presLayoutVars>
      </dgm:prSet>
      <dgm:spPr/>
    </dgm:pt>
    <dgm:pt modelId="{AB38767A-70AA-42AD-ACDF-C488B723FF03}" type="pres">
      <dgm:prSet presAssocID="{95ADA37F-9C03-4AA3-AC21-371D1EE1F70D}" presName="parTxOnlySpace" presStyleCnt="0"/>
      <dgm:spPr/>
    </dgm:pt>
    <dgm:pt modelId="{F7A915EB-D065-4097-B80D-36154DB1377C}" type="pres">
      <dgm:prSet presAssocID="{88BF8FB6-A828-4647-91AA-22E6DAA8FCC0}" presName="parTxOnly" presStyleLbl="node1" presStyleIdx="1" presStyleCnt="6">
        <dgm:presLayoutVars>
          <dgm:chMax val="0"/>
          <dgm:chPref val="0"/>
          <dgm:bulletEnabled val="1"/>
        </dgm:presLayoutVars>
      </dgm:prSet>
      <dgm:spPr/>
    </dgm:pt>
    <dgm:pt modelId="{E383B314-251C-4DD8-9AD2-56D87BBD9C9E}" type="pres">
      <dgm:prSet presAssocID="{E9C17F30-4CDE-4FF4-A8E3-85DF36E6C2E6}" presName="parTxOnlySpace" presStyleCnt="0"/>
      <dgm:spPr/>
    </dgm:pt>
    <dgm:pt modelId="{EF0DB892-B5E1-4784-BE0E-5B53CC3B0A6F}" type="pres">
      <dgm:prSet presAssocID="{D902F44B-5084-44F4-93F9-237F3B2C3FD9}" presName="parTxOnly" presStyleLbl="node1" presStyleIdx="2" presStyleCnt="6">
        <dgm:presLayoutVars>
          <dgm:chMax val="0"/>
          <dgm:chPref val="0"/>
          <dgm:bulletEnabled val="1"/>
        </dgm:presLayoutVars>
      </dgm:prSet>
      <dgm:spPr/>
    </dgm:pt>
    <dgm:pt modelId="{98CA3386-91D2-4598-8EDB-9B943D8328F1}" type="pres">
      <dgm:prSet presAssocID="{F7B0B221-1134-4E4E-BEF9-D83F1E81FA8C}" presName="parTxOnlySpace" presStyleCnt="0"/>
      <dgm:spPr/>
    </dgm:pt>
    <dgm:pt modelId="{3FC84B7F-C7E4-43A0-94FD-125262A1DC58}" type="pres">
      <dgm:prSet presAssocID="{2A6421B5-BDAA-4C5A-8A32-E959EA03F275}" presName="parTxOnly" presStyleLbl="node1" presStyleIdx="3" presStyleCnt="6" custScaleX="144710">
        <dgm:presLayoutVars>
          <dgm:chMax val="0"/>
          <dgm:chPref val="0"/>
          <dgm:bulletEnabled val="1"/>
        </dgm:presLayoutVars>
      </dgm:prSet>
      <dgm:spPr/>
    </dgm:pt>
    <dgm:pt modelId="{710A4DDF-6A1F-4E23-8DF6-FD7A48A23CE2}" type="pres">
      <dgm:prSet presAssocID="{F56ADE84-AB7A-4C1D-B781-BAEC5F83A373}" presName="parTxOnlySpace" presStyleCnt="0"/>
      <dgm:spPr/>
    </dgm:pt>
    <dgm:pt modelId="{5EE663AF-B4C8-44D1-A9B4-5E600C196EC6}" type="pres">
      <dgm:prSet presAssocID="{552C674D-D20A-4251-B3C2-E093C7E5834D}" presName="parTxOnly" presStyleLbl="node1" presStyleIdx="4" presStyleCnt="6">
        <dgm:presLayoutVars>
          <dgm:chMax val="0"/>
          <dgm:chPref val="0"/>
          <dgm:bulletEnabled val="1"/>
        </dgm:presLayoutVars>
      </dgm:prSet>
      <dgm:spPr/>
    </dgm:pt>
    <dgm:pt modelId="{B37B8C45-285E-40A2-A18E-D5FCBD72E910}" type="pres">
      <dgm:prSet presAssocID="{38F737D7-3C28-4B28-92F5-0AFCAAF59CD9}" presName="parTxOnlySpace" presStyleCnt="0"/>
      <dgm:spPr/>
    </dgm:pt>
    <dgm:pt modelId="{B2586EB9-4DE4-40AB-BD3E-5E64B7CA2522}" type="pres">
      <dgm:prSet presAssocID="{9A25F796-91BA-427C-B119-8255661029A0}" presName="parTxOnly" presStyleLbl="node1" presStyleIdx="5" presStyleCnt="6" custScaleX="123890">
        <dgm:presLayoutVars>
          <dgm:chMax val="0"/>
          <dgm:chPref val="0"/>
          <dgm:bulletEnabled val="1"/>
        </dgm:presLayoutVars>
      </dgm:prSet>
      <dgm:spPr/>
    </dgm:pt>
  </dgm:ptLst>
  <dgm:cxnLst>
    <dgm:cxn modelId="{9AA7102B-88D4-4928-ABC3-B6938002CA1E}" type="presOf" srcId="{78FACD3D-E1F5-45B3-A5F0-73C1754A46FC}" destId="{73AF64CD-5185-40FF-996A-398DF3FC32B2}" srcOrd="0" destOrd="0" presId="urn:microsoft.com/office/officeart/2005/8/layout/chevron1"/>
    <dgm:cxn modelId="{F7DA8966-AC0B-4B75-891E-5ADA93F64241}" type="presOf" srcId="{552C674D-D20A-4251-B3C2-E093C7E5834D}" destId="{5EE663AF-B4C8-44D1-A9B4-5E600C196EC6}" srcOrd="0" destOrd="0" presId="urn:microsoft.com/office/officeart/2005/8/layout/chevron1"/>
    <dgm:cxn modelId="{D48C7547-A0EA-49F5-B1FB-9E31A1D589DC}" type="presOf" srcId="{88BF8FB6-A828-4647-91AA-22E6DAA8FCC0}" destId="{F7A915EB-D065-4097-B80D-36154DB1377C}" srcOrd="0" destOrd="0" presId="urn:microsoft.com/office/officeart/2005/8/layout/chevron1"/>
    <dgm:cxn modelId="{5407F14F-06DE-4475-BADF-056F373BBD67}" srcId="{78FACD3D-E1F5-45B3-A5F0-73C1754A46FC}" destId="{9A25F796-91BA-427C-B119-8255661029A0}" srcOrd="5" destOrd="0" parTransId="{03944B4C-0686-4FE0-812D-ED2EDADC580C}" sibTransId="{470451E4-2158-4C53-8A3F-0C1F9D3B71A3}"/>
    <dgm:cxn modelId="{9E955454-552C-4E14-9D73-1EF31989CCD4}" srcId="{78FACD3D-E1F5-45B3-A5F0-73C1754A46FC}" destId="{552C674D-D20A-4251-B3C2-E093C7E5834D}" srcOrd="4" destOrd="0" parTransId="{C0BBC965-4A58-4D9A-BDAF-24F429B74D6F}" sibTransId="{38F737D7-3C28-4B28-92F5-0AFCAAF59CD9}"/>
    <dgm:cxn modelId="{1A2B355A-33FF-4BED-8B5E-3018B1F527C1}" srcId="{78FACD3D-E1F5-45B3-A5F0-73C1754A46FC}" destId="{B15AE0AF-F0D9-4F06-9900-949CC45EF6C2}" srcOrd="0" destOrd="0" parTransId="{F6D98D5A-334B-4753-B145-A642E2EB3D47}" sibTransId="{95ADA37F-9C03-4AA3-AC21-371D1EE1F70D}"/>
    <dgm:cxn modelId="{CD4A4790-91FA-4279-BC76-CAD7A7CE2AAC}" type="presOf" srcId="{D902F44B-5084-44F4-93F9-237F3B2C3FD9}" destId="{EF0DB892-B5E1-4784-BE0E-5B53CC3B0A6F}" srcOrd="0" destOrd="0" presId="urn:microsoft.com/office/officeart/2005/8/layout/chevron1"/>
    <dgm:cxn modelId="{25232CA8-918C-46A3-AEEA-75AC5FB32BFC}" srcId="{78FACD3D-E1F5-45B3-A5F0-73C1754A46FC}" destId="{88BF8FB6-A828-4647-91AA-22E6DAA8FCC0}" srcOrd="1" destOrd="0" parTransId="{D03FCF91-FBEC-42A2-B1B3-1E9E1C72DB03}" sibTransId="{E9C17F30-4CDE-4FF4-A8E3-85DF36E6C2E6}"/>
    <dgm:cxn modelId="{9B10FFAE-505C-4248-A8D7-D55E89A1A96B}" srcId="{78FACD3D-E1F5-45B3-A5F0-73C1754A46FC}" destId="{2A6421B5-BDAA-4C5A-8A32-E959EA03F275}" srcOrd="3" destOrd="0" parTransId="{57772BCB-18D2-41FE-92C2-3BDAAEBF73FF}" sibTransId="{F56ADE84-AB7A-4C1D-B781-BAEC5F83A373}"/>
    <dgm:cxn modelId="{2B28E8C8-7A09-459E-9EB9-5B56921065E9}" type="presOf" srcId="{9A25F796-91BA-427C-B119-8255661029A0}" destId="{B2586EB9-4DE4-40AB-BD3E-5E64B7CA2522}" srcOrd="0" destOrd="0" presId="urn:microsoft.com/office/officeart/2005/8/layout/chevron1"/>
    <dgm:cxn modelId="{121859E5-C01D-4026-AD1D-DBE56F5504D0}" type="presOf" srcId="{B15AE0AF-F0D9-4F06-9900-949CC45EF6C2}" destId="{3F7B5B93-6A92-47A2-A9E8-1DFB68F1A225}" srcOrd="0" destOrd="0" presId="urn:microsoft.com/office/officeart/2005/8/layout/chevron1"/>
    <dgm:cxn modelId="{C69199EE-0D74-434F-B6F1-F6447F00E896}" type="presOf" srcId="{2A6421B5-BDAA-4C5A-8A32-E959EA03F275}" destId="{3FC84B7F-C7E4-43A0-94FD-125262A1DC58}" srcOrd="0" destOrd="0" presId="urn:microsoft.com/office/officeart/2005/8/layout/chevron1"/>
    <dgm:cxn modelId="{B31443F4-5EEA-4D03-9B48-7C304E1AB71D}" srcId="{78FACD3D-E1F5-45B3-A5F0-73C1754A46FC}" destId="{D902F44B-5084-44F4-93F9-237F3B2C3FD9}" srcOrd="2" destOrd="0" parTransId="{3514150D-A063-4E27-BF2E-237D626CDC1A}" sibTransId="{F7B0B221-1134-4E4E-BEF9-D83F1E81FA8C}"/>
    <dgm:cxn modelId="{B4911E7F-AA06-46BB-9EA5-DCB4938A597F}" type="presParOf" srcId="{73AF64CD-5185-40FF-996A-398DF3FC32B2}" destId="{3F7B5B93-6A92-47A2-A9E8-1DFB68F1A225}" srcOrd="0" destOrd="0" presId="urn:microsoft.com/office/officeart/2005/8/layout/chevron1"/>
    <dgm:cxn modelId="{A3B469D9-79F4-45A9-AD6F-FE832844B9DB}" type="presParOf" srcId="{73AF64CD-5185-40FF-996A-398DF3FC32B2}" destId="{AB38767A-70AA-42AD-ACDF-C488B723FF03}" srcOrd="1" destOrd="0" presId="urn:microsoft.com/office/officeart/2005/8/layout/chevron1"/>
    <dgm:cxn modelId="{61DFD45E-DF47-4134-B1B4-FE9B2C488D52}" type="presParOf" srcId="{73AF64CD-5185-40FF-996A-398DF3FC32B2}" destId="{F7A915EB-D065-4097-B80D-36154DB1377C}" srcOrd="2" destOrd="0" presId="urn:microsoft.com/office/officeart/2005/8/layout/chevron1"/>
    <dgm:cxn modelId="{43B19BC6-08B4-4A05-9FC1-06C3EA5E96A8}" type="presParOf" srcId="{73AF64CD-5185-40FF-996A-398DF3FC32B2}" destId="{E383B314-251C-4DD8-9AD2-56D87BBD9C9E}" srcOrd="3" destOrd="0" presId="urn:microsoft.com/office/officeart/2005/8/layout/chevron1"/>
    <dgm:cxn modelId="{1371D0B2-B448-40FE-8340-FBC4C1A06E26}" type="presParOf" srcId="{73AF64CD-5185-40FF-996A-398DF3FC32B2}" destId="{EF0DB892-B5E1-4784-BE0E-5B53CC3B0A6F}" srcOrd="4" destOrd="0" presId="urn:microsoft.com/office/officeart/2005/8/layout/chevron1"/>
    <dgm:cxn modelId="{BE4BFC4C-305C-4872-A24F-457E426B2B3A}" type="presParOf" srcId="{73AF64CD-5185-40FF-996A-398DF3FC32B2}" destId="{98CA3386-91D2-4598-8EDB-9B943D8328F1}" srcOrd="5" destOrd="0" presId="urn:microsoft.com/office/officeart/2005/8/layout/chevron1"/>
    <dgm:cxn modelId="{6130E0A7-B636-493A-8E91-532AE262C4B8}" type="presParOf" srcId="{73AF64CD-5185-40FF-996A-398DF3FC32B2}" destId="{3FC84B7F-C7E4-43A0-94FD-125262A1DC58}" srcOrd="6" destOrd="0" presId="urn:microsoft.com/office/officeart/2005/8/layout/chevron1"/>
    <dgm:cxn modelId="{7FC9B9D6-F7A7-4E10-AC41-1489D4E7D4A9}" type="presParOf" srcId="{73AF64CD-5185-40FF-996A-398DF3FC32B2}" destId="{710A4DDF-6A1F-4E23-8DF6-FD7A48A23CE2}" srcOrd="7" destOrd="0" presId="urn:microsoft.com/office/officeart/2005/8/layout/chevron1"/>
    <dgm:cxn modelId="{5EFE6BED-8D8E-4FBE-A702-A6975A5B359F}" type="presParOf" srcId="{73AF64CD-5185-40FF-996A-398DF3FC32B2}" destId="{5EE663AF-B4C8-44D1-A9B4-5E600C196EC6}" srcOrd="8" destOrd="0" presId="urn:microsoft.com/office/officeart/2005/8/layout/chevron1"/>
    <dgm:cxn modelId="{35EE3A43-BDB2-4A54-8085-6016C16A86B5}" type="presParOf" srcId="{73AF64CD-5185-40FF-996A-398DF3FC32B2}" destId="{B37B8C45-285E-40A2-A18E-D5FCBD72E910}" srcOrd="9" destOrd="0" presId="urn:microsoft.com/office/officeart/2005/8/layout/chevron1"/>
    <dgm:cxn modelId="{E55406D1-B4E9-49F9-A980-457F44184A8E}" type="presParOf" srcId="{73AF64CD-5185-40FF-996A-398DF3FC32B2}" destId="{B2586EB9-4DE4-40AB-BD3E-5E64B7CA2522}" srcOrd="10" destOrd="0" presId="urn:microsoft.com/office/officeart/2005/8/layout/chevron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7B5B93-6A92-47A2-A9E8-1DFB68F1A225}">
      <dsp:nvSpPr>
        <dsp:cNvPr id="0" name=""/>
        <dsp:cNvSpPr/>
      </dsp:nvSpPr>
      <dsp:spPr>
        <a:xfrm>
          <a:off x="605" y="172536"/>
          <a:ext cx="923254" cy="36930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Not Knowing</a:t>
          </a:r>
        </a:p>
      </dsp:txBody>
      <dsp:txXfrm>
        <a:off x="185256" y="172536"/>
        <a:ext cx="553953" cy="369301"/>
      </dsp:txXfrm>
    </dsp:sp>
    <dsp:sp modelId="{F7A915EB-D065-4097-B80D-36154DB1377C}">
      <dsp:nvSpPr>
        <dsp:cNvPr id="0" name=""/>
        <dsp:cNvSpPr/>
      </dsp:nvSpPr>
      <dsp:spPr>
        <a:xfrm>
          <a:off x="831533" y="172536"/>
          <a:ext cx="923254" cy="36930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Knowing</a:t>
          </a:r>
        </a:p>
      </dsp:txBody>
      <dsp:txXfrm>
        <a:off x="1016184" y="172536"/>
        <a:ext cx="553953" cy="369301"/>
      </dsp:txXfrm>
    </dsp:sp>
    <dsp:sp modelId="{EF0DB892-B5E1-4784-BE0E-5B53CC3B0A6F}">
      <dsp:nvSpPr>
        <dsp:cNvPr id="0" name=""/>
        <dsp:cNvSpPr/>
      </dsp:nvSpPr>
      <dsp:spPr>
        <a:xfrm>
          <a:off x="1662462" y="172536"/>
          <a:ext cx="923254" cy="36930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Thinking</a:t>
          </a:r>
        </a:p>
      </dsp:txBody>
      <dsp:txXfrm>
        <a:off x="1847113" y="172536"/>
        <a:ext cx="553953" cy="369301"/>
      </dsp:txXfrm>
    </dsp:sp>
    <dsp:sp modelId="{3FC84B7F-C7E4-43A0-94FD-125262A1DC58}">
      <dsp:nvSpPr>
        <dsp:cNvPr id="0" name=""/>
        <dsp:cNvSpPr/>
      </dsp:nvSpPr>
      <dsp:spPr>
        <a:xfrm>
          <a:off x="2493391" y="172536"/>
          <a:ext cx="1336040" cy="36930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Understanding</a:t>
          </a:r>
        </a:p>
      </dsp:txBody>
      <dsp:txXfrm>
        <a:off x="2678042" y="172536"/>
        <a:ext cx="966739" cy="369301"/>
      </dsp:txXfrm>
    </dsp:sp>
    <dsp:sp modelId="{5EE663AF-B4C8-44D1-A9B4-5E600C196EC6}">
      <dsp:nvSpPr>
        <dsp:cNvPr id="0" name=""/>
        <dsp:cNvSpPr/>
      </dsp:nvSpPr>
      <dsp:spPr>
        <a:xfrm>
          <a:off x="3737106" y="172536"/>
          <a:ext cx="923254" cy="36930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Doing</a:t>
          </a:r>
        </a:p>
      </dsp:txBody>
      <dsp:txXfrm>
        <a:off x="3921757" y="172536"/>
        <a:ext cx="553953" cy="369301"/>
      </dsp:txXfrm>
    </dsp:sp>
    <dsp:sp modelId="{B2586EB9-4DE4-40AB-BD3E-5E64B7CA2522}">
      <dsp:nvSpPr>
        <dsp:cNvPr id="0" name=""/>
        <dsp:cNvSpPr/>
      </dsp:nvSpPr>
      <dsp:spPr>
        <a:xfrm>
          <a:off x="4568035" y="172536"/>
          <a:ext cx="1143819" cy="369301"/>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marL="0" lvl="0" indent="0" algn="ctr" defTabSz="488950">
            <a:lnSpc>
              <a:spcPct val="90000"/>
            </a:lnSpc>
            <a:spcBef>
              <a:spcPct val="0"/>
            </a:spcBef>
            <a:spcAft>
              <a:spcPct val="35000"/>
            </a:spcAft>
            <a:buNone/>
          </a:pPr>
          <a:r>
            <a:rPr lang="en-GB" sz="1100" kern="1200"/>
            <a:t>Reviewing</a:t>
          </a:r>
        </a:p>
      </dsp:txBody>
      <dsp:txXfrm>
        <a:off x="4752686" y="172536"/>
        <a:ext cx="774518" cy="36930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A070843F692B64CA80A21C598BEB05C" ma:contentTypeVersion="17" ma:contentTypeDescription="Create a new document." ma:contentTypeScope="" ma:versionID="14d7ba20a38a6d8fbf509a6f339fee8b">
  <xsd:schema xmlns:xsd="http://www.w3.org/2001/XMLSchema" xmlns:xs="http://www.w3.org/2001/XMLSchema" xmlns:p="http://schemas.microsoft.com/office/2006/metadata/properties" xmlns:ns3="99a10c2b-5096-4686-a9cb-89a26d85d346" xmlns:ns4="b6a30da3-7cdf-472f-8372-ab13324157ae" targetNamespace="http://schemas.microsoft.com/office/2006/metadata/properties" ma:root="true" ma:fieldsID="80aecd7f503714dc07dd8f9a05f14f2d" ns3:_="" ns4:_="">
    <xsd:import namespace="99a10c2b-5096-4686-a9cb-89a26d85d346"/>
    <xsd:import namespace="b6a30da3-7cdf-472f-8372-ab13324157a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OCR" minOccurs="0"/>
                <xsd:element ref="ns4:MediaServiceGenerationTime" minOccurs="0"/>
                <xsd:element ref="ns4:MediaServiceEventHashCode" minOccurs="0"/>
                <xsd:element ref="ns4:MediaServiceObjectDetectorVersions" minOccurs="0"/>
                <xsd:element ref="ns4:MediaServiceSystemTag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a10c2b-5096-4686-a9cb-89a26d85d34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6a30da3-7cdf-472f-8372-ab13324157a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6a30da3-7cdf-472f-8372-ab13324157ae" xsi:nil="true"/>
  </documentManagement>
</p:properties>
</file>

<file path=customXml/itemProps1.xml><?xml version="1.0" encoding="utf-8"?>
<ds:datastoreItem xmlns:ds="http://schemas.openxmlformats.org/officeDocument/2006/customXml" ds:itemID="{EF96549B-9830-4FD4-944C-BBBBC5728FCB}">
  <ds:schemaRefs>
    <ds:schemaRef ds:uri="http://schemas.microsoft.com/sharepoint/v3/contenttype/forms"/>
  </ds:schemaRefs>
</ds:datastoreItem>
</file>

<file path=customXml/itemProps2.xml><?xml version="1.0" encoding="utf-8"?>
<ds:datastoreItem xmlns:ds="http://schemas.openxmlformats.org/officeDocument/2006/customXml" ds:itemID="{42E4DBDD-0417-42CD-A715-E12ABB7D1A9D}">
  <ds:schemaRefs>
    <ds:schemaRef ds:uri="http://schemas.openxmlformats.org/officeDocument/2006/bibliography"/>
  </ds:schemaRefs>
</ds:datastoreItem>
</file>

<file path=customXml/itemProps3.xml><?xml version="1.0" encoding="utf-8"?>
<ds:datastoreItem xmlns:ds="http://schemas.openxmlformats.org/officeDocument/2006/customXml" ds:itemID="{E9BBFEEA-6A83-40BC-8E36-567F94F7BC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a10c2b-5096-4686-a9cb-89a26d85d346"/>
    <ds:schemaRef ds:uri="b6a30da3-7cdf-472f-8372-ab13324157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24B803-4150-4D6B-B861-39EB4BFDBDCF}">
  <ds:schemaRefs>
    <ds:schemaRef ds:uri="http://schemas.microsoft.com/office/2006/metadata/properties"/>
    <ds:schemaRef ds:uri="http://schemas.microsoft.com/office/infopath/2007/PartnerControls"/>
    <ds:schemaRef ds:uri="b6a30da3-7cdf-472f-8372-ab13324157a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74</Pages>
  <Words>19864</Words>
  <Characters>113231</Characters>
  <Application>Microsoft Office Word</Application>
  <DocSecurity>0</DocSecurity>
  <Lines>943</Lines>
  <Paragraphs>265</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132830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Shuler (BCUHB - Palliative Care)</dc:creator>
  <cp:keywords/>
  <dc:description/>
  <cp:lastModifiedBy>Andrew Shuler (BCUHB - Palliative Care)</cp:lastModifiedBy>
  <cp:revision>3</cp:revision>
  <cp:lastPrinted>2025-04-15T14:39:00Z</cp:lastPrinted>
  <dcterms:created xsi:type="dcterms:W3CDTF">2025-05-03T08:47:00Z</dcterms:created>
  <dcterms:modified xsi:type="dcterms:W3CDTF">2025-05-03T08:48:00Z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0x0101007A070843F692B64CA80A21C598BEB05C</vt:lpwstr>
  </property>
</Properties>
</file>