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65F7E9" w14:textId="77777777" w:rsidR="00D34349" w:rsidRPr="00371F33" w:rsidRDefault="00D34349" w:rsidP="00D34349">
      <w:pPr>
        <w:rPr>
          <w:rFonts w:ascii="Arial" w:hAnsi="Arial" w:cs="Arial"/>
          <w:b/>
          <w:bCs/>
          <w:sz w:val="44"/>
          <w:szCs w:val="44"/>
        </w:rPr>
      </w:pPr>
      <w:r w:rsidRPr="00371F33">
        <w:rPr>
          <w:rFonts w:ascii="Arial" w:hAnsi="Arial" w:cs="Arial"/>
          <w:b/>
          <w:bCs/>
          <w:sz w:val="44"/>
          <w:szCs w:val="44"/>
        </w:rPr>
        <w:t>Psychology in Health and Social Care (LCHS4010_LON)</w:t>
      </w:r>
    </w:p>
    <w:p w14:paraId="00F41CD8" w14:textId="70255A53" w:rsidR="00C605C2" w:rsidRPr="00371F33" w:rsidRDefault="00D34349">
      <w:pPr>
        <w:rPr>
          <w:rFonts w:ascii="Arial" w:hAnsi="Arial" w:cs="Arial"/>
          <w:b/>
          <w:bCs/>
          <w:sz w:val="44"/>
          <w:szCs w:val="44"/>
        </w:rPr>
      </w:pPr>
      <w:r w:rsidRPr="00371F33">
        <w:rPr>
          <w:rFonts w:ascii="Arial" w:hAnsi="Arial" w:cs="Arial"/>
          <w:b/>
          <w:bCs/>
          <w:sz w:val="44"/>
          <w:szCs w:val="44"/>
        </w:rPr>
        <w:t xml:space="preserve">                  Ass</w:t>
      </w:r>
      <w:r w:rsidR="00DC5BF0" w:rsidRPr="00371F33">
        <w:rPr>
          <w:rFonts w:ascii="Arial" w:hAnsi="Arial" w:cs="Arial"/>
          <w:b/>
          <w:bCs/>
          <w:sz w:val="44"/>
          <w:szCs w:val="44"/>
        </w:rPr>
        <w:t>essment 2</w:t>
      </w:r>
    </w:p>
    <w:p w14:paraId="2480064B" w14:textId="77777777" w:rsidR="00DC5BF0" w:rsidRPr="00371F33" w:rsidRDefault="00DC5BF0">
      <w:pPr>
        <w:rPr>
          <w:rFonts w:ascii="Arial" w:hAnsi="Arial" w:cs="Arial"/>
        </w:rPr>
      </w:pPr>
    </w:p>
    <w:p w14:paraId="276D70E1" w14:textId="3FC3F085" w:rsidR="00DC5BF0" w:rsidRPr="00371F33" w:rsidRDefault="00DC5BF0">
      <w:pPr>
        <w:rPr>
          <w:rFonts w:ascii="Arial" w:hAnsi="Arial" w:cs="Arial"/>
          <w:b/>
          <w:bCs/>
          <w:sz w:val="32"/>
          <w:szCs w:val="32"/>
        </w:rPr>
      </w:pPr>
      <w:r w:rsidRPr="00371F33">
        <w:rPr>
          <w:rFonts w:ascii="Arial" w:hAnsi="Arial" w:cs="Arial"/>
          <w:b/>
          <w:bCs/>
          <w:sz w:val="32"/>
          <w:szCs w:val="32"/>
        </w:rPr>
        <w:t>Name of student</w:t>
      </w:r>
      <w:r w:rsidR="00CE261D" w:rsidRPr="00371F33">
        <w:rPr>
          <w:rFonts w:ascii="Arial" w:hAnsi="Arial" w:cs="Arial"/>
          <w:b/>
          <w:bCs/>
          <w:sz w:val="32"/>
          <w:szCs w:val="32"/>
        </w:rPr>
        <w:t>:</w:t>
      </w:r>
      <w:r w:rsidR="002548D6" w:rsidRPr="00371F33">
        <w:rPr>
          <w:rFonts w:ascii="Arial" w:hAnsi="Arial" w:cs="Arial"/>
          <w:b/>
          <w:bCs/>
          <w:sz w:val="32"/>
          <w:szCs w:val="32"/>
        </w:rPr>
        <w:t xml:space="preserve"> </w:t>
      </w:r>
      <w:r w:rsidR="008834A0" w:rsidRPr="00371F33">
        <w:rPr>
          <w:rFonts w:ascii="Arial" w:hAnsi="Arial" w:cs="Arial"/>
          <w:b/>
          <w:bCs/>
          <w:sz w:val="32"/>
          <w:szCs w:val="32"/>
        </w:rPr>
        <w:t>Nairah Jadidah Namakula</w:t>
      </w:r>
    </w:p>
    <w:p w14:paraId="38D1523A" w14:textId="42E4F264" w:rsidR="00CE261D" w:rsidRPr="00371F33" w:rsidRDefault="00364872">
      <w:pPr>
        <w:rPr>
          <w:rFonts w:ascii="Arial" w:hAnsi="Arial" w:cs="Arial"/>
          <w:b/>
          <w:bCs/>
          <w:sz w:val="32"/>
          <w:szCs w:val="32"/>
        </w:rPr>
      </w:pPr>
      <w:r w:rsidRPr="00371F33">
        <w:rPr>
          <w:rFonts w:ascii="Arial" w:hAnsi="Arial" w:cs="Arial"/>
          <w:b/>
          <w:bCs/>
          <w:sz w:val="32"/>
          <w:szCs w:val="32"/>
        </w:rPr>
        <w:t>ID number:</w:t>
      </w:r>
      <w:r w:rsidR="0026477E" w:rsidRPr="00371F33">
        <w:rPr>
          <w:rFonts w:ascii="Arial" w:hAnsi="Arial" w:cs="Arial"/>
          <w:b/>
          <w:bCs/>
          <w:sz w:val="32"/>
          <w:szCs w:val="32"/>
        </w:rPr>
        <w:t xml:space="preserve"> 2438044</w:t>
      </w:r>
    </w:p>
    <w:p w14:paraId="32D2DF72" w14:textId="54C1D46B" w:rsidR="00364872" w:rsidRPr="00371F33" w:rsidRDefault="004B1426">
      <w:pPr>
        <w:rPr>
          <w:rFonts w:ascii="Arial" w:hAnsi="Arial" w:cs="Arial"/>
          <w:b/>
          <w:bCs/>
          <w:sz w:val="32"/>
          <w:szCs w:val="32"/>
        </w:rPr>
      </w:pPr>
      <w:r w:rsidRPr="00371F33">
        <w:rPr>
          <w:rFonts w:ascii="Arial" w:hAnsi="Arial" w:cs="Arial"/>
          <w:b/>
          <w:bCs/>
          <w:sz w:val="32"/>
          <w:szCs w:val="32"/>
        </w:rPr>
        <w:t>Name of tut</w:t>
      </w:r>
      <w:r w:rsidR="0069675F" w:rsidRPr="00371F33">
        <w:rPr>
          <w:rFonts w:ascii="Arial" w:hAnsi="Arial" w:cs="Arial"/>
          <w:b/>
          <w:bCs/>
          <w:sz w:val="32"/>
          <w:szCs w:val="32"/>
        </w:rPr>
        <w:t>or:</w:t>
      </w:r>
      <w:r w:rsidR="0026477E" w:rsidRPr="00371F33">
        <w:rPr>
          <w:rFonts w:ascii="Arial" w:hAnsi="Arial" w:cs="Arial"/>
          <w:b/>
          <w:bCs/>
          <w:sz w:val="32"/>
          <w:szCs w:val="32"/>
        </w:rPr>
        <w:t xml:space="preserve"> </w:t>
      </w:r>
      <w:r w:rsidR="008625F2" w:rsidRPr="00371F33">
        <w:rPr>
          <w:rFonts w:ascii="Arial" w:hAnsi="Arial" w:cs="Arial"/>
          <w:b/>
          <w:bCs/>
          <w:sz w:val="32"/>
          <w:szCs w:val="32"/>
        </w:rPr>
        <w:t>Shep</w:t>
      </w:r>
      <w:r w:rsidR="00AC321E" w:rsidRPr="00371F33">
        <w:rPr>
          <w:rFonts w:ascii="Arial" w:hAnsi="Arial" w:cs="Arial"/>
          <w:b/>
          <w:bCs/>
          <w:sz w:val="32"/>
          <w:szCs w:val="32"/>
        </w:rPr>
        <w:t>he</w:t>
      </w:r>
      <w:r w:rsidR="008625F2" w:rsidRPr="00371F33">
        <w:rPr>
          <w:rFonts w:ascii="Arial" w:hAnsi="Arial" w:cs="Arial"/>
          <w:b/>
          <w:bCs/>
          <w:sz w:val="32"/>
          <w:szCs w:val="32"/>
        </w:rPr>
        <w:t>rd Ziko</w:t>
      </w:r>
      <w:r w:rsidR="00AC321E" w:rsidRPr="00371F33">
        <w:rPr>
          <w:rFonts w:ascii="Arial" w:hAnsi="Arial" w:cs="Arial"/>
          <w:b/>
          <w:bCs/>
          <w:sz w:val="32"/>
          <w:szCs w:val="32"/>
        </w:rPr>
        <w:t>.</w:t>
      </w:r>
    </w:p>
    <w:p w14:paraId="2AF621C1" w14:textId="77777777" w:rsidR="0069675F" w:rsidRPr="00371F33" w:rsidRDefault="0069675F">
      <w:pPr>
        <w:rPr>
          <w:rFonts w:ascii="Arial" w:hAnsi="Arial" w:cs="Arial"/>
        </w:rPr>
      </w:pPr>
    </w:p>
    <w:p w14:paraId="3D24BD38" w14:textId="77777777" w:rsidR="0069675F" w:rsidRPr="00371F33" w:rsidRDefault="0069675F">
      <w:pPr>
        <w:rPr>
          <w:rFonts w:ascii="Arial" w:hAnsi="Arial" w:cs="Arial"/>
        </w:rPr>
      </w:pPr>
    </w:p>
    <w:p w14:paraId="3BE278F2" w14:textId="77777777" w:rsidR="0069675F" w:rsidRPr="00371F33" w:rsidRDefault="0069675F">
      <w:pPr>
        <w:rPr>
          <w:rFonts w:ascii="Arial" w:hAnsi="Arial" w:cs="Arial"/>
        </w:rPr>
      </w:pPr>
    </w:p>
    <w:p w14:paraId="28501112" w14:textId="77777777" w:rsidR="0069675F" w:rsidRPr="00371F33" w:rsidRDefault="0069675F" w:rsidP="0069675F">
      <w:pPr>
        <w:rPr>
          <w:rFonts w:ascii="Arial" w:hAnsi="Arial" w:cs="Arial"/>
          <w:color w:val="000000" w:themeColor="text1"/>
        </w:rPr>
      </w:pPr>
      <w:r w:rsidRPr="00371F33">
        <w:rPr>
          <w:rFonts w:ascii="Arial" w:hAnsi="Arial" w:cs="Arial"/>
          <w:b/>
          <w:bCs/>
          <w:color w:val="000000" w:themeColor="text1"/>
          <w:sz w:val="28"/>
          <w:szCs w:val="28"/>
          <w:u w:val="single"/>
        </w:rPr>
        <w:t>Acknowledgement of AI use:</w:t>
      </w:r>
      <w:r w:rsidRPr="00371F33">
        <w:rPr>
          <w:rFonts w:ascii="Arial" w:hAnsi="Arial" w:cs="Arial"/>
          <w:color w:val="000000" w:themeColor="text1"/>
        </w:rPr>
        <w:t xml:space="preserve"> I confirm that I have / have not used AI to complete my work. (IF YES, ALSO WRITE I USED THIS SOURCE……. </w:t>
      </w:r>
      <w:r w:rsidRPr="00371F33">
        <w:rPr>
          <w:rFonts w:ascii="Arial" w:hAnsi="Arial" w:cs="Arial"/>
          <w:i/>
          <w:iCs/>
          <w:color w:val="000000" w:themeColor="text1"/>
        </w:rPr>
        <w:t>GIVE REFERENCE SUCH AS GRAMMERLY FOR EXAMPLE</w:t>
      </w:r>
      <w:r w:rsidRPr="00371F33">
        <w:rPr>
          <w:rFonts w:ascii="Arial" w:hAnsi="Arial" w:cs="Arial"/>
          <w:color w:val="000000" w:themeColor="text1"/>
        </w:rPr>
        <w:t>……TO………</w:t>
      </w:r>
      <w:r w:rsidRPr="00371F33">
        <w:rPr>
          <w:rFonts w:ascii="Arial" w:hAnsi="Arial" w:cs="Arial"/>
          <w:i/>
          <w:iCs/>
          <w:color w:val="000000" w:themeColor="text1"/>
        </w:rPr>
        <w:t>PROOFREAD FOR EXAMPLE).</w:t>
      </w:r>
    </w:p>
    <w:p w14:paraId="47078D6B" w14:textId="31A4D102" w:rsidR="0069675F" w:rsidRPr="00371F33" w:rsidRDefault="003E36F3">
      <w:pPr>
        <w:rPr>
          <w:rFonts w:ascii="Arial" w:hAnsi="Arial" w:cs="Arial"/>
          <w:b/>
          <w:bCs/>
          <w:sz w:val="72"/>
          <w:szCs w:val="72"/>
        </w:rPr>
      </w:pPr>
      <w:r>
        <w:br w:type="page"/>
      </w:r>
      <w:r w:rsidR="002D10E4" w:rsidRPr="00371F33">
        <w:rPr>
          <w:rFonts w:ascii="Arial" w:hAnsi="Arial" w:cs="Arial"/>
        </w:rPr>
        <w:lastRenderedPageBreak/>
        <w:t xml:space="preserve">                              </w:t>
      </w:r>
      <w:r w:rsidR="00D56438" w:rsidRPr="00371F33">
        <w:rPr>
          <w:rFonts w:ascii="Arial" w:hAnsi="Arial" w:cs="Arial"/>
          <w:b/>
          <w:bCs/>
          <w:sz w:val="72"/>
          <w:szCs w:val="72"/>
        </w:rPr>
        <w:t>Introduction.</w:t>
      </w:r>
    </w:p>
    <w:p w14:paraId="7631E229" w14:textId="77777777" w:rsidR="002D10E4" w:rsidRPr="00371F33" w:rsidRDefault="00302884" w:rsidP="00302884">
      <w:pPr>
        <w:rPr>
          <w:rFonts w:ascii="Arial" w:hAnsi="Arial" w:cs="Arial"/>
          <w:b/>
          <w:bCs/>
          <w:sz w:val="28"/>
          <w:szCs w:val="28"/>
        </w:rPr>
      </w:pPr>
      <w:r w:rsidRPr="00302884">
        <w:rPr>
          <w:rFonts w:ascii="Arial" w:hAnsi="Arial" w:cs="Arial"/>
          <w:b/>
          <w:bCs/>
          <w:sz w:val="28"/>
          <w:szCs w:val="28"/>
        </w:rPr>
        <w:t>Overview of Piaget’s and Bandura’s Theories</w:t>
      </w:r>
    </w:p>
    <w:p w14:paraId="5A485122" w14:textId="77777777" w:rsidR="00371F33" w:rsidRPr="00371F33" w:rsidRDefault="00371F33" w:rsidP="00371F33">
      <w:pPr>
        <w:rPr>
          <w:rFonts w:ascii="Arial" w:hAnsi="Arial" w:cs="Arial"/>
          <w:sz w:val="22"/>
          <w:szCs w:val="22"/>
        </w:rPr>
      </w:pPr>
      <w:r w:rsidRPr="00371F33">
        <w:rPr>
          <w:rFonts w:ascii="Arial" w:hAnsi="Arial" w:cs="Arial"/>
          <w:sz w:val="22"/>
          <w:szCs w:val="22"/>
        </w:rPr>
        <w:t>This report examines psychological theories and research relevant to supporting older adults with dementia residing in care homes. Specifically, it analyses Jean Piaget's cognitive development theory and Bandura's social learning theory in the context of dementia care.</w:t>
      </w:r>
    </w:p>
    <w:p w14:paraId="2BBCE5C6" w14:textId="5F0FB03A" w:rsidR="007D69F4" w:rsidRPr="00371F33" w:rsidRDefault="00302884" w:rsidP="00302884">
      <w:pPr>
        <w:rPr>
          <w:rFonts w:ascii="Arial" w:hAnsi="Arial" w:cs="Arial"/>
          <w:b/>
          <w:bCs/>
          <w:sz w:val="22"/>
          <w:szCs w:val="22"/>
        </w:rPr>
      </w:pPr>
      <w:r w:rsidRPr="00302884">
        <w:rPr>
          <w:rFonts w:ascii="Arial" w:hAnsi="Arial" w:cs="Arial"/>
          <w:b/>
          <w:bCs/>
          <w:sz w:val="22"/>
          <w:szCs w:val="22"/>
        </w:rPr>
        <w:t>1. Piaget’s Cognitive Development Theory</w:t>
      </w:r>
      <w:r w:rsidRPr="00302884">
        <w:rPr>
          <w:rFonts w:ascii="Arial" w:hAnsi="Arial" w:cs="Arial"/>
          <w:sz w:val="22"/>
          <w:szCs w:val="22"/>
        </w:rPr>
        <w:br/>
        <w:t>Jean Piaget examined the processes by which individuals actively construct knowledge through interaction with their environment.</w:t>
      </w:r>
      <w:r w:rsidRPr="00302884">
        <w:rPr>
          <w:rFonts w:ascii="Arial" w:hAnsi="Arial" w:cs="Arial"/>
          <w:sz w:val="22"/>
          <w:szCs w:val="22"/>
        </w:rPr>
        <w:br/>
      </w:r>
      <w:r w:rsidRPr="00302884">
        <w:rPr>
          <w:rFonts w:ascii="Arial" w:hAnsi="Arial" w:cs="Arial"/>
          <w:b/>
          <w:bCs/>
          <w:sz w:val="22"/>
          <w:szCs w:val="22"/>
        </w:rPr>
        <w:t>Key Idea</w:t>
      </w:r>
      <w:r w:rsidR="007D69F4" w:rsidRPr="00371F33">
        <w:rPr>
          <w:rFonts w:ascii="Arial" w:hAnsi="Arial" w:cs="Arial"/>
          <w:b/>
          <w:bCs/>
          <w:sz w:val="22"/>
          <w:szCs w:val="22"/>
        </w:rPr>
        <w:t>s.</w:t>
      </w:r>
    </w:p>
    <w:p w14:paraId="4F6CA181" w14:textId="73996BC3" w:rsidR="00CE3AA3" w:rsidRDefault="00302884" w:rsidP="00302884">
      <w:pPr>
        <w:rPr>
          <w:rFonts w:ascii="Arial" w:hAnsi="Arial" w:cs="Arial"/>
          <w:sz w:val="22"/>
          <w:szCs w:val="22"/>
        </w:rPr>
      </w:pPr>
      <w:r w:rsidRPr="00302884">
        <w:rPr>
          <w:rFonts w:ascii="Arial" w:hAnsi="Arial" w:cs="Arial"/>
          <w:sz w:val="22"/>
          <w:szCs w:val="22"/>
        </w:rPr>
        <w:t>Schemas: Cognitive frameworks that organise and interpret information</w:t>
      </w:r>
      <w:r w:rsidRPr="00302884">
        <w:rPr>
          <w:rFonts w:ascii="Arial" w:hAnsi="Arial" w:cs="Arial"/>
          <w:sz w:val="22"/>
          <w:szCs w:val="22"/>
        </w:rPr>
        <w:br/>
        <w:t>Assimilation: Integrating new information into pre-existing schemas</w:t>
      </w:r>
      <w:r w:rsidRPr="00302884">
        <w:rPr>
          <w:rFonts w:ascii="Arial" w:hAnsi="Arial" w:cs="Arial"/>
          <w:sz w:val="22"/>
          <w:szCs w:val="22"/>
        </w:rPr>
        <w:br/>
        <w:t>Accommodation: Modifying existing schemas in response to new information that does not align with current understanding</w:t>
      </w:r>
      <w:r w:rsidR="005B3AA7">
        <w:rPr>
          <w:rFonts w:ascii="Arial" w:hAnsi="Arial" w:cs="Arial"/>
          <w:sz w:val="22"/>
          <w:szCs w:val="22"/>
        </w:rPr>
        <w:t>.</w:t>
      </w:r>
    </w:p>
    <w:p w14:paraId="2F72E37F" w14:textId="3CFF7EC6" w:rsidR="00E74761" w:rsidRPr="00E74761" w:rsidRDefault="00E74761" w:rsidP="00E74761">
      <w:pPr>
        <w:rPr>
          <w:rFonts w:ascii="Arial" w:hAnsi="Arial" w:cs="Arial"/>
          <w:sz w:val="22"/>
          <w:szCs w:val="22"/>
        </w:rPr>
      </w:pPr>
      <w:r w:rsidRPr="00E74761">
        <w:rPr>
          <w:rFonts w:ascii="Arial" w:hAnsi="Arial" w:cs="Arial"/>
          <w:sz w:val="22"/>
          <w:szCs w:val="22"/>
        </w:rPr>
        <w:t>Piaget’s theory examines how people develop their thinking through experience. In dementia care, his ideas remind carers that older adults might face cognitive decline, like what happens in early childhood. Because of this, it helps to use simple communication, routines, and familiar activities.</w:t>
      </w:r>
      <w:r w:rsidR="00373998" w:rsidRPr="00373998">
        <w:rPr>
          <w:rFonts w:ascii="Times New Roman" w:eastAsia="Times New Roman" w:hAnsi="Times New Roman" w:cs="Times New Roman"/>
          <w:kern w:val="0"/>
          <w:lang w:eastAsia="en-GB"/>
          <w14:ligatures w14:val="none"/>
        </w:rPr>
        <w:t xml:space="preserve"> </w:t>
      </w:r>
      <w:r w:rsidR="00373998" w:rsidRPr="00373998">
        <w:rPr>
          <w:rFonts w:ascii="Arial" w:hAnsi="Arial" w:cs="Arial"/>
          <w:sz w:val="22"/>
          <w:szCs w:val="22"/>
        </w:rPr>
        <w:t>(Learning, 2024c)</w:t>
      </w:r>
    </w:p>
    <w:p w14:paraId="5003BCF2" w14:textId="69A7A271" w:rsidR="003B2C94" w:rsidRPr="00371F33" w:rsidRDefault="00302884" w:rsidP="004C2EED">
      <w:pPr>
        <w:rPr>
          <w:rFonts w:ascii="Arial" w:hAnsi="Arial" w:cs="Arial"/>
          <w:sz w:val="22"/>
          <w:szCs w:val="22"/>
        </w:rPr>
      </w:pPr>
      <w:r w:rsidRPr="00302884">
        <w:rPr>
          <w:rFonts w:ascii="Arial" w:hAnsi="Arial" w:cs="Arial"/>
          <w:b/>
          <w:bCs/>
          <w:sz w:val="22"/>
          <w:szCs w:val="22"/>
        </w:rPr>
        <w:t>2. Bandura’s Social Learning Theory</w:t>
      </w:r>
      <w:r w:rsidRPr="00302884">
        <w:rPr>
          <w:rFonts w:ascii="Arial" w:hAnsi="Arial" w:cs="Arial"/>
          <w:b/>
          <w:bCs/>
          <w:sz w:val="22"/>
          <w:szCs w:val="22"/>
        </w:rPr>
        <w:br/>
      </w:r>
      <w:r w:rsidRPr="00302884">
        <w:rPr>
          <w:rFonts w:ascii="Arial" w:hAnsi="Arial" w:cs="Arial"/>
          <w:sz w:val="22"/>
          <w:szCs w:val="22"/>
        </w:rPr>
        <w:t xml:space="preserve">Albert Bandura proposed that individuals acquire knowledge and behaviours through </w:t>
      </w:r>
      <w:r w:rsidR="007D69F4" w:rsidRPr="00371F33">
        <w:rPr>
          <w:rFonts w:ascii="Arial" w:hAnsi="Arial" w:cs="Arial"/>
          <w:sz w:val="22"/>
          <w:szCs w:val="22"/>
        </w:rPr>
        <w:t>o</w:t>
      </w:r>
      <w:r w:rsidRPr="00302884">
        <w:rPr>
          <w:rFonts w:ascii="Arial" w:hAnsi="Arial" w:cs="Arial"/>
          <w:sz w:val="22"/>
          <w:szCs w:val="22"/>
        </w:rPr>
        <w:t>bservation of others, as well as through direct personal experience.</w:t>
      </w:r>
      <w:r w:rsidRPr="00302884">
        <w:rPr>
          <w:rFonts w:ascii="Arial" w:hAnsi="Arial" w:cs="Arial"/>
          <w:sz w:val="22"/>
          <w:szCs w:val="22"/>
        </w:rPr>
        <w:br/>
      </w:r>
      <w:r w:rsidRPr="00302884">
        <w:rPr>
          <w:rFonts w:ascii="Arial" w:hAnsi="Arial" w:cs="Arial"/>
          <w:b/>
          <w:bCs/>
          <w:sz w:val="22"/>
          <w:szCs w:val="22"/>
        </w:rPr>
        <w:t>Key Ideas</w:t>
      </w:r>
      <w:r w:rsidR="003B2C94" w:rsidRPr="00371F33">
        <w:rPr>
          <w:rFonts w:ascii="Arial" w:hAnsi="Arial" w:cs="Arial"/>
          <w:sz w:val="22"/>
          <w:szCs w:val="22"/>
        </w:rPr>
        <w:t>.</w:t>
      </w:r>
    </w:p>
    <w:p w14:paraId="011FD043" w14:textId="77777777" w:rsidR="00D773D6" w:rsidRDefault="00302884" w:rsidP="00004687">
      <w:pPr>
        <w:rPr>
          <w:rFonts w:ascii="Arial" w:hAnsi="Arial" w:cs="Arial"/>
          <w:sz w:val="22"/>
          <w:szCs w:val="22"/>
        </w:rPr>
      </w:pPr>
      <w:r w:rsidRPr="00371F33">
        <w:rPr>
          <w:rFonts w:ascii="Arial" w:hAnsi="Arial" w:cs="Arial"/>
          <w:sz w:val="22"/>
          <w:szCs w:val="22"/>
        </w:rPr>
        <w:t>Observational learning</w:t>
      </w:r>
      <w:r w:rsidR="0055631A" w:rsidRPr="00371F33">
        <w:rPr>
          <w:rFonts w:ascii="Arial" w:hAnsi="Arial" w:cs="Arial"/>
          <w:sz w:val="22"/>
          <w:szCs w:val="22"/>
        </w:rPr>
        <w:t>(modelling</w:t>
      </w:r>
      <w:r w:rsidR="00D773D6" w:rsidRPr="00371F33">
        <w:rPr>
          <w:rFonts w:ascii="Arial" w:hAnsi="Arial" w:cs="Arial"/>
          <w:sz w:val="22"/>
          <w:szCs w:val="22"/>
        </w:rPr>
        <w:t>), for</w:t>
      </w:r>
      <w:r w:rsidR="00E65A3C" w:rsidRPr="00371F33">
        <w:rPr>
          <w:rFonts w:ascii="Arial" w:hAnsi="Arial" w:cs="Arial"/>
          <w:sz w:val="22"/>
          <w:szCs w:val="22"/>
        </w:rPr>
        <w:t xml:space="preserve"> example, a</w:t>
      </w:r>
      <w:r w:rsidRPr="00371F33">
        <w:rPr>
          <w:rFonts w:ascii="Arial" w:hAnsi="Arial" w:cs="Arial"/>
          <w:sz w:val="22"/>
          <w:szCs w:val="22"/>
        </w:rPr>
        <w:t>cquiring new behaviours by observing other</w:t>
      </w:r>
      <w:r w:rsidR="00004687" w:rsidRPr="00371F33">
        <w:rPr>
          <w:rFonts w:ascii="Arial" w:hAnsi="Arial" w:cs="Arial"/>
          <w:sz w:val="22"/>
          <w:szCs w:val="22"/>
        </w:rPr>
        <w:t>s</w:t>
      </w:r>
      <w:r w:rsidRPr="00371F33">
        <w:rPr>
          <w:rFonts w:ascii="Arial" w:hAnsi="Arial" w:cs="Arial"/>
          <w:sz w:val="22"/>
          <w:szCs w:val="22"/>
        </w:rPr>
        <w:br/>
        <w:t>Imitation of behaviour</w:t>
      </w:r>
      <w:r w:rsidRPr="00371F33">
        <w:rPr>
          <w:rFonts w:ascii="Arial" w:hAnsi="Arial" w:cs="Arial"/>
          <w:sz w:val="22"/>
          <w:szCs w:val="22"/>
        </w:rPr>
        <w:br/>
        <w:t>Self-efficacy: The belief in one’s capacity to execute behaviours necessary for specific outcomes</w:t>
      </w:r>
      <w:r w:rsidR="00D773D6">
        <w:rPr>
          <w:rFonts w:ascii="Arial" w:hAnsi="Arial" w:cs="Arial"/>
          <w:sz w:val="22"/>
          <w:szCs w:val="22"/>
        </w:rPr>
        <w:t>.</w:t>
      </w:r>
    </w:p>
    <w:p w14:paraId="1F012D4D" w14:textId="58588655" w:rsidR="00D264CD" w:rsidRPr="00D264CD" w:rsidRDefault="00984E8A" w:rsidP="00D264CD">
      <w:pPr>
        <w:rPr>
          <w:rFonts w:ascii="Arial" w:hAnsi="Arial" w:cs="Arial"/>
          <w:sz w:val="22"/>
          <w:szCs w:val="22"/>
        </w:rPr>
      </w:pPr>
      <w:r w:rsidRPr="00984E8A">
        <w:rPr>
          <w:rFonts w:ascii="Arial" w:hAnsi="Arial" w:cs="Arial"/>
          <w:sz w:val="22"/>
          <w:szCs w:val="22"/>
        </w:rPr>
        <w:t>In care homes, this means carers can use role models, encouragement, and group activities to help residents keep their skills and confidence.</w:t>
      </w:r>
      <w:r w:rsidRPr="00984E8A">
        <w:rPr>
          <w:rFonts w:ascii="Arial" w:hAnsi="Arial" w:cs="Arial"/>
          <w:sz w:val="22"/>
          <w:szCs w:val="22"/>
        </w:rPr>
        <w:br/>
        <w:t>When used together, these theories offer helpful ways to support people with dementia, including those with Alzheimer’s disease. They encourage carers to focus on each person’s needs, support independence, and improve wellbeing.</w:t>
      </w:r>
      <w:r w:rsidR="00D264CD" w:rsidRPr="00D264CD">
        <w:rPr>
          <w:rFonts w:ascii="Times New Roman" w:eastAsia="Times New Roman" w:hAnsi="Times New Roman" w:cs="Times New Roman"/>
          <w:kern w:val="0"/>
          <w:lang w:eastAsia="en-GB"/>
          <w14:ligatures w14:val="none"/>
        </w:rPr>
        <w:t xml:space="preserve"> </w:t>
      </w:r>
      <w:r w:rsidR="00D264CD" w:rsidRPr="00D264CD">
        <w:rPr>
          <w:rFonts w:ascii="Arial" w:hAnsi="Arial" w:cs="Arial"/>
          <w:sz w:val="22"/>
          <w:szCs w:val="22"/>
        </w:rPr>
        <w:t>(Cherry, 2024)</w:t>
      </w:r>
    </w:p>
    <w:p w14:paraId="699968C8" w14:textId="0B33ABF5" w:rsidR="00984E8A" w:rsidRPr="00984E8A" w:rsidRDefault="00984E8A" w:rsidP="00984E8A">
      <w:pPr>
        <w:rPr>
          <w:rFonts w:ascii="Arial" w:hAnsi="Arial" w:cs="Arial"/>
          <w:sz w:val="22"/>
          <w:szCs w:val="22"/>
        </w:rPr>
      </w:pPr>
    </w:p>
    <w:p w14:paraId="38CC4B21" w14:textId="009B947D" w:rsidR="007E76DA" w:rsidRDefault="00302884" w:rsidP="00004687">
      <w:r w:rsidRPr="00371F33">
        <w:rPr>
          <w:rFonts w:ascii="Arial" w:hAnsi="Arial" w:cs="Arial"/>
          <w:sz w:val="22"/>
          <w:szCs w:val="22"/>
        </w:rPr>
        <w:br/>
      </w:r>
    </w:p>
    <w:p w14:paraId="6B9C2938" w14:textId="77777777" w:rsidR="007E76DA" w:rsidRDefault="007E76DA">
      <w:r>
        <w:br w:type="page"/>
      </w:r>
    </w:p>
    <w:p w14:paraId="5A220C4F" w14:textId="77777777" w:rsidR="00953E18" w:rsidRDefault="00953E18" w:rsidP="00CE5429"/>
    <w:p w14:paraId="7103C9D0" w14:textId="77777777" w:rsidR="00861BBD" w:rsidRPr="00A741D2" w:rsidRDefault="00CE5429" w:rsidP="007C4ED8">
      <w:pPr>
        <w:rPr>
          <w:b/>
          <w:bCs/>
        </w:rPr>
      </w:pPr>
      <w:r w:rsidRPr="00A741D2">
        <w:rPr>
          <w:b/>
          <w:bCs/>
        </w:rPr>
        <w:t>Critical Analysis of Piaget’s Cognitive Development Theory</w:t>
      </w:r>
      <w:r w:rsidR="00861BBD" w:rsidRPr="00A741D2">
        <w:rPr>
          <w:b/>
          <w:bCs/>
        </w:rPr>
        <w:t>.</w:t>
      </w:r>
    </w:p>
    <w:p w14:paraId="642DBF20" w14:textId="77777777" w:rsidR="00861BBD" w:rsidRDefault="00CE5429" w:rsidP="007C4ED8">
      <w:r w:rsidRPr="00CE5429">
        <w:br/>
      </w:r>
      <w:r w:rsidR="007C4ED8" w:rsidRPr="007C4ED8">
        <w:t>Jean Piaget’s theory of cognitive development is only somewhat relevant for supporting older adults in health and social care. It works better as a general guide than as a model you can apply directly.</w:t>
      </w:r>
    </w:p>
    <w:p w14:paraId="75EB660D" w14:textId="5ABEAB60" w:rsidR="00271391" w:rsidRDefault="007C4ED8" w:rsidP="00A741D2">
      <w:r w:rsidRPr="00A741D2">
        <w:rPr>
          <w:b/>
          <w:bCs/>
        </w:rPr>
        <w:t>Relevance of Piaget’s Theory</w:t>
      </w:r>
      <w:r w:rsidRPr="007C4ED8">
        <w:br/>
        <w:t>One strength of Piaget’s theory is that it helps care workers understand how thinking changes. For example, people with Alzheimer’s disease may lose advanced reasoning and depend more on basic, concrete thinking. This understanding supports care practices such as:</w:t>
      </w:r>
      <w:r w:rsidRPr="007C4ED8">
        <w:br/>
        <w:t>Using clear, simple language</w:t>
      </w:r>
      <w:r w:rsidRPr="007C4ED8">
        <w:br/>
        <w:t>Breaking tasks into small steps</w:t>
      </w:r>
      <w:r w:rsidRPr="007C4ED8">
        <w:br/>
        <w:t>Providing familiar routines and environments</w:t>
      </w:r>
      <w:r w:rsidRPr="007C4ED8">
        <w:br/>
        <w:t>These methods align with Piaget’s idea that people see the world differently at different stages of cognitive development.</w:t>
      </w:r>
    </w:p>
    <w:p w14:paraId="2C6F007F" w14:textId="288F88F0" w:rsidR="00583613" w:rsidRPr="00583613" w:rsidRDefault="007C4ED8" w:rsidP="00583613">
      <w:r w:rsidRPr="00022426">
        <w:rPr>
          <w:b/>
          <w:bCs/>
        </w:rPr>
        <w:t>Critical Limitations</w:t>
      </w:r>
      <w:r w:rsidRPr="007C4ED8">
        <w:br/>
        <w:t>However, there are some key problems with using Piaget’s theory for older adults:</w:t>
      </w:r>
      <w:r w:rsidRPr="007C4ED8">
        <w:br/>
      </w:r>
      <w:r w:rsidR="006E4B9D" w:rsidRPr="007C4ED8">
        <w:t xml:space="preserve">1. </w:t>
      </w:r>
      <w:r w:rsidR="006E4B9D" w:rsidRPr="00022426">
        <w:rPr>
          <w:b/>
          <w:bCs/>
        </w:rPr>
        <w:t>Not</w:t>
      </w:r>
      <w:r w:rsidRPr="00022426">
        <w:rPr>
          <w:b/>
          <w:bCs/>
        </w:rPr>
        <w:t xml:space="preserve"> Designed for Ageing</w:t>
      </w:r>
      <w:r w:rsidRPr="00022426">
        <w:rPr>
          <w:b/>
          <w:bCs/>
        </w:rPr>
        <w:br/>
      </w:r>
      <w:r w:rsidRPr="007C4ED8">
        <w:t>Piaget’s theory concerns how children develop, not how thinking declines in older age. It does not explain why or how mental abilities get worse, so it is less useful for dementia care.</w:t>
      </w:r>
      <w:r w:rsidRPr="007C4ED8">
        <w:br/>
        <w:t>2</w:t>
      </w:r>
      <w:r w:rsidRPr="0045199C">
        <w:rPr>
          <w:b/>
          <w:bCs/>
        </w:rPr>
        <w:t>. Overly Rigid Stages</w:t>
      </w:r>
      <w:r w:rsidRPr="007C4ED8">
        <w:br/>
        <w:t>The stage model assumes people move through stages in a set order, but older adults, especially those with dementia, often have changing abilities and do not fit into just one stage.</w:t>
      </w:r>
      <w:r w:rsidRPr="007C4ED8">
        <w:br/>
        <w:t>Piaget focused on how people think on their own and mostly left out:</w:t>
      </w:r>
      <w:r w:rsidRPr="007C4ED8">
        <w:br/>
        <w:t>Social interaction</w:t>
      </w:r>
      <w:r w:rsidRPr="007C4ED8">
        <w:br/>
        <w:t>Emotional wellbeing</w:t>
      </w:r>
      <w:r w:rsidRPr="007C4ED8">
        <w:br/>
        <w:t>Environmental influences</w:t>
      </w:r>
      <w:r w:rsidRPr="007C4ED8">
        <w:br/>
        <w:t>These factors are very important in health and social care, where building relationships and good communication matter most.</w:t>
      </w:r>
      <w:r w:rsidRPr="007C4ED8">
        <w:br/>
      </w:r>
      <w:r w:rsidR="00022426">
        <w:t>3</w:t>
      </w:r>
      <w:r w:rsidRPr="009F5160">
        <w:rPr>
          <w:b/>
          <w:bCs/>
        </w:rPr>
        <w:t>.  Lacks Biological Explanation</w:t>
      </w:r>
      <w:r w:rsidRPr="007C4ED8">
        <w:br/>
        <w:t>The theory does not examine changes in the brain, illness, or the ageing process, even though these are central to the problems older adults face.</w:t>
      </w:r>
      <w:r w:rsidR="00583613" w:rsidRPr="00583613">
        <w:rPr>
          <w:rFonts w:ascii="Times New Roman" w:eastAsia="Times New Roman" w:hAnsi="Times New Roman" w:cs="Times New Roman"/>
          <w:kern w:val="0"/>
          <w:lang w:eastAsia="en-GB"/>
          <w14:ligatures w14:val="none"/>
        </w:rPr>
        <w:t xml:space="preserve"> </w:t>
      </w:r>
      <w:r w:rsidR="008E708A">
        <w:rPr>
          <w:rFonts w:ascii="Times New Roman" w:eastAsia="Times New Roman" w:hAnsi="Times New Roman" w:cs="Times New Roman"/>
          <w:kern w:val="0"/>
          <w:lang w:eastAsia="en-GB"/>
          <w14:ligatures w14:val="none"/>
        </w:rPr>
        <w:t>(</w:t>
      </w:r>
      <w:proofErr w:type="spellStart"/>
      <w:r w:rsidR="00846253" w:rsidRPr="00ED7ED0">
        <w:t>Oesterdiekhoff</w:t>
      </w:r>
      <w:proofErr w:type="spellEnd"/>
      <w:r w:rsidR="00846253" w:rsidRPr="00ED7ED0">
        <w:t>, 2016)</w:t>
      </w:r>
      <w:r w:rsidR="00E7086A">
        <w:t>.</w:t>
      </w:r>
      <w:r w:rsidR="00846253" w:rsidRPr="00ED7ED0">
        <w:t xml:space="preserve"> </w:t>
      </w:r>
      <w:r w:rsidR="00583613" w:rsidRPr="00583613">
        <w:t>(Singh and Deshmukh, 2021)</w:t>
      </w:r>
      <w:r w:rsidR="00E7086A">
        <w:t>.</w:t>
      </w:r>
    </w:p>
    <w:p w14:paraId="4355EA5B" w14:textId="3972D337" w:rsidR="00586E50" w:rsidRPr="007C4ED8" w:rsidRDefault="007C4ED8" w:rsidP="007C4ED8">
      <w:r w:rsidRPr="007C4ED8">
        <w:br/>
      </w:r>
    </w:p>
    <w:tbl>
      <w:tblPr>
        <w:tblStyle w:val="TableGrid"/>
        <w:tblW w:w="0" w:type="auto"/>
        <w:tblLook w:val="04A0" w:firstRow="1" w:lastRow="0" w:firstColumn="1" w:lastColumn="0" w:noHBand="0" w:noVBand="1"/>
      </w:tblPr>
      <w:tblGrid>
        <w:gridCol w:w="9016"/>
      </w:tblGrid>
      <w:tr w:rsidR="00586E50" w14:paraId="6F7CFFBF" w14:textId="77777777" w:rsidTr="00586E50">
        <w:tc>
          <w:tcPr>
            <w:tcW w:w="9016" w:type="dxa"/>
          </w:tcPr>
          <w:p w14:paraId="264CCB6D" w14:textId="77777777" w:rsidR="00A75FBA" w:rsidRDefault="00A75FBA" w:rsidP="00A75FBA">
            <w:proofErr w:type="spellStart"/>
            <w:r w:rsidRPr="00ED7ED0">
              <w:lastRenderedPageBreak/>
              <w:t>Oesterdiekhoff</w:t>
            </w:r>
            <w:proofErr w:type="spellEnd"/>
            <w:r w:rsidRPr="00ED7ED0">
              <w:t>, G.W. (2016) “Is a forgotten subject central to the future development of sciences? Jean Piaget on the interrelationship between ontogeny and history,” </w:t>
            </w:r>
            <w:r w:rsidRPr="00ED7ED0">
              <w:rPr>
                <w:i/>
                <w:iCs/>
              </w:rPr>
              <w:t>Personality and individual differences</w:t>
            </w:r>
            <w:r w:rsidRPr="00ED7ED0">
              <w:t xml:space="preserve">, 98, pp. 118–126. Available at: </w:t>
            </w:r>
            <w:hyperlink r:id="rId8" w:history="1">
              <w:r w:rsidRPr="005609D2">
                <w:rPr>
                  <w:rStyle w:val="Hyperlink"/>
                </w:rPr>
                <w:t>https://doi.org/10.1016/j.paid.2016.03.098</w:t>
              </w:r>
            </w:hyperlink>
            <w:r w:rsidRPr="00ED7ED0">
              <w:t>.</w:t>
            </w:r>
          </w:p>
          <w:p w14:paraId="463EBA47" w14:textId="77777777" w:rsidR="00586E50" w:rsidRDefault="00586E50" w:rsidP="007C4ED8"/>
        </w:tc>
      </w:tr>
      <w:tr w:rsidR="00586E50" w14:paraId="351EBC66" w14:textId="77777777" w:rsidTr="00586E50">
        <w:tc>
          <w:tcPr>
            <w:tcW w:w="9016" w:type="dxa"/>
          </w:tcPr>
          <w:p w14:paraId="32986215" w14:textId="77777777" w:rsidR="00A75FBA" w:rsidRPr="00A75FBA" w:rsidRDefault="00A75FBA" w:rsidP="00A75FBA">
            <w:r w:rsidRPr="00A75FBA">
              <w:t xml:space="preserve">Singh, B. and Deshmukh, S. (2021). Cognitive Contemporary Behaviour Management Outline. </w:t>
            </w:r>
            <w:r w:rsidRPr="00A75FBA">
              <w:rPr>
                <w:i/>
                <w:iCs/>
              </w:rPr>
              <w:t>Journal of Evolution of Medical and Dental Sciences</w:t>
            </w:r>
            <w:r w:rsidRPr="00A75FBA">
              <w:t xml:space="preserve">, 10(40), pp.3548–3553. </w:t>
            </w:r>
            <w:proofErr w:type="spellStart"/>
            <w:proofErr w:type="gramStart"/>
            <w:r w:rsidRPr="00A75FBA">
              <w:t>doi:https</w:t>
            </w:r>
            <w:proofErr w:type="spellEnd"/>
            <w:r w:rsidRPr="00A75FBA">
              <w:t>://doi.org/10.14260/</w:t>
            </w:r>
            <w:proofErr w:type="spellStart"/>
            <w:r w:rsidRPr="00A75FBA">
              <w:t>jemds</w:t>
            </w:r>
            <w:proofErr w:type="spellEnd"/>
            <w:r w:rsidRPr="00A75FBA">
              <w:t>/2021/719</w:t>
            </w:r>
            <w:proofErr w:type="gramEnd"/>
            <w:r w:rsidRPr="00A75FBA">
              <w:t>.</w:t>
            </w:r>
          </w:p>
          <w:p w14:paraId="296C26F1" w14:textId="77777777" w:rsidR="00586E50" w:rsidRDefault="00586E50" w:rsidP="007C4ED8"/>
        </w:tc>
      </w:tr>
    </w:tbl>
    <w:p w14:paraId="68D0EF02" w14:textId="2A98CF50" w:rsidR="007C4ED8" w:rsidRPr="007C4ED8" w:rsidRDefault="007C4ED8" w:rsidP="007C4ED8"/>
    <w:p w14:paraId="4F240FD6" w14:textId="326E1A3C" w:rsidR="00F65892" w:rsidRDefault="00F65892" w:rsidP="00CE5429"/>
    <w:p w14:paraId="0BD3829A" w14:textId="77777777" w:rsidR="006A7493" w:rsidRPr="009F5160" w:rsidRDefault="00CE5429" w:rsidP="00690082">
      <w:pPr>
        <w:rPr>
          <w:b/>
          <w:bCs/>
        </w:rPr>
      </w:pPr>
      <w:r w:rsidRPr="009F5160">
        <w:rPr>
          <w:b/>
          <w:bCs/>
        </w:rPr>
        <w:t>Critical Analysis of Bandura’s Social Learning Theory</w:t>
      </w:r>
      <w:r w:rsidRPr="009F5160">
        <w:rPr>
          <w:b/>
          <w:bCs/>
        </w:rPr>
        <w:br/>
      </w:r>
    </w:p>
    <w:p w14:paraId="4CB5E3C3" w14:textId="77777777" w:rsidR="006A7493" w:rsidRDefault="00690082" w:rsidP="00690082">
      <w:r w:rsidRPr="00690082">
        <w:t>Albert Bandura’s social learning theory is often more useful in health and social care than some other developmental theories. However, it also has some important limitations when applied to supporting older adults.</w:t>
      </w:r>
      <w:r w:rsidRPr="00690082">
        <w:br/>
        <w:t>Why Bandura’s Theory Matters</w:t>
      </w:r>
      <w:r w:rsidRPr="00690082">
        <w:br/>
        <w:t>One of the main strengths of Bandura’s theory is its focus on the social environment, which is particularly important in care settings.</w:t>
      </w:r>
      <w:r w:rsidRPr="00690082">
        <w:br/>
      </w:r>
    </w:p>
    <w:p w14:paraId="42FC4F32" w14:textId="77777777" w:rsidR="00303C16" w:rsidRDefault="00690082" w:rsidP="00690082">
      <w:r w:rsidRPr="009F5160">
        <w:rPr>
          <w:b/>
          <w:bCs/>
        </w:rPr>
        <w:t>Practical strengths include:</w:t>
      </w:r>
      <w:r w:rsidRPr="00690082">
        <w:br/>
        <w:t>Observational learning, also known as modelling</w:t>
      </w:r>
      <w:r w:rsidRPr="00690082">
        <w:br/>
        <w:t>Older adults can retain or relearn skills by watching carers demonstrate tasks such as eating, dressing, or using mobility aids.</w:t>
      </w:r>
      <w:r w:rsidRPr="00690082">
        <w:br/>
      </w:r>
      <w:r w:rsidRPr="009F5160">
        <w:rPr>
          <w:b/>
          <w:bCs/>
        </w:rPr>
        <w:t>Encourages positive behaviour</w:t>
      </w:r>
      <w:r w:rsidRPr="009F5160">
        <w:rPr>
          <w:b/>
          <w:bCs/>
        </w:rPr>
        <w:br/>
      </w:r>
      <w:r w:rsidRPr="00690082">
        <w:t>Giving praise and encouragement can help improve mood, cooperation, and engagement.</w:t>
      </w:r>
      <w:r w:rsidRPr="00690082">
        <w:br/>
      </w:r>
      <w:r w:rsidRPr="009F5160">
        <w:rPr>
          <w:b/>
          <w:bCs/>
        </w:rPr>
        <w:t>Helps build independence and confidence</w:t>
      </w:r>
      <w:r w:rsidRPr="00690082">
        <w:br/>
        <w:t>The idea of self-efficacy encourages carers to help people believe in their own abilities rather than do everything for them.</w:t>
      </w:r>
      <w:r w:rsidRPr="00690082">
        <w:br/>
      </w:r>
      <w:r w:rsidRPr="009F5160">
        <w:rPr>
          <w:b/>
          <w:bCs/>
        </w:rPr>
        <w:t>Supports social interaction</w:t>
      </w:r>
      <w:r w:rsidRPr="00690082">
        <w:br/>
        <w:t>Group activities in care homes let residents learn from each other and connect, which helps their emotional well-being.</w:t>
      </w:r>
      <w:r w:rsidRPr="00690082">
        <w:br/>
        <w:t>These points show why the theory is very relevant in everyday care practice.</w:t>
      </w:r>
      <w:r w:rsidRPr="00690082">
        <w:br/>
      </w:r>
    </w:p>
    <w:p w14:paraId="7F5B9C62" w14:textId="5ECDF63A" w:rsidR="00690082" w:rsidRPr="00690082" w:rsidRDefault="00690082" w:rsidP="00690082">
      <w:r w:rsidRPr="00C50CF6">
        <w:rPr>
          <w:b/>
          <w:bCs/>
        </w:rPr>
        <w:t>Important Limitations</w:t>
      </w:r>
      <w:r w:rsidRPr="00690082">
        <w:br/>
        <w:t>Even though the theory is useful, there are some criticisms to consider:</w:t>
      </w:r>
      <w:r w:rsidRPr="00690082">
        <w:br/>
        <w:t xml:space="preserve">1. </w:t>
      </w:r>
      <w:r w:rsidRPr="009F5160">
        <w:rPr>
          <w:b/>
          <w:bCs/>
        </w:rPr>
        <w:t>Less effective when there is cognitive decline</w:t>
      </w:r>
      <w:r w:rsidRPr="00690082">
        <w:br/>
        <w:t>For people with conditions like Alzheimer's disease, memory loss and lower attention can make it hard for them to observe, process, and copy behaviour.</w:t>
      </w:r>
      <w:r w:rsidRPr="00690082">
        <w:br/>
      </w:r>
      <w:r w:rsidRPr="00690082">
        <w:lastRenderedPageBreak/>
        <w:t>2</w:t>
      </w:r>
      <w:r w:rsidRPr="00C50CF6">
        <w:rPr>
          <w:b/>
          <w:bCs/>
        </w:rPr>
        <w:t>. Learning may not last</w:t>
      </w:r>
      <w:r w:rsidRPr="00C50CF6">
        <w:rPr>
          <w:b/>
          <w:bCs/>
        </w:rPr>
        <w:br/>
      </w:r>
      <w:r w:rsidRPr="00690082">
        <w:t>Even if someone with dementia learns a behaviour by watching, they may quickly forget it, limiting the long-term benefits of observational learning.</w:t>
      </w:r>
      <w:r w:rsidRPr="00690082">
        <w:br/>
        <w:t>3. Does not consider biological factors</w:t>
      </w:r>
      <w:r w:rsidRPr="00690082">
        <w:br/>
        <w:t>Bandura’s theory focuses on the environment and behaviour, but it does not include factors such as changes in the brain, ageing, or diseases that have a significant impact on older adults.</w:t>
      </w:r>
      <w:r w:rsidRPr="00690082">
        <w:br/>
        <w:t>4</w:t>
      </w:r>
      <w:r w:rsidRPr="00C50CF6">
        <w:rPr>
          <w:b/>
          <w:bCs/>
        </w:rPr>
        <w:t>. May overestimate independence</w:t>
      </w:r>
      <w:r w:rsidRPr="00690082">
        <w:br/>
        <w:t>Focusing on self-efficacy may not always be realistic for people who need a lot of care, since full independence is not always possible.</w:t>
      </w:r>
      <w:r w:rsidRPr="00690082">
        <w:br/>
        <w:t>Overall Evaluation</w:t>
      </w:r>
      <w:r w:rsidRPr="00690082">
        <w:br/>
        <w:t>In summary, Bandura’s theory is:</w:t>
      </w:r>
      <w:r w:rsidRPr="00690082">
        <w:br/>
        <w:t>Very practical and relevant in social care settings</w:t>
      </w:r>
      <w:r w:rsidRPr="00690082">
        <w:br/>
        <w:t>Useful for encouraging engagement, routine, and confidence</w:t>
      </w:r>
      <w:r w:rsidRPr="00690082">
        <w:br/>
        <w:t>Less effective for people in advanced stages of dementia</w:t>
      </w:r>
      <w:r w:rsidRPr="00690082">
        <w:br/>
        <w:t>Limited because it does not focus on biological ageing</w:t>
      </w:r>
      <w:r w:rsidRPr="00690082">
        <w:br/>
        <w:t>The theory works best when it is adapted to each person’s cognitive level and used alongside other approaches.</w:t>
      </w:r>
      <w:r w:rsidR="00E7086A" w:rsidRPr="00E7086A">
        <w:rPr>
          <w:rFonts w:ascii="Times New Roman" w:eastAsia="Times New Roman" w:hAnsi="Times New Roman" w:cs="Times New Roman"/>
          <w:kern w:val="0"/>
          <w:lang w:eastAsia="en-GB"/>
          <w14:ligatures w14:val="none"/>
        </w:rPr>
        <w:t xml:space="preserve"> </w:t>
      </w:r>
      <w:r w:rsidR="00E7086A" w:rsidRPr="00E7086A">
        <w:t>(Ahsan, 2024)</w:t>
      </w:r>
      <w:r w:rsidR="00E7086A">
        <w:t>.</w:t>
      </w:r>
      <w:r w:rsidR="008B3BAA">
        <w:t xml:space="preserve"> </w:t>
      </w:r>
      <w:r w:rsidR="008B3BAA" w:rsidRPr="008B3BAA">
        <w:t>(Smith, 2021)</w:t>
      </w:r>
      <w:r w:rsidR="00874F5D">
        <w:t>.</w:t>
      </w:r>
    </w:p>
    <w:tbl>
      <w:tblPr>
        <w:tblStyle w:val="TableGrid"/>
        <w:tblW w:w="0" w:type="auto"/>
        <w:tblLook w:val="04A0" w:firstRow="1" w:lastRow="0" w:firstColumn="1" w:lastColumn="0" w:noHBand="0" w:noVBand="1"/>
      </w:tblPr>
      <w:tblGrid>
        <w:gridCol w:w="9016"/>
      </w:tblGrid>
      <w:tr w:rsidR="006E16DC" w14:paraId="4272C4BC" w14:textId="77777777" w:rsidTr="006E16DC">
        <w:tc>
          <w:tcPr>
            <w:tcW w:w="9016" w:type="dxa"/>
          </w:tcPr>
          <w:p w14:paraId="0C876D24" w14:textId="4A703B6A" w:rsidR="006E16DC" w:rsidRDefault="00586E50" w:rsidP="00CE5429">
            <w:r w:rsidRPr="008C47FC">
              <w:t>Ahsan, M.J. (2025) “Cultivating a culture of learning: the role of leadership in fostering lifelong development,” </w:t>
            </w:r>
            <w:r w:rsidRPr="008C47FC">
              <w:rPr>
                <w:i/>
                <w:iCs/>
              </w:rPr>
              <w:t>The learning organization</w:t>
            </w:r>
            <w:r w:rsidRPr="008C47FC">
              <w:t xml:space="preserve">, 32(2), pp. 282–306. Available at: </w:t>
            </w:r>
            <w:hyperlink r:id="rId9" w:history="1">
              <w:r w:rsidRPr="005609D2">
                <w:rPr>
                  <w:rStyle w:val="Hyperlink"/>
                </w:rPr>
                <w:t>https://doi.org/10.1108/TLO-03-2024-0099</w:t>
              </w:r>
            </w:hyperlink>
            <w:r w:rsidRPr="008C47FC">
              <w:t>.</w:t>
            </w:r>
          </w:p>
        </w:tc>
      </w:tr>
      <w:tr w:rsidR="006E16DC" w14:paraId="3453AF60" w14:textId="77777777" w:rsidTr="006E16DC">
        <w:tc>
          <w:tcPr>
            <w:tcW w:w="9016" w:type="dxa"/>
          </w:tcPr>
          <w:p w14:paraId="2C839A09" w14:textId="77777777" w:rsidR="007828EC" w:rsidRPr="007828EC" w:rsidRDefault="007828EC" w:rsidP="007828EC">
            <w:r w:rsidRPr="007828EC">
              <w:t xml:space="preserve">Smith, M.A. (2021). Social learning and addiction. </w:t>
            </w:r>
            <w:r w:rsidRPr="007828EC">
              <w:rPr>
                <w:i/>
                <w:iCs/>
              </w:rPr>
              <w:t>Behavioural Brain Research</w:t>
            </w:r>
            <w:r w:rsidRPr="007828EC">
              <w:t xml:space="preserve">, [online] 398(1), pp.1–24. </w:t>
            </w:r>
            <w:proofErr w:type="spellStart"/>
            <w:proofErr w:type="gramStart"/>
            <w:r w:rsidRPr="007828EC">
              <w:t>doi:https</w:t>
            </w:r>
            <w:proofErr w:type="spellEnd"/>
            <w:r w:rsidRPr="007828EC">
              <w:t>://doi.org/10.1016/j.bbr.2020.112954</w:t>
            </w:r>
            <w:proofErr w:type="gramEnd"/>
            <w:r w:rsidRPr="007828EC">
              <w:t>.</w:t>
            </w:r>
          </w:p>
          <w:p w14:paraId="47F24526" w14:textId="77777777" w:rsidR="006E16DC" w:rsidRDefault="006E16DC" w:rsidP="00CE5429"/>
        </w:tc>
      </w:tr>
    </w:tbl>
    <w:p w14:paraId="585480DD" w14:textId="788B6850" w:rsidR="00CE5429" w:rsidRPr="00CE5429" w:rsidRDefault="00CE5429" w:rsidP="00CE5429"/>
    <w:p w14:paraId="33773E3E" w14:textId="77777777" w:rsidR="00302884" w:rsidRPr="00302884" w:rsidRDefault="00302884" w:rsidP="00004687"/>
    <w:p w14:paraId="07F7D42D" w14:textId="66678F51" w:rsidR="00605332" w:rsidRDefault="00605332">
      <w:r>
        <w:br w:type="page"/>
      </w:r>
    </w:p>
    <w:p w14:paraId="2F71C0C0" w14:textId="0F5DA1D8" w:rsidR="00035CA6" w:rsidRPr="00C50CF6" w:rsidRDefault="00BD5CF0">
      <w:pPr>
        <w:rPr>
          <w:b/>
          <w:bCs/>
        </w:rPr>
      </w:pPr>
      <w:r w:rsidRPr="00C50CF6">
        <w:rPr>
          <w:b/>
          <w:bCs/>
        </w:rPr>
        <w:lastRenderedPageBreak/>
        <w:t>A short report.</w:t>
      </w:r>
    </w:p>
    <w:p w14:paraId="7C7094D2" w14:textId="79783282" w:rsidR="00BD5CF0" w:rsidRPr="00C50CF6" w:rsidRDefault="00BD5CF0">
      <w:pPr>
        <w:rPr>
          <w:b/>
          <w:bCs/>
        </w:rPr>
      </w:pPr>
      <w:r w:rsidRPr="00C50CF6">
        <w:rPr>
          <w:b/>
          <w:bCs/>
        </w:rPr>
        <w:t>A</w:t>
      </w:r>
      <w:r w:rsidR="007B749C" w:rsidRPr="00C50CF6">
        <w:rPr>
          <w:b/>
          <w:bCs/>
        </w:rPr>
        <w:t xml:space="preserve">lbert </w:t>
      </w:r>
      <w:r w:rsidRPr="00C50CF6">
        <w:rPr>
          <w:b/>
          <w:bCs/>
        </w:rPr>
        <w:t>Banduras soc</w:t>
      </w:r>
      <w:r w:rsidR="007B749C" w:rsidRPr="00C50CF6">
        <w:rPr>
          <w:b/>
          <w:bCs/>
        </w:rPr>
        <w:t>ial learning theory.</w:t>
      </w:r>
    </w:p>
    <w:p w14:paraId="09B442D8" w14:textId="77777777" w:rsidR="00C50CF6" w:rsidRDefault="00D77E20" w:rsidP="00D77E20">
      <w:r w:rsidRPr="00D77E20">
        <w:t>This report examines Bandura's social learning theory and its use in health care, particularly in care homes. According to Bandura, people learn by watching others, copying what they do, and getting feedback. In health and social care, this theory explains how the social environment shapes people's behaviour and learning.</w:t>
      </w:r>
      <w:r w:rsidRPr="00D77E20">
        <w:br/>
        <w:t>Carers apply this theory by demonstrating tasks, giving positive feedback, and building people’s confidence. For older adults, including those with Alzheimer’s disease, this method can help them keep their skills, remain independent, and feel better through social activities and interaction.</w:t>
      </w:r>
    </w:p>
    <w:p w14:paraId="35653BD0" w14:textId="77777777" w:rsidR="00C50CF6" w:rsidRDefault="00C50CF6" w:rsidP="00D77E20">
      <w:r>
        <w:t>Key points.</w:t>
      </w:r>
      <w:r w:rsidR="00D77E20" w:rsidRPr="00D77E20">
        <w:br/>
      </w:r>
      <w:r w:rsidR="009F632E">
        <w:t>P</w:t>
      </w:r>
      <w:r w:rsidR="00D77E20" w:rsidRPr="00D77E20">
        <w:t>erson-centred care</w:t>
      </w:r>
      <w:r>
        <w:t>,</w:t>
      </w:r>
    </w:p>
    <w:p w14:paraId="75A16AEB" w14:textId="5B7512F6" w:rsidR="009F632E" w:rsidRDefault="00D77E20" w:rsidP="00D77E20">
      <w:r w:rsidRPr="00D77E20">
        <w:t xml:space="preserve"> </w:t>
      </w:r>
      <w:r w:rsidR="009F632E">
        <w:t>E</w:t>
      </w:r>
      <w:r w:rsidRPr="00D77E20">
        <w:t>ncourages involvement</w:t>
      </w:r>
      <w:r w:rsidR="00C50CF6">
        <w:t>,</w:t>
      </w:r>
    </w:p>
    <w:p w14:paraId="65A5182E" w14:textId="0D92913A" w:rsidR="00D77E20" w:rsidRPr="00D77E20" w:rsidRDefault="00D77E20" w:rsidP="00D77E20">
      <w:r w:rsidRPr="00D77E20">
        <w:t xml:space="preserve"> </w:t>
      </w:r>
      <w:r w:rsidR="009F632E">
        <w:t>S</w:t>
      </w:r>
      <w:r w:rsidRPr="00D77E20">
        <w:t>evere cognitive difficulties.</w:t>
      </w:r>
    </w:p>
    <w:p w14:paraId="1AE5F6A8" w14:textId="4A26B0B8" w:rsidR="00883847" w:rsidRPr="00390803" w:rsidRDefault="00883847" w:rsidP="00883847">
      <w:pPr>
        <w:rPr>
          <w:b/>
          <w:bCs/>
        </w:rPr>
      </w:pPr>
      <w:r w:rsidRPr="00390803">
        <w:rPr>
          <w:b/>
          <w:bCs/>
        </w:rPr>
        <w:t>Improv</w:t>
      </w:r>
      <w:r w:rsidR="00390803" w:rsidRPr="00390803">
        <w:rPr>
          <w:b/>
          <w:bCs/>
        </w:rPr>
        <w:t>ing</w:t>
      </w:r>
      <w:r w:rsidRPr="00390803">
        <w:rPr>
          <w:b/>
          <w:bCs/>
        </w:rPr>
        <w:t xml:space="preserve"> well-being in older adults living in a residential care setting </w:t>
      </w:r>
    </w:p>
    <w:p w14:paraId="2D58EB8E" w14:textId="0A90FA87" w:rsidR="001F15FD" w:rsidRPr="001F15FD" w:rsidRDefault="001F15FD" w:rsidP="001F15FD">
      <w:pPr>
        <w:rPr>
          <w:rFonts w:ascii="Arial" w:hAnsi="Arial" w:cs="Arial"/>
          <w:sz w:val="22"/>
          <w:szCs w:val="22"/>
        </w:rPr>
      </w:pPr>
      <w:r w:rsidRPr="001F15FD">
        <w:rPr>
          <w:rFonts w:ascii="Arial" w:hAnsi="Arial" w:cs="Arial"/>
          <w:sz w:val="22"/>
          <w:szCs w:val="22"/>
        </w:rPr>
        <w:t>Albert Bandura’s social learning theory can help improve the well-being of older adults in care homes by encouraging observation, social interaction, and the development of confidence.</w:t>
      </w:r>
      <w:r w:rsidRPr="001F15FD">
        <w:rPr>
          <w:rFonts w:ascii="Arial" w:hAnsi="Arial" w:cs="Arial"/>
          <w:sz w:val="22"/>
          <w:szCs w:val="22"/>
        </w:rPr>
        <w:br/>
      </w:r>
      <w:r w:rsidRPr="001F15FD">
        <w:rPr>
          <w:rFonts w:ascii="Arial" w:hAnsi="Arial" w:cs="Arial"/>
          <w:b/>
          <w:bCs/>
          <w:sz w:val="22"/>
          <w:szCs w:val="22"/>
        </w:rPr>
        <w:t>Encouraging Learning by Watching Others</w:t>
      </w:r>
      <w:r w:rsidRPr="001F15FD">
        <w:rPr>
          <w:rFonts w:ascii="Arial" w:hAnsi="Arial" w:cs="Arial"/>
          <w:sz w:val="22"/>
          <w:szCs w:val="22"/>
        </w:rPr>
        <w:br/>
        <w:t>Care staff can show how to perform everyday tasks, such as eating, getting dressed, or using mobility aids. When residents see these actions, they may try them too, which helps them</w:t>
      </w:r>
      <w:r w:rsidR="00332304">
        <w:rPr>
          <w:rFonts w:ascii="Arial" w:hAnsi="Arial" w:cs="Arial"/>
          <w:sz w:val="22"/>
          <w:szCs w:val="22"/>
        </w:rPr>
        <w:t>,</w:t>
      </w:r>
      <w:r w:rsidRPr="001F15FD">
        <w:rPr>
          <w:rFonts w:ascii="Arial" w:hAnsi="Arial" w:cs="Arial"/>
          <w:sz w:val="22"/>
          <w:szCs w:val="22"/>
        </w:rPr>
        <w:br/>
        <w:t>Stay independent</w:t>
      </w:r>
      <w:r w:rsidRPr="001F15FD">
        <w:rPr>
          <w:rFonts w:ascii="Arial" w:hAnsi="Arial" w:cs="Arial"/>
          <w:sz w:val="22"/>
          <w:szCs w:val="22"/>
        </w:rPr>
        <w:br/>
        <w:t>Feel less frustrated when memory is a challenge</w:t>
      </w:r>
      <w:r w:rsidRPr="001F15FD">
        <w:rPr>
          <w:rFonts w:ascii="Arial" w:hAnsi="Arial" w:cs="Arial"/>
          <w:sz w:val="22"/>
          <w:szCs w:val="22"/>
        </w:rPr>
        <w:br/>
        <w:t>This approach is especially helpful for people with conditions like Alzheimer’s disease, where just giving verbal instructions might not work well.</w:t>
      </w:r>
      <w:r w:rsidRPr="001F15FD">
        <w:rPr>
          <w:rFonts w:ascii="Arial" w:hAnsi="Arial" w:cs="Arial"/>
          <w:sz w:val="22"/>
          <w:szCs w:val="22"/>
        </w:rPr>
        <w:br/>
      </w:r>
      <w:r w:rsidRPr="001F15FD">
        <w:rPr>
          <w:rFonts w:ascii="Arial" w:hAnsi="Arial" w:cs="Arial"/>
          <w:b/>
          <w:bCs/>
          <w:sz w:val="22"/>
          <w:szCs w:val="22"/>
        </w:rPr>
        <w:t>Supporting Residents with Positive Feedback</w:t>
      </w:r>
      <w:r w:rsidRPr="001F15FD">
        <w:rPr>
          <w:rFonts w:ascii="Arial" w:hAnsi="Arial" w:cs="Arial"/>
          <w:b/>
          <w:bCs/>
          <w:sz w:val="22"/>
          <w:szCs w:val="22"/>
        </w:rPr>
        <w:br/>
      </w:r>
      <w:r w:rsidRPr="001F15FD">
        <w:rPr>
          <w:rFonts w:ascii="Arial" w:hAnsi="Arial" w:cs="Arial"/>
          <w:sz w:val="22"/>
          <w:szCs w:val="22"/>
        </w:rPr>
        <w:t>Bandura explained that rewards can shape behaviour. In care homes, this means:</w:t>
      </w:r>
      <w:r w:rsidRPr="001F15FD">
        <w:rPr>
          <w:rFonts w:ascii="Arial" w:hAnsi="Arial" w:cs="Arial"/>
          <w:sz w:val="22"/>
          <w:szCs w:val="22"/>
        </w:rPr>
        <w:br/>
        <w:t>Giving praise and encouragement can motivate residents</w:t>
      </w:r>
      <w:r w:rsidRPr="001F15FD">
        <w:rPr>
          <w:rFonts w:ascii="Arial" w:hAnsi="Arial" w:cs="Arial"/>
          <w:sz w:val="22"/>
          <w:szCs w:val="22"/>
        </w:rPr>
        <w:br/>
        <w:t>It’s important to notice and celebrate small successes, like finishing a task</w:t>
      </w:r>
      <w:r w:rsidRPr="001F15FD">
        <w:rPr>
          <w:rFonts w:ascii="Arial" w:hAnsi="Arial" w:cs="Arial"/>
          <w:sz w:val="22"/>
          <w:szCs w:val="22"/>
        </w:rPr>
        <w:br/>
        <w:t>Positive feedback can lift residents’ moods, help them feel less anxious, and create a supportive atmosphere that enhances emotional well-being.</w:t>
      </w:r>
      <w:r w:rsidRPr="001F15FD">
        <w:rPr>
          <w:rFonts w:ascii="Arial" w:hAnsi="Arial" w:cs="Arial"/>
          <w:sz w:val="22"/>
          <w:szCs w:val="22"/>
        </w:rPr>
        <w:br/>
      </w:r>
      <w:r w:rsidRPr="001F15FD">
        <w:rPr>
          <w:rFonts w:ascii="Arial" w:hAnsi="Arial" w:cs="Arial"/>
          <w:b/>
          <w:bCs/>
          <w:sz w:val="22"/>
          <w:szCs w:val="22"/>
        </w:rPr>
        <w:t>Helping Residents Build Confidence</w:t>
      </w:r>
      <w:r w:rsidRPr="001F15FD">
        <w:rPr>
          <w:rFonts w:ascii="Arial" w:hAnsi="Arial" w:cs="Arial"/>
          <w:b/>
          <w:bCs/>
          <w:sz w:val="22"/>
          <w:szCs w:val="22"/>
        </w:rPr>
        <w:br/>
      </w:r>
      <w:r w:rsidRPr="001F15FD">
        <w:rPr>
          <w:rFonts w:ascii="Arial" w:hAnsi="Arial" w:cs="Arial"/>
          <w:sz w:val="22"/>
          <w:szCs w:val="22"/>
        </w:rPr>
        <w:t>It’s important to help residents believe in what they can do:</w:t>
      </w:r>
      <w:r w:rsidRPr="001F15FD">
        <w:rPr>
          <w:rFonts w:ascii="Arial" w:hAnsi="Arial" w:cs="Arial"/>
          <w:sz w:val="22"/>
          <w:szCs w:val="22"/>
        </w:rPr>
        <w:br/>
        <w:t>Encourage residents to do things on their own when they can</w:t>
      </w:r>
      <w:r w:rsidRPr="001F15FD">
        <w:rPr>
          <w:rFonts w:ascii="Arial" w:hAnsi="Arial" w:cs="Arial"/>
          <w:sz w:val="22"/>
          <w:szCs w:val="22"/>
        </w:rPr>
        <w:br/>
        <w:t>Try not to take over tasks that they are still able to do themselves</w:t>
      </w:r>
      <w:r w:rsidRPr="001F15FD">
        <w:rPr>
          <w:rFonts w:ascii="Arial" w:hAnsi="Arial" w:cs="Arial"/>
          <w:sz w:val="22"/>
          <w:szCs w:val="22"/>
        </w:rPr>
        <w:br/>
        <w:t>Set small, reachable goals to help build their confidence over time</w:t>
      </w:r>
      <w:r w:rsidRPr="001F15FD">
        <w:rPr>
          <w:rFonts w:ascii="Arial" w:hAnsi="Arial" w:cs="Arial"/>
          <w:sz w:val="22"/>
          <w:szCs w:val="22"/>
        </w:rPr>
        <w:br/>
        <w:t>When residents feel more confident, they are more independent and have a stronger sense of purpose.</w:t>
      </w:r>
      <w:r w:rsidRPr="001F15FD">
        <w:rPr>
          <w:rFonts w:ascii="Arial" w:hAnsi="Arial" w:cs="Arial"/>
          <w:sz w:val="22"/>
          <w:szCs w:val="22"/>
        </w:rPr>
        <w:br/>
      </w:r>
      <w:r w:rsidRPr="001F15FD">
        <w:rPr>
          <w:rFonts w:ascii="Arial" w:hAnsi="Arial" w:cs="Arial"/>
          <w:b/>
          <w:bCs/>
          <w:sz w:val="22"/>
          <w:szCs w:val="22"/>
        </w:rPr>
        <w:t>Supporting Social Connections</w:t>
      </w:r>
      <w:r w:rsidRPr="001F15FD">
        <w:rPr>
          <w:rFonts w:ascii="Arial" w:hAnsi="Arial" w:cs="Arial"/>
          <w:sz w:val="22"/>
          <w:szCs w:val="22"/>
        </w:rPr>
        <w:br/>
        <w:t>Bandura’s theory also shows how important the environment is:</w:t>
      </w:r>
      <w:r w:rsidRPr="001F15FD">
        <w:rPr>
          <w:rFonts w:ascii="Arial" w:hAnsi="Arial" w:cs="Arial"/>
          <w:sz w:val="22"/>
          <w:szCs w:val="22"/>
        </w:rPr>
        <w:br/>
      </w:r>
      <w:r w:rsidRPr="001F15FD">
        <w:rPr>
          <w:rFonts w:ascii="Arial" w:hAnsi="Arial" w:cs="Arial"/>
          <w:sz w:val="22"/>
          <w:szCs w:val="22"/>
        </w:rPr>
        <w:lastRenderedPageBreak/>
        <w:t>Group activities like games, music, or shared meals give residents a chance to learn from each other</w:t>
      </w:r>
      <w:r w:rsidRPr="001F15FD">
        <w:rPr>
          <w:rFonts w:ascii="Arial" w:hAnsi="Arial" w:cs="Arial"/>
          <w:sz w:val="22"/>
          <w:szCs w:val="22"/>
        </w:rPr>
        <w:br/>
        <w:t>Watching others can encourage residents to join in</w:t>
      </w:r>
      <w:r w:rsidRPr="001F15FD">
        <w:rPr>
          <w:rFonts w:ascii="Arial" w:hAnsi="Arial" w:cs="Arial"/>
          <w:sz w:val="22"/>
          <w:szCs w:val="22"/>
        </w:rPr>
        <w:br/>
        <w:t>Being socially active helps reduce loneliness and supports better mental health</w:t>
      </w:r>
    </w:p>
    <w:p w14:paraId="2F983F9D" w14:textId="77777777" w:rsidR="007B749C" w:rsidRDefault="007B749C">
      <w:pPr>
        <w:rPr>
          <w:b/>
          <w:bCs/>
        </w:rPr>
      </w:pPr>
    </w:p>
    <w:p w14:paraId="5C00B4CE" w14:textId="6C623003" w:rsidR="00D73159" w:rsidRDefault="00D73159">
      <w:pPr>
        <w:rPr>
          <w:b/>
          <w:bCs/>
        </w:rPr>
      </w:pPr>
      <w:r>
        <w:rPr>
          <w:b/>
          <w:bCs/>
        </w:rPr>
        <w:t>Example scenario</w:t>
      </w:r>
      <w:r w:rsidR="006168C7">
        <w:rPr>
          <w:b/>
          <w:bCs/>
        </w:rPr>
        <w:t>:</w:t>
      </w:r>
    </w:p>
    <w:p w14:paraId="6E841187" w14:textId="76804808" w:rsidR="00364EC1" w:rsidRPr="00364EC1" w:rsidRDefault="00364EC1" w:rsidP="00364EC1">
      <w:pPr>
        <w:rPr>
          <w:rFonts w:ascii="Arial" w:hAnsi="Arial" w:cs="Arial"/>
          <w:sz w:val="22"/>
          <w:szCs w:val="22"/>
        </w:rPr>
      </w:pPr>
      <w:r w:rsidRPr="00364EC1">
        <w:rPr>
          <w:rFonts w:ascii="Arial" w:hAnsi="Arial" w:cs="Arial"/>
          <w:sz w:val="22"/>
          <w:szCs w:val="22"/>
        </w:rPr>
        <w:t>Scenario: Supporting Mealtime Independence</w:t>
      </w:r>
      <w:r w:rsidRPr="00364EC1">
        <w:rPr>
          <w:rFonts w:ascii="Arial" w:hAnsi="Arial" w:cs="Arial"/>
          <w:sz w:val="22"/>
          <w:szCs w:val="22"/>
        </w:rPr>
        <w:br/>
        <w:t xml:space="preserve">Mrs </w:t>
      </w:r>
      <w:r w:rsidR="00444A41" w:rsidRPr="00364EC1">
        <w:rPr>
          <w:rFonts w:ascii="Arial" w:hAnsi="Arial" w:cs="Arial"/>
          <w:sz w:val="22"/>
          <w:szCs w:val="22"/>
        </w:rPr>
        <w:t>Harris</w:t>
      </w:r>
      <w:r w:rsidR="00444A41">
        <w:rPr>
          <w:rFonts w:ascii="Arial" w:hAnsi="Arial" w:cs="Arial"/>
          <w:sz w:val="22"/>
          <w:szCs w:val="22"/>
        </w:rPr>
        <w:t xml:space="preserve"> (</w:t>
      </w:r>
      <w:r w:rsidR="002824E0">
        <w:rPr>
          <w:rFonts w:ascii="Arial" w:hAnsi="Arial" w:cs="Arial"/>
          <w:sz w:val="22"/>
          <w:szCs w:val="22"/>
        </w:rPr>
        <w:t>for</w:t>
      </w:r>
      <w:r w:rsidR="00780864">
        <w:rPr>
          <w:rFonts w:ascii="Arial" w:hAnsi="Arial" w:cs="Arial"/>
          <w:sz w:val="22"/>
          <w:szCs w:val="22"/>
        </w:rPr>
        <w:t xml:space="preserve"> confidentiality and safeguarding purposes)</w:t>
      </w:r>
      <w:r w:rsidRPr="00364EC1">
        <w:rPr>
          <w:rFonts w:ascii="Arial" w:hAnsi="Arial" w:cs="Arial"/>
          <w:sz w:val="22"/>
          <w:szCs w:val="22"/>
        </w:rPr>
        <w:t>, who is 82, lives in a care home and has early-stage Alzheimer's disease. Lately, she has started to hesitate at mealtimes and often waits for staff to feed her, even though she can eat on her own.</w:t>
      </w:r>
      <w:r w:rsidRPr="00364EC1">
        <w:rPr>
          <w:rFonts w:ascii="Arial" w:hAnsi="Arial" w:cs="Arial"/>
          <w:sz w:val="22"/>
          <w:szCs w:val="22"/>
        </w:rPr>
        <w:br/>
        <w:t>Application of Bandura’s Theory</w:t>
      </w:r>
      <w:r w:rsidRPr="00364EC1">
        <w:rPr>
          <w:rFonts w:ascii="Arial" w:hAnsi="Arial" w:cs="Arial"/>
          <w:sz w:val="22"/>
          <w:szCs w:val="22"/>
        </w:rPr>
        <w:br/>
        <w:t>1. Modelling (Observational Learning)</w:t>
      </w:r>
      <w:r w:rsidRPr="00364EC1">
        <w:rPr>
          <w:rFonts w:ascii="Arial" w:hAnsi="Arial" w:cs="Arial"/>
          <w:sz w:val="22"/>
          <w:szCs w:val="22"/>
        </w:rPr>
        <w:br/>
        <w:t>A care worker sits next to Mrs Harris and shows her how to use cutlery, taking their time and making each step clear. Another resident nearby is also eating on their own.</w:t>
      </w:r>
      <w:r w:rsidRPr="00364EC1">
        <w:rPr>
          <w:rFonts w:ascii="Arial" w:hAnsi="Arial" w:cs="Arial"/>
          <w:sz w:val="22"/>
          <w:szCs w:val="22"/>
        </w:rPr>
        <w:br/>
        <w:t>Mrs Harris watches both the staff member and her fellow resident, noticing that eating on her own is possible.</w:t>
      </w:r>
      <w:r w:rsidRPr="00364EC1">
        <w:rPr>
          <w:rFonts w:ascii="Arial" w:hAnsi="Arial" w:cs="Arial"/>
          <w:sz w:val="22"/>
          <w:szCs w:val="22"/>
        </w:rPr>
        <w:br/>
        <w:t>2. Imitation</w:t>
      </w:r>
      <w:r w:rsidRPr="00364EC1">
        <w:rPr>
          <w:rFonts w:ascii="Arial" w:hAnsi="Arial" w:cs="Arial"/>
          <w:sz w:val="22"/>
          <w:szCs w:val="22"/>
        </w:rPr>
        <w:br/>
        <w:t>After watching, Mrs Harris starts to copy what she has seen. She picks up her fork and tries to eat by herself.</w:t>
      </w:r>
      <w:r w:rsidRPr="00364EC1">
        <w:rPr>
          <w:rFonts w:ascii="Arial" w:hAnsi="Arial" w:cs="Arial"/>
          <w:sz w:val="22"/>
          <w:szCs w:val="22"/>
        </w:rPr>
        <w:br/>
        <w:t>3. Positive Reinforcement</w:t>
      </w:r>
      <w:r w:rsidRPr="00364EC1">
        <w:rPr>
          <w:rFonts w:ascii="Arial" w:hAnsi="Arial" w:cs="Arial"/>
          <w:sz w:val="22"/>
          <w:szCs w:val="22"/>
        </w:rPr>
        <w:br/>
        <w:t>The care worker offers gentle praise, for example:</w:t>
      </w:r>
      <w:r w:rsidRPr="00364EC1">
        <w:rPr>
          <w:rFonts w:ascii="Arial" w:hAnsi="Arial" w:cs="Arial"/>
          <w:sz w:val="22"/>
          <w:szCs w:val="22"/>
        </w:rPr>
        <w:br/>
        <w:t>“Great job, you’re doing that really well.”</w:t>
      </w:r>
      <w:r w:rsidRPr="00364EC1">
        <w:rPr>
          <w:rFonts w:ascii="Arial" w:hAnsi="Arial" w:cs="Arial"/>
          <w:sz w:val="22"/>
          <w:szCs w:val="22"/>
        </w:rPr>
        <w:br/>
        <w:t>This encouragement makes it more likely that she will try eating on her own again.</w:t>
      </w:r>
    </w:p>
    <w:p w14:paraId="54AB84F5" w14:textId="61C9FF82" w:rsidR="006168C7" w:rsidRDefault="00C72333">
      <w:pPr>
        <w:rPr>
          <w:b/>
          <w:bCs/>
        </w:rPr>
      </w:pPr>
      <w:r w:rsidRPr="00C72333">
        <w:rPr>
          <w:b/>
          <w:bCs/>
        </w:rPr>
        <w:t>Potential challenge for applying the theory</w:t>
      </w:r>
      <w:r w:rsidR="0015209A">
        <w:rPr>
          <w:b/>
          <w:bCs/>
        </w:rPr>
        <w:t>.</w:t>
      </w:r>
    </w:p>
    <w:p w14:paraId="57C8F2A6" w14:textId="1B47B919" w:rsidR="00810004" w:rsidRPr="00810004" w:rsidRDefault="0015209A" w:rsidP="00810004">
      <w:pPr>
        <w:rPr>
          <w:rFonts w:ascii="Arial" w:hAnsi="Arial" w:cs="Arial"/>
          <w:sz w:val="22"/>
          <w:szCs w:val="22"/>
        </w:rPr>
      </w:pPr>
      <w:r w:rsidRPr="0015209A">
        <w:rPr>
          <w:rFonts w:ascii="Arial" w:hAnsi="Arial" w:cs="Arial"/>
          <w:sz w:val="22"/>
          <w:szCs w:val="22"/>
        </w:rPr>
        <w:t>Using Albert Bandura’s social learning theory in a care home can be effective, but practical and clinical challenges may reduce its effectiveness.</w:t>
      </w:r>
      <w:r w:rsidRPr="0015209A">
        <w:rPr>
          <w:rFonts w:ascii="Arial" w:hAnsi="Arial" w:cs="Arial"/>
          <w:sz w:val="22"/>
          <w:szCs w:val="22"/>
        </w:rPr>
        <w:br/>
        <w:t>Cognitive Impairment</w:t>
      </w:r>
      <w:r w:rsidRPr="0015209A">
        <w:rPr>
          <w:rFonts w:ascii="Arial" w:hAnsi="Arial" w:cs="Arial"/>
          <w:sz w:val="22"/>
          <w:szCs w:val="22"/>
        </w:rPr>
        <w:br/>
        <w:t>Many residents have conditions like Alzheimer's disease that affect their memory, attention, and understanding.</w:t>
      </w:r>
      <w:r w:rsidRPr="0015209A">
        <w:rPr>
          <w:rFonts w:ascii="Arial" w:hAnsi="Arial" w:cs="Arial"/>
          <w:sz w:val="22"/>
          <w:szCs w:val="22"/>
        </w:rPr>
        <w:br/>
        <w:t>Residents may find it hard to process or remember what they see.</w:t>
      </w:r>
      <w:r w:rsidRPr="0015209A">
        <w:rPr>
          <w:rFonts w:ascii="Arial" w:hAnsi="Arial" w:cs="Arial"/>
          <w:sz w:val="22"/>
          <w:szCs w:val="22"/>
        </w:rPr>
        <w:br/>
        <w:t>If residents have trouble focusing, modelling becomes less effective.</w:t>
      </w:r>
      <w:r w:rsidRPr="0015209A">
        <w:rPr>
          <w:rFonts w:ascii="Arial" w:hAnsi="Arial" w:cs="Arial"/>
          <w:sz w:val="22"/>
          <w:szCs w:val="22"/>
        </w:rPr>
        <w:br/>
        <w:t>Learning by copying others might not always last or be consistent.</w:t>
      </w:r>
      <w:r w:rsidRPr="0015209A">
        <w:rPr>
          <w:rFonts w:ascii="Arial" w:hAnsi="Arial" w:cs="Arial"/>
          <w:sz w:val="22"/>
          <w:szCs w:val="22"/>
        </w:rPr>
        <w:br/>
        <w:t>As a result, observational learning is less reliable, especially in the later stages of dementia.</w:t>
      </w:r>
      <w:r w:rsidR="006852F2" w:rsidRPr="006852F2">
        <w:rPr>
          <w:rFonts w:ascii="Times New Roman" w:eastAsia="Times New Roman" w:hAnsi="Times New Roman" w:cs="Times New Roman"/>
          <w:kern w:val="0"/>
          <w:lang w:eastAsia="en-GB"/>
          <w14:ligatures w14:val="none"/>
        </w:rPr>
        <w:t xml:space="preserve"> </w:t>
      </w:r>
      <w:r w:rsidR="00810004" w:rsidRPr="00810004">
        <w:rPr>
          <w:rFonts w:ascii="Arial" w:hAnsi="Arial" w:cs="Arial"/>
          <w:sz w:val="22"/>
          <w:szCs w:val="22"/>
        </w:rPr>
        <w:t>(team, 2025)</w:t>
      </w:r>
      <w:r w:rsidR="00810004">
        <w:rPr>
          <w:rFonts w:ascii="Arial" w:hAnsi="Arial" w:cs="Arial"/>
          <w:sz w:val="22"/>
          <w:szCs w:val="22"/>
        </w:rPr>
        <w:t>.</w:t>
      </w:r>
    </w:p>
    <w:p w14:paraId="11D528C8" w14:textId="5311BCDF" w:rsidR="006852F2" w:rsidRPr="006852F2" w:rsidRDefault="006852F2" w:rsidP="006852F2">
      <w:pPr>
        <w:rPr>
          <w:rFonts w:ascii="Arial" w:hAnsi="Arial" w:cs="Arial"/>
          <w:sz w:val="22"/>
          <w:szCs w:val="22"/>
        </w:rPr>
      </w:pPr>
    </w:p>
    <w:p w14:paraId="5B1ABDDD" w14:textId="398A2E37" w:rsidR="0015209A" w:rsidRPr="0015209A" w:rsidRDefault="0015209A" w:rsidP="0015209A">
      <w:pPr>
        <w:rPr>
          <w:rFonts w:ascii="Arial" w:hAnsi="Arial" w:cs="Arial"/>
          <w:sz w:val="22"/>
          <w:szCs w:val="22"/>
        </w:rPr>
      </w:pPr>
    </w:p>
    <w:p w14:paraId="2F7EBBBD" w14:textId="77777777" w:rsidR="005C32F8" w:rsidRPr="005C32F8" w:rsidRDefault="005C32F8" w:rsidP="005C32F8">
      <w:pPr>
        <w:pStyle w:val="ListParagraph"/>
        <w:rPr>
          <w:rFonts w:ascii="Arial" w:hAnsi="Arial" w:cs="Arial"/>
          <w:b/>
          <w:bCs/>
        </w:rPr>
      </w:pPr>
      <w:r w:rsidRPr="005C32F8">
        <w:rPr>
          <w:rFonts w:ascii="Arial" w:hAnsi="Arial" w:cs="Arial"/>
          <w:b/>
          <w:bCs/>
        </w:rPr>
        <w:t>solution for overcoming this challenge</w:t>
      </w:r>
    </w:p>
    <w:p w14:paraId="68924105" w14:textId="612C9BA9" w:rsidR="00F949E5" w:rsidRPr="00F949E5" w:rsidRDefault="00F949E5" w:rsidP="00F949E5">
      <w:pPr>
        <w:rPr>
          <w:rFonts w:ascii="Arial" w:hAnsi="Arial" w:cs="Arial"/>
          <w:sz w:val="22"/>
          <w:szCs w:val="22"/>
        </w:rPr>
      </w:pPr>
      <w:r w:rsidRPr="00F949E5">
        <w:rPr>
          <w:rFonts w:ascii="Arial" w:hAnsi="Arial" w:cs="Arial"/>
          <w:sz w:val="22"/>
          <w:szCs w:val="22"/>
        </w:rPr>
        <w:t>Applying Albert Bandura’s social learning theory in care homes can be challenging, especially with older adults who have complex needs like Alzheimer’s disease. Adapting the approach is important to meet these needs.</w:t>
      </w:r>
      <w:r w:rsidRPr="00F949E5">
        <w:rPr>
          <w:rFonts w:ascii="Arial" w:hAnsi="Arial" w:cs="Arial"/>
          <w:sz w:val="22"/>
          <w:szCs w:val="22"/>
        </w:rPr>
        <w:br/>
        <w:t>Adapting to Cognitive Impairment</w:t>
      </w:r>
      <w:r w:rsidRPr="00F949E5">
        <w:rPr>
          <w:rFonts w:ascii="Arial" w:hAnsi="Arial" w:cs="Arial"/>
          <w:sz w:val="22"/>
          <w:szCs w:val="22"/>
        </w:rPr>
        <w:br/>
        <w:t>To help with memory and attention difficulties:</w:t>
      </w:r>
      <w:r w:rsidRPr="00F949E5">
        <w:rPr>
          <w:rFonts w:ascii="Arial" w:hAnsi="Arial" w:cs="Arial"/>
          <w:sz w:val="22"/>
          <w:szCs w:val="22"/>
        </w:rPr>
        <w:br/>
      </w:r>
      <w:r w:rsidRPr="00F949E5">
        <w:rPr>
          <w:rFonts w:ascii="Arial" w:hAnsi="Arial" w:cs="Arial"/>
          <w:sz w:val="22"/>
          <w:szCs w:val="22"/>
        </w:rPr>
        <w:lastRenderedPageBreak/>
        <w:t>Give short, simple demonstrations instead of long instructions.</w:t>
      </w:r>
      <w:r w:rsidRPr="00F949E5">
        <w:rPr>
          <w:rFonts w:ascii="Arial" w:hAnsi="Arial" w:cs="Arial"/>
          <w:sz w:val="22"/>
          <w:szCs w:val="22"/>
        </w:rPr>
        <w:br/>
        <w:t>Break tasks down into small, manageable steps.</w:t>
      </w:r>
      <w:r w:rsidRPr="00F949E5">
        <w:rPr>
          <w:rFonts w:ascii="Arial" w:hAnsi="Arial" w:cs="Arial"/>
          <w:sz w:val="22"/>
          <w:szCs w:val="22"/>
        </w:rPr>
        <w:br/>
        <w:t>Repeat modelling at the same time every day to build a routine.</w:t>
      </w:r>
      <w:r w:rsidRPr="00F949E5">
        <w:rPr>
          <w:rFonts w:ascii="Arial" w:hAnsi="Arial" w:cs="Arial"/>
          <w:sz w:val="22"/>
          <w:szCs w:val="22"/>
        </w:rPr>
        <w:br/>
        <w:t>This helps residents process and imitate the behaviour more easily.</w:t>
      </w:r>
      <w:r w:rsidR="00810004" w:rsidRPr="00810004">
        <w:rPr>
          <w:rFonts w:ascii="Arial" w:hAnsi="Arial" w:cs="Arial"/>
          <w:sz w:val="22"/>
          <w:szCs w:val="22"/>
        </w:rPr>
        <w:t xml:space="preserve"> </w:t>
      </w:r>
      <w:r w:rsidR="00810004" w:rsidRPr="006852F2">
        <w:rPr>
          <w:rFonts w:ascii="Arial" w:hAnsi="Arial" w:cs="Arial"/>
          <w:sz w:val="22"/>
          <w:szCs w:val="22"/>
        </w:rPr>
        <w:t>(Mukhalalati et al., 2022)</w:t>
      </w:r>
    </w:p>
    <w:p w14:paraId="6C9EB1F7" w14:textId="159442DC" w:rsidR="0015209A" w:rsidRDefault="00103C82">
      <w:pPr>
        <w:rPr>
          <w:rFonts w:ascii="Arial" w:hAnsi="Arial" w:cs="Arial"/>
          <w:b/>
          <w:bCs/>
          <w:sz w:val="22"/>
          <w:szCs w:val="22"/>
        </w:rPr>
      </w:pPr>
      <w:r>
        <w:rPr>
          <w:rFonts w:ascii="Arial" w:hAnsi="Arial" w:cs="Arial"/>
          <w:b/>
          <w:bCs/>
          <w:sz w:val="22"/>
          <w:szCs w:val="22"/>
        </w:rPr>
        <w:t>Conclusion</w:t>
      </w:r>
    </w:p>
    <w:p w14:paraId="5D219C55" w14:textId="77777777" w:rsidR="00103C82" w:rsidRPr="00103C82" w:rsidRDefault="00103C82" w:rsidP="00103C82">
      <w:pPr>
        <w:rPr>
          <w:rFonts w:ascii="Arial" w:hAnsi="Arial" w:cs="Arial"/>
          <w:sz w:val="22"/>
          <w:szCs w:val="22"/>
        </w:rPr>
      </w:pPr>
      <w:r w:rsidRPr="00103C82">
        <w:rPr>
          <w:rFonts w:ascii="Arial" w:hAnsi="Arial" w:cs="Arial"/>
          <w:sz w:val="22"/>
          <w:szCs w:val="22"/>
        </w:rPr>
        <w:t>In conclusion, the theories of Jean Piaget and Albert Bandura both offer useful insights for health and social care, especially when supporting older adults in care homes.</w:t>
      </w:r>
      <w:r w:rsidRPr="00103C82">
        <w:rPr>
          <w:rFonts w:ascii="Arial" w:hAnsi="Arial" w:cs="Arial"/>
          <w:sz w:val="22"/>
          <w:szCs w:val="22"/>
        </w:rPr>
        <w:br/>
        <w:t>Piaget’s theory helps carers understand changes in thinking skills and adjust how they communicate, plan routines, and choose activities to fit each person. However, it is less relevant for older adults because it was created for child development and does not fully cover ageing or conditions like Alzheimer's disease.</w:t>
      </w:r>
      <w:r w:rsidRPr="00103C82">
        <w:rPr>
          <w:rFonts w:ascii="Arial" w:hAnsi="Arial" w:cs="Arial"/>
          <w:sz w:val="22"/>
          <w:szCs w:val="22"/>
        </w:rPr>
        <w:br/>
        <w:t>Bandura’s theory is more directly useful in care settings because it focuses on observation, social interaction, and positive feedback. It encourages approaches that build independence, confidence, and emotional well-being, though it may be less effective as cognitive decline progresses.</w:t>
      </w:r>
      <w:r w:rsidRPr="00103C82">
        <w:rPr>
          <w:rFonts w:ascii="Arial" w:hAnsi="Arial" w:cs="Arial"/>
          <w:sz w:val="22"/>
          <w:szCs w:val="22"/>
        </w:rPr>
        <w:br/>
        <w:t>Overall, both theories support a person-centred approach, but neither is sufficient on its own. The best care integrates these psychological ideas with knowledge of biological and emotional needs, so older adults receive well-rounded support that improves their quality of life.</w:t>
      </w:r>
    </w:p>
    <w:p w14:paraId="4696BD01" w14:textId="77777777" w:rsidR="00103C82" w:rsidRDefault="00103C82">
      <w:pPr>
        <w:rPr>
          <w:rFonts w:ascii="Arial" w:hAnsi="Arial" w:cs="Arial"/>
          <w:b/>
          <w:bCs/>
          <w:sz w:val="22"/>
          <w:szCs w:val="22"/>
        </w:rPr>
      </w:pPr>
    </w:p>
    <w:p w14:paraId="0A801C0B" w14:textId="569C2E8E" w:rsidR="00845A63" w:rsidRDefault="00845A63">
      <w:pPr>
        <w:rPr>
          <w:rFonts w:ascii="Arial" w:hAnsi="Arial" w:cs="Arial"/>
          <w:b/>
          <w:bCs/>
          <w:sz w:val="22"/>
          <w:szCs w:val="22"/>
        </w:rPr>
      </w:pPr>
      <w:r>
        <w:rPr>
          <w:rFonts w:ascii="Arial" w:hAnsi="Arial" w:cs="Arial"/>
          <w:b/>
          <w:bCs/>
          <w:sz w:val="22"/>
          <w:szCs w:val="22"/>
        </w:rPr>
        <w:br w:type="page"/>
      </w:r>
    </w:p>
    <w:p w14:paraId="40B2DA59" w14:textId="15D102F2" w:rsidR="00870F5F" w:rsidRDefault="00845A63">
      <w:pPr>
        <w:rPr>
          <w:rFonts w:ascii="Arial" w:hAnsi="Arial" w:cs="Arial"/>
          <w:b/>
          <w:bCs/>
          <w:sz w:val="22"/>
          <w:szCs w:val="22"/>
        </w:rPr>
      </w:pPr>
      <w:r>
        <w:rPr>
          <w:rFonts w:ascii="Arial" w:hAnsi="Arial" w:cs="Arial"/>
          <w:b/>
          <w:bCs/>
          <w:sz w:val="22"/>
          <w:szCs w:val="22"/>
        </w:rPr>
        <w:lastRenderedPageBreak/>
        <w:t>References.</w:t>
      </w:r>
    </w:p>
    <w:p w14:paraId="628611A4" w14:textId="01419CFE" w:rsidR="00E96DC8" w:rsidRDefault="00E96DC8" w:rsidP="00E96DC8">
      <w:pPr>
        <w:rPr>
          <w:rFonts w:ascii="Arial" w:hAnsi="Arial" w:cs="Arial"/>
          <w:sz w:val="22"/>
          <w:szCs w:val="22"/>
        </w:rPr>
      </w:pPr>
      <w:r w:rsidRPr="00E96DC8">
        <w:rPr>
          <w:rFonts w:ascii="Arial" w:hAnsi="Arial" w:cs="Arial"/>
          <w:sz w:val="22"/>
          <w:szCs w:val="22"/>
        </w:rPr>
        <w:t xml:space="preserve">Ahsan, M.J. (2024). Cultivating a Culture of learning: the Role of Leadership in Fostering Lifelong Development. </w:t>
      </w:r>
      <w:r w:rsidRPr="00E96DC8">
        <w:rPr>
          <w:rFonts w:ascii="Arial" w:hAnsi="Arial" w:cs="Arial"/>
          <w:i/>
          <w:iCs/>
          <w:sz w:val="22"/>
          <w:szCs w:val="22"/>
        </w:rPr>
        <w:t>The Learning Organization</w:t>
      </w:r>
      <w:r w:rsidRPr="00E96DC8">
        <w:rPr>
          <w:rFonts w:ascii="Arial" w:hAnsi="Arial" w:cs="Arial"/>
          <w:sz w:val="22"/>
          <w:szCs w:val="22"/>
        </w:rPr>
        <w:t xml:space="preserve">, 32(2), pp.282–306. </w:t>
      </w:r>
      <w:proofErr w:type="spellStart"/>
      <w:r w:rsidR="00EF23D3" w:rsidRPr="00E96DC8">
        <w:rPr>
          <w:rFonts w:ascii="Arial" w:hAnsi="Arial" w:cs="Arial"/>
          <w:sz w:val="22"/>
          <w:szCs w:val="22"/>
        </w:rPr>
        <w:t>doi</w:t>
      </w:r>
      <w:proofErr w:type="spellEnd"/>
      <w:r w:rsidR="00EF23D3" w:rsidRPr="00E96DC8">
        <w:rPr>
          <w:rFonts w:ascii="Arial" w:hAnsi="Arial" w:cs="Arial"/>
          <w:sz w:val="22"/>
          <w:szCs w:val="22"/>
        </w:rPr>
        <w:t xml:space="preserve">: </w:t>
      </w:r>
      <w:hyperlink r:id="rId10" w:history="1">
        <w:r w:rsidR="00EF23D3" w:rsidRPr="0093660F">
          <w:rPr>
            <w:rStyle w:val="Hyperlink"/>
            <w:rFonts w:ascii="Arial" w:hAnsi="Arial" w:cs="Arial"/>
            <w:sz w:val="22"/>
            <w:szCs w:val="22"/>
          </w:rPr>
          <w:t>https://doi.org/10.1108/tlo-03-2024-0099</w:t>
        </w:r>
      </w:hyperlink>
      <w:r w:rsidRPr="00E96DC8">
        <w:rPr>
          <w:rFonts w:ascii="Arial" w:hAnsi="Arial" w:cs="Arial"/>
          <w:sz w:val="22"/>
          <w:szCs w:val="22"/>
        </w:rPr>
        <w:t>.</w:t>
      </w:r>
    </w:p>
    <w:p w14:paraId="339A7DE9" w14:textId="5AE154D3" w:rsidR="0023247A" w:rsidRDefault="0023247A" w:rsidP="0023247A">
      <w:pPr>
        <w:rPr>
          <w:rFonts w:ascii="Arial" w:hAnsi="Arial" w:cs="Arial"/>
          <w:sz w:val="22"/>
          <w:szCs w:val="22"/>
        </w:rPr>
      </w:pPr>
      <w:r w:rsidRPr="0023247A">
        <w:rPr>
          <w:rFonts w:ascii="Arial" w:hAnsi="Arial" w:cs="Arial"/>
          <w:sz w:val="22"/>
          <w:szCs w:val="22"/>
        </w:rPr>
        <w:t xml:space="preserve">Cherry, K. (2024). </w:t>
      </w:r>
      <w:proofErr w:type="gramStart"/>
      <w:r w:rsidRPr="0023247A">
        <w:rPr>
          <w:rFonts w:ascii="Arial" w:hAnsi="Arial" w:cs="Arial"/>
          <w:i/>
          <w:iCs/>
          <w:sz w:val="22"/>
          <w:szCs w:val="22"/>
        </w:rPr>
        <w:t>How</w:t>
      </w:r>
      <w:proofErr w:type="gramEnd"/>
      <w:r w:rsidRPr="0023247A">
        <w:rPr>
          <w:rFonts w:ascii="Arial" w:hAnsi="Arial" w:cs="Arial"/>
          <w:i/>
          <w:iCs/>
          <w:sz w:val="22"/>
          <w:szCs w:val="22"/>
        </w:rPr>
        <w:t xml:space="preserve"> Social Learning Theory Works</w:t>
      </w:r>
      <w:r w:rsidRPr="0023247A">
        <w:rPr>
          <w:rFonts w:ascii="Arial" w:hAnsi="Arial" w:cs="Arial"/>
          <w:sz w:val="22"/>
          <w:szCs w:val="22"/>
        </w:rPr>
        <w:t xml:space="preserve">. [online] </w:t>
      </w:r>
      <w:proofErr w:type="spellStart"/>
      <w:r w:rsidRPr="0023247A">
        <w:rPr>
          <w:rFonts w:ascii="Arial" w:hAnsi="Arial" w:cs="Arial"/>
          <w:sz w:val="22"/>
          <w:szCs w:val="22"/>
        </w:rPr>
        <w:t>Verywell</w:t>
      </w:r>
      <w:proofErr w:type="spellEnd"/>
      <w:r w:rsidRPr="0023247A">
        <w:rPr>
          <w:rFonts w:ascii="Arial" w:hAnsi="Arial" w:cs="Arial"/>
          <w:sz w:val="22"/>
          <w:szCs w:val="22"/>
        </w:rPr>
        <w:t xml:space="preserve"> Mind. Available at: </w:t>
      </w:r>
      <w:hyperlink r:id="rId11" w:history="1">
        <w:r w:rsidRPr="0023247A">
          <w:rPr>
            <w:rStyle w:val="Hyperlink"/>
            <w:rFonts w:ascii="Arial" w:hAnsi="Arial" w:cs="Arial"/>
            <w:sz w:val="22"/>
            <w:szCs w:val="22"/>
          </w:rPr>
          <w:t>https://www.verywellmind.com/social-learning-theory-2795074</w:t>
        </w:r>
      </w:hyperlink>
      <w:r w:rsidRPr="0023247A">
        <w:rPr>
          <w:rFonts w:ascii="Arial" w:hAnsi="Arial" w:cs="Arial"/>
          <w:sz w:val="22"/>
          <w:szCs w:val="22"/>
        </w:rPr>
        <w:t>.</w:t>
      </w:r>
    </w:p>
    <w:p w14:paraId="0BC86291" w14:textId="7B366F05" w:rsidR="005926BD" w:rsidRDefault="005926BD" w:rsidP="005926BD">
      <w:pPr>
        <w:rPr>
          <w:rFonts w:ascii="Arial" w:hAnsi="Arial" w:cs="Arial"/>
          <w:sz w:val="22"/>
          <w:szCs w:val="22"/>
        </w:rPr>
      </w:pPr>
      <w:r w:rsidRPr="005926BD">
        <w:rPr>
          <w:rFonts w:ascii="Arial" w:hAnsi="Arial" w:cs="Arial"/>
          <w:sz w:val="22"/>
          <w:szCs w:val="22"/>
        </w:rPr>
        <w:t xml:space="preserve">Learning, C. (2024c). </w:t>
      </w:r>
      <w:r w:rsidRPr="005926BD">
        <w:rPr>
          <w:rFonts w:ascii="Arial" w:hAnsi="Arial" w:cs="Arial"/>
          <w:i/>
          <w:iCs/>
          <w:sz w:val="22"/>
          <w:szCs w:val="22"/>
        </w:rPr>
        <w:t xml:space="preserve">What Is Piaget’s Theory </w:t>
      </w:r>
      <w:proofErr w:type="gramStart"/>
      <w:r w:rsidRPr="005926BD">
        <w:rPr>
          <w:rFonts w:ascii="Arial" w:hAnsi="Arial" w:cs="Arial"/>
          <w:i/>
          <w:iCs/>
          <w:sz w:val="22"/>
          <w:szCs w:val="22"/>
        </w:rPr>
        <w:t>Of</w:t>
      </w:r>
      <w:proofErr w:type="gramEnd"/>
      <w:r w:rsidRPr="005926BD">
        <w:rPr>
          <w:rFonts w:ascii="Arial" w:hAnsi="Arial" w:cs="Arial"/>
          <w:i/>
          <w:iCs/>
          <w:sz w:val="22"/>
          <w:szCs w:val="22"/>
        </w:rPr>
        <w:t xml:space="preserve"> Cognitive Development? - Care Learning</w:t>
      </w:r>
      <w:r w:rsidRPr="005926BD">
        <w:rPr>
          <w:rFonts w:ascii="Arial" w:hAnsi="Arial" w:cs="Arial"/>
          <w:sz w:val="22"/>
          <w:szCs w:val="22"/>
        </w:rPr>
        <w:t xml:space="preserve">. [online] Care Learning. Available at: </w:t>
      </w:r>
      <w:hyperlink r:id="rId12" w:history="1">
        <w:r w:rsidRPr="005926BD">
          <w:rPr>
            <w:rStyle w:val="Hyperlink"/>
            <w:rFonts w:ascii="Arial" w:hAnsi="Arial" w:cs="Arial"/>
            <w:sz w:val="22"/>
            <w:szCs w:val="22"/>
          </w:rPr>
          <w:t>https://carelearning.org.uk/early-years/models-theory/what-is-piagets-theory-of-cognitive-development/</w:t>
        </w:r>
      </w:hyperlink>
      <w:r w:rsidRPr="005926BD">
        <w:rPr>
          <w:rFonts w:ascii="Arial" w:hAnsi="Arial" w:cs="Arial"/>
          <w:sz w:val="22"/>
          <w:szCs w:val="22"/>
        </w:rPr>
        <w:t>.</w:t>
      </w:r>
    </w:p>
    <w:p w14:paraId="00F90BF8" w14:textId="364D3D00" w:rsidR="00BA71CA" w:rsidRDefault="00BA71CA" w:rsidP="00BA71CA">
      <w:pPr>
        <w:rPr>
          <w:rFonts w:ascii="Arial" w:hAnsi="Arial" w:cs="Arial"/>
          <w:sz w:val="22"/>
          <w:szCs w:val="22"/>
        </w:rPr>
      </w:pPr>
      <w:r w:rsidRPr="00BA71CA">
        <w:rPr>
          <w:rFonts w:ascii="Arial" w:hAnsi="Arial" w:cs="Arial"/>
          <w:sz w:val="22"/>
          <w:szCs w:val="22"/>
        </w:rPr>
        <w:t xml:space="preserve">Mukhalalati, B., </w:t>
      </w:r>
      <w:proofErr w:type="spellStart"/>
      <w:r w:rsidRPr="00BA71CA">
        <w:rPr>
          <w:rFonts w:ascii="Arial" w:hAnsi="Arial" w:cs="Arial"/>
          <w:sz w:val="22"/>
          <w:szCs w:val="22"/>
        </w:rPr>
        <w:t>Elshami</w:t>
      </w:r>
      <w:proofErr w:type="spellEnd"/>
      <w:r w:rsidRPr="00BA71CA">
        <w:rPr>
          <w:rFonts w:ascii="Arial" w:hAnsi="Arial" w:cs="Arial"/>
          <w:sz w:val="22"/>
          <w:szCs w:val="22"/>
        </w:rPr>
        <w:t xml:space="preserve">, S., </w:t>
      </w:r>
      <w:proofErr w:type="spellStart"/>
      <w:r w:rsidRPr="00BA71CA">
        <w:rPr>
          <w:rFonts w:ascii="Arial" w:hAnsi="Arial" w:cs="Arial"/>
          <w:sz w:val="22"/>
          <w:szCs w:val="22"/>
        </w:rPr>
        <w:t>Eljaam</w:t>
      </w:r>
      <w:proofErr w:type="spellEnd"/>
      <w:r w:rsidRPr="00BA71CA">
        <w:rPr>
          <w:rFonts w:ascii="Arial" w:hAnsi="Arial" w:cs="Arial"/>
          <w:sz w:val="22"/>
          <w:szCs w:val="22"/>
        </w:rPr>
        <w:t xml:space="preserve">, M., Hussain, F.N. and </w:t>
      </w:r>
      <w:proofErr w:type="spellStart"/>
      <w:r w:rsidRPr="00BA71CA">
        <w:rPr>
          <w:rFonts w:ascii="Arial" w:hAnsi="Arial" w:cs="Arial"/>
          <w:sz w:val="22"/>
          <w:szCs w:val="22"/>
        </w:rPr>
        <w:t>Bishawi</w:t>
      </w:r>
      <w:proofErr w:type="spellEnd"/>
      <w:r w:rsidRPr="00BA71CA">
        <w:rPr>
          <w:rFonts w:ascii="Arial" w:hAnsi="Arial" w:cs="Arial"/>
          <w:sz w:val="22"/>
          <w:szCs w:val="22"/>
        </w:rPr>
        <w:t xml:space="preserve">, A.H. (2022). Applications of Social Theories of Learning in Health Professions Education programs: a Scoping Review. </w:t>
      </w:r>
      <w:r w:rsidRPr="00BA71CA">
        <w:rPr>
          <w:rFonts w:ascii="Arial" w:hAnsi="Arial" w:cs="Arial"/>
          <w:i/>
          <w:iCs/>
          <w:sz w:val="22"/>
          <w:szCs w:val="22"/>
        </w:rPr>
        <w:t>Frontiers in Medicine</w:t>
      </w:r>
      <w:r w:rsidRPr="00BA71CA">
        <w:rPr>
          <w:rFonts w:ascii="Arial" w:hAnsi="Arial" w:cs="Arial"/>
          <w:sz w:val="22"/>
          <w:szCs w:val="22"/>
        </w:rPr>
        <w:t xml:space="preserve">, [online] 9(1), pp.1–15. </w:t>
      </w:r>
      <w:proofErr w:type="spellStart"/>
      <w:r w:rsidRPr="00BA71CA">
        <w:rPr>
          <w:rFonts w:ascii="Arial" w:hAnsi="Arial" w:cs="Arial"/>
          <w:sz w:val="22"/>
          <w:szCs w:val="22"/>
        </w:rPr>
        <w:t>doi</w:t>
      </w:r>
      <w:proofErr w:type="spellEnd"/>
      <w:r w:rsidRPr="00BA71CA">
        <w:rPr>
          <w:rFonts w:ascii="Arial" w:hAnsi="Arial" w:cs="Arial"/>
          <w:sz w:val="22"/>
          <w:szCs w:val="22"/>
        </w:rPr>
        <w:t xml:space="preserve">: </w:t>
      </w:r>
      <w:hyperlink r:id="rId13" w:history="1">
        <w:r w:rsidRPr="0093660F">
          <w:rPr>
            <w:rStyle w:val="Hyperlink"/>
            <w:rFonts w:ascii="Arial" w:hAnsi="Arial" w:cs="Arial"/>
            <w:sz w:val="22"/>
            <w:szCs w:val="22"/>
          </w:rPr>
          <w:t>https://doi.org/10.3389/fmed.2022.912751</w:t>
        </w:r>
      </w:hyperlink>
      <w:r w:rsidRPr="00BA71CA">
        <w:rPr>
          <w:rFonts w:ascii="Arial" w:hAnsi="Arial" w:cs="Arial"/>
          <w:sz w:val="22"/>
          <w:szCs w:val="22"/>
        </w:rPr>
        <w:t>.</w:t>
      </w:r>
    </w:p>
    <w:p w14:paraId="67F55B4F" w14:textId="77777777" w:rsidR="00E96DC8" w:rsidRDefault="00E96DC8" w:rsidP="00E96DC8">
      <w:proofErr w:type="spellStart"/>
      <w:r w:rsidRPr="00ED7ED0">
        <w:t>Oesterdiekhoff</w:t>
      </w:r>
      <w:proofErr w:type="spellEnd"/>
      <w:r w:rsidRPr="00ED7ED0">
        <w:t>, G.W. (2016) “Is a forgotten subject central to the future development of sciences? Jean Piaget on the interrelationship between ontogeny and history,” </w:t>
      </w:r>
      <w:r w:rsidRPr="00ED7ED0">
        <w:rPr>
          <w:i/>
          <w:iCs/>
        </w:rPr>
        <w:t>Personality and individual differences</w:t>
      </w:r>
      <w:r w:rsidRPr="00ED7ED0">
        <w:t xml:space="preserve">, 98, pp. 118–126. Available at: </w:t>
      </w:r>
      <w:hyperlink r:id="rId14" w:history="1">
        <w:r w:rsidRPr="005609D2">
          <w:rPr>
            <w:rStyle w:val="Hyperlink"/>
          </w:rPr>
          <w:t>https://doi.org/10.1016/j.paid.2016.03.098</w:t>
        </w:r>
      </w:hyperlink>
      <w:r w:rsidRPr="00ED7ED0">
        <w:t>.</w:t>
      </w:r>
    </w:p>
    <w:p w14:paraId="75CE2644" w14:textId="148498D1" w:rsidR="00A81CB5" w:rsidRDefault="00A81CB5" w:rsidP="00A81CB5">
      <w:pPr>
        <w:rPr>
          <w:rFonts w:ascii="Arial" w:hAnsi="Arial" w:cs="Arial"/>
          <w:sz w:val="22"/>
          <w:szCs w:val="22"/>
        </w:rPr>
      </w:pPr>
      <w:r w:rsidRPr="00A81CB5">
        <w:rPr>
          <w:rFonts w:ascii="Arial" w:hAnsi="Arial" w:cs="Arial"/>
          <w:sz w:val="22"/>
          <w:szCs w:val="22"/>
        </w:rPr>
        <w:t xml:space="preserve">Singh, B. and Deshmukh, S. (2021). Cognitive Contemporary Behaviour Management Outline. </w:t>
      </w:r>
      <w:r w:rsidRPr="00A81CB5">
        <w:rPr>
          <w:rFonts w:ascii="Arial" w:hAnsi="Arial" w:cs="Arial"/>
          <w:i/>
          <w:iCs/>
          <w:sz w:val="22"/>
          <w:szCs w:val="22"/>
        </w:rPr>
        <w:t>Journal of Evolution of Medical and Dental Sciences</w:t>
      </w:r>
      <w:r w:rsidRPr="00A81CB5">
        <w:rPr>
          <w:rFonts w:ascii="Arial" w:hAnsi="Arial" w:cs="Arial"/>
          <w:sz w:val="22"/>
          <w:szCs w:val="22"/>
        </w:rPr>
        <w:t xml:space="preserve">, 10(40), pp.3548–3553. </w:t>
      </w:r>
      <w:proofErr w:type="spellStart"/>
      <w:r w:rsidRPr="00A81CB5">
        <w:rPr>
          <w:rFonts w:ascii="Arial" w:hAnsi="Arial" w:cs="Arial"/>
          <w:sz w:val="22"/>
          <w:szCs w:val="22"/>
        </w:rPr>
        <w:t>doi</w:t>
      </w:r>
      <w:proofErr w:type="spellEnd"/>
      <w:r w:rsidRPr="00A81CB5">
        <w:rPr>
          <w:rFonts w:ascii="Arial" w:hAnsi="Arial" w:cs="Arial"/>
          <w:sz w:val="22"/>
          <w:szCs w:val="22"/>
        </w:rPr>
        <w:t xml:space="preserve">: </w:t>
      </w:r>
      <w:hyperlink r:id="rId15" w:history="1">
        <w:r w:rsidRPr="0093660F">
          <w:rPr>
            <w:rStyle w:val="Hyperlink"/>
            <w:rFonts w:ascii="Arial" w:hAnsi="Arial" w:cs="Arial"/>
            <w:sz w:val="22"/>
            <w:szCs w:val="22"/>
          </w:rPr>
          <w:t>https://doi.org/10.14260/jemds/2021/719</w:t>
        </w:r>
      </w:hyperlink>
      <w:r w:rsidRPr="00A81CB5">
        <w:rPr>
          <w:rFonts w:ascii="Arial" w:hAnsi="Arial" w:cs="Arial"/>
          <w:sz w:val="22"/>
          <w:szCs w:val="22"/>
        </w:rPr>
        <w:t>.</w:t>
      </w:r>
    </w:p>
    <w:p w14:paraId="3C62369A" w14:textId="74ACF4F4" w:rsidR="00B872C4" w:rsidRDefault="00B872C4" w:rsidP="00B872C4">
      <w:pPr>
        <w:rPr>
          <w:rFonts w:ascii="Arial" w:hAnsi="Arial" w:cs="Arial"/>
          <w:sz w:val="22"/>
          <w:szCs w:val="22"/>
        </w:rPr>
      </w:pPr>
      <w:r w:rsidRPr="00B872C4">
        <w:rPr>
          <w:rFonts w:ascii="Arial" w:hAnsi="Arial" w:cs="Arial"/>
          <w:sz w:val="22"/>
          <w:szCs w:val="22"/>
        </w:rPr>
        <w:t xml:space="preserve">Smith, M.A. (2021). Social learning and addiction. </w:t>
      </w:r>
      <w:r w:rsidRPr="00B872C4">
        <w:rPr>
          <w:rFonts w:ascii="Arial" w:hAnsi="Arial" w:cs="Arial"/>
          <w:i/>
          <w:iCs/>
          <w:sz w:val="22"/>
          <w:szCs w:val="22"/>
        </w:rPr>
        <w:t>Behavioural Brain Research</w:t>
      </w:r>
      <w:r w:rsidRPr="00B872C4">
        <w:rPr>
          <w:rFonts w:ascii="Arial" w:hAnsi="Arial" w:cs="Arial"/>
          <w:sz w:val="22"/>
          <w:szCs w:val="22"/>
        </w:rPr>
        <w:t xml:space="preserve">, [online] 398(1), pp.1–24. </w:t>
      </w:r>
      <w:proofErr w:type="spellStart"/>
      <w:r w:rsidR="0018618E" w:rsidRPr="00B872C4">
        <w:rPr>
          <w:rFonts w:ascii="Arial" w:hAnsi="Arial" w:cs="Arial"/>
          <w:sz w:val="22"/>
          <w:szCs w:val="22"/>
        </w:rPr>
        <w:t>doi</w:t>
      </w:r>
      <w:proofErr w:type="spellEnd"/>
      <w:r w:rsidR="0018618E" w:rsidRPr="00B872C4">
        <w:rPr>
          <w:rFonts w:ascii="Arial" w:hAnsi="Arial" w:cs="Arial"/>
          <w:sz w:val="22"/>
          <w:szCs w:val="22"/>
        </w:rPr>
        <w:t xml:space="preserve">: </w:t>
      </w:r>
      <w:hyperlink r:id="rId16" w:history="1">
        <w:r w:rsidR="0018618E" w:rsidRPr="0093660F">
          <w:rPr>
            <w:rStyle w:val="Hyperlink"/>
            <w:rFonts w:ascii="Arial" w:hAnsi="Arial" w:cs="Arial"/>
            <w:sz w:val="22"/>
            <w:szCs w:val="22"/>
          </w:rPr>
          <w:t>https://doi.org/10.1016/j.bbr.2020.112954</w:t>
        </w:r>
      </w:hyperlink>
      <w:r w:rsidRPr="00B872C4">
        <w:rPr>
          <w:rFonts w:ascii="Arial" w:hAnsi="Arial" w:cs="Arial"/>
          <w:sz w:val="22"/>
          <w:szCs w:val="22"/>
        </w:rPr>
        <w:t>.</w:t>
      </w:r>
    </w:p>
    <w:p w14:paraId="047C3610" w14:textId="275AC085" w:rsidR="0018618E" w:rsidRDefault="0018618E" w:rsidP="0018618E">
      <w:pPr>
        <w:rPr>
          <w:rFonts w:ascii="Arial" w:hAnsi="Arial" w:cs="Arial"/>
          <w:sz w:val="22"/>
          <w:szCs w:val="22"/>
        </w:rPr>
      </w:pPr>
      <w:r w:rsidRPr="0018618E">
        <w:rPr>
          <w:rFonts w:ascii="Arial" w:hAnsi="Arial" w:cs="Arial"/>
          <w:sz w:val="22"/>
          <w:szCs w:val="22"/>
        </w:rPr>
        <w:t xml:space="preserve">team, N. editorial (2025). </w:t>
      </w:r>
      <w:r w:rsidRPr="0018618E">
        <w:rPr>
          <w:rFonts w:ascii="Arial" w:hAnsi="Arial" w:cs="Arial"/>
          <w:i/>
          <w:iCs/>
          <w:sz w:val="22"/>
          <w:szCs w:val="22"/>
        </w:rPr>
        <w:t>Social Cognitive Theory Criticism: Examining Limitations and Challenges</w:t>
      </w:r>
      <w:r w:rsidRPr="0018618E">
        <w:rPr>
          <w:rFonts w:ascii="Arial" w:hAnsi="Arial" w:cs="Arial"/>
          <w:sz w:val="22"/>
          <w:szCs w:val="22"/>
        </w:rPr>
        <w:t xml:space="preserve">. [online] NeuroLaunch.com. Available at: </w:t>
      </w:r>
      <w:hyperlink r:id="rId17" w:history="1">
        <w:r w:rsidRPr="0018618E">
          <w:rPr>
            <w:rStyle w:val="Hyperlink"/>
            <w:rFonts w:ascii="Arial" w:hAnsi="Arial" w:cs="Arial"/>
            <w:sz w:val="22"/>
            <w:szCs w:val="22"/>
          </w:rPr>
          <w:t>https://neurolaunch.com/criticism-of-social-cognitive-theory/</w:t>
        </w:r>
      </w:hyperlink>
      <w:r w:rsidRPr="0018618E">
        <w:rPr>
          <w:rFonts w:ascii="Arial" w:hAnsi="Arial" w:cs="Arial"/>
          <w:sz w:val="22"/>
          <w:szCs w:val="22"/>
        </w:rPr>
        <w:t>.</w:t>
      </w:r>
    </w:p>
    <w:p w14:paraId="51E6F04E" w14:textId="77777777" w:rsidR="0018618E" w:rsidRPr="0018618E" w:rsidRDefault="0018618E" w:rsidP="0018618E">
      <w:pPr>
        <w:rPr>
          <w:rFonts w:ascii="Arial" w:hAnsi="Arial" w:cs="Arial"/>
          <w:sz w:val="22"/>
          <w:szCs w:val="22"/>
        </w:rPr>
      </w:pPr>
    </w:p>
    <w:p w14:paraId="69DBEFBC" w14:textId="77777777" w:rsidR="00A81CB5" w:rsidRDefault="00A81CB5" w:rsidP="00A81CB5">
      <w:pPr>
        <w:rPr>
          <w:rFonts w:ascii="Arial" w:hAnsi="Arial" w:cs="Arial"/>
          <w:sz w:val="22"/>
          <w:szCs w:val="22"/>
        </w:rPr>
      </w:pPr>
    </w:p>
    <w:p w14:paraId="45373D5B" w14:textId="77777777" w:rsidR="00A81CB5" w:rsidRPr="00A81CB5" w:rsidRDefault="00A81CB5" w:rsidP="00A81CB5">
      <w:pPr>
        <w:rPr>
          <w:rFonts w:ascii="Arial" w:hAnsi="Arial" w:cs="Arial"/>
          <w:sz w:val="22"/>
          <w:szCs w:val="22"/>
        </w:rPr>
      </w:pPr>
    </w:p>
    <w:p w14:paraId="312F17F4" w14:textId="77777777" w:rsidR="00845A63" w:rsidRPr="00870F5F" w:rsidRDefault="00845A63">
      <w:pPr>
        <w:rPr>
          <w:rFonts w:ascii="Arial" w:hAnsi="Arial" w:cs="Arial"/>
          <w:b/>
          <w:bCs/>
          <w:sz w:val="22"/>
          <w:szCs w:val="22"/>
        </w:rPr>
      </w:pPr>
    </w:p>
    <w:sectPr w:rsidR="00845A63" w:rsidRPr="00870F5F">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92B5DF" w14:textId="77777777" w:rsidR="00A43464" w:rsidRDefault="00A43464" w:rsidP="00BF48C4">
      <w:pPr>
        <w:spacing w:after="0" w:line="240" w:lineRule="auto"/>
      </w:pPr>
      <w:r>
        <w:separator/>
      </w:r>
    </w:p>
  </w:endnote>
  <w:endnote w:type="continuationSeparator" w:id="0">
    <w:p w14:paraId="7936A3CB" w14:textId="77777777" w:rsidR="00A43464" w:rsidRDefault="00A43464" w:rsidP="00BF48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52775B" w14:textId="4EA5E38A" w:rsidR="00BF48C4" w:rsidRDefault="00D56438">
    <w:pPr>
      <w:pStyle w:val="Footer"/>
    </w:pPr>
    <w:r>
      <w:t>Nairah Jadidah Namakula</w:t>
    </w:r>
  </w:p>
  <w:p w14:paraId="288F34BF" w14:textId="7C9F288B" w:rsidR="007E76DA" w:rsidRDefault="00D56438">
    <w:pPr>
      <w:pStyle w:val="Footer"/>
    </w:pPr>
    <w:r>
      <w:t>2438044.</w:t>
    </w:r>
    <w:r w:rsidR="002F186E">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B709C0" w14:textId="77777777" w:rsidR="00A43464" w:rsidRDefault="00A43464" w:rsidP="00BF48C4">
      <w:pPr>
        <w:spacing w:after="0" w:line="240" w:lineRule="auto"/>
      </w:pPr>
      <w:r>
        <w:separator/>
      </w:r>
    </w:p>
  </w:footnote>
  <w:footnote w:type="continuationSeparator" w:id="0">
    <w:p w14:paraId="7285BC95" w14:textId="77777777" w:rsidR="00A43464" w:rsidRDefault="00A43464" w:rsidP="00BF48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0518CA"/>
    <w:multiLevelType w:val="hybridMultilevel"/>
    <w:tmpl w:val="891EE3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B37471"/>
    <w:multiLevelType w:val="hybridMultilevel"/>
    <w:tmpl w:val="01BA93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093539"/>
    <w:multiLevelType w:val="hybridMultilevel"/>
    <w:tmpl w:val="1F626C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98B637D"/>
    <w:multiLevelType w:val="hybridMultilevel"/>
    <w:tmpl w:val="FD1481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50751FE"/>
    <w:multiLevelType w:val="hybridMultilevel"/>
    <w:tmpl w:val="88407B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49658178">
    <w:abstractNumId w:val="2"/>
  </w:num>
  <w:num w:numId="2" w16cid:durableId="661812225">
    <w:abstractNumId w:val="0"/>
  </w:num>
  <w:num w:numId="3" w16cid:durableId="1309674225">
    <w:abstractNumId w:val="4"/>
  </w:num>
  <w:num w:numId="4" w16cid:durableId="1117720351">
    <w:abstractNumId w:val="3"/>
  </w:num>
  <w:num w:numId="5" w16cid:durableId="2352410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05C2"/>
    <w:rsid w:val="00004687"/>
    <w:rsid w:val="00022426"/>
    <w:rsid w:val="00035CA6"/>
    <w:rsid w:val="00060CC7"/>
    <w:rsid w:val="00074A03"/>
    <w:rsid w:val="00093000"/>
    <w:rsid w:val="000B593A"/>
    <w:rsid w:val="000E5128"/>
    <w:rsid w:val="00103BCC"/>
    <w:rsid w:val="00103C82"/>
    <w:rsid w:val="0010796E"/>
    <w:rsid w:val="001237EA"/>
    <w:rsid w:val="0015209A"/>
    <w:rsid w:val="0018618E"/>
    <w:rsid w:val="00192B17"/>
    <w:rsid w:val="001A2D30"/>
    <w:rsid w:val="001C4A9D"/>
    <w:rsid w:val="001E6BC2"/>
    <w:rsid w:val="001F15FD"/>
    <w:rsid w:val="001F663A"/>
    <w:rsid w:val="0023247A"/>
    <w:rsid w:val="002548D6"/>
    <w:rsid w:val="0026477E"/>
    <w:rsid w:val="00270F98"/>
    <w:rsid w:val="00271391"/>
    <w:rsid w:val="00273F01"/>
    <w:rsid w:val="002824E0"/>
    <w:rsid w:val="00286D32"/>
    <w:rsid w:val="00293500"/>
    <w:rsid w:val="002B220D"/>
    <w:rsid w:val="002D10E4"/>
    <w:rsid w:val="002E32C4"/>
    <w:rsid w:val="002E7669"/>
    <w:rsid w:val="002F186E"/>
    <w:rsid w:val="002F3B4D"/>
    <w:rsid w:val="002F4FE1"/>
    <w:rsid w:val="00302884"/>
    <w:rsid w:val="00303C16"/>
    <w:rsid w:val="00322180"/>
    <w:rsid w:val="0033193C"/>
    <w:rsid w:val="00332304"/>
    <w:rsid w:val="00364872"/>
    <w:rsid w:val="00364EC1"/>
    <w:rsid w:val="00371F33"/>
    <w:rsid w:val="00373998"/>
    <w:rsid w:val="00390803"/>
    <w:rsid w:val="00390B9F"/>
    <w:rsid w:val="003B2C94"/>
    <w:rsid w:val="003B34E0"/>
    <w:rsid w:val="003E36F3"/>
    <w:rsid w:val="00444A41"/>
    <w:rsid w:val="004514D3"/>
    <w:rsid w:val="0045199C"/>
    <w:rsid w:val="004611EE"/>
    <w:rsid w:val="00485CEB"/>
    <w:rsid w:val="004B1426"/>
    <w:rsid w:val="004C2EED"/>
    <w:rsid w:val="004D5911"/>
    <w:rsid w:val="004F1F05"/>
    <w:rsid w:val="00552A96"/>
    <w:rsid w:val="005547F6"/>
    <w:rsid w:val="0055631A"/>
    <w:rsid w:val="00583613"/>
    <w:rsid w:val="00586E50"/>
    <w:rsid w:val="005926BD"/>
    <w:rsid w:val="005B3AA7"/>
    <w:rsid w:val="005C32F8"/>
    <w:rsid w:val="005C6DD8"/>
    <w:rsid w:val="00605332"/>
    <w:rsid w:val="006168C7"/>
    <w:rsid w:val="0062444F"/>
    <w:rsid w:val="00653C45"/>
    <w:rsid w:val="006852F2"/>
    <w:rsid w:val="00690082"/>
    <w:rsid w:val="0069675F"/>
    <w:rsid w:val="00697FEE"/>
    <w:rsid w:val="006A7493"/>
    <w:rsid w:val="006A763A"/>
    <w:rsid w:val="006B407B"/>
    <w:rsid w:val="006D5BAB"/>
    <w:rsid w:val="006E16DC"/>
    <w:rsid w:val="006E4B9D"/>
    <w:rsid w:val="006F0999"/>
    <w:rsid w:val="00702AE3"/>
    <w:rsid w:val="00714926"/>
    <w:rsid w:val="00731F8F"/>
    <w:rsid w:val="007337FB"/>
    <w:rsid w:val="007547BB"/>
    <w:rsid w:val="00755AF4"/>
    <w:rsid w:val="00780864"/>
    <w:rsid w:val="007828EC"/>
    <w:rsid w:val="007B749C"/>
    <w:rsid w:val="007C4ED8"/>
    <w:rsid w:val="007D69F4"/>
    <w:rsid w:val="007E76DA"/>
    <w:rsid w:val="007E77B8"/>
    <w:rsid w:val="007F48B2"/>
    <w:rsid w:val="00810004"/>
    <w:rsid w:val="00845A63"/>
    <w:rsid w:val="00846253"/>
    <w:rsid w:val="00855800"/>
    <w:rsid w:val="00861BBD"/>
    <w:rsid w:val="008625F2"/>
    <w:rsid w:val="00870CB3"/>
    <w:rsid w:val="00870F5F"/>
    <w:rsid w:val="00874F5D"/>
    <w:rsid w:val="008834A0"/>
    <w:rsid w:val="00883847"/>
    <w:rsid w:val="008B3BAA"/>
    <w:rsid w:val="008C47FC"/>
    <w:rsid w:val="008E708A"/>
    <w:rsid w:val="009000DA"/>
    <w:rsid w:val="00953E18"/>
    <w:rsid w:val="00955C6C"/>
    <w:rsid w:val="009711CD"/>
    <w:rsid w:val="00984E8A"/>
    <w:rsid w:val="009A4AD8"/>
    <w:rsid w:val="009C391D"/>
    <w:rsid w:val="009F5160"/>
    <w:rsid w:val="009F632E"/>
    <w:rsid w:val="009F74E5"/>
    <w:rsid w:val="009F7F24"/>
    <w:rsid w:val="00A02B9B"/>
    <w:rsid w:val="00A43464"/>
    <w:rsid w:val="00A53C4A"/>
    <w:rsid w:val="00A741D2"/>
    <w:rsid w:val="00A75FBA"/>
    <w:rsid w:val="00A81CB5"/>
    <w:rsid w:val="00AC321E"/>
    <w:rsid w:val="00B86D22"/>
    <w:rsid w:val="00B872C4"/>
    <w:rsid w:val="00BA71CA"/>
    <w:rsid w:val="00BC3410"/>
    <w:rsid w:val="00BD5CF0"/>
    <w:rsid w:val="00BF48C4"/>
    <w:rsid w:val="00C50CF6"/>
    <w:rsid w:val="00C605C2"/>
    <w:rsid w:val="00C72333"/>
    <w:rsid w:val="00CB724B"/>
    <w:rsid w:val="00CD1275"/>
    <w:rsid w:val="00CE261D"/>
    <w:rsid w:val="00CE274C"/>
    <w:rsid w:val="00CE3AA3"/>
    <w:rsid w:val="00CE5429"/>
    <w:rsid w:val="00D264CD"/>
    <w:rsid w:val="00D34349"/>
    <w:rsid w:val="00D52F2A"/>
    <w:rsid w:val="00D56438"/>
    <w:rsid w:val="00D718D1"/>
    <w:rsid w:val="00D73159"/>
    <w:rsid w:val="00D773D6"/>
    <w:rsid w:val="00D77E20"/>
    <w:rsid w:val="00D85DB7"/>
    <w:rsid w:val="00DC5BF0"/>
    <w:rsid w:val="00DF02AE"/>
    <w:rsid w:val="00E65A3C"/>
    <w:rsid w:val="00E7086A"/>
    <w:rsid w:val="00E74761"/>
    <w:rsid w:val="00E96DC8"/>
    <w:rsid w:val="00EA2EF6"/>
    <w:rsid w:val="00ED7ED0"/>
    <w:rsid w:val="00EE3A8D"/>
    <w:rsid w:val="00EF23D3"/>
    <w:rsid w:val="00F10289"/>
    <w:rsid w:val="00F65892"/>
    <w:rsid w:val="00F928DA"/>
    <w:rsid w:val="00F92AE4"/>
    <w:rsid w:val="00F949E5"/>
    <w:rsid w:val="00F96B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7D40AE"/>
  <w15:chartTrackingRefBased/>
  <w15:docId w15:val="{38443098-1208-4E11-880E-85D055EE09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05C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605C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605C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605C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605C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605C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605C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605C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605C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05C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605C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605C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605C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605C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605C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605C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605C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605C2"/>
    <w:rPr>
      <w:rFonts w:eastAsiaTheme="majorEastAsia" w:cstheme="majorBidi"/>
      <w:color w:val="272727" w:themeColor="text1" w:themeTint="D8"/>
    </w:rPr>
  </w:style>
  <w:style w:type="paragraph" w:styleId="Title">
    <w:name w:val="Title"/>
    <w:basedOn w:val="Normal"/>
    <w:next w:val="Normal"/>
    <w:link w:val="TitleChar"/>
    <w:uiPriority w:val="10"/>
    <w:qFormat/>
    <w:rsid w:val="00C605C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05C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05C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05C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05C2"/>
    <w:pPr>
      <w:spacing w:before="160"/>
      <w:jc w:val="center"/>
    </w:pPr>
    <w:rPr>
      <w:i/>
      <w:iCs/>
      <w:color w:val="404040" w:themeColor="text1" w:themeTint="BF"/>
    </w:rPr>
  </w:style>
  <w:style w:type="character" w:customStyle="1" w:styleId="QuoteChar">
    <w:name w:val="Quote Char"/>
    <w:basedOn w:val="DefaultParagraphFont"/>
    <w:link w:val="Quote"/>
    <w:uiPriority w:val="29"/>
    <w:rsid w:val="00C605C2"/>
    <w:rPr>
      <w:i/>
      <w:iCs/>
      <w:color w:val="404040" w:themeColor="text1" w:themeTint="BF"/>
    </w:rPr>
  </w:style>
  <w:style w:type="paragraph" w:styleId="ListParagraph">
    <w:name w:val="List Paragraph"/>
    <w:basedOn w:val="Normal"/>
    <w:uiPriority w:val="34"/>
    <w:qFormat/>
    <w:rsid w:val="00C605C2"/>
    <w:pPr>
      <w:ind w:left="720"/>
      <w:contextualSpacing/>
    </w:pPr>
  </w:style>
  <w:style w:type="character" w:styleId="IntenseEmphasis">
    <w:name w:val="Intense Emphasis"/>
    <w:basedOn w:val="DefaultParagraphFont"/>
    <w:uiPriority w:val="21"/>
    <w:qFormat/>
    <w:rsid w:val="00C605C2"/>
    <w:rPr>
      <w:i/>
      <w:iCs/>
      <w:color w:val="0F4761" w:themeColor="accent1" w:themeShade="BF"/>
    </w:rPr>
  </w:style>
  <w:style w:type="paragraph" w:styleId="IntenseQuote">
    <w:name w:val="Intense Quote"/>
    <w:basedOn w:val="Normal"/>
    <w:next w:val="Normal"/>
    <w:link w:val="IntenseQuoteChar"/>
    <w:uiPriority w:val="30"/>
    <w:qFormat/>
    <w:rsid w:val="00C605C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605C2"/>
    <w:rPr>
      <w:i/>
      <w:iCs/>
      <w:color w:val="0F4761" w:themeColor="accent1" w:themeShade="BF"/>
    </w:rPr>
  </w:style>
  <w:style w:type="character" w:styleId="IntenseReference">
    <w:name w:val="Intense Reference"/>
    <w:basedOn w:val="DefaultParagraphFont"/>
    <w:uiPriority w:val="32"/>
    <w:qFormat/>
    <w:rsid w:val="00C605C2"/>
    <w:rPr>
      <w:b/>
      <w:bCs/>
      <w:smallCaps/>
      <w:color w:val="0F4761" w:themeColor="accent1" w:themeShade="BF"/>
      <w:spacing w:val="5"/>
    </w:rPr>
  </w:style>
  <w:style w:type="paragraph" w:styleId="Header">
    <w:name w:val="header"/>
    <w:basedOn w:val="Normal"/>
    <w:link w:val="HeaderChar"/>
    <w:uiPriority w:val="99"/>
    <w:unhideWhenUsed/>
    <w:rsid w:val="00BF48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48C4"/>
  </w:style>
  <w:style w:type="paragraph" w:styleId="Footer">
    <w:name w:val="footer"/>
    <w:basedOn w:val="Normal"/>
    <w:link w:val="FooterChar"/>
    <w:uiPriority w:val="99"/>
    <w:unhideWhenUsed/>
    <w:rsid w:val="00BF48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48C4"/>
  </w:style>
  <w:style w:type="character" w:styleId="Hyperlink">
    <w:name w:val="Hyperlink"/>
    <w:basedOn w:val="DefaultParagraphFont"/>
    <w:uiPriority w:val="99"/>
    <w:unhideWhenUsed/>
    <w:rsid w:val="00ED7ED0"/>
    <w:rPr>
      <w:color w:val="467886" w:themeColor="hyperlink"/>
      <w:u w:val="single"/>
    </w:rPr>
  </w:style>
  <w:style w:type="character" w:styleId="UnresolvedMention">
    <w:name w:val="Unresolved Mention"/>
    <w:basedOn w:val="DefaultParagraphFont"/>
    <w:uiPriority w:val="99"/>
    <w:semiHidden/>
    <w:unhideWhenUsed/>
    <w:rsid w:val="00ED7ED0"/>
    <w:rPr>
      <w:color w:val="605E5C"/>
      <w:shd w:val="clear" w:color="auto" w:fill="E1DFDD"/>
    </w:rPr>
  </w:style>
  <w:style w:type="table" w:styleId="TableGrid">
    <w:name w:val="Table Grid"/>
    <w:basedOn w:val="TableNormal"/>
    <w:uiPriority w:val="39"/>
    <w:rsid w:val="006E16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paid.2016.03.098" TargetMode="External"/><Relationship Id="rId13" Type="http://schemas.openxmlformats.org/officeDocument/2006/relationships/hyperlink" Target="https://doi.org/10.3389/fmed.2022.912751"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carelearning.org.uk/early-years/models-theory/what-is-piagets-theory-of-cognitive-development/" TargetMode="External"/><Relationship Id="rId17" Type="http://schemas.openxmlformats.org/officeDocument/2006/relationships/hyperlink" Target="https://neurolaunch.com/criticism-of-social-cognitive-theory/" TargetMode="External"/><Relationship Id="rId2" Type="http://schemas.openxmlformats.org/officeDocument/2006/relationships/numbering" Target="numbering.xml"/><Relationship Id="rId16" Type="http://schemas.openxmlformats.org/officeDocument/2006/relationships/hyperlink" Target="https://doi.org/10.1016/j.bbr.2020.112954"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verywellmind.com/social-learning-theory-2795074" TargetMode="External"/><Relationship Id="rId5" Type="http://schemas.openxmlformats.org/officeDocument/2006/relationships/webSettings" Target="webSettings.xml"/><Relationship Id="rId15" Type="http://schemas.openxmlformats.org/officeDocument/2006/relationships/hyperlink" Target="https://doi.org/10.14260/jemds/2021/719" TargetMode="External"/><Relationship Id="rId10" Type="http://schemas.openxmlformats.org/officeDocument/2006/relationships/hyperlink" Target="https://doi.org/10.1108/tlo-03-2024-0099"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1108/TLO-03-2024-0099" TargetMode="External"/><Relationship Id="rId14" Type="http://schemas.openxmlformats.org/officeDocument/2006/relationships/hyperlink" Target="https://doi.org/10.1016/j.paid.2016.03.09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BFAD51-1428-4B32-98A0-14BABFE2D8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2343</Words>
  <Characters>13358</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Nairah Jade</dc:creator>
  <cp:keywords/>
  <dc:description/>
  <cp:lastModifiedBy>Nairah Jade</cp:lastModifiedBy>
  <cp:revision>2</cp:revision>
  <dcterms:created xsi:type="dcterms:W3CDTF">2026-04-19T00:39:00Z</dcterms:created>
  <dcterms:modified xsi:type="dcterms:W3CDTF">2026-04-19T00:39:00Z</dcterms:modified>
</cp:coreProperties>
</file>