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689434F" w14:textId="6C47952B" w:rsidR="00ED11DF" w:rsidRPr="009A69A9" w:rsidRDefault="00ED11DF" w:rsidP="00FE5221">
      <w:pPr>
        <w:jc w:val="center"/>
        <w:rPr>
          <w:rFonts w:ascii="Times New Roman" w:hAnsi="Times New Roman" w:cs="Times New Roman"/>
          <w:b/>
          <w:bCs/>
          <w:sz w:val="32"/>
          <w:szCs w:val="32"/>
        </w:rPr>
      </w:pPr>
      <w:r w:rsidRPr="009A69A9">
        <w:rPr>
          <w:rFonts w:ascii="Times New Roman" w:hAnsi="Times New Roman" w:cs="Times New Roman"/>
          <w:b/>
          <w:bCs/>
          <w:sz w:val="32"/>
          <w:szCs w:val="32"/>
        </w:rPr>
        <w:t>Ex</w:t>
      </w:r>
      <w:r w:rsidR="009A69A9" w:rsidRPr="009A69A9">
        <w:rPr>
          <w:rFonts w:ascii="Times New Roman" w:hAnsi="Times New Roman" w:cs="Times New Roman"/>
          <w:b/>
          <w:bCs/>
          <w:sz w:val="32"/>
          <w:szCs w:val="32"/>
        </w:rPr>
        <w:t>ploring</w:t>
      </w:r>
      <w:r w:rsidRPr="009A69A9">
        <w:rPr>
          <w:rFonts w:ascii="Times New Roman" w:hAnsi="Times New Roman" w:cs="Times New Roman"/>
          <w:b/>
          <w:bCs/>
          <w:sz w:val="32"/>
          <w:szCs w:val="32"/>
        </w:rPr>
        <w:t xml:space="preserve"> Horse</w:t>
      </w:r>
      <w:r w:rsidR="009A69A9" w:rsidRPr="009A69A9">
        <w:rPr>
          <w:rFonts w:ascii="Times New Roman" w:hAnsi="Times New Roman" w:cs="Times New Roman"/>
          <w:b/>
          <w:bCs/>
          <w:sz w:val="32"/>
          <w:szCs w:val="32"/>
        </w:rPr>
        <w:t>-Human</w:t>
      </w:r>
      <w:r w:rsidRPr="009A69A9">
        <w:rPr>
          <w:rFonts w:ascii="Times New Roman" w:hAnsi="Times New Roman" w:cs="Times New Roman"/>
          <w:b/>
          <w:bCs/>
          <w:sz w:val="32"/>
          <w:szCs w:val="32"/>
        </w:rPr>
        <w:t xml:space="preserve"> Entanglement in the Celtic World Through Coin Iconography </w:t>
      </w:r>
    </w:p>
    <w:p w14:paraId="73178019" w14:textId="025E4EE3" w:rsidR="00ED11DF" w:rsidRPr="009A69A9" w:rsidRDefault="00ED11DF" w:rsidP="00FE5221">
      <w:pPr>
        <w:jc w:val="center"/>
        <w:rPr>
          <w:rFonts w:ascii="Times New Roman" w:hAnsi="Times New Roman" w:cs="Times New Roman"/>
          <w:b/>
          <w:bCs/>
          <w:sz w:val="28"/>
          <w:szCs w:val="28"/>
        </w:rPr>
      </w:pPr>
      <w:r w:rsidRPr="009A69A9">
        <w:rPr>
          <w:rFonts w:ascii="Times New Roman" w:hAnsi="Times New Roman" w:cs="Times New Roman"/>
          <w:b/>
          <w:bCs/>
          <w:sz w:val="28"/>
          <w:szCs w:val="28"/>
        </w:rPr>
        <w:t xml:space="preserve">Topic </w:t>
      </w:r>
    </w:p>
    <w:p w14:paraId="74D36007" w14:textId="1FFC62EA" w:rsidR="00451FD5" w:rsidRDefault="00DE645D" w:rsidP="00ED11DF">
      <w:pPr>
        <w:rPr>
          <w:rFonts w:ascii="Times New Roman" w:hAnsi="Times New Roman" w:cs="Times New Roman"/>
          <w:sz w:val="24"/>
          <w:szCs w:val="24"/>
          <w:highlight w:val="magenta"/>
        </w:rPr>
      </w:pPr>
      <w:r>
        <w:rPr>
          <w:rFonts w:ascii="Times New Roman" w:hAnsi="Times New Roman" w:cs="Times New Roman"/>
          <w:sz w:val="24"/>
          <w:szCs w:val="24"/>
        </w:rPr>
        <w:t>H</w:t>
      </w:r>
      <w:r w:rsidR="00ED11DF" w:rsidRPr="009A69A9">
        <w:rPr>
          <w:rFonts w:ascii="Times New Roman" w:hAnsi="Times New Roman" w:cs="Times New Roman"/>
          <w:sz w:val="24"/>
          <w:szCs w:val="24"/>
        </w:rPr>
        <w:t>orse iconography is a</w:t>
      </w:r>
      <w:r w:rsidR="00EE35A7">
        <w:rPr>
          <w:rFonts w:ascii="Times New Roman" w:hAnsi="Times New Roman" w:cs="Times New Roman"/>
          <w:sz w:val="24"/>
          <w:szCs w:val="24"/>
        </w:rPr>
        <w:t xml:space="preserve">n eye-catching </w:t>
      </w:r>
      <w:r w:rsidR="00ED11DF" w:rsidRPr="009A69A9">
        <w:rPr>
          <w:rFonts w:ascii="Times New Roman" w:hAnsi="Times New Roman" w:cs="Times New Roman"/>
          <w:sz w:val="24"/>
          <w:szCs w:val="24"/>
        </w:rPr>
        <w:t>feature throughout the Celtic world</w:t>
      </w:r>
      <w:r w:rsidR="00574E9B">
        <w:rPr>
          <w:rFonts w:ascii="Times New Roman" w:hAnsi="Times New Roman" w:cs="Times New Roman"/>
          <w:sz w:val="24"/>
          <w:szCs w:val="24"/>
        </w:rPr>
        <w:t xml:space="preserve"> (Creighton 1995, p. 286)</w:t>
      </w:r>
      <w:r w:rsidR="00ED11DF" w:rsidRPr="009A69A9">
        <w:rPr>
          <w:rFonts w:ascii="Times New Roman" w:hAnsi="Times New Roman" w:cs="Times New Roman"/>
          <w:sz w:val="24"/>
          <w:szCs w:val="24"/>
        </w:rPr>
        <w:t>. A recurring motif on Celtic coin</w:t>
      </w:r>
      <w:r w:rsidR="00CE21CB">
        <w:rPr>
          <w:rFonts w:ascii="Times New Roman" w:hAnsi="Times New Roman" w:cs="Times New Roman"/>
          <w:sz w:val="24"/>
          <w:szCs w:val="24"/>
        </w:rPr>
        <w:t>age</w:t>
      </w:r>
      <w:r w:rsidR="00943694">
        <w:rPr>
          <w:rFonts w:ascii="Times New Roman" w:hAnsi="Times New Roman" w:cs="Times New Roman"/>
          <w:sz w:val="24"/>
          <w:szCs w:val="24"/>
        </w:rPr>
        <w:t xml:space="preserve"> </w:t>
      </w:r>
      <w:r w:rsidR="00CE21CB">
        <w:rPr>
          <w:rFonts w:ascii="Times New Roman" w:hAnsi="Times New Roman" w:cs="Times New Roman"/>
          <w:sz w:val="24"/>
          <w:szCs w:val="24"/>
        </w:rPr>
        <w:t>is</w:t>
      </w:r>
      <w:r w:rsidR="00ED11DF" w:rsidRPr="009A69A9">
        <w:rPr>
          <w:rFonts w:ascii="Times New Roman" w:hAnsi="Times New Roman" w:cs="Times New Roman"/>
          <w:sz w:val="24"/>
          <w:szCs w:val="24"/>
        </w:rPr>
        <w:t xml:space="preserve"> that of the horse, </w:t>
      </w:r>
      <w:r w:rsidR="002C0E1F" w:rsidRPr="009A69A9">
        <w:rPr>
          <w:rFonts w:ascii="Times New Roman" w:hAnsi="Times New Roman" w:cs="Times New Roman"/>
          <w:sz w:val="24"/>
          <w:szCs w:val="24"/>
        </w:rPr>
        <w:t>sometimes paired with a rider</w:t>
      </w:r>
      <w:r>
        <w:rPr>
          <w:rFonts w:ascii="Times New Roman" w:hAnsi="Times New Roman" w:cs="Times New Roman"/>
          <w:sz w:val="24"/>
          <w:szCs w:val="24"/>
        </w:rPr>
        <w:t xml:space="preserve"> (</w:t>
      </w:r>
      <w:proofErr w:type="spellStart"/>
      <w:r>
        <w:rPr>
          <w:rFonts w:ascii="Times New Roman" w:hAnsi="Times New Roman" w:cs="Times New Roman"/>
          <w:sz w:val="24"/>
          <w:szCs w:val="24"/>
        </w:rPr>
        <w:t>Kazakevych</w:t>
      </w:r>
      <w:proofErr w:type="spellEnd"/>
      <w:r>
        <w:rPr>
          <w:rFonts w:ascii="Times New Roman" w:hAnsi="Times New Roman" w:cs="Times New Roman"/>
          <w:sz w:val="24"/>
          <w:szCs w:val="24"/>
        </w:rPr>
        <w:t xml:space="preserve"> 2021, pp. 81-92)</w:t>
      </w:r>
      <w:r w:rsidR="002C0E1F" w:rsidRPr="009A69A9">
        <w:rPr>
          <w:rFonts w:ascii="Times New Roman" w:hAnsi="Times New Roman" w:cs="Times New Roman"/>
          <w:sz w:val="24"/>
          <w:szCs w:val="24"/>
        </w:rPr>
        <w:t xml:space="preserve">. </w:t>
      </w:r>
      <w:r w:rsidR="002C0E1F" w:rsidRPr="00781A78">
        <w:rPr>
          <w:rFonts w:ascii="Times New Roman" w:hAnsi="Times New Roman" w:cs="Times New Roman"/>
          <w:sz w:val="24"/>
          <w:szCs w:val="24"/>
        </w:rPr>
        <w:t xml:space="preserve">Scholarship </w:t>
      </w:r>
      <w:r w:rsidR="00451FD5" w:rsidRPr="00781A78">
        <w:rPr>
          <w:rFonts w:ascii="Times New Roman" w:hAnsi="Times New Roman" w:cs="Times New Roman"/>
          <w:sz w:val="24"/>
          <w:szCs w:val="24"/>
        </w:rPr>
        <w:t>reveals that</w:t>
      </w:r>
      <w:r w:rsidR="00781A78" w:rsidRPr="00781A78">
        <w:rPr>
          <w:rFonts w:ascii="Times New Roman" w:hAnsi="Times New Roman" w:cs="Times New Roman"/>
          <w:sz w:val="24"/>
          <w:szCs w:val="24"/>
        </w:rPr>
        <w:t xml:space="preserve"> throughout history,</w:t>
      </w:r>
      <w:r w:rsidR="00451FD5" w:rsidRPr="00781A78">
        <w:rPr>
          <w:rFonts w:ascii="Times New Roman" w:hAnsi="Times New Roman" w:cs="Times New Roman"/>
          <w:sz w:val="24"/>
          <w:szCs w:val="24"/>
        </w:rPr>
        <w:t xml:space="preserve"> coins have </w:t>
      </w:r>
      <w:r w:rsidR="00781A78" w:rsidRPr="00781A78">
        <w:rPr>
          <w:rFonts w:ascii="Times New Roman" w:hAnsi="Times New Roman" w:cs="Times New Roman"/>
          <w:sz w:val="24"/>
          <w:szCs w:val="24"/>
        </w:rPr>
        <w:t>played a more varied part in societ</w:t>
      </w:r>
      <w:r w:rsidR="00781A78">
        <w:rPr>
          <w:rFonts w:ascii="Times New Roman" w:hAnsi="Times New Roman" w:cs="Times New Roman"/>
          <w:sz w:val="24"/>
          <w:szCs w:val="24"/>
        </w:rPr>
        <w:t>ies</w:t>
      </w:r>
      <w:r w:rsidR="00781A78" w:rsidRPr="00781A78">
        <w:rPr>
          <w:rFonts w:ascii="Times New Roman" w:hAnsi="Times New Roman" w:cs="Times New Roman"/>
          <w:sz w:val="24"/>
          <w:szCs w:val="24"/>
        </w:rPr>
        <w:t xml:space="preserve"> than pure monetary value (Haselgrove and </w:t>
      </w:r>
      <w:proofErr w:type="spellStart"/>
      <w:r w:rsidR="00781A78" w:rsidRPr="00781A78">
        <w:rPr>
          <w:rFonts w:ascii="Times New Roman" w:hAnsi="Times New Roman" w:cs="Times New Roman"/>
          <w:sz w:val="24"/>
          <w:szCs w:val="24"/>
        </w:rPr>
        <w:t>Krmnicek</w:t>
      </w:r>
      <w:proofErr w:type="spellEnd"/>
      <w:r w:rsidR="00781A78" w:rsidRPr="00781A78">
        <w:rPr>
          <w:rFonts w:ascii="Times New Roman" w:hAnsi="Times New Roman" w:cs="Times New Roman"/>
          <w:sz w:val="24"/>
          <w:szCs w:val="24"/>
        </w:rPr>
        <w:t xml:space="preserve"> 2012, pp. 238-244). </w:t>
      </w:r>
    </w:p>
    <w:p w14:paraId="1F38D250" w14:textId="5E07BFCB" w:rsidR="00FE5221" w:rsidRPr="009A69A9" w:rsidRDefault="00FE5221" w:rsidP="00ED11DF">
      <w:pPr>
        <w:jc w:val="center"/>
        <w:rPr>
          <w:rFonts w:ascii="Times New Roman" w:hAnsi="Times New Roman" w:cs="Times New Roman"/>
          <w:b/>
          <w:bCs/>
          <w:sz w:val="28"/>
          <w:szCs w:val="28"/>
        </w:rPr>
      </w:pPr>
      <w:r w:rsidRPr="009A69A9">
        <w:rPr>
          <w:rFonts w:ascii="Times New Roman" w:hAnsi="Times New Roman" w:cs="Times New Roman"/>
          <w:b/>
          <w:bCs/>
          <w:sz w:val="28"/>
          <w:szCs w:val="28"/>
        </w:rPr>
        <w:t>Issues and Contentions</w:t>
      </w:r>
    </w:p>
    <w:p w14:paraId="0078ECC1" w14:textId="1782C851" w:rsidR="00133314" w:rsidRDefault="00C56062" w:rsidP="00FE5221">
      <w:pPr>
        <w:rPr>
          <w:rFonts w:ascii="Times New Roman" w:hAnsi="Times New Roman" w:cs="Times New Roman"/>
          <w:sz w:val="24"/>
          <w:szCs w:val="24"/>
        </w:rPr>
      </w:pPr>
      <w:r w:rsidRPr="00133314">
        <w:rPr>
          <w:rFonts w:ascii="Times New Roman" w:hAnsi="Times New Roman" w:cs="Times New Roman"/>
          <w:sz w:val="24"/>
          <w:szCs w:val="24"/>
        </w:rPr>
        <w:t xml:space="preserve">‘Celtic’ </w:t>
      </w:r>
      <w:r w:rsidR="00133314" w:rsidRPr="00133314">
        <w:rPr>
          <w:rFonts w:ascii="Times New Roman" w:hAnsi="Times New Roman" w:cs="Times New Roman"/>
          <w:sz w:val="24"/>
          <w:szCs w:val="24"/>
        </w:rPr>
        <w:t xml:space="preserve">is </w:t>
      </w:r>
      <w:r w:rsidRPr="00133314">
        <w:rPr>
          <w:rFonts w:ascii="Times New Roman" w:hAnsi="Times New Roman" w:cs="Times New Roman"/>
          <w:sz w:val="24"/>
          <w:szCs w:val="24"/>
        </w:rPr>
        <w:t>a controversial term in academia.</w:t>
      </w:r>
      <w:r w:rsidR="00C9698C" w:rsidRPr="00133314">
        <w:rPr>
          <w:rFonts w:ascii="Times New Roman" w:hAnsi="Times New Roman" w:cs="Times New Roman"/>
          <w:sz w:val="24"/>
          <w:szCs w:val="24"/>
        </w:rPr>
        <w:t xml:space="preserve"> </w:t>
      </w:r>
      <w:r w:rsidR="009B332F">
        <w:rPr>
          <w:rFonts w:ascii="Times New Roman" w:hAnsi="Times New Roman" w:cs="Times New Roman"/>
          <w:sz w:val="24"/>
          <w:szCs w:val="24"/>
        </w:rPr>
        <w:t>Firstly, the stereotypical image of the ‘Celt’ can be reductive, erasing swathes of the Celtic diaspora in favour of the kilt-wearing, woad-stained brawlers of the British Isles. More worryingly, Celtic</w:t>
      </w:r>
      <w:r w:rsidR="005E5AE2">
        <w:rPr>
          <w:rFonts w:ascii="Times New Roman" w:hAnsi="Times New Roman" w:cs="Times New Roman"/>
          <w:sz w:val="24"/>
          <w:szCs w:val="24"/>
        </w:rPr>
        <w:t xml:space="preserve"> identity has been co-opted by various exclusionary groups, and so the term becomes muddied (Wills 2019). </w:t>
      </w:r>
      <w:r w:rsidR="00535810">
        <w:rPr>
          <w:rFonts w:ascii="Times New Roman" w:hAnsi="Times New Roman" w:cs="Times New Roman"/>
          <w:sz w:val="24"/>
          <w:szCs w:val="24"/>
        </w:rPr>
        <w:t>In this essay, ‘Celtic’ is taken to connect groups of peoples who share linguistic and cultural roots (</w:t>
      </w:r>
      <w:proofErr w:type="spellStart"/>
      <w:r w:rsidR="00845FA1">
        <w:rPr>
          <w:rFonts w:ascii="Times New Roman" w:hAnsi="Times New Roman" w:cs="Times New Roman"/>
          <w:sz w:val="24"/>
          <w:szCs w:val="24"/>
        </w:rPr>
        <w:t>Warmind</w:t>
      </w:r>
      <w:proofErr w:type="spellEnd"/>
      <w:r w:rsidR="00845FA1">
        <w:rPr>
          <w:rFonts w:ascii="Times New Roman" w:hAnsi="Times New Roman" w:cs="Times New Roman"/>
          <w:sz w:val="24"/>
          <w:szCs w:val="24"/>
        </w:rPr>
        <w:t xml:space="preserve"> 2016, pp. 239-240)</w:t>
      </w:r>
      <w:r w:rsidR="00535810">
        <w:rPr>
          <w:rFonts w:ascii="Times New Roman" w:hAnsi="Times New Roman" w:cs="Times New Roman"/>
          <w:sz w:val="24"/>
          <w:szCs w:val="24"/>
        </w:rPr>
        <w:t xml:space="preserve">. </w:t>
      </w:r>
    </w:p>
    <w:p w14:paraId="45405786" w14:textId="62C6E5BE" w:rsidR="00C9698C" w:rsidRDefault="00C9698C" w:rsidP="00FE5221">
      <w:pPr>
        <w:rPr>
          <w:rFonts w:ascii="Times New Roman" w:hAnsi="Times New Roman" w:cs="Times New Roman"/>
          <w:sz w:val="24"/>
          <w:szCs w:val="24"/>
        </w:rPr>
      </w:pPr>
      <w:r w:rsidRPr="00B009F2">
        <w:rPr>
          <w:rFonts w:ascii="Times New Roman" w:hAnsi="Times New Roman" w:cs="Times New Roman"/>
          <w:sz w:val="24"/>
          <w:szCs w:val="24"/>
        </w:rPr>
        <w:t xml:space="preserve">Coins appeared </w:t>
      </w:r>
      <w:r w:rsidR="00D9053C" w:rsidRPr="00B009F2">
        <w:rPr>
          <w:rFonts w:ascii="Times New Roman" w:hAnsi="Times New Roman" w:cs="Times New Roman"/>
          <w:sz w:val="24"/>
          <w:szCs w:val="24"/>
        </w:rPr>
        <w:t xml:space="preserve">in the mid-late </w:t>
      </w:r>
      <w:r w:rsidRPr="00B009F2">
        <w:rPr>
          <w:rFonts w:ascii="Times New Roman" w:hAnsi="Times New Roman" w:cs="Times New Roman"/>
          <w:sz w:val="24"/>
          <w:szCs w:val="24"/>
        </w:rPr>
        <w:t>Celtic</w:t>
      </w:r>
      <w:r w:rsidR="00D9053C" w:rsidRPr="00B009F2">
        <w:rPr>
          <w:rFonts w:ascii="Times New Roman" w:hAnsi="Times New Roman" w:cs="Times New Roman"/>
          <w:sz w:val="24"/>
          <w:szCs w:val="24"/>
        </w:rPr>
        <w:t xml:space="preserve"> </w:t>
      </w:r>
      <w:proofErr w:type="gramStart"/>
      <w:r w:rsidR="00D9053C" w:rsidRPr="00B009F2">
        <w:rPr>
          <w:rFonts w:ascii="Times New Roman" w:hAnsi="Times New Roman" w:cs="Times New Roman"/>
          <w:sz w:val="24"/>
          <w:szCs w:val="24"/>
        </w:rPr>
        <w:t>period, and</w:t>
      </w:r>
      <w:proofErr w:type="gramEnd"/>
      <w:r w:rsidR="00D9053C" w:rsidRPr="00B009F2">
        <w:rPr>
          <w:rFonts w:ascii="Times New Roman" w:hAnsi="Times New Roman" w:cs="Times New Roman"/>
          <w:sz w:val="24"/>
          <w:szCs w:val="24"/>
        </w:rPr>
        <w:t xml:space="preserve"> were </w:t>
      </w:r>
      <w:r w:rsidR="00570FF4" w:rsidRPr="00B009F2">
        <w:rPr>
          <w:rFonts w:ascii="Times New Roman" w:hAnsi="Times New Roman" w:cs="Times New Roman"/>
          <w:sz w:val="24"/>
          <w:szCs w:val="24"/>
        </w:rPr>
        <w:t xml:space="preserve">originally </w:t>
      </w:r>
      <w:r w:rsidR="00D9053C" w:rsidRPr="00B009F2">
        <w:rPr>
          <w:rFonts w:ascii="Times New Roman" w:hAnsi="Times New Roman" w:cs="Times New Roman"/>
          <w:sz w:val="24"/>
          <w:szCs w:val="24"/>
        </w:rPr>
        <w:t>influenced by Greece</w:t>
      </w:r>
      <w:r w:rsidR="00B009F2" w:rsidRPr="00B009F2">
        <w:rPr>
          <w:rFonts w:ascii="Times New Roman" w:hAnsi="Times New Roman" w:cs="Times New Roman"/>
          <w:sz w:val="24"/>
          <w:szCs w:val="24"/>
        </w:rPr>
        <w:t xml:space="preserve"> (Haselgrove and </w:t>
      </w:r>
      <w:proofErr w:type="spellStart"/>
      <w:r w:rsidR="00B009F2" w:rsidRPr="00B009F2">
        <w:rPr>
          <w:rFonts w:ascii="Times New Roman" w:hAnsi="Times New Roman" w:cs="Times New Roman"/>
          <w:sz w:val="24"/>
          <w:szCs w:val="24"/>
        </w:rPr>
        <w:t>Krmnicek</w:t>
      </w:r>
      <w:proofErr w:type="spellEnd"/>
      <w:r w:rsidR="00B009F2" w:rsidRPr="00B009F2">
        <w:rPr>
          <w:rFonts w:ascii="Times New Roman" w:hAnsi="Times New Roman" w:cs="Times New Roman"/>
          <w:sz w:val="24"/>
          <w:szCs w:val="24"/>
        </w:rPr>
        <w:t xml:space="preserve"> 2012, pp. 240-244)</w:t>
      </w:r>
      <w:r w:rsidR="00570FF4" w:rsidRPr="00B009F2">
        <w:rPr>
          <w:rFonts w:ascii="Times New Roman" w:hAnsi="Times New Roman" w:cs="Times New Roman"/>
          <w:sz w:val="24"/>
          <w:szCs w:val="24"/>
        </w:rPr>
        <w:t>.</w:t>
      </w:r>
      <w:r w:rsidR="00D9053C" w:rsidRPr="00B009F2">
        <w:rPr>
          <w:rFonts w:ascii="Times New Roman" w:hAnsi="Times New Roman" w:cs="Times New Roman"/>
          <w:sz w:val="24"/>
          <w:szCs w:val="24"/>
        </w:rPr>
        <w:t xml:space="preserve"> Due to their high value and portability, they may have been useful as tools for communication. The imagery on the coins could have had political or religious significance, which is an idea worthy of further study</w:t>
      </w:r>
      <w:r w:rsidR="00B009F2">
        <w:rPr>
          <w:rFonts w:ascii="Times New Roman" w:hAnsi="Times New Roman" w:cs="Times New Roman"/>
          <w:sz w:val="24"/>
          <w:szCs w:val="24"/>
        </w:rPr>
        <w:t xml:space="preserve"> (Haselgrove and </w:t>
      </w:r>
      <w:proofErr w:type="spellStart"/>
      <w:r w:rsidR="00B009F2">
        <w:rPr>
          <w:rFonts w:ascii="Times New Roman" w:hAnsi="Times New Roman" w:cs="Times New Roman"/>
          <w:sz w:val="24"/>
          <w:szCs w:val="24"/>
        </w:rPr>
        <w:t>Krmnicek</w:t>
      </w:r>
      <w:proofErr w:type="spellEnd"/>
      <w:r w:rsidR="00B009F2">
        <w:rPr>
          <w:rFonts w:ascii="Times New Roman" w:hAnsi="Times New Roman" w:cs="Times New Roman"/>
          <w:sz w:val="24"/>
          <w:szCs w:val="24"/>
        </w:rPr>
        <w:t xml:space="preserve"> 2012, pp. 244-245)</w:t>
      </w:r>
      <w:r w:rsidR="00D9053C" w:rsidRPr="00B009F2">
        <w:rPr>
          <w:rFonts w:ascii="Times New Roman" w:hAnsi="Times New Roman" w:cs="Times New Roman"/>
          <w:sz w:val="24"/>
          <w:szCs w:val="24"/>
        </w:rPr>
        <w:t>.</w:t>
      </w:r>
      <w:r w:rsidR="00D9053C">
        <w:rPr>
          <w:rFonts w:ascii="Times New Roman" w:hAnsi="Times New Roman" w:cs="Times New Roman"/>
          <w:sz w:val="24"/>
          <w:szCs w:val="24"/>
        </w:rPr>
        <w:t xml:space="preserve"> </w:t>
      </w:r>
    </w:p>
    <w:p w14:paraId="3422BDF5" w14:textId="26CA14CE" w:rsidR="00ED11DF" w:rsidRPr="009A69A9" w:rsidRDefault="00ED11DF" w:rsidP="00ED11DF">
      <w:pPr>
        <w:jc w:val="center"/>
        <w:rPr>
          <w:rFonts w:ascii="Times New Roman" w:hAnsi="Times New Roman" w:cs="Times New Roman"/>
          <w:sz w:val="28"/>
          <w:szCs w:val="28"/>
        </w:rPr>
      </w:pPr>
      <w:r w:rsidRPr="009A69A9">
        <w:rPr>
          <w:rFonts w:ascii="Times New Roman" w:hAnsi="Times New Roman" w:cs="Times New Roman"/>
          <w:b/>
          <w:bCs/>
          <w:sz w:val="28"/>
          <w:szCs w:val="28"/>
        </w:rPr>
        <w:t>Thesis</w:t>
      </w:r>
      <w:r w:rsidRPr="009A69A9">
        <w:rPr>
          <w:rFonts w:ascii="Times New Roman" w:hAnsi="Times New Roman" w:cs="Times New Roman"/>
          <w:sz w:val="28"/>
          <w:szCs w:val="28"/>
        </w:rPr>
        <w:t xml:space="preserve"> </w:t>
      </w:r>
    </w:p>
    <w:p w14:paraId="2D378FB3" w14:textId="13062E4F" w:rsidR="00A25174" w:rsidRPr="009A69A9" w:rsidRDefault="004A678F" w:rsidP="00FE5221">
      <w:pPr>
        <w:rPr>
          <w:rFonts w:ascii="Times New Roman" w:hAnsi="Times New Roman" w:cs="Times New Roman"/>
          <w:sz w:val="24"/>
          <w:szCs w:val="24"/>
        </w:rPr>
      </w:pPr>
      <w:r w:rsidRPr="00EE35A7">
        <w:rPr>
          <w:rFonts w:ascii="Times New Roman" w:hAnsi="Times New Roman" w:cs="Times New Roman"/>
          <w:sz w:val="24"/>
          <w:szCs w:val="24"/>
        </w:rPr>
        <w:t xml:space="preserve">There </w:t>
      </w:r>
      <w:r w:rsidR="00ED11DF" w:rsidRPr="00EE35A7">
        <w:rPr>
          <w:rFonts w:ascii="Times New Roman" w:hAnsi="Times New Roman" w:cs="Times New Roman"/>
          <w:sz w:val="24"/>
          <w:szCs w:val="24"/>
        </w:rPr>
        <w:t>is little doubt that the horse was an important animal to Celtic peoples, both as a part of daily life and</w:t>
      </w:r>
      <w:r w:rsidR="00DE645D" w:rsidRPr="00EE35A7">
        <w:rPr>
          <w:rFonts w:ascii="Times New Roman" w:hAnsi="Times New Roman" w:cs="Times New Roman"/>
          <w:sz w:val="24"/>
          <w:szCs w:val="24"/>
        </w:rPr>
        <w:t xml:space="preserve"> higher purpose</w:t>
      </w:r>
      <w:r w:rsidR="00EE35A7">
        <w:rPr>
          <w:rFonts w:ascii="Times New Roman" w:hAnsi="Times New Roman" w:cs="Times New Roman"/>
          <w:sz w:val="24"/>
          <w:szCs w:val="24"/>
        </w:rPr>
        <w:t xml:space="preserve"> (Creighton 1995, pp. 285-291)</w:t>
      </w:r>
      <w:r w:rsidR="00A25174" w:rsidRPr="009A69A9">
        <w:rPr>
          <w:rFonts w:ascii="Times New Roman" w:hAnsi="Times New Roman" w:cs="Times New Roman"/>
          <w:sz w:val="24"/>
          <w:szCs w:val="24"/>
        </w:rPr>
        <w:t>.</w:t>
      </w:r>
      <w:r w:rsidR="00ED11DF" w:rsidRPr="009A69A9">
        <w:rPr>
          <w:rFonts w:ascii="Times New Roman" w:hAnsi="Times New Roman" w:cs="Times New Roman"/>
          <w:sz w:val="24"/>
          <w:szCs w:val="24"/>
        </w:rPr>
        <w:t xml:space="preserve"> </w:t>
      </w:r>
      <w:r>
        <w:rPr>
          <w:rFonts w:ascii="Times New Roman" w:hAnsi="Times New Roman" w:cs="Times New Roman"/>
          <w:sz w:val="24"/>
          <w:szCs w:val="24"/>
        </w:rPr>
        <w:t>Th</w:t>
      </w:r>
      <w:r w:rsidR="00D9053C">
        <w:rPr>
          <w:rFonts w:ascii="Times New Roman" w:hAnsi="Times New Roman" w:cs="Times New Roman"/>
          <w:sz w:val="24"/>
          <w:szCs w:val="24"/>
        </w:rPr>
        <w:t xml:space="preserve">is </w:t>
      </w:r>
      <w:r>
        <w:rPr>
          <w:rFonts w:ascii="Times New Roman" w:hAnsi="Times New Roman" w:cs="Times New Roman"/>
          <w:sz w:val="24"/>
          <w:szCs w:val="24"/>
        </w:rPr>
        <w:t>e</w:t>
      </w:r>
      <w:r w:rsidR="00D9053C">
        <w:rPr>
          <w:rFonts w:ascii="Times New Roman" w:hAnsi="Times New Roman" w:cs="Times New Roman"/>
          <w:sz w:val="24"/>
          <w:szCs w:val="24"/>
        </w:rPr>
        <w:t>ssay hopes to demonstrate that the</w:t>
      </w:r>
      <w:r>
        <w:rPr>
          <w:rFonts w:ascii="Times New Roman" w:hAnsi="Times New Roman" w:cs="Times New Roman"/>
          <w:sz w:val="24"/>
          <w:szCs w:val="24"/>
        </w:rPr>
        <w:t xml:space="preserve"> prevalence of horse imagery in Celtic coinage </w:t>
      </w:r>
      <w:r w:rsidR="00A25174" w:rsidRPr="009A69A9">
        <w:rPr>
          <w:rFonts w:ascii="Times New Roman" w:hAnsi="Times New Roman" w:cs="Times New Roman"/>
          <w:sz w:val="24"/>
          <w:szCs w:val="24"/>
        </w:rPr>
        <w:t xml:space="preserve">demonstrates </w:t>
      </w:r>
      <w:r>
        <w:rPr>
          <w:rFonts w:ascii="Times New Roman" w:hAnsi="Times New Roman" w:cs="Times New Roman"/>
          <w:sz w:val="24"/>
          <w:szCs w:val="24"/>
        </w:rPr>
        <w:t>a</w:t>
      </w:r>
      <w:r w:rsidR="00A25174" w:rsidRPr="009A69A9">
        <w:rPr>
          <w:rFonts w:ascii="Times New Roman" w:hAnsi="Times New Roman" w:cs="Times New Roman"/>
          <w:sz w:val="24"/>
          <w:szCs w:val="24"/>
        </w:rPr>
        <w:t xml:space="preserve"> </w:t>
      </w:r>
      <w:r w:rsidR="00DE645D">
        <w:rPr>
          <w:rFonts w:ascii="Times New Roman" w:hAnsi="Times New Roman" w:cs="Times New Roman"/>
          <w:sz w:val="24"/>
          <w:szCs w:val="24"/>
        </w:rPr>
        <w:t>complex</w:t>
      </w:r>
      <w:r w:rsidR="00A25174" w:rsidRPr="009A69A9">
        <w:rPr>
          <w:rFonts w:ascii="Times New Roman" w:hAnsi="Times New Roman" w:cs="Times New Roman"/>
          <w:sz w:val="24"/>
          <w:szCs w:val="24"/>
        </w:rPr>
        <w:t xml:space="preserve"> entanglement between horses and humans whereby the horse</w:t>
      </w:r>
      <w:r w:rsidR="00372ADC" w:rsidRPr="009A69A9">
        <w:rPr>
          <w:rFonts w:ascii="Times New Roman" w:hAnsi="Times New Roman" w:cs="Times New Roman"/>
          <w:sz w:val="24"/>
          <w:szCs w:val="24"/>
        </w:rPr>
        <w:t xml:space="preserve"> </w:t>
      </w:r>
      <w:r w:rsidR="00DE645D">
        <w:rPr>
          <w:rFonts w:ascii="Times New Roman" w:hAnsi="Times New Roman" w:cs="Times New Roman"/>
          <w:sz w:val="24"/>
          <w:szCs w:val="24"/>
        </w:rPr>
        <w:t>was</w:t>
      </w:r>
      <w:r w:rsidR="00372ADC" w:rsidRPr="009A69A9">
        <w:rPr>
          <w:rFonts w:ascii="Times New Roman" w:hAnsi="Times New Roman" w:cs="Times New Roman"/>
          <w:sz w:val="24"/>
          <w:szCs w:val="24"/>
        </w:rPr>
        <w:t xml:space="preserve"> deeply embedded in economic, domestic and religious spheres of Celtic peoples. </w:t>
      </w:r>
    </w:p>
    <w:p w14:paraId="175124EF" w14:textId="1E7A48E8" w:rsidR="00FE5221" w:rsidRPr="009A69A9" w:rsidRDefault="00FE5221" w:rsidP="00372ADC">
      <w:pPr>
        <w:jc w:val="center"/>
        <w:rPr>
          <w:rFonts w:ascii="Times New Roman" w:hAnsi="Times New Roman" w:cs="Times New Roman"/>
          <w:b/>
          <w:bCs/>
          <w:sz w:val="28"/>
          <w:szCs w:val="28"/>
        </w:rPr>
      </w:pPr>
      <w:r w:rsidRPr="009A69A9">
        <w:rPr>
          <w:rFonts w:ascii="Times New Roman" w:hAnsi="Times New Roman" w:cs="Times New Roman"/>
          <w:b/>
          <w:bCs/>
          <w:sz w:val="28"/>
          <w:szCs w:val="28"/>
        </w:rPr>
        <w:t>Case Studies</w:t>
      </w:r>
    </w:p>
    <w:p w14:paraId="41CFE739" w14:textId="0FDC9951" w:rsidR="00FE5221" w:rsidRPr="009A69A9" w:rsidRDefault="00D9053C" w:rsidP="00FE5221">
      <w:pPr>
        <w:rPr>
          <w:rFonts w:ascii="Times New Roman" w:hAnsi="Times New Roman" w:cs="Times New Roman"/>
          <w:sz w:val="24"/>
          <w:szCs w:val="24"/>
        </w:rPr>
      </w:pPr>
      <w:proofErr w:type="spellStart"/>
      <w:r>
        <w:rPr>
          <w:rFonts w:ascii="Times New Roman" w:hAnsi="Times New Roman" w:cs="Times New Roman"/>
          <w:sz w:val="24"/>
          <w:szCs w:val="24"/>
        </w:rPr>
        <w:t>Kazakevych</w:t>
      </w:r>
      <w:proofErr w:type="spellEnd"/>
      <w:r>
        <w:rPr>
          <w:rFonts w:ascii="Times New Roman" w:hAnsi="Times New Roman" w:cs="Times New Roman"/>
          <w:sz w:val="24"/>
          <w:szCs w:val="24"/>
        </w:rPr>
        <w:t xml:space="preserve"> explores the theory that coins depicting a female horse-rider </w:t>
      </w:r>
      <w:r w:rsidR="004C7471">
        <w:rPr>
          <w:rFonts w:ascii="Times New Roman" w:hAnsi="Times New Roman" w:cs="Times New Roman"/>
          <w:sz w:val="24"/>
          <w:szCs w:val="24"/>
        </w:rPr>
        <w:t xml:space="preserve">found in the trans-Carpathian region </w:t>
      </w:r>
      <w:r>
        <w:rPr>
          <w:rFonts w:ascii="Times New Roman" w:hAnsi="Times New Roman" w:cs="Times New Roman"/>
          <w:sz w:val="24"/>
          <w:szCs w:val="24"/>
        </w:rPr>
        <w:t>may have represented a goddess of war or fertility</w:t>
      </w:r>
      <w:r w:rsidR="004C7471">
        <w:rPr>
          <w:rFonts w:ascii="Times New Roman" w:hAnsi="Times New Roman" w:cs="Times New Roman"/>
          <w:sz w:val="24"/>
          <w:szCs w:val="24"/>
        </w:rPr>
        <w:t xml:space="preserve"> (</w:t>
      </w:r>
      <w:proofErr w:type="spellStart"/>
      <w:r w:rsidR="004C7471">
        <w:rPr>
          <w:rFonts w:ascii="Times New Roman" w:hAnsi="Times New Roman" w:cs="Times New Roman"/>
          <w:sz w:val="24"/>
          <w:szCs w:val="24"/>
        </w:rPr>
        <w:t>Kazakevych</w:t>
      </w:r>
      <w:proofErr w:type="spellEnd"/>
      <w:r w:rsidR="004C7471">
        <w:rPr>
          <w:rFonts w:ascii="Times New Roman" w:hAnsi="Times New Roman" w:cs="Times New Roman"/>
          <w:sz w:val="24"/>
          <w:szCs w:val="24"/>
        </w:rPr>
        <w:t xml:space="preserve"> 2021, pp. 81-92)</w:t>
      </w:r>
      <w:r>
        <w:rPr>
          <w:rFonts w:ascii="Times New Roman" w:hAnsi="Times New Roman" w:cs="Times New Roman"/>
          <w:sz w:val="24"/>
          <w:szCs w:val="24"/>
        </w:rPr>
        <w:t xml:space="preserve">. He utilises Classical </w:t>
      </w:r>
      <w:r w:rsidR="004C7471">
        <w:rPr>
          <w:rFonts w:ascii="Times New Roman" w:hAnsi="Times New Roman" w:cs="Times New Roman"/>
          <w:sz w:val="24"/>
          <w:szCs w:val="24"/>
        </w:rPr>
        <w:t>sources to examine the roles women played in war</w:t>
      </w:r>
      <w:r w:rsidR="00A40088">
        <w:rPr>
          <w:rFonts w:ascii="Times New Roman" w:hAnsi="Times New Roman" w:cs="Times New Roman"/>
          <w:sz w:val="24"/>
          <w:szCs w:val="24"/>
        </w:rPr>
        <w:t>, and how this relates to the concept of horse-goddesses</w:t>
      </w:r>
      <w:r w:rsidR="004C7471">
        <w:rPr>
          <w:rFonts w:ascii="Times New Roman" w:hAnsi="Times New Roman" w:cs="Times New Roman"/>
          <w:sz w:val="24"/>
          <w:szCs w:val="24"/>
        </w:rPr>
        <w:t xml:space="preserve"> (</w:t>
      </w:r>
      <w:proofErr w:type="spellStart"/>
      <w:r w:rsidR="004C7471">
        <w:rPr>
          <w:rFonts w:ascii="Times New Roman" w:hAnsi="Times New Roman" w:cs="Times New Roman"/>
          <w:sz w:val="24"/>
          <w:szCs w:val="24"/>
        </w:rPr>
        <w:t>Kazakevych</w:t>
      </w:r>
      <w:proofErr w:type="spellEnd"/>
      <w:r w:rsidR="004C7471">
        <w:rPr>
          <w:rFonts w:ascii="Times New Roman" w:hAnsi="Times New Roman" w:cs="Times New Roman"/>
          <w:sz w:val="24"/>
          <w:szCs w:val="24"/>
        </w:rPr>
        <w:t xml:space="preserve"> 2021, pp. </w:t>
      </w:r>
      <w:r w:rsidR="00A40088">
        <w:rPr>
          <w:rFonts w:ascii="Times New Roman" w:hAnsi="Times New Roman" w:cs="Times New Roman"/>
          <w:sz w:val="24"/>
          <w:szCs w:val="24"/>
        </w:rPr>
        <w:t xml:space="preserve">86-90). </w:t>
      </w:r>
      <w:r w:rsidR="003236BD">
        <w:rPr>
          <w:rFonts w:ascii="Times New Roman" w:hAnsi="Times New Roman" w:cs="Times New Roman"/>
          <w:sz w:val="24"/>
          <w:szCs w:val="24"/>
        </w:rPr>
        <w:t xml:space="preserve"> </w:t>
      </w:r>
    </w:p>
    <w:p w14:paraId="230356F2" w14:textId="6B387B6D" w:rsidR="00D80C15" w:rsidRPr="009A69A9" w:rsidRDefault="00E47C49" w:rsidP="00FE5221">
      <w:pPr>
        <w:rPr>
          <w:rFonts w:ascii="Times New Roman" w:hAnsi="Times New Roman" w:cs="Times New Roman"/>
          <w:sz w:val="24"/>
          <w:szCs w:val="24"/>
        </w:rPr>
      </w:pPr>
      <w:r>
        <w:rPr>
          <w:rFonts w:ascii="Times New Roman" w:hAnsi="Times New Roman" w:cs="Times New Roman"/>
          <w:sz w:val="24"/>
          <w:szCs w:val="24"/>
        </w:rPr>
        <w:t xml:space="preserve">Van Heesch examines the </w:t>
      </w:r>
      <w:r w:rsidR="00C64A5B">
        <w:rPr>
          <w:rFonts w:ascii="Times New Roman" w:hAnsi="Times New Roman" w:cs="Times New Roman"/>
          <w:sz w:val="24"/>
          <w:szCs w:val="24"/>
        </w:rPr>
        <w:t>archaeological</w:t>
      </w:r>
      <w:r>
        <w:rPr>
          <w:rFonts w:ascii="Times New Roman" w:hAnsi="Times New Roman" w:cs="Times New Roman"/>
          <w:sz w:val="24"/>
          <w:szCs w:val="24"/>
        </w:rPr>
        <w:t xml:space="preserve"> evidence for coins as religious offerings in modern Belgium (van Heesch </w:t>
      </w:r>
      <w:r w:rsidR="003236BD">
        <w:rPr>
          <w:rFonts w:ascii="Times New Roman" w:hAnsi="Times New Roman" w:cs="Times New Roman"/>
          <w:sz w:val="24"/>
          <w:szCs w:val="24"/>
        </w:rPr>
        <w:t>2005</w:t>
      </w:r>
      <w:r w:rsidR="004C7471">
        <w:rPr>
          <w:rFonts w:ascii="Times New Roman" w:hAnsi="Times New Roman" w:cs="Times New Roman"/>
          <w:sz w:val="24"/>
          <w:szCs w:val="24"/>
        </w:rPr>
        <w:t>, pp. 247-263</w:t>
      </w:r>
      <w:r>
        <w:rPr>
          <w:rFonts w:ascii="Times New Roman" w:hAnsi="Times New Roman" w:cs="Times New Roman"/>
          <w:sz w:val="24"/>
          <w:szCs w:val="24"/>
        </w:rPr>
        <w:t xml:space="preserve">). He argues that </w:t>
      </w:r>
      <w:r w:rsidR="00C64A5B">
        <w:rPr>
          <w:rFonts w:ascii="Times New Roman" w:hAnsi="Times New Roman" w:cs="Times New Roman"/>
          <w:sz w:val="24"/>
          <w:szCs w:val="24"/>
        </w:rPr>
        <w:t xml:space="preserve">there may be simpler explanations for </w:t>
      </w:r>
      <w:r w:rsidR="00941E6D">
        <w:rPr>
          <w:rFonts w:ascii="Times New Roman" w:hAnsi="Times New Roman" w:cs="Times New Roman"/>
          <w:sz w:val="24"/>
          <w:szCs w:val="24"/>
        </w:rPr>
        <w:t xml:space="preserve">‘ritual’ </w:t>
      </w:r>
      <w:r w:rsidR="00C64A5B">
        <w:rPr>
          <w:rFonts w:ascii="Times New Roman" w:hAnsi="Times New Roman" w:cs="Times New Roman"/>
          <w:sz w:val="24"/>
          <w:szCs w:val="24"/>
        </w:rPr>
        <w:t>coin deposit</w:t>
      </w:r>
      <w:r w:rsidR="003236BD">
        <w:rPr>
          <w:rFonts w:ascii="Times New Roman" w:hAnsi="Times New Roman" w:cs="Times New Roman"/>
          <w:sz w:val="24"/>
          <w:szCs w:val="24"/>
        </w:rPr>
        <w:t>ion</w:t>
      </w:r>
      <w:r w:rsidR="00C64A5B">
        <w:rPr>
          <w:rFonts w:ascii="Times New Roman" w:hAnsi="Times New Roman" w:cs="Times New Roman"/>
          <w:sz w:val="24"/>
          <w:szCs w:val="24"/>
        </w:rPr>
        <w:t xml:space="preserve"> in specific locations</w:t>
      </w:r>
      <w:r w:rsidR="003236BD">
        <w:rPr>
          <w:rFonts w:ascii="Times New Roman" w:hAnsi="Times New Roman" w:cs="Times New Roman"/>
          <w:sz w:val="24"/>
          <w:szCs w:val="24"/>
        </w:rPr>
        <w:t xml:space="preserve"> </w:t>
      </w:r>
      <w:r w:rsidR="00C64A5B">
        <w:rPr>
          <w:rFonts w:ascii="Times New Roman" w:hAnsi="Times New Roman" w:cs="Times New Roman"/>
          <w:sz w:val="24"/>
          <w:szCs w:val="24"/>
        </w:rPr>
        <w:t xml:space="preserve">(van Heesch </w:t>
      </w:r>
      <w:r w:rsidR="003236BD">
        <w:rPr>
          <w:rFonts w:ascii="Times New Roman" w:hAnsi="Times New Roman" w:cs="Times New Roman"/>
          <w:sz w:val="24"/>
          <w:szCs w:val="24"/>
        </w:rPr>
        <w:t>2005</w:t>
      </w:r>
      <w:r w:rsidR="00C64A5B">
        <w:rPr>
          <w:rFonts w:ascii="Times New Roman" w:hAnsi="Times New Roman" w:cs="Times New Roman"/>
          <w:sz w:val="24"/>
          <w:szCs w:val="24"/>
        </w:rPr>
        <w:t>, pp. 255-256).</w:t>
      </w:r>
    </w:p>
    <w:p w14:paraId="123268C8" w14:textId="1C724ACE" w:rsidR="00FE5221" w:rsidRPr="009A69A9" w:rsidRDefault="00FE5221" w:rsidP="003D493E">
      <w:pPr>
        <w:jc w:val="center"/>
        <w:rPr>
          <w:rFonts w:ascii="Times New Roman" w:hAnsi="Times New Roman" w:cs="Times New Roman"/>
          <w:b/>
          <w:bCs/>
          <w:sz w:val="28"/>
          <w:szCs w:val="28"/>
        </w:rPr>
      </w:pPr>
      <w:r w:rsidRPr="009A69A9">
        <w:rPr>
          <w:rFonts w:ascii="Times New Roman" w:hAnsi="Times New Roman" w:cs="Times New Roman"/>
          <w:b/>
          <w:bCs/>
          <w:sz w:val="28"/>
          <w:szCs w:val="28"/>
        </w:rPr>
        <w:t>Di</w:t>
      </w:r>
      <w:r w:rsidR="00380854" w:rsidRPr="009A69A9">
        <w:rPr>
          <w:rFonts w:ascii="Times New Roman" w:hAnsi="Times New Roman" w:cs="Times New Roman"/>
          <w:b/>
          <w:bCs/>
          <w:sz w:val="28"/>
          <w:szCs w:val="28"/>
        </w:rPr>
        <w:t xml:space="preserve">scussion </w:t>
      </w:r>
    </w:p>
    <w:p w14:paraId="60A39843" w14:textId="73721F67" w:rsidR="00380854" w:rsidRPr="009A69A9" w:rsidRDefault="00380854" w:rsidP="00380854">
      <w:pPr>
        <w:pStyle w:val="ListParagraph"/>
        <w:numPr>
          <w:ilvl w:val="0"/>
          <w:numId w:val="2"/>
        </w:numPr>
        <w:rPr>
          <w:rFonts w:ascii="Times New Roman" w:hAnsi="Times New Roman" w:cs="Times New Roman"/>
          <w:sz w:val="24"/>
          <w:szCs w:val="24"/>
        </w:rPr>
      </w:pPr>
      <w:r w:rsidRPr="009B24DD">
        <w:rPr>
          <w:rFonts w:ascii="Times New Roman" w:hAnsi="Times New Roman" w:cs="Times New Roman"/>
          <w:sz w:val="24"/>
          <w:szCs w:val="24"/>
        </w:rPr>
        <w:t>New materialism approach</w:t>
      </w:r>
      <w:r w:rsidR="009B24DD">
        <w:rPr>
          <w:rFonts w:ascii="Times New Roman" w:hAnsi="Times New Roman" w:cs="Times New Roman"/>
          <w:sz w:val="24"/>
          <w:szCs w:val="24"/>
        </w:rPr>
        <w:t xml:space="preserve"> (Benson 2019, p. 253)</w:t>
      </w:r>
      <w:r w:rsidR="009A69A9">
        <w:rPr>
          <w:rFonts w:ascii="Times New Roman" w:hAnsi="Times New Roman" w:cs="Times New Roman"/>
          <w:sz w:val="24"/>
          <w:szCs w:val="24"/>
        </w:rPr>
        <w:t xml:space="preserve">. </w:t>
      </w:r>
      <w:r w:rsidR="00A40088">
        <w:rPr>
          <w:rFonts w:ascii="Times New Roman" w:hAnsi="Times New Roman" w:cs="Times New Roman"/>
          <w:sz w:val="24"/>
          <w:szCs w:val="24"/>
        </w:rPr>
        <w:t>Examine how this approach may help or hinder the study of</w:t>
      </w:r>
      <w:r w:rsidR="001F5843">
        <w:rPr>
          <w:rFonts w:ascii="Times New Roman" w:hAnsi="Times New Roman" w:cs="Times New Roman"/>
          <w:sz w:val="24"/>
          <w:szCs w:val="24"/>
        </w:rPr>
        <w:t xml:space="preserve"> archaeological finds and of</w:t>
      </w:r>
      <w:r w:rsidR="00A40088">
        <w:rPr>
          <w:rFonts w:ascii="Times New Roman" w:hAnsi="Times New Roman" w:cs="Times New Roman"/>
          <w:sz w:val="24"/>
          <w:szCs w:val="24"/>
        </w:rPr>
        <w:t xml:space="preserve"> animal-human entanglements</w:t>
      </w:r>
      <w:r w:rsidR="001F5843">
        <w:rPr>
          <w:rFonts w:ascii="Times New Roman" w:hAnsi="Times New Roman" w:cs="Times New Roman"/>
          <w:sz w:val="24"/>
          <w:szCs w:val="24"/>
        </w:rPr>
        <w:t xml:space="preserve">. </w:t>
      </w:r>
    </w:p>
    <w:p w14:paraId="54420C68" w14:textId="7A66BBD0" w:rsidR="00380854" w:rsidRPr="009A69A9" w:rsidRDefault="00380854" w:rsidP="00380854">
      <w:pPr>
        <w:pStyle w:val="ListParagraph"/>
        <w:numPr>
          <w:ilvl w:val="0"/>
          <w:numId w:val="2"/>
        </w:numPr>
        <w:rPr>
          <w:rFonts w:ascii="Times New Roman" w:hAnsi="Times New Roman" w:cs="Times New Roman"/>
          <w:sz w:val="24"/>
          <w:szCs w:val="24"/>
        </w:rPr>
      </w:pPr>
      <w:r w:rsidRPr="009A69A9">
        <w:rPr>
          <w:rFonts w:ascii="Times New Roman" w:hAnsi="Times New Roman" w:cs="Times New Roman"/>
          <w:sz w:val="24"/>
          <w:szCs w:val="24"/>
        </w:rPr>
        <w:lastRenderedPageBreak/>
        <w:t>Horse gods and goddesses</w:t>
      </w:r>
      <w:r w:rsidR="009A69A9">
        <w:rPr>
          <w:rFonts w:ascii="Times New Roman" w:hAnsi="Times New Roman" w:cs="Times New Roman"/>
          <w:sz w:val="24"/>
          <w:szCs w:val="24"/>
        </w:rPr>
        <w:t xml:space="preserve">. </w:t>
      </w:r>
      <w:r w:rsidR="00DE645D">
        <w:rPr>
          <w:rFonts w:ascii="Times New Roman" w:hAnsi="Times New Roman" w:cs="Times New Roman"/>
          <w:sz w:val="24"/>
          <w:szCs w:val="24"/>
        </w:rPr>
        <w:t xml:space="preserve">Discussed in detail by </w:t>
      </w:r>
      <w:proofErr w:type="spellStart"/>
      <w:r w:rsidR="00DE645D">
        <w:rPr>
          <w:rFonts w:ascii="Times New Roman" w:hAnsi="Times New Roman" w:cs="Times New Roman"/>
          <w:sz w:val="24"/>
          <w:szCs w:val="24"/>
        </w:rPr>
        <w:t>Warmind</w:t>
      </w:r>
      <w:proofErr w:type="spellEnd"/>
      <w:r w:rsidR="00DE645D">
        <w:rPr>
          <w:rFonts w:ascii="Times New Roman" w:hAnsi="Times New Roman" w:cs="Times New Roman"/>
          <w:sz w:val="24"/>
          <w:szCs w:val="24"/>
        </w:rPr>
        <w:t xml:space="preserve"> (</w:t>
      </w:r>
      <w:proofErr w:type="spellStart"/>
      <w:r w:rsidR="00DE645D">
        <w:rPr>
          <w:rFonts w:ascii="Times New Roman" w:hAnsi="Times New Roman" w:cs="Times New Roman"/>
          <w:sz w:val="24"/>
          <w:szCs w:val="24"/>
        </w:rPr>
        <w:t>Warmind</w:t>
      </w:r>
      <w:proofErr w:type="spellEnd"/>
      <w:r w:rsidR="00DE645D">
        <w:rPr>
          <w:rFonts w:ascii="Times New Roman" w:hAnsi="Times New Roman" w:cs="Times New Roman"/>
          <w:sz w:val="24"/>
          <w:szCs w:val="24"/>
        </w:rPr>
        <w:t xml:space="preserve"> 2016, pp. 231-240). </w:t>
      </w:r>
    </w:p>
    <w:p w14:paraId="63948981" w14:textId="52D412F3" w:rsidR="00380854" w:rsidRPr="009A69A9" w:rsidRDefault="00380854" w:rsidP="00380854">
      <w:pPr>
        <w:pStyle w:val="ListParagraph"/>
        <w:numPr>
          <w:ilvl w:val="0"/>
          <w:numId w:val="2"/>
        </w:numPr>
        <w:rPr>
          <w:rFonts w:ascii="Times New Roman" w:hAnsi="Times New Roman" w:cs="Times New Roman"/>
          <w:sz w:val="24"/>
          <w:szCs w:val="24"/>
        </w:rPr>
      </w:pPr>
      <w:r w:rsidRPr="009A69A9">
        <w:rPr>
          <w:rFonts w:ascii="Times New Roman" w:hAnsi="Times New Roman" w:cs="Times New Roman"/>
          <w:sz w:val="24"/>
          <w:szCs w:val="24"/>
        </w:rPr>
        <w:t>The use of coins as offerings</w:t>
      </w:r>
      <w:r w:rsidR="00DD26AE" w:rsidRPr="009A69A9">
        <w:rPr>
          <w:rFonts w:ascii="Times New Roman" w:hAnsi="Times New Roman" w:cs="Times New Roman"/>
          <w:sz w:val="24"/>
          <w:szCs w:val="24"/>
        </w:rPr>
        <w:t>, as discussed by</w:t>
      </w:r>
      <w:r w:rsidR="00A40088">
        <w:rPr>
          <w:rFonts w:ascii="Times New Roman" w:hAnsi="Times New Roman" w:cs="Times New Roman"/>
          <w:sz w:val="24"/>
          <w:szCs w:val="24"/>
        </w:rPr>
        <w:t xml:space="preserve"> </w:t>
      </w:r>
      <w:proofErr w:type="spellStart"/>
      <w:r w:rsidR="00A40088">
        <w:rPr>
          <w:rFonts w:ascii="Times New Roman" w:hAnsi="Times New Roman" w:cs="Times New Roman"/>
          <w:sz w:val="24"/>
          <w:szCs w:val="24"/>
        </w:rPr>
        <w:t>Kazakevych</w:t>
      </w:r>
      <w:proofErr w:type="spellEnd"/>
      <w:r w:rsidR="00A40088">
        <w:rPr>
          <w:rFonts w:ascii="Times New Roman" w:hAnsi="Times New Roman" w:cs="Times New Roman"/>
          <w:sz w:val="24"/>
          <w:szCs w:val="24"/>
        </w:rPr>
        <w:t xml:space="preserve"> (</w:t>
      </w:r>
      <w:proofErr w:type="spellStart"/>
      <w:r w:rsidR="00A40088">
        <w:rPr>
          <w:rFonts w:ascii="Times New Roman" w:hAnsi="Times New Roman" w:cs="Times New Roman"/>
          <w:sz w:val="24"/>
          <w:szCs w:val="24"/>
        </w:rPr>
        <w:t>Kazakevych</w:t>
      </w:r>
      <w:proofErr w:type="spellEnd"/>
      <w:r w:rsidR="00A40088">
        <w:rPr>
          <w:rFonts w:ascii="Times New Roman" w:hAnsi="Times New Roman" w:cs="Times New Roman"/>
          <w:sz w:val="24"/>
          <w:szCs w:val="24"/>
        </w:rPr>
        <w:t xml:space="preserve"> 2021, pp. 89-90) and van Heesch (van Heesch 2005, pp. 247-250). </w:t>
      </w:r>
    </w:p>
    <w:p w14:paraId="5BEB8A58" w14:textId="2CE7E81E" w:rsidR="00380854" w:rsidRPr="009A69A9" w:rsidRDefault="00380854" w:rsidP="00380854">
      <w:pPr>
        <w:pStyle w:val="ListParagraph"/>
        <w:numPr>
          <w:ilvl w:val="0"/>
          <w:numId w:val="2"/>
        </w:numPr>
        <w:rPr>
          <w:rFonts w:ascii="Times New Roman" w:hAnsi="Times New Roman" w:cs="Times New Roman"/>
          <w:sz w:val="24"/>
          <w:szCs w:val="24"/>
        </w:rPr>
      </w:pPr>
      <w:r w:rsidRPr="009A69A9">
        <w:rPr>
          <w:rFonts w:ascii="Times New Roman" w:hAnsi="Times New Roman" w:cs="Times New Roman"/>
          <w:sz w:val="24"/>
          <w:szCs w:val="24"/>
        </w:rPr>
        <w:t>Stylistic differences</w:t>
      </w:r>
      <w:r w:rsidR="00DD26AE" w:rsidRPr="009A69A9">
        <w:rPr>
          <w:rFonts w:ascii="Times New Roman" w:hAnsi="Times New Roman" w:cs="Times New Roman"/>
          <w:sz w:val="24"/>
          <w:szCs w:val="24"/>
        </w:rPr>
        <w:t xml:space="preserve">: examine the differing artistic choices between the case studies. </w:t>
      </w:r>
    </w:p>
    <w:p w14:paraId="60B4532D" w14:textId="0B8E4067" w:rsidR="00380854" w:rsidRPr="009A69A9" w:rsidRDefault="00380854" w:rsidP="00380854">
      <w:pPr>
        <w:pStyle w:val="ListParagraph"/>
        <w:numPr>
          <w:ilvl w:val="0"/>
          <w:numId w:val="2"/>
        </w:numPr>
        <w:rPr>
          <w:rFonts w:ascii="Times New Roman" w:hAnsi="Times New Roman" w:cs="Times New Roman"/>
          <w:sz w:val="24"/>
          <w:szCs w:val="24"/>
        </w:rPr>
      </w:pPr>
      <w:r w:rsidRPr="009A69A9">
        <w:rPr>
          <w:rFonts w:ascii="Times New Roman" w:hAnsi="Times New Roman" w:cs="Times New Roman"/>
          <w:sz w:val="24"/>
          <w:szCs w:val="24"/>
        </w:rPr>
        <w:t>The place of the horse in Celtic life</w:t>
      </w:r>
      <w:r w:rsidR="009A69A9">
        <w:rPr>
          <w:rFonts w:ascii="Times New Roman" w:hAnsi="Times New Roman" w:cs="Times New Roman"/>
          <w:sz w:val="24"/>
          <w:szCs w:val="24"/>
        </w:rPr>
        <w:t xml:space="preserve">, and how this may have differed between cultures and time periods. </w:t>
      </w:r>
    </w:p>
    <w:p w14:paraId="707EEAB6" w14:textId="54528B86" w:rsidR="00380854" w:rsidRPr="00A40088" w:rsidRDefault="00380854" w:rsidP="00A40088">
      <w:pPr>
        <w:pStyle w:val="ListParagraph"/>
        <w:numPr>
          <w:ilvl w:val="0"/>
          <w:numId w:val="2"/>
        </w:numPr>
        <w:rPr>
          <w:rFonts w:ascii="Times New Roman" w:hAnsi="Times New Roman" w:cs="Times New Roman"/>
          <w:sz w:val="24"/>
          <w:szCs w:val="24"/>
        </w:rPr>
      </w:pPr>
      <w:r w:rsidRPr="009A69A9">
        <w:rPr>
          <w:rFonts w:ascii="Times New Roman" w:hAnsi="Times New Roman" w:cs="Times New Roman"/>
          <w:sz w:val="24"/>
          <w:szCs w:val="24"/>
        </w:rPr>
        <w:t xml:space="preserve">Coins as </w:t>
      </w:r>
      <w:r w:rsidR="00A40088">
        <w:rPr>
          <w:rFonts w:ascii="Times New Roman" w:hAnsi="Times New Roman" w:cs="Times New Roman"/>
          <w:sz w:val="24"/>
          <w:szCs w:val="24"/>
        </w:rPr>
        <w:t xml:space="preserve">more than ‘just money’; examine the possibility of coin iconography carrying cultural, political or religious messaging. </w:t>
      </w:r>
    </w:p>
    <w:p w14:paraId="75B4CCCF" w14:textId="66E637EE" w:rsidR="00FE5221" w:rsidRPr="009A69A9" w:rsidRDefault="00FE5221" w:rsidP="00380854">
      <w:pPr>
        <w:jc w:val="center"/>
        <w:rPr>
          <w:rFonts w:ascii="Times New Roman" w:hAnsi="Times New Roman" w:cs="Times New Roman"/>
          <w:b/>
          <w:bCs/>
          <w:sz w:val="28"/>
          <w:szCs w:val="28"/>
        </w:rPr>
      </w:pPr>
      <w:r w:rsidRPr="009A69A9">
        <w:rPr>
          <w:rFonts w:ascii="Times New Roman" w:hAnsi="Times New Roman" w:cs="Times New Roman"/>
          <w:b/>
          <w:bCs/>
          <w:sz w:val="28"/>
          <w:szCs w:val="28"/>
        </w:rPr>
        <w:t>Conclusion</w:t>
      </w:r>
    </w:p>
    <w:p w14:paraId="3644FD54" w14:textId="17D88DF3" w:rsidR="00380854" w:rsidRPr="009A69A9" w:rsidRDefault="00380854" w:rsidP="00FE5221">
      <w:pPr>
        <w:rPr>
          <w:rFonts w:ascii="Times New Roman" w:hAnsi="Times New Roman" w:cs="Times New Roman"/>
          <w:sz w:val="24"/>
          <w:szCs w:val="24"/>
        </w:rPr>
      </w:pPr>
      <w:r w:rsidRPr="009A69A9">
        <w:rPr>
          <w:rFonts w:ascii="Times New Roman" w:hAnsi="Times New Roman" w:cs="Times New Roman"/>
          <w:sz w:val="24"/>
          <w:szCs w:val="24"/>
        </w:rPr>
        <w:t>Horse iconography on coins reveals</w:t>
      </w:r>
      <w:r w:rsidR="001F5843">
        <w:rPr>
          <w:rFonts w:ascii="Times New Roman" w:hAnsi="Times New Roman" w:cs="Times New Roman"/>
          <w:sz w:val="24"/>
          <w:szCs w:val="24"/>
        </w:rPr>
        <w:t xml:space="preserve"> the</w:t>
      </w:r>
      <w:r w:rsidRPr="009A69A9">
        <w:rPr>
          <w:rFonts w:ascii="Times New Roman" w:hAnsi="Times New Roman" w:cs="Times New Roman"/>
          <w:sz w:val="24"/>
          <w:szCs w:val="24"/>
        </w:rPr>
        <w:t xml:space="preserve"> </w:t>
      </w:r>
      <w:r w:rsidR="001F5843">
        <w:rPr>
          <w:rFonts w:ascii="Times New Roman" w:hAnsi="Times New Roman" w:cs="Times New Roman"/>
          <w:sz w:val="24"/>
          <w:szCs w:val="24"/>
        </w:rPr>
        <w:t>symbiotic nature of</w:t>
      </w:r>
      <w:r w:rsidRPr="009A69A9">
        <w:rPr>
          <w:rFonts w:ascii="Times New Roman" w:hAnsi="Times New Roman" w:cs="Times New Roman"/>
          <w:sz w:val="24"/>
          <w:szCs w:val="24"/>
        </w:rPr>
        <w:t xml:space="preserve"> horse</w:t>
      </w:r>
      <w:r w:rsidR="001F5843">
        <w:rPr>
          <w:rFonts w:ascii="Times New Roman" w:hAnsi="Times New Roman" w:cs="Times New Roman"/>
          <w:sz w:val="24"/>
          <w:szCs w:val="24"/>
        </w:rPr>
        <w:t>-human</w:t>
      </w:r>
      <w:r w:rsidRPr="009A69A9">
        <w:rPr>
          <w:rFonts w:ascii="Times New Roman" w:hAnsi="Times New Roman" w:cs="Times New Roman"/>
          <w:sz w:val="24"/>
          <w:szCs w:val="24"/>
        </w:rPr>
        <w:t xml:space="preserve"> entanglements </w:t>
      </w:r>
      <w:r w:rsidR="001F5843">
        <w:rPr>
          <w:rFonts w:ascii="Times New Roman" w:hAnsi="Times New Roman" w:cs="Times New Roman"/>
          <w:sz w:val="24"/>
          <w:szCs w:val="24"/>
        </w:rPr>
        <w:t>across</w:t>
      </w:r>
      <w:r w:rsidRPr="009A69A9">
        <w:rPr>
          <w:rFonts w:ascii="Times New Roman" w:hAnsi="Times New Roman" w:cs="Times New Roman"/>
          <w:sz w:val="24"/>
          <w:szCs w:val="24"/>
        </w:rPr>
        <w:t xml:space="preserve"> the </w:t>
      </w:r>
      <w:r w:rsidR="001F5843">
        <w:rPr>
          <w:rFonts w:ascii="Times New Roman" w:hAnsi="Times New Roman" w:cs="Times New Roman"/>
          <w:sz w:val="24"/>
          <w:szCs w:val="24"/>
        </w:rPr>
        <w:t>Celtic</w:t>
      </w:r>
      <w:r w:rsidRPr="009A69A9">
        <w:rPr>
          <w:rFonts w:ascii="Times New Roman" w:hAnsi="Times New Roman" w:cs="Times New Roman"/>
          <w:sz w:val="24"/>
          <w:szCs w:val="24"/>
        </w:rPr>
        <w:t xml:space="preserve"> world that has</w:t>
      </w:r>
      <w:r w:rsidR="001F5843">
        <w:rPr>
          <w:rFonts w:ascii="Times New Roman" w:hAnsi="Times New Roman" w:cs="Times New Roman"/>
          <w:sz w:val="24"/>
          <w:szCs w:val="24"/>
        </w:rPr>
        <w:t xml:space="preserve"> a powerful impact on</w:t>
      </w:r>
      <w:r w:rsidRPr="009A69A9">
        <w:rPr>
          <w:rFonts w:ascii="Times New Roman" w:hAnsi="Times New Roman" w:cs="Times New Roman"/>
          <w:sz w:val="24"/>
          <w:szCs w:val="24"/>
        </w:rPr>
        <w:t xml:space="preserve"> </w:t>
      </w:r>
      <w:r w:rsidR="008A3C65">
        <w:rPr>
          <w:rFonts w:ascii="Times New Roman" w:hAnsi="Times New Roman" w:cs="Times New Roman"/>
          <w:sz w:val="24"/>
          <w:szCs w:val="24"/>
        </w:rPr>
        <w:t>many</w:t>
      </w:r>
      <w:r w:rsidRPr="009A69A9">
        <w:rPr>
          <w:rFonts w:ascii="Times New Roman" w:hAnsi="Times New Roman" w:cs="Times New Roman"/>
          <w:sz w:val="24"/>
          <w:szCs w:val="24"/>
        </w:rPr>
        <w:t xml:space="preserve"> spheres of</w:t>
      </w:r>
      <w:r w:rsidR="001F5843">
        <w:rPr>
          <w:rFonts w:ascii="Times New Roman" w:hAnsi="Times New Roman" w:cs="Times New Roman"/>
          <w:sz w:val="24"/>
          <w:szCs w:val="24"/>
        </w:rPr>
        <w:t xml:space="preserve"> Celtic and Iron Age</w:t>
      </w:r>
      <w:r w:rsidRPr="009A69A9">
        <w:rPr>
          <w:rFonts w:ascii="Times New Roman" w:hAnsi="Times New Roman" w:cs="Times New Roman"/>
          <w:sz w:val="24"/>
          <w:szCs w:val="24"/>
        </w:rPr>
        <w:t xml:space="preserve"> life. </w:t>
      </w:r>
    </w:p>
    <w:p w14:paraId="302562FB" w14:textId="0A15264C" w:rsidR="00FE5221" w:rsidRDefault="00C64A5B" w:rsidP="003236BD">
      <w:pPr>
        <w:jc w:val="center"/>
        <w:rPr>
          <w:rFonts w:ascii="Times New Roman" w:hAnsi="Times New Roman" w:cs="Times New Roman"/>
          <w:b/>
          <w:bCs/>
          <w:sz w:val="28"/>
          <w:szCs w:val="28"/>
        </w:rPr>
      </w:pPr>
      <w:r w:rsidRPr="003236BD">
        <w:rPr>
          <w:rFonts w:ascii="Times New Roman" w:hAnsi="Times New Roman" w:cs="Times New Roman"/>
          <w:b/>
          <w:bCs/>
          <w:sz w:val="28"/>
          <w:szCs w:val="28"/>
        </w:rPr>
        <w:t>Bibliography</w:t>
      </w:r>
    </w:p>
    <w:tbl>
      <w:tblPr>
        <w:tblpPr w:leftFromText="180" w:rightFromText="180" w:vertAnchor="text" w:horzAnchor="page" w:tblpX="5341" w:tblpY="5074"/>
        <w:tblW w:w="6414" w:type="dxa"/>
        <w:shd w:val="clear" w:color="auto" w:fill="FFFFFF"/>
        <w:tblCellMar>
          <w:left w:w="0" w:type="dxa"/>
          <w:right w:w="0" w:type="dxa"/>
        </w:tblCellMar>
        <w:tblLook w:val="04A0" w:firstRow="1" w:lastRow="0" w:firstColumn="1" w:lastColumn="0" w:noHBand="0" w:noVBand="1"/>
      </w:tblPr>
      <w:tblGrid>
        <w:gridCol w:w="6414"/>
      </w:tblGrid>
      <w:tr w:rsidR="00DE645D" w:rsidRPr="003236BD" w14:paraId="5629D823" w14:textId="77777777" w:rsidTr="007F0240">
        <w:tc>
          <w:tcPr>
            <w:tcW w:w="0" w:type="auto"/>
            <w:shd w:val="clear" w:color="auto" w:fill="FFFFFF"/>
            <w:vAlign w:val="center"/>
            <w:hideMark/>
          </w:tcPr>
          <w:p w14:paraId="68D5339C" w14:textId="77777777" w:rsidR="00DE645D" w:rsidRPr="003236BD" w:rsidRDefault="00DE645D" w:rsidP="004B28FF">
            <w:pPr>
              <w:rPr>
                <w:rFonts w:ascii="Times New Roman" w:hAnsi="Times New Roman" w:cs="Times New Roman"/>
              </w:rPr>
            </w:pPr>
          </w:p>
        </w:tc>
      </w:tr>
    </w:tbl>
    <w:p w14:paraId="283777C1" w14:textId="7B70C8E8" w:rsidR="00F45263" w:rsidRDefault="00F45263" w:rsidP="00DE645D">
      <w:pPr>
        <w:rPr>
          <w:rFonts w:ascii="Times New Roman" w:hAnsi="Times New Roman" w:cs="Times New Roman"/>
          <w:sz w:val="24"/>
          <w:szCs w:val="24"/>
        </w:rPr>
      </w:pPr>
      <w:r w:rsidRPr="009B24DD">
        <w:rPr>
          <w:rFonts w:ascii="Times New Roman" w:hAnsi="Times New Roman" w:cs="Times New Roman"/>
          <w:sz w:val="24"/>
          <w:szCs w:val="24"/>
        </w:rPr>
        <w:t>Benson, Melinda H. “</w:t>
      </w:r>
      <w:r>
        <w:rPr>
          <w:rFonts w:ascii="Times New Roman" w:hAnsi="Times New Roman" w:cs="Times New Roman"/>
          <w:sz w:val="24"/>
          <w:szCs w:val="24"/>
        </w:rPr>
        <w:t xml:space="preserve">New Materialism: An Ontology for the Anthropocene.” </w:t>
      </w:r>
      <w:r w:rsidRPr="009B24DD">
        <w:rPr>
          <w:rFonts w:ascii="Times New Roman" w:hAnsi="Times New Roman" w:cs="Times New Roman"/>
          <w:i/>
          <w:iCs/>
          <w:sz w:val="24"/>
          <w:szCs w:val="24"/>
        </w:rPr>
        <w:t>Natural Resources Journal</w:t>
      </w:r>
      <w:r w:rsidRPr="009B24DD">
        <w:rPr>
          <w:rFonts w:ascii="Times New Roman" w:hAnsi="Times New Roman" w:cs="Times New Roman"/>
          <w:sz w:val="24"/>
          <w:szCs w:val="24"/>
        </w:rPr>
        <w:t xml:space="preserve"> 59, no. 2 (2019): 251–80. </w:t>
      </w:r>
      <w:hyperlink r:id="rId5" w:history="1">
        <w:r w:rsidRPr="009B24DD">
          <w:rPr>
            <w:rStyle w:val="Hyperlink"/>
            <w:rFonts w:ascii="Times New Roman" w:hAnsi="Times New Roman" w:cs="Times New Roman"/>
            <w:sz w:val="24"/>
            <w:szCs w:val="24"/>
          </w:rPr>
          <w:t>https://www.jstor.org/stable/26800037</w:t>
        </w:r>
      </w:hyperlink>
      <w:r w:rsidRPr="00F45263">
        <w:rPr>
          <w:rFonts w:ascii="Times New Roman" w:hAnsi="Times New Roman" w:cs="Times New Roman"/>
          <w:sz w:val="24"/>
          <w:szCs w:val="24"/>
        </w:rPr>
        <w:t xml:space="preserve"> </w:t>
      </w:r>
    </w:p>
    <w:p w14:paraId="068D6CEA" w14:textId="77777777" w:rsidR="00F45263" w:rsidRPr="00F45263" w:rsidRDefault="00F45263" w:rsidP="00F45263">
      <w:pPr>
        <w:rPr>
          <w:rFonts w:ascii="Times New Roman" w:hAnsi="Times New Roman" w:cs="Times New Roman"/>
          <w:sz w:val="24"/>
          <w:szCs w:val="24"/>
        </w:rPr>
      </w:pPr>
      <w:r w:rsidRPr="00F45263">
        <w:rPr>
          <w:rFonts w:ascii="Times New Roman" w:hAnsi="Times New Roman" w:cs="Times New Roman"/>
          <w:sz w:val="24"/>
          <w:szCs w:val="24"/>
        </w:rPr>
        <w:t xml:space="preserve">Creighton, John. “Visions of Power: Imagery and Symbols in Late Iron Age Britain.” </w:t>
      </w:r>
      <w:r w:rsidRPr="00F45263">
        <w:rPr>
          <w:rFonts w:ascii="Times New Roman" w:hAnsi="Times New Roman" w:cs="Times New Roman"/>
          <w:i/>
          <w:iCs/>
          <w:sz w:val="24"/>
          <w:szCs w:val="24"/>
        </w:rPr>
        <w:t>Britannia</w:t>
      </w:r>
      <w:r w:rsidRPr="00F45263">
        <w:rPr>
          <w:rFonts w:ascii="Times New Roman" w:hAnsi="Times New Roman" w:cs="Times New Roman"/>
          <w:sz w:val="24"/>
          <w:szCs w:val="24"/>
        </w:rPr>
        <w:t xml:space="preserve"> 26 (1995): 285–301. </w:t>
      </w:r>
      <w:hyperlink r:id="rId6" w:history="1">
        <w:r w:rsidRPr="00F45263">
          <w:rPr>
            <w:rStyle w:val="Hyperlink"/>
            <w:rFonts w:ascii="Times New Roman" w:hAnsi="Times New Roman" w:cs="Times New Roman"/>
            <w:sz w:val="24"/>
            <w:szCs w:val="24"/>
          </w:rPr>
          <w:t>https://doi.org/10.2307/526880</w:t>
        </w:r>
      </w:hyperlink>
      <w:r w:rsidRPr="00F45263">
        <w:rPr>
          <w:rFonts w:ascii="Times New Roman" w:hAnsi="Times New Roman" w:cs="Times New Roman"/>
          <w:sz w:val="24"/>
          <w:szCs w:val="24"/>
        </w:rPr>
        <w:t xml:space="preserve"> </w:t>
      </w:r>
    </w:p>
    <w:p w14:paraId="298FA3D8" w14:textId="7E7919BA" w:rsidR="00F45263" w:rsidRPr="00F45263" w:rsidRDefault="00F45263" w:rsidP="00DE645D">
      <w:pPr>
        <w:rPr>
          <w:rFonts w:ascii="Times New Roman" w:hAnsi="Times New Roman" w:cs="Times New Roman"/>
          <w:sz w:val="24"/>
          <w:szCs w:val="24"/>
        </w:rPr>
      </w:pPr>
      <w:r w:rsidRPr="00781A78">
        <w:rPr>
          <w:rFonts w:ascii="Times New Roman" w:hAnsi="Times New Roman" w:cs="Times New Roman"/>
          <w:sz w:val="24"/>
          <w:szCs w:val="24"/>
        </w:rPr>
        <w:t xml:space="preserve">Haselgrove, Colin, and Stefan </w:t>
      </w:r>
      <w:proofErr w:type="spellStart"/>
      <w:r w:rsidRPr="00781A78">
        <w:rPr>
          <w:rFonts w:ascii="Times New Roman" w:hAnsi="Times New Roman" w:cs="Times New Roman"/>
          <w:sz w:val="24"/>
          <w:szCs w:val="24"/>
        </w:rPr>
        <w:t>Krmnicek</w:t>
      </w:r>
      <w:proofErr w:type="spellEnd"/>
      <w:r w:rsidRPr="00781A78">
        <w:rPr>
          <w:rFonts w:ascii="Times New Roman" w:hAnsi="Times New Roman" w:cs="Times New Roman"/>
          <w:sz w:val="24"/>
          <w:szCs w:val="24"/>
        </w:rPr>
        <w:t>. “The Archaeology of Money.” </w:t>
      </w:r>
      <w:r w:rsidRPr="00781A78">
        <w:rPr>
          <w:rFonts w:ascii="Times New Roman" w:hAnsi="Times New Roman" w:cs="Times New Roman"/>
          <w:i/>
          <w:iCs/>
          <w:sz w:val="24"/>
          <w:szCs w:val="24"/>
        </w:rPr>
        <w:t>Annual Review of Anthropology</w:t>
      </w:r>
      <w:r w:rsidRPr="00781A78">
        <w:rPr>
          <w:rFonts w:ascii="Times New Roman" w:hAnsi="Times New Roman" w:cs="Times New Roman"/>
          <w:sz w:val="24"/>
          <w:szCs w:val="24"/>
        </w:rPr>
        <w:t xml:space="preserve"> 41 (2012): 235–50. </w:t>
      </w:r>
      <w:hyperlink r:id="rId7" w:history="1">
        <w:r w:rsidRPr="00781A78">
          <w:rPr>
            <w:rStyle w:val="Hyperlink"/>
            <w:rFonts w:ascii="Times New Roman" w:hAnsi="Times New Roman" w:cs="Times New Roman"/>
            <w:sz w:val="24"/>
            <w:szCs w:val="24"/>
          </w:rPr>
          <w:t>http://www.jstor.org/stable/23270709</w:t>
        </w:r>
      </w:hyperlink>
      <w:r w:rsidRPr="00F45263">
        <w:rPr>
          <w:rFonts w:ascii="Times New Roman" w:hAnsi="Times New Roman" w:cs="Times New Roman"/>
          <w:sz w:val="24"/>
          <w:szCs w:val="24"/>
        </w:rPr>
        <w:t xml:space="preserve"> </w:t>
      </w:r>
    </w:p>
    <w:p w14:paraId="31281DE0" w14:textId="0446B918" w:rsidR="007F0240" w:rsidRDefault="007F0240" w:rsidP="00DE645D">
      <w:pPr>
        <w:rPr>
          <w:rFonts w:ascii="Times New Roman" w:hAnsi="Times New Roman" w:cs="Times New Roman"/>
          <w:sz w:val="24"/>
          <w:szCs w:val="24"/>
        </w:rPr>
      </w:pPr>
      <w:proofErr w:type="spellStart"/>
      <w:r w:rsidRPr="00F45263">
        <w:rPr>
          <w:rFonts w:ascii="Times New Roman" w:hAnsi="Times New Roman" w:cs="Times New Roman"/>
          <w:sz w:val="24"/>
          <w:szCs w:val="24"/>
        </w:rPr>
        <w:t>Kazakevych</w:t>
      </w:r>
      <w:proofErr w:type="spellEnd"/>
      <w:r w:rsidRPr="00F45263">
        <w:rPr>
          <w:rFonts w:ascii="Times New Roman" w:hAnsi="Times New Roman" w:cs="Times New Roman"/>
          <w:sz w:val="24"/>
          <w:szCs w:val="24"/>
        </w:rPr>
        <w:t>,</w:t>
      </w:r>
      <w:r w:rsidR="009B24DD" w:rsidRPr="00F45263">
        <w:rPr>
          <w:rFonts w:ascii="Times New Roman" w:hAnsi="Times New Roman" w:cs="Times New Roman"/>
          <w:sz w:val="24"/>
          <w:szCs w:val="24"/>
        </w:rPr>
        <w:t xml:space="preserve"> </w:t>
      </w:r>
      <w:proofErr w:type="spellStart"/>
      <w:r w:rsidR="009B24DD" w:rsidRPr="00F45263">
        <w:rPr>
          <w:rFonts w:ascii="Times New Roman" w:hAnsi="Times New Roman" w:cs="Times New Roman"/>
          <w:sz w:val="24"/>
          <w:szCs w:val="24"/>
        </w:rPr>
        <w:t>Gennadii</w:t>
      </w:r>
      <w:proofErr w:type="spellEnd"/>
      <w:r w:rsidR="009B24DD" w:rsidRPr="00F45263">
        <w:rPr>
          <w:rFonts w:ascii="Times New Roman" w:hAnsi="Times New Roman" w:cs="Times New Roman"/>
          <w:sz w:val="24"/>
          <w:szCs w:val="24"/>
        </w:rPr>
        <w:t xml:space="preserve">. “Horse Rider Image on the Coins of the Eastern Celts and the Cult of War Goddess.” </w:t>
      </w:r>
      <w:r w:rsidR="009B24DD" w:rsidRPr="00F45263">
        <w:rPr>
          <w:rFonts w:ascii="Times New Roman" w:hAnsi="Times New Roman" w:cs="Times New Roman"/>
          <w:i/>
          <w:iCs/>
          <w:sz w:val="24"/>
          <w:szCs w:val="24"/>
        </w:rPr>
        <w:t>The Ukrainian Numismatic Annual 5</w:t>
      </w:r>
      <w:r w:rsidR="00F45263" w:rsidRPr="00F45263">
        <w:rPr>
          <w:rFonts w:ascii="Times New Roman" w:hAnsi="Times New Roman" w:cs="Times New Roman"/>
          <w:i/>
          <w:iCs/>
          <w:sz w:val="24"/>
          <w:szCs w:val="24"/>
        </w:rPr>
        <w:t xml:space="preserve"> </w:t>
      </w:r>
      <w:r w:rsidR="00F45263" w:rsidRPr="00F45263">
        <w:rPr>
          <w:rFonts w:ascii="Times New Roman" w:hAnsi="Times New Roman" w:cs="Times New Roman"/>
          <w:sz w:val="24"/>
          <w:szCs w:val="24"/>
        </w:rPr>
        <w:t>(2021)</w:t>
      </w:r>
      <w:r w:rsidR="009B24DD" w:rsidRPr="00F45263">
        <w:rPr>
          <w:rFonts w:ascii="Times New Roman" w:hAnsi="Times New Roman" w:cs="Times New Roman"/>
          <w:sz w:val="24"/>
          <w:szCs w:val="24"/>
        </w:rPr>
        <w:t xml:space="preserve">: 81-92. </w:t>
      </w:r>
      <w:hyperlink r:id="rId8" w:history="1">
        <w:r w:rsidR="00F45263" w:rsidRPr="00F45263">
          <w:rPr>
            <w:rStyle w:val="Hyperlink"/>
            <w:rFonts w:ascii="Times New Roman" w:hAnsi="Times New Roman" w:cs="Times New Roman"/>
            <w:sz w:val="24"/>
            <w:szCs w:val="24"/>
          </w:rPr>
          <w:t>https://doi.org/10.31470/2616-6275-2021-5-81-92</w:t>
        </w:r>
      </w:hyperlink>
      <w:r w:rsidR="00F45263" w:rsidRPr="00F45263">
        <w:rPr>
          <w:rFonts w:ascii="Times New Roman" w:hAnsi="Times New Roman" w:cs="Times New Roman"/>
          <w:sz w:val="24"/>
          <w:szCs w:val="24"/>
        </w:rPr>
        <w:t xml:space="preserve"> </w:t>
      </w:r>
    </w:p>
    <w:p w14:paraId="56B488D0" w14:textId="66F1739E" w:rsidR="00F45263" w:rsidRPr="004A3818" w:rsidRDefault="00F45263" w:rsidP="00F45263">
      <w:pPr>
        <w:rPr>
          <w:rFonts w:ascii="Times New Roman" w:hAnsi="Times New Roman" w:cs="Times New Roman"/>
          <w:sz w:val="24"/>
          <w:szCs w:val="24"/>
        </w:rPr>
      </w:pPr>
      <w:r>
        <w:rPr>
          <w:rFonts w:ascii="Times New Roman" w:hAnsi="Times New Roman" w:cs="Times New Roman"/>
          <w:sz w:val="24"/>
          <w:szCs w:val="24"/>
        </w:rPr>
        <w:t>Mays, Melinda</w:t>
      </w:r>
      <w:r w:rsidRPr="004A3818">
        <w:rPr>
          <w:rFonts w:ascii="Times New Roman" w:hAnsi="Times New Roman" w:cs="Times New Roman"/>
          <w:sz w:val="24"/>
          <w:szCs w:val="24"/>
        </w:rPr>
        <w:t>. “Inscriptions on British Celtic Coins.” </w:t>
      </w:r>
      <w:r w:rsidRPr="004A3818">
        <w:rPr>
          <w:rFonts w:ascii="Times New Roman" w:hAnsi="Times New Roman" w:cs="Times New Roman"/>
          <w:i/>
          <w:iCs/>
          <w:sz w:val="24"/>
          <w:szCs w:val="24"/>
        </w:rPr>
        <w:t>The Numismatic Chronicle (1966)</w:t>
      </w:r>
      <w:r w:rsidRPr="004A3818">
        <w:rPr>
          <w:rFonts w:ascii="Times New Roman" w:hAnsi="Times New Roman" w:cs="Times New Roman"/>
          <w:sz w:val="24"/>
          <w:szCs w:val="24"/>
        </w:rPr>
        <w:t xml:space="preserve"> 152 (1992): 57–82. </w:t>
      </w:r>
      <w:hyperlink r:id="rId9" w:history="1">
        <w:r w:rsidRPr="004A3818">
          <w:rPr>
            <w:rStyle w:val="Hyperlink"/>
            <w:rFonts w:ascii="Times New Roman" w:hAnsi="Times New Roman" w:cs="Times New Roman"/>
            <w:sz w:val="24"/>
            <w:szCs w:val="24"/>
          </w:rPr>
          <w:t>http://www.jstor.org/stable/42667833</w:t>
        </w:r>
      </w:hyperlink>
      <w:r w:rsidRPr="00F45263">
        <w:rPr>
          <w:rFonts w:ascii="Times New Roman" w:hAnsi="Times New Roman" w:cs="Times New Roman"/>
          <w:sz w:val="24"/>
          <w:szCs w:val="24"/>
        </w:rPr>
        <w:t xml:space="preserve"> </w:t>
      </w:r>
    </w:p>
    <w:p w14:paraId="4AD5D2AB" w14:textId="77777777" w:rsidR="00F45263" w:rsidRPr="00F45263" w:rsidRDefault="00F45263" w:rsidP="00F45263">
      <w:pPr>
        <w:rPr>
          <w:rFonts w:ascii="Times New Roman" w:hAnsi="Times New Roman" w:cs="Times New Roman"/>
          <w:sz w:val="24"/>
          <w:szCs w:val="24"/>
        </w:rPr>
      </w:pPr>
      <w:r w:rsidRPr="00F45263">
        <w:rPr>
          <w:rFonts w:ascii="Times New Roman" w:hAnsi="Times New Roman" w:cs="Times New Roman"/>
          <w:sz w:val="24"/>
          <w:szCs w:val="24"/>
        </w:rPr>
        <w:t>Nimura, Courtney, Helen Chittock, Peter Hommel, and Chris Gosden, eds. </w:t>
      </w:r>
      <w:r w:rsidRPr="00F45263">
        <w:rPr>
          <w:rFonts w:ascii="Times New Roman" w:hAnsi="Times New Roman" w:cs="Times New Roman"/>
          <w:i/>
          <w:iCs/>
          <w:sz w:val="24"/>
          <w:szCs w:val="24"/>
        </w:rPr>
        <w:t>Art in the Eurasian Iron Age: Context, Connections and Scale</w:t>
      </w:r>
      <w:r w:rsidRPr="00F45263">
        <w:rPr>
          <w:rFonts w:ascii="Times New Roman" w:hAnsi="Times New Roman" w:cs="Times New Roman"/>
          <w:sz w:val="24"/>
          <w:szCs w:val="24"/>
        </w:rPr>
        <w:t xml:space="preserve">. Oxbow Books, 2020. </w:t>
      </w:r>
      <w:hyperlink r:id="rId10" w:history="1">
        <w:r w:rsidRPr="00F45263">
          <w:rPr>
            <w:rStyle w:val="Hyperlink"/>
            <w:rFonts w:ascii="Times New Roman" w:hAnsi="Times New Roman" w:cs="Times New Roman"/>
            <w:sz w:val="24"/>
            <w:szCs w:val="24"/>
          </w:rPr>
          <w:t>https://doi.org/10.2307/j.ctv13gvh20</w:t>
        </w:r>
      </w:hyperlink>
      <w:r w:rsidRPr="00F45263">
        <w:rPr>
          <w:rFonts w:ascii="Times New Roman" w:hAnsi="Times New Roman" w:cs="Times New Roman"/>
          <w:sz w:val="24"/>
          <w:szCs w:val="24"/>
        </w:rPr>
        <w:t xml:space="preserve"> </w:t>
      </w:r>
    </w:p>
    <w:p w14:paraId="0A6D6535" w14:textId="3866513F" w:rsidR="00F45263" w:rsidRPr="00600003" w:rsidRDefault="00F45263" w:rsidP="00DE645D">
      <w:pPr>
        <w:rPr>
          <w:rFonts w:ascii="Times New Roman" w:hAnsi="Times New Roman" w:cs="Times New Roman"/>
          <w:sz w:val="24"/>
          <w:szCs w:val="24"/>
        </w:rPr>
      </w:pPr>
      <w:r w:rsidRPr="00600003">
        <w:rPr>
          <w:rFonts w:ascii="Times New Roman" w:hAnsi="Times New Roman" w:cs="Times New Roman"/>
          <w:sz w:val="24"/>
          <w:szCs w:val="24"/>
        </w:rPr>
        <w:t xml:space="preserve">Van Heesch, Johan. </w:t>
      </w:r>
      <w:r w:rsidRPr="00600003">
        <w:rPr>
          <w:rFonts w:ascii="Times New Roman" w:hAnsi="Times New Roman" w:cs="Times New Roman"/>
          <w:sz w:val="24"/>
          <w:szCs w:val="24"/>
        </w:rPr>
        <w:t xml:space="preserve">“Celtic Coins and Religious Deposits in Belgium.” In </w:t>
      </w:r>
      <w:r w:rsidRPr="00600003">
        <w:rPr>
          <w:rFonts w:ascii="Times New Roman" w:hAnsi="Times New Roman" w:cs="Times New Roman"/>
          <w:i/>
          <w:iCs/>
          <w:sz w:val="24"/>
          <w:szCs w:val="24"/>
        </w:rPr>
        <w:t>Ritual and Iron Age Coinage in North-West Europe</w:t>
      </w:r>
      <w:r w:rsidRPr="00600003">
        <w:rPr>
          <w:rFonts w:ascii="Times New Roman" w:hAnsi="Times New Roman" w:cs="Times New Roman"/>
          <w:sz w:val="24"/>
          <w:szCs w:val="24"/>
        </w:rPr>
        <w:t>, edited by C. Haselgrove and D. Wigg</w:t>
      </w:r>
      <w:r w:rsidR="00600003" w:rsidRPr="00600003">
        <w:rPr>
          <w:rFonts w:ascii="Times New Roman" w:hAnsi="Times New Roman" w:cs="Times New Roman"/>
          <w:sz w:val="24"/>
          <w:szCs w:val="24"/>
        </w:rPr>
        <w:t xml:space="preserve">. Philipp von </w:t>
      </w:r>
      <w:proofErr w:type="spellStart"/>
      <w:r w:rsidR="00600003" w:rsidRPr="00600003">
        <w:rPr>
          <w:rFonts w:ascii="Times New Roman" w:hAnsi="Times New Roman" w:cs="Times New Roman"/>
          <w:sz w:val="24"/>
          <w:szCs w:val="24"/>
        </w:rPr>
        <w:t>Zabern</w:t>
      </w:r>
      <w:proofErr w:type="spellEnd"/>
      <w:r w:rsidR="00600003" w:rsidRPr="00600003">
        <w:rPr>
          <w:rFonts w:ascii="Times New Roman" w:hAnsi="Times New Roman" w:cs="Times New Roman"/>
          <w:sz w:val="24"/>
          <w:szCs w:val="24"/>
        </w:rPr>
        <w:t xml:space="preserve">, 2005. </w:t>
      </w:r>
    </w:p>
    <w:p w14:paraId="7C8DD945" w14:textId="0857AF94" w:rsidR="00DE645D" w:rsidRPr="00F45263" w:rsidRDefault="00DE645D" w:rsidP="00DE645D">
      <w:pPr>
        <w:rPr>
          <w:rFonts w:ascii="Times New Roman" w:hAnsi="Times New Roman" w:cs="Times New Roman"/>
          <w:sz w:val="24"/>
          <w:szCs w:val="24"/>
        </w:rPr>
      </w:pPr>
      <w:proofErr w:type="spellStart"/>
      <w:r w:rsidRPr="00F45263">
        <w:rPr>
          <w:rFonts w:ascii="Times New Roman" w:hAnsi="Times New Roman" w:cs="Times New Roman"/>
          <w:sz w:val="24"/>
          <w:szCs w:val="24"/>
        </w:rPr>
        <w:t>Warmind</w:t>
      </w:r>
      <w:proofErr w:type="spellEnd"/>
      <w:r w:rsidRPr="00F45263">
        <w:rPr>
          <w:rFonts w:ascii="Times New Roman" w:hAnsi="Times New Roman" w:cs="Times New Roman"/>
          <w:sz w:val="24"/>
          <w:szCs w:val="24"/>
        </w:rPr>
        <w:t xml:space="preserve">, Morten. “Once More the Celtic Horse-Goddess.” </w:t>
      </w:r>
      <w:r w:rsidRPr="00F45263">
        <w:rPr>
          <w:rFonts w:ascii="Times New Roman" w:hAnsi="Times New Roman" w:cs="Times New Roman"/>
          <w:i/>
          <w:iCs/>
          <w:sz w:val="24"/>
          <w:szCs w:val="24"/>
        </w:rPr>
        <w:t>Proceedings of the Harvard Celtic Colloquium</w:t>
      </w:r>
      <w:r w:rsidRPr="00F45263">
        <w:rPr>
          <w:rFonts w:ascii="Times New Roman" w:hAnsi="Times New Roman" w:cs="Times New Roman"/>
          <w:sz w:val="24"/>
          <w:szCs w:val="24"/>
        </w:rPr>
        <w:t xml:space="preserve"> 36 (2016): 231–40. </w:t>
      </w:r>
      <w:hyperlink r:id="rId11" w:history="1">
        <w:r w:rsidR="00F45263" w:rsidRPr="00F45263">
          <w:rPr>
            <w:rStyle w:val="Hyperlink"/>
            <w:rFonts w:ascii="Times New Roman" w:hAnsi="Times New Roman" w:cs="Times New Roman"/>
            <w:sz w:val="24"/>
            <w:szCs w:val="24"/>
          </w:rPr>
          <w:t>http://www.jstor.org/stable/26383351</w:t>
        </w:r>
      </w:hyperlink>
      <w:r w:rsidR="00F45263" w:rsidRPr="00F45263">
        <w:rPr>
          <w:rFonts w:ascii="Times New Roman" w:hAnsi="Times New Roman" w:cs="Times New Roman"/>
          <w:sz w:val="24"/>
          <w:szCs w:val="24"/>
        </w:rPr>
        <w:t xml:space="preserve"> </w:t>
      </w:r>
    </w:p>
    <w:p w14:paraId="42FA6D9D" w14:textId="79FAA1EE" w:rsidR="00C64A5B" w:rsidRPr="00F45263" w:rsidRDefault="00F45263" w:rsidP="00FE5221">
      <w:pPr>
        <w:rPr>
          <w:rFonts w:ascii="Times New Roman" w:hAnsi="Times New Roman" w:cs="Times New Roman"/>
          <w:sz w:val="24"/>
          <w:szCs w:val="24"/>
        </w:rPr>
      </w:pPr>
      <w:r w:rsidRPr="00F45263">
        <w:rPr>
          <w:rFonts w:ascii="Times New Roman" w:hAnsi="Times New Roman" w:cs="Times New Roman"/>
          <w:sz w:val="24"/>
          <w:szCs w:val="24"/>
        </w:rPr>
        <w:t xml:space="preserve">Wills, Matthew. “What Does it Mean to be Celtic?” </w:t>
      </w:r>
      <w:r w:rsidRPr="00F45263">
        <w:rPr>
          <w:rFonts w:ascii="Times New Roman" w:hAnsi="Times New Roman" w:cs="Times New Roman"/>
          <w:i/>
          <w:iCs/>
          <w:sz w:val="24"/>
          <w:szCs w:val="24"/>
        </w:rPr>
        <w:t>JSTOR Daily.</w:t>
      </w:r>
      <w:r w:rsidRPr="00F45263">
        <w:rPr>
          <w:rFonts w:ascii="Times New Roman" w:hAnsi="Times New Roman" w:cs="Times New Roman"/>
          <w:sz w:val="24"/>
          <w:szCs w:val="24"/>
        </w:rPr>
        <w:t xml:space="preserve"> 19</w:t>
      </w:r>
      <w:r w:rsidRPr="00F45263">
        <w:rPr>
          <w:rFonts w:ascii="Times New Roman" w:hAnsi="Times New Roman" w:cs="Times New Roman"/>
          <w:sz w:val="24"/>
          <w:szCs w:val="24"/>
          <w:vertAlign w:val="superscript"/>
        </w:rPr>
        <w:t>th</w:t>
      </w:r>
      <w:r w:rsidRPr="00F45263">
        <w:rPr>
          <w:rFonts w:ascii="Times New Roman" w:hAnsi="Times New Roman" w:cs="Times New Roman"/>
          <w:sz w:val="24"/>
          <w:szCs w:val="24"/>
        </w:rPr>
        <w:t xml:space="preserve"> June 2019.  </w:t>
      </w:r>
      <w:hyperlink r:id="rId12" w:history="1">
        <w:r w:rsidR="005E5AE2" w:rsidRPr="00F45263">
          <w:rPr>
            <w:rStyle w:val="Hyperlink"/>
            <w:rFonts w:ascii="Times New Roman" w:hAnsi="Times New Roman" w:cs="Times New Roman"/>
            <w:sz w:val="24"/>
            <w:szCs w:val="24"/>
          </w:rPr>
          <w:t>https://daily.jstor.org/what-does-it-mean-to-be-celtic/</w:t>
        </w:r>
      </w:hyperlink>
      <w:r w:rsidR="005E5AE2" w:rsidRPr="00F45263">
        <w:rPr>
          <w:rFonts w:ascii="Times New Roman" w:hAnsi="Times New Roman" w:cs="Times New Roman"/>
          <w:sz w:val="24"/>
          <w:szCs w:val="24"/>
        </w:rPr>
        <w:t xml:space="preserve"> </w:t>
      </w:r>
    </w:p>
    <w:sectPr w:rsidR="00C64A5B" w:rsidRPr="00F452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49659AF"/>
    <w:multiLevelType w:val="hybridMultilevel"/>
    <w:tmpl w:val="FC24BC74"/>
    <w:lvl w:ilvl="0" w:tplc="81589AB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960FEC"/>
    <w:multiLevelType w:val="hybridMultilevel"/>
    <w:tmpl w:val="3690B014"/>
    <w:lvl w:ilvl="0" w:tplc="F1AC0DA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53492773">
    <w:abstractNumId w:val="0"/>
  </w:num>
  <w:num w:numId="2" w16cid:durableId="19836592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01BB"/>
    <w:rsid w:val="00034892"/>
    <w:rsid w:val="000518F3"/>
    <w:rsid w:val="000C55AB"/>
    <w:rsid w:val="00123149"/>
    <w:rsid w:val="00133314"/>
    <w:rsid w:val="001478B8"/>
    <w:rsid w:val="001F5843"/>
    <w:rsid w:val="00224400"/>
    <w:rsid w:val="002372DC"/>
    <w:rsid w:val="002C0E1F"/>
    <w:rsid w:val="0030466E"/>
    <w:rsid w:val="003236BD"/>
    <w:rsid w:val="003375F9"/>
    <w:rsid w:val="00370929"/>
    <w:rsid w:val="00372ADC"/>
    <w:rsid w:val="00377D92"/>
    <w:rsid w:val="00380854"/>
    <w:rsid w:val="003D493E"/>
    <w:rsid w:val="004001AA"/>
    <w:rsid w:val="00451FD5"/>
    <w:rsid w:val="004A1751"/>
    <w:rsid w:val="004A3818"/>
    <w:rsid w:val="004A678F"/>
    <w:rsid w:val="004C7471"/>
    <w:rsid w:val="00515D42"/>
    <w:rsid w:val="00535810"/>
    <w:rsid w:val="00570FF4"/>
    <w:rsid w:val="00574E9B"/>
    <w:rsid w:val="005E5AE2"/>
    <w:rsid w:val="00600003"/>
    <w:rsid w:val="0060666C"/>
    <w:rsid w:val="006649BD"/>
    <w:rsid w:val="0068399A"/>
    <w:rsid w:val="0072653E"/>
    <w:rsid w:val="007436B4"/>
    <w:rsid w:val="00781A78"/>
    <w:rsid w:val="00782EB2"/>
    <w:rsid w:val="007F0240"/>
    <w:rsid w:val="008101BB"/>
    <w:rsid w:val="00845FA1"/>
    <w:rsid w:val="008A3C65"/>
    <w:rsid w:val="0092257F"/>
    <w:rsid w:val="00934F36"/>
    <w:rsid w:val="00940F38"/>
    <w:rsid w:val="00941E6D"/>
    <w:rsid w:val="0094230A"/>
    <w:rsid w:val="00943694"/>
    <w:rsid w:val="009A2104"/>
    <w:rsid w:val="009A69A9"/>
    <w:rsid w:val="009B24DD"/>
    <w:rsid w:val="009B332F"/>
    <w:rsid w:val="009D2DC3"/>
    <w:rsid w:val="009F71B9"/>
    <w:rsid w:val="00A25174"/>
    <w:rsid w:val="00A37CDC"/>
    <w:rsid w:val="00A40088"/>
    <w:rsid w:val="00AB67FB"/>
    <w:rsid w:val="00B009F2"/>
    <w:rsid w:val="00B36AB1"/>
    <w:rsid w:val="00B720DD"/>
    <w:rsid w:val="00BF7A6C"/>
    <w:rsid w:val="00C242B2"/>
    <w:rsid w:val="00C56062"/>
    <w:rsid w:val="00C64A5B"/>
    <w:rsid w:val="00C66A90"/>
    <w:rsid w:val="00C9698C"/>
    <w:rsid w:val="00CB5E04"/>
    <w:rsid w:val="00CE21CB"/>
    <w:rsid w:val="00D80C15"/>
    <w:rsid w:val="00D9053C"/>
    <w:rsid w:val="00DD26AE"/>
    <w:rsid w:val="00DE645D"/>
    <w:rsid w:val="00E43E25"/>
    <w:rsid w:val="00E47C49"/>
    <w:rsid w:val="00ED11DF"/>
    <w:rsid w:val="00EE35A7"/>
    <w:rsid w:val="00F40323"/>
    <w:rsid w:val="00F45263"/>
    <w:rsid w:val="00FE52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978AB"/>
  <w15:chartTrackingRefBased/>
  <w15:docId w15:val="{99B0F2D5-1359-412B-A65B-3E4FB0DA5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01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01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01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01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01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01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01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01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01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01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01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01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01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01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01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01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01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01BB"/>
    <w:rPr>
      <w:rFonts w:eastAsiaTheme="majorEastAsia" w:cstheme="majorBidi"/>
      <w:color w:val="272727" w:themeColor="text1" w:themeTint="D8"/>
    </w:rPr>
  </w:style>
  <w:style w:type="paragraph" w:styleId="Title">
    <w:name w:val="Title"/>
    <w:basedOn w:val="Normal"/>
    <w:next w:val="Normal"/>
    <w:link w:val="TitleChar"/>
    <w:uiPriority w:val="10"/>
    <w:qFormat/>
    <w:rsid w:val="008101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01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01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01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01BB"/>
    <w:pPr>
      <w:spacing w:before="160"/>
      <w:jc w:val="center"/>
    </w:pPr>
    <w:rPr>
      <w:i/>
      <w:iCs/>
      <w:color w:val="404040" w:themeColor="text1" w:themeTint="BF"/>
    </w:rPr>
  </w:style>
  <w:style w:type="character" w:customStyle="1" w:styleId="QuoteChar">
    <w:name w:val="Quote Char"/>
    <w:basedOn w:val="DefaultParagraphFont"/>
    <w:link w:val="Quote"/>
    <w:uiPriority w:val="29"/>
    <w:rsid w:val="008101BB"/>
    <w:rPr>
      <w:i/>
      <w:iCs/>
      <w:color w:val="404040" w:themeColor="text1" w:themeTint="BF"/>
    </w:rPr>
  </w:style>
  <w:style w:type="paragraph" w:styleId="ListParagraph">
    <w:name w:val="List Paragraph"/>
    <w:basedOn w:val="Normal"/>
    <w:uiPriority w:val="34"/>
    <w:qFormat/>
    <w:rsid w:val="008101BB"/>
    <w:pPr>
      <w:ind w:left="720"/>
      <w:contextualSpacing/>
    </w:pPr>
  </w:style>
  <w:style w:type="character" w:styleId="IntenseEmphasis">
    <w:name w:val="Intense Emphasis"/>
    <w:basedOn w:val="DefaultParagraphFont"/>
    <w:uiPriority w:val="21"/>
    <w:qFormat/>
    <w:rsid w:val="008101BB"/>
    <w:rPr>
      <w:i/>
      <w:iCs/>
      <w:color w:val="0F4761" w:themeColor="accent1" w:themeShade="BF"/>
    </w:rPr>
  </w:style>
  <w:style w:type="paragraph" w:styleId="IntenseQuote">
    <w:name w:val="Intense Quote"/>
    <w:basedOn w:val="Normal"/>
    <w:next w:val="Normal"/>
    <w:link w:val="IntenseQuoteChar"/>
    <w:uiPriority w:val="30"/>
    <w:qFormat/>
    <w:rsid w:val="008101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01BB"/>
    <w:rPr>
      <w:i/>
      <w:iCs/>
      <w:color w:val="0F4761" w:themeColor="accent1" w:themeShade="BF"/>
    </w:rPr>
  </w:style>
  <w:style w:type="character" w:styleId="IntenseReference">
    <w:name w:val="Intense Reference"/>
    <w:basedOn w:val="DefaultParagraphFont"/>
    <w:uiPriority w:val="32"/>
    <w:qFormat/>
    <w:rsid w:val="008101BB"/>
    <w:rPr>
      <w:b/>
      <w:bCs/>
      <w:smallCaps/>
      <w:color w:val="0F4761" w:themeColor="accent1" w:themeShade="BF"/>
      <w:spacing w:val="5"/>
    </w:rPr>
  </w:style>
  <w:style w:type="character" w:styleId="CommentReference">
    <w:name w:val="annotation reference"/>
    <w:basedOn w:val="DefaultParagraphFont"/>
    <w:uiPriority w:val="99"/>
    <w:semiHidden/>
    <w:unhideWhenUsed/>
    <w:rsid w:val="00FE5221"/>
    <w:rPr>
      <w:sz w:val="16"/>
      <w:szCs w:val="16"/>
    </w:rPr>
  </w:style>
  <w:style w:type="paragraph" w:styleId="CommentText">
    <w:name w:val="annotation text"/>
    <w:basedOn w:val="Normal"/>
    <w:link w:val="CommentTextChar"/>
    <w:uiPriority w:val="99"/>
    <w:unhideWhenUsed/>
    <w:rsid w:val="00FE5221"/>
    <w:pPr>
      <w:spacing w:line="240" w:lineRule="auto"/>
    </w:pPr>
    <w:rPr>
      <w:sz w:val="20"/>
      <w:szCs w:val="20"/>
    </w:rPr>
  </w:style>
  <w:style w:type="character" w:customStyle="1" w:styleId="CommentTextChar">
    <w:name w:val="Comment Text Char"/>
    <w:basedOn w:val="DefaultParagraphFont"/>
    <w:link w:val="CommentText"/>
    <w:uiPriority w:val="99"/>
    <w:rsid w:val="00FE5221"/>
    <w:rPr>
      <w:sz w:val="20"/>
      <w:szCs w:val="20"/>
    </w:rPr>
  </w:style>
  <w:style w:type="paragraph" w:styleId="CommentSubject">
    <w:name w:val="annotation subject"/>
    <w:basedOn w:val="CommentText"/>
    <w:next w:val="CommentText"/>
    <w:link w:val="CommentSubjectChar"/>
    <w:uiPriority w:val="99"/>
    <w:semiHidden/>
    <w:unhideWhenUsed/>
    <w:rsid w:val="00FE5221"/>
    <w:rPr>
      <w:b/>
      <w:bCs/>
    </w:rPr>
  </w:style>
  <w:style w:type="character" w:customStyle="1" w:styleId="CommentSubjectChar">
    <w:name w:val="Comment Subject Char"/>
    <w:basedOn w:val="CommentTextChar"/>
    <w:link w:val="CommentSubject"/>
    <w:uiPriority w:val="99"/>
    <w:semiHidden/>
    <w:rsid w:val="00FE5221"/>
    <w:rPr>
      <w:b/>
      <w:bCs/>
      <w:sz w:val="20"/>
      <w:szCs w:val="20"/>
    </w:rPr>
  </w:style>
  <w:style w:type="character" w:styleId="Hyperlink">
    <w:name w:val="Hyperlink"/>
    <w:basedOn w:val="DefaultParagraphFont"/>
    <w:uiPriority w:val="99"/>
    <w:unhideWhenUsed/>
    <w:rsid w:val="005E5AE2"/>
    <w:rPr>
      <w:color w:val="467886" w:themeColor="hyperlink"/>
      <w:u w:val="single"/>
    </w:rPr>
  </w:style>
  <w:style w:type="character" w:styleId="UnresolvedMention">
    <w:name w:val="Unresolved Mention"/>
    <w:basedOn w:val="DefaultParagraphFont"/>
    <w:uiPriority w:val="99"/>
    <w:semiHidden/>
    <w:unhideWhenUsed/>
    <w:rsid w:val="005E5A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4271292">
      <w:bodyDiv w:val="1"/>
      <w:marLeft w:val="0"/>
      <w:marRight w:val="0"/>
      <w:marTop w:val="0"/>
      <w:marBottom w:val="0"/>
      <w:divBdr>
        <w:top w:val="none" w:sz="0" w:space="0" w:color="auto"/>
        <w:left w:val="none" w:sz="0" w:space="0" w:color="auto"/>
        <w:bottom w:val="none" w:sz="0" w:space="0" w:color="auto"/>
        <w:right w:val="none" w:sz="0" w:space="0" w:color="auto"/>
      </w:divBdr>
      <w:divsChild>
        <w:div w:id="265234621">
          <w:marLeft w:val="0"/>
          <w:marRight w:val="0"/>
          <w:marTop w:val="0"/>
          <w:marBottom w:val="0"/>
          <w:divBdr>
            <w:top w:val="none" w:sz="0" w:space="0" w:color="auto"/>
            <w:left w:val="none" w:sz="0" w:space="0" w:color="auto"/>
            <w:bottom w:val="none" w:sz="0" w:space="0" w:color="auto"/>
            <w:right w:val="none" w:sz="0" w:space="0" w:color="auto"/>
          </w:divBdr>
        </w:div>
      </w:divsChild>
    </w:div>
    <w:div w:id="197662932">
      <w:bodyDiv w:val="1"/>
      <w:marLeft w:val="0"/>
      <w:marRight w:val="0"/>
      <w:marTop w:val="0"/>
      <w:marBottom w:val="0"/>
      <w:divBdr>
        <w:top w:val="none" w:sz="0" w:space="0" w:color="auto"/>
        <w:left w:val="none" w:sz="0" w:space="0" w:color="auto"/>
        <w:bottom w:val="none" w:sz="0" w:space="0" w:color="auto"/>
        <w:right w:val="none" w:sz="0" w:space="0" w:color="auto"/>
      </w:divBdr>
      <w:divsChild>
        <w:div w:id="717440832">
          <w:marLeft w:val="0"/>
          <w:marRight w:val="0"/>
          <w:marTop w:val="0"/>
          <w:marBottom w:val="0"/>
          <w:divBdr>
            <w:top w:val="none" w:sz="0" w:space="0" w:color="auto"/>
            <w:left w:val="none" w:sz="0" w:space="0" w:color="auto"/>
            <w:bottom w:val="none" w:sz="0" w:space="0" w:color="auto"/>
            <w:right w:val="none" w:sz="0" w:space="0" w:color="auto"/>
          </w:divBdr>
          <w:divsChild>
            <w:div w:id="2113939353">
              <w:marLeft w:val="0"/>
              <w:marRight w:val="0"/>
              <w:marTop w:val="0"/>
              <w:marBottom w:val="0"/>
              <w:divBdr>
                <w:top w:val="none" w:sz="0" w:space="0" w:color="auto"/>
                <w:left w:val="none" w:sz="0" w:space="0" w:color="auto"/>
                <w:bottom w:val="none" w:sz="0" w:space="0" w:color="auto"/>
                <w:right w:val="none" w:sz="0" w:space="0" w:color="auto"/>
              </w:divBdr>
              <w:divsChild>
                <w:div w:id="1785153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7247410">
      <w:bodyDiv w:val="1"/>
      <w:marLeft w:val="0"/>
      <w:marRight w:val="0"/>
      <w:marTop w:val="0"/>
      <w:marBottom w:val="0"/>
      <w:divBdr>
        <w:top w:val="none" w:sz="0" w:space="0" w:color="auto"/>
        <w:left w:val="none" w:sz="0" w:space="0" w:color="auto"/>
        <w:bottom w:val="none" w:sz="0" w:space="0" w:color="auto"/>
        <w:right w:val="none" w:sz="0" w:space="0" w:color="auto"/>
      </w:divBdr>
      <w:divsChild>
        <w:div w:id="299966673">
          <w:marLeft w:val="0"/>
          <w:marRight w:val="0"/>
          <w:marTop w:val="0"/>
          <w:marBottom w:val="0"/>
          <w:divBdr>
            <w:top w:val="none" w:sz="0" w:space="0" w:color="auto"/>
            <w:left w:val="none" w:sz="0" w:space="0" w:color="auto"/>
            <w:bottom w:val="none" w:sz="0" w:space="0" w:color="auto"/>
            <w:right w:val="none" w:sz="0" w:space="0" w:color="auto"/>
          </w:divBdr>
          <w:divsChild>
            <w:div w:id="2036344331">
              <w:marLeft w:val="0"/>
              <w:marRight w:val="0"/>
              <w:marTop w:val="0"/>
              <w:marBottom w:val="0"/>
              <w:divBdr>
                <w:top w:val="none" w:sz="0" w:space="0" w:color="auto"/>
                <w:left w:val="none" w:sz="0" w:space="0" w:color="auto"/>
                <w:bottom w:val="none" w:sz="0" w:space="0" w:color="auto"/>
                <w:right w:val="none" w:sz="0" w:space="0" w:color="auto"/>
              </w:divBdr>
              <w:divsChild>
                <w:div w:id="155608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8923873">
      <w:bodyDiv w:val="1"/>
      <w:marLeft w:val="0"/>
      <w:marRight w:val="0"/>
      <w:marTop w:val="0"/>
      <w:marBottom w:val="0"/>
      <w:divBdr>
        <w:top w:val="none" w:sz="0" w:space="0" w:color="auto"/>
        <w:left w:val="none" w:sz="0" w:space="0" w:color="auto"/>
        <w:bottom w:val="none" w:sz="0" w:space="0" w:color="auto"/>
        <w:right w:val="none" w:sz="0" w:space="0" w:color="auto"/>
      </w:divBdr>
      <w:divsChild>
        <w:div w:id="985162970">
          <w:marLeft w:val="0"/>
          <w:marRight w:val="0"/>
          <w:marTop w:val="0"/>
          <w:marBottom w:val="0"/>
          <w:divBdr>
            <w:top w:val="none" w:sz="0" w:space="0" w:color="auto"/>
            <w:left w:val="none" w:sz="0" w:space="0" w:color="auto"/>
            <w:bottom w:val="none" w:sz="0" w:space="0" w:color="auto"/>
            <w:right w:val="none" w:sz="0" w:space="0" w:color="auto"/>
          </w:divBdr>
          <w:divsChild>
            <w:div w:id="581572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718587">
      <w:bodyDiv w:val="1"/>
      <w:marLeft w:val="0"/>
      <w:marRight w:val="0"/>
      <w:marTop w:val="0"/>
      <w:marBottom w:val="0"/>
      <w:divBdr>
        <w:top w:val="none" w:sz="0" w:space="0" w:color="auto"/>
        <w:left w:val="none" w:sz="0" w:space="0" w:color="auto"/>
        <w:bottom w:val="none" w:sz="0" w:space="0" w:color="auto"/>
        <w:right w:val="none" w:sz="0" w:space="0" w:color="auto"/>
      </w:divBdr>
      <w:divsChild>
        <w:div w:id="1026716544">
          <w:marLeft w:val="0"/>
          <w:marRight w:val="0"/>
          <w:marTop w:val="0"/>
          <w:marBottom w:val="0"/>
          <w:divBdr>
            <w:top w:val="none" w:sz="0" w:space="0" w:color="auto"/>
            <w:left w:val="none" w:sz="0" w:space="0" w:color="auto"/>
            <w:bottom w:val="none" w:sz="0" w:space="0" w:color="auto"/>
            <w:right w:val="none" w:sz="0" w:space="0" w:color="auto"/>
          </w:divBdr>
          <w:divsChild>
            <w:div w:id="1116405958">
              <w:marLeft w:val="0"/>
              <w:marRight w:val="0"/>
              <w:marTop w:val="0"/>
              <w:marBottom w:val="0"/>
              <w:divBdr>
                <w:top w:val="none" w:sz="0" w:space="0" w:color="auto"/>
                <w:left w:val="none" w:sz="0" w:space="0" w:color="auto"/>
                <w:bottom w:val="none" w:sz="0" w:space="0" w:color="auto"/>
                <w:right w:val="none" w:sz="0" w:space="0" w:color="auto"/>
              </w:divBdr>
              <w:divsChild>
                <w:div w:id="530873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4124677">
      <w:bodyDiv w:val="1"/>
      <w:marLeft w:val="0"/>
      <w:marRight w:val="0"/>
      <w:marTop w:val="0"/>
      <w:marBottom w:val="0"/>
      <w:divBdr>
        <w:top w:val="none" w:sz="0" w:space="0" w:color="auto"/>
        <w:left w:val="none" w:sz="0" w:space="0" w:color="auto"/>
        <w:bottom w:val="none" w:sz="0" w:space="0" w:color="auto"/>
        <w:right w:val="none" w:sz="0" w:space="0" w:color="auto"/>
      </w:divBdr>
      <w:divsChild>
        <w:div w:id="1321078726">
          <w:marLeft w:val="0"/>
          <w:marRight w:val="0"/>
          <w:marTop w:val="0"/>
          <w:marBottom w:val="0"/>
          <w:divBdr>
            <w:top w:val="none" w:sz="0" w:space="0" w:color="auto"/>
            <w:left w:val="none" w:sz="0" w:space="0" w:color="auto"/>
            <w:bottom w:val="none" w:sz="0" w:space="0" w:color="auto"/>
            <w:right w:val="none" w:sz="0" w:space="0" w:color="auto"/>
          </w:divBdr>
          <w:divsChild>
            <w:div w:id="26878160">
              <w:marLeft w:val="0"/>
              <w:marRight w:val="0"/>
              <w:marTop w:val="0"/>
              <w:marBottom w:val="0"/>
              <w:divBdr>
                <w:top w:val="none" w:sz="0" w:space="0" w:color="auto"/>
                <w:left w:val="none" w:sz="0" w:space="0" w:color="auto"/>
                <w:bottom w:val="none" w:sz="0" w:space="0" w:color="auto"/>
                <w:right w:val="none" w:sz="0" w:space="0" w:color="auto"/>
              </w:divBdr>
              <w:divsChild>
                <w:div w:id="95316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2730241">
      <w:bodyDiv w:val="1"/>
      <w:marLeft w:val="0"/>
      <w:marRight w:val="0"/>
      <w:marTop w:val="0"/>
      <w:marBottom w:val="0"/>
      <w:divBdr>
        <w:top w:val="none" w:sz="0" w:space="0" w:color="auto"/>
        <w:left w:val="none" w:sz="0" w:space="0" w:color="auto"/>
        <w:bottom w:val="none" w:sz="0" w:space="0" w:color="auto"/>
        <w:right w:val="none" w:sz="0" w:space="0" w:color="auto"/>
      </w:divBdr>
      <w:divsChild>
        <w:div w:id="879367354">
          <w:marLeft w:val="0"/>
          <w:marRight w:val="0"/>
          <w:marTop w:val="0"/>
          <w:marBottom w:val="0"/>
          <w:divBdr>
            <w:top w:val="none" w:sz="0" w:space="0" w:color="auto"/>
            <w:left w:val="none" w:sz="0" w:space="0" w:color="auto"/>
            <w:bottom w:val="none" w:sz="0" w:space="0" w:color="auto"/>
            <w:right w:val="none" w:sz="0" w:space="0" w:color="auto"/>
          </w:divBdr>
          <w:divsChild>
            <w:div w:id="566571580">
              <w:marLeft w:val="0"/>
              <w:marRight w:val="0"/>
              <w:marTop w:val="0"/>
              <w:marBottom w:val="0"/>
              <w:divBdr>
                <w:top w:val="none" w:sz="0" w:space="0" w:color="auto"/>
                <w:left w:val="none" w:sz="0" w:space="0" w:color="auto"/>
                <w:bottom w:val="none" w:sz="0" w:space="0" w:color="auto"/>
                <w:right w:val="none" w:sz="0" w:space="0" w:color="auto"/>
              </w:divBdr>
              <w:divsChild>
                <w:div w:id="1467698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467097">
      <w:bodyDiv w:val="1"/>
      <w:marLeft w:val="0"/>
      <w:marRight w:val="0"/>
      <w:marTop w:val="0"/>
      <w:marBottom w:val="0"/>
      <w:divBdr>
        <w:top w:val="none" w:sz="0" w:space="0" w:color="auto"/>
        <w:left w:val="none" w:sz="0" w:space="0" w:color="auto"/>
        <w:bottom w:val="none" w:sz="0" w:space="0" w:color="auto"/>
        <w:right w:val="none" w:sz="0" w:space="0" w:color="auto"/>
      </w:divBdr>
      <w:divsChild>
        <w:div w:id="1682077588">
          <w:marLeft w:val="0"/>
          <w:marRight w:val="0"/>
          <w:marTop w:val="0"/>
          <w:marBottom w:val="0"/>
          <w:divBdr>
            <w:top w:val="none" w:sz="0" w:space="0" w:color="auto"/>
            <w:left w:val="none" w:sz="0" w:space="0" w:color="auto"/>
            <w:bottom w:val="none" w:sz="0" w:space="0" w:color="auto"/>
            <w:right w:val="none" w:sz="0" w:space="0" w:color="auto"/>
          </w:divBdr>
        </w:div>
      </w:divsChild>
    </w:div>
    <w:div w:id="1122261026">
      <w:bodyDiv w:val="1"/>
      <w:marLeft w:val="0"/>
      <w:marRight w:val="0"/>
      <w:marTop w:val="0"/>
      <w:marBottom w:val="0"/>
      <w:divBdr>
        <w:top w:val="none" w:sz="0" w:space="0" w:color="auto"/>
        <w:left w:val="none" w:sz="0" w:space="0" w:color="auto"/>
        <w:bottom w:val="none" w:sz="0" w:space="0" w:color="auto"/>
        <w:right w:val="none" w:sz="0" w:space="0" w:color="auto"/>
      </w:divBdr>
      <w:divsChild>
        <w:div w:id="356976879">
          <w:marLeft w:val="0"/>
          <w:marRight w:val="0"/>
          <w:marTop w:val="0"/>
          <w:marBottom w:val="0"/>
          <w:divBdr>
            <w:top w:val="none" w:sz="0" w:space="0" w:color="auto"/>
            <w:left w:val="none" w:sz="0" w:space="0" w:color="auto"/>
            <w:bottom w:val="none" w:sz="0" w:space="0" w:color="auto"/>
            <w:right w:val="none" w:sz="0" w:space="0" w:color="auto"/>
          </w:divBdr>
          <w:divsChild>
            <w:div w:id="414014971">
              <w:marLeft w:val="0"/>
              <w:marRight w:val="0"/>
              <w:marTop w:val="0"/>
              <w:marBottom w:val="0"/>
              <w:divBdr>
                <w:top w:val="none" w:sz="0" w:space="0" w:color="auto"/>
                <w:left w:val="none" w:sz="0" w:space="0" w:color="auto"/>
                <w:bottom w:val="none" w:sz="0" w:space="0" w:color="auto"/>
                <w:right w:val="none" w:sz="0" w:space="0" w:color="auto"/>
              </w:divBdr>
              <w:divsChild>
                <w:div w:id="1739205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7128379">
      <w:bodyDiv w:val="1"/>
      <w:marLeft w:val="0"/>
      <w:marRight w:val="0"/>
      <w:marTop w:val="0"/>
      <w:marBottom w:val="0"/>
      <w:divBdr>
        <w:top w:val="none" w:sz="0" w:space="0" w:color="auto"/>
        <w:left w:val="none" w:sz="0" w:space="0" w:color="auto"/>
        <w:bottom w:val="none" w:sz="0" w:space="0" w:color="auto"/>
        <w:right w:val="none" w:sz="0" w:space="0" w:color="auto"/>
      </w:divBdr>
      <w:divsChild>
        <w:div w:id="1442532863">
          <w:marLeft w:val="0"/>
          <w:marRight w:val="0"/>
          <w:marTop w:val="0"/>
          <w:marBottom w:val="0"/>
          <w:divBdr>
            <w:top w:val="none" w:sz="0" w:space="0" w:color="auto"/>
            <w:left w:val="none" w:sz="0" w:space="0" w:color="auto"/>
            <w:bottom w:val="none" w:sz="0" w:space="0" w:color="auto"/>
            <w:right w:val="none" w:sz="0" w:space="0" w:color="auto"/>
          </w:divBdr>
          <w:divsChild>
            <w:div w:id="206262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1751320">
      <w:bodyDiv w:val="1"/>
      <w:marLeft w:val="0"/>
      <w:marRight w:val="0"/>
      <w:marTop w:val="0"/>
      <w:marBottom w:val="0"/>
      <w:divBdr>
        <w:top w:val="none" w:sz="0" w:space="0" w:color="auto"/>
        <w:left w:val="none" w:sz="0" w:space="0" w:color="auto"/>
        <w:bottom w:val="none" w:sz="0" w:space="0" w:color="auto"/>
        <w:right w:val="none" w:sz="0" w:space="0" w:color="auto"/>
      </w:divBdr>
      <w:divsChild>
        <w:div w:id="1535775531">
          <w:marLeft w:val="0"/>
          <w:marRight w:val="0"/>
          <w:marTop w:val="0"/>
          <w:marBottom w:val="0"/>
          <w:divBdr>
            <w:top w:val="none" w:sz="0" w:space="0" w:color="auto"/>
            <w:left w:val="none" w:sz="0" w:space="0" w:color="auto"/>
            <w:bottom w:val="none" w:sz="0" w:space="0" w:color="auto"/>
            <w:right w:val="none" w:sz="0" w:space="0" w:color="auto"/>
          </w:divBdr>
          <w:divsChild>
            <w:div w:id="1185750294">
              <w:marLeft w:val="0"/>
              <w:marRight w:val="0"/>
              <w:marTop w:val="0"/>
              <w:marBottom w:val="0"/>
              <w:divBdr>
                <w:top w:val="none" w:sz="0" w:space="0" w:color="auto"/>
                <w:left w:val="none" w:sz="0" w:space="0" w:color="auto"/>
                <w:bottom w:val="none" w:sz="0" w:space="0" w:color="auto"/>
                <w:right w:val="none" w:sz="0" w:space="0" w:color="auto"/>
              </w:divBdr>
              <w:divsChild>
                <w:div w:id="99687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333503">
      <w:bodyDiv w:val="1"/>
      <w:marLeft w:val="0"/>
      <w:marRight w:val="0"/>
      <w:marTop w:val="0"/>
      <w:marBottom w:val="0"/>
      <w:divBdr>
        <w:top w:val="none" w:sz="0" w:space="0" w:color="auto"/>
        <w:left w:val="none" w:sz="0" w:space="0" w:color="auto"/>
        <w:bottom w:val="none" w:sz="0" w:space="0" w:color="auto"/>
        <w:right w:val="none" w:sz="0" w:space="0" w:color="auto"/>
      </w:divBdr>
      <w:divsChild>
        <w:div w:id="1114400533">
          <w:marLeft w:val="0"/>
          <w:marRight w:val="0"/>
          <w:marTop w:val="0"/>
          <w:marBottom w:val="0"/>
          <w:divBdr>
            <w:top w:val="none" w:sz="0" w:space="0" w:color="auto"/>
            <w:left w:val="none" w:sz="0" w:space="0" w:color="auto"/>
            <w:bottom w:val="none" w:sz="0" w:space="0" w:color="auto"/>
            <w:right w:val="none" w:sz="0" w:space="0" w:color="auto"/>
          </w:divBdr>
        </w:div>
      </w:divsChild>
    </w:div>
    <w:div w:id="1731995276">
      <w:bodyDiv w:val="1"/>
      <w:marLeft w:val="0"/>
      <w:marRight w:val="0"/>
      <w:marTop w:val="0"/>
      <w:marBottom w:val="0"/>
      <w:divBdr>
        <w:top w:val="none" w:sz="0" w:space="0" w:color="auto"/>
        <w:left w:val="none" w:sz="0" w:space="0" w:color="auto"/>
        <w:bottom w:val="none" w:sz="0" w:space="0" w:color="auto"/>
        <w:right w:val="none" w:sz="0" w:space="0" w:color="auto"/>
      </w:divBdr>
      <w:divsChild>
        <w:div w:id="2051609297">
          <w:marLeft w:val="0"/>
          <w:marRight w:val="0"/>
          <w:marTop w:val="0"/>
          <w:marBottom w:val="0"/>
          <w:divBdr>
            <w:top w:val="none" w:sz="0" w:space="0" w:color="auto"/>
            <w:left w:val="none" w:sz="0" w:space="0" w:color="auto"/>
            <w:bottom w:val="none" w:sz="0" w:space="0" w:color="auto"/>
            <w:right w:val="none" w:sz="0" w:space="0" w:color="auto"/>
          </w:divBdr>
          <w:divsChild>
            <w:div w:id="60365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2139448">
      <w:bodyDiv w:val="1"/>
      <w:marLeft w:val="0"/>
      <w:marRight w:val="0"/>
      <w:marTop w:val="0"/>
      <w:marBottom w:val="0"/>
      <w:divBdr>
        <w:top w:val="none" w:sz="0" w:space="0" w:color="auto"/>
        <w:left w:val="none" w:sz="0" w:space="0" w:color="auto"/>
        <w:bottom w:val="none" w:sz="0" w:space="0" w:color="auto"/>
        <w:right w:val="none" w:sz="0" w:space="0" w:color="auto"/>
      </w:divBdr>
      <w:divsChild>
        <w:div w:id="1384866462">
          <w:marLeft w:val="0"/>
          <w:marRight w:val="0"/>
          <w:marTop w:val="0"/>
          <w:marBottom w:val="0"/>
          <w:divBdr>
            <w:top w:val="none" w:sz="0" w:space="0" w:color="auto"/>
            <w:left w:val="none" w:sz="0" w:space="0" w:color="auto"/>
            <w:bottom w:val="none" w:sz="0" w:space="0" w:color="auto"/>
            <w:right w:val="none" w:sz="0" w:space="0" w:color="auto"/>
          </w:divBdr>
          <w:divsChild>
            <w:div w:id="1410929807">
              <w:marLeft w:val="0"/>
              <w:marRight w:val="0"/>
              <w:marTop w:val="0"/>
              <w:marBottom w:val="0"/>
              <w:divBdr>
                <w:top w:val="none" w:sz="0" w:space="0" w:color="auto"/>
                <w:left w:val="none" w:sz="0" w:space="0" w:color="auto"/>
                <w:bottom w:val="none" w:sz="0" w:space="0" w:color="auto"/>
                <w:right w:val="none" w:sz="0" w:space="0" w:color="auto"/>
              </w:divBdr>
              <w:divsChild>
                <w:div w:id="192147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2440618">
      <w:bodyDiv w:val="1"/>
      <w:marLeft w:val="0"/>
      <w:marRight w:val="0"/>
      <w:marTop w:val="0"/>
      <w:marBottom w:val="0"/>
      <w:divBdr>
        <w:top w:val="none" w:sz="0" w:space="0" w:color="auto"/>
        <w:left w:val="none" w:sz="0" w:space="0" w:color="auto"/>
        <w:bottom w:val="none" w:sz="0" w:space="0" w:color="auto"/>
        <w:right w:val="none" w:sz="0" w:space="0" w:color="auto"/>
      </w:divBdr>
      <w:divsChild>
        <w:div w:id="1120879554">
          <w:marLeft w:val="0"/>
          <w:marRight w:val="0"/>
          <w:marTop w:val="0"/>
          <w:marBottom w:val="0"/>
          <w:divBdr>
            <w:top w:val="none" w:sz="0" w:space="0" w:color="auto"/>
            <w:left w:val="none" w:sz="0" w:space="0" w:color="auto"/>
            <w:bottom w:val="none" w:sz="0" w:space="0" w:color="auto"/>
            <w:right w:val="none" w:sz="0" w:space="0" w:color="auto"/>
          </w:divBdr>
        </w:div>
      </w:divsChild>
    </w:div>
    <w:div w:id="2096433910">
      <w:bodyDiv w:val="1"/>
      <w:marLeft w:val="0"/>
      <w:marRight w:val="0"/>
      <w:marTop w:val="0"/>
      <w:marBottom w:val="0"/>
      <w:divBdr>
        <w:top w:val="none" w:sz="0" w:space="0" w:color="auto"/>
        <w:left w:val="none" w:sz="0" w:space="0" w:color="auto"/>
        <w:bottom w:val="none" w:sz="0" w:space="0" w:color="auto"/>
        <w:right w:val="none" w:sz="0" w:space="0" w:color="auto"/>
      </w:divBdr>
      <w:divsChild>
        <w:div w:id="1800998439">
          <w:marLeft w:val="0"/>
          <w:marRight w:val="0"/>
          <w:marTop w:val="0"/>
          <w:marBottom w:val="0"/>
          <w:divBdr>
            <w:top w:val="none" w:sz="0" w:space="0" w:color="auto"/>
            <w:left w:val="none" w:sz="0" w:space="0" w:color="auto"/>
            <w:bottom w:val="none" w:sz="0" w:space="0" w:color="auto"/>
            <w:right w:val="none" w:sz="0" w:space="0" w:color="auto"/>
          </w:divBdr>
          <w:divsChild>
            <w:div w:id="2004746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1470/2616-6275-2021-5-81-9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jstor.org/stable/23270709" TargetMode="External"/><Relationship Id="rId12" Type="http://schemas.openxmlformats.org/officeDocument/2006/relationships/hyperlink" Target="https://daily.jstor.org/what-does-it-mean-to-be-celtic/"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2307/526880" TargetMode="External"/><Relationship Id="rId11" Type="http://schemas.openxmlformats.org/officeDocument/2006/relationships/hyperlink" Target="http://www.jstor.org/stable/26383351" TargetMode="External"/><Relationship Id="rId5" Type="http://schemas.openxmlformats.org/officeDocument/2006/relationships/hyperlink" Target="https://www.jstor.org/stable/26800037" TargetMode="External"/><Relationship Id="rId10" Type="http://schemas.openxmlformats.org/officeDocument/2006/relationships/hyperlink" Target="https://doi.org/10.2307/j.ctv13gvh20" TargetMode="External"/><Relationship Id="rId4" Type="http://schemas.openxmlformats.org/officeDocument/2006/relationships/webSettings" Target="webSettings.xml"/><Relationship Id="rId9" Type="http://schemas.openxmlformats.org/officeDocument/2006/relationships/hyperlink" Target="http://www.jstor.org/stable/42667833"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804</TotalTime>
  <Pages>2</Pages>
  <Words>784</Words>
  <Characters>4475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 Webb</dc:creator>
  <cp:keywords/>
  <dc:description/>
  <cp:lastModifiedBy>Kira Webb</cp:lastModifiedBy>
  <cp:revision>38</cp:revision>
  <dcterms:created xsi:type="dcterms:W3CDTF">2024-10-18T11:05:00Z</dcterms:created>
  <dcterms:modified xsi:type="dcterms:W3CDTF">2024-11-03T15:01:00Z</dcterms:modified>
</cp:coreProperties>
</file>