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9A08F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C1C45">
              <w:rPr>
                <w:b/>
                <w:color w:val="auto"/>
                <w:sz w:val="32"/>
              </w:rPr>
              <w:t>Kieran Rees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3E817609"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C1C45">
              <w:rPr>
                <w:b/>
                <w:color w:val="auto"/>
                <w:sz w:val="32"/>
              </w:rPr>
              <w:t xml:space="preserve"> 2124738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C01C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DA36B43" w14:textId="4EB81C31" w:rsidR="007C1D94" w:rsidRPr="00270EEB" w:rsidRDefault="00C7108B" w:rsidP="005463F1">
      <w:pPr>
        <w:rPr>
          <w:b/>
          <w:sz w:val="24"/>
          <w:szCs w:val="24"/>
        </w:rPr>
      </w:pPr>
      <w:r w:rsidRPr="00270EEB">
        <w:rPr>
          <w:b/>
          <w:sz w:val="24"/>
          <w:szCs w:val="24"/>
        </w:rPr>
        <w:lastRenderedPageBreak/>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3D05A622"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During this essay I will focus on outlining coping strategies and methods I have used to develop resilience and minimise my stress during my 6 months training and since being attested as a police officer.  </w:t>
      </w:r>
    </w:p>
    <w:p w14:paraId="1CC34750"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Stress is a person’s reaction to feeling overwhelmed or under pressure, it isn’t always negative, stress can contribute to being driven and having good motivation. Excessive stress however can result in mood swings and feeling physically and mentally exhausted </w:t>
      </w:r>
      <w:sdt>
        <w:sdtPr>
          <w:rPr>
            <w:rFonts w:asciiTheme="minorHAnsi" w:eastAsiaTheme="minorHAnsi" w:hAnsiTheme="minorHAnsi" w:cstheme="minorBidi"/>
            <w:color w:val="auto"/>
            <w:sz w:val="22"/>
            <w:szCs w:val="22"/>
            <w:lang w:eastAsia="en-US"/>
          </w:rPr>
          <w:id w:val="544418524"/>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NHS211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(NHS, 2021)</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w:t>
      </w:r>
    </w:p>
    <w:p w14:paraId="0A937D31"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Resilience is one’s ability to withstand pressure or bend rather than break when under pressure from problems such as bereavement for example. Resilience isn’t the solution to a problem but more the strength that allows one to see past the problem </w:t>
      </w:r>
      <w:sdt>
        <w:sdtPr>
          <w:rPr>
            <w:rFonts w:asciiTheme="minorHAnsi" w:eastAsiaTheme="minorHAnsi" w:hAnsiTheme="minorHAnsi" w:cstheme="minorBidi"/>
            <w:color w:val="auto"/>
            <w:sz w:val="22"/>
            <w:szCs w:val="22"/>
            <w:lang w:eastAsia="en-US"/>
          </w:rPr>
          <w:id w:val="-1667782983"/>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May22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(Mayo Clinic, 2022)</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w:t>
      </w:r>
    </w:p>
    <w:p w14:paraId="57366BF5"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Coping strategies are how a person takes hold of their actions, thoughts and feelings which come hand in hand with things like the effects of stress and anxiety by building a level of tolerance to the issue at hand and or minimising the impact that said effects have on oneself. </w:t>
      </w:r>
    </w:p>
    <w:p w14:paraId="5DD887D2"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I expected to encounter a degree of stress throughout the learning process. Having been an employee of South Wales Police for 2 years prior to venturing into the role of Constable I had the chance to speak with officers who had recently completed their initial training. Most of the officers I spoke with told me that the training is more than achievable but stressful at times.</w:t>
      </w:r>
    </w:p>
    <w:p w14:paraId="56DF59C1"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After acknowledging that I was likely to become stressed I knew that I would have to continue to do the things that I enjoy doing and things that I know keep me level headed in order to minimise my stress and maximise my learning potential. I drew on some previous experiences and stressful times with the view to developing a plan to keep myself level headed during my training.</w:t>
      </w:r>
    </w:p>
    <w:p w14:paraId="5183327B" w14:textId="5BFCD39C"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I have been a keen swimmer for some years and whilst I acknowledge that any form of exercise releases endorphins which are feel good hormones, I find while swimming it's difficult to think of anything besides moving forward and breathing. Swimming releases endorphins along with other stress relieving hormones which are also referred to as feel good hormones which contribute to a positive frame of mind </w:t>
      </w:r>
      <w:sdt>
        <w:sdtPr>
          <w:rPr>
            <w:rFonts w:asciiTheme="minorHAnsi" w:eastAsiaTheme="minorHAnsi" w:hAnsiTheme="minorHAnsi" w:cstheme="minorBidi"/>
            <w:color w:val="auto"/>
            <w:sz w:val="22"/>
            <w:szCs w:val="22"/>
            <w:lang w:eastAsia="en-US"/>
          </w:rPr>
          <w:id w:val="-1375227198"/>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Cle151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(Clear Comfort , 2015)</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I have always found that if there's anything on my mind swimming gives me the short-term respite that I need to balance out my stress and recover. Post swim I find I have a sense of calmness and clarity. I found swimming a great way to divert my focus during my initial 6 months</w:t>
      </w:r>
      <w:r w:rsidR="00FC01CA">
        <w:rPr>
          <w:rFonts w:asciiTheme="minorHAnsi" w:eastAsiaTheme="minorHAnsi" w:hAnsiTheme="minorHAnsi" w:cstheme="minorBidi"/>
          <w:color w:val="auto"/>
          <w:sz w:val="22"/>
          <w:szCs w:val="22"/>
          <w:lang w:eastAsia="en-US"/>
        </w:rPr>
        <w:t xml:space="preserve">. </w:t>
      </w:r>
      <w:r w:rsidRPr="000150EB">
        <w:rPr>
          <w:rFonts w:asciiTheme="minorHAnsi" w:eastAsiaTheme="minorHAnsi" w:hAnsiTheme="minorHAnsi" w:cstheme="minorBidi"/>
          <w:color w:val="auto"/>
          <w:sz w:val="22"/>
          <w:szCs w:val="22"/>
          <w:lang w:eastAsia="en-US"/>
        </w:rPr>
        <w:t xml:space="preserve">At times where I could feel my stress levels building an hour in the pool swimming would give me the break I needed to carry on with my revision with a clear mind. </w:t>
      </w:r>
      <w:r w:rsidRPr="000150EB">
        <w:rPr>
          <w:rFonts w:asciiTheme="minorHAnsi" w:eastAsiaTheme="minorHAnsi" w:hAnsiTheme="minorHAnsi" w:cstheme="minorBidi"/>
          <w:color w:val="auto"/>
          <w:sz w:val="22"/>
          <w:szCs w:val="22"/>
          <w:lang w:eastAsia="en-US"/>
        </w:rPr>
        <w:lastRenderedPageBreak/>
        <w:t xml:space="preserve">Another benefit was the social interaction with people I knew from swimming over the years and speaking to them around things not work related would further aid the recovery of my stress. This comes due to a release of the oxytocin hormone during social interactions which helps reduce the feeling of being anxious </w:t>
      </w:r>
      <w:sdt>
        <w:sdtPr>
          <w:rPr>
            <w:rFonts w:asciiTheme="minorHAnsi" w:eastAsiaTheme="minorHAnsi" w:hAnsiTheme="minorHAnsi" w:cstheme="minorBidi"/>
            <w:color w:val="auto"/>
            <w:sz w:val="22"/>
            <w:szCs w:val="22"/>
            <w:lang w:eastAsia="en-US"/>
          </w:rPr>
          <w:id w:val="1523972462"/>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Men191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(MentalHelp.net, 2019)</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w:t>
      </w:r>
    </w:p>
    <w:p w14:paraId="31346BB5"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I’ve never struggled with sleeping. I believe a contributing factor to this is the level of physical exercise I go about daily. Adequate sleep helps with the retention of information and taking on new information </w:t>
      </w:r>
      <w:sdt>
        <w:sdtPr>
          <w:rPr>
            <w:rFonts w:asciiTheme="minorHAnsi" w:eastAsiaTheme="minorHAnsi" w:hAnsiTheme="minorHAnsi" w:cstheme="minorBidi"/>
            <w:color w:val="auto"/>
            <w:sz w:val="22"/>
            <w:szCs w:val="22"/>
            <w:lang w:eastAsia="en-US"/>
          </w:rPr>
          <w:id w:val="-1443606631"/>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Rac21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(Ellis, 2021)</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Having 8 hours of sleep allowed me to go about my next day at work and or revision with the lack of tiredness I needed and with concentration. </w:t>
      </w:r>
    </w:p>
    <w:p w14:paraId="4314BC1F"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I felt alone at times during my initial 6 months, Hours of revision alone at home was giving me a sense of isolation. At times of being stressed I found that this isolation would give me an opportunity to stew in my own thoughts and build my anxiety levels.  I spoke with friends about my feelings around feeling alone and being increasingly stressed they advised that I take a step backwards and allow time to enjoy the company of friends and family. After looking further into the way, I was feeling online I read that good social interactions improve general happiness and that loneliness and that low social support is linked to anxiety and depression </w:t>
      </w:r>
      <w:sdt>
        <w:sdtPr>
          <w:rPr>
            <w:rFonts w:asciiTheme="minorHAnsi" w:eastAsiaTheme="minorHAnsi" w:hAnsiTheme="minorHAnsi" w:cstheme="minorBidi"/>
            <w:color w:val="auto"/>
            <w:sz w:val="22"/>
            <w:szCs w:val="22"/>
            <w:lang w:eastAsia="en-US"/>
          </w:rPr>
          <w:id w:val="1623499609"/>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Hel22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(Help Guide , 2022)</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I allocated an amount of my free time to socialising with my partner and friends. Speaking to others about my stresses gave me a sense of clarity and often a second opinion on how best to deal with the issue at hand. </w:t>
      </w:r>
    </w:p>
    <w:p w14:paraId="0D81C20A"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The further I delved into initial training the more I realised that just doing things when I became stressed and putting a metaphorical plaster on it wasn't going to be enough to keep my mind sharp and stress free. It was clear I would need to build a resilience to the way I was feeling. I spoke to one of my classmates around my revision routine where I would spend sometimes 4 hours revising with no break and often found myself losing concentration. She told me that there were methods to revision, and different ones work for different people. </w:t>
      </w:r>
    </w:p>
    <w:p w14:paraId="45FDA5C4"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After some online reading I found that a popular method of developing resilience is giving yourself a permission slip. This is where you allocate yourself a short break from the task at hand to remain sharp and keep your concentration levels high </w:t>
      </w:r>
      <w:sdt>
        <w:sdtPr>
          <w:rPr>
            <w:rFonts w:asciiTheme="minorHAnsi" w:eastAsiaTheme="minorHAnsi" w:hAnsiTheme="minorHAnsi" w:cstheme="minorBidi"/>
            <w:color w:val="auto"/>
            <w:sz w:val="22"/>
            <w:szCs w:val="22"/>
            <w:lang w:eastAsia="en-US"/>
          </w:rPr>
          <w:id w:val="1551801172"/>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Cha19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(CharityComms, 2019)</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I did some further reading around how long my breaks should be in comparison to my revision and after a few trials I found that 30 minutes of revision followed by a 10-minute break worked best for me and kept my interest and concentration levels high </w:t>
      </w:r>
      <w:sdt>
        <w:sdtPr>
          <w:rPr>
            <w:rFonts w:asciiTheme="minorHAnsi" w:eastAsiaTheme="minorHAnsi" w:hAnsiTheme="minorHAnsi" w:cstheme="minorBidi"/>
            <w:color w:val="auto"/>
            <w:sz w:val="22"/>
            <w:szCs w:val="22"/>
            <w:lang w:eastAsia="en-US"/>
          </w:rPr>
          <w:id w:val="1576548466"/>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Kat20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(Jones, 2020)</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w:t>
      </w:r>
    </w:p>
    <w:p w14:paraId="2ECD2985"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Nearing the end of my initial training and approaching the second exam I found myself stressed even while using my coping methods. I find myself adopting a tunnel vision mentality when I want to achieve something. I refer to it as tunnel vision, but I believe that it's my motivation to better myself. During times of high stress, I would reflect on how far I had come and how proud I was of myself that I had put myself in a position I was not comfortable in, persevered and achieved good results and this drove me to continue in a motivated manner.</w:t>
      </w:r>
    </w:p>
    <w:p w14:paraId="0FBE9A94"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To conclude, because of utilising coping techniques for dealing with stress and anxiety I was able to remain level-headed throughout the initial 6 months training and keep my stress and anxiety levels at bay which resulted in me being able to focus my efforts on my studies with efficiency and pass the required examinations.  </w:t>
      </w:r>
    </w:p>
    <w:p w14:paraId="1E3CC947"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D027466"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1090 words.</w:t>
      </w:r>
    </w:p>
    <w:p w14:paraId="02382B19"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sdt>
      <w:sdtPr>
        <w:rPr>
          <w:rFonts w:asciiTheme="minorHAnsi" w:eastAsiaTheme="minorHAnsi" w:hAnsiTheme="minorHAnsi" w:cstheme="minorBidi"/>
          <w:color w:val="auto"/>
          <w:sz w:val="22"/>
          <w:szCs w:val="22"/>
          <w:lang w:eastAsia="en-US"/>
        </w:rPr>
        <w:id w:val="-1340991616"/>
        <w:docPartObj>
          <w:docPartGallery w:val="Bibliographies"/>
          <w:docPartUnique/>
        </w:docPartObj>
      </w:sdtPr>
      <w:sdtContent>
        <w:p w14:paraId="3FDA20D8" w14:textId="77777777" w:rsidR="000150EB" w:rsidRPr="000150EB" w:rsidRDefault="000150EB" w:rsidP="000150EB">
          <w:pPr>
            <w:keepNext/>
            <w:keepLines/>
            <w:overflowPunct/>
            <w:autoSpaceDE/>
            <w:autoSpaceDN/>
            <w:adjustRightInd/>
            <w:spacing w:before="240" w:line="259" w:lineRule="auto"/>
            <w:textAlignment w:val="auto"/>
            <w:outlineLvl w:val="0"/>
            <w:rPr>
              <w:rFonts w:asciiTheme="majorHAnsi" w:eastAsiaTheme="majorEastAsia" w:hAnsiTheme="majorHAnsi" w:cstheme="majorBidi"/>
              <w:color w:val="2F5496" w:themeColor="accent1" w:themeShade="BF"/>
              <w:sz w:val="32"/>
              <w:szCs w:val="32"/>
              <w:lang w:val="en-US" w:eastAsia="en-US"/>
            </w:rPr>
          </w:pPr>
          <w:r w:rsidRPr="000150EB">
            <w:rPr>
              <w:rFonts w:asciiTheme="majorHAnsi" w:eastAsiaTheme="majorEastAsia" w:hAnsiTheme="majorHAnsi" w:cstheme="majorBidi"/>
              <w:color w:val="2F5496" w:themeColor="accent1" w:themeShade="BF"/>
              <w:sz w:val="32"/>
              <w:szCs w:val="32"/>
              <w:lang w:val="en-US" w:eastAsia="en-US"/>
            </w:rPr>
            <w:t>References</w:t>
          </w:r>
        </w:p>
        <w:sdt>
          <w:sdtPr>
            <w:rPr>
              <w:rFonts w:asciiTheme="minorHAnsi" w:eastAsiaTheme="minorHAnsi" w:hAnsiTheme="minorHAnsi" w:cstheme="minorBidi"/>
              <w:color w:val="auto"/>
              <w:sz w:val="22"/>
              <w:szCs w:val="22"/>
              <w:lang w:eastAsia="en-US"/>
            </w:rPr>
            <w:id w:val="-573587230"/>
            <w:bibliography/>
          </w:sdtPr>
          <w:sdtContent>
            <w:p w14:paraId="2E2AD23E"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4"/>
                  <w:szCs w:val="24"/>
                  <w:lang w:val="en-US" w:eastAsia="en-US"/>
                </w:rPr>
              </w:pPr>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BIBLIOGRAPHY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val="en-US" w:eastAsia="en-US"/>
                </w:rPr>
                <w:t xml:space="preserve">CharityComms, 2019. </w:t>
              </w:r>
              <w:r w:rsidRPr="000150EB">
                <w:rPr>
                  <w:rFonts w:asciiTheme="minorHAnsi" w:eastAsiaTheme="minorHAnsi" w:hAnsiTheme="minorHAnsi" w:cstheme="minorBidi"/>
                  <w:i/>
                  <w:iCs/>
                  <w:noProof/>
                  <w:color w:val="auto"/>
                  <w:sz w:val="22"/>
                  <w:szCs w:val="22"/>
                  <w:lang w:val="en-US" w:eastAsia="en-US"/>
                </w:rPr>
                <w:t xml:space="preserve">Five strategies to build personal resilience.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https://www.charitycomms.org.uk/five-strategies-to-build-personal-resilience?gclid=Cj0KCQjwidSWBhDdARIsAIoTVb22Q6JgF4mWywVNfHPP_PR-PlaLVeA7TSfn4EW76oBhdl00iOliXusaAgf5EALw_wcB.</w:t>
              </w:r>
              <w:r w:rsidRPr="000150EB">
                <w:rPr>
                  <w:rFonts w:asciiTheme="minorHAnsi" w:eastAsiaTheme="minorHAnsi" w:hAnsiTheme="minorHAnsi" w:cstheme="minorBidi"/>
                  <w:noProof/>
                  <w:color w:val="auto"/>
                  <w:sz w:val="22"/>
                  <w:szCs w:val="22"/>
                  <w:lang w:val="en-US" w:eastAsia="en-US"/>
                </w:rPr>
                <w:br/>
                <w:t>[Accessed 20 July 2022].</w:t>
              </w:r>
            </w:p>
            <w:p w14:paraId="3BD061DA"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Clear Comfort , 2015. </w:t>
              </w:r>
              <w:r w:rsidRPr="000150EB">
                <w:rPr>
                  <w:rFonts w:asciiTheme="minorHAnsi" w:eastAsiaTheme="minorHAnsi" w:hAnsiTheme="minorHAnsi" w:cstheme="minorBidi"/>
                  <w:i/>
                  <w:iCs/>
                  <w:noProof/>
                  <w:color w:val="auto"/>
                  <w:sz w:val="22"/>
                  <w:szCs w:val="22"/>
                  <w:lang w:val="en-US" w:eastAsia="en-US"/>
                </w:rPr>
                <w:t xml:space="preserve">Swim Stress Away: 5 Mental Health Benefits Of Swimming.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https://clearcomfort.com/blog/swim-your-way-out-of-depression/#:~:text=Swimming%20releases%20endorphins,and%20make%20you%20feel%20good..</w:t>
              </w:r>
              <w:r w:rsidRPr="000150EB">
                <w:rPr>
                  <w:rFonts w:asciiTheme="minorHAnsi" w:eastAsiaTheme="minorHAnsi" w:hAnsiTheme="minorHAnsi" w:cstheme="minorBidi"/>
                  <w:noProof/>
                  <w:color w:val="auto"/>
                  <w:sz w:val="22"/>
                  <w:szCs w:val="22"/>
                  <w:lang w:val="en-US" w:eastAsia="en-US"/>
                </w:rPr>
                <w:br/>
                <w:t>[Accessed 20 July 2022].</w:t>
              </w:r>
            </w:p>
            <w:p w14:paraId="4446AD0E"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Ellis, R. R., 2021. </w:t>
              </w:r>
              <w:r w:rsidRPr="000150EB">
                <w:rPr>
                  <w:rFonts w:asciiTheme="minorHAnsi" w:eastAsiaTheme="minorHAnsi" w:hAnsiTheme="minorHAnsi" w:cstheme="minorBidi"/>
                  <w:i/>
                  <w:iCs/>
                  <w:noProof/>
                  <w:color w:val="auto"/>
                  <w:sz w:val="22"/>
                  <w:szCs w:val="22"/>
                  <w:lang w:val="en-US" w:eastAsia="en-US"/>
                </w:rPr>
                <w:t xml:space="preserve">Surprising Reasons to Get More Sleep.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https://www.webmd.com/sleep-disorders/benefits-sleep-more</w:t>
              </w:r>
              <w:r w:rsidRPr="000150EB">
                <w:rPr>
                  <w:rFonts w:asciiTheme="minorHAnsi" w:eastAsiaTheme="minorHAnsi" w:hAnsiTheme="minorHAnsi" w:cstheme="minorBidi"/>
                  <w:noProof/>
                  <w:color w:val="auto"/>
                  <w:sz w:val="22"/>
                  <w:szCs w:val="22"/>
                  <w:lang w:val="en-US" w:eastAsia="en-US"/>
                </w:rPr>
                <w:br/>
                <w:t>[Accessed 12 August 2022].</w:t>
              </w:r>
            </w:p>
            <w:p w14:paraId="6669C927"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Help Guide , 2022. </w:t>
              </w:r>
              <w:r w:rsidRPr="000150EB">
                <w:rPr>
                  <w:rFonts w:asciiTheme="minorHAnsi" w:eastAsiaTheme="minorHAnsi" w:hAnsiTheme="minorHAnsi" w:cstheme="minorBidi"/>
                  <w:i/>
                  <w:iCs/>
                  <w:noProof/>
                  <w:color w:val="auto"/>
                  <w:sz w:val="22"/>
                  <w:szCs w:val="22"/>
                  <w:lang w:val="en-US" w:eastAsia="en-US"/>
                </w:rPr>
                <w:t xml:space="preserve">Social Support for Stress Relief.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 xml:space="preserve">https://www.helpguide.org/articles/stress/social-support-for-stress-relief.htm. </w:t>
              </w:r>
              <w:r w:rsidRPr="000150EB">
                <w:rPr>
                  <w:rFonts w:asciiTheme="minorHAnsi" w:eastAsiaTheme="minorHAnsi" w:hAnsiTheme="minorHAnsi" w:cstheme="minorBidi"/>
                  <w:noProof/>
                  <w:color w:val="auto"/>
                  <w:sz w:val="22"/>
                  <w:szCs w:val="22"/>
                  <w:lang w:val="en-US" w:eastAsia="en-US"/>
                </w:rPr>
                <w:br/>
                <w:t>[Accessed 20 July 2022].</w:t>
              </w:r>
            </w:p>
            <w:p w14:paraId="0356B98F"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Jones, K., 2020. </w:t>
              </w:r>
              <w:r w:rsidRPr="000150EB">
                <w:rPr>
                  <w:rFonts w:asciiTheme="minorHAnsi" w:eastAsiaTheme="minorHAnsi" w:hAnsiTheme="minorHAnsi" w:cstheme="minorBidi"/>
                  <w:i/>
                  <w:iCs/>
                  <w:noProof/>
                  <w:color w:val="auto"/>
                  <w:sz w:val="22"/>
                  <w:szCs w:val="22"/>
                  <w:lang w:val="en-US" w:eastAsia="en-US"/>
                </w:rPr>
                <w:t xml:space="preserve">How long should revision breaks be?.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https://www.harpersu.com/news/article/harpersu/How-long-should-my-revision-breaks-be/#:~:text=Here's%20a%20guideline%20to%20help%20you%20out%3B&amp;text=If%20you've%20been%20revising,2%20minutes%20or%20less%20break.&amp;text=20%2D30%20minutes%20of%20revising,with</w:t>
              </w:r>
              <w:r w:rsidRPr="000150EB">
                <w:rPr>
                  <w:rFonts w:asciiTheme="minorHAnsi" w:eastAsiaTheme="minorHAnsi" w:hAnsiTheme="minorHAnsi" w:cstheme="minorBidi"/>
                  <w:noProof/>
                  <w:color w:val="auto"/>
                  <w:sz w:val="22"/>
                  <w:szCs w:val="22"/>
                  <w:lang w:val="en-US" w:eastAsia="en-US"/>
                </w:rPr>
                <w:br/>
                <w:t>[Accessed 20 July 2022].</w:t>
              </w:r>
            </w:p>
            <w:p w14:paraId="31195501"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Mayo Clinic, 2022. </w:t>
              </w:r>
              <w:r w:rsidRPr="000150EB">
                <w:rPr>
                  <w:rFonts w:asciiTheme="minorHAnsi" w:eastAsiaTheme="minorHAnsi" w:hAnsiTheme="minorHAnsi" w:cstheme="minorBidi"/>
                  <w:i/>
                  <w:iCs/>
                  <w:noProof/>
                  <w:color w:val="auto"/>
                  <w:sz w:val="22"/>
                  <w:szCs w:val="22"/>
                  <w:lang w:val="en-US" w:eastAsia="en-US"/>
                </w:rPr>
                <w:t xml:space="preserve">Resilience: Build skills to endure hardship.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Resilience: Build skills to endure hardship</w:t>
              </w:r>
              <w:r w:rsidRPr="000150EB">
                <w:rPr>
                  <w:rFonts w:asciiTheme="minorHAnsi" w:eastAsiaTheme="minorHAnsi" w:hAnsiTheme="minorHAnsi" w:cstheme="minorBidi"/>
                  <w:noProof/>
                  <w:color w:val="auto"/>
                  <w:sz w:val="22"/>
                  <w:szCs w:val="22"/>
                  <w:lang w:val="en-US" w:eastAsia="en-US"/>
                </w:rPr>
                <w:br/>
                <w:t>[Accessed 1 September 2022].</w:t>
              </w:r>
            </w:p>
            <w:p w14:paraId="33DEC7BA"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MentalHelp.net, 2019. </w:t>
              </w:r>
              <w:r w:rsidRPr="000150EB">
                <w:rPr>
                  <w:rFonts w:asciiTheme="minorHAnsi" w:eastAsiaTheme="minorHAnsi" w:hAnsiTheme="minorHAnsi" w:cstheme="minorBidi"/>
                  <w:i/>
                  <w:iCs/>
                  <w:noProof/>
                  <w:color w:val="auto"/>
                  <w:sz w:val="22"/>
                  <w:szCs w:val="22"/>
                  <w:lang w:val="en-US" w:eastAsia="en-US"/>
                </w:rPr>
                <w:t xml:space="preserve">Socialization and Altruistic Acts as Stress Relief.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https://www.mentalhelp.net/stress/socialization-and-altruistic-acts-as-stress-relief/#:~:text=Adequate%20amounts%20of%20social%20support,nervous%20system%20calming%20down%20responses.</w:t>
              </w:r>
              <w:r w:rsidRPr="000150EB">
                <w:rPr>
                  <w:rFonts w:asciiTheme="minorHAnsi" w:eastAsiaTheme="minorHAnsi" w:hAnsiTheme="minorHAnsi" w:cstheme="minorBidi"/>
                  <w:noProof/>
                  <w:color w:val="auto"/>
                  <w:sz w:val="22"/>
                  <w:szCs w:val="22"/>
                  <w:lang w:val="en-US" w:eastAsia="en-US"/>
                </w:rPr>
                <w:br/>
                <w:t>[Accessed 31 August 2022].</w:t>
              </w:r>
            </w:p>
            <w:p w14:paraId="04A1058A"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NHS, 2021. </w:t>
              </w:r>
              <w:r w:rsidRPr="000150EB">
                <w:rPr>
                  <w:rFonts w:asciiTheme="minorHAnsi" w:eastAsiaTheme="minorHAnsi" w:hAnsiTheme="minorHAnsi" w:cstheme="minorBidi"/>
                  <w:i/>
                  <w:iCs/>
                  <w:noProof/>
                  <w:color w:val="auto"/>
                  <w:sz w:val="22"/>
                  <w:szCs w:val="22"/>
                  <w:lang w:val="en-US" w:eastAsia="en-US"/>
                </w:rPr>
                <w:t xml:space="preserve">Feelins Stressed?.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https://www.nhs.uk/every-mind-matters/mental-health-issues/stress/#:~:text=Stress%20is%20the%20body%27s%20reaction,home%2C%20work%20and%20family%20life.</w:t>
              </w:r>
              <w:r w:rsidRPr="000150EB">
                <w:rPr>
                  <w:rFonts w:asciiTheme="minorHAnsi" w:eastAsiaTheme="minorHAnsi" w:hAnsiTheme="minorHAnsi" w:cstheme="minorBidi"/>
                  <w:noProof/>
                  <w:color w:val="auto"/>
                  <w:sz w:val="22"/>
                  <w:szCs w:val="22"/>
                  <w:lang w:val="en-US" w:eastAsia="en-US"/>
                </w:rPr>
                <w:br/>
                <w:t>[Accessed 1 September 2022].</w:t>
              </w:r>
            </w:p>
            <w:p w14:paraId="305E1FE1"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b/>
                  <w:bCs/>
                  <w:noProof/>
                  <w:color w:val="auto"/>
                  <w:sz w:val="22"/>
                  <w:szCs w:val="22"/>
                  <w:lang w:eastAsia="en-US"/>
                </w:rPr>
                <w:fldChar w:fldCharType="end"/>
              </w:r>
            </w:p>
          </w:sdtContent>
        </w:sdt>
      </w:sdtContent>
    </w:sdt>
    <w:p w14:paraId="25F9BCAD" w14:textId="77777777" w:rsidR="000150EB" w:rsidRPr="000150EB" w:rsidRDefault="000150EB" w:rsidP="000150EB">
      <w:pPr>
        <w:keepNext/>
        <w:keepLines/>
        <w:overflowPunct/>
        <w:autoSpaceDE/>
        <w:autoSpaceDN/>
        <w:adjustRightInd/>
        <w:spacing w:before="240" w:line="259" w:lineRule="auto"/>
        <w:textAlignment w:val="auto"/>
        <w:outlineLvl w:val="0"/>
        <w:rPr>
          <w:rFonts w:asciiTheme="majorHAnsi" w:eastAsiaTheme="majorEastAsia" w:hAnsiTheme="majorHAnsi" w:cstheme="majorBidi"/>
          <w:color w:val="2F5496" w:themeColor="accent1" w:themeShade="BF"/>
          <w:sz w:val="32"/>
          <w:szCs w:val="32"/>
          <w:lang w:val="en-US" w:eastAsia="en-US"/>
        </w:rPr>
      </w:pPr>
    </w:p>
    <w:p w14:paraId="78C80CB0"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0150E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341D6CA" w:rsidR="00450C83" w:rsidRDefault="00450C83" w:rsidP="00450C83">
      <w:pPr>
        <w:jc w:val="both"/>
        <w:rPr>
          <w:b/>
          <w:sz w:val="24"/>
          <w:szCs w:val="24"/>
        </w:rPr>
      </w:pPr>
      <w:r w:rsidRPr="00450C83">
        <w:rPr>
          <w:b/>
          <w:sz w:val="24"/>
          <w:szCs w:val="24"/>
        </w:rPr>
        <w:t>ANSWER:</w:t>
      </w:r>
    </w:p>
    <w:p w14:paraId="3FDA059C" w14:textId="0FBE8D95" w:rsidR="000150EB" w:rsidRDefault="000150EB" w:rsidP="00450C83">
      <w:pPr>
        <w:jc w:val="both"/>
        <w:rPr>
          <w:b/>
          <w:sz w:val="24"/>
          <w:szCs w:val="24"/>
        </w:rPr>
      </w:pPr>
    </w:p>
    <w:p w14:paraId="2453370B"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I will use this essay to talk about an incident where I played a significant role with a victim and offender and reflect on what happened. I will highlight how I used effective communication, both verbal and nonverbal as well as rapport building methods. I will describe the process for determining whether the use of force was necessary in the circumstances, illustrate my understanding of the core principles of ethics, equality, and diversity as well as other relevant factors. </w:t>
      </w:r>
    </w:p>
    <w:p w14:paraId="27736901"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A female colleague and I recently attended an incident where a person reported that their sister was in possession of a razor blade and was being aggressive and had made threats to use the razor to commit suicide. </w:t>
      </w:r>
    </w:p>
    <w:p w14:paraId="11901432"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5F638AEB"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On route I began considering the National Decision-Making model (College of Policing , 2013). Initially gathering information and intelligence by taking note of the female’s details including description and age as well as warning markers passed by the control room. Warning markers around self-harm were passed and I began to assess the potential threat and risk to myself and my colleague but also that of the female based on this information.  I spoke with my colleague around what potential options we had at our disposal. Neither of us were taser equipped but were both carrying force issued baton and PAVA spray. Due to the call coming from the property owner, gaining entry to the address would not be an issue. We spoke around potentially having to use force </w:t>
      </w:r>
      <w:r w:rsidRPr="000150EB">
        <w:rPr>
          <w:rFonts w:ascii="Calibri" w:eastAsiaTheme="minorHAnsi" w:hAnsi="Calibri" w:cs="Calibri"/>
          <w:color w:val="auto"/>
          <w:sz w:val="22"/>
          <w:szCs w:val="22"/>
          <w:lang w:eastAsia="en-US"/>
        </w:rPr>
        <w:lastRenderedPageBreak/>
        <w:t xml:space="preserve">if the female would not willingly hand over the razor. This force would have been done using section 117 of the Police and Criminal Evidence Act 1984 (Legislation.gov, 2017) to prevent the female using the razor to injure anyone.  </w:t>
      </w:r>
    </w:p>
    <w:p w14:paraId="08D54186"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783F7796" w14:textId="59F15D0E"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There was no mention of any persons having been injured or any obvious offences in the initial call but due to the mention of suicide we considered the use of section 136 of the Mental Health Act (Legislation.gov, 2017) to take the female to a mental health assessment but due to her being inside the property at the time this was not an option as this power is only exercisable in a public place (Legislation.gov, 2017). While considering the previously mentioned options I reminded myself around Article 5 of the human rights act (Equal</w:t>
      </w:r>
      <w:r w:rsidR="00FC01CA">
        <w:rPr>
          <w:rFonts w:ascii="Calibri" w:eastAsiaTheme="minorHAnsi" w:hAnsi="Calibri" w:cs="Calibri"/>
          <w:color w:val="auto"/>
          <w:sz w:val="22"/>
          <w:szCs w:val="22"/>
          <w:lang w:eastAsia="en-US"/>
        </w:rPr>
        <w:t>ity and Human Rights Commission</w:t>
      </w:r>
      <w:r w:rsidRPr="000150EB">
        <w:rPr>
          <w:rFonts w:ascii="Calibri" w:eastAsiaTheme="minorHAnsi" w:hAnsi="Calibri" w:cs="Calibri"/>
          <w:color w:val="auto"/>
          <w:sz w:val="22"/>
          <w:szCs w:val="22"/>
          <w:lang w:eastAsia="en-US"/>
        </w:rPr>
        <w:t xml:space="preserve">, 2021) which outlines that a person must not be detained without good reason. </w:t>
      </w:r>
    </w:p>
    <w:p w14:paraId="35DBA164"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45CB4262"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After arriving we made our way into the address where the female was sat on the sofa wrapped in a blanket which covered her arms. The suspect was in her late teens and was extremely slim.</w:t>
      </w:r>
    </w:p>
    <w:p w14:paraId="21BE8744"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My initial priority was ensuring the safety of everyone present. I began speaking with the female and attempting to convince her to put down the razor. The situation was very tense, the female was shouting and holding a razor and was visibly upset and saddened. I considered the social context of the incident and didn’t shout back at the female I remained calm and spoke to her in simple to understand terms. Such as ‘before we can help you, would you please put the razor down so that I know everyone is safe’. She still had hold of the razor, but I took a moment to consider my own emotions and focusing on remaining calm which is a proven tactic on reducing assaults and staff and officers (College of Policing , 2020).</w:t>
      </w:r>
    </w:p>
    <w:p w14:paraId="2557F121"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39CA4605"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She was very vocal and threatening to cut herself with the razor and continuously smoking an electronic cigarette in-between speaking. I decided that in line with the code of ethics (College of Policing, 2014) it was necessary to attempt to use a degree of force which was proportionate to her size to take the razor from her. Due to the way she was holding the razor and the risk to the female my colleague let go of her and stepped back to avoid injury to herself or the female and I did the same. </w:t>
      </w:r>
    </w:p>
    <w:p w14:paraId="1FED0F27"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646AFCC5"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While attempting to take the razor the mouthpiece of her electronic cigarette fell onto the floor. I picked it up and used it as a negotiation tactic. The female began screaming and demanding her mouthpiece back so that she could smoke. Tactical communication is essentially planning what you say and how you say it to give the user an advantage in a situation (Anderson, 2020).  I used tactical communication and spoke calmly and slightly lowered my position to her level so that I wasn’t towering over her and explained that I couldn’t give it to her while she was holding the razor due to the risk to everyone in the room. After a minute or so she threw the razor to my colleague’s feet in exchange for the mouthpiece. By using the mouthpiece as a tool for negotiation I minimised the amount of force required and prevented any potential injuries to those involved. </w:t>
      </w:r>
    </w:p>
    <w:p w14:paraId="776FF4D8"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1D10F629"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The female was still irate and on edge, repetitively shouting words to the effect of ‘you don’t understand, you don’t want to help me, nobody wants to help me’. The female would have found it difficult to harm herself given our proximity to her and having no obvious object in her possession. It was clear to me at this point that I needed to build rapport with the female to identify the root cause of the issue and deescalate the situation.  I wanted the female to speak to me in a calm and open manner and to lead the conversation in this direction I used the Betari box method (Farmer, 2019). This model is a mirroring affect where your behaviour towards people will change the manner that that person responds to you. I kneeled so that I wasn’t talking over her and was at eye level and lowered my tone of voice and asked her open questions which is a common tactic used in the policing world and has been proven to be effective when trying to gain gather as much information </w:t>
      </w:r>
      <w:r w:rsidRPr="000150EB">
        <w:rPr>
          <w:rFonts w:ascii="Calibri" w:eastAsiaTheme="minorHAnsi" w:hAnsi="Calibri" w:cs="Calibri"/>
          <w:color w:val="auto"/>
          <w:sz w:val="22"/>
          <w:szCs w:val="22"/>
          <w:lang w:eastAsia="en-US"/>
        </w:rPr>
        <w:lastRenderedPageBreak/>
        <w:t>as possible (College of Policing , 2020) and also falls in line with the Bateri’s box method. I told her that we were there to help regardless of what she might think and asked only that she tell me what was on her mind. I allowed the female to speak freely and continued to actively listen by indicating by understanding of what she was saying with a nod. This is a proven technique in relation to conflict management and through 18 studies made that tested de-escalation of conflict (College of Policing , 2020).</w:t>
      </w:r>
    </w:p>
    <w:p w14:paraId="2EC047C1"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218D8E2F"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The female explained that she had been raped some time ago, had an eating disorder and that her partner had broken up with her that day and that it had ended with an argument and that the accumulation of negatives had got to her head and that she didn’t want to live anymore. She told me that she had been diagnosed with depression and that she frequently thinks about hurting herself and ending her life. I acknowledged that a mental health condition is a disability if it has long term effects on normal day to day life. This is defined under the equality Act 2010 (Gov.uk, 2012), But continued to treat her according to her needs and showed empathy through my body language and what I was saying to her. </w:t>
      </w:r>
    </w:p>
    <w:p w14:paraId="4E945719"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2BDE3280"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Some of the things she mentioned I could relate to and talked around how she reminded me of someone I knew, this seemed to calm her down and encouraged her to speak with me. I’m of the opinion that by doing this I built a common ground with the female. Having a common ground is known to demonstrate empathy and allow a person to become a better negotiator and by doing this during the incident it encouraged the female to gain trust in me and believe I was there to help (Wooll, 2021).</w:t>
      </w:r>
    </w:p>
    <w:p w14:paraId="064418DE"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7D7AB13F" w14:textId="326CE7E9" w:rsid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I knew that the prospect of taking the female to be medically assessed would be difficult and due to still being inside her home address section 136 of the Mental Health Act (Legislation.gov, 2017) could not be used but due to the mention of harming herself it was clear that a mental health assessment was the right course of action.  I spoke around benefits of being assessed and how it would benefit her and get her on the right track and possibly new medication that could help her. When I sensed that the female was leaning towards the idea I presented her with a closed question which is a question that can only be answered with a yes or no response (Farrell, 2016) of ‘so shall we go get this sorted then?’ with a slight smile on my face to promote positivity around the topic. Smiling for a brief second can promote a moment of positivity in another person thus promoting them to engage (Exclusive , 2021). She agreed to accompany us to the hospital where she was seen by a mental health professional.     </w:t>
      </w:r>
    </w:p>
    <w:p w14:paraId="1709A718"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66EEAB5B"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To conclude, I am happy of how I dealt with this incident. By utilising active listening and nonverbal communication I was able to build a level of rapport with the female which allowed me to communicate effectively with her and get her the help that she needed. Through the use of negotiation tactics the amount of force used I this incident was a lower level than it might have been if these tactics were not used and as a result of treating the female according to her needs and as an individual the reputation of the force was not damaged and the person who reported the incident will have faith that should any further issues arise they will be dealt with using the utmost respect for all involved. </w:t>
      </w:r>
    </w:p>
    <w:p w14:paraId="6D30AA6E"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7F073F22"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1621 words.</w:t>
      </w:r>
    </w:p>
    <w:p w14:paraId="540E013F"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3852BE81" w14:textId="77777777" w:rsidR="000150EB" w:rsidRPr="000150EB" w:rsidRDefault="000150EB" w:rsidP="000150EB">
      <w:pPr>
        <w:keepNext/>
        <w:keepLines/>
        <w:overflowPunct/>
        <w:autoSpaceDE/>
        <w:autoSpaceDN/>
        <w:adjustRightInd/>
        <w:spacing w:before="240" w:line="259" w:lineRule="auto"/>
        <w:textAlignment w:val="auto"/>
        <w:outlineLvl w:val="0"/>
        <w:rPr>
          <w:rFonts w:asciiTheme="majorHAnsi" w:hAnsiTheme="majorHAnsi" w:cstheme="majorBidi"/>
          <w:color w:val="2F5496" w:themeColor="accent1" w:themeShade="BF"/>
          <w:sz w:val="32"/>
          <w:szCs w:val="32"/>
          <w:lang w:val="en-US" w:eastAsia="en-US"/>
        </w:rPr>
      </w:pPr>
      <w:r w:rsidRPr="000150EB">
        <w:rPr>
          <w:rFonts w:asciiTheme="majorHAnsi" w:hAnsiTheme="majorHAnsi" w:cstheme="majorBidi"/>
          <w:color w:val="2F5496" w:themeColor="accent1" w:themeShade="BF"/>
          <w:sz w:val="32"/>
          <w:szCs w:val="32"/>
          <w:lang w:val="en-US" w:eastAsia="en-US"/>
        </w:rPr>
        <w:t>References</w:t>
      </w:r>
    </w:p>
    <w:p w14:paraId="596334ED"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4"/>
          <w:szCs w:val="24"/>
          <w:lang w:val="en-US" w:eastAsia="en-US"/>
        </w:rPr>
      </w:pPr>
      <w:r w:rsidRPr="000150EB">
        <w:rPr>
          <w:rFonts w:asciiTheme="minorHAnsi" w:eastAsiaTheme="minorHAnsi" w:hAnsiTheme="minorHAnsi" w:cstheme="minorBidi"/>
          <w:color w:val="auto"/>
          <w:sz w:val="22"/>
          <w:szCs w:val="22"/>
          <w:lang w:val="en-US" w:eastAsia="en-US"/>
        </w:rPr>
        <w:t xml:space="preserve">Anderson, C., 2020. </w:t>
      </w:r>
      <w:r w:rsidRPr="000150EB">
        <w:rPr>
          <w:rFonts w:asciiTheme="minorHAnsi" w:eastAsiaTheme="minorHAnsi" w:hAnsiTheme="minorHAnsi" w:cstheme="minorBidi"/>
          <w:i/>
          <w:iCs/>
          <w:color w:val="auto"/>
          <w:sz w:val="22"/>
          <w:szCs w:val="22"/>
          <w:lang w:val="en-US" w:eastAsia="en-US"/>
        </w:rPr>
        <w:t xml:space="preserve">What is Tactical Communication?. </w:t>
      </w:r>
      <w:r w:rsidRPr="000150EB">
        <w:rPr>
          <w:rFonts w:asciiTheme="minorHAnsi" w:eastAsiaTheme="minorHAnsi" w:hAnsiTheme="minorHAnsi" w:cstheme="minorBidi"/>
          <w:color w:val="auto"/>
          <w:sz w:val="22"/>
          <w:szCs w:val="22"/>
          <w:lang w:val="en-US" w:eastAsia="en-US"/>
        </w:rPr>
        <w:t xml:space="preserve">[Online] </w:t>
      </w:r>
      <w:r w:rsidRPr="000150EB">
        <w:rPr>
          <w:rFonts w:asciiTheme="minorHAnsi" w:eastAsiaTheme="minorHAnsi" w:hAnsiTheme="minorHAnsi" w:cstheme="minorBidi"/>
          <w:color w:val="auto"/>
          <w:sz w:val="22"/>
          <w:szCs w:val="22"/>
          <w:lang w:val="en-US" w:eastAsia="en-US"/>
        </w:rPr>
        <w:br/>
        <w:t xml:space="preserve">Available at: </w:t>
      </w:r>
      <w:hyperlink r:id="rId20" w:history="1">
        <w:r w:rsidRPr="000150EB">
          <w:rPr>
            <w:rFonts w:asciiTheme="minorHAnsi" w:eastAsiaTheme="minorHAnsi" w:hAnsiTheme="minorHAnsi" w:cstheme="minorBidi"/>
            <w:color w:val="0563C1"/>
            <w:sz w:val="22"/>
            <w:szCs w:val="22"/>
            <w:u w:val="single"/>
            <w:lang w:val="en-US" w:eastAsia="en-US"/>
          </w:rPr>
          <w:t>https://www.thinkcurity.com/articles/improve-tactical-communication-for-security-</w:t>
        </w:r>
        <w:r w:rsidRPr="000150EB">
          <w:rPr>
            <w:rFonts w:asciiTheme="minorHAnsi" w:eastAsiaTheme="minorHAnsi" w:hAnsiTheme="minorHAnsi" w:cstheme="minorBidi"/>
            <w:color w:val="0563C1"/>
            <w:sz w:val="22"/>
            <w:szCs w:val="22"/>
            <w:u w:val="single"/>
            <w:lang w:val="en-US" w:eastAsia="en-US"/>
          </w:rPr>
          <w:lastRenderedPageBreak/>
          <w:t>guards</w:t>
        </w:r>
      </w:hyperlink>
      <w:r w:rsidRPr="000150EB">
        <w:rPr>
          <w:rFonts w:asciiTheme="minorHAnsi" w:eastAsiaTheme="minorHAnsi" w:hAnsiTheme="minorHAnsi" w:cstheme="minorBidi"/>
          <w:color w:val="auto"/>
          <w:sz w:val="22"/>
          <w:szCs w:val="22"/>
          <w:lang w:val="en-US" w:eastAsia="en-US"/>
        </w:rPr>
        <w:br/>
        <w:t>[Accessed 4 September 2022].</w:t>
      </w:r>
    </w:p>
    <w:p w14:paraId="4DF24EAD"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0150EB">
        <w:rPr>
          <w:rFonts w:asciiTheme="minorHAnsi" w:eastAsiaTheme="minorHAnsi" w:hAnsiTheme="minorHAnsi" w:cstheme="minorBidi"/>
          <w:color w:val="auto"/>
          <w:sz w:val="22"/>
          <w:szCs w:val="22"/>
          <w:lang w:val="en-US" w:eastAsia="en-US"/>
        </w:rPr>
        <w:t xml:space="preserve">College of Policing , 2013. </w:t>
      </w:r>
      <w:r w:rsidRPr="000150EB">
        <w:rPr>
          <w:rFonts w:asciiTheme="minorHAnsi" w:eastAsiaTheme="minorHAnsi" w:hAnsiTheme="minorHAnsi" w:cstheme="minorBidi"/>
          <w:i/>
          <w:iCs/>
          <w:color w:val="auto"/>
          <w:sz w:val="22"/>
          <w:szCs w:val="22"/>
          <w:lang w:val="en-US" w:eastAsia="en-US"/>
        </w:rPr>
        <w:t xml:space="preserve">National Decision Model. </w:t>
      </w:r>
      <w:r w:rsidRPr="000150EB">
        <w:rPr>
          <w:rFonts w:asciiTheme="minorHAnsi" w:eastAsiaTheme="minorHAnsi" w:hAnsiTheme="minorHAnsi" w:cstheme="minorBidi"/>
          <w:color w:val="auto"/>
          <w:sz w:val="22"/>
          <w:szCs w:val="22"/>
          <w:lang w:val="en-US" w:eastAsia="en-US"/>
        </w:rPr>
        <w:t xml:space="preserve">[Online] </w:t>
      </w:r>
      <w:r w:rsidRPr="000150EB">
        <w:rPr>
          <w:rFonts w:asciiTheme="minorHAnsi" w:eastAsiaTheme="minorHAnsi" w:hAnsiTheme="minorHAnsi" w:cstheme="minorBidi"/>
          <w:color w:val="auto"/>
          <w:sz w:val="22"/>
          <w:szCs w:val="22"/>
          <w:lang w:val="en-US" w:eastAsia="en-US"/>
        </w:rPr>
        <w:br/>
        <w:t xml:space="preserve">Available at: </w:t>
      </w:r>
      <w:hyperlink r:id="rId21" w:history="1">
        <w:r w:rsidRPr="000150EB">
          <w:rPr>
            <w:rFonts w:asciiTheme="minorHAnsi" w:eastAsiaTheme="minorHAnsi" w:hAnsiTheme="minorHAnsi" w:cstheme="minorBidi"/>
            <w:color w:val="0563C1"/>
            <w:sz w:val="22"/>
            <w:szCs w:val="22"/>
            <w:u w:val="single"/>
            <w:lang w:val="en-US" w:eastAsia="en-US"/>
          </w:rPr>
          <w:t>https://www.college.police.uk/app/national-decision-model/national-decision-model</w:t>
        </w:r>
      </w:hyperlink>
      <w:r w:rsidRPr="000150EB">
        <w:rPr>
          <w:rFonts w:asciiTheme="minorHAnsi" w:eastAsiaTheme="minorHAnsi" w:hAnsiTheme="minorHAnsi" w:cstheme="minorBidi"/>
          <w:color w:val="auto"/>
          <w:sz w:val="22"/>
          <w:szCs w:val="22"/>
          <w:lang w:val="en-US" w:eastAsia="en-US"/>
        </w:rPr>
        <w:br/>
        <w:t>[Accessed 31 August 2022].</w:t>
      </w:r>
    </w:p>
    <w:p w14:paraId="63C10FDF"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0150EB">
        <w:rPr>
          <w:rFonts w:asciiTheme="minorHAnsi" w:eastAsiaTheme="minorHAnsi" w:hAnsiTheme="minorHAnsi" w:cstheme="minorBidi"/>
          <w:color w:val="auto"/>
          <w:sz w:val="22"/>
          <w:szCs w:val="22"/>
          <w:lang w:val="en-US" w:eastAsia="en-US"/>
        </w:rPr>
        <w:t xml:space="preserve">College of Policing , 2020. </w:t>
      </w:r>
      <w:r w:rsidRPr="000150EB">
        <w:rPr>
          <w:rFonts w:asciiTheme="minorHAnsi" w:eastAsiaTheme="minorHAnsi" w:hAnsiTheme="minorHAnsi" w:cstheme="minorBidi"/>
          <w:i/>
          <w:iCs/>
          <w:color w:val="auto"/>
          <w:sz w:val="22"/>
          <w:szCs w:val="22"/>
          <w:lang w:val="en-US" w:eastAsia="en-US"/>
        </w:rPr>
        <w:t xml:space="preserve">Conflict management skills. </w:t>
      </w:r>
      <w:r w:rsidRPr="000150EB">
        <w:rPr>
          <w:rFonts w:asciiTheme="minorHAnsi" w:eastAsiaTheme="minorHAnsi" w:hAnsiTheme="minorHAnsi" w:cstheme="minorBidi"/>
          <w:color w:val="auto"/>
          <w:sz w:val="22"/>
          <w:szCs w:val="22"/>
          <w:lang w:val="en-US" w:eastAsia="en-US"/>
        </w:rPr>
        <w:t xml:space="preserve">[Online] </w:t>
      </w:r>
      <w:r w:rsidRPr="000150EB">
        <w:rPr>
          <w:rFonts w:asciiTheme="minorHAnsi" w:eastAsiaTheme="minorHAnsi" w:hAnsiTheme="minorHAnsi" w:cstheme="minorBidi"/>
          <w:color w:val="auto"/>
          <w:sz w:val="22"/>
          <w:szCs w:val="22"/>
          <w:lang w:val="en-US" w:eastAsia="en-US"/>
        </w:rPr>
        <w:br/>
        <w:t xml:space="preserve">Available at: </w:t>
      </w:r>
      <w:hyperlink r:id="rId22" w:history="1">
        <w:r w:rsidRPr="000150EB">
          <w:rPr>
            <w:rFonts w:asciiTheme="minorHAnsi" w:eastAsiaTheme="minorHAnsi" w:hAnsiTheme="minorHAnsi" w:cstheme="minorBidi"/>
            <w:color w:val="0563C1"/>
            <w:sz w:val="22"/>
            <w:szCs w:val="22"/>
            <w:u w:val="single"/>
            <w:lang w:val="en-US" w:eastAsia="en-US"/>
          </w:rPr>
          <w:t>https://www.college.police.uk/guidance/conflict-management/conflict-management-skills</w:t>
        </w:r>
      </w:hyperlink>
      <w:r w:rsidRPr="000150EB">
        <w:rPr>
          <w:rFonts w:asciiTheme="minorHAnsi" w:eastAsiaTheme="minorHAnsi" w:hAnsiTheme="minorHAnsi" w:cstheme="minorBidi"/>
          <w:color w:val="auto"/>
          <w:sz w:val="22"/>
          <w:szCs w:val="22"/>
          <w:lang w:val="en-US" w:eastAsia="en-US"/>
        </w:rPr>
        <w:br/>
        <w:t>[Accessed 21 July 2022].</w:t>
      </w:r>
    </w:p>
    <w:p w14:paraId="008AD3BA"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0150EB">
        <w:rPr>
          <w:rFonts w:asciiTheme="minorHAnsi" w:eastAsiaTheme="minorHAnsi" w:hAnsiTheme="minorHAnsi" w:cstheme="minorBidi"/>
          <w:color w:val="auto"/>
          <w:sz w:val="22"/>
          <w:szCs w:val="22"/>
          <w:lang w:val="en-US" w:eastAsia="en-US"/>
        </w:rPr>
        <w:t xml:space="preserve">College of Policing , 2020. </w:t>
      </w:r>
      <w:r w:rsidRPr="000150EB">
        <w:rPr>
          <w:rFonts w:asciiTheme="minorHAnsi" w:eastAsiaTheme="minorHAnsi" w:hAnsiTheme="minorHAnsi" w:cstheme="minorBidi"/>
          <w:i/>
          <w:iCs/>
          <w:color w:val="auto"/>
          <w:sz w:val="22"/>
          <w:szCs w:val="22"/>
          <w:lang w:val="en-US" w:eastAsia="en-US"/>
        </w:rPr>
        <w:t xml:space="preserve">Non-leading approach to questioning – guideline. </w:t>
      </w:r>
      <w:r w:rsidRPr="000150EB">
        <w:rPr>
          <w:rFonts w:asciiTheme="minorHAnsi" w:eastAsiaTheme="minorHAnsi" w:hAnsiTheme="minorHAnsi" w:cstheme="minorBidi"/>
          <w:color w:val="auto"/>
          <w:sz w:val="22"/>
          <w:szCs w:val="22"/>
          <w:lang w:val="en-US" w:eastAsia="en-US"/>
        </w:rPr>
        <w:t xml:space="preserve">[Online] </w:t>
      </w:r>
      <w:r w:rsidRPr="000150EB">
        <w:rPr>
          <w:rFonts w:asciiTheme="minorHAnsi" w:eastAsiaTheme="minorHAnsi" w:hAnsiTheme="minorHAnsi" w:cstheme="minorBidi"/>
          <w:color w:val="auto"/>
          <w:sz w:val="22"/>
          <w:szCs w:val="22"/>
          <w:lang w:val="en-US" w:eastAsia="en-US"/>
        </w:rPr>
        <w:br/>
        <w:t xml:space="preserve">Available at: </w:t>
      </w:r>
      <w:hyperlink r:id="rId23" w:history="1">
        <w:r w:rsidRPr="000150EB">
          <w:rPr>
            <w:rFonts w:asciiTheme="minorHAnsi" w:eastAsiaTheme="minorHAnsi" w:hAnsiTheme="minorHAnsi" w:cstheme="minorBidi"/>
            <w:color w:val="0563C1"/>
            <w:sz w:val="22"/>
            <w:szCs w:val="22"/>
            <w:u w:val="single"/>
            <w:lang w:val="en-US" w:eastAsia="en-US"/>
          </w:rPr>
          <w:t>https://www.college.police.uk/guidance/obtaining-initial-accounts/non-leading-approach-questioning</w:t>
        </w:r>
      </w:hyperlink>
      <w:r w:rsidRPr="000150EB">
        <w:rPr>
          <w:rFonts w:asciiTheme="minorHAnsi" w:eastAsiaTheme="minorHAnsi" w:hAnsiTheme="minorHAnsi" w:cstheme="minorBidi"/>
          <w:color w:val="auto"/>
          <w:sz w:val="22"/>
          <w:szCs w:val="22"/>
          <w:lang w:val="en-US" w:eastAsia="en-US"/>
        </w:rPr>
        <w:br/>
        <w:t>[Accessed 21 July 2022].</w:t>
      </w:r>
    </w:p>
    <w:p w14:paraId="68E947C1"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0150EB">
        <w:rPr>
          <w:rFonts w:asciiTheme="minorHAnsi" w:eastAsiaTheme="minorHAnsi" w:hAnsiTheme="minorHAnsi" w:cstheme="minorBidi"/>
          <w:color w:val="auto"/>
          <w:sz w:val="22"/>
          <w:szCs w:val="22"/>
          <w:lang w:val="en-US" w:eastAsia="en-US"/>
        </w:rPr>
        <w:t xml:space="preserve">College of Policing, 2014. </w:t>
      </w:r>
      <w:r w:rsidRPr="000150EB">
        <w:rPr>
          <w:rFonts w:asciiTheme="minorHAnsi" w:eastAsiaTheme="minorHAnsi" w:hAnsiTheme="minorHAnsi" w:cstheme="minorBidi"/>
          <w:i/>
          <w:iCs/>
          <w:color w:val="auto"/>
          <w:sz w:val="22"/>
          <w:szCs w:val="22"/>
          <w:lang w:val="en-US" w:eastAsia="en-US"/>
        </w:rPr>
        <w:t xml:space="preserve">Code of Ethics. </w:t>
      </w:r>
      <w:r w:rsidRPr="000150EB">
        <w:rPr>
          <w:rFonts w:asciiTheme="minorHAnsi" w:eastAsiaTheme="minorHAnsi" w:hAnsiTheme="minorHAnsi" w:cstheme="minorBidi"/>
          <w:color w:val="auto"/>
          <w:sz w:val="22"/>
          <w:szCs w:val="22"/>
          <w:lang w:val="en-US" w:eastAsia="en-US"/>
        </w:rPr>
        <w:t xml:space="preserve">[Online] </w:t>
      </w:r>
      <w:r w:rsidRPr="000150EB">
        <w:rPr>
          <w:rFonts w:asciiTheme="minorHAnsi" w:eastAsiaTheme="minorHAnsi" w:hAnsiTheme="minorHAnsi" w:cstheme="minorBidi"/>
          <w:color w:val="auto"/>
          <w:sz w:val="22"/>
          <w:szCs w:val="22"/>
          <w:lang w:val="en-US" w:eastAsia="en-US"/>
        </w:rPr>
        <w:br/>
        <w:t xml:space="preserve">Available at: </w:t>
      </w:r>
      <w:hyperlink r:id="rId24" w:history="1">
        <w:r w:rsidRPr="000150EB">
          <w:rPr>
            <w:rFonts w:asciiTheme="minorHAnsi" w:eastAsiaTheme="minorHAnsi" w:hAnsiTheme="minorHAnsi" w:cstheme="minorBidi"/>
            <w:color w:val="0563C1"/>
            <w:sz w:val="22"/>
            <w:szCs w:val="22"/>
            <w:u w:val="single"/>
            <w:lang w:val="en-US" w:eastAsia="en-US"/>
          </w:rPr>
          <w:t>https://assets.college.police.uk/s3fs-public/2021-02/code_of_ethics.pdf</w:t>
        </w:r>
      </w:hyperlink>
      <w:r w:rsidRPr="000150EB">
        <w:rPr>
          <w:rFonts w:asciiTheme="minorHAnsi" w:eastAsiaTheme="minorHAnsi" w:hAnsiTheme="minorHAnsi" w:cstheme="minorBidi"/>
          <w:color w:val="auto"/>
          <w:sz w:val="22"/>
          <w:szCs w:val="22"/>
          <w:lang w:val="en-US" w:eastAsia="en-US"/>
        </w:rPr>
        <w:br/>
        <w:t>[Accessed 3 September 2022].</w:t>
      </w:r>
    </w:p>
    <w:p w14:paraId="5872B85D"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0150EB">
        <w:rPr>
          <w:rFonts w:asciiTheme="minorHAnsi" w:eastAsiaTheme="minorHAnsi" w:hAnsiTheme="minorHAnsi" w:cstheme="minorBidi"/>
          <w:color w:val="auto"/>
          <w:sz w:val="22"/>
          <w:szCs w:val="22"/>
          <w:lang w:val="en-US" w:eastAsia="en-US"/>
        </w:rPr>
        <w:t xml:space="preserve">Equality and Human Rights Commission , 2021. </w:t>
      </w:r>
      <w:r w:rsidRPr="000150EB">
        <w:rPr>
          <w:rFonts w:asciiTheme="minorHAnsi" w:eastAsiaTheme="minorHAnsi" w:hAnsiTheme="minorHAnsi" w:cstheme="minorBidi"/>
          <w:i/>
          <w:iCs/>
          <w:color w:val="auto"/>
          <w:sz w:val="22"/>
          <w:szCs w:val="22"/>
          <w:lang w:val="en-US" w:eastAsia="en-US"/>
        </w:rPr>
        <w:t xml:space="preserve">Article 5: Right to liberty and security. </w:t>
      </w:r>
      <w:r w:rsidRPr="000150EB">
        <w:rPr>
          <w:rFonts w:asciiTheme="minorHAnsi" w:eastAsiaTheme="minorHAnsi" w:hAnsiTheme="minorHAnsi" w:cstheme="minorBidi"/>
          <w:color w:val="auto"/>
          <w:sz w:val="22"/>
          <w:szCs w:val="22"/>
          <w:lang w:val="en-US" w:eastAsia="en-US"/>
        </w:rPr>
        <w:t xml:space="preserve">[Online] </w:t>
      </w:r>
      <w:r w:rsidRPr="000150EB">
        <w:rPr>
          <w:rFonts w:asciiTheme="minorHAnsi" w:eastAsiaTheme="minorHAnsi" w:hAnsiTheme="minorHAnsi" w:cstheme="minorBidi"/>
          <w:color w:val="auto"/>
          <w:sz w:val="22"/>
          <w:szCs w:val="22"/>
          <w:lang w:val="en-US" w:eastAsia="en-US"/>
        </w:rPr>
        <w:br/>
        <w:t xml:space="preserve">Available at: </w:t>
      </w:r>
      <w:hyperlink r:id="rId25" w:history="1">
        <w:r w:rsidRPr="000150EB">
          <w:rPr>
            <w:rFonts w:asciiTheme="minorHAnsi" w:eastAsiaTheme="minorHAnsi" w:hAnsiTheme="minorHAnsi" w:cstheme="minorBidi"/>
            <w:color w:val="0563C1"/>
            <w:sz w:val="22"/>
            <w:szCs w:val="22"/>
            <w:u w:val="single"/>
            <w:lang w:val="en-US" w:eastAsia="en-US"/>
          </w:rPr>
          <w:t>https://www.equalityhumanrights.com/en/human-rights-act/article-5-right-liberty-and-security</w:t>
        </w:r>
      </w:hyperlink>
      <w:r w:rsidRPr="000150EB">
        <w:rPr>
          <w:rFonts w:asciiTheme="minorHAnsi" w:eastAsiaTheme="minorHAnsi" w:hAnsiTheme="minorHAnsi" w:cstheme="minorBidi"/>
          <w:color w:val="auto"/>
          <w:sz w:val="22"/>
          <w:szCs w:val="22"/>
          <w:lang w:val="en-US" w:eastAsia="en-US"/>
        </w:rPr>
        <w:br/>
        <w:t>[Accessed 3 September 2022].</w:t>
      </w:r>
    </w:p>
    <w:p w14:paraId="4417B9C0"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0150EB">
        <w:rPr>
          <w:rFonts w:asciiTheme="minorHAnsi" w:eastAsiaTheme="minorHAnsi" w:hAnsiTheme="minorHAnsi" w:cstheme="minorBidi"/>
          <w:color w:val="auto"/>
          <w:sz w:val="22"/>
          <w:szCs w:val="22"/>
          <w:lang w:val="en-US" w:eastAsia="en-US"/>
        </w:rPr>
        <w:t xml:space="preserve">Exclusive , 2021. </w:t>
      </w:r>
      <w:r w:rsidRPr="000150EB">
        <w:rPr>
          <w:rFonts w:asciiTheme="minorHAnsi" w:eastAsiaTheme="minorHAnsi" w:hAnsiTheme="minorHAnsi" w:cstheme="minorBidi"/>
          <w:i/>
          <w:iCs/>
          <w:color w:val="auto"/>
          <w:sz w:val="22"/>
          <w:szCs w:val="22"/>
          <w:lang w:val="en-US" w:eastAsia="en-US"/>
        </w:rPr>
        <w:t xml:space="preserve">THE FEEL-GOOD SCIENCE BEHIND A SMILE. </w:t>
      </w:r>
      <w:r w:rsidRPr="000150EB">
        <w:rPr>
          <w:rFonts w:asciiTheme="minorHAnsi" w:eastAsiaTheme="minorHAnsi" w:hAnsiTheme="minorHAnsi" w:cstheme="minorBidi"/>
          <w:color w:val="auto"/>
          <w:sz w:val="22"/>
          <w:szCs w:val="22"/>
          <w:lang w:val="en-US" w:eastAsia="en-US"/>
        </w:rPr>
        <w:t xml:space="preserve">[Online] </w:t>
      </w:r>
      <w:r w:rsidRPr="000150EB">
        <w:rPr>
          <w:rFonts w:asciiTheme="minorHAnsi" w:eastAsiaTheme="minorHAnsi" w:hAnsiTheme="minorHAnsi" w:cstheme="minorBidi"/>
          <w:color w:val="auto"/>
          <w:sz w:val="22"/>
          <w:szCs w:val="22"/>
          <w:lang w:val="en-US" w:eastAsia="en-US"/>
        </w:rPr>
        <w:br/>
        <w:t xml:space="preserve">Available at: </w:t>
      </w:r>
      <w:hyperlink r:id="rId26" w:anchor=":~:text=A%20genuine%20smile%20shared%20with,emotions%20like%20happiness%20or%20contentment" w:history="1">
        <w:r w:rsidRPr="000150EB">
          <w:rPr>
            <w:rFonts w:asciiTheme="minorHAnsi" w:eastAsiaTheme="minorHAnsi" w:hAnsiTheme="minorHAnsi" w:cstheme="minorBidi"/>
            <w:color w:val="0563C1"/>
            <w:sz w:val="22"/>
            <w:szCs w:val="22"/>
            <w:u w:val="single"/>
            <w:lang w:val="en-US" w:eastAsia="en-US"/>
          </w:rPr>
          <w:t>https://gloscience.com/blogs/blog/feel-good-science-behind-a-smile#:~:text=A%20genuine%20smile%20shared%20with,emotions%20like%20happiness%20or%20contentment</w:t>
        </w:r>
      </w:hyperlink>
      <w:r w:rsidRPr="000150EB">
        <w:rPr>
          <w:rFonts w:asciiTheme="minorHAnsi" w:eastAsiaTheme="minorHAnsi" w:hAnsiTheme="minorHAnsi" w:cstheme="minorBidi"/>
          <w:color w:val="auto"/>
          <w:sz w:val="22"/>
          <w:szCs w:val="22"/>
          <w:u w:val="single"/>
          <w:lang w:val="en-US" w:eastAsia="en-US"/>
        </w:rPr>
        <w:t>.</w:t>
      </w:r>
      <w:r w:rsidRPr="000150EB">
        <w:rPr>
          <w:rFonts w:asciiTheme="minorHAnsi" w:eastAsiaTheme="minorHAnsi" w:hAnsiTheme="minorHAnsi" w:cstheme="minorBidi"/>
          <w:color w:val="auto"/>
          <w:sz w:val="22"/>
          <w:szCs w:val="22"/>
          <w:lang w:val="en-US" w:eastAsia="en-US"/>
        </w:rPr>
        <w:br/>
        <w:t>[Accessed 21 July 2022].</w:t>
      </w:r>
    </w:p>
    <w:p w14:paraId="5D3DDF27"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0150EB">
        <w:rPr>
          <w:rFonts w:asciiTheme="minorHAnsi" w:eastAsiaTheme="minorHAnsi" w:hAnsiTheme="minorHAnsi" w:cstheme="minorBidi"/>
          <w:color w:val="auto"/>
          <w:sz w:val="22"/>
          <w:szCs w:val="22"/>
          <w:lang w:val="en-US" w:eastAsia="en-US"/>
        </w:rPr>
        <w:t xml:space="preserve">Farmer, C., 2019. </w:t>
      </w:r>
      <w:r w:rsidRPr="000150EB">
        <w:rPr>
          <w:rFonts w:asciiTheme="minorHAnsi" w:eastAsiaTheme="minorHAnsi" w:hAnsiTheme="minorHAnsi" w:cstheme="minorBidi"/>
          <w:i/>
          <w:iCs/>
          <w:color w:val="auto"/>
          <w:sz w:val="22"/>
          <w:szCs w:val="22"/>
          <w:lang w:val="en-US" w:eastAsia="en-US"/>
        </w:rPr>
        <w:t xml:space="preserve">What is the Betari/Betaris Box. </w:t>
      </w:r>
      <w:r w:rsidRPr="000150EB">
        <w:rPr>
          <w:rFonts w:asciiTheme="minorHAnsi" w:eastAsiaTheme="minorHAnsi" w:hAnsiTheme="minorHAnsi" w:cstheme="minorBidi"/>
          <w:color w:val="auto"/>
          <w:sz w:val="22"/>
          <w:szCs w:val="22"/>
          <w:lang w:val="en-US" w:eastAsia="en-US"/>
        </w:rPr>
        <w:t xml:space="preserve">[Online] </w:t>
      </w:r>
      <w:r w:rsidRPr="000150EB">
        <w:rPr>
          <w:rFonts w:asciiTheme="minorHAnsi" w:eastAsiaTheme="minorHAnsi" w:hAnsiTheme="minorHAnsi" w:cstheme="minorBidi"/>
          <w:color w:val="auto"/>
          <w:sz w:val="22"/>
          <w:szCs w:val="22"/>
          <w:lang w:val="en-US" w:eastAsia="en-US"/>
        </w:rPr>
        <w:br/>
        <w:t xml:space="preserve">Available at: </w:t>
      </w:r>
      <w:hyperlink r:id="rId27" w:history="1">
        <w:r w:rsidRPr="000150EB">
          <w:rPr>
            <w:rFonts w:asciiTheme="minorHAnsi" w:eastAsiaTheme="minorHAnsi" w:hAnsiTheme="minorHAnsi" w:cstheme="minorBidi"/>
            <w:color w:val="0563C1"/>
            <w:sz w:val="22"/>
            <w:szCs w:val="22"/>
            <w:u w:val="single"/>
            <w:lang w:val="en-US" w:eastAsia="en-US"/>
          </w:rPr>
          <w:t>https://corporatecoachgroup.com/blog/what-is-the-betari-box</w:t>
        </w:r>
      </w:hyperlink>
      <w:r w:rsidRPr="000150EB">
        <w:rPr>
          <w:rFonts w:asciiTheme="minorHAnsi" w:eastAsiaTheme="minorHAnsi" w:hAnsiTheme="minorHAnsi" w:cstheme="minorBidi"/>
          <w:color w:val="auto"/>
          <w:sz w:val="22"/>
          <w:szCs w:val="22"/>
          <w:lang w:val="en-US" w:eastAsia="en-US"/>
        </w:rPr>
        <w:br/>
        <w:t>[Accessed 20 July 2022].</w:t>
      </w:r>
    </w:p>
    <w:p w14:paraId="29A6C44B"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0150EB">
        <w:rPr>
          <w:rFonts w:asciiTheme="minorHAnsi" w:eastAsiaTheme="minorHAnsi" w:hAnsiTheme="minorHAnsi" w:cstheme="minorBidi"/>
          <w:color w:val="auto"/>
          <w:sz w:val="22"/>
          <w:szCs w:val="22"/>
          <w:lang w:val="en-US" w:eastAsia="en-US"/>
        </w:rPr>
        <w:t xml:space="preserve">Farrell, S., 2016. </w:t>
      </w:r>
      <w:r w:rsidRPr="000150EB">
        <w:rPr>
          <w:rFonts w:asciiTheme="minorHAnsi" w:eastAsiaTheme="minorHAnsi" w:hAnsiTheme="minorHAnsi" w:cstheme="minorBidi"/>
          <w:i/>
          <w:iCs/>
          <w:color w:val="auto"/>
          <w:sz w:val="22"/>
          <w:szCs w:val="22"/>
          <w:lang w:val="en-US" w:eastAsia="en-US"/>
        </w:rPr>
        <w:t xml:space="preserve">Open-Ended vs. Closed-Ended Questions in User Research. </w:t>
      </w:r>
      <w:r w:rsidRPr="000150EB">
        <w:rPr>
          <w:rFonts w:asciiTheme="minorHAnsi" w:eastAsiaTheme="minorHAnsi" w:hAnsiTheme="minorHAnsi" w:cstheme="minorBidi"/>
          <w:color w:val="auto"/>
          <w:sz w:val="22"/>
          <w:szCs w:val="22"/>
          <w:lang w:val="en-US" w:eastAsia="en-US"/>
        </w:rPr>
        <w:t xml:space="preserve">[Online] </w:t>
      </w:r>
      <w:r w:rsidRPr="000150EB">
        <w:rPr>
          <w:rFonts w:asciiTheme="minorHAnsi" w:eastAsiaTheme="minorHAnsi" w:hAnsiTheme="minorHAnsi" w:cstheme="minorBidi"/>
          <w:color w:val="auto"/>
          <w:sz w:val="22"/>
          <w:szCs w:val="22"/>
          <w:lang w:val="en-US" w:eastAsia="en-US"/>
        </w:rPr>
        <w:br/>
        <w:t xml:space="preserve">Available at: </w:t>
      </w:r>
      <w:hyperlink r:id="rId28" w:history="1">
        <w:r w:rsidRPr="000150EB">
          <w:rPr>
            <w:rFonts w:asciiTheme="minorHAnsi" w:eastAsiaTheme="minorHAnsi" w:hAnsiTheme="minorHAnsi" w:cstheme="minorBidi"/>
            <w:color w:val="0563C1"/>
            <w:sz w:val="22"/>
            <w:szCs w:val="22"/>
            <w:u w:val="single"/>
            <w:lang w:val="en-US" w:eastAsia="en-US"/>
          </w:rPr>
          <w:t>https://www.nngroup.com/articles/open-ended-questions/</w:t>
        </w:r>
      </w:hyperlink>
      <w:r w:rsidRPr="000150EB">
        <w:rPr>
          <w:rFonts w:asciiTheme="minorHAnsi" w:eastAsiaTheme="minorHAnsi" w:hAnsiTheme="minorHAnsi" w:cstheme="minorBidi"/>
          <w:color w:val="auto"/>
          <w:sz w:val="22"/>
          <w:szCs w:val="22"/>
          <w:lang w:val="en-US" w:eastAsia="en-US"/>
        </w:rPr>
        <w:br/>
        <w:t>[Accessed 4 September 2022].</w:t>
      </w:r>
    </w:p>
    <w:p w14:paraId="7DC54503"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0150EB">
        <w:rPr>
          <w:rFonts w:asciiTheme="minorHAnsi" w:eastAsiaTheme="minorHAnsi" w:hAnsiTheme="minorHAnsi" w:cstheme="minorBidi"/>
          <w:color w:val="auto"/>
          <w:sz w:val="22"/>
          <w:szCs w:val="22"/>
          <w:lang w:val="en-US" w:eastAsia="en-US"/>
        </w:rPr>
        <w:t xml:space="preserve">Gov.uk, 2012. </w:t>
      </w:r>
      <w:r w:rsidRPr="000150EB">
        <w:rPr>
          <w:rFonts w:asciiTheme="minorHAnsi" w:eastAsiaTheme="minorHAnsi" w:hAnsiTheme="minorHAnsi" w:cstheme="minorBidi"/>
          <w:i/>
          <w:iCs/>
          <w:color w:val="auto"/>
          <w:sz w:val="22"/>
          <w:szCs w:val="22"/>
          <w:lang w:val="en-US" w:eastAsia="en-US"/>
        </w:rPr>
        <w:t xml:space="preserve">When a mental health condition becomes a disability. </w:t>
      </w:r>
      <w:r w:rsidRPr="000150EB">
        <w:rPr>
          <w:rFonts w:asciiTheme="minorHAnsi" w:eastAsiaTheme="minorHAnsi" w:hAnsiTheme="minorHAnsi" w:cstheme="minorBidi"/>
          <w:color w:val="auto"/>
          <w:sz w:val="22"/>
          <w:szCs w:val="22"/>
          <w:lang w:val="en-US" w:eastAsia="en-US"/>
        </w:rPr>
        <w:t xml:space="preserve">[Online] </w:t>
      </w:r>
      <w:r w:rsidRPr="000150EB">
        <w:rPr>
          <w:rFonts w:asciiTheme="minorHAnsi" w:eastAsiaTheme="minorHAnsi" w:hAnsiTheme="minorHAnsi" w:cstheme="minorBidi"/>
          <w:color w:val="auto"/>
          <w:sz w:val="22"/>
          <w:szCs w:val="22"/>
          <w:lang w:val="en-US" w:eastAsia="en-US"/>
        </w:rPr>
        <w:br/>
        <w:t xml:space="preserve">Available at: </w:t>
      </w:r>
      <w:hyperlink r:id="rId29" w:history="1">
        <w:r w:rsidRPr="000150EB">
          <w:rPr>
            <w:rFonts w:asciiTheme="minorHAnsi" w:eastAsiaTheme="minorHAnsi" w:hAnsiTheme="minorHAnsi" w:cstheme="minorBidi"/>
            <w:color w:val="0563C1"/>
            <w:sz w:val="22"/>
            <w:szCs w:val="22"/>
            <w:u w:val="single"/>
            <w:lang w:val="en-US" w:eastAsia="en-US"/>
          </w:rPr>
          <w:t>https://www.gov.uk/when-mental-health-condition-becomes-disability</w:t>
        </w:r>
      </w:hyperlink>
      <w:r w:rsidRPr="000150EB">
        <w:rPr>
          <w:rFonts w:asciiTheme="minorHAnsi" w:eastAsiaTheme="minorHAnsi" w:hAnsiTheme="minorHAnsi" w:cstheme="minorBidi"/>
          <w:color w:val="auto"/>
          <w:sz w:val="22"/>
          <w:szCs w:val="22"/>
          <w:lang w:val="en-US" w:eastAsia="en-US"/>
        </w:rPr>
        <w:br/>
        <w:t>[Accessed 31 August 2022].</w:t>
      </w:r>
    </w:p>
    <w:p w14:paraId="13F58724"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0150EB">
        <w:rPr>
          <w:rFonts w:asciiTheme="minorHAnsi" w:eastAsiaTheme="minorHAnsi" w:hAnsiTheme="minorHAnsi" w:cstheme="minorBidi"/>
          <w:color w:val="auto"/>
          <w:sz w:val="22"/>
          <w:szCs w:val="22"/>
          <w:lang w:val="en-US" w:eastAsia="en-US"/>
        </w:rPr>
        <w:t xml:space="preserve">Gov, Unknown. </w:t>
      </w:r>
      <w:r w:rsidRPr="000150EB">
        <w:rPr>
          <w:rFonts w:asciiTheme="minorHAnsi" w:eastAsiaTheme="minorHAnsi" w:hAnsiTheme="minorHAnsi" w:cstheme="minorBidi"/>
          <w:i/>
          <w:iCs/>
          <w:color w:val="auto"/>
          <w:sz w:val="22"/>
          <w:szCs w:val="22"/>
          <w:lang w:val="en-US" w:eastAsia="en-US"/>
        </w:rPr>
        <w:t xml:space="preserve">When a mental health condition becomes a disability. </w:t>
      </w:r>
      <w:r w:rsidRPr="000150EB">
        <w:rPr>
          <w:rFonts w:asciiTheme="minorHAnsi" w:eastAsiaTheme="minorHAnsi" w:hAnsiTheme="minorHAnsi" w:cstheme="minorBidi"/>
          <w:color w:val="auto"/>
          <w:sz w:val="22"/>
          <w:szCs w:val="22"/>
          <w:lang w:val="en-US" w:eastAsia="en-US"/>
        </w:rPr>
        <w:t xml:space="preserve">[Online] </w:t>
      </w:r>
      <w:r w:rsidRPr="000150EB">
        <w:rPr>
          <w:rFonts w:asciiTheme="minorHAnsi" w:eastAsiaTheme="minorHAnsi" w:hAnsiTheme="minorHAnsi" w:cstheme="minorBidi"/>
          <w:color w:val="auto"/>
          <w:sz w:val="22"/>
          <w:szCs w:val="22"/>
          <w:lang w:val="en-US" w:eastAsia="en-US"/>
        </w:rPr>
        <w:br/>
        <w:t xml:space="preserve">Available at: </w:t>
      </w:r>
      <w:hyperlink r:id="rId30" w:history="1">
        <w:r w:rsidRPr="000150EB">
          <w:rPr>
            <w:rFonts w:asciiTheme="minorHAnsi" w:eastAsiaTheme="minorHAnsi" w:hAnsiTheme="minorHAnsi" w:cstheme="minorBidi"/>
            <w:color w:val="0563C1"/>
            <w:sz w:val="22"/>
            <w:szCs w:val="22"/>
            <w:u w:val="single"/>
            <w:lang w:val="en-US" w:eastAsia="en-US"/>
          </w:rPr>
          <w:t>https://www.gov.uk/when-mental-health-condition-becomes-disability</w:t>
        </w:r>
      </w:hyperlink>
      <w:r w:rsidRPr="000150EB">
        <w:rPr>
          <w:rFonts w:asciiTheme="minorHAnsi" w:eastAsiaTheme="minorHAnsi" w:hAnsiTheme="minorHAnsi" w:cstheme="minorBidi"/>
          <w:color w:val="auto"/>
          <w:sz w:val="22"/>
          <w:szCs w:val="22"/>
          <w:lang w:val="en-US" w:eastAsia="en-US"/>
        </w:rPr>
        <w:br/>
        <w:t>[Accessed 21 July 2022].</w:t>
      </w:r>
    </w:p>
    <w:p w14:paraId="4D4E3E14"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0150EB">
        <w:rPr>
          <w:rFonts w:asciiTheme="minorHAnsi" w:eastAsiaTheme="minorHAnsi" w:hAnsiTheme="minorHAnsi" w:cstheme="minorBidi"/>
          <w:color w:val="auto"/>
          <w:sz w:val="22"/>
          <w:szCs w:val="22"/>
          <w:lang w:val="en-US" w:eastAsia="en-US"/>
        </w:rPr>
        <w:t xml:space="preserve">Legislation.gov, 2017. </w:t>
      </w:r>
      <w:r w:rsidRPr="000150EB">
        <w:rPr>
          <w:rFonts w:asciiTheme="minorHAnsi" w:eastAsiaTheme="minorHAnsi" w:hAnsiTheme="minorHAnsi" w:cstheme="minorBidi"/>
          <w:i/>
          <w:iCs/>
          <w:color w:val="auto"/>
          <w:sz w:val="22"/>
          <w:szCs w:val="22"/>
          <w:lang w:val="en-US" w:eastAsia="en-US"/>
        </w:rPr>
        <w:t xml:space="preserve">Police and Criminal Evidence Act 1984 - Section 117. </w:t>
      </w:r>
      <w:r w:rsidRPr="000150EB">
        <w:rPr>
          <w:rFonts w:asciiTheme="minorHAnsi" w:eastAsiaTheme="minorHAnsi" w:hAnsiTheme="minorHAnsi" w:cstheme="minorBidi"/>
          <w:color w:val="auto"/>
          <w:sz w:val="22"/>
          <w:szCs w:val="22"/>
          <w:lang w:val="en-US" w:eastAsia="en-US"/>
        </w:rPr>
        <w:t xml:space="preserve">[Online] </w:t>
      </w:r>
      <w:r w:rsidRPr="000150EB">
        <w:rPr>
          <w:rFonts w:asciiTheme="minorHAnsi" w:eastAsiaTheme="minorHAnsi" w:hAnsiTheme="minorHAnsi" w:cstheme="minorBidi"/>
          <w:color w:val="auto"/>
          <w:sz w:val="22"/>
          <w:szCs w:val="22"/>
          <w:lang w:val="en-US" w:eastAsia="en-US"/>
        </w:rPr>
        <w:br/>
        <w:t xml:space="preserve">Available at: </w:t>
      </w:r>
      <w:hyperlink r:id="rId31" w:history="1">
        <w:r w:rsidRPr="000150EB">
          <w:rPr>
            <w:rFonts w:asciiTheme="minorHAnsi" w:eastAsiaTheme="minorHAnsi" w:hAnsiTheme="minorHAnsi" w:cstheme="minorBidi"/>
            <w:color w:val="0563C1"/>
            <w:sz w:val="22"/>
            <w:szCs w:val="22"/>
            <w:u w:val="single"/>
            <w:lang w:val="en-US" w:eastAsia="en-US"/>
          </w:rPr>
          <w:t>https://www.legislation.gov.uk/ukpga/1984/60/section/117</w:t>
        </w:r>
      </w:hyperlink>
      <w:r w:rsidRPr="000150EB">
        <w:rPr>
          <w:rFonts w:asciiTheme="minorHAnsi" w:eastAsiaTheme="minorHAnsi" w:hAnsiTheme="minorHAnsi" w:cstheme="minorBidi"/>
          <w:color w:val="auto"/>
          <w:sz w:val="22"/>
          <w:szCs w:val="22"/>
          <w:lang w:val="en-US" w:eastAsia="en-US"/>
        </w:rPr>
        <w:br/>
        <w:t>[Accessed 3 September 2022].</w:t>
      </w:r>
    </w:p>
    <w:p w14:paraId="4DB0627A"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0150EB">
        <w:rPr>
          <w:rFonts w:asciiTheme="minorHAnsi" w:eastAsiaTheme="minorHAnsi" w:hAnsiTheme="minorHAnsi" w:cstheme="minorBidi"/>
          <w:color w:val="auto"/>
          <w:sz w:val="22"/>
          <w:szCs w:val="22"/>
          <w:lang w:val="en-US" w:eastAsia="en-US"/>
        </w:rPr>
        <w:lastRenderedPageBreak/>
        <w:t xml:space="preserve">Legislation.gov, 2017. </w:t>
      </w:r>
      <w:r w:rsidRPr="000150EB">
        <w:rPr>
          <w:rFonts w:asciiTheme="minorHAnsi" w:eastAsiaTheme="minorHAnsi" w:hAnsiTheme="minorHAnsi" w:cstheme="minorBidi"/>
          <w:i/>
          <w:iCs/>
          <w:color w:val="auto"/>
          <w:sz w:val="22"/>
          <w:szCs w:val="22"/>
          <w:lang w:val="en-US" w:eastAsia="en-US"/>
        </w:rPr>
        <w:t xml:space="preserve">Removal etc of mentally disordered persons without a warrant. </w:t>
      </w:r>
      <w:r w:rsidRPr="000150EB">
        <w:rPr>
          <w:rFonts w:asciiTheme="minorHAnsi" w:eastAsiaTheme="minorHAnsi" w:hAnsiTheme="minorHAnsi" w:cstheme="minorBidi"/>
          <w:color w:val="auto"/>
          <w:sz w:val="22"/>
          <w:szCs w:val="22"/>
          <w:lang w:val="en-US" w:eastAsia="en-US"/>
        </w:rPr>
        <w:t xml:space="preserve">[Online] </w:t>
      </w:r>
      <w:r w:rsidRPr="000150EB">
        <w:rPr>
          <w:rFonts w:asciiTheme="minorHAnsi" w:eastAsiaTheme="minorHAnsi" w:hAnsiTheme="minorHAnsi" w:cstheme="minorBidi"/>
          <w:color w:val="auto"/>
          <w:sz w:val="22"/>
          <w:szCs w:val="22"/>
          <w:lang w:val="en-US" w:eastAsia="en-US"/>
        </w:rPr>
        <w:br/>
        <w:t xml:space="preserve">Available at: </w:t>
      </w:r>
      <w:hyperlink r:id="rId32" w:history="1">
        <w:r w:rsidRPr="000150EB">
          <w:rPr>
            <w:rFonts w:asciiTheme="minorHAnsi" w:eastAsiaTheme="minorHAnsi" w:hAnsiTheme="minorHAnsi" w:cstheme="minorBidi"/>
            <w:color w:val="0563C1"/>
            <w:sz w:val="22"/>
            <w:szCs w:val="22"/>
            <w:u w:val="single"/>
            <w:lang w:val="en-US" w:eastAsia="en-US"/>
          </w:rPr>
          <w:t>https://www.legislation.gov.uk/ukpga/1983/20/section/136</w:t>
        </w:r>
      </w:hyperlink>
      <w:r w:rsidRPr="000150EB">
        <w:rPr>
          <w:rFonts w:asciiTheme="minorHAnsi" w:eastAsiaTheme="minorHAnsi" w:hAnsiTheme="minorHAnsi" w:cstheme="minorBidi"/>
          <w:color w:val="auto"/>
          <w:sz w:val="22"/>
          <w:szCs w:val="22"/>
          <w:lang w:val="en-US" w:eastAsia="en-US"/>
        </w:rPr>
        <w:br/>
        <w:t>[Accessed 3 September 2022].</w:t>
      </w:r>
    </w:p>
    <w:p w14:paraId="02BEBAAA"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0150EB">
        <w:rPr>
          <w:rFonts w:asciiTheme="minorHAnsi" w:eastAsiaTheme="minorHAnsi" w:hAnsiTheme="minorHAnsi" w:cstheme="minorBidi"/>
          <w:color w:val="auto"/>
          <w:sz w:val="22"/>
          <w:szCs w:val="22"/>
          <w:lang w:val="en-US" w:eastAsia="en-US"/>
        </w:rPr>
        <w:t xml:space="preserve">Wooll, M., 2021. </w:t>
      </w:r>
      <w:r w:rsidRPr="000150EB">
        <w:rPr>
          <w:rFonts w:asciiTheme="minorHAnsi" w:eastAsiaTheme="minorHAnsi" w:hAnsiTheme="minorHAnsi" w:cstheme="minorBidi"/>
          <w:i/>
          <w:iCs/>
          <w:color w:val="auto"/>
          <w:sz w:val="22"/>
          <w:szCs w:val="22"/>
          <w:lang w:val="en-US" w:eastAsia="en-US"/>
        </w:rPr>
        <w:t xml:space="preserve">Finding common ground with anyone: A quick and easy guide. </w:t>
      </w:r>
      <w:r w:rsidRPr="000150EB">
        <w:rPr>
          <w:rFonts w:asciiTheme="minorHAnsi" w:eastAsiaTheme="minorHAnsi" w:hAnsiTheme="minorHAnsi" w:cstheme="minorBidi"/>
          <w:color w:val="auto"/>
          <w:sz w:val="22"/>
          <w:szCs w:val="22"/>
          <w:lang w:val="en-US" w:eastAsia="en-US"/>
        </w:rPr>
        <w:t xml:space="preserve">[Online] </w:t>
      </w:r>
      <w:r w:rsidRPr="000150EB">
        <w:rPr>
          <w:rFonts w:asciiTheme="minorHAnsi" w:eastAsiaTheme="minorHAnsi" w:hAnsiTheme="minorHAnsi" w:cstheme="minorBidi"/>
          <w:color w:val="auto"/>
          <w:sz w:val="22"/>
          <w:szCs w:val="22"/>
          <w:lang w:val="en-US" w:eastAsia="en-US"/>
        </w:rPr>
        <w:br/>
        <w:t xml:space="preserve">Available at: </w:t>
      </w:r>
      <w:hyperlink r:id="rId33" w:history="1">
        <w:r w:rsidRPr="000150EB">
          <w:rPr>
            <w:rFonts w:asciiTheme="minorHAnsi" w:eastAsiaTheme="minorHAnsi" w:hAnsiTheme="minorHAnsi" w:cstheme="minorBidi"/>
            <w:color w:val="0563C1"/>
            <w:sz w:val="22"/>
            <w:szCs w:val="22"/>
            <w:u w:val="single"/>
            <w:lang w:val="en-US" w:eastAsia="en-US"/>
          </w:rPr>
          <w:t>https://www.betterup.com/blog/finding-common-ground-with-anyone-a-quick-and-easy-guide</w:t>
        </w:r>
      </w:hyperlink>
      <w:r w:rsidRPr="000150EB">
        <w:rPr>
          <w:rFonts w:asciiTheme="minorHAnsi" w:eastAsiaTheme="minorHAnsi" w:hAnsiTheme="minorHAnsi" w:cstheme="minorBidi"/>
          <w:color w:val="auto"/>
          <w:sz w:val="22"/>
          <w:szCs w:val="22"/>
          <w:lang w:val="en-US" w:eastAsia="en-US"/>
        </w:rPr>
        <w:br/>
        <w:t>[Accessed 21 July 2022].</w:t>
      </w:r>
    </w:p>
    <w:p w14:paraId="6A0BC527"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1C4A54B0" w14:textId="77777777" w:rsidR="000150EB" w:rsidRPr="00450C83" w:rsidRDefault="000150EB"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7A380FBE"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I will use this essay to talk about a policing incident that I have played a significant role with a victim and offender and reflect on what happened. I will give a description of the incident before explaining and reflecting on my responsibilities and procedures in line with the code of ethics and other relevant codes of practice. I will illustrate how policing values were engaged as well as any other relevant considerations during the incident.</w:t>
      </w:r>
    </w:p>
    <w:p w14:paraId="53C0D97E"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28649F26"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I recently attended a call where a mother of a 3 month old child had been involved in an incident where her ex-partner had turned up at her address and requested to see his child. There was an </w:t>
      </w:r>
      <w:r w:rsidRPr="000150EB">
        <w:rPr>
          <w:rFonts w:ascii="Calibri" w:eastAsiaTheme="minorHAnsi" w:hAnsi="Calibri" w:cs="Calibri"/>
          <w:color w:val="auto"/>
          <w:sz w:val="22"/>
          <w:szCs w:val="22"/>
          <w:lang w:eastAsia="en-US"/>
        </w:rPr>
        <w:lastRenderedPageBreak/>
        <w:t>agreement which set out conditions that the father could only see the child when in company with a named person on the agreement as set out by social services. For this exercise, I will refer to the reporting person who is the single mother as ‘person 1’ and her ex-partner as ‘person 2’.</w:t>
      </w:r>
    </w:p>
    <w:p w14:paraId="373A4F9E"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As no named person was at the address person 1 rightfully denied person 2 access to the child. Following this person 2 has begun shouting at person 1 and after she has locked him out, he has made his way around the back of the property and forced the rear door open breaking the chain lock. When inside the property person 2 has intimidated person 1 by telling her that he would kill her before exiting the property and taken the front door keys with him. </w:t>
      </w:r>
    </w:p>
    <w:p w14:paraId="530D3FEE"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3E5A7E01"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From the context of the call made by person 1 there were several potential offences involved including threats to kill, criminal damage, burglary with the aggravating domestic factor. </w:t>
      </w:r>
    </w:p>
    <w:p w14:paraId="30A0BF76"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After beginning to make my way through the National decision-making model </w:t>
      </w:r>
      <w:sdt>
        <w:sdtPr>
          <w:rPr>
            <w:rFonts w:ascii="Calibri" w:eastAsiaTheme="minorHAnsi" w:hAnsi="Calibri" w:cs="Calibri"/>
            <w:color w:val="auto"/>
            <w:sz w:val="22"/>
            <w:szCs w:val="22"/>
            <w:lang w:eastAsia="en-US"/>
          </w:rPr>
          <w:id w:val="-698151508"/>
          <w:citation/>
        </w:sdtPr>
        <w:sdtContent>
          <w:r w:rsidRPr="000150EB">
            <w:rPr>
              <w:rFonts w:ascii="Calibri" w:eastAsiaTheme="minorHAnsi" w:hAnsi="Calibri" w:cs="Calibri"/>
              <w:color w:val="auto"/>
              <w:sz w:val="22"/>
              <w:szCs w:val="22"/>
              <w:lang w:eastAsia="en-US"/>
            </w:rPr>
            <w:fldChar w:fldCharType="begin"/>
          </w:r>
          <w:r w:rsidRPr="000150EB">
            <w:rPr>
              <w:rFonts w:ascii="Calibri" w:eastAsiaTheme="minorHAnsi" w:hAnsi="Calibri" w:cs="Calibri"/>
              <w:color w:val="auto"/>
              <w:sz w:val="22"/>
              <w:szCs w:val="22"/>
              <w:lang w:eastAsia="en-US"/>
            </w:rPr>
            <w:instrText xml:space="preserve"> CITATION Col131 \l 2057 </w:instrText>
          </w:r>
          <w:r w:rsidRPr="000150EB">
            <w:rPr>
              <w:rFonts w:ascii="Calibri" w:eastAsiaTheme="minorHAnsi" w:hAnsi="Calibri" w:cs="Calibri"/>
              <w:color w:val="auto"/>
              <w:sz w:val="22"/>
              <w:szCs w:val="22"/>
              <w:lang w:eastAsia="en-US"/>
            </w:rPr>
            <w:fldChar w:fldCharType="separate"/>
          </w:r>
          <w:r w:rsidRPr="000150EB">
            <w:rPr>
              <w:rFonts w:ascii="Calibri" w:eastAsiaTheme="minorHAnsi" w:hAnsi="Calibri" w:cs="Calibri"/>
              <w:noProof/>
              <w:color w:val="auto"/>
              <w:sz w:val="22"/>
              <w:szCs w:val="22"/>
              <w:lang w:eastAsia="en-US"/>
            </w:rPr>
            <w:t>(College of Policing , 2013)</w:t>
          </w:r>
          <w:r w:rsidRPr="000150EB">
            <w:rPr>
              <w:rFonts w:ascii="Calibri" w:eastAsiaTheme="minorHAnsi" w:hAnsi="Calibri" w:cs="Calibri"/>
              <w:color w:val="auto"/>
              <w:sz w:val="22"/>
              <w:szCs w:val="22"/>
              <w:lang w:eastAsia="en-US"/>
            </w:rPr>
            <w:fldChar w:fldCharType="end"/>
          </w:r>
        </w:sdtContent>
      </w:sdt>
      <w:r w:rsidRPr="000150EB">
        <w:rPr>
          <w:rFonts w:ascii="Calibri" w:eastAsiaTheme="minorHAnsi" w:hAnsi="Calibri" w:cs="Calibri"/>
          <w:color w:val="auto"/>
          <w:sz w:val="22"/>
          <w:szCs w:val="22"/>
          <w:lang w:eastAsia="en-US"/>
        </w:rPr>
        <w:t xml:space="preserve"> on route to the call and assessing information and intelligence it became apparent that both persons 1 and 2 had previously had considerable police contact and has both been problematic upon police contact. After processing this information, I made a conscious note me myself around my duties and responsivities as an officer. More specifically being diligent in the exercise of my duties and not allowing a potential unconscious bias to affect how I treat any person involved in the incident and conduct myself in a way which would not discredit the police force as in line with the code of ethics as set out by the college of policing (College of Policing, 2014). I planned to do this by treating all those involved according to their needs and as individuals, treating those involved with respect and making sure not to allow any of their history’s affect my decision making and not acting on my gut instinct and using the facts. This is a researched and proven method used to reduce unconscious bias (Callister, 2022).   </w:t>
      </w:r>
    </w:p>
    <w:p w14:paraId="21DDD634"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566F558B"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I made sure to activate my body worn video when I arrived at the victim’s address. Following a college of policing review around the use of body worn video, the results indicated that body worn cameras can reduce complaints against Police (College of Policing, 2021). I have not only activated it for this reason but also for evidence gathering purposes. The victim would likely be giving me the first disclosure around the incident and by capturing that on camera I could refer to it later if I needed to write a statement. Body worn video is also said to have an impact on how people behaviour during police encounters. Generally, the body worn camera will discourage socially unacceptable behaviour (College of Policing, 2021). </w:t>
      </w:r>
    </w:p>
    <w:p w14:paraId="0831885F"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6F4953F0"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Upon my initial attendance my priority was to ensure that all persons were safe and well and had not encountered any injuries during the incident as in line with the first response guidelines in dealing with domestic incidents (College of Policing, 2022). After establishing that both the child and person 1 were not harmed my next consideration was to safeguard them.</w:t>
      </w:r>
    </w:p>
    <w:p w14:paraId="6B261D90"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 </w:t>
      </w:r>
    </w:p>
    <w:p w14:paraId="3049156D"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I had not met person 1 previously and knew that to handle the incident effectively and sympathetically I would need a level of rapport to encourage person 1 to speak openly with me. To do this I spoke with her about her background and family which is a proven method used to build rapport (Farmer, 2014) which in turn led into the current situation where I advised her that this incident would not jeopardise her parenting position with social services. I have since researched and found that rapport is considered important in the world of law enforcement and intelligence gathering as it can lead to increased amounts of information and intelligence being provided and encourage greater cooperation (Muir, 2017). This further aligns with an issue highlighted in a report made by Victim support which outlines that there are several barriers around people reporting domestic violence issues, fear of the police and concerns around the involvement of children and social services to name a few. More specifically people reporting domestic violence didn’t feel that the police were taking them seriously, as well as having a continued fear of the perpetrator (Victim </w:t>
      </w:r>
      <w:r w:rsidRPr="000150EB">
        <w:rPr>
          <w:rFonts w:ascii="Calibri" w:eastAsiaTheme="minorHAnsi" w:hAnsi="Calibri" w:cs="Calibri"/>
          <w:color w:val="auto"/>
          <w:sz w:val="22"/>
          <w:szCs w:val="22"/>
          <w:lang w:eastAsia="en-US"/>
        </w:rPr>
        <w:lastRenderedPageBreak/>
        <w:t>Support, 2018), but by speaking to person 1 with empathy and building rapport with her information flowed freely. This led to establishing the offences person 2 was suspected of committing and his whereabouts so that he could be arrested, interviewed, and potentially be given bail conditions which would prevent him from contacting person 1 or attending her address which would safeguard person 1 and the child. This needed to be done in a timely manner due to it being highlighted that an area for improvement for policing is that perpetrators involved in domestic violence need to be dealt with more robustly by officers to build public trust (Victim Support, 2018).</w:t>
      </w:r>
    </w:p>
    <w:p w14:paraId="7EC7B0AA"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  </w:t>
      </w:r>
    </w:p>
    <w:p w14:paraId="4DD16131"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Secondly was to speak with person 1 around the submission of a PPN (public protection Notification)  </w:t>
      </w:r>
      <w:sdt>
        <w:sdtPr>
          <w:rPr>
            <w:rFonts w:ascii="Calibri" w:eastAsiaTheme="minorHAnsi" w:hAnsi="Calibri" w:cs="Calibri"/>
            <w:color w:val="auto"/>
            <w:sz w:val="22"/>
            <w:szCs w:val="22"/>
            <w:lang w:eastAsia="en-US"/>
          </w:rPr>
          <w:id w:val="1690024457"/>
          <w:citation/>
        </w:sdtPr>
        <w:sdtContent>
          <w:r w:rsidRPr="000150EB">
            <w:rPr>
              <w:rFonts w:ascii="Calibri" w:eastAsiaTheme="minorHAnsi" w:hAnsi="Calibri" w:cs="Calibri"/>
              <w:color w:val="auto"/>
              <w:sz w:val="22"/>
              <w:szCs w:val="22"/>
              <w:lang w:eastAsia="en-US"/>
            </w:rPr>
            <w:fldChar w:fldCharType="begin"/>
          </w:r>
          <w:r w:rsidRPr="000150EB">
            <w:rPr>
              <w:rFonts w:ascii="Calibri" w:eastAsiaTheme="minorHAnsi" w:hAnsi="Calibri" w:cs="Calibri"/>
              <w:color w:val="auto"/>
              <w:sz w:val="22"/>
              <w:szCs w:val="22"/>
              <w:lang w:eastAsia="en-US"/>
            </w:rPr>
            <w:instrText xml:space="preserve"> CITATION HMI15 \l 2057 </w:instrText>
          </w:r>
          <w:r w:rsidRPr="000150EB">
            <w:rPr>
              <w:rFonts w:ascii="Calibri" w:eastAsiaTheme="minorHAnsi" w:hAnsi="Calibri" w:cs="Calibri"/>
              <w:color w:val="auto"/>
              <w:sz w:val="22"/>
              <w:szCs w:val="22"/>
              <w:lang w:eastAsia="en-US"/>
            </w:rPr>
            <w:fldChar w:fldCharType="separate"/>
          </w:r>
          <w:r w:rsidRPr="000150EB">
            <w:rPr>
              <w:rFonts w:ascii="Calibri" w:eastAsiaTheme="minorHAnsi" w:hAnsi="Calibri" w:cs="Calibri"/>
              <w:noProof/>
              <w:color w:val="auto"/>
              <w:sz w:val="22"/>
              <w:szCs w:val="22"/>
              <w:lang w:eastAsia="en-US"/>
            </w:rPr>
            <w:t>(HMIC, 2015)</w:t>
          </w:r>
          <w:r w:rsidRPr="000150EB">
            <w:rPr>
              <w:rFonts w:ascii="Calibri" w:eastAsiaTheme="minorHAnsi" w:hAnsi="Calibri" w:cs="Calibri"/>
              <w:color w:val="auto"/>
              <w:sz w:val="22"/>
              <w:szCs w:val="22"/>
              <w:lang w:eastAsia="en-US"/>
            </w:rPr>
            <w:fldChar w:fldCharType="end"/>
          </w:r>
        </w:sdtContent>
      </w:sdt>
      <w:r w:rsidRPr="000150EB">
        <w:rPr>
          <w:rFonts w:ascii="Calibri" w:eastAsiaTheme="minorHAnsi" w:hAnsi="Calibri" w:cs="Calibri"/>
          <w:color w:val="auto"/>
          <w:sz w:val="22"/>
          <w:szCs w:val="22"/>
          <w:lang w:eastAsia="en-US"/>
        </w:rPr>
        <w:t xml:space="preserve">,which is a form submitted by police which outlines the nature of the event and person 1’s circumstances allowing third party agencies to assist where appropriate. This could be anything from counselling sessions to moving property if they are living in council or housing association properties. Due to the domestic violence factor present in incident force police is to go through the domestic violence PPN which features a list of pre-set questions known as the DASH questions </w:t>
      </w:r>
      <w:sdt>
        <w:sdtPr>
          <w:rPr>
            <w:rFonts w:ascii="Calibri" w:eastAsiaTheme="minorHAnsi" w:hAnsi="Calibri" w:cs="Calibri"/>
            <w:color w:val="auto"/>
            <w:sz w:val="22"/>
            <w:szCs w:val="22"/>
            <w:lang w:eastAsia="en-US"/>
          </w:rPr>
          <w:id w:val="169837215"/>
          <w:citation/>
        </w:sdtPr>
        <w:sdtContent>
          <w:r w:rsidRPr="000150EB">
            <w:rPr>
              <w:rFonts w:ascii="Calibri" w:eastAsiaTheme="minorHAnsi" w:hAnsi="Calibri" w:cs="Calibri"/>
              <w:color w:val="auto"/>
              <w:sz w:val="22"/>
              <w:szCs w:val="22"/>
              <w:lang w:eastAsia="en-US"/>
            </w:rPr>
            <w:fldChar w:fldCharType="begin"/>
          </w:r>
          <w:r w:rsidRPr="000150EB">
            <w:rPr>
              <w:rFonts w:ascii="Calibri" w:eastAsiaTheme="minorHAnsi" w:hAnsi="Calibri" w:cs="Calibri"/>
              <w:color w:val="auto"/>
              <w:sz w:val="22"/>
              <w:szCs w:val="22"/>
              <w:lang w:eastAsia="en-US"/>
            </w:rPr>
            <w:instrText xml:space="preserve"> CITATION Nor20 \l 2057 </w:instrText>
          </w:r>
          <w:r w:rsidRPr="000150EB">
            <w:rPr>
              <w:rFonts w:ascii="Calibri" w:eastAsiaTheme="minorHAnsi" w:hAnsi="Calibri" w:cs="Calibri"/>
              <w:color w:val="auto"/>
              <w:sz w:val="22"/>
              <w:szCs w:val="22"/>
              <w:lang w:eastAsia="en-US"/>
            </w:rPr>
            <w:fldChar w:fldCharType="separate"/>
          </w:r>
          <w:r w:rsidRPr="000150EB">
            <w:rPr>
              <w:rFonts w:ascii="Calibri" w:eastAsiaTheme="minorHAnsi" w:hAnsi="Calibri" w:cs="Calibri"/>
              <w:noProof/>
              <w:color w:val="auto"/>
              <w:sz w:val="22"/>
              <w:szCs w:val="22"/>
              <w:lang w:eastAsia="en-US"/>
            </w:rPr>
            <w:t>(Norfolk County Council, 2020)</w:t>
          </w:r>
          <w:r w:rsidRPr="000150EB">
            <w:rPr>
              <w:rFonts w:ascii="Calibri" w:eastAsiaTheme="minorHAnsi" w:hAnsi="Calibri" w:cs="Calibri"/>
              <w:color w:val="auto"/>
              <w:sz w:val="22"/>
              <w:szCs w:val="22"/>
              <w:lang w:eastAsia="en-US"/>
            </w:rPr>
            <w:fldChar w:fldCharType="end"/>
          </w:r>
        </w:sdtContent>
      </w:sdt>
      <w:r w:rsidRPr="000150EB">
        <w:rPr>
          <w:rFonts w:ascii="Calibri" w:eastAsiaTheme="minorHAnsi" w:hAnsi="Calibri" w:cs="Calibri"/>
          <w:color w:val="auto"/>
          <w:sz w:val="22"/>
          <w:szCs w:val="22"/>
          <w:lang w:eastAsia="en-US"/>
        </w:rPr>
        <w:t xml:space="preserve">. These questions are submitted and act as a risk assessment. Using this information proven methods of how to resolve issues can be used and the incident will also be discussed at the MARRAC meeting which is the multi-agency risk assessment conference </w:t>
      </w:r>
      <w:sdt>
        <w:sdtPr>
          <w:rPr>
            <w:rFonts w:ascii="Calibri" w:eastAsiaTheme="minorHAnsi" w:hAnsi="Calibri" w:cs="Calibri"/>
            <w:color w:val="auto"/>
            <w:sz w:val="22"/>
            <w:szCs w:val="22"/>
            <w:lang w:eastAsia="en-US"/>
          </w:rPr>
          <w:id w:val="-397673724"/>
          <w:citation/>
        </w:sdtPr>
        <w:sdtContent>
          <w:r w:rsidRPr="000150EB">
            <w:rPr>
              <w:rFonts w:ascii="Calibri" w:eastAsiaTheme="minorHAnsi" w:hAnsi="Calibri" w:cs="Calibri"/>
              <w:color w:val="auto"/>
              <w:sz w:val="22"/>
              <w:szCs w:val="22"/>
              <w:lang w:eastAsia="en-US"/>
            </w:rPr>
            <w:fldChar w:fldCharType="begin"/>
          </w:r>
          <w:r w:rsidRPr="000150EB">
            <w:rPr>
              <w:rFonts w:ascii="Calibri" w:eastAsiaTheme="minorHAnsi" w:hAnsi="Calibri" w:cs="Calibri"/>
              <w:color w:val="auto"/>
              <w:sz w:val="22"/>
              <w:szCs w:val="22"/>
              <w:lang w:eastAsia="en-US"/>
            </w:rPr>
            <w:instrText xml:space="preserve"> CITATION Dom22 \l 2057 </w:instrText>
          </w:r>
          <w:r w:rsidRPr="000150EB">
            <w:rPr>
              <w:rFonts w:ascii="Calibri" w:eastAsiaTheme="minorHAnsi" w:hAnsi="Calibri" w:cs="Calibri"/>
              <w:color w:val="auto"/>
              <w:sz w:val="22"/>
              <w:szCs w:val="22"/>
              <w:lang w:eastAsia="en-US"/>
            </w:rPr>
            <w:fldChar w:fldCharType="separate"/>
          </w:r>
          <w:r w:rsidRPr="000150EB">
            <w:rPr>
              <w:rFonts w:ascii="Calibri" w:eastAsiaTheme="minorHAnsi" w:hAnsi="Calibri" w:cs="Calibri"/>
              <w:noProof/>
              <w:color w:val="auto"/>
              <w:sz w:val="22"/>
              <w:szCs w:val="22"/>
              <w:lang w:eastAsia="en-US"/>
            </w:rPr>
            <w:t>(Domestic Abuse Services, 2022)</w:t>
          </w:r>
          <w:r w:rsidRPr="000150EB">
            <w:rPr>
              <w:rFonts w:ascii="Calibri" w:eastAsiaTheme="minorHAnsi" w:hAnsi="Calibri" w:cs="Calibri"/>
              <w:color w:val="auto"/>
              <w:sz w:val="22"/>
              <w:szCs w:val="22"/>
              <w:lang w:eastAsia="en-US"/>
            </w:rPr>
            <w:fldChar w:fldCharType="end"/>
          </w:r>
        </w:sdtContent>
      </w:sdt>
      <w:r w:rsidRPr="000150EB">
        <w:rPr>
          <w:rFonts w:ascii="Calibri" w:eastAsiaTheme="minorHAnsi" w:hAnsi="Calibri" w:cs="Calibri"/>
          <w:color w:val="auto"/>
          <w:sz w:val="22"/>
          <w:szCs w:val="22"/>
          <w:lang w:eastAsia="en-US"/>
        </w:rPr>
        <w:t>. This allows agencies that might already be involved with person 1 to have an input around what they might have ongoing with person 1 and bounce ideas back and forth around how to further assist and or safeguard them.  </w:t>
      </w:r>
    </w:p>
    <w:p w14:paraId="748A8351"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00DCB78F"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Thirdly, considering the code of practice for victims of crime which sets out 12 rights victims of crime have during the entire criminal justice process (Ministry of Justice , 2021). I explained to person 1 in terms that she understood, more specifically not using police jargon or complex terminology what would happen with the case going forward. This fell in line with Right 1, 1.1 which gives victims the right to understand and be understood (Ministry of Justice , 2021). Following person 1 agreeing to make a statement in relation to the incident I have explained to her that it might result in her needing to attend court and giving evidence if it were to go to trial. She had no issue with this. I explained this to her in line with right 2, 2.2 which is to have the details of the crime recorded without unjustified delay (Ministry of Justice , 2021) . With person 1 already having mentioned that social services for involved with her and her child I have provided her with the occurrence number and my contact information. I have not sent this in writing due to it being a domestic incident and the threat that might pose to person 1 should person 2 view that information. This was done in line with right 3, 3.2 which providing information when reporting a crime. </w:t>
      </w:r>
    </w:p>
    <w:p w14:paraId="2E7AA99D"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32C9BC83"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Right 4 outlines that victims have the right to be referred to services that support victims and have services and support tailored to their needs (Ministry of Justice , 2021).  I have offered the VFR (victim focus referral) which is a form submitted by officers or directly from victims which are dealt with by Victim Support which is an independent charity that help anyone affected by crime (Victim Support , 2020). In this case person 1 was already in touch with Victim Support and did not need to be referred again. </w:t>
      </w:r>
    </w:p>
    <w:p w14:paraId="0051AFB8"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58CED190"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Following the arrest of person 2 I Informed person 1 of the arrest in line with right 6 (Ministry of Justice , 2021) which is the right to be provided with information about the investigation and prosecution. I have further contacted person 1 following the decision made around person 2’s bail conditions which were not to attend person 1s address or contact her directly or indirectly. She was informed of this so that should person 2 breach the bail conditions placed on him she could contact police so that he could be further arrested which would safeguard person 1. </w:t>
      </w:r>
    </w:p>
    <w:p w14:paraId="114A6DDA"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6F64F6EB"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 xml:space="preserve">In conclusion by implementing rapport building techniques, police code of ethics, safeguarding, victim codes of practice and the first response guidance in relation to domestic incidents the victim </w:t>
      </w:r>
      <w:r w:rsidRPr="000150EB">
        <w:rPr>
          <w:rFonts w:ascii="Calibri" w:eastAsiaTheme="minorHAnsi" w:hAnsi="Calibri" w:cs="Calibri"/>
          <w:color w:val="auto"/>
          <w:sz w:val="22"/>
          <w:szCs w:val="22"/>
          <w:lang w:eastAsia="en-US"/>
        </w:rPr>
        <w:lastRenderedPageBreak/>
        <w:t xml:space="preserve">and her child were protected almost immediately from the perpetrator following his timely arrest which led to bail conditions being put in place which prevented him from contacting person 1 directly or indirectly. By implementing the victim’s codes of practice, the victim has received a structured service and assisted in the building of confidence in the justice system (Gov.uk, 2021).  </w:t>
      </w:r>
    </w:p>
    <w:p w14:paraId="0F619474"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2D88DC04"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color w:val="auto"/>
          <w:sz w:val="22"/>
          <w:szCs w:val="22"/>
          <w:lang w:eastAsia="en-US"/>
        </w:rPr>
        <w:t>Words: 1642</w:t>
      </w:r>
    </w:p>
    <w:p w14:paraId="766D4FEE"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sdt>
      <w:sdtPr>
        <w:rPr>
          <w:rFonts w:ascii="Calibri" w:eastAsiaTheme="minorHAnsi" w:hAnsi="Calibri" w:cs="Calibri"/>
          <w:color w:val="auto"/>
          <w:sz w:val="22"/>
          <w:szCs w:val="22"/>
          <w:lang w:eastAsia="en-US"/>
        </w:rPr>
        <w:id w:val="-1963030180"/>
        <w:docPartObj>
          <w:docPartGallery w:val="Bibliographies"/>
          <w:docPartUnique/>
        </w:docPartObj>
      </w:sdtPr>
      <w:sdtContent>
        <w:p w14:paraId="5AA04C6E" w14:textId="77777777" w:rsidR="000150EB" w:rsidRPr="000150EB" w:rsidRDefault="000150EB" w:rsidP="000150EB">
          <w:pPr>
            <w:keepNext/>
            <w:keepLines/>
            <w:overflowPunct/>
            <w:autoSpaceDE/>
            <w:autoSpaceDN/>
            <w:adjustRightInd/>
            <w:spacing w:before="240" w:line="259" w:lineRule="auto"/>
            <w:textAlignment w:val="auto"/>
            <w:outlineLvl w:val="0"/>
            <w:rPr>
              <w:rFonts w:asciiTheme="majorHAnsi" w:eastAsiaTheme="majorEastAsia" w:hAnsiTheme="majorHAnsi" w:cstheme="majorBidi"/>
              <w:color w:val="2F5496" w:themeColor="accent1" w:themeShade="BF"/>
              <w:sz w:val="32"/>
              <w:szCs w:val="32"/>
              <w:lang w:val="en-US" w:eastAsia="en-US"/>
            </w:rPr>
          </w:pPr>
          <w:r w:rsidRPr="000150EB">
            <w:rPr>
              <w:rFonts w:asciiTheme="majorHAnsi" w:eastAsiaTheme="majorEastAsia" w:hAnsiTheme="majorHAnsi" w:cstheme="majorBidi"/>
              <w:color w:val="2F5496" w:themeColor="accent1" w:themeShade="BF"/>
              <w:sz w:val="32"/>
              <w:szCs w:val="32"/>
              <w:lang w:val="en-US" w:eastAsia="en-US"/>
            </w:rPr>
            <w:t>References</w:t>
          </w:r>
        </w:p>
        <w:sdt>
          <w:sdtPr>
            <w:rPr>
              <w:rFonts w:ascii="Calibri" w:eastAsiaTheme="minorHAnsi" w:hAnsi="Calibri" w:cs="Calibri"/>
              <w:color w:val="auto"/>
              <w:sz w:val="22"/>
              <w:szCs w:val="22"/>
              <w:lang w:eastAsia="en-US"/>
            </w:rPr>
            <w:id w:val="214251876"/>
            <w:bibliography/>
          </w:sdtPr>
          <w:sdtContent>
            <w:p w14:paraId="52A0F240"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4"/>
                  <w:szCs w:val="24"/>
                  <w:lang w:val="en-US" w:eastAsia="en-US"/>
                </w:rPr>
              </w:pPr>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BIBLIOGRAPHY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val="en-US" w:eastAsia="en-US"/>
                </w:rPr>
                <w:t xml:space="preserve">Callister, L., 2022. </w:t>
              </w:r>
              <w:r w:rsidRPr="000150EB">
                <w:rPr>
                  <w:rFonts w:asciiTheme="minorHAnsi" w:eastAsiaTheme="minorHAnsi" w:hAnsiTheme="minorHAnsi" w:cstheme="minorBidi"/>
                  <w:i/>
                  <w:iCs/>
                  <w:noProof/>
                  <w:color w:val="auto"/>
                  <w:sz w:val="22"/>
                  <w:szCs w:val="22"/>
                  <w:lang w:val="en-US" w:eastAsia="en-US"/>
                </w:rPr>
                <w:t xml:space="preserve">10 Tips to Reduce Unconscious Bias at Work.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https://www.skillcast.com/blog/reduce-workplace-unconscious-bias</w:t>
              </w:r>
              <w:r w:rsidRPr="000150EB">
                <w:rPr>
                  <w:rFonts w:asciiTheme="minorHAnsi" w:eastAsiaTheme="minorHAnsi" w:hAnsiTheme="minorHAnsi" w:cstheme="minorBidi"/>
                  <w:noProof/>
                  <w:color w:val="auto"/>
                  <w:sz w:val="22"/>
                  <w:szCs w:val="22"/>
                  <w:lang w:val="en-US" w:eastAsia="en-US"/>
                </w:rPr>
                <w:br/>
                <w:t>[Accessed 5th August 2022].</w:t>
              </w:r>
            </w:p>
            <w:p w14:paraId="037A565F"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College of Policing , 2013. </w:t>
              </w:r>
              <w:r w:rsidRPr="000150EB">
                <w:rPr>
                  <w:rFonts w:asciiTheme="minorHAnsi" w:eastAsiaTheme="minorHAnsi" w:hAnsiTheme="minorHAnsi" w:cstheme="minorBidi"/>
                  <w:i/>
                  <w:iCs/>
                  <w:noProof/>
                  <w:color w:val="auto"/>
                  <w:sz w:val="22"/>
                  <w:szCs w:val="22"/>
                  <w:lang w:val="en-US" w:eastAsia="en-US"/>
                </w:rPr>
                <w:t xml:space="preserve">National Decicion Making Model.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https://www.college.police.uk/app/national-decision-model/national-decision-model?highlight=national%20decision%20model</w:t>
              </w:r>
              <w:r w:rsidRPr="000150EB">
                <w:rPr>
                  <w:rFonts w:asciiTheme="minorHAnsi" w:eastAsiaTheme="minorHAnsi" w:hAnsiTheme="minorHAnsi" w:cstheme="minorBidi"/>
                  <w:noProof/>
                  <w:color w:val="auto"/>
                  <w:sz w:val="22"/>
                  <w:szCs w:val="22"/>
                  <w:lang w:val="en-US" w:eastAsia="en-US"/>
                </w:rPr>
                <w:br/>
                <w:t>[Accessed 4 September 2022].</w:t>
              </w:r>
            </w:p>
            <w:p w14:paraId="07503B2E"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College of Policing, 2014. </w:t>
              </w:r>
              <w:r w:rsidRPr="000150EB">
                <w:rPr>
                  <w:rFonts w:asciiTheme="minorHAnsi" w:eastAsiaTheme="minorHAnsi" w:hAnsiTheme="minorHAnsi" w:cstheme="minorBidi"/>
                  <w:i/>
                  <w:iCs/>
                  <w:noProof/>
                  <w:color w:val="auto"/>
                  <w:sz w:val="22"/>
                  <w:szCs w:val="22"/>
                  <w:lang w:val="en-US" w:eastAsia="en-US"/>
                </w:rPr>
                <w:t xml:space="preserve">Code of Ethics. </w:t>
              </w:r>
              <w:r w:rsidRPr="000150EB">
                <w:rPr>
                  <w:rFonts w:asciiTheme="minorHAnsi" w:eastAsiaTheme="minorHAnsi" w:hAnsiTheme="minorHAnsi" w:cstheme="minorBidi"/>
                  <w:noProof/>
                  <w:color w:val="auto"/>
                  <w:sz w:val="22"/>
                  <w:szCs w:val="22"/>
                  <w:lang w:val="en-US" w:eastAsia="en-US"/>
                </w:rPr>
                <w:t>England and Wales : College of Policing.</w:t>
              </w:r>
            </w:p>
            <w:p w14:paraId="2BFAFDD2"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College of Policing, 2021. </w:t>
              </w:r>
              <w:r w:rsidRPr="000150EB">
                <w:rPr>
                  <w:rFonts w:asciiTheme="minorHAnsi" w:eastAsiaTheme="minorHAnsi" w:hAnsiTheme="minorHAnsi" w:cstheme="minorBidi"/>
                  <w:i/>
                  <w:iCs/>
                  <w:noProof/>
                  <w:color w:val="auto"/>
                  <w:sz w:val="22"/>
                  <w:szCs w:val="22"/>
                  <w:lang w:val="en-US" w:eastAsia="en-US"/>
                </w:rPr>
                <w:t xml:space="preserve">Body-worn camera.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https://www.college.police.uk/research/crime-reduction-toolkit/body-worn-cameras</w:t>
              </w:r>
              <w:r w:rsidRPr="000150EB">
                <w:rPr>
                  <w:rFonts w:asciiTheme="minorHAnsi" w:eastAsiaTheme="minorHAnsi" w:hAnsiTheme="minorHAnsi" w:cstheme="minorBidi"/>
                  <w:noProof/>
                  <w:color w:val="auto"/>
                  <w:sz w:val="22"/>
                  <w:szCs w:val="22"/>
                  <w:lang w:val="en-US" w:eastAsia="en-US"/>
                </w:rPr>
                <w:br/>
                <w:t>[Accessed 4 September 2022].</w:t>
              </w:r>
            </w:p>
            <w:p w14:paraId="56E83E46"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College of Policing, 2022. </w:t>
              </w:r>
              <w:r w:rsidRPr="000150EB">
                <w:rPr>
                  <w:rFonts w:asciiTheme="minorHAnsi" w:eastAsiaTheme="minorHAnsi" w:hAnsiTheme="minorHAnsi" w:cstheme="minorBidi"/>
                  <w:i/>
                  <w:iCs/>
                  <w:noProof/>
                  <w:color w:val="auto"/>
                  <w:sz w:val="22"/>
                  <w:szCs w:val="22"/>
                  <w:lang w:val="en-US" w:eastAsia="en-US"/>
                </w:rPr>
                <w:t xml:space="preserve">First Response. </w:t>
              </w:r>
              <w:r w:rsidRPr="000150EB">
                <w:rPr>
                  <w:rFonts w:asciiTheme="minorHAnsi" w:eastAsiaTheme="minorHAnsi" w:hAnsiTheme="minorHAnsi" w:cstheme="minorBidi"/>
                  <w:noProof/>
                  <w:color w:val="auto"/>
                  <w:sz w:val="22"/>
                  <w:szCs w:val="22"/>
                  <w:lang w:val="en-US" w:eastAsia="en-US"/>
                </w:rPr>
                <w:t>England and Wales : College of Policing.</w:t>
              </w:r>
            </w:p>
            <w:p w14:paraId="26A9ED3B"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Domestic Abuse Services, 2022. </w:t>
              </w:r>
              <w:r w:rsidRPr="000150EB">
                <w:rPr>
                  <w:rFonts w:asciiTheme="minorHAnsi" w:eastAsiaTheme="minorHAnsi" w:hAnsiTheme="minorHAnsi" w:cstheme="minorBidi"/>
                  <w:i/>
                  <w:iCs/>
                  <w:noProof/>
                  <w:color w:val="auto"/>
                  <w:sz w:val="22"/>
                  <w:szCs w:val="22"/>
                  <w:lang w:val="en-US" w:eastAsia="en-US"/>
                </w:rPr>
                <w:t xml:space="preserve">Multi-Agency Risk Assessment Conference (MARAC).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https://www.domesticabuseservices.org.uk/latest-news-articles-advice/marac/</w:t>
              </w:r>
              <w:r w:rsidRPr="000150EB">
                <w:rPr>
                  <w:rFonts w:asciiTheme="minorHAnsi" w:eastAsiaTheme="minorHAnsi" w:hAnsiTheme="minorHAnsi" w:cstheme="minorBidi"/>
                  <w:noProof/>
                  <w:color w:val="auto"/>
                  <w:sz w:val="22"/>
                  <w:szCs w:val="22"/>
                  <w:lang w:val="en-US" w:eastAsia="en-US"/>
                </w:rPr>
                <w:br/>
                <w:t>[Accessed 4 September 2022].</w:t>
              </w:r>
            </w:p>
            <w:p w14:paraId="5FFEB631"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Farmer, J. R., 2014. </w:t>
              </w:r>
              <w:r w:rsidRPr="000150EB">
                <w:rPr>
                  <w:rFonts w:asciiTheme="minorHAnsi" w:eastAsiaTheme="minorHAnsi" w:hAnsiTheme="minorHAnsi" w:cstheme="minorBidi"/>
                  <w:i/>
                  <w:iCs/>
                  <w:noProof/>
                  <w:color w:val="auto"/>
                  <w:sz w:val="22"/>
                  <w:szCs w:val="22"/>
                  <w:lang w:val="en-US" w:eastAsia="en-US"/>
                </w:rPr>
                <w:t xml:space="preserve">9 Powerful Techniques for Building Rapport with Anyone.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https://www.lifehack.org/articles/communication/7-simple-steps-build-rapport-instantly.html</w:t>
              </w:r>
              <w:r w:rsidRPr="000150EB">
                <w:rPr>
                  <w:rFonts w:asciiTheme="minorHAnsi" w:eastAsiaTheme="minorHAnsi" w:hAnsiTheme="minorHAnsi" w:cstheme="minorBidi"/>
                  <w:noProof/>
                  <w:color w:val="auto"/>
                  <w:sz w:val="22"/>
                  <w:szCs w:val="22"/>
                  <w:lang w:val="en-US" w:eastAsia="en-US"/>
                </w:rPr>
                <w:br/>
                <w:t>[Accessed 5th August 2022].</w:t>
              </w:r>
            </w:p>
            <w:p w14:paraId="49A053C3"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HMIC, 2015. </w:t>
              </w:r>
              <w:r w:rsidRPr="000150EB">
                <w:rPr>
                  <w:rFonts w:asciiTheme="minorHAnsi" w:eastAsiaTheme="minorHAnsi" w:hAnsiTheme="minorHAnsi" w:cstheme="minorBidi"/>
                  <w:i/>
                  <w:iCs/>
                  <w:noProof/>
                  <w:color w:val="auto"/>
                  <w:sz w:val="22"/>
                  <w:szCs w:val="22"/>
                  <w:lang w:val="en-US" w:eastAsia="en-US"/>
                </w:rPr>
                <w:t xml:space="preserve">PEEL: Police effectiveness 2015.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https://www.justiceinspectorates.gov.uk/hmicfrs/wp-content/uploads/police-effectiveness-vulnerability-2015-south-wales.pdf</w:t>
              </w:r>
              <w:r w:rsidRPr="000150EB">
                <w:rPr>
                  <w:rFonts w:asciiTheme="minorHAnsi" w:eastAsiaTheme="minorHAnsi" w:hAnsiTheme="minorHAnsi" w:cstheme="minorBidi"/>
                  <w:noProof/>
                  <w:color w:val="auto"/>
                  <w:sz w:val="22"/>
                  <w:szCs w:val="22"/>
                  <w:lang w:val="en-US" w:eastAsia="en-US"/>
                </w:rPr>
                <w:br/>
                <w:t>[Accessed 4 September 2022].</w:t>
              </w:r>
            </w:p>
            <w:p w14:paraId="26BA3124"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Ministry of Justice , 2021. </w:t>
              </w:r>
              <w:r w:rsidRPr="000150EB">
                <w:rPr>
                  <w:rFonts w:asciiTheme="minorHAnsi" w:eastAsiaTheme="minorHAnsi" w:hAnsiTheme="minorHAnsi" w:cstheme="minorBidi"/>
                  <w:i/>
                  <w:iCs/>
                  <w:noProof/>
                  <w:color w:val="auto"/>
                  <w:sz w:val="22"/>
                  <w:szCs w:val="22"/>
                  <w:lang w:val="en-US" w:eastAsia="en-US"/>
                </w:rPr>
                <w:t xml:space="preserve">The Code of Practice for Victims of Crime in England and Wales and supporting public information materials.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https://www.gov.uk/government/publications/the-code-of-practice-for-victims-of-crime</w:t>
              </w:r>
              <w:r w:rsidRPr="000150EB">
                <w:rPr>
                  <w:rFonts w:asciiTheme="minorHAnsi" w:eastAsiaTheme="minorHAnsi" w:hAnsiTheme="minorHAnsi" w:cstheme="minorBidi"/>
                  <w:noProof/>
                  <w:color w:val="auto"/>
                  <w:sz w:val="22"/>
                  <w:szCs w:val="22"/>
                  <w:lang w:val="en-US" w:eastAsia="en-US"/>
                </w:rPr>
                <w:br/>
                <w:t>[Accessed 5th August 2022].</w:t>
              </w:r>
            </w:p>
            <w:p w14:paraId="4FFBE8A0"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Muir, K., 2017. </w:t>
              </w:r>
              <w:r w:rsidRPr="000150EB">
                <w:rPr>
                  <w:rFonts w:asciiTheme="minorHAnsi" w:eastAsiaTheme="minorHAnsi" w:hAnsiTheme="minorHAnsi" w:cstheme="minorBidi"/>
                  <w:i/>
                  <w:iCs/>
                  <w:noProof/>
                  <w:color w:val="auto"/>
                  <w:sz w:val="22"/>
                  <w:szCs w:val="22"/>
                  <w:lang w:val="en-US" w:eastAsia="en-US"/>
                </w:rPr>
                <w:t xml:space="preserve">What is rapport and how can you help increase it?.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https://crestresearch.ac.uk/comment/rapport-can-increase/</w:t>
              </w:r>
              <w:r w:rsidRPr="000150EB">
                <w:rPr>
                  <w:rFonts w:asciiTheme="minorHAnsi" w:eastAsiaTheme="minorHAnsi" w:hAnsiTheme="minorHAnsi" w:cstheme="minorBidi"/>
                  <w:noProof/>
                  <w:color w:val="auto"/>
                  <w:sz w:val="22"/>
                  <w:szCs w:val="22"/>
                  <w:lang w:val="en-US" w:eastAsia="en-US"/>
                </w:rPr>
                <w:br/>
                <w:t>[Accessed 5th August 2022].</w:t>
              </w:r>
            </w:p>
            <w:p w14:paraId="0E1824F5"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lastRenderedPageBreak/>
                <w:t xml:space="preserve">Norfolk County Council, 2020. </w:t>
              </w:r>
              <w:r w:rsidRPr="000150EB">
                <w:rPr>
                  <w:rFonts w:asciiTheme="minorHAnsi" w:eastAsiaTheme="minorHAnsi" w:hAnsiTheme="minorHAnsi" w:cstheme="minorBidi"/>
                  <w:i/>
                  <w:iCs/>
                  <w:noProof/>
                  <w:color w:val="auto"/>
                  <w:sz w:val="22"/>
                  <w:szCs w:val="22"/>
                  <w:lang w:val="en-US" w:eastAsia="en-US"/>
                </w:rPr>
                <w:t xml:space="preserve">Risk Assesment.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https://www.norfolk.gov.uk/safety/domestic-abuse/information-for-professionals/risk-assessment</w:t>
              </w:r>
              <w:r w:rsidRPr="000150EB">
                <w:rPr>
                  <w:rFonts w:asciiTheme="minorHAnsi" w:eastAsiaTheme="minorHAnsi" w:hAnsiTheme="minorHAnsi" w:cstheme="minorBidi"/>
                  <w:noProof/>
                  <w:color w:val="auto"/>
                  <w:sz w:val="22"/>
                  <w:szCs w:val="22"/>
                  <w:lang w:val="en-US" w:eastAsia="en-US"/>
                </w:rPr>
                <w:br/>
                <w:t>[Accessed 4 September 2022].</w:t>
              </w:r>
            </w:p>
            <w:p w14:paraId="4F4E94E2"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Victim Support , 2020. </w:t>
              </w:r>
              <w:r w:rsidRPr="000150EB">
                <w:rPr>
                  <w:rFonts w:asciiTheme="minorHAnsi" w:eastAsiaTheme="minorHAnsi" w:hAnsiTheme="minorHAnsi" w:cstheme="minorBidi"/>
                  <w:i/>
                  <w:iCs/>
                  <w:noProof/>
                  <w:color w:val="auto"/>
                  <w:sz w:val="22"/>
                  <w:szCs w:val="22"/>
                  <w:lang w:val="en-US" w:eastAsia="en-US"/>
                </w:rPr>
                <w:t xml:space="preserve">How we can help.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https://www.victimsupport.org.uk/help-and-support/how-we-can-help/</w:t>
              </w:r>
              <w:r w:rsidRPr="000150EB">
                <w:rPr>
                  <w:rFonts w:asciiTheme="minorHAnsi" w:eastAsiaTheme="minorHAnsi" w:hAnsiTheme="minorHAnsi" w:cstheme="minorBidi"/>
                  <w:noProof/>
                  <w:color w:val="auto"/>
                  <w:sz w:val="22"/>
                  <w:szCs w:val="22"/>
                  <w:lang w:val="en-US" w:eastAsia="en-US"/>
                </w:rPr>
                <w:br/>
                <w:t>[Accessed 4 September 2022].</w:t>
              </w:r>
            </w:p>
            <w:p w14:paraId="14B27FB1"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Victim Support, 2018. </w:t>
              </w:r>
              <w:r w:rsidRPr="000150EB">
                <w:rPr>
                  <w:rFonts w:asciiTheme="minorHAnsi" w:eastAsiaTheme="minorHAnsi" w:hAnsiTheme="minorHAnsi" w:cstheme="minorBidi"/>
                  <w:i/>
                  <w:iCs/>
                  <w:noProof/>
                  <w:color w:val="auto"/>
                  <w:sz w:val="22"/>
                  <w:szCs w:val="22"/>
                  <w:lang w:val="en-US" w:eastAsia="en-US"/>
                </w:rPr>
                <w:t xml:space="preserve">How victims and survivors of domestic abuse experience the criminal justice system.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https://www.victimsupport.org.uk/wp-content/uploads/documents/files/How%20victims%20and%20survivors%20of%20DA%20experience%20the%20criminal%20justice%20system.pdf</w:t>
              </w:r>
              <w:r w:rsidRPr="000150EB">
                <w:rPr>
                  <w:rFonts w:asciiTheme="minorHAnsi" w:eastAsiaTheme="minorHAnsi" w:hAnsiTheme="minorHAnsi" w:cstheme="minorBidi"/>
                  <w:noProof/>
                  <w:color w:val="auto"/>
                  <w:sz w:val="22"/>
                  <w:szCs w:val="22"/>
                  <w:lang w:val="en-US" w:eastAsia="en-US"/>
                </w:rPr>
                <w:br/>
                <w:t>[Accessed 5th August 2022].</w:t>
              </w:r>
            </w:p>
            <w:p w14:paraId="1ED957C2"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r w:rsidRPr="000150EB">
                <w:rPr>
                  <w:rFonts w:ascii="Calibri" w:eastAsiaTheme="minorHAnsi" w:hAnsi="Calibri" w:cs="Calibri"/>
                  <w:b/>
                  <w:bCs/>
                  <w:noProof/>
                  <w:color w:val="auto"/>
                  <w:sz w:val="22"/>
                  <w:szCs w:val="22"/>
                  <w:lang w:eastAsia="en-US"/>
                </w:rPr>
                <w:fldChar w:fldCharType="end"/>
              </w:r>
            </w:p>
          </w:sdtContent>
        </w:sdt>
      </w:sdtContent>
    </w:sdt>
    <w:p w14:paraId="130878A2" w14:textId="77777777" w:rsidR="000150EB" w:rsidRPr="000150EB" w:rsidRDefault="000150EB" w:rsidP="000150EB">
      <w:pPr>
        <w:overflowPunct/>
        <w:autoSpaceDE/>
        <w:autoSpaceDN/>
        <w:adjustRightInd/>
        <w:textAlignment w:val="auto"/>
        <w:rPr>
          <w:rFonts w:ascii="Calibri" w:eastAsiaTheme="minorHAnsi" w:hAnsi="Calibri" w:cs="Calibri"/>
          <w:color w:val="auto"/>
          <w:sz w:val="22"/>
          <w:szCs w:val="22"/>
          <w:lang w:eastAsia="en-US"/>
        </w:rPr>
      </w:pPr>
    </w:p>
    <w:p w14:paraId="27E19C37" w14:textId="77777777" w:rsidR="001E3914" w:rsidRDefault="001E3914" w:rsidP="001E3914"/>
    <w:p w14:paraId="32933C98" w14:textId="17AD8FDD"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22FBC868" w14:textId="77777777" w:rsidR="000150EB" w:rsidRPr="000150EB" w:rsidRDefault="000150EB" w:rsidP="000150EB">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lastRenderedPageBreak/>
        <w:t xml:space="preserve">For this task I will cover an incident where I have played a significant role with an offender and reflect on what happened. I will give a brief description of the incident and reflect on how the National decision-making model was used to assist in resolving this incident. I will highlight my consideration of discretion in the decision-making process. I will go on to explain my role with regards to the provision of the code of conduct of Criminal Procedure and Investigations Act 1996 (CPIA) when conducting the investigation and finally illustrate how policing values were engaged through the analysis of the potential impact of bias. </w:t>
      </w:r>
    </w:p>
    <w:p w14:paraId="3043F707"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I recently attended an incident where a male who I will refer to as person 1 for this task had assaulted an individual who I will refer to as person 2. Person 1 lived in an assisted living arrangement due to having an antisocial mental health condition. Person 2 was a staff member at the facility and was also the reporting person. </w:t>
      </w:r>
    </w:p>
    <w:p w14:paraId="3A6898B1"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While on route to the incident I began considering the national decision-making model. The NDM consists of 5 parts. At the centre of the model is the code of ethics which should be at the centre of all policing decisions </w:t>
      </w:r>
      <w:sdt>
        <w:sdtPr>
          <w:rPr>
            <w:rFonts w:asciiTheme="minorHAnsi" w:eastAsiaTheme="minorHAnsi" w:hAnsiTheme="minorHAnsi" w:cstheme="minorBidi"/>
            <w:color w:val="auto"/>
            <w:sz w:val="22"/>
            <w:szCs w:val="22"/>
            <w:lang w:eastAsia="en-US"/>
          </w:rPr>
          <w:id w:val="800497979"/>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Col141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(College of Policing , 2014)</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w:t>
      </w:r>
    </w:p>
    <w:p w14:paraId="59B68D46"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Part one is gathering information and intelligence </w:t>
      </w:r>
      <w:sdt>
        <w:sdtPr>
          <w:rPr>
            <w:rFonts w:asciiTheme="minorHAnsi" w:eastAsiaTheme="minorHAnsi" w:hAnsiTheme="minorHAnsi" w:cstheme="minorBidi"/>
            <w:color w:val="auto"/>
            <w:sz w:val="22"/>
            <w:szCs w:val="22"/>
            <w:lang w:eastAsia="en-US"/>
          </w:rPr>
          <w:id w:val="-1180881352"/>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Col141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(College of Policing , 2014)</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This has been completed by the control room who passed warning markers for person 1. These included mental health, namely an antisocial condition and previous for carrying knives as well as advising that person 1 was from out of force area and as a result we had limited information on the individual. </w:t>
      </w:r>
    </w:p>
    <w:p w14:paraId="4B56A180"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Part two is assessing the threat and developing a working strategy </w:t>
      </w:r>
      <w:sdt>
        <w:sdtPr>
          <w:rPr>
            <w:rFonts w:asciiTheme="minorHAnsi" w:eastAsiaTheme="minorHAnsi" w:hAnsiTheme="minorHAnsi" w:cstheme="minorBidi"/>
            <w:color w:val="auto"/>
            <w:sz w:val="22"/>
            <w:szCs w:val="22"/>
            <w:lang w:eastAsia="en-US"/>
          </w:rPr>
          <w:id w:val="-1466881421"/>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Col141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(College of Policing , 2014)</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Assessing the threat was considered while still on route based on the information provided within part 1. I then began to develop a working strategy based on this information which involved considerations around whether two officers would be sufficient and making my sergeant aware that we were attending a call with a potentially dangerous individual. We did not have the exact location of person 1 and recognised that this information would need to be gathered from the facility staff upon our arrival. </w:t>
      </w:r>
    </w:p>
    <w:p w14:paraId="557E9AFE"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Part 3 covers considering the powers and policies </w:t>
      </w:r>
      <w:sdt>
        <w:sdtPr>
          <w:rPr>
            <w:rFonts w:asciiTheme="minorHAnsi" w:eastAsiaTheme="minorHAnsi" w:hAnsiTheme="minorHAnsi" w:cstheme="minorBidi"/>
            <w:color w:val="auto"/>
            <w:sz w:val="22"/>
            <w:szCs w:val="22"/>
            <w:lang w:eastAsia="en-US"/>
          </w:rPr>
          <w:id w:val="-1241014933"/>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Col141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(College of Policing , 2014)</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Due to the information provided which outlined that an assault had taken place more specifically a common assault under section 39 of the Criminal Justice Act 1988 </w:t>
      </w:r>
      <w:sdt>
        <w:sdtPr>
          <w:rPr>
            <w:rFonts w:asciiTheme="minorHAnsi" w:eastAsiaTheme="minorHAnsi" w:hAnsiTheme="minorHAnsi" w:cstheme="minorBidi"/>
            <w:color w:val="auto"/>
            <w:sz w:val="22"/>
            <w:szCs w:val="22"/>
            <w:lang w:eastAsia="en-US"/>
          </w:rPr>
          <w:id w:val="1438332581"/>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Leg18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(Legislation.gov.uk, 2018)</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 In order to effect this arrest section 24 of the police and criminal evidence act would be the power for arrest </w:t>
      </w:r>
      <w:sdt>
        <w:sdtPr>
          <w:rPr>
            <w:rFonts w:asciiTheme="minorHAnsi" w:eastAsiaTheme="minorHAnsi" w:hAnsiTheme="minorHAnsi" w:cstheme="minorBidi"/>
            <w:color w:val="auto"/>
            <w:sz w:val="22"/>
            <w:szCs w:val="22"/>
            <w:lang w:eastAsia="en-US"/>
          </w:rPr>
          <w:id w:val="2140523680"/>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Leg22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(Legislation.gov.uk, 2022)</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in addition to this if person 2 were to be handcuffed section 117 Police and Criminal Evidence act 1984 </w:t>
      </w:r>
      <w:sdt>
        <w:sdtPr>
          <w:rPr>
            <w:rFonts w:asciiTheme="minorHAnsi" w:eastAsiaTheme="minorHAnsi" w:hAnsiTheme="minorHAnsi" w:cstheme="minorBidi"/>
            <w:color w:val="auto"/>
            <w:sz w:val="22"/>
            <w:szCs w:val="22"/>
            <w:lang w:eastAsia="en-US"/>
          </w:rPr>
          <w:id w:val="-1812792384"/>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Leg17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(Legislation.gov.uk, 2017 )</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w:t>
      </w:r>
    </w:p>
    <w:p w14:paraId="750CE6E6"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Part 4 is options and contingencies </w:t>
      </w:r>
      <w:sdt>
        <w:sdtPr>
          <w:rPr>
            <w:rFonts w:asciiTheme="minorHAnsi" w:eastAsiaTheme="minorHAnsi" w:hAnsiTheme="minorHAnsi" w:cstheme="minorBidi"/>
            <w:color w:val="auto"/>
            <w:sz w:val="22"/>
            <w:szCs w:val="22"/>
            <w:lang w:eastAsia="en-US"/>
          </w:rPr>
          <w:id w:val="-14238806"/>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Col141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(College of Policing , 2014)</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The information provided by the reporting person to the control room outlined that there had been an offence committed and as such the suspect was arrestable but given the level of the offence I considered using a restorative justice approach which is a lower level of disposal when compared with an arrest </w:t>
      </w:r>
      <w:sdt>
        <w:sdtPr>
          <w:rPr>
            <w:rFonts w:asciiTheme="minorHAnsi" w:eastAsiaTheme="minorHAnsi" w:hAnsiTheme="minorHAnsi" w:cstheme="minorBidi"/>
            <w:color w:val="auto"/>
            <w:sz w:val="22"/>
            <w:szCs w:val="22"/>
            <w:lang w:eastAsia="en-US"/>
          </w:rPr>
          <w:id w:val="1625190180"/>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CPS19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(CPS, 2019)</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The RJ approach would have to be agreed by both parties involved. Discretion is ‘the ability to make responsible decisions’ </w:t>
      </w:r>
      <w:sdt>
        <w:sdtPr>
          <w:rPr>
            <w:rFonts w:asciiTheme="minorHAnsi" w:eastAsiaTheme="minorHAnsi" w:hAnsiTheme="minorHAnsi" w:cstheme="minorBidi"/>
            <w:color w:val="auto"/>
            <w:sz w:val="22"/>
            <w:szCs w:val="22"/>
            <w:lang w:eastAsia="en-US"/>
          </w:rPr>
          <w:id w:val="-1098016033"/>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Mer22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(Merriam Webster, 2022)</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and I considered that based on the information provided it would potentially cause less animosity between person 1 and 2 if person 1 was not arrested and rather he could attend a voluntary interview </w:t>
      </w:r>
      <w:sdt>
        <w:sdtPr>
          <w:rPr>
            <w:rFonts w:asciiTheme="minorHAnsi" w:eastAsiaTheme="minorHAnsi" w:hAnsiTheme="minorHAnsi" w:cstheme="minorBidi"/>
            <w:color w:val="auto"/>
            <w:sz w:val="22"/>
            <w:szCs w:val="22"/>
            <w:lang w:eastAsia="en-US"/>
          </w:rPr>
          <w:id w:val="104851544"/>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Kno20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(Know my rights , 2020)</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but based on the level of information provided I could not come to an informed decision at this stage and recognised I would need to speak further with person 2 to obtain more information. After speaking with Person two at the incident location it was disclosed that person two had committed further offences. Namely threats to kill person two by slitting his throat. Based on the level of this threat it was now </w:t>
      </w:r>
      <w:r w:rsidRPr="000150EB">
        <w:rPr>
          <w:rFonts w:asciiTheme="minorHAnsi" w:eastAsiaTheme="minorHAnsi" w:hAnsiTheme="minorHAnsi" w:cstheme="minorBidi"/>
          <w:color w:val="auto"/>
          <w:sz w:val="22"/>
          <w:szCs w:val="22"/>
          <w:lang w:eastAsia="en-US"/>
        </w:rPr>
        <w:lastRenderedPageBreak/>
        <w:t xml:space="preserve">necessary to arrest person 1 to maximise the safeguarding potential for person 2 and effectively conduct the investigation in a timely manner. I made consideration for contingencies and identified that adequate numbers of officers were free at the time should we require assistance. </w:t>
      </w:r>
    </w:p>
    <w:p w14:paraId="0B030396"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bookmarkStart w:id="6" w:name="_GoBack"/>
      <w:bookmarkEnd w:id="6"/>
    </w:p>
    <w:p w14:paraId="0DAD590D"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Finally, part 5 is acting and review what happened</w:t>
      </w:r>
      <w:sdt>
        <w:sdtPr>
          <w:rPr>
            <w:rFonts w:asciiTheme="minorHAnsi" w:eastAsiaTheme="minorHAnsi" w:hAnsiTheme="minorHAnsi" w:cstheme="minorBidi"/>
            <w:color w:val="auto"/>
            <w:sz w:val="22"/>
            <w:szCs w:val="22"/>
            <w:lang w:eastAsia="en-US"/>
          </w:rPr>
          <w:id w:val="-1976054200"/>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Col141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 xml:space="preserve"> (College of Policing , 2014)</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We implemented the option of arrest upon our initial attendance due to further information coming to light that person 1 had made threats to kill person two and considering person 1’s warning markers around having an antisocial personality disorder. Criminal behaviour is a key element of antisocial behaviour disorder people with this condition will typically be manipulative, deceitful, and reckless and will not care for the feelings of others </w:t>
      </w:r>
      <w:sdt>
        <w:sdtPr>
          <w:rPr>
            <w:rFonts w:asciiTheme="minorHAnsi" w:eastAsiaTheme="minorHAnsi" w:hAnsiTheme="minorHAnsi" w:cstheme="minorBidi"/>
            <w:color w:val="auto"/>
            <w:sz w:val="22"/>
            <w:szCs w:val="22"/>
            <w:lang w:eastAsia="en-US"/>
          </w:rPr>
          <w:id w:val="2058270467"/>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NHS21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(NHS, 2021)</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The arrest was necessary due to the imminent threat and potential for the situation to escalate. </w:t>
      </w:r>
    </w:p>
    <w:p w14:paraId="4E3E0D1B"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D89A64A"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Following persons 1’s arrest and his detention being authorised at custody I began preparing to interview him, which is part of my responsibilities as an investigator part of my duties as an officer under the  Criminal Procedure and Investigations Act 1996 </w:t>
      </w:r>
      <w:sdt>
        <w:sdtPr>
          <w:rPr>
            <w:rFonts w:asciiTheme="minorHAnsi" w:eastAsiaTheme="minorHAnsi" w:hAnsiTheme="minorHAnsi" w:cstheme="minorBidi"/>
            <w:color w:val="auto"/>
            <w:sz w:val="22"/>
            <w:szCs w:val="22"/>
            <w:lang w:eastAsia="en-US"/>
          </w:rPr>
          <w:id w:val="-1096396027"/>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Mis20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(Misistry of Justice , 2020)</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is to ensure that the disclosure of information is done correctly. In this instance I took two witness statements from persons at the incident location one of which was that of person 2 and the other a third party. This was done in line with my responsibilities under Criminal Procedure and Investigations Act 1996 </w:t>
      </w:r>
      <w:sdt>
        <w:sdtPr>
          <w:rPr>
            <w:rFonts w:asciiTheme="minorHAnsi" w:eastAsiaTheme="minorHAnsi" w:hAnsiTheme="minorHAnsi" w:cstheme="minorBidi"/>
            <w:color w:val="auto"/>
            <w:sz w:val="22"/>
            <w:szCs w:val="22"/>
            <w:lang w:eastAsia="en-US"/>
          </w:rPr>
          <w:id w:val="1176769825"/>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Mis20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(Misistry of Justice , 2020)</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in relation to pursuing all reasonable lines of enquiry. CCTV was also considered in relation to this responsibility but proved negative. </w:t>
      </w:r>
    </w:p>
    <w:p w14:paraId="64BD4AC9"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The disclosure was made to person 2’s solicitor during the solicitors briefing prior to him being interviewed. </w:t>
      </w:r>
    </w:p>
    <w:p w14:paraId="4CEADC0F"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After obtaining the statements they were properly and securely recorded on our police data system (NICHE). Which is ‘is accessible and secure’ </w:t>
      </w:r>
      <w:sdt>
        <w:sdtPr>
          <w:rPr>
            <w:rFonts w:asciiTheme="minorHAnsi" w:eastAsiaTheme="minorHAnsi" w:hAnsiTheme="minorHAnsi" w:cstheme="minorBidi"/>
            <w:color w:val="auto"/>
            <w:sz w:val="22"/>
            <w:szCs w:val="22"/>
            <w:lang w:eastAsia="en-US"/>
          </w:rPr>
          <w:id w:val="2017497652"/>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Nic17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(NicheRMS365, 2017)</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again, this is a requirement under Criminal Procedure and Investigations Act 1996 </w:t>
      </w:r>
      <w:sdt>
        <w:sdtPr>
          <w:rPr>
            <w:rFonts w:asciiTheme="minorHAnsi" w:eastAsiaTheme="minorHAnsi" w:hAnsiTheme="minorHAnsi" w:cstheme="minorBidi"/>
            <w:color w:val="auto"/>
            <w:sz w:val="22"/>
            <w:szCs w:val="22"/>
            <w:lang w:eastAsia="en-US"/>
          </w:rPr>
          <w:id w:val="-1645342800"/>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Mis20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(Misistry of Justice , 2020)</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w:t>
      </w:r>
    </w:p>
    <w:p w14:paraId="6908F986"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Further data was captured by my body worn camera upon our attendance to the incident and several disclosures were made by person 2 on this footage. As a result, it is relevant material and needed to be properly stored which was done using the Evidence.com platform. Other information which would need to be recorded and retained securely included the initial 999 call and person 1’s custody record. Information held in relation to this matter would need to be retained until at least the accused is acquitted or convicted or the prosecutor does not proceed with the case </w:t>
      </w:r>
      <w:sdt>
        <w:sdtPr>
          <w:rPr>
            <w:rFonts w:asciiTheme="minorHAnsi" w:eastAsiaTheme="minorHAnsi" w:hAnsiTheme="minorHAnsi" w:cstheme="minorBidi"/>
            <w:color w:val="auto"/>
            <w:sz w:val="22"/>
            <w:szCs w:val="22"/>
            <w:lang w:eastAsia="en-US"/>
          </w:rPr>
          <w:id w:val="1869409907"/>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Mis20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(Misistry of Justice , 2020)</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w:t>
      </w:r>
    </w:p>
    <w:p w14:paraId="18596DDD"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Throughout this incident the core values of policing were engaged. Being aware of one’s unconscious bias being a major consideration. When the warning markers for person 1 were passed by the control room around him having previous for carrying knives and having a mental disorder which would potentially lead him into criminality it would have been easy for me to form an unconscious bias that person 1 was guilty of the allegations. Based on his previous involvement in crime and the way he was acting in police presence. </w:t>
      </w:r>
    </w:p>
    <w:p w14:paraId="39D86524"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A form of Bias in the horn effect which is the opposite effect to the halo effect. The horn affect cause’s a person’s opinion of another to be influenced by a single negative trait </w:t>
      </w:r>
      <w:sdt>
        <w:sdtPr>
          <w:rPr>
            <w:rFonts w:asciiTheme="minorHAnsi" w:eastAsiaTheme="minorHAnsi" w:hAnsiTheme="minorHAnsi" w:cstheme="minorBidi"/>
            <w:color w:val="auto"/>
            <w:sz w:val="22"/>
            <w:szCs w:val="22"/>
            <w:lang w:eastAsia="en-US"/>
          </w:rPr>
          <w:id w:val="-1514831587"/>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Joe20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(Caccavale, 2020)</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 I overcame this by remaining diligent in line with my duties and responsibilities and treated all persons involved with fairness and impartiality, as in line with equality and diversity. I did this by </w:t>
      </w:r>
      <w:r w:rsidRPr="000150EB">
        <w:rPr>
          <w:rFonts w:asciiTheme="minorHAnsi" w:eastAsiaTheme="minorHAnsi" w:hAnsiTheme="minorHAnsi" w:cstheme="minorBidi"/>
          <w:color w:val="auto"/>
          <w:sz w:val="22"/>
          <w:szCs w:val="22"/>
          <w:lang w:eastAsia="en-US"/>
        </w:rPr>
        <w:lastRenderedPageBreak/>
        <w:t xml:space="preserve">gathering as much information as possible and not allowing myself to form an opinion and treating all those involved with respect and courtesy. All of which are key elements of the Code of Ethics </w:t>
      </w:r>
      <w:sdt>
        <w:sdtPr>
          <w:rPr>
            <w:rFonts w:asciiTheme="minorHAnsi" w:eastAsiaTheme="minorHAnsi" w:hAnsiTheme="minorHAnsi" w:cstheme="minorBidi"/>
            <w:color w:val="auto"/>
            <w:sz w:val="22"/>
            <w:szCs w:val="22"/>
            <w:lang w:eastAsia="en-US"/>
          </w:rPr>
          <w:id w:val="601612830"/>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Col142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(College of Policing , 2014)</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w:t>
      </w:r>
    </w:p>
    <w:p w14:paraId="3DACF636"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F6E512E"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The potential impacts of not being aware of this bias could have a detrimental effect on public perception of the police. The police force as we know it was brought in by Sir Robert Peel in 1829 and subsequently created the nine principles of policing were created. One being to ‘recognise always that the power of the police to fulfil their functions and duties is dependent on public approval of their existence, actions, and behaviour, and on their ability to secure and maintain public respect’. Essentially, for policing to work the public must be on our side and treating each person in each incident fairly and in line with the code of ethics we will in turn secure and maintain public respect and abolishing Bias is a key element in doing so </w:t>
      </w:r>
      <w:sdt>
        <w:sdtPr>
          <w:rPr>
            <w:rFonts w:asciiTheme="minorHAnsi" w:eastAsiaTheme="minorHAnsi" w:hAnsiTheme="minorHAnsi" w:cstheme="minorBidi"/>
            <w:color w:val="auto"/>
            <w:sz w:val="22"/>
            <w:szCs w:val="22"/>
            <w:lang w:eastAsia="en-US"/>
          </w:rPr>
          <w:id w:val="569234182"/>
          <w:citation/>
        </w:sdtPr>
        <w:sdtContent>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CITATION Pol21 \l 2057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eastAsia="en-US"/>
            </w:rPr>
            <w:t>(Police Success, 2021)</w:t>
          </w:r>
          <w:r w:rsidRPr="000150EB">
            <w:rPr>
              <w:rFonts w:asciiTheme="minorHAnsi" w:eastAsiaTheme="minorHAnsi" w:hAnsiTheme="minorHAnsi" w:cstheme="minorBidi"/>
              <w:color w:val="auto"/>
              <w:sz w:val="22"/>
              <w:szCs w:val="22"/>
              <w:lang w:eastAsia="en-US"/>
            </w:rPr>
            <w:fldChar w:fldCharType="end"/>
          </w:r>
        </w:sdtContent>
      </w:sdt>
      <w:r w:rsidRPr="000150EB">
        <w:rPr>
          <w:rFonts w:asciiTheme="minorHAnsi" w:eastAsiaTheme="minorHAnsi" w:hAnsiTheme="minorHAnsi" w:cstheme="minorBidi"/>
          <w:color w:val="auto"/>
          <w:sz w:val="22"/>
          <w:szCs w:val="22"/>
          <w:lang w:eastAsia="en-US"/>
        </w:rPr>
        <w:t xml:space="preserve">. </w:t>
      </w:r>
    </w:p>
    <w:p w14:paraId="362D2A34"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 xml:space="preserve">To conclude through the use of the national decision-making model I was able to approach this incident with confidence that relevant codes of practices had been adhered to in addition through proper use of this model a minimal amount of force was necessary in this incident. CPIA was adhered to more specifically in the storing of information relating to this incident, this included any pocket notebook entire, and body worn video footage and the disclosure made to person 2’s solicitor. By remaining professional through the incident and treating those involved according to their needs and being aware of the impacts of unconscious bias I did not compromise the reputation of the force which is also a policing value. </w:t>
      </w:r>
    </w:p>
    <w:p w14:paraId="7DB8D438"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color w:val="auto"/>
          <w:sz w:val="22"/>
          <w:szCs w:val="22"/>
          <w:lang w:eastAsia="en-US"/>
        </w:rPr>
        <w:t>1543 Words.</w:t>
      </w:r>
    </w:p>
    <w:p w14:paraId="36B2658D"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sdt>
      <w:sdtPr>
        <w:rPr>
          <w:rFonts w:asciiTheme="minorHAnsi" w:eastAsiaTheme="minorHAnsi" w:hAnsiTheme="minorHAnsi" w:cstheme="minorBidi"/>
          <w:color w:val="auto"/>
          <w:sz w:val="22"/>
          <w:szCs w:val="22"/>
          <w:lang w:eastAsia="en-US"/>
        </w:rPr>
        <w:id w:val="1527452083"/>
        <w:docPartObj>
          <w:docPartGallery w:val="Bibliographies"/>
          <w:docPartUnique/>
        </w:docPartObj>
      </w:sdtPr>
      <w:sdtContent>
        <w:p w14:paraId="74EE99C7" w14:textId="77777777" w:rsidR="000150EB" w:rsidRPr="000150EB" w:rsidRDefault="000150EB" w:rsidP="000150EB">
          <w:pPr>
            <w:keepNext/>
            <w:keepLines/>
            <w:overflowPunct/>
            <w:autoSpaceDE/>
            <w:autoSpaceDN/>
            <w:adjustRightInd/>
            <w:spacing w:before="240" w:line="259" w:lineRule="auto"/>
            <w:textAlignment w:val="auto"/>
            <w:outlineLvl w:val="0"/>
            <w:rPr>
              <w:rFonts w:asciiTheme="majorHAnsi" w:eastAsiaTheme="majorEastAsia" w:hAnsiTheme="majorHAnsi" w:cstheme="majorBidi"/>
              <w:color w:val="2F5496" w:themeColor="accent1" w:themeShade="BF"/>
              <w:sz w:val="32"/>
              <w:szCs w:val="32"/>
              <w:lang w:val="en-US" w:eastAsia="en-US"/>
            </w:rPr>
          </w:pPr>
        </w:p>
        <w:sdt>
          <w:sdtPr>
            <w:rPr>
              <w:rFonts w:asciiTheme="minorHAnsi" w:eastAsiaTheme="minorHAnsi" w:hAnsiTheme="minorHAnsi" w:cstheme="minorBidi"/>
              <w:color w:val="auto"/>
              <w:sz w:val="22"/>
              <w:szCs w:val="22"/>
              <w:lang w:eastAsia="en-US"/>
            </w:rPr>
            <w:id w:val="-163329123"/>
            <w:docPartObj>
              <w:docPartGallery w:val="Bibliographies"/>
              <w:docPartUnique/>
            </w:docPartObj>
          </w:sdtPr>
          <w:sdtContent>
            <w:p w14:paraId="008E530B" w14:textId="77777777" w:rsidR="000150EB" w:rsidRPr="000150EB" w:rsidRDefault="000150EB" w:rsidP="000150EB">
              <w:pPr>
                <w:keepNext/>
                <w:keepLines/>
                <w:overflowPunct/>
                <w:autoSpaceDE/>
                <w:autoSpaceDN/>
                <w:adjustRightInd/>
                <w:spacing w:before="240" w:line="259" w:lineRule="auto"/>
                <w:textAlignment w:val="auto"/>
                <w:outlineLvl w:val="0"/>
                <w:rPr>
                  <w:rFonts w:asciiTheme="majorHAnsi" w:eastAsiaTheme="majorEastAsia" w:hAnsiTheme="majorHAnsi" w:cstheme="majorBidi"/>
                  <w:color w:val="2F5496" w:themeColor="accent1" w:themeShade="BF"/>
                  <w:sz w:val="32"/>
                  <w:szCs w:val="32"/>
                  <w:lang w:val="en-US" w:eastAsia="en-US"/>
                </w:rPr>
              </w:pPr>
              <w:r w:rsidRPr="000150EB">
                <w:rPr>
                  <w:rFonts w:asciiTheme="majorHAnsi" w:eastAsiaTheme="majorEastAsia" w:hAnsiTheme="majorHAnsi" w:cstheme="majorBidi"/>
                  <w:color w:val="2F5496" w:themeColor="accent1" w:themeShade="BF"/>
                  <w:sz w:val="32"/>
                  <w:szCs w:val="32"/>
                  <w:lang w:val="en-US" w:eastAsia="en-US"/>
                </w:rPr>
                <w:t>References</w:t>
              </w:r>
            </w:p>
            <w:sdt>
              <w:sdtPr>
                <w:rPr>
                  <w:rFonts w:asciiTheme="minorHAnsi" w:eastAsiaTheme="minorHAnsi" w:hAnsiTheme="minorHAnsi" w:cstheme="minorBidi"/>
                  <w:color w:val="auto"/>
                  <w:sz w:val="22"/>
                  <w:szCs w:val="22"/>
                  <w:lang w:eastAsia="en-US"/>
                </w:rPr>
                <w:id w:val="211468416"/>
                <w:bibliography/>
              </w:sdtPr>
              <w:sdtContent>
                <w:p w14:paraId="6F148843"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4"/>
                      <w:szCs w:val="24"/>
                      <w:lang w:val="en-US" w:eastAsia="en-US"/>
                    </w:rPr>
                  </w:pPr>
                  <w:r w:rsidRPr="000150EB">
                    <w:rPr>
                      <w:rFonts w:asciiTheme="minorHAnsi" w:eastAsiaTheme="minorHAnsi" w:hAnsiTheme="minorHAnsi" w:cstheme="minorBidi"/>
                      <w:color w:val="auto"/>
                      <w:sz w:val="22"/>
                      <w:szCs w:val="22"/>
                      <w:lang w:eastAsia="en-US"/>
                    </w:rPr>
                    <w:fldChar w:fldCharType="begin"/>
                  </w:r>
                  <w:r w:rsidRPr="000150EB">
                    <w:rPr>
                      <w:rFonts w:asciiTheme="minorHAnsi" w:eastAsiaTheme="minorHAnsi" w:hAnsiTheme="minorHAnsi" w:cstheme="minorBidi"/>
                      <w:color w:val="auto"/>
                      <w:sz w:val="22"/>
                      <w:szCs w:val="22"/>
                      <w:lang w:eastAsia="en-US"/>
                    </w:rPr>
                    <w:instrText xml:space="preserve"> BIBLIOGRAPHY </w:instrText>
                  </w:r>
                  <w:r w:rsidRPr="000150EB">
                    <w:rPr>
                      <w:rFonts w:asciiTheme="minorHAnsi" w:eastAsiaTheme="minorHAnsi" w:hAnsiTheme="minorHAnsi" w:cstheme="minorBidi"/>
                      <w:color w:val="auto"/>
                      <w:sz w:val="22"/>
                      <w:szCs w:val="22"/>
                      <w:lang w:eastAsia="en-US"/>
                    </w:rPr>
                    <w:fldChar w:fldCharType="separate"/>
                  </w:r>
                  <w:r w:rsidRPr="000150EB">
                    <w:rPr>
                      <w:rFonts w:asciiTheme="minorHAnsi" w:eastAsiaTheme="minorHAnsi" w:hAnsiTheme="minorHAnsi" w:cstheme="minorBidi"/>
                      <w:noProof/>
                      <w:color w:val="auto"/>
                      <w:sz w:val="22"/>
                      <w:szCs w:val="22"/>
                      <w:lang w:val="en-US" w:eastAsia="en-US"/>
                    </w:rPr>
                    <w:t xml:space="preserve">Caccavale, J., 2020. </w:t>
                  </w:r>
                  <w:r w:rsidRPr="000150EB">
                    <w:rPr>
                      <w:rFonts w:asciiTheme="minorHAnsi" w:eastAsiaTheme="minorHAnsi" w:hAnsiTheme="minorHAnsi" w:cstheme="minorBidi"/>
                      <w:i/>
                      <w:iCs/>
                      <w:noProof/>
                      <w:color w:val="auto"/>
                      <w:sz w:val="22"/>
                      <w:szCs w:val="22"/>
                      <w:lang w:val="en-US" w:eastAsia="en-US"/>
                    </w:rPr>
                    <w:t xml:space="preserve">What Is the Halo and Horn Effect and How Does It Influence Hiring?.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https://www.beapplied.com/post/what-is-the-halo-and-horn-effect-and-how-does-it-influence-hiring</w:t>
                  </w:r>
                  <w:r w:rsidRPr="000150EB">
                    <w:rPr>
                      <w:rFonts w:asciiTheme="minorHAnsi" w:eastAsiaTheme="minorHAnsi" w:hAnsiTheme="minorHAnsi" w:cstheme="minorBidi"/>
                      <w:noProof/>
                      <w:color w:val="auto"/>
                      <w:sz w:val="22"/>
                      <w:szCs w:val="22"/>
                      <w:lang w:val="en-US" w:eastAsia="en-US"/>
                    </w:rPr>
                    <w:br/>
                    <w:t>[Accessed 4 September 2022].</w:t>
                  </w:r>
                </w:p>
                <w:p w14:paraId="01BC662F"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College of Policing , 2014. </w:t>
                  </w:r>
                  <w:r w:rsidRPr="000150EB">
                    <w:rPr>
                      <w:rFonts w:asciiTheme="minorHAnsi" w:eastAsiaTheme="minorHAnsi" w:hAnsiTheme="minorHAnsi" w:cstheme="minorBidi"/>
                      <w:i/>
                      <w:iCs/>
                      <w:noProof/>
                      <w:color w:val="auto"/>
                      <w:sz w:val="22"/>
                      <w:szCs w:val="22"/>
                      <w:lang w:val="en-US" w:eastAsia="en-US"/>
                    </w:rPr>
                    <w:t xml:space="preserve">Code of Ethics.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https://assets.college.police.uk/s3fs-public/2021-02/code_of_ethics.pdf</w:t>
                  </w:r>
                  <w:r w:rsidRPr="000150EB">
                    <w:rPr>
                      <w:rFonts w:asciiTheme="minorHAnsi" w:eastAsiaTheme="minorHAnsi" w:hAnsiTheme="minorHAnsi" w:cstheme="minorBidi"/>
                      <w:noProof/>
                      <w:color w:val="auto"/>
                      <w:sz w:val="22"/>
                      <w:szCs w:val="22"/>
                      <w:lang w:val="en-US" w:eastAsia="en-US"/>
                    </w:rPr>
                    <w:br/>
                    <w:t>[Accessed 14th August 2022].</w:t>
                  </w:r>
                </w:p>
                <w:p w14:paraId="33A8D10C"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College of Policing , 2014. </w:t>
                  </w:r>
                  <w:r w:rsidRPr="000150EB">
                    <w:rPr>
                      <w:rFonts w:asciiTheme="minorHAnsi" w:eastAsiaTheme="minorHAnsi" w:hAnsiTheme="minorHAnsi" w:cstheme="minorBidi"/>
                      <w:i/>
                      <w:iCs/>
                      <w:noProof/>
                      <w:color w:val="auto"/>
                      <w:sz w:val="22"/>
                      <w:szCs w:val="22"/>
                      <w:lang w:val="en-US" w:eastAsia="en-US"/>
                    </w:rPr>
                    <w:t xml:space="preserve">National Decision Making Model.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https://www.college.police.uk/app/national-decision-model/national-decision-model</w:t>
                  </w:r>
                  <w:r w:rsidRPr="000150EB">
                    <w:rPr>
                      <w:rFonts w:asciiTheme="minorHAnsi" w:eastAsiaTheme="minorHAnsi" w:hAnsiTheme="minorHAnsi" w:cstheme="minorBidi"/>
                      <w:noProof/>
                      <w:color w:val="auto"/>
                      <w:sz w:val="22"/>
                      <w:szCs w:val="22"/>
                      <w:lang w:val="en-US" w:eastAsia="en-US"/>
                    </w:rPr>
                    <w:br/>
                    <w:t>[Accessed 11th August 2022].</w:t>
                  </w:r>
                </w:p>
                <w:p w14:paraId="6E688723"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CPS, 2019. </w:t>
                  </w:r>
                  <w:r w:rsidRPr="000150EB">
                    <w:rPr>
                      <w:rFonts w:asciiTheme="minorHAnsi" w:eastAsiaTheme="minorHAnsi" w:hAnsiTheme="minorHAnsi" w:cstheme="minorBidi"/>
                      <w:i/>
                      <w:iCs/>
                      <w:noProof/>
                      <w:color w:val="auto"/>
                      <w:sz w:val="22"/>
                      <w:szCs w:val="22"/>
                      <w:lang w:val="en-US" w:eastAsia="en-US"/>
                    </w:rPr>
                    <w:t xml:space="preserve">Restorative Justice.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https://www.cps.gov.uk/legal-guidance/restorative-justice</w:t>
                  </w:r>
                  <w:r w:rsidRPr="000150EB">
                    <w:rPr>
                      <w:rFonts w:asciiTheme="minorHAnsi" w:eastAsiaTheme="minorHAnsi" w:hAnsiTheme="minorHAnsi" w:cstheme="minorBidi"/>
                      <w:noProof/>
                      <w:color w:val="auto"/>
                      <w:sz w:val="22"/>
                      <w:szCs w:val="22"/>
                      <w:lang w:val="en-US" w:eastAsia="en-US"/>
                    </w:rPr>
                    <w:br/>
                    <w:t>[Accessed 4 September 2022].</w:t>
                  </w:r>
                </w:p>
                <w:p w14:paraId="3B152906"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lastRenderedPageBreak/>
                    <w:t xml:space="preserve">Know my rights , 2020. </w:t>
                  </w:r>
                  <w:r w:rsidRPr="000150EB">
                    <w:rPr>
                      <w:rFonts w:asciiTheme="minorHAnsi" w:eastAsiaTheme="minorHAnsi" w:hAnsiTheme="minorHAnsi" w:cstheme="minorBidi"/>
                      <w:i/>
                      <w:iCs/>
                      <w:noProof/>
                      <w:color w:val="auto"/>
                      <w:sz w:val="22"/>
                      <w:szCs w:val="22"/>
                      <w:lang w:val="en-US" w:eastAsia="en-US"/>
                    </w:rPr>
                    <w:t xml:space="preserve">Voluntary Interviews.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https://knowmyrights.org.uk/voluntary-interviews#:~:text=This%20is%20a%20serious%20interview,to%20talk%20to%20a%20solicitor.</w:t>
                  </w:r>
                  <w:r w:rsidRPr="000150EB">
                    <w:rPr>
                      <w:rFonts w:asciiTheme="minorHAnsi" w:eastAsiaTheme="minorHAnsi" w:hAnsiTheme="minorHAnsi" w:cstheme="minorBidi"/>
                      <w:noProof/>
                      <w:color w:val="auto"/>
                      <w:sz w:val="22"/>
                      <w:szCs w:val="22"/>
                      <w:lang w:val="en-US" w:eastAsia="en-US"/>
                    </w:rPr>
                    <w:br/>
                    <w:t>[Accessed 4 September 2022].</w:t>
                  </w:r>
                </w:p>
                <w:p w14:paraId="35D3A6D1"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Legislation.gov.uk, 2017 . </w:t>
                  </w:r>
                  <w:r w:rsidRPr="000150EB">
                    <w:rPr>
                      <w:rFonts w:asciiTheme="minorHAnsi" w:eastAsiaTheme="minorHAnsi" w:hAnsiTheme="minorHAnsi" w:cstheme="minorBidi"/>
                      <w:i/>
                      <w:iCs/>
                      <w:noProof/>
                      <w:color w:val="auto"/>
                      <w:sz w:val="22"/>
                      <w:szCs w:val="22"/>
                      <w:lang w:val="en-US" w:eastAsia="en-US"/>
                    </w:rPr>
                    <w:t xml:space="preserve">Police and Criminal Evidence Act 1984 - Section 117.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https://www.legislation.gov.uk/ukpga/1984/60/section/117#:~:text=117%20Power%20of%20constable%20to%20use%20reasonable%20force.&amp;text=(b)does%20not%20provide%20that,the%20exercise%20of%20the%20power.</w:t>
                  </w:r>
                  <w:r w:rsidRPr="000150EB">
                    <w:rPr>
                      <w:rFonts w:asciiTheme="minorHAnsi" w:eastAsiaTheme="minorHAnsi" w:hAnsiTheme="minorHAnsi" w:cstheme="minorBidi"/>
                      <w:noProof/>
                      <w:color w:val="auto"/>
                      <w:sz w:val="22"/>
                      <w:szCs w:val="22"/>
                      <w:lang w:val="en-US" w:eastAsia="en-US"/>
                    </w:rPr>
                    <w:br/>
                    <w:t>[Accessed 11th August 2022].</w:t>
                  </w:r>
                </w:p>
                <w:p w14:paraId="13B37F63"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Legislation.gov.uk, 2018. </w:t>
                  </w:r>
                  <w:r w:rsidRPr="000150EB">
                    <w:rPr>
                      <w:rFonts w:asciiTheme="minorHAnsi" w:eastAsiaTheme="minorHAnsi" w:hAnsiTheme="minorHAnsi" w:cstheme="minorBidi"/>
                      <w:i/>
                      <w:iCs/>
                      <w:noProof/>
                      <w:color w:val="auto"/>
                      <w:sz w:val="22"/>
                      <w:szCs w:val="22"/>
                      <w:lang w:val="en-US" w:eastAsia="en-US"/>
                    </w:rPr>
                    <w:t xml:space="preserve">Criminal Justice Act 1988.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https://www.legislation.gov.uk/ukpga/1988/33/section/39</w:t>
                  </w:r>
                  <w:r w:rsidRPr="000150EB">
                    <w:rPr>
                      <w:rFonts w:asciiTheme="minorHAnsi" w:eastAsiaTheme="minorHAnsi" w:hAnsiTheme="minorHAnsi" w:cstheme="minorBidi"/>
                      <w:noProof/>
                      <w:color w:val="auto"/>
                      <w:sz w:val="22"/>
                      <w:szCs w:val="22"/>
                      <w:lang w:val="en-US" w:eastAsia="en-US"/>
                    </w:rPr>
                    <w:br/>
                    <w:t>[Accessed 11th August 2022].</w:t>
                  </w:r>
                </w:p>
                <w:p w14:paraId="682ABC2C"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Legislation.gov.uk, 2022. </w:t>
                  </w:r>
                  <w:r w:rsidRPr="000150EB">
                    <w:rPr>
                      <w:rFonts w:asciiTheme="minorHAnsi" w:eastAsiaTheme="minorHAnsi" w:hAnsiTheme="minorHAnsi" w:cstheme="minorBidi"/>
                      <w:i/>
                      <w:iCs/>
                      <w:noProof/>
                      <w:color w:val="auto"/>
                      <w:sz w:val="22"/>
                      <w:szCs w:val="22"/>
                      <w:lang w:val="en-US" w:eastAsia="en-US"/>
                    </w:rPr>
                    <w:t xml:space="preserve">Police and Criminal Evidence Act 1984.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https://www.legislation.gov.uk/ukpga/1984/60/section/24</w:t>
                  </w:r>
                  <w:r w:rsidRPr="000150EB">
                    <w:rPr>
                      <w:rFonts w:asciiTheme="minorHAnsi" w:eastAsiaTheme="minorHAnsi" w:hAnsiTheme="minorHAnsi" w:cstheme="minorBidi"/>
                      <w:noProof/>
                      <w:color w:val="auto"/>
                      <w:sz w:val="22"/>
                      <w:szCs w:val="22"/>
                      <w:lang w:val="en-US" w:eastAsia="en-US"/>
                    </w:rPr>
                    <w:br/>
                    <w:t>[Accessed 11th August 2022].</w:t>
                  </w:r>
                </w:p>
                <w:p w14:paraId="4A81E190"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Merriam Webster, 2022. </w:t>
                  </w:r>
                  <w:r w:rsidRPr="000150EB">
                    <w:rPr>
                      <w:rFonts w:asciiTheme="minorHAnsi" w:eastAsiaTheme="minorHAnsi" w:hAnsiTheme="minorHAnsi" w:cstheme="minorBidi"/>
                      <w:i/>
                      <w:iCs/>
                      <w:noProof/>
                      <w:color w:val="auto"/>
                      <w:sz w:val="22"/>
                      <w:szCs w:val="22"/>
                      <w:lang w:val="en-US" w:eastAsia="en-US"/>
                    </w:rPr>
                    <w:t xml:space="preserve">Discretion.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https://www.merriam-webster.com/dictionary/discretion</w:t>
                  </w:r>
                  <w:r w:rsidRPr="000150EB">
                    <w:rPr>
                      <w:rFonts w:asciiTheme="minorHAnsi" w:eastAsiaTheme="minorHAnsi" w:hAnsiTheme="minorHAnsi" w:cstheme="minorBidi"/>
                      <w:noProof/>
                      <w:color w:val="auto"/>
                      <w:sz w:val="22"/>
                      <w:szCs w:val="22"/>
                      <w:lang w:val="en-US" w:eastAsia="en-US"/>
                    </w:rPr>
                    <w:br/>
                    <w:t>[Accessed 4 September 2022].</w:t>
                  </w:r>
                </w:p>
                <w:p w14:paraId="73B73BA2"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Misistry of Justice , 2020. </w:t>
                  </w:r>
                  <w:r w:rsidRPr="000150EB">
                    <w:rPr>
                      <w:rFonts w:asciiTheme="minorHAnsi" w:eastAsiaTheme="minorHAnsi" w:hAnsiTheme="minorHAnsi" w:cstheme="minorBidi"/>
                      <w:i/>
                      <w:iCs/>
                      <w:noProof/>
                      <w:color w:val="auto"/>
                      <w:sz w:val="22"/>
                      <w:szCs w:val="22"/>
                      <w:lang w:val="en-US" w:eastAsia="en-US"/>
                    </w:rPr>
                    <w:t xml:space="preserve">Criminal Procedure and Investigations Act 1996 (section 23(1)) Code of Practice.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https://www.gov.uk/government/publications/criminal-procedure-and-investigations-act-1996-section-231-code-of-practice</w:t>
                  </w:r>
                  <w:r w:rsidRPr="000150EB">
                    <w:rPr>
                      <w:rFonts w:asciiTheme="minorHAnsi" w:eastAsiaTheme="minorHAnsi" w:hAnsiTheme="minorHAnsi" w:cstheme="minorBidi"/>
                      <w:noProof/>
                      <w:color w:val="auto"/>
                      <w:sz w:val="22"/>
                      <w:szCs w:val="22"/>
                      <w:lang w:val="en-US" w:eastAsia="en-US"/>
                    </w:rPr>
                    <w:br/>
                    <w:t>[Accessed 14th August 2022].</w:t>
                  </w:r>
                </w:p>
                <w:p w14:paraId="5777AC63"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NHS, 2021. </w:t>
                  </w:r>
                  <w:r w:rsidRPr="000150EB">
                    <w:rPr>
                      <w:rFonts w:asciiTheme="minorHAnsi" w:eastAsiaTheme="minorHAnsi" w:hAnsiTheme="minorHAnsi" w:cstheme="minorBidi"/>
                      <w:i/>
                      <w:iCs/>
                      <w:noProof/>
                      <w:color w:val="auto"/>
                      <w:sz w:val="22"/>
                      <w:szCs w:val="22"/>
                      <w:lang w:val="en-US" w:eastAsia="en-US"/>
                    </w:rPr>
                    <w:t xml:space="preserve">Antisocial Personality Disorder.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https://www.nhs.uk/mental-health/conditions/antisocial-personality-disorder/#:~:text=Antisocial%20personality%20disorder%20is%20a,care%20for%20other%20people%27s%20feelings.</w:t>
                  </w:r>
                  <w:r w:rsidRPr="000150EB">
                    <w:rPr>
                      <w:rFonts w:asciiTheme="minorHAnsi" w:eastAsiaTheme="minorHAnsi" w:hAnsiTheme="minorHAnsi" w:cstheme="minorBidi"/>
                      <w:noProof/>
                      <w:color w:val="auto"/>
                      <w:sz w:val="22"/>
                      <w:szCs w:val="22"/>
                      <w:lang w:val="en-US" w:eastAsia="en-US"/>
                    </w:rPr>
                    <w:br/>
                    <w:t>[Accessed 14th August 2022].</w:t>
                  </w:r>
                </w:p>
                <w:p w14:paraId="251D3998"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NicheRMS365, 2017. </w:t>
                  </w:r>
                  <w:r w:rsidRPr="000150EB">
                    <w:rPr>
                      <w:rFonts w:asciiTheme="minorHAnsi" w:eastAsiaTheme="minorHAnsi" w:hAnsiTheme="minorHAnsi" w:cstheme="minorBidi"/>
                      <w:i/>
                      <w:iCs/>
                      <w:noProof/>
                      <w:color w:val="auto"/>
                      <w:sz w:val="22"/>
                      <w:szCs w:val="22"/>
                      <w:lang w:val="en-US" w:eastAsia="en-US"/>
                    </w:rPr>
                    <w:t xml:space="preserve">Our Sole Focus Is.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https://nicherms.com/about-us/</w:t>
                  </w:r>
                  <w:r w:rsidRPr="000150EB">
                    <w:rPr>
                      <w:rFonts w:asciiTheme="minorHAnsi" w:eastAsiaTheme="minorHAnsi" w:hAnsiTheme="minorHAnsi" w:cstheme="minorBidi"/>
                      <w:noProof/>
                      <w:color w:val="auto"/>
                      <w:sz w:val="22"/>
                      <w:szCs w:val="22"/>
                      <w:lang w:val="en-US" w:eastAsia="en-US"/>
                    </w:rPr>
                    <w:br/>
                    <w:t>[Accessed 4 September 2022].</w:t>
                  </w:r>
                </w:p>
                <w:p w14:paraId="6D3737B6"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0150EB">
                    <w:rPr>
                      <w:rFonts w:asciiTheme="minorHAnsi" w:eastAsiaTheme="minorHAnsi" w:hAnsiTheme="minorHAnsi" w:cstheme="minorBidi"/>
                      <w:noProof/>
                      <w:color w:val="auto"/>
                      <w:sz w:val="22"/>
                      <w:szCs w:val="22"/>
                      <w:lang w:val="en-US" w:eastAsia="en-US"/>
                    </w:rPr>
                    <w:t xml:space="preserve">Police Success, 2021. </w:t>
                  </w:r>
                  <w:r w:rsidRPr="000150EB">
                    <w:rPr>
                      <w:rFonts w:asciiTheme="minorHAnsi" w:eastAsiaTheme="minorHAnsi" w:hAnsiTheme="minorHAnsi" w:cstheme="minorBidi"/>
                      <w:i/>
                      <w:iCs/>
                      <w:noProof/>
                      <w:color w:val="auto"/>
                      <w:sz w:val="22"/>
                      <w:szCs w:val="22"/>
                      <w:lang w:val="en-US" w:eastAsia="en-US"/>
                    </w:rPr>
                    <w:t xml:space="preserve">Peelian Principles. </w:t>
                  </w:r>
                  <w:r w:rsidRPr="000150EB">
                    <w:rPr>
                      <w:rFonts w:asciiTheme="minorHAnsi" w:eastAsiaTheme="minorHAnsi" w:hAnsiTheme="minorHAnsi" w:cstheme="minorBidi"/>
                      <w:noProof/>
                      <w:color w:val="auto"/>
                      <w:sz w:val="22"/>
                      <w:szCs w:val="22"/>
                      <w:lang w:val="en-US" w:eastAsia="en-US"/>
                    </w:rPr>
                    <w:t xml:space="preserve">[Online] </w:t>
                  </w:r>
                  <w:r w:rsidRPr="000150EB">
                    <w:rPr>
                      <w:rFonts w:asciiTheme="minorHAnsi" w:eastAsiaTheme="minorHAnsi" w:hAnsiTheme="minorHAnsi" w:cstheme="minorBidi"/>
                      <w:noProof/>
                      <w:color w:val="auto"/>
                      <w:sz w:val="22"/>
                      <w:szCs w:val="22"/>
                      <w:lang w:val="en-US" w:eastAsia="en-US"/>
                    </w:rPr>
                    <w:br/>
                    <w:t xml:space="preserve">Available at: </w:t>
                  </w:r>
                  <w:r w:rsidRPr="000150EB">
                    <w:rPr>
                      <w:rFonts w:asciiTheme="minorHAnsi" w:eastAsiaTheme="minorHAnsi" w:hAnsiTheme="minorHAnsi" w:cstheme="minorBidi"/>
                      <w:noProof/>
                      <w:color w:val="auto"/>
                      <w:sz w:val="22"/>
                      <w:szCs w:val="22"/>
                      <w:u w:val="single"/>
                      <w:lang w:val="en-US" w:eastAsia="en-US"/>
                    </w:rPr>
                    <w:t>https://www.policesuccess.co.uk/blog/what-are-the-peelian-principles</w:t>
                  </w:r>
                  <w:r w:rsidRPr="000150EB">
                    <w:rPr>
                      <w:rFonts w:asciiTheme="minorHAnsi" w:eastAsiaTheme="minorHAnsi" w:hAnsiTheme="minorHAnsi" w:cstheme="minorBidi"/>
                      <w:noProof/>
                      <w:color w:val="auto"/>
                      <w:sz w:val="22"/>
                      <w:szCs w:val="22"/>
                      <w:lang w:val="en-US" w:eastAsia="en-US"/>
                    </w:rPr>
                    <w:br/>
                    <w:t>[Accessed 4 September 2022].</w:t>
                  </w:r>
                </w:p>
                <w:p w14:paraId="7A61237F"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0150EB">
                    <w:rPr>
                      <w:rFonts w:asciiTheme="minorHAnsi" w:eastAsiaTheme="minorHAnsi" w:hAnsiTheme="minorHAnsi" w:cstheme="minorBidi"/>
                      <w:b/>
                      <w:bCs/>
                      <w:noProof/>
                      <w:color w:val="auto"/>
                      <w:sz w:val="22"/>
                      <w:szCs w:val="22"/>
                      <w:lang w:eastAsia="en-US"/>
                    </w:rPr>
                    <w:fldChar w:fldCharType="end"/>
                  </w:r>
                </w:p>
              </w:sdtContent>
            </w:sdt>
          </w:sdtContent>
        </w:sdt>
        <w:p w14:paraId="7B9BAC01" w14:textId="77777777" w:rsidR="000150EB" w:rsidRPr="000150EB" w:rsidRDefault="000150EB" w:rsidP="000150EB">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sdtContent>
    </w:sdt>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0150EB">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1DC32DB0" w:rsidR="00220D06" w:rsidRPr="00270EEB" w:rsidRDefault="00047216" w:rsidP="00FF7EBB">
            <w:pPr>
              <w:jc w:val="both"/>
              <w:rPr>
                <w:sz w:val="24"/>
                <w:szCs w:val="24"/>
              </w:rPr>
            </w:pPr>
            <w:r>
              <w:rPr>
                <w:sz w:val="24"/>
                <w:szCs w:val="24"/>
              </w:rPr>
              <w:t xml:space="preserve">Statement Writing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7B2A97B1" w14:textId="77777777" w:rsidR="00220D06" w:rsidRDefault="00A10627" w:rsidP="00FF7EBB">
            <w:pPr>
              <w:jc w:val="both"/>
              <w:rPr>
                <w:sz w:val="24"/>
                <w:szCs w:val="24"/>
              </w:rPr>
            </w:pPr>
            <w:r>
              <w:rPr>
                <w:sz w:val="24"/>
                <w:szCs w:val="24"/>
              </w:rPr>
              <w:t xml:space="preserve">Actively seeking feedback from fellow colleagues. </w:t>
            </w:r>
          </w:p>
          <w:p w14:paraId="2517A5F1" w14:textId="77777777" w:rsidR="00A10627" w:rsidRDefault="00A10627" w:rsidP="00FF7EBB">
            <w:pPr>
              <w:jc w:val="both"/>
              <w:rPr>
                <w:sz w:val="24"/>
                <w:szCs w:val="24"/>
              </w:rPr>
            </w:pPr>
          </w:p>
          <w:p w14:paraId="1DD535CE" w14:textId="66BA03FD" w:rsidR="00A10627" w:rsidRPr="00270EEB" w:rsidRDefault="00A10627" w:rsidP="00FF7EBB">
            <w:pPr>
              <w:jc w:val="both"/>
              <w:rPr>
                <w:sz w:val="24"/>
                <w:szCs w:val="24"/>
              </w:rPr>
            </w:pPr>
            <w:r>
              <w:rPr>
                <w:sz w:val="24"/>
                <w:szCs w:val="24"/>
              </w:rPr>
              <w:t xml:space="preserve">Possible HUB attachment after independent patrol status achieved. </w:t>
            </w:r>
          </w:p>
        </w:tc>
        <w:tc>
          <w:tcPr>
            <w:tcW w:w="2230" w:type="dxa"/>
            <w:shd w:val="clear" w:color="auto" w:fill="auto"/>
          </w:tcPr>
          <w:p w14:paraId="5D892226" w14:textId="77777777" w:rsidR="00220D06" w:rsidRDefault="00A10627" w:rsidP="00FF7EBB">
            <w:pPr>
              <w:jc w:val="both"/>
              <w:rPr>
                <w:sz w:val="24"/>
                <w:szCs w:val="24"/>
              </w:rPr>
            </w:pPr>
            <w:r>
              <w:rPr>
                <w:sz w:val="24"/>
                <w:szCs w:val="24"/>
              </w:rPr>
              <w:t xml:space="preserve">Seasoned colleagues with high experience in statement writing. </w:t>
            </w:r>
          </w:p>
          <w:p w14:paraId="3EEAB55F" w14:textId="77777777" w:rsidR="00A10627" w:rsidRDefault="00A10627" w:rsidP="00FF7EBB">
            <w:pPr>
              <w:jc w:val="both"/>
              <w:rPr>
                <w:sz w:val="24"/>
                <w:szCs w:val="24"/>
              </w:rPr>
            </w:pPr>
          </w:p>
          <w:p w14:paraId="177DD410" w14:textId="123B99FE" w:rsidR="00A10627" w:rsidRPr="00270EEB" w:rsidRDefault="00A10627" w:rsidP="00FF7EBB">
            <w:pPr>
              <w:jc w:val="both"/>
              <w:rPr>
                <w:sz w:val="24"/>
                <w:szCs w:val="24"/>
              </w:rPr>
            </w:pPr>
            <w:r>
              <w:rPr>
                <w:sz w:val="24"/>
                <w:szCs w:val="24"/>
              </w:rPr>
              <w:t>Hub Sgt/ My Sgt in arranging a hub.</w:t>
            </w:r>
          </w:p>
        </w:tc>
        <w:tc>
          <w:tcPr>
            <w:tcW w:w="2230" w:type="dxa"/>
            <w:shd w:val="clear" w:color="auto" w:fill="auto"/>
          </w:tcPr>
          <w:p w14:paraId="1F90E38B" w14:textId="5774AB34" w:rsidR="62FE5CAF" w:rsidRDefault="0084633D" w:rsidP="62FE5CAF">
            <w:pPr>
              <w:jc w:val="both"/>
              <w:rPr>
                <w:sz w:val="24"/>
                <w:szCs w:val="24"/>
              </w:rPr>
            </w:pPr>
            <w:r>
              <w:rPr>
                <w:sz w:val="24"/>
                <w:szCs w:val="24"/>
              </w:rPr>
              <w:t xml:space="preserve">1 year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2DE70471" w:rsidR="00220D06" w:rsidRPr="00270EEB" w:rsidRDefault="00047216" w:rsidP="00FF7EBB">
            <w:pPr>
              <w:jc w:val="both"/>
              <w:rPr>
                <w:sz w:val="24"/>
                <w:szCs w:val="24"/>
              </w:rPr>
            </w:pPr>
            <w:r>
              <w:rPr>
                <w:sz w:val="24"/>
                <w:szCs w:val="24"/>
              </w:rPr>
              <w:t xml:space="preserve">Academic Writing </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19F283C1" w14:textId="77777777" w:rsidR="00220D06" w:rsidRDefault="0084633D" w:rsidP="00FF7EBB">
            <w:pPr>
              <w:jc w:val="both"/>
              <w:rPr>
                <w:sz w:val="24"/>
                <w:szCs w:val="24"/>
              </w:rPr>
            </w:pPr>
            <w:r>
              <w:rPr>
                <w:sz w:val="24"/>
                <w:szCs w:val="24"/>
              </w:rPr>
              <w:t xml:space="preserve">Further perseverance and gaining experience in relation to university workbooks. </w:t>
            </w:r>
          </w:p>
          <w:p w14:paraId="4F8E7E6C" w14:textId="77777777" w:rsidR="0084633D" w:rsidRDefault="0084633D" w:rsidP="00FF7EBB">
            <w:pPr>
              <w:jc w:val="both"/>
              <w:rPr>
                <w:sz w:val="24"/>
                <w:szCs w:val="24"/>
              </w:rPr>
            </w:pPr>
          </w:p>
          <w:p w14:paraId="4A5263DB" w14:textId="2EF452AA" w:rsidR="0084633D" w:rsidRPr="00270EEB" w:rsidRDefault="0084633D" w:rsidP="00FF7EBB">
            <w:pPr>
              <w:jc w:val="both"/>
              <w:rPr>
                <w:sz w:val="24"/>
                <w:szCs w:val="24"/>
              </w:rPr>
            </w:pPr>
            <w:r>
              <w:rPr>
                <w:sz w:val="24"/>
                <w:szCs w:val="24"/>
              </w:rPr>
              <w:t xml:space="preserve">Seeking general </w:t>
            </w:r>
            <w:r w:rsidR="00887635">
              <w:rPr>
                <w:sz w:val="24"/>
                <w:szCs w:val="24"/>
              </w:rPr>
              <w:t>advice</w:t>
            </w:r>
            <w:r>
              <w:rPr>
                <w:sz w:val="24"/>
                <w:szCs w:val="24"/>
              </w:rPr>
              <w:t xml:space="preserve"> from people familiar with the process. </w:t>
            </w:r>
          </w:p>
        </w:tc>
        <w:tc>
          <w:tcPr>
            <w:tcW w:w="2230" w:type="dxa"/>
            <w:shd w:val="clear" w:color="auto" w:fill="auto"/>
          </w:tcPr>
          <w:p w14:paraId="6E1C84C7" w14:textId="77777777" w:rsidR="00220D06" w:rsidRDefault="0084633D" w:rsidP="00FF7EBB">
            <w:pPr>
              <w:jc w:val="both"/>
              <w:rPr>
                <w:sz w:val="24"/>
                <w:szCs w:val="24"/>
              </w:rPr>
            </w:pPr>
            <w:r>
              <w:rPr>
                <w:sz w:val="24"/>
                <w:szCs w:val="24"/>
              </w:rPr>
              <w:t xml:space="preserve">Individuals who have completed a degree. Not specifically this one. </w:t>
            </w:r>
          </w:p>
          <w:p w14:paraId="4DFA7E33" w14:textId="77777777" w:rsidR="0084633D" w:rsidRDefault="0084633D" w:rsidP="00FF7EBB">
            <w:pPr>
              <w:jc w:val="both"/>
              <w:rPr>
                <w:sz w:val="24"/>
                <w:szCs w:val="24"/>
              </w:rPr>
            </w:pPr>
          </w:p>
          <w:p w14:paraId="55CDA8EA" w14:textId="106F8B02" w:rsidR="0084633D" w:rsidRPr="00270EEB" w:rsidRDefault="0084633D" w:rsidP="00FF7EBB">
            <w:pPr>
              <w:jc w:val="both"/>
              <w:rPr>
                <w:sz w:val="24"/>
                <w:szCs w:val="24"/>
              </w:rPr>
            </w:pPr>
            <w:r>
              <w:rPr>
                <w:sz w:val="24"/>
                <w:szCs w:val="24"/>
              </w:rPr>
              <w:t>University feedback following draft work.</w:t>
            </w:r>
          </w:p>
        </w:tc>
        <w:tc>
          <w:tcPr>
            <w:tcW w:w="2230" w:type="dxa"/>
            <w:shd w:val="clear" w:color="auto" w:fill="auto"/>
          </w:tcPr>
          <w:p w14:paraId="629A80FA" w14:textId="77777777" w:rsidR="62FE5CAF" w:rsidRDefault="0084633D" w:rsidP="62FE5CAF">
            <w:pPr>
              <w:jc w:val="both"/>
              <w:rPr>
                <w:sz w:val="24"/>
                <w:szCs w:val="24"/>
              </w:rPr>
            </w:pPr>
            <w:r>
              <w:rPr>
                <w:sz w:val="24"/>
                <w:szCs w:val="24"/>
              </w:rPr>
              <w:t xml:space="preserve">Feedback following workbook one. </w:t>
            </w:r>
          </w:p>
          <w:p w14:paraId="75265AFF" w14:textId="77777777" w:rsidR="0084633D" w:rsidRDefault="0084633D" w:rsidP="62FE5CAF">
            <w:pPr>
              <w:jc w:val="both"/>
              <w:rPr>
                <w:sz w:val="24"/>
                <w:szCs w:val="24"/>
              </w:rPr>
            </w:pPr>
          </w:p>
          <w:p w14:paraId="25AAFC86" w14:textId="2ADC94AE" w:rsidR="0084633D" w:rsidRDefault="0084633D" w:rsidP="62FE5CAF">
            <w:pPr>
              <w:jc w:val="both"/>
              <w:rPr>
                <w:sz w:val="24"/>
                <w:szCs w:val="24"/>
              </w:rPr>
            </w:pPr>
            <w:r>
              <w:rPr>
                <w:sz w:val="24"/>
                <w:szCs w:val="24"/>
              </w:rPr>
              <w:t xml:space="preserve">Progressive improvement throughout the entire process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1000F3EA" w:rsidR="00220D06" w:rsidRPr="00270EEB" w:rsidRDefault="00047216" w:rsidP="00FF7EBB">
            <w:pPr>
              <w:jc w:val="both"/>
              <w:rPr>
                <w:sz w:val="24"/>
                <w:szCs w:val="24"/>
              </w:rPr>
            </w:pPr>
            <w:r>
              <w:rPr>
                <w:sz w:val="24"/>
                <w:szCs w:val="24"/>
              </w:rPr>
              <w:t xml:space="preserve">Managing Stress </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1CDBA072" w14:textId="77777777" w:rsidR="0084633D" w:rsidRDefault="0084633D" w:rsidP="00FF7EBB">
            <w:pPr>
              <w:jc w:val="both"/>
              <w:rPr>
                <w:sz w:val="24"/>
                <w:szCs w:val="24"/>
              </w:rPr>
            </w:pPr>
            <w:r>
              <w:rPr>
                <w:sz w:val="24"/>
                <w:szCs w:val="24"/>
              </w:rPr>
              <w:t xml:space="preserve">Staying on top of workload as well as university assignments. </w:t>
            </w:r>
          </w:p>
          <w:p w14:paraId="0F1BBAAD" w14:textId="77777777" w:rsidR="0084633D" w:rsidRDefault="0084633D" w:rsidP="00FF7EBB">
            <w:pPr>
              <w:jc w:val="both"/>
              <w:rPr>
                <w:sz w:val="24"/>
                <w:szCs w:val="24"/>
              </w:rPr>
            </w:pPr>
          </w:p>
          <w:p w14:paraId="52DA2D08" w14:textId="77777777" w:rsidR="0084633D" w:rsidRDefault="0084633D" w:rsidP="00FF7EBB">
            <w:pPr>
              <w:jc w:val="both"/>
              <w:rPr>
                <w:sz w:val="24"/>
                <w:szCs w:val="24"/>
              </w:rPr>
            </w:pPr>
            <w:r>
              <w:rPr>
                <w:sz w:val="24"/>
                <w:szCs w:val="24"/>
              </w:rPr>
              <w:t xml:space="preserve">Continued implementation of coping strategies such as exercise. </w:t>
            </w:r>
          </w:p>
          <w:p w14:paraId="377E2E7A" w14:textId="77777777" w:rsidR="0084633D" w:rsidRDefault="0084633D" w:rsidP="00FF7EBB">
            <w:pPr>
              <w:jc w:val="both"/>
              <w:rPr>
                <w:sz w:val="24"/>
                <w:szCs w:val="24"/>
              </w:rPr>
            </w:pPr>
          </w:p>
          <w:p w14:paraId="568C69DA" w14:textId="18C1D4F9" w:rsidR="00220D06" w:rsidRPr="00270EEB" w:rsidRDefault="0084633D" w:rsidP="00FF7EBB">
            <w:pPr>
              <w:jc w:val="both"/>
              <w:rPr>
                <w:sz w:val="24"/>
                <w:szCs w:val="24"/>
              </w:rPr>
            </w:pPr>
            <w:r>
              <w:rPr>
                <w:sz w:val="24"/>
                <w:szCs w:val="24"/>
              </w:rPr>
              <w:t xml:space="preserve">Taking adequate time off.  </w:t>
            </w:r>
          </w:p>
        </w:tc>
        <w:tc>
          <w:tcPr>
            <w:tcW w:w="2230" w:type="dxa"/>
            <w:shd w:val="clear" w:color="auto" w:fill="auto"/>
          </w:tcPr>
          <w:p w14:paraId="47522B2E" w14:textId="77777777" w:rsidR="00220D06" w:rsidRDefault="00E92426" w:rsidP="00FF7EBB">
            <w:pPr>
              <w:jc w:val="both"/>
              <w:rPr>
                <w:sz w:val="24"/>
                <w:szCs w:val="24"/>
              </w:rPr>
            </w:pPr>
            <w:r>
              <w:rPr>
                <w:sz w:val="24"/>
                <w:szCs w:val="24"/>
              </w:rPr>
              <w:t xml:space="preserve">Friends and colleagues. </w:t>
            </w:r>
          </w:p>
          <w:p w14:paraId="1B355962" w14:textId="77777777" w:rsidR="00E92426" w:rsidRDefault="00E92426" w:rsidP="00FF7EBB">
            <w:pPr>
              <w:jc w:val="both"/>
              <w:rPr>
                <w:sz w:val="24"/>
                <w:szCs w:val="24"/>
              </w:rPr>
            </w:pPr>
          </w:p>
          <w:p w14:paraId="63C5B3FF" w14:textId="0FA87CA1" w:rsidR="00E92426" w:rsidRPr="00270EEB" w:rsidRDefault="00E92426" w:rsidP="00FF7EBB">
            <w:pPr>
              <w:jc w:val="both"/>
              <w:rPr>
                <w:sz w:val="24"/>
                <w:szCs w:val="24"/>
              </w:rPr>
            </w:pPr>
            <w:r>
              <w:rPr>
                <w:sz w:val="24"/>
                <w:szCs w:val="24"/>
              </w:rPr>
              <w:t xml:space="preserve">Supervisors. </w:t>
            </w:r>
          </w:p>
        </w:tc>
        <w:tc>
          <w:tcPr>
            <w:tcW w:w="2230" w:type="dxa"/>
            <w:shd w:val="clear" w:color="auto" w:fill="auto"/>
          </w:tcPr>
          <w:p w14:paraId="5A4090B6" w14:textId="65BE1EF6" w:rsidR="62FE5CAF" w:rsidRDefault="00E92426" w:rsidP="62FE5CAF">
            <w:pPr>
              <w:jc w:val="both"/>
              <w:rPr>
                <w:sz w:val="24"/>
                <w:szCs w:val="24"/>
              </w:rPr>
            </w:pPr>
            <w:r>
              <w:rPr>
                <w:sz w:val="24"/>
                <w:szCs w:val="24"/>
              </w:rPr>
              <w:t xml:space="preserve">Ongoing during police career.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150EB">
          <w:headerReference w:type="even" r:id="rId40"/>
          <w:headerReference w:type="default" r:id="rId41"/>
          <w:footerReference w:type="even" r:id="rId42"/>
          <w:footerReference w:type="default" r:id="rId43"/>
          <w:headerReference w:type="first" r:id="rId44"/>
          <w:footerReference w:type="first" r:id="rId45"/>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3CB9889" w:rsidR="62FE5CAF" w:rsidRDefault="62FE5CAF" w:rsidP="62FE5CAF">
      <w:pPr>
        <w:jc w:val="both"/>
        <w:rPr>
          <w:sz w:val="24"/>
          <w:szCs w:val="24"/>
        </w:rPr>
      </w:pPr>
      <w:r w:rsidRPr="48DF4B50">
        <w:rPr>
          <w:sz w:val="24"/>
          <w:szCs w:val="24"/>
        </w:rPr>
        <w:t xml:space="preserve">Signed:  </w:t>
      </w:r>
      <w:r w:rsidR="00BB56E2">
        <w:rPr>
          <w:sz w:val="24"/>
          <w:szCs w:val="24"/>
        </w:rPr>
        <w:t>Kieran Rees</w:t>
      </w:r>
    </w:p>
    <w:p w14:paraId="6356F007" w14:textId="77777777" w:rsidR="62FE5CAF" w:rsidRDefault="62FE5CAF" w:rsidP="62FE5CAF">
      <w:pPr>
        <w:jc w:val="both"/>
        <w:rPr>
          <w:sz w:val="24"/>
          <w:szCs w:val="24"/>
        </w:rPr>
      </w:pPr>
    </w:p>
    <w:p w14:paraId="663EA512" w14:textId="7F0E9292" w:rsidR="62FE5CAF" w:rsidRDefault="62FE5CAF" w:rsidP="62FE5CAF">
      <w:pPr>
        <w:jc w:val="both"/>
        <w:rPr>
          <w:sz w:val="24"/>
          <w:szCs w:val="24"/>
        </w:rPr>
      </w:pPr>
      <w:r w:rsidRPr="62FE5CAF">
        <w:rPr>
          <w:sz w:val="24"/>
          <w:szCs w:val="24"/>
        </w:rPr>
        <w:t xml:space="preserve">Date: </w:t>
      </w:r>
      <w:r w:rsidR="00BB56E2">
        <w:rPr>
          <w:sz w:val="24"/>
          <w:szCs w:val="24"/>
        </w:rPr>
        <w:t>14/08/2022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150EB">
      <w:headerReference w:type="even" r:id="rId46"/>
      <w:headerReference w:type="default" r:id="rId47"/>
      <w:footerReference w:type="even" r:id="rId48"/>
      <w:footerReference w:type="default" r:id="rId49"/>
      <w:headerReference w:type="first" r:id="rId50"/>
      <w:footerReference w:type="first" r:id="rId5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5971B6" w14:textId="28B32D4F" w:rsidR="000150EB" w:rsidRDefault="00FC01CA" w:rsidP="00FC01CA">
    <w:pPr>
      <w:pStyle w:val="Footer"/>
      <w:rPr>
        <w:sz w:val="17"/>
      </w:rPr>
    </w:pPr>
    <w:bookmarkStart w:id="2" w:name="TITUS1FooterEvenPages"/>
    <w:r>
      <w:rPr>
        <w:sz w:val="17"/>
      </w:rPr>
      <w:t> </w:t>
    </w:r>
  </w:p>
  <w:bookmarkEnd w:id="2"/>
  <w:p w14:paraId="71516A79" w14:textId="47EEC40A" w:rsidR="000150EB" w:rsidRDefault="000150EB" w:rsidP="000150EB">
    <w:pPr>
      <w:pStyle w:val="Footer"/>
      <w:jc w:val="right"/>
    </w:pPr>
    <w:r>
      <w:fldChar w:fldCharType="begin"/>
    </w:r>
    <w:r>
      <w:instrText xml:space="preserve"> PAGE   \* MERGEFORMAT </w:instrText>
    </w:r>
    <w:r>
      <w:fldChar w:fldCharType="separate"/>
    </w:r>
    <w:r w:rsidR="00FC01CA">
      <w:rPr>
        <w:noProof/>
      </w:rPr>
      <w:t>10</w:t>
    </w:r>
    <w:r>
      <w:rPr>
        <w:noProof/>
      </w:rPr>
      <w:fldChar w:fldCharType="end"/>
    </w:r>
  </w:p>
  <w:p w14:paraId="5B6E8F11" w14:textId="77777777" w:rsidR="000150EB" w:rsidRPr="00BB5EAA" w:rsidRDefault="000150EB" w:rsidP="000150EB">
    <w:pPr>
      <w:pStyle w:val="Footer"/>
      <w:ind w:right="360"/>
      <w:jc w:val="center"/>
    </w:pPr>
  </w:p>
  <w:p w14:paraId="1EE33671" w14:textId="77777777" w:rsidR="001E3914" w:rsidRDefault="001E39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C543F3" w14:textId="59E83D29" w:rsidR="000150EB" w:rsidRDefault="00FC01CA" w:rsidP="00FC01CA">
    <w:pPr>
      <w:pStyle w:val="Footer"/>
      <w:rPr>
        <w:sz w:val="17"/>
      </w:rPr>
    </w:pPr>
    <w:bookmarkStart w:id="3" w:name="TITUS1FooterPrimary"/>
    <w:r>
      <w:rPr>
        <w:sz w:val="17"/>
      </w:rPr>
      <w:t> </w:t>
    </w:r>
  </w:p>
  <w:bookmarkEnd w:id="3"/>
  <w:p w14:paraId="50521BFA" w14:textId="6163A32C" w:rsidR="00F6513F" w:rsidRDefault="00F6513F">
    <w:pPr>
      <w:pStyle w:val="Footer"/>
      <w:jc w:val="right"/>
    </w:pPr>
    <w:r>
      <w:fldChar w:fldCharType="begin"/>
    </w:r>
    <w:r>
      <w:instrText xml:space="preserve"> PAGE   \* MERGEFORMAT </w:instrText>
    </w:r>
    <w:r>
      <w:fldChar w:fldCharType="separate"/>
    </w:r>
    <w:r w:rsidR="00FC01CA">
      <w:rPr>
        <w:noProof/>
      </w:rPr>
      <w:t>9</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9706BA" w14:textId="48FA7B54" w:rsidR="000150EB" w:rsidRDefault="00FC01CA" w:rsidP="00FC01CA">
    <w:pPr>
      <w:pStyle w:val="Footer"/>
      <w:rPr>
        <w:sz w:val="17"/>
      </w:rPr>
    </w:pPr>
    <w:bookmarkStart w:id="5" w:name="TITUS1FooterFirstPage"/>
    <w:r>
      <w:rPr>
        <w:sz w:val="17"/>
      </w:rPr>
      <w:t> </w:t>
    </w:r>
  </w:p>
  <w:bookmarkEnd w:id="5"/>
  <w:p w14:paraId="7838B4D8" w14:textId="33C62DC9" w:rsidR="000150EB" w:rsidRDefault="000150EB" w:rsidP="000150EB">
    <w:pPr>
      <w:pStyle w:val="Footer"/>
      <w:jc w:val="right"/>
    </w:pPr>
    <w:r>
      <w:fldChar w:fldCharType="begin"/>
    </w:r>
    <w:r>
      <w:instrText xml:space="preserve"> PAGE   \* MERGEFORMAT </w:instrText>
    </w:r>
    <w:r>
      <w:fldChar w:fldCharType="separate"/>
    </w:r>
    <w:r w:rsidR="00FC01CA">
      <w:rPr>
        <w:noProof/>
      </w:rPr>
      <w:t>1</w:t>
    </w:r>
    <w:r>
      <w:rPr>
        <w:noProof/>
      </w:rPr>
      <w:fldChar w:fldCharType="end"/>
    </w:r>
  </w:p>
  <w:p w14:paraId="327EB808" w14:textId="77777777" w:rsidR="000150EB" w:rsidRPr="00BB5EAA" w:rsidRDefault="000150EB" w:rsidP="000150EB">
    <w:pPr>
      <w:pStyle w:val="Footer"/>
      <w:ind w:right="360"/>
      <w:jc w:val="center"/>
    </w:pPr>
  </w:p>
  <w:p w14:paraId="51341844" w14:textId="77777777" w:rsidR="001E3914" w:rsidRDefault="001E391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3E408C" w14:textId="3149297B" w:rsidR="000150EB" w:rsidRDefault="00FC01CA" w:rsidP="00FC01CA">
    <w:pPr>
      <w:pStyle w:val="Footer"/>
      <w:rPr>
        <w:sz w:val="17"/>
      </w:rPr>
    </w:pPr>
    <w:bookmarkStart w:id="9" w:name="TITUS2FooterEvenPages"/>
    <w:r>
      <w:rPr>
        <w:sz w:val="17"/>
      </w:rPr>
      <w:t> </w:t>
    </w:r>
  </w:p>
  <w:bookmarkEnd w:id="9"/>
  <w:p w14:paraId="5FE3844D" w14:textId="77777777" w:rsidR="000150EB" w:rsidRDefault="000150EB" w:rsidP="000150EB">
    <w:pPr>
      <w:pStyle w:val="Footer"/>
      <w:jc w:val="right"/>
    </w:pPr>
  </w:p>
  <w:p w14:paraId="3F3EE7BE" w14:textId="04D9D842" w:rsidR="000150EB" w:rsidRDefault="000150EB" w:rsidP="000150EB">
    <w:pPr>
      <w:pStyle w:val="Footer"/>
      <w:jc w:val="right"/>
    </w:pPr>
    <w:r>
      <w:fldChar w:fldCharType="begin"/>
    </w:r>
    <w:r>
      <w:instrText xml:space="preserve"> PAGE   \* MERGEFORMAT </w:instrText>
    </w:r>
    <w:r>
      <w:fldChar w:fldCharType="separate"/>
    </w:r>
    <w:r w:rsidR="00FC01CA">
      <w:rPr>
        <w:noProof/>
      </w:rPr>
      <w:t>22</w:t>
    </w:r>
    <w:r>
      <w:rPr>
        <w:noProof/>
      </w:rPr>
      <w:fldChar w:fldCharType="end"/>
    </w:r>
  </w:p>
  <w:p w14:paraId="6B4D364B" w14:textId="77777777" w:rsidR="000150EB" w:rsidRPr="00BB5EAA" w:rsidRDefault="000150EB" w:rsidP="000150EB">
    <w:pPr>
      <w:pStyle w:val="Footer"/>
      <w:ind w:right="360"/>
      <w:jc w:val="center"/>
    </w:pPr>
  </w:p>
  <w:p w14:paraId="0C28C606" w14:textId="77777777" w:rsidR="000150EB" w:rsidRDefault="000150E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79345F" w14:textId="78AF67B8" w:rsidR="000150EB" w:rsidRDefault="00FC01CA" w:rsidP="00FC01CA">
    <w:pPr>
      <w:pStyle w:val="Footer"/>
      <w:rPr>
        <w:sz w:val="17"/>
      </w:rPr>
    </w:pPr>
    <w:bookmarkStart w:id="10" w:name="TITUS2FooterPrimary"/>
    <w:r>
      <w:rPr>
        <w:sz w:val="17"/>
      </w:rPr>
      <w:t> </w:t>
    </w:r>
  </w:p>
  <w:bookmarkEnd w:id="10"/>
  <w:p w14:paraId="54759821" w14:textId="77777777" w:rsidR="000150EB" w:rsidRDefault="000150EB">
    <w:pPr>
      <w:pStyle w:val="Footer"/>
      <w:jc w:val="right"/>
    </w:pPr>
  </w:p>
  <w:p w14:paraId="2EDB0332" w14:textId="3821FBFD" w:rsidR="000150EB" w:rsidRDefault="000150EB">
    <w:pPr>
      <w:pStyle w:val="Footer"/>
      <w:jc w:val="right"/>
    </w:pPr>
    <w:r>
      <w:fldChar w:fldCharType="begin"/>
    </w:r>
    <w:r>
      <w:instrText xml:space="preserve"> PAGE   \* MERGEFORMAT </w:instrText>
    </w:r>
    <w:r>
      <w:fldChar w:fldCharType="separate"/>
    </w:r>
    <w:r w:rsidR="00FC01CA">
      <w:rPr>
        <w:noProof/>
      </w:rPr>
      <w:t>23</w:t>
    </w:r>
    <w:r>
      <w:rPr>
        <w:noProof/>
      </w:rPr>
      <w:fldChar w:fldCharType="end"/>
    </w:r>
  </w:p>
  <w:p w14:paraId="2316512F" w14:textId="77777777" w:rsidR="000150EB" w:rsidRPr="00BB5EAA" w:rsidRDefault="000150E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ACD65F" w14:textId="71DCBABA" w:rsidR="000150EB" w:rsidRDefault="00FC01CA" w:rsidP="00FC01CA">
    <w:pPr>
      <w:pStyle w:val="Footer"/>
      <w:rPr>
        <w:sz w:val="17"/>
      </w:rPr>
    </w:pPr>
    <w:bookmarkStart w:id="12" w:name="TITUS2FooterFirstPage"/>
    <w:r>
      <w:rPr>
        <w:sz w:val="17"/>
      </w:rPr>
      <w:t> </w:t>
    </w:r>
  </w:p>
  <w:bookmarkEnd w:id="12"/>
  <w:p w14:paraId="0B536355" w14:textId="77777777" w:rsidR="000150EB" w:rsidRDefault="000150EB" w:rsidP="000150EB">
    <w:pPr>
      <w:pStyle w:val="Footer"/>
      <w:jc w:val="right"/>
    </w:pPr>
  </w:p>
  <w:p w14:paraId="09A8BACE" w14:textId="3C4F7E10" w:rsidR="000150EB" w:rsidRDefault="000150EB" w:rsidP="000150EB">
    <w:pPr>
      <w:pStyle w:val="Footer"/>
      <w:jc w:val="right"/>
    </w:pPr>
    <w:r>
      <w:fldChar w:fldCharType="begin"/>
    </w:r>
    <w:r>
      <w:instrText xml:space="preserve"> PAGE   \* MERGEFORMAT </w:instrText>
    </w:r>
    <w:r>
      <w:fldChar w:fldCharType="separate"/>
    </w:r>
    <w:r w:rsidR="00FC01CA">
      <w:rPr>
        <w:noProof/>
      </w:rPr>
      <w:t>11</w:t>
    </w:r>
    <w:r>
      <w:rPr>
        <w:noProof/>
      </w:rPr>
      <w:fldChar w:fldCharType="end"/>
    </w:r>
  </w:p>
  <w:p w14:paraId="29131E78" w14:textId="77777777" w:rsidR="000150EB" w:rsidRPr="00BB5EAA" w:rsidRDefault="000150EB" w:rsidP="000150EB">
    <w:pPr>
      <w:pStyle w:val="Footer"/>
      <w:ind w:right="360"/>
      <w:jc w:val="center"/>
    </w:pPr>
  </w:p>
  <w:p w14:paraId="5238C627" w14:textId="77777777" w:rsidR="000150EB" w:rsidRDefault="000150E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6A474D" w14:textId="7FEC7264" w:rsidR="000150EB" w:rsidRDefault="00FC01CA" w:rsidP="00FC01CA">
    <w:pPr>
      <w:pStyle w:val="Footer"/>
      <w:rPr>
        <w:sz w:val="17"/>
      </w:rPr>
    </w:pPr>
    <w:bookmarkStart w:id="15" w:name="TITUS3FooterEvenPages"/>
    <w:r>
      <w:rPr>
        <w:sz w:val="17"/>
      </w:rPr>
      <w:t> </w:t>
    </w:r>
  </w:p>
  <w:bookmarkEnd w:id="15"/>
  <w:p w14:paraId="7C27240E" w14:textId="77777777" w:rsidR="000150EB" w:rsidRDefault="000150EB" w:rsidP="000150EB">
    <w:pPr>
      <w:pStyle w:val="Footer"/>
      <w:jc w:val="right"/>
    </w:pPr>
  </w:p>
  <w:p w14:paraId="063E0442" w14:textId="48D33B16" w:rsidR="000150EB" w:rsidRDefault="000150EB" w:rsidP="000150EB">
    <w:pPr>
      <w:pStyle w:val="Footer"/>
      <w:jc w:val="right"/>
    </w:pPr>
    <w:r>
      <w:fldChar w:fldCharType="begin"/>
    </w:r>
    <w:r>
      <w:instrText xml:space="preserve"> PAGE   \* MERGEFORMAT </w:instrText>
    </w:r>
    <w:r>
      <w:fldChar w:fldCharType="separate"/>
    </w:r>
    <w:r w:rsidR="00FC01CA">
      <w:rPr>
        <w:noProof/>
      </w:rPr>
      <w:t>26</w:t>
    </w:r>
    <w:r>
      <w:rPr>
        <w:noProof/>
      </w:rPr>
      <w:fldChar w:fldCharType="end"/>
    </w:r>
  </w:p>
  <w:p w14:paraId="1435FCB2" w14:textId="77777777" w:rsidR="000150EB" w:rsidRPr="00BB5EAA" w:rsidRDefault="000150EB" w:rsidP="000150EB">
    <w:pPr>
      <w:pStyle w:val="Footer"/>
      <w:ind w:right="360"/>
      <w:jc w:val="center"/>
    </w:pPr>
  </w:p>
  <w:p w14:paraId="762BEC49" w14:textId="77777777" w:rsidR="000150EB" w:rsidRDefault="000150E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B306A8" w14:textId="24CB6ED8" w:rsidR="000150EB" w:rsidRDefault="00FC01CA" w:rsidP="00FC01CA">
    <w:pPr>
      <w:pStyle w:val="Footer"/>
      <w:rPr>
        <w:sz w:val="17"/>
      </w:rPr>
    </w:pPr>
    <w:bookmarkStart w:id="16" w:name="TITUS3FooterPrimary"/>
    <w:r>
      <w:rPr>
        <w:sz w:val="17"/>
      </w:rPr>
      <w:t> </w:t>
    </w:r>
  </w:p>
  <w:bookmarkEnd w:id="16"/>
  <w:p w14:paraId="730C5427" w14:textId="77777777" w:rsidR="000150EB" w:rsidRDefault="000150EB">
    <w:pPr>
      <w:pStyle w:val="Footer"/>
      <w:jc w:val="right"/>
    </w:pPr>
  </w:p>
  <w:p w14:paraId="43135337" w14:textId="5F657DEC" w:rsidR="000150EB" w:rsidRDefault="000150EB">
    <w:pPr>
      <w:pStyle w:val="Footer"/>
      <w:jc w:val="right"/>
    </w:pPr>
    <w:r>
      <w:fldChar w:fldCharType="begin"/>
    </w:r>
    <w:r>
      <w:instrText xml:space="preserve"> PAGE   \* MERGEFORMAT </w:instrText>
    </w:r>
    <w:r>
      <w:fldChar w:fldCharType="separate"/>
    </w:r>
    <w:r w:rsidR="00FC01CA">
      <w:rPr>
        <w:noProof/>
      </w:rPr>
      <w:t>25</w:t>
    </w:r>
    <w:r>
      <w:rPr>
        <w:noProof/>
      </w:rPr>
      <w:fldChar w:fldCharType="end"/>
    </w:r>
  </w:p>
  <w:p w14:paraId="576C4C4E" w14:textId="77777777" w:rsidR="000150EB" w:rsidRPr="00BB5EAA" w:rsidRDefault="000150E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C30689" w14:textId="64A0892E" w:rsidR="000150EB" w:rsidRDefault="00FC01CA" w:rsidP="00FC01CA">
    <w:pPr>
      <w:pStyle w:val="Footer"/>
      <w:rPr>
        <w:sz w:val="17"/>
      </w:rPr>
    </w:pPr>
    <w:bookmarkStart w:id="18" w:name="TITUS3FooterFirstPage"/>
    <w:r>
      <w:rPr>
        <w:sz w:val="17"/>
      </w:rPr>
      <w:t> </w:t>
    </w:r>
  </w:p>
  <w:bookmarkEnd w:id="18"/>
  <w:p w14:paraId="57995A0E" w14:textId="77777777" w:rsidR="000150EB" w:rsidRDefault="000150EB" w:rsidP="000150EB">
    <w:pPr>
      <w:pStyle w:val="Footer"/>
      <w:jc w:val="right"/>
    </w:pPr>
  </w:p>
  <w:p w14:paraId="5BDE826B" w14:textId="6C9D99B3" w:rsidR="000150EB" w:rsidRDefault="000150EB" w:rsidP="000150EB">
    <w:pPr>
      <w:pStyle w:val="Footer"/>
      <w:jc w:val="right"/>
    </w:pPr>
    <w:r>
      <w:fldChar w:fldCharType="begin"/>
    </w:r>
    <w:r>
      <w:instrText xml:space="preserve"> PAGE   \* MERGEFORMAT </w:instrText>
    </w:r>
    <w:r>
      <w:fldChar w:fldCharType="separate"/>
    </w:r>
    <w:r w:rsidR="00FC01CA">
      <w:rPr>
        <w:noProof/>
      </w:rPr>
      <w:t>24</w:t>
    </w:r>
    <w:r>
      <w:rPr>
        <w:noProof/>
      </w:rPr>
      <w:fldChar w:fldCharType="end"/>
    </w:r>
  </w:p>
  <w:p w14:paraId="023E3C1C" w14:textId="77777777" w:rsidR="000150EB" w:rsidRPr="00BB5EAA" w:rsidRDefault="000150EB" w:rsidP="000150EB">
    <w:pPr>
      <w:pStyle w:val="Footer"/>
      <w:ind w:right="360"/>
      <w:jc w:val="center"/>
    </w:pPr>
  </w:p>
  <w:p w14:paraId="5D47FB2F" w14:textId="77777777" w:rsidR="000150EB" w:rsidRDefault="000150E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C19812" w14:textId="73AFE201" w:rsidR="000150EB" w:rsidRDefault="00FC01CA" w:rsidP="00FC01CA">
    <w:pPr>
      <w:pStyle w:val="Footer"/>
      <w:rPr>
        <w:sz w:val="17"/>
      </w:rPr>
    </w:pPr>
    <w:bookmarkStart w:id="21" w:name="TITUS4FooterEvenPages"/>
    <w:r>
      <w:rPr>
        <w:sz w:val="17"/>
      </w:rPr>
      <w:t> </w:t>
    </w:r>
  </w:p>
  <w:bookmarkEnd w:id="21"/>
  <w:p w14:paraId="25A4D101" w14:textId="77777777" w:rsidR="000150EB" w:rsidRDefault="000150EB" w:rsidP="000150EB">
    <w:pPr>
      <w:pStyle w:val="Footer"/>
      <w:jc w:val="right"/>
    </w:pPr>
  </w:p>
  <w:p w14:paraId="5BF3D2B0" w14:textId="77777777" w:rsidR="000150EB" w:rsidRDefault="000150EB" w:rsidP="000150EB">
    <w:pPr>
      <w:pStyle w:val="Footer"/>
      <w:jc w:val="right"/>
    </w:pPr>
    <w:r>
      <w:fldChar w:fldCharType="begin"/>
    </w:r>
    <w:r>
      <w:instrText xml:space="preserve"> PAGE   \* MERGEFORMAT </w:instrText>
    </w:r>
    <w:r>
      <w:fldChar w:fldCharType="separate"/>
    </w:r>
    <w:r>
      <w:rPr>
        <w:noProof/>
      </w:rPr>
      <w:t>22</w:t>
    </w:r>
    <w:r>
      <w:rPr>
        <w:noProof/>
      </w:rPr>
      <w:fldChar w:fldCharType="end"/>
    </w:r>
  </w:p>
  <w:p w14:paraId="33E69636" w14:textId="77777777" w:rsidR="000150EB" w:rsidRPr="00BB5EAA" w:rsidRDefault="000150EB" w:rsidP="000150EB">
    <w:pPr>
      <w:pStyle w:val="Footer"/>
      <w:ind w:right="360"/>
      <w:jc w:val="center"/>
    </w:pPr>
  </w:p>
  <w:p w14:paraId="301D5B27" w14:textId="77777777" w:rsidR="000150EB" w:rsidRDefault="000150E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0F4F84" w14:textId="6CCBDB0A" w:rsidR="000150EB" w:rsidRDefault="00FC01CA" w:rsidP="00FC01CA">
    <w:pPr>
      <w:pStyle w:val="Footer"/>
      <w:rPr>
        <w:sz w:val="17"/>
      </w:rPr>
    </w:pPr>
    <w:bookmarkStart w:id="22" w:name="TITUS4FooterPrimary"/>
    <w:r>
      <w:rPr>
        <w:sz w:val="17"/>
      </w:rPr>
      <w:t> </w:t>
    </w:r>
  </w:p>
  <w:bookmarkEnd w:id="22"/>
  <w:p w14:paraId="1C0B730E" w14:textId="77777777" w:rsidR="000150EB" w:rsidRDefault="000150EB">
    <w:pPr>
      <w:pStyle w:val="Footer"/>
      <w:jc w:val="right"/>
    </w:pPr>
  </w:p>
  <w:p w14:paraId="1B6A40B7" w14:textId="77777777" w:rsidR="000150EB" w:rsidRDefault="000150EB">
    <w:pPr>
      <w:pStyle w:val="Footer"/>
      <w:jc w:val="right"/>
    </w:pPr>
    <w:r>
      <w:fldChar w:fldCharType="begin"/>
    </w:r>
    <w:r>
      <w:instrText xml:space="preserve"> PAGE   \* MERGEFORMAT </w:instrText>
    </w:r>
    <w:r>
      <w:fldChar w:fldCharType="separate"/>
    </w:r>
    <w:r>
      <w:rPr>
        <w:noProof/>
      </w:rPr>
      <w:t>23</w:t>
    </w:r>
    <w:r>
      <w:rPr>
        <w:noProof/>
      </w:rPr>
      <w:fldChar w:fldCharType="end"/>
    </w:r>
  </w:p>
  <w:p w14:paraId="56416414" w14:textId="77777777" w:rsidR="000150EB" w:rsidRPr="00BB5EAA" w:rsidRDefault="000150EB"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1C7DF2" w14:textId="439C3D4F" w:rsidR="000150EB" w:rsidRDefault="00FC01CA" w:rsidP="00FC01CA">
    <w:pPr>
      <w:pStyle w:val="Footer"/>
      <w:rPr>
        <w:sz w:val="17"/>
      </w:rPr>
    </w:pPr>
    <w:bookmarkStart w:id="24" w:name="TITUS4FooterFirstPage"/>
    <w:r>
      <w:rPr>
        <w:sz w:val="17"/>
      </w:rPr>
      <w:t> </w:t>
    </w:r>
  </w:p>
  <w:bookmarkEnd w:id="24"/>
  <w:p w14:paraId="070A2682" w14:textId="77777777" w:rsidR="000150EB" w:rsidRDefault="000150EB" w:rsidP="000150EB">
    <w:pPr>
      <w:pStyle w:val="Footer"/>
      <w:jc w:val="right"/>
    </w:pPr>
  </w:p>
  <w:p w14:paraId="1D18A2DB" w14:textId="6D49357F" w:rsidR="000150EB" w:rsidRDefault="000150EB" w:rsidP="000150EB">
    <w:pPr>
      <w:pStyle w:val="Footer"/>
      <w:jc w:val="right"/>
    </w:pPr>
    <w:r>
      <w:fldChar w:fldCharType="begin"/>
    </w:r>
    <w:r>
      <w:instrText xml:space="preserve"> PAGE   \* MERGEFORMAT </w:instrText>
    </w:r>
    <w:r>
      <w:fldChar w:fldCharType="separate"/>
    </w:r>
    <w:r w:rsidR="00FC01CA">
      <w:rPr>
        <w:noProof/>
      </w:rPr>
      <w:t>28</w:t>
    </w:r>
    <w:r>
      <w:rPr>
        <w:noProof/>
      </w:rPr>
      <w:fldChar w:fldCharType="end"/>
    </w:r>
  </w:p>
  <w:p w14:paraId="552C5B49" w14:textId="77777777" w:rsidR="000150EB" w:rsidRPr="00BB5EAA" w:rsidRDefault="000150EB" w:rsidP="000150EB">
    <w:pPr>
      <w:pStyle w:val="Footer"/>
      <w:ind w:right="360"/>
      <w:jc w:val="center"/>
    </w:pPr>
  </w:p>
  <w:p w14:paraId="4F29D612" w14:textId="77777777" w:rsidR="000150EB" w:rsidRDefault="000150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B9F32C" w14:textId="176B3F4A" w:rsidR="00BD5AE3" w:rsidRDefault="00FC01CA" w:rsidP="00FC01CA">
    <w:pPr>
      <w:pStyle w:val="Header"/>
      <w:rPr>
        <w:sz w:val="17"/>
      </w:rPr>
    </w:pPr>
    <w:bookmarkStart w:id="0" w:name="TITUS1HeaderEvenPages"/>
    <w:r>
      <w:rPr>
        <w:sz w:val="17"/>
      </w:rPr>
      <w:t> </w:t>
    </w:r>
  </w:p>
  <w:bookmarkEnd w:id="0"/>
  <w:p w14:paraId="47CBF322" w14:textId="77777777" w:rsidR="00BD5AE3" w:rsidRDefault="00BD5AE3" w:rsidP="00BD5AE3">
    <w:pPr>
      <w:pStyle w:val="Header"/>
    </w:pPr>
  </w:p>
  <w:p w14:paraId="24D8C3AE" w14:textId="77777777" w:rsidR="000150EB" w:rsidRDefault="000150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A584CE" w14:textId="26D3A1E9" w:rsidR="001E3914" w:rsidRDefault="00FC01CA" w:rsidP="00FC01CA">
    <w:pPr>
      <w:pStyle w:val="Header"/>
      <w:rPr>
        <w:sz w:val="17"/>
      </w:rPr>
    </w:pPr>
    <w:bookmarkStart w:id="1" w:name="TITUS1HeaderPrimary"/>
    <w:r>
      <w:rPr>
        <w:sz w:val="17"/>
      </w:rPr>
      <w:t> </w:t>
    </w:r>
  </w:p>
  <w:bookmarkEnd w:id="1"/>
  <w:p w14:paraId="1E52BA97" w14:textId="77777777" w:rsidR="000150EB" w:rsidRDefault="000150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510B6C" w14:textId="27EA3837" w:rsidR="001E3914" w:rsidRDefault="00FC01CA" w:rsidP="00FC01CA">
    <w:pPr>
      <w:pStyle w:val="Header"/>
      <w:rPr>
        <w:sz w:val="17"/>
      </w:rPr>
    </w:pPr>
    <w:bookmarkStart w:id="4" w:name="TITUS1HeaderFirstPage"/>
    <w:r>
      <w:rPr>
        <w:sz w:val="17"/>
      </w:rPr>
      <w:t> </w:t>
    </w:r>
  </w:p>
  <w:bookmarkEnd w:id="4"/>
  <w:p w14:paraId="1F40E4B4" w14:textId="77777777" w:rsidR="000150EB" w:rsidRDefault="000150E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EE84E9" w14:textId="70F60E29" w:rsidR="000150EB" w:rsidRDefault="00FC01CA" w:rsidP="00FC01CA">
    <w:pPr>
      <w:pStyle w:val="Header"/>
      <w:rPr>
        <w:sz w:val="17"/>
      </w:rPr>
    </w:pPr>
    <w:bookmarkStart w:id="7" w:name="TITUS2HeaderEvenPages"/>
    <w:r>
      <w:rPr>
        <w:sz w:val="17"/>
      </w:rPr>
      <w:t> </w:t>
    </w:r>
  </w:p>
  <w:bookmarkEnd w:id="7"/>
  <w:p w14:paraId="02788659" w14:textId="77777777" w:rsidR="000150EB" w:rsidRDefault="000150EB" w:rsidP="000150EB">
    <w:pPr>
      <w:pStyle w:val="Header"/>
    </w:pPr>
  </w:p>
  <w:p w14:paraId="664BBD6E" w14:textId="77777777" w:rsidR="000150EB" w:rsidRDefault="000150E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F9D9EC" w14:textId="00395659" w:rsidR="000150EB" w:rsidRDefault="00FC01CA" w:rsidP="00FC01CA">
    <w:pPr>
      <w:pStyle w:val="Header"/>
      <w:rPr>
        <w:sz w:val="17"/>
      </w:rPr>
    </w:pPr>
    <w:bookmarkStart w:id="8" w:name="TITUS2HeaderPrimary"/>
    <w:r>
      <w:rPr>
        <w:sz w:val="17"/>
      </w:rPr>
      <w:t> </w:t>
    </w:r>
  </w:p>
  <w:bookmarkEnd w:id="8"/>
  <w:p w14:paraId="4D236849" w14:textId="77777777" w:rsidR="000150EB" w:rsidRDefault="000150E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94612F" w14:textId="33408EA7" w:rsidR="000150EB" w:rsidRDefault="00FC01CA" w:rsidP="00FC01CA">
    <w:pPr>
      <w:pStyle w:val="Header"/>
      <w:rPr>
        <w:sz w:val="17"/>
      </w:rPr>
    </w:pPr>
    <w:bookmarkStart w:id="11" w:name="TITUS2HeaderFirstPage"/>
    <w:r>
      <w:rPr>
        <w:sz w:val="17"/>
      </w:rPr>
      <w:t> </w:t>
    </w:r>
  </w:p>
  <w:bookmarkEnd w:id="11"/>
  <w:p w14:paraId="0615A9D9" w14:textId="77777777" w:rsidR="000150EB" w:rsidRDefault="000150EB" w:rsidP="000150EB">
    <w:pPr>
      <w:pStyle w:val="Header"/>
    </w:pPr>
  </w:p>
  <w:p w14:paraId="220FF4BF" w14:textId="77777777" w:rsidR="000150EB" w:rsidRDefault="000150E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84A713" w14:textId="57FD47EA" w:rsidR="000150EB" w:rsidRDefault="00FC01CA" w:rsidP="00FC01CA">
    <w:pPr>
      <w:pStyle w:val="Header"/>
      <w:rPr>
        <w:sz w:val="17"/>
      </w:rPr>
    </w:pPr>
    <w:bookmarkStart w:id="13" w:name="TITUS3HeaderEvenPages"/>
    <w:r>
      <w:rPr>
        <w:sz w:val="17"/>
      </w:rPr>
      <w:t> </w:t>
    </w:r>
  </w:p>
  <w:bookmarkEnd w:id="13"/>
  <w:p w14:paraId="3C49D7A6" w14:textId="77777777" w:rsidR="000150EB" w:rsidRDefault="000150EB" w:rsidP="000150EB">
    <w:pPr>
      <w:pStyle w:val="Header"/>
    </w:pPr>
  </w:p>
  <w:p w14:paraId="250A507B" w14:textId="77777777" w:rsidR="000150EB" w:rsidRDefault="000150E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488943" w14:textId="3C41D68A" w:rsidR="000150EB" w:rsidRDefault="00FC01CA" w:rsidP="00FC01CA">
    <w:pPr>
      <w:pStyle w:val="Header"/>
      <w:rPr>
        <w:sz w:val="17"/>
      </w:rPr>
    </w:pPr>
    <w:bookmarkStart w:id="14" w:name="TITUS3HeaderPrimary"/>
    <w:r>
      <w:rPr>
        <w:sz w:val="17"/>
      </w:rPr>
      <w:t> </w:t>
    </w:r>
  </w:p>
  <w:bookmarkEnd w:id="14"/>
  <w:p w14:paraId="025CE490" w14:textId="77777777" w:rsidR="000150EB" w:rsidRDefault="000150E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38AE8F" w14:textId="3C24D055" w:rsidR="000150EB" w:rsidRDefault="00FC01CA" w:rsidP="00FC01CA">
    <w:pPr>
      <w:pStyle w:val="Header"/>
      <w:rPr>
        <w:sz w:val="17"/>
      </w:rPr>
    </w:pPr>
    <w:bookmarkStart w:id="17" w:name="TITUS3HeaderFirstPage"/>
    <w:r>
      <w:rPr>
        <w:sz w:val="17"/>
      </w:rPr>
      <w:t> </w:t>
    </w:r>
  </w:p>
  <w:bookmarkEnd w:id="17"/>
  <w:p w14:paraId="484DC52D" w14:textId="77777777" w:rsidR="000150EB" w:rsidRDefault="000150EB" w:rsidP="000150EB">
    <w:pPr>
      <w:pStyle w:val="Header"/>
    </w:pPr>
  </w:p>
  <w:p w14:paraId="499FDD14" w14:textId="77777777" w:rsidR="000150EB" w:rsidRDefault="000150E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EABFAB" w14:textId="7F77FC76" w:rsidR="000150EB" w:rsidRDefault="00FC01CA" w:rsidP="00FC01CA">
    <w:pPr>
      <w:pStyle w:val="Header"/>
      <w:rPr>
        <w:sz w:val="17"/>
      </w:rPr>
    </w:pPr>
    <w:bookmarkStart w:id="19" w:name="TITUS4HeaderEvenPages"/>
    <w:r>
      <w:rPr>
        <w:sz w:val="17"/>
      </w:rPr>
      <w:t> </w:t>
    </w:r>
  </w:p>
  <w:bookmarkEnd w:id="19"/>
  <w:p w14:paraId="28AC3139" w14:textId="77777777" w:rsidR="000150EB" w:rsidRDefault="000150EB" w:rsidP="000150EB">
    <w:pPr>
      <w:pStyle w:val="Header"/>
    </w:pPr>
  </w:p>
  <w:p w14:paraId="71C7CE45" w14:textId="77777777" w:rsidR="000150EB" w:rsidRDefault="000150E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99BAC8" w14:textId="482D5CB6" w:rsidR="000150EB" w:rsidRDefault="00FC01CA" w:rsidP="00FC01CA">
    <w:pPr>
      <w:pStyle w:val="Header"/>
      <w:rPr>
        <w:sz w:val="17"/>
      </w:rPr>
    </w:pPr>
    <w:bookmarkStart w:id="20" w:name="TITUS4HeaderPrimary"/>
    <w:r>
      <w:rPr>
        <w:sz w:val="17"/>
      </w:rPr>
      <w:t> </w:t>
    </w:r>
  </w:p>
  <w:bookmarkEnd w:id="20"/>
  <w:p w14:paraId="70C3F1BF" w14:textId="77777777" w:rsidR="000150EB" w:rsidRDefault="000150EB">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1C2942" w14:textId="166FEDB6" w:rsidR="000150EB" w:rsidRDefault="00FC01CA" w:rsidP="00FC01CA">
    <w:pPr>
      <w:pStyle w:val="Header"/>
      <w:rPr>
        <w:sz w:val="17"/>
      </w:rPr>
    </w:pPr>
    <w:bookmarkStart w:id="23" w:name="TITUS4HeaderFirstPage"/>
    <w:r>
      <w:rPr>
        <w:sz w:val="17"/>
      </w:rPr>
      <w:t> </w:t>
    </w:r>
  </w:p>
  <w:bookmarkEnd w:id="23"/>
  <w:p w14:paraId="37BAD79C" w14:textId="77777777" w:rsidR="000150EB" w:rsidRDefault="000150EB" w:rsidP="000150EB">
    <w:pPr>
      <w:pStyle w:val="Header"/>
    </w:pPr>
  </w:p>
  <w:p w14:paraId="49305791" w14:textId="77777777" w:rsidR="000150EB" w:rsidRDefault="000150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50EB"/>
    <w:rsid w:val="00020EEC"/>
    <w:rsid w:val="00025650"/>
    <w:rsid w:val="00026FAB"/>
    <w:rsid w:val="00027B1F"/>
    <w:rsid w:val="0003088B"/>
    <w:rsid w:val="000325D9"/>
    <w:rsid w:val="000335C6"/>
    <w:rsid w:val="000372B2"/>
    <w:rsid w:val="0004079F"/>
    <w:rsid w:val="00045B87"/>
    <w:rsid w:val="00045C07"/>
    <w:rsid w:val="00047216"/>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3914"/>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0C0D"/>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33D"/>
    <w:rsid w:val="00846D84"/>
    <w:rsid w:val="0085230E"/>
    <w:rsid w:val="008550A1"/>
    <w:rsid w:val="00861035"/>
    <w:rsid w:val="00861038"/>
    <w:rsid w:val="00865008"/>
    <w:rsid w:val="00866B50"/>
    <w:rsid w:val="008708F1"/>
    <w:rsid w:val="00880539"/>
    <w:rsid w:val="008859E8"/>
    <w:rsid w:val="0088737B"/>
    <w:rsid w:val="00887635"/>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0E94"/>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1C45"/>
    <w:rsid w:val="009C3AC2"/>
    <w:rsid w:val="009D4365"/>
    <w:rsid w:val="009D4E3B"/>
    <w:rsid w:val="009D7BC9"/>
    <w:rsid w:val="009E1982"/>
    <w:rsid w:val="009E4D2C"/>
    <w:rsid w:val="009F0978"/>
    <w:rsid w:val="009F3AEC"/>
    <w:rsid w:val="00A00081"/>
    <w:rsid w:val="00A015F7"/>
    <w:rsid w:val="00A1062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237C"/>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6E2"/>
    <w:rsid w:val="00BB5EAA"/>
    <w:rsid w:val="00BB5F11"/>
    <w:rsid w:val="00BC0401"/>
    <w:rsid w:val="00BC04FA"/>
    <w:rsid w:val="00BC1C22"/>
    <w:rsid w:val="00BC460B"/>
    <w:rsid w:val="00BC5725"/>
    <w:rsid w:val="00BD30B1"/>
    <w:rsid w:val="00BD5AE3"/>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426"/>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01CA"/>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1E3914"/>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gloscience.com/blogs/blog/feel-good-science-behind-a-smile" TargetMode="External"/><Relationship Id="rId39"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openxmlformats.org/officeDocument/2006/relationships/header" Target="header4.xml"/><Relationship Id="rId42" Type="http://schemas.openxmlformats.org/officeDocument/2006/relationships/footer" Target="footer7.xml"/><Relationship Id="rId47" Type="http://schemas.openxmlformats.org/officeDocument/2006/relationships/header" Target="header11.xml"/><Relationship Id="rId50"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equalityhumanrights.com/en/human-rights-act/article-5-right-liberty-and-security" TargetMode="External"/><Relationship Id="rId33" Type="http://schemas.openxmlformats.org/officeDocument/2006/relationships/hyperlink" Target="https://www.betterup.com/blog/finding-common-ground-with-anyone-a-quick-and-easy-guide" TargetMode="External"/><Relationship Id="rId38" Type="http://schemas.openxmlformats.org/officeDocument/2006/relationships/header" Target="header6.xml"/><Relationship Id="rId46"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thinkcurity.com/articles/improve-tactical-communication-for-security-guards" TargetMode="External"/><Relationship Id="rId29" Type="http://schemas.openxmlformats.org/officeDocument/2006/relationships/hyperlink" Target="https://www.gov.uk/when-mental-health-condition-becomes-disability" TargetMode="External"/><Relationship Id="rId41"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legislation.gov.uk/ukpga/1983/20/section/136" TargetMode="External"/><Relationship Id="rId37" Type="http://schemas.openxmlformats.org/officeDocument/2006/relationships/footer" Target="footer5.xml"/><Relationship Id="rId40" Type="http://schemas.openxmlformats.org/officeDocument/2006/relationships/header" Target="header7.xml"/><Relationship Id="rId45" Type="http://schemas.openxmlformats.org/officeDocument/2006/relationships/footer" Target="footer9.xm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obtaining-initial-accounts/non-leading-approach-questioning" TargetMode="External"/><Relationship Id="rId28" Type="http://schemas.openxmlformats.org/officeDocument/2006/relationships/hyperlink" Target="https://www.nngroup.com/articles/open-ended-questions/" TargetMode="External"/><Relationship Id="rId36" Type="http://schemas.openxmlformats.org/officeDocument/2006/relationships/footer" Target="footer4.xml"/><Relationship Id="rId49"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4/60/section/117" TargetMode="External"/><Relationship Id="rId44" Type="http://schemas.openxmlformats.org/officeDocument/2006/relationships/header" Target="header9.xm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corporatecoachgroup.com/blog/what-is-the-betari-box" TargetMode="External"/><Relationship Id="rId30" Type="http://schemas.openxmlformats.org/officeDocument/2006/relationships/hyperlink" Target="https://www.gov.uk/when-mental-health-condition-becomes-disability" TargetMode="External"/><Relationship Id="rId35" Type="http://schemas.openxmlformats.org/officeDocument/2006/relationships/header" Target="header5.xml"/><Relationship Id="rId43" Type="http://schemas.openxmlformats.org/officeDocument/2006/relationships/footer" Target="footer8.xml"/><Relationship Id="rId48"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Cle151</b:Tag>
    <b:SourceType>InternetSite</b:SourceType>
    <b:Guid>{B5081C14-F8BE-4A56-BC33-526B1A411E20}</b:Guid>
    <b:Author>
      <b:Author>
        <b:Corporate>Clear Comfort </b:Corporate>
      </b:Author>
    </b:Author>
    <b:Title>Swim Stress Away: 5 Mental Health Benefits Of Swimming</b:Title>
    <b:Year>2015</b:Year>
    <b:YearAccessed>2022</b:YearAccessed>
    <b:MonthAccessed>July </b:MonthAccessed>
    <b:DayAccessed>20</b:DayAccessed>
    <b:URL>https://clearcomfort.com/blog/swim-your-way-out-of-depression/#:~:text=Swimming%20releases%20endorphins,and%20make%20you%20feel%20good..</b:URL>
    <b:RefOrder>1</b:RefOrder>
  </b:Source>
  <b:Source>
    <b:Tag>Hel22</b:Tag>
    <b:SourceType>InternetSite</b:SourceType>
    <b:Guid>{01497E2E-B40A-45FA-B772-C2D333C554DC}</b:Guid>
    <b:Author>
      <b:Author>
        <b:Corporate>Help Guide </b:Corporate>
      </b:Author>
    </b:Author>
    <b:Title>Social Support for Stress Relief</b:Title>
    <b:Year>2022</b:Year>
    <b:YearAccessed>2022</b:YearAccessed>
    <b:MonthAccessed>July</b:MonthAccessed>
    <b:DayAccessed>20</b:DayAccessed>
    <b:URL>https://www.helpguide.org/articles/stress/social-support-for-stress-relief.htm. </b:URL>
    <b:RefOrder>2</b:RefOrder>
  </b:Source>
  <b:Source>
    <b:Tag>Cha19</b:Tag>
    <b:SourceType>InternetSite</b:SourceType>
    <b:Guid>{D8DDA12A-BB2E-4185-AED0-624630EB4AB4}</b:Guid>
    <b:Author>
      <b:Author>
        <b:Corporate>CharityComms</b:Corporate>
      </b:Author>
    </b:Author>
    <b:Title>Five strategies to build personal resilience</b:Title>
    <b:Year>2019</b:Year>
    <b:YearAccessed>2022</b:YearAccessed>
    <b:MonthAccessed>July</b:MonthAccessed>
    <b:DayAccessed>20</b:DayAccessed>
    <b:URL>https://www.charitycomms.org.uk/five-strategies-to-build-personal-resilience?gclid=Cj0KCQjwidSWBhDdARIsAIoTVb22Q6JgF4mWywVNfHPP_PR-PlaLVeA7TSfn4EW76oBhdl00iOliXusaAgf5EALw_wcB.</b:URL>
    <b:RefOrder>3</b:RefOrder>
  </b:Source>
  <b:Source>
    <b:Tag>Kat20</b:Tag>
    <b:SourceType>InternetSite</b:SourceType>
    <b:Guid>{CE8EF43B-C83E-4935-8E08-DE6E86FC122E}</b:Guid>
    <b:Author>
      <b:Author>
        <b:NameList>
          <b:Person>
            <b:Last>Jones</b:Last>
            <b:First>Katie</b:First>
          </b:Person>
        </b:NameList>
      </b:Author>
    </b:Author>
    <b:Title>How long should revision breaks be?</b:Title>
    <b:Year>2020</b:Year>
    <b:YearAccessed>2022</b:YearAccessed>
    <b:MonthAccessed>July</b:MonthAccessed>
    <b:DayAccessed>20</b:DayAccessed>
    <b:URL>https://www.harpersu.com/news/article/harpersu/How-long-should-my-revision-breaks-be/#:~:text=Here's%20a%20guideline%20to%20help%20you%20out%3B&amp;text=If%20you've%20been%20revising,2%20minutes%20or%20less%20break.&amp;text=20%2D30%20minutes%20of%20revising,with</b:URL>
    <b:RefOrder>4</b:RefOrder>
  </b:Source>
  <b:Source>
    <b:Tag>Col20</b:Tag>
    <b:SourceType>InternetSite</b:SourceType>
    <b:Guid>{629ADBB1-61F7-4B2B-B133-E50E50BD98CC}</b:Guid>
    <b:Author>
      <b:Author>
        <b:Corporate>College of Policing </b:Corporate>
      </b:Author>
    </b:Author>
    <b:Title>Conflict management skills</b:Title>
    <b:Year>2020</b:Year>
    <b:YearAccessed>2022</b:YearAccessed>
    <b:MonthAccessed>July </b:MonthAccessed>
    <b:DayAccessed>21</b:DayAccessed>
    <b:URL>https://www.college.police.uk/guidance/conflict-management/conflict-management-skills</b:URL>
    <b:RefOrder>1</b:RefOrder>
  </b:Source>
  <b:Source>
    <b:Tag>Chr19</b:Tag>
    <b:SourceType>InternetSite</b:SourceType>
    <b:Guid>{D8C82431-19EE-47DA-9852-6DE00E4173FF}</b:Guid>
    <b:Author>
      <b:Author>
        <b:NameList>
          <b:Person>
            <b:Last>Farmer</b:Last>
            <b:First>Chris</b:First>
          </b:Person>
        </b:NameList>
      </b:Author>
    </b:Author>
    <b:Title>What is the Betari/Betaris Box</b:Title>
    <b:Year>2019</b:Year>
    <b:YearAccessed>2022</b:YearAccessed>
    <b:MonthAccessed>July</b:MonthAccessed>
    <b:DayAccessed>20</b:DayAccessed>
    <b:URL>https://corporatecoachgroup.com/blog/what-is-the-betari-box</b:URL>
    <b:RefOrder>2</b:RefOrder>
  </b:Source>
  <b:Source>
    <b:Tag>Col201</b:Tag>
    <b:SourceType>InternetSite</b:SourceType>
    <b:Guid>{E705CF01-6466-45A7-8CF5-385E4990B9CB}</b:Guid>
    <b:Author>
      <b:Author>
        <b:Corporate>College of Policing </b:Corporate>
      </b:Author>
    </b:Author>
    <b:Title>Non-leading approach to questioning – guideline</b:Title>
    <b:Year>2020</b:Year>
    <b:YearAccessed>2022</b:YearAccessed>
    <b:MonthAccessed>July </b:MonthAccessed>
    <b:DayAccessed>21</b:DayAccessed>
    <b:URL>https://www.college.police.uk/guidance/obtaining-initial-accounts/non-leading-approach-questioning</b:URL>
    <b:RefOrder>3</b:RefOrder>
  </b:Source>
  <b:Source>
    <b:Tag>Govwn</b:Tag>
    <b:SourceType>InternetSite</b:SourceType>
    <b:Guid>{4826EBA7-4B4D-443A-9E7E-CA04C8AA21BF}</b:Guid>
    <b:Author>
      <b:Author>
        <b:Corporate>Gov</b:Corporate>
      </b:Author>
    </b:Author>
    <b:Title>When a mental health condition becomes a disability</b:Title>
    <b:Year>Unknown</b:Year>
    <b:YearAccessed>2022</b:YearAccessed>
    <b:MonthAccessed>July</b:MonthAccessed>
    <b:DayAccessed>21</b:DayAccessed>
    <b:URL>https://www.gov.uk/when-mental-health-condition-becomes-disability</b:URL>
    <b:RefOrder>4</b:RefOrder>
  </b:Source>
  <b:Source>
    <b:Tag>Mag21</b:Tag>
    <b:SourceType>InternetSite</b:SourceType>
    <b:Guid>{DB219E8F-FA37-41CB-8020-23E4B71290A1}</b:Guid>
    <b:Author>
      <b:Author>
        <b:NameList>
          <b:Person>
            <b:Last>Wooll</b:Last>
            <b:First>Maggie</b:First>
          </b:Person>
        </b:NameList>
      </b:Author>
    </b:Author>
    <b:Title>Finding common ground with anyone: A quick and easy guide</b:Title>
    <b:Year>2021</b:Year>
    <b:YearAccessed>2022</b:YearAccessed>
    <b:MonthAccessed>July </b:MonthAccessed>
    <b:DayAccessed>21</b:DayAccessed>
    <b:URL>https://www.betterup.com/blog/finding-common-ground-with-anyone-a-quick-and-easy-guide</b:URL>
    <b:RefOrder>5</b:RefOrder>
  </b:Source>
  <b:Source>
    <b:Tag>Exc21</b:Tag>
    <b:SourceType>InternetSite</b:SourceType>
    <b:Guid>{3D06CAE1-9173-4561-BFB9-5FA504BA90E5}</b:Guid>
    <b:Author>
      <b:Author>
        <b:Corporate>Exclusive </b:Corporate>
      </b:Author>
    </b:Author>
    <b:Title>THE FEEL-GOOD SCIENCE BEHIND A SMILE</b:Title>
    <b:Year>2021</b:Year>
    <b:YearAccessed>2022</b:YearAccessed>
    <b:MonthAccessed>July </b:MonthAccessed>
    <b:DayAccessed>21</b:DayAccessed>
    <b:URL>https://gloscience.com/blogs/blog/feel-good-science-behind-a-smile#:~:text=A%20genuine%20smile%20shared%20with,emotions%20like%20happiness%20or%20contentment.</b:URL>
    <b:RefOrder>6</b:RefOrder>
  </b:Source>
  <b:Source>
    <b:Tag>Col14</b:Tag>
    <b:SourceType>Misc</b:SourceType>
    <b:Guid>{C676DE9F-27A1-44F5-B408-AEF373654A4C}</b:Guid>
    <b:Author>
      <b:Author>
        <b:Corporate>College of Policing</b:Corporate>
      </b:Author>
    </b:Author>
    <b:Title>Code of Ethics </b:Title>
    <b:Year>2014</b:Year>
    <b:City>England and Wales </b:City>
    <b:Publisher>College of Policing</b:Publisher>
    <b:RefOrder>1</b:RefOrder>
  </b:Source>
  <b:Source>
    <b:Tag>Lyn22</b:Tag>
    <b:SourceType>InternetSite</b:SourceType>
    <b:Guid>{5FAF3F09-9069-41DE-A16E-F7297EC8DDFB}</b:Guid>
    <b:Author>
      <b:Author>
        <b:NameList>
          <b:Person>
            <b:Last>Callister</b:Last>
            <b:First>Lynne</b:First>
          </b:Person>
        </b:NameList>
      </b:Author>
    </b:Author>
    <b:Title>10 Tips to Reduce Unconscious Bias at Work</b:Title>
    <b:Year>2022</b:Year>
    <b:YearAccessed>2022</b:YearAccessed>
    <b:MonthAccessed>August </b:MonthAccessed>
    <b:DayAccessed>5th</b:DayAccessed>
    <b:URL>https://www.skillcast.com/blog/reduce-workplace-unconscious-bias</b:URL>
    <b:RefOrder>2</b:RefOrder>
  </b:Source>
  <b:Source>
    <b:Tag>Col22</b:Tag>
    <b:SourceType>Misc</b:SourceType>
    <b:Guid>{C30D22A6-E402-487C-9054-1D770FE3786E}</b:Guid>
    <b:Author>
      <b:Author>
        <b:Corporate>College of Policing</b:Corporate>
      </b:Author>
    </b:Author>
    <b:Title>First Response </b:Title>
    <b:Year>2022</b:Year>
    <b:City>England and Wales </b:City>
    <b:Publisher>College of Policing</b:Publisher>
    <b:RefOrder>3</b:RefOrder>
  </b:Source>
  <b:Source>
    <b:Tag>Far14</b:Tag>
    <b:SourceType>InternetSite</b:SourceType>
    <b:Guid>{E93D498B-C122-4DBE-8804-792D2BC5064A}</b:Guid>
    <b:Author>
      <b:Author>
        <b:NameList>
          <b:Person>
            <b:Last>Farmer</b:Last>
            <b:First>Jennifer</b:First>
            <b:Middle>R.</b:Middle>
          </b:Person>
        </b:NameList>
      </b:Author>
    </b:Author>
    <b:Title>9 Powerful Techniques for Building Rapport with Anyone</b:Title>
    <b:Year>2014</b:Year>
    <b:YearAccessed>2022</b:YearAccessed>
    <b:MonthAccessed>August</b:MonthAccessed>
    <b:DayAccessed>5th</b:DayAccessed>
    <b:URL>https://www.lifehack.org/articles/communication/7-simple-steps-build-rapport-instantly.html</b:URL>
    <b:RefOrder>4</b:RefOrder>
  </b:Source>
  <b:Source>
    <b:Tag>Kat17</b:Tag>
    <b:SourceType>InternetSite</b:SourceType>
    <b:Guid>{3DE9EFF6-D0E4-43A7-8B01-AB7251AC5277}</b:Guid>
    <b:Author>
      <b:Author>
        <b:NameList>
          <b:Person>
            <b:Last>Muir</b:Last>
            <b:First>Kate</b:First>
          </b:Person>
        </b:NameList>
      </b:Author>
    </b:Author>
    <b:Title>What is rapport and how can you help increase it? </b:Title>
    <b:Year>2017</b:Year>
    <b:YearAccessed>2022</b:YearAccessed>
    <b:MonthAccessed>August </b:MonthAccessed>
    <b:DayAccessed>5th</b:DayAccessed>
    <b:URL>https://crestresearch.ac.uk/comment/rapport-can-increase/</b:URL>
    <b:RefOrder>5</b:RefOrder>
  </b:Source>
  <b:Source>
    <b:Tag>Vic18</b:Tag>
    <b:SourceType>DocumentFromInternetSite</b:SourceType>
    <b:Guid>{9F1C624C-B54D-4C74-BDD8-5EC55F18CA80}</b:Guid>
    <b:Title>How victims and survivors of domestic abuse experience the criminal justice system</b:Title>
    <b:Year>2018</b:Year>
    <b:YearAccessed>2022</b:YearAccessed>
    <b:MonthAccessed>August</b:MonthAccessed>
    <b:DayAccessed>5th</b:DayAccessed>
    <b:URL>https://www.victimsupport.org.uk/wp-content/uploads/documents/files/How%20victims%20and%20survivors%20of%20DA%20experience%20the%20criminal%20justice%20system.pdf</b:URL>
    <b:Author>
      <b:Author>
        <b:Corporate>Victim Support</b:Corporate>
      </b:Author>
    </b:Author>
    <b:RefOrder>6</b:RefOrder>
  </b:Source>
  <b:Source>
    <b:Tag>Min21</b:Tag>
    <b:SourceType>DocumentFromInternetSite</b:SourceType>
    <b:Guid>{525F8B3E-469F-499E-A18D-F991A944FBF6}</b:Guid>
    <b:Title>The Code of Practice for Victims of Crime in England and Wales and supporting public information materials</b:Title>
    <b:Year>2021</b:Year>
    <b:Author>
      <b:Author>
        <b:Corporate>Ministry of Justice </b:Corporate>
      </b:Author>
    </b:Author>
    <b:Month>October</b:Month>
    <b:Day>1st</b:Day>
    <b:YearAccessed>2022</b:YearAccessed>
    <b:MonthAccessed>August </b:MonthAccessed>
    <b:DayAccessed>5th</b:DayAccessed>
    <b:URL>https://www.gov.uk/government/publications/the-code-of-practice-for-victims-of-crime</b:URL>
    <b:RefOrder>7</b:RefOrder>
  </b:Source>
  <b:Source>
    <b:Tag>Col141</b:Tag>
    <b:SourceType>InternetSite</b:SourceType>
    <b:Guid>{F247536C-65A5-4405-8CAF-2CB8541C2528}</b:Guid>
    <b:Title>National Decision Making Model </b:Title>
    <b:Year>2014</b:Year>
    <b:YearAccessed>2022</b:YearAccessed>
    <b:MonthAccessed>August </b:MonthAccessed>
    <b:DayAccessed>11th</b:DayAccessed>
    <b:URL>https://www.college.police.uk/app/national-decision-model/national-decision-model</b:URL>
    <b:Author>
      <b:Author>
        <b:Corporate>College of Policing </b:Corporate>
      </b:Author>
    </b:Author>
    <b:RefOrder>1</b:RefOrder>
  </b:Source>
  <b:Source>
    <b:Tag>Leg18</b:Tag>
    <b:SourceType>InternetSite</b:SourceType>
    <b:Guid>{36D337E9-0892-4932-9675-C5D5A6FAB93A}</b:Guid>
    <b:Author>
      <b:Author>
        <b:Corporate>Legislation.gov.uk</b:Corporate>
      </b:Author>
    </b:Author>
    <b:Title>Criminal Justice Act 1988 </b:Title>
    <b:Year>2018</b:Year>
    <b:YearAccessed>2022</b:YearAccessed>
    <b:MonthAccessed>August</b:MonthAccessed>
    <b:DayAccessed>11th</b:DayAccessed>
    <b:URL>https://www.legislation.gov.uk/ukpga/1988/33/section/39</b:URL>
    <b:RefOrder>2</b:RefOrder>
  </b:Source>
  <b:Source>
    <b:Tag>Leg22</b:Tag>
    <b:SourceType>InternetSite</b:SourceType>
    <b:Guid>{68B8508F-95B5-4134-A689-389E3454D3D2}</b:Guid>
    <b:Author>
      <b:Author>
        <b:Corporate>Legislation.gov.uk</b:Corporate>
      </b:Author>
    </b:Author>
    <b:Title>Police and Criminal Evidence Act 1984</b:Title>
    <b:Year>2022</b:Year>
    <b:YearAccessed>2022</b:YearAccessed>
    <b:MonthAccessed>August</b:MonthAccessed>
    <b:DayAccessed>11th</b:DayAccessed>
    <b:URL>https://www.legislation.gov.uk/ukpga/1984/60/section/24</b:URL>
    <b:RefOrder>3</b:RefOrder>
  </b:Source>
  <b:Source>
    <b:Tag>Leg17</b:Tag>
    <b:SourceType>InternetSite</b:SourceType>
    <b:Guid>{620D1E09-24CE-4235-A249-22E1CF6518AA}</b:Guid>
    <b:Author>
      <b:Author>
        <b:Corporate>Legislation.gov.uk</b:Corporate>
      </b:Author>
    </b:Author>
    <b:Title>Police and Criminal Evidence Act 1984 - Section 117</b:Title>
    <b:Year>2017 </b:Year>
    <b:YearAccessed>2022</b:YearAccessed>
    <b:MonthAccessed>August </b:MonthAccessed>
    <b:DayAccessed>11th</b:DayAccessed>
    <b:URL>https://www.legislation.gov.uk/ukpga/1984/60/section/117#:~:text=117%20Power%20of%20constable%20to%20use%20reasonable%20force.&amp;text=(b)does%20not%20provide%20that,the%20exercise%20of%20the%20power.</b:URL>
    <b:RefOrder>4</b:RefOrder>
  </b:Source>
  <b:Source>
    <b:Tag>NHS21</b:Tag>
    <b:SourceType>InternetSite</b:SourceType>
    <b:Guid>{7DC3300E-6F7E-4572-8276-1E555A223BB1}</b:Guid>
    <b:Title>Antisocial Personality Disorder </b:Title>
    <b:Year>2021</b:Year>
    <b:YearAccessed>2022</b:YearAccessed>
    <b:MonthAccessed>August </b:MonthAccessed>
    <b:DayAccessed>14th</b:DayAccessed>
    <b:URL>https://www.nhs.uk/mental-health/conditions/antisocial-personality-disorder/#:~:text=Antisocial%20personality%20disorder%20is%20a,care%20for%20other%20people%27s%20feelings.</b:URL>
    <b:Author>
      <b:Author>
        <b:Corporate>NHS</b:Corporate>
      </b:Author>
    </b:Author>
    <b:RefOrder>5</b:RefOrder>
  </b:Source>
  <b:Source>
    <b:Tag>Mis20</b:Tag>
    <b:SourceType>DocumentFromInternetSite</b:SourceType>
    <b:Guid>{E437FAA1-7E4D-4072-A28E-4594E8E5309F}</b:Guid>
    <b:Title>Criminal Procedure and Investigations Act 1996 (section 23(1)) Code of Practice</b:Title>
    <b:Year>2020</b:Year>
    <b:YearAccessed>2022</b:YearAccessed>
    <b:MonthAccessed>August</b:MonthAccessed>
    <b:DayAccessed>14th</b:DayAccessed>
    <b:URL>https://www.gov.uk/government/publications/criminal-procedure-and-investigations-act-1996-section-231-code-of-practice</b:URL>
    <b:Author>
      <b:Author>
        <b:Corporate>Misistry of Justice </b:Corporate>
      </b:Author>
    </b:Author>
    <b:Month>November</b:Month>
    <b:Day>23</b:Day>
    <b:RefOrder>6</b:RefOrder>
  </b:Source>
  <b:Source>
    <b:Tag>Wik22</b:Tag>
    <b:SourceType>DocumentFromInternetSite</b:SourceType>
    <b:Guid>{7894BB36-6949-479B-AFF2-7BF6DE85ECA5}</b:Guid>
    <b:Author>
      <b:Author>
        <b:Corporate>Wikipedia</b:Corporate>
      </b:Author>
    </b:Author>
    <b:Title>Horn Effect </b:Title>
    <b:Year>2022</b:Year>
    <b:Month>May</b:Month>
    <b:Day>2022</b:Day>
    <b:YearAccessed>2022</b:YearAccessed>
    <b:MonthAccessed>August</b:MonthAccessed>
    <b:DayAccessed>14th</b:DayAccessed>
    <b:URL>https://en.wikipedia.org/wiki/Horn_effect</b:URL>
    <b:RefOrder>7</b:RefOrder>
  </b:Source>
  <b:Source>
    <b:Tag>Col142</b:Tag>
    <b:SourceType>DocumentFromInternetSite</b:SourceType>
    <b:Guid>{462C9A6F-529B-4462-91C4-AEE87136D13E}</b:Guid>
    <b:Title>Code of Ethics </b:Title>
    <b:Year>2014</b:Year>
    <b:Month>July</b:Month>
    <b:YearAccessed>2022</b:YearAccessed>
    <b:MonthAccessed>August</b:MonthAccessed>
    <b:DayAccessed>14th</b:DayAccessed>
    <b:URL>https://assets.college.police.uk/s3fs-public/2021-02/code_of_ethics.pdf</b:URL>
    <b:Author>
      <b:Author>
        <b:Corporate>College of Policing </b:Corporate>
      </b:Author>
    </b:Author>
    <b:RefOrder>8</b:RefOrder>
  </b:Source>
  <b:Source>
    <b:Tag>Wik221</b:Tag>
    <b:SourceType>InternetSite</b:SourceType>
    <b:Guid>{67017C00-F3FA-4AD3-9B2F-C5A691DC5702}</b:Guid>
    <b:Author>
      <b:Author>
        <b:Corporate>Wikipedia</b:Corporate>
      </b:Author>
    </b:Author>
    <b:Title>Peelian Principles</b:Title>
    <b:Year>2022</b:Year>
    <b:YearAccessed>2022</b:YearAccessed>
    <b:MonthAccessed>August </b:MonthAccessed>
    <b:DayAccessed>14th</b:DayAccessed>
    <b:URL>https://en.wikipedia.org/wiki/Peelian_principles</b:URL>
    <b:RefOrder>9</b:RefOrder>
  </b:Source>
  <b:Source>
    <b:Tag>NHS211</b:Tag>
    <b:SourceType>InternetSite</b:SourceType>
    <b:Guid>{2C4F3E0A-EFD0-43E6-94E1-0BB5F1B545BD}</b:Guid>
    <b:Author>
      <b:Author>
        <b:Corporate>NHS</b:Corporate>
      </b:Author>
    </b:Author>
    <b:Title>Feelins Stressed? </b:Title>
    <b:Year>2021</b:Year>
    <b:YearAccessed>2022</b:YearAccessed>
    <b:MonthAccessed>September </b:MonthAccessed>
    <b:DayAccessed>1</b:DayAccessed>
    <b:URL>https://www.nhs.uk/every-mind-matters/mental-health-issues/stress/#:~:text=Stress%20is%20the%20body%27s%20reaction,home%2C%20work%20and%20family%20life.</b:URL>
    <b:RefOrder>1</b:RefOrder>
  </b:Source>
  <b:Source>
    <b:Tag>May22</b:Tag>
    <b:SourceType>InternetSite</b:SourceType>
    <b:Guid>{283A2962-AAEC-42D4-A404-5E5643B09644}</b:Guid>
    <b:Author>
      <b:Author>
        <b:Corporate>Mayo Clinic</b:Corporate>
      </b:Author>
    </b:Author>
    <b:Title>Resilience: Build skills to endure hardship</b:Title>
    <b:Year>2022</b:Year>
    <b:YearAccessed>2022</b:YearAccessed>
    <b:MonthAccessed>September </b:MonthAccessed>
    <b:DayAccessed>1</b:DayAccessed>
    <b:URL>Resilience: Build skills to endure hardship</b:URL>
    <b:RefOrder>2</b:RefOrder>
  </b:Source>
  <b:Source>
    <b:Tag>Men191</b:Tag>
    <b:SourceType>InternetSite</b:SourceType>
    <b:Guid>{9654309A-C891-40BA-82C0-5A7993B9150E}</b:Guid>
    <b:Author>
      <b:Author>
        <b:Corporate>MentalHelp.net</b:Corporate>
      </b:Author>
    </b:Author>
    <b:Title>Socialization and Altruistic Acts as Stress Relief</b:Title>
    <b:Year>2019</b:Year>
    <b:YearAccessed>2022</b:YearAccessed>
    <b:MonthAccessed>August </b:MonthAccessed>
    <b:DayAccessed>31</b:DayAccessed>
    <b:URL>https://www.mentalhelp.net/stress/socialization-and-altruistic-acts-as-stress-relief/#:~:text=Adequate%20amounts%20of%20social%20support,nervous%20system%20calming%20down%20responses.</b:URL>
    <b:RefOrder>4</b:RefOrder>
  </b:Source>
  <b:Source>
    <b:Tag>Rac21</b:Tag>
    <b:SourceType>InternetSite</b:SourceType>
    <b:Guid>{352D2AA3-37F1-4E85-8F06-BA12B7CE444C}</b:Guid>
    <b:Author>
      <b:Author>
        <b:NameList>
          <b:Person>
            <b:Last>Ellis</b:Last>
            <b:First>Rachel</b:First>
            <b:Middle>Reiff</b:Middle>
          </b:Person>
        </b:NameList>
      </b:Author>
    </b:Author>
    <b:Title>Surprising Reasons to Get More Sleep</b:Title>
    <b:Year>2021</b:Year>
    <b:YearAccessed>2022</b:YearAccessed>
    <b:MonthAccessed>August </b:MonthAccessed>
    <b:DayAccessed>12</b:DayAccessed>
    <b:URL>https://www.webmd.com/sleep-disorders/benefits-sleep-more</b:URL>
    <b:RefOrder>5</b:RefOrder>
  </b:Source>
  <b:Source>
    <b:Tag>Col131</b:Tag>
    <b:SourceType>InternetSite</b:SourceType>
    <b:Guid>{695B3453-1543-441E-BDB2-1C4206D56CC0}</b:Guid>
    <b:Author>
      <b:Author>
        <b:Corporate>College of Policing </b:Corporate>
      </b:Author>
    </b:Author>
    <b:Title>National Decicion Making Model</b:Title>
    <b:Year>2013</b:Year>
    <b:YearAccessed>2022</b:YearAccessed>
    <b:MonthAccessed>September</b:MonthAccessed>
    <b:DayAccessed>4</b:DayAccessed>
    <b:URL>https://www.college.police.uk/app/national-decision-model/national-decision-model?highlight=national%20decision%20model</b:URL>
    <b:RefOrder>1</b:RefOrder>
  </b:Source>
  <b:Source>
    <b:Tag>HMI15</b:Tag>
    <b:SourceType>DocumentFromInternetSite</b:SourceType>
    <b:Guid>{1DD58ABC-8B72-4A29-8D33-1DE28681BC1D}</b:Guid>
    <b:Author>
      <b:Author>
        <b:Corporate>HMIC</b:Corporate>
      </b:Author>
    </b:Author>
    <b:Title>PEEL: Police effectiveness 2015 </b:Title>
    <b:Year>2015</b:Year>
    <b:YearAccessed>2022</b:YearAccessed>
    <b:MonthAccessed>September</b:MonthAccessed>
    <b:DayAccessed>4</b:DayAccessed>
    <b:URL>https://www.justiceinspectorates.gov.uk/hmicfrs/wp-content/uploads/police-effectiveness-vulnerability-2015-south-wales.pdf</b:URL>
    <b:Month>December</b:Month>
    <b:RefOrder>2</b:RefOrder>
  </b:Source>
  <b:Source>
    <b:Tag>Nor20</b:Tag>
    <b:SourceType>DocumentFromInternetSite</b:SourceType>
    <b:Guid>{97376848-3E9C-47A4-8269-33CAF013E06B}</b:Guid>
    <b:Author>
      <b:Author>
        <b:Corporate>Norfolk County Council</b:Corporate>
      </b:Author>
    </b:Author>
    <b:Title>Risk Assesment </b:Title>
    <b:Year>2020</b:Year>
    <b:Month>August </b:Month>
    <b:Day>8</b:Day>
    <b:YearAccessed>2022</b:YearAccessed>
    <b:MonthAccessed>September</b:MonthAccessed>
    <b:DayAccessed>4</b:DayAccessed>
    <b:URL>https://www.norfolk.gov.uk/safety/domestic-abuse/information-for-professionals/risk-assessment</b:URL>
    <b:RefOrder>3</b:RefOrder>
  </b:Source>
  <b:Source>
    <b:Tag>Dom22</b:Tag>
    <b:SourceType>InternetSite</b:SourceType>
    <b:Guid>{50330927-C807-4442-863B-C8557D303E63}</b:Guid>
    <b:Author>
      <b:Author>
        <b:Corporate>Domestic Abuse Services</b:Corporate>
      </b:Author>
    </b:Author>
    <b:Title>Multi-Agency Risk Assessment Conference (MARAC)</b:Title>
    <b:Year>2022</b:Year>
    <b:YearAccessed>2022</b:YearAccessed>
    <b:MonthAccessed>September</b:MonthAccessed>
    <b:DayAccessed>4</b:DayAccessed>
    <b:URL>https://www.domesticabuseservices.org.uk/latest-news-articles-advice/marac/</b:URL>
    <b:RefOrder>4</b:RefOrder>
  </b:Source>
  <b:Source>
    <b:Tag>Col21</b:Tag>
    <b:SourceType>InternetSite</b:SourceType>
    <b:Guid>{9928FAAC-AAFF-4925-AF7C-45212E027474}</b:Guid>
    <b:Author>
      <b:Author>
        <b:Corporate>College of Policing</b:Corporate>
      </b:Author>
    </b:Author>
    <b:Title>Body-worn camera</b:Title>
    <b:Year>2021</b:Year>
    <b:YearAccessed>2022</b:YearAccessed>
    <b:MonthAccessed>September</b:MonthAccessed>
    <b:DayAccessed>4</b:DayAccessed>
    <b:URL>https://www.college.police.uk/research/crime-reduction-toolkit/body-worn-cameras</b:URL>
    <b:RefOrder>12</b:RefOrder>
  </b:Source>
  <b:Source>
    <b:Tag>Vic20</b:Tag>
    <b:SourceType>InternetSite</b:SourceType>
    <b:Guid>{C117156D-66A1-4431-BE92-866FA6C7D4E3}</b:Guid>
    <b:Author>
      <b:Author>
        <b:Corporate>Victim Support </b:Corporate>
      </b:Author>
    </b:Author>
    <b:Title>How we can help</b:Title>
    <b:Year>2020</b:Year>
    <b:YearAccessed>2022</b:YearAccessed>
    <b:MonthAccessed>September</b:MonthAccessed>
    <b:DayAccessed>4</b:DayAccessed>
    <b:URL>https://www.victimsupport.org.uk/help-and-support/how-we-can-help/</b:URL>
    <b:RefOrder>13</b:RefOrder>
  </b:Source>
  <b:Source>
    <b:Tag>CPS19</b:Tag>
    <b:SourceType>InternetSite</b:SourceType>
    <b:Guid>{140F4750-E5C7-412F-849A-E7F95A56FCEC}</b:Guid>
    <b:Author>
      <b:Author>
        <b:Corporate>CPS</b:Corporate>
      </b:Author>
    </b:Author>
    <b:Title>Restorative Justice</b:Title>
    <b:Year>2019</b:Year>
    <b:YearAccessed>2022</b:YearAccessed>
    <b:MonthAccessed>September</b:MonthAccessed>
    <b:DayAccessed>4</b:DayAccessed>
    <b:URL>https://www.cps.gov.uk/legal-guidance/restorative-justice</b:URL>
    <b:RefOrder>5</b:RefOrder>
  </b:Source>
  <b:Source>
    <b:Tag>Mer22</b:Tag>
    <b:SourceType>InternetSite</b:SourceType>
    <b:Guid>{26AD57D6-BE64-44B3-B653-363E720A89FA}</b:Guid>
    <b:Title>Discretion</b:Title>
    <b:Year>2022</b:Year>
    <b:Author>
      <b:Author>
        <b:Corporate>Merriam Webster</b:Corporate>
      </b:Author>
    </b:Author>
    <b:YearAccessed>2022</b:YearAccessed>
    <b:MonthAccessed>September</b:MonthAccessed>
    <b:DayAccessed>4</b:DayAccessed>
    <b:URL>https://www.merriam-webster.com/dictionary/discretion</b:URL>
    <b:RefOrder>6</b:RefOrder>
  </b:Source>
  <b:Source>
    <b:Tag>Kno20</b:Tag>
    <b:SourceType>InternetSite</b:SourceType>
    <b:Guid>{7CDA5C48-09BE-45C5-917F-C4569345FA74}</b:Guid>
    <b:Author>
      <b:Author>
        <b:Corporate>Know my rights </b:Corporate>
      </b:Author>
    </b:Author>
    <b:Title>Voluntary Interviews </b:Title>
    <b:Year>2020</b:Year>
    <b:YearAccessed>2022</b:YearAccessed>
    <b:MonthAccessed>September </b:MonthAccessed>
    <b:DayAccessed>4</b:DayAccessed>
    <b:URL>https://knowmyrights.org.uk/voluntary-interviews#:~:text=This%20is%20a%20serious%20interview,to%20talk%20to%20a%20solicitor.</b:URL>
    <b:RefOrder>7</b:RefOrder>
  </b:Source>
  <b:Source>
    <b:Tag>Nic17</b:Tag>
    <b:SourceType>InternetSite</b:SourceType>
    <b:Guid>{08638CDD-22CB-4CA8-A290-7B84C355073D}</b:Guid>
    <b:Author>
      <b:Author>
        <b:Corporate>NicheRMS365</b:Corporate>
      </b:Author>
    </b:Author>
    <b:Title>Our Sole Focus Is</b:Title>
    <b:Year>2017</b:Year>
    <b:YearAccessed>2022</b:YearAccessed>
    <b:MonthAccessed>September</b:MonthAccessed>
    <b:DayAccessed>4</b:DayAccessed>
    <b:URL>https://nicherms.com/about-us/</b:URL>
    <b:RefOrder>10</b:RefOrder>
  </b:Source>
  <b:Source>
    <b:Tag>Joe20</b:Tag>
    <b:SourceType>InternetSite</b:SourceType>
    <b:Guid>{2463E6A9-708D-4184-8CE9-99DA6A2FC245}</b:Guid>
    <b:Author>
      <b:Author>
        <b:NameList>
          <b:Person>
            <b:Last>Caccavale</b:Last>
            <b:First>Joe</b:First>
          </b:Person>
        </b:NameList>
      </b:Author>
    </b:Author>
    <b:Title>What Is the Halo and Horn Effect and How Does It Influence Hiring?</b:Title>
    <b:Year>2020</b:Year>
    <b:YearAccessed>2022</b:YearAccessed>
    <b:MonthAccessed>September</b:MonthAccessed>
    <b:DayAccessed>4</b:DayAccessed>
    <b:URL>https://www.beapplied.com/post/what-is-the-halo-and-horn-effect-and-how-does-it-influence-hiring</b:URL>
    <b:RefOrder>11</b:RefOrder>
  </b:Source>
  <b:Source>
    <b:Tag>Pol21</b:Tag>
    <b:SourceType>InternetSite</b:SourceType>
    <b:Guid>{6D23903D-2907-4CD6-B5F1-0CA5B030AB5F}</b:Guid>
    <b:Author>
      <b:Author>
        <b:Corporate>Police Success</b:Corporate>
      </b:Author>
    </b:Author>
    <b:Title>Peelian Principles </b:Title>
    <b:Year>2021</b:Year>
    <b:YearAccessed>2022</b:YearAccessed>
    <b:MonthAccessed>September </b:MonthAccessed>
    <b:DayAccessed>4</b:DayAccessed>
    <b:URL>https://www.policesuccess.co.uk/blog/what-are-the-peelian-principles</b:URL>
    <b:RefOrder>13</b:RefOrder>
  </b:Source>
</b:Sources>
</file>

<file path=customXml/itemProps1.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8067AE-360C-41FA-A013-C1E5BD3E9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28</Pages>
  <Words>8422</Words>
  <Characters>50558</Characters>
  <Application>Microsoft Office Word</Application>
  <DocSecurity>0</DocSecurity>
  <Lines>421</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Rees,Kieran swp8184</cp:lastModifiedBy>
  <cp:revision>24</cp:revision>
  <cp:lastPrinted>2014-08-26T08:55:00Z</cp:lastPrinted>
  <dcterms:created xsi:type="dcterms:W3CDTF">2019-08-13T10:31:00Z</dcterms:created>
  <dcterms:modified xsi:type="dcterms:W3CDTF">2022-09-05T14:51:00Z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2022-08-14T15:03:50Z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49e402ea-855e-49c5-9a71-0ab5a309877e</vt:lpwstr>
  </property>
  <property fmtid="{D5CDD505-2E9C-101B-9397-08002B2CF9AE}" pid="9" name="MSIP_Label_66cf8fe5-b7b7-4df7-b38d-1c61ac2f6639_ContentBits">
    <vt:lpwstr>0</vt:lpwstr>
  </property>
  <property fmtid="{D5CDD505-2E9C-101B-9397-08002B2CF9AE}" pid="10" name="TitusGUID">
    <vt:lpwstr>8fe11149-40a3-4655-9595-1dfe8ec477d2</vt:lpwstr>
  </property>
  <property fmtid="{D5CDD505-2E9C-101B-9397-08002B2CF9AE}" pid="11" name="Classification">
    <vt:lpwstr>OFFICIAL</vt:lpwstr>
  </property>
  <property fmtid="{D5CDD505-2E9C-101B-9397-08002B2CF9AE}" pid="12" name="Visibility">
    <vt:lpwstr>NOT VISIBLE</vt:lpwstr>
  </property>
</Properties>
</file>