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media/image2.png" ContentType="image/png"/>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oloprincipale"/>
        <w:rPr>
          <w:rFonts w:cs="Times New Roman"/>
          <w:sz w:val="24"/>
          <w:szCs w:val="24"/>
        </w:rPr>
      </w:pPr>
      <w:r>
        <w:rPr>
          <w:rFonts w:cs="Times New Roman"/>
          <w:sz w:val="24"/>
          <w:szCs w:val="24"/>
        </w:rPr>
      </w:r>
    </w:p>
    <w:p>
      <w:pPr>
        <w:pStyle w:val="Titoloprincipale"/>
        <w:rPr>
          <w:rFonts w:cs="Times New Roman"/>
          <w:sz w:val="24"/>
          <w:szCs w:val="24"/>
        </w:rPr>
      </w:pPr>
      <w:r>
        <w:rPr>
          <w:rFonts w:cs="Times New Roman"/>
          <w:sz w:val="24"/>
          <w:szCs w:val="24"/>
        </w:rPr>
      </w:r>
    </w:p>
    <w:p>
      <w:pPr>
        <w:pStyle w:val="Titoloprincipale"/>
        <w:rPr>
          <w:rFonts w:cs="Times New Roman"/>
          <w:sz w:val="24"/>
          <w:szCs w:val="24"/>
        </w:rPr>
      </w:pPr>
      <w:r>
        <w:rPr>
          <w:rFonts w:cs="Times New Roman"/>
          <w:sz w:val="24"/>
          <w:szCs w:val="24"/>
        </w:rPr>
      </w:r>
    </w:p>
    <w:p>
      <w:pPr>
        <w:pStyle w:val="Titoloprincipale"/>
        <w:rPr>
          <w:rFonts w:cs="Times New Roman"/>
          <w:sz w:val="24"/>
          <w:szCs w:val="24"/>
        </w:rPr>
      </w:pPr>
      <w:r>
        <w:rPr>
          <w:rFonts w:cs="Times New Roman"/>
          <w:sz w:val="24"/>
          <w:szCs w:val="24"/>
        </w:rPr>
      </w:r>
    </w:p>
    <w:p>
      <w:pPr>
        <w:pStyle w:val="Titoloprincipale"/>
        <w:rPr>
          <w:rFonts w:cs="Times New Roman"/>
          <w:sz w:val="24"/>
          <w:szCs w:val="24"/>
        </w:rPr>
      </w:pPr>
      <w:r>
        <w:rPr>
          <w:rFonts w:cs="Times New Roman"/>
          <w:sz w:val="24"/>
          <w:szCs w:val="24"/>
        </w:rPr>
      </w:r>
    </w:p>
    <w:p>
      <w:pPr>
        <w:pStyle w:val="Titoloprincipale"/>
        <w:rPr>
          <w:rFonts w:cs="Times New Roman"/>
          <w:sz w:val="24"/>
          <w:szCs w:val="24"/>
        </w:rPr>
      </w:pPr>
      <w:r>
        <w:rPr>
          <w:rFonts w:cs="Times New Roman"/>
          <w:sz w:val="24"/>
          <w:szCs w:val="24"/>
        </w:rPr>
      </w:r>
    </w:p>
    <w:p>
      <w:pPr>
        <w:pStyle w:val="Titoloprincipale"/>
        <w:spacing w:lineRule="auto" w:line="360"/>
        <w:rPr>
          <w:rFonts w:cs="Times New Roman"/>
          <w:sz w:val="40"/>
          <w:szCs w:val="24"/>
        </w:rPr>
      </w:pPr>
      <w:r>
        <w:rPr>
          <w:rFonts w:cs="Times New Roman"/>
          <w:sz w:val="40"/>
          <w:szCs w:val="24"/>
        </w:rPr>
      </w:r>
    </w:p>
    <w:p>
      <w:pPr>
        <w:pStyle w:val="Titoloprincipale"/>
        <w:spacing w:lineRule="auto" w:line="360"/>
        <w:rPr>
          <w:rFonts w:ascii="DejaVu Serif" w:hAnsi="DejaVu Serif" w:cs="Times New Roman"/>
          <w:sz w:val="40"/>
          <w:szCs w:val="24"/>
        </w:rPr>
      </w:pPr>
      <w:r>
        <w:rPr>
          <w:rFonts w:cs="Times New Roman" w:ascii="DejaVu Serif" w:hAnsi="DejaVu Serif"/>
          <w:sz w:val="40"/>
          <w:szCs w:val="24"/>
        </w:rPr>
      </w:r>
    </w:p>
    <w:p>
      <w:pPr>
        <w:pStyle w:val="Titoloprincipale"/>
        <w:spacing w:lineRule="auto" w:line="360"/>
        <w:rPr>
          <w:rFonts w:ascii="DejaVu Serif" w:hAnsi="DejaVu Serif" w:cs="Times New Roman"/>
          <w:sz w:val="40"/>
          <w:szCs w:val="24"/>
        </w:rPr>
      </w:pPr>
      <w:r>
        <w:rPr>
          <w:rFonts w:cs="Times New Roman" w:ascii="DejaVu Serif" w:hAnsi="DejaVu Serif"/>
          <w:sz w:val="40"/>
          <w:szCs w:val="24"/>
        </w:rPr>
      </w:r>
    </w:p>
    <w:p>
      <w:pPr>
        <w:pStyle w:val="Titoloprincipale"/>
        <w:spacing w:lineRule="auto" w:line="360"/>
        <w:rPr>
          <w:rFonts w:ascii="DejaVu Serif" w:hAnsi="DejaVu Serif"/>
        </w:rPr>
      </w:pPr>
      <w:r>
        <w:rPr>
          <w:rFonts w:cs="Times New Roman" w:ascii="DejaVu Serif" w:hAnsi="DejaVu Serif"/>
          <w:sz w:val="40"/>
          <w:szCs w:val="24"/>
        </w:rPr>
        <w:t>ACADEMIC AND EMPLOYABILITY SKILLS</w:t>
      </w:r>
    </w:p>
    <w:p>
      <w:pPr>
        <w:pStyle w:val="Normal"/>
        <w:spacing w:lineRule="auto" w:line="360"/>
        <w:jc w:val="center"/>
        <w:rPr>
          <w:rFonts w:ascii="DejaVu Serif" w:hAnsi="DejaVu Serif"/>
          <w:sz w:val="28"/>
          <w:szCs w:val="28"/>
        </w:rPr>
      </w:pPr>
      <w:r>
        <w:rPr>
          <w:rFonts w:ascii="DejaVu Serif" w:hAnsi="DejaVu Serif"/>
          <w:sz w:val="28"/>
          <w:szCs w:val="28"/>
        </w:rPr>
        <w:t>by</w:t>
      </w:r>
    </w:p>
    <w:p>
      <w:pPr>
        <w:pStyle w:val="Normal"/>
        <w:spacing w:lineRule="auto" w:line="360"/>
        <w:jc w:val="center"/>
        <w:rPr>
          <w:rFonts w:ascii="DejaVu Serif" w:hAnsi="DejaVu Serif"/>
          <w:b/>
          <w:b/>
          <w:bCs/>
          <w:sz w:val="28"/>
          <w:szCs w:val="28"/>
        </w:rPr>
      </w:pPr>
      <w:r>
        <w:rPr>
          <w:rFonts w:ascii="DejaVu Serif" w:hAnsi="DejaVu Serif"/>
          <w:b/>
          <w:bCs/>
          <w:sz w:val="28"/>
          <w:szCs w:val="28"/>
        </w:rPr>
        <w:t xml:space="preserve">LUNG PATRIK ROBERTO </w:t>
      </w:r>
    </w:p>
    <w:p>
      <w:pPr>
        <w:pStyle w:val="Normal"/>
        <w:spacing w:lineRule="auto" w:line="360"/>
        <w:jc w:val="center"/>
        <w:rPr>
          <w:rFonts w:ascii="DejaVu Serif" w:hAnsi="DejaVu Serif"/>
          <w:b/>
          <w:b/>
          <w:bCs/>
          <w:sz w:val="28"/>
          <w:szCs w:val="28"/>
        </w:rPr>
      </w:pPr>
      <w:r>
        <w:rPr>
          <w:rFonts w:ascii="DejaVu Serif" w:hAnsi="DejaVu Serif"/>
          <w:b/>
          <w:bCs/>
          <w:sz w:val="28"/>
          <w:szCs w:val="28"/>
        </w:rPr>
        <w:t>ID STUDENT : 1913385</w:t>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p>
      <w:pPr>
        <w:pStyle w:val="Normal"/>
        <w:spacing w:lineRule="auto" w:line="360"/>
        <w:rPr>
          <w:rFonts w:ascii="DejaVu Serif" w:hAnsi="DejaVu Serif"/>
        </w:rPr>
      </w:pPr>
      <w:r>
        <w:rPr>
          <w:rFonts w:ascii="DejaVu Serif" w:hAnsi="DejaVu Serif"/>
        </w:rPr>
      </w:r>
    </w:p>
    <w:sdt>
      <w:sdtPr>
        <w:docPartObj>
          <w:docPartGallery w:val="Table of Contents"/>
          <w:docPartUnique w:val="true"/>
        </w:docPartObj>
        <w:id w:val="1256010969"/>
      </w:sdtPr>
      <w:sdtContent>
        <w:p>
          <w:pPr>
            <w:pStyle w:val="TOCHeading"/>
            <w:jc w:val="center"/>
            <w:rPr>
              <w:rFonts w:ascii="DejaVu Serif" w:hAnsi="DejaVu Serif"/>
            </w:rPr>
          </w:pPr>
          <w:r>
            <w:rPr>
              <w:rFonts w:cs="Times New Roman" w:ascii="DejaVu Serif" w:hAnsi="DejaVu Serif"/>
              <w:b/>
              <w:bCs/>
              <w:color w:val="000000" w:themeColor="text1"/>
              <w:sz w:val="24"/>
              <w:szCs w:val="24"/>
            </w:rPr>
            <w:t>Table of Contents</w:t>
          </w:r>
        </w:p>
        <w:p>
          <w:pPr>
            <w:pStyle w:val="Indice1"/>
            <w:tabs>
              <w:tab w:val="clear" w:pos="720"/>
              <w:tab w:val="right" w:pos="9350" w:leader="dot"/>
            </w:tabs>
            <w:rPr/>
          </w:pPr>
          <w:hyperlink w:anchor="_Toc48594518">
            <w:r>
              <w:rPr>
                <w:rStyle w:val="CollegamentoInternet"/>
                <w:rFonts w:ascii="DejaVu Serif" w:hAnsi="DejaVu Serif"/>
                <w:lang w:val="en-GB"/>
              </w:rPr>
              <w:t>1.0 Introduction</w:t>
            </w:r>
            <w:r>
              <w:rPr>
                <w:webHidden/>
              </w:rPr>
              <w:fldChar w:fldCharType="begin"/>
            </w:r>
            <w:r>
              <w:rPr>
                <w:webHidden/>
              </w:rPr>
              <w:instrText>PAGEREF _Toc48594518 \h</w:instrText>
            </w:r>
            <w:r>
              <w:rPr>
                <w:webHidden/>
              </w:rPr>
              <w:fldChar w:fldCharType="separate"/>
            </w:r>
            <w:r>
              <w:rPr>
                <w:rStyle w:val="CollegamentoInternet"/>
                <w:vanish/>
              </w:rPr>
              <w:fldChar w:fldCharType="begin"/>
            </w:r>
            <w:r>
              <w:rPr>
                <w:webHidden/>
              </w:rPr>
              <w:fldChar w:fldCharType="end"/>
            </w:r>
            <w:r>
              <w:rPr>
                <w:rStyle w:val="CollegamentoInternet"/>
                <w:vanish/>
              </w:rPr>
              <w:instrText> PAGEREF _Toc48594518 \h </w:instrText>
            </w:r>
            <w:r>
              <w:rPr>
                <w:rStyle w:val="CollegamentoInternet"/>
                <w:vanish/>
              </w:rPr>
              <w:fldChar w:fldCharType="separate"/>
            </w:r>
            <w:r>
              <w:rPr>
                <w:rStyle w:val="CollegamentoInternet"/>
                <w:vanish/>
              </w:rPr>
              <w:t>3</w:t>
            </w:r>
            <w:r>
              <w:rPr>
                <w:rStyle w:val="CollegamentoInternet"/>
                <w:vanish/>
              </w:rPr>
              <w:fldChar w:fldCharType="end"/>
            </w:r>
          </w:hyperlink>
        </w:p>
        <w:p>
          <w:pPr>
            <w:pStyle w:val="Indice1"/>
            <w:tabs>
              <w:tab w:val="clear" w:pos="720"/>
              <w:tab w:val="right" w:pos="9350" w:leader="dot"/>
            </w:tabs>
            <w:rPr/>
          </w:pPr>
          <w:hyperlink w:anchor="_Toc48594519">
            <w:r>
              <w:rPr>
                <w:rStyle w:val="CollegamentoInternet"/>
                <w:rFonts w:ascii="DejaVu Serif" w:hAnsi="DejaVu Serif"/>
                <w:lang w:val="en-GB"/>
              </w:rPr>
              <w:t>2.0 Gibb’s model of reflection</w:t>
            </w:r>
            <w:r>
              <w:rPr>
                <w:webHidden/>
              </w:rPr>
              <w:fldChar w:fldCharType="begin"/>
            </w:r>
            <w:r>
              <w:rPr>
                <w:webHidden/>
              </w:rPr>
              <w:instrText>PAGEREF _Toc48594519 \h</w:instrText>
            </w:r>
            <w:r>
              <w:rPr>
                <w:webHidden/>
              </w:rPr>
              <w:fldChar w:fldCharType="separate"/>
            </w:r>
            <w:r>
              <w:rPr>
                <w:rStyle w:val="CollegamentoInternet"/>
                <w:vanish/>
              </w:rPr>
              <w:fldChar w:fldCharType="begin"/>
            </w:r>
            <w:r>
              <w:rPr>
                <w:webHidden/>
              </w:rPr>
              <w:fldChar w:fldCharType="end"/>
            </w:r>
            <w:r>
              <w:rPr>
                <w:rStyle w:val="CollegamentoInternet"/>
                <w:vanish/>
              </w:rPr>
              <w:instrText> PAGEREF _Toc48594519 \h </w:instrText>
            </w:r>
            <w:r>
              <w:rPr>
                <w:rStyle w:val="CollegamentoInternet"/>
                <w:vanish/>
              </w:rPr>
              <w:fldChar w:fldCharType="separate"/>
            </w:r>
            <w:r>
              <w:rPr>
                <w:rStyle w:val="CollegamentoInternet"/>
                <w:vanish/>
              </w:rPr>
              <w:t>4</w:t>
            </w:r>
            <w:r>
              <w:rPr>
                <w:rStyle w:val="CollegamentoInternet"/>
                <w:vanish/>
              </w:rPr>
              <w:fldChar w:fldCharType="end"/>
            </w:r>
          </w:hyperlink>
        </w:p>
        <w:p>
          <w:pPr>
            <w:pStyle w:val="Indice1"/>
            <w:tabs>
              <w:tab w:val="clear" w:pos="720"/>
              <w:tab w:val="right" w:pos="9350" w:leader="dot"/>
            </w:tabs>
            <w:rPr/>
          </w:pPr>
          <w:hyperlink w:anchor="_Toc48594520">
            <w:r>
              <w:rPr>
                <w:rStyle w:val="CollegamentoInternet"/>
                <w:rFonts w:ascii="DejaVu Serif" w:hAnsi="DejaVu Serif"/>
                <w:lang w:val="en-GB"/>
              </w:rPr>
              <w:t>3.0 Kolb’s reflective model</w:t>
            </w:r>
            <w:r>
              <w:rPr>
                <w:webHidden/>
              </w:rPr>
              <w:fldChar w:fldCharType="begin"/>
            </w:r>
            <w:r>
              <w:rPr>
                <w:webHidden/>
              </w:rPr>
              <w:instrText>PAGEREF _Toc48594520 \h</w:instrText>
            </w:r>
            <w:r>
              <w:rPr>
                <w:webHidden/>
              </w:rPr>
              <w:fldChar w:fldCharType="separate"/>
            </w:r>
            <w:r>
              <w:rPr>
                <w:rStyle w:val="CollegamentoInternet"/>
                <w:vanish/>
              </w:rPr>
              <w:fldChar w:fldCharType="begin"/>
            </w:r>
            <w:r>
              <w:rPr>
                <w:webHidden/>
              </w:rPr>
              <w:fldChar w:fldCharType="end"/>
            </w:r>
            <w:r>
              <w:rPr>
                <w:rStyle w:val="CollegamentoInternet"/>
                <w:vanish/>
              </w:rPr>
              <w:instrText> PAGEREF _Toc48594520 \h </w:instrText>
            </w:r>
            <w:r>
              <w:rPr>
                <w:rStyle w:val="CollegamentoInternet"/>
                <w:vanish/>
              </w:rPr>
              <w:fldChar w:fldCharType="separate"/>
            </w:r>
            <w:r>
              <w:rPr>
                <w:rStyle w:val="CollegamentoInternet"/>
                <w:vanish/>
              </w:rPr>
              <w:t>8</w:t>
            </w:r>
            <w:r>
              <w:rPr>
                <w:rStyle w:val="CollegamentoInternet"/>
                <w:vanish/>
              </w:rPr>
              <w:fldChar w:fldCharType="end"/>
            </w:r>
          </w:hyperlink>
        </w:p>
        <w:p>
          <w:pPr>
            <w:pStyle w:val="Indice1"/>
            <w:tabs>
              <w:tab w:val="clear" w:pos="720"/>
              <w:tab w:val="right" w:pos="9350" w:leader="dot"/>
            </w:tabs>
            <w:rPr/>
          </w:pPr>
          <w:hyperlink w:anchor="_Toc48594521">
            <w:r>
              <w:rPr>
                <w:rStyle w:val="CollegamentoInternet"/>
                <w:rFonts w:ascii="DejaVu Serif" w:hAnsi="DejaVu Serif"/>
                <w:lang w:val="en-GB"/>
              </w:rPr>
              <w:t>4.0 Conclusion</w:t>
            </w:r>
            <w:r>
              <w:rPr>
                <w:webHidden/>
              </w:rPr>
              <w:fldChar w:fldCharType="begin"/>
            </w:r>
            <w:r>
              <w:rPr>
                <w:webHidden/>
              </w:rPr>
              <w:instrText>PAGEREF _Toc48594521 \h</w:instrText>
            </w:r>
            <w:r>
              <w:rPr>
                <w:webHidden/>
              </w:rPr>
              <w:fldChar w:fldCharType="separate"/>
            </w:r>
            <w:r>
              <w:rPr>
                <w:rStyle w:val="CollegamentoInternet"/>
                <w:vanish/>
              </w:rPr>
              <w:fldChar w:fldCharType="begin"/>
            </w:r>
            <w:r>
              <w:rPr>
                <w:webHidden/>
              </w:rPr>
              <w:fldChar w:fldCharType="end"/>
            </w:r>
            <w:r>
              <w:rPr>
                <w:rStyle w:val="CollegamentoInternet"/>
                <w:vanish/>
              </w:rPr>
              <w:instrText> PAGEREF _Toc48594521 \h </w:instrText>
            </w:r>
            <w:r>
              <w:rPr>
                <w:rStyle w:val="CollegamentoInternet"/>
                <w:vanish/>
              </w:rPr>
              <w:fldChar w:fldCharType="separate"/>
            </w:r>
            <w:r>
              <w:rPr>
                <w:rStyle w:val="CollegamentoInternet"/>
                <w:vanish/>
              </w:rPr>
              <w:t>10</w:t>
            </w:r>
            <w:r>
              <w:rPr>
                <w:rStyle w:val="CollegamentoInternet"/>
                <w:vanish/>
              </w:rPr>
              <w:fldChar w:fldCharType="end"/>
            </w:r>
          </w:hyperlink>
        </w:p>
        <w:p>
          <w:pPr>
            <w:pStyle w:val="Indice1"/>
            <w:tabs>
              <w:tab w:val="clear" w:pos="720"/>
              <w:tab w:val="right" w:pos="9350" w:leader="dot"/>
            </w:tabs>
            <w:rPr/>
          </w:pPr>
          <w:hyperlink w:anchor="_Toc48594522">
            <w:r>
              <w:rPr>
                <w:rStyle w:val="CollegamentoInternet"/>
                <w:rFonts w:ascii="DejaVu Serif" w:hAnsi="DejaVu Serif"/>
                <w:lang w:val="en-GB"/>
              </w:rPr>
              <w:t>5.0 Reference list</w:t>
            </w:r>
            <w:r>
              <w:rPr>
                <w:webHidden/>
              </w:rPr>
              <w:fldChar w:fldCharType="begin"/>
            </w:r>
            <w:r>
              <w:rPr>
                <w:webHidden/>
              </w:rPr>
              <w:instrText>PAGEREF _Toc48594522 \h</w:instrText>
            </w:r>
            <w:r>
              <w:rPr>
                <w:webHidden/>
              </w:rPr>
              <w:fldChar w:fldCharType="separate"/>
            </w:r>
            <w:r>
              <w:rPr>
                <w:rStyle w:val="CollegamentoInternet"/>
                <w:vanish/>
              </w:rPr>
              <w:fldChar w:fldCharType="begin"/>
            </w:r>
            <w:r>
              <w:rPr>
                <w:webHidden/>
              </w:rPr>
              <w:fldChar w:fldCharType="end"/>
            </w:r>
            <w:r>
              <w:rPr>
                <w:rStyle w:val="CollegamentoInternet"/>
                <w:vanish/>
              </w:rPr>
              <w:instrText> PAGEREF _Toc48594522 \h </w:instrText>
            </w:r>
            <w:r>
              <w:rPr>
                <w:rStyle w:val="CollegamentoInternet"/>
                <w:vanish/>
              </w:rPr>
              <w:fldChar w:fldCharType="separate"/>
            </w:r>
            <w:r>
              <w:rPr>
                <w:rStyle w:val="CollegamentoInternet"/>
                <w:vanish/>
              </w:rPr>
              <w:t>11</w:t>
            </w:r>
            <w:r>
              <w:rPr>
                <w:rStyle w:val="CollegamentoInternet"/>
                <w:vanish/>
              </w:rPr>
              <w:fldChar w:fldCharType="end"/>
            </w:r>
          </w:hyperlink>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cs="Times New Roman"/>
              <w:sz w:val="24"/>
              <w:szCs w:val="24"/>
            </w:rPr>
          </w:pPr>
          <w:r>
            <w:rPr>
              <w:rFonts w:cs="Times New Roman" w:ascii="DejaVu Serif" w:hAnsi="DejaVu Serif"/>
              <w:sz w:val="24"/>
              <w:szCs w:val="24"/>
            </w:rPr>
          </w:r>
        </w:p>
        <w:p>
          <w:pPr>
            <w:pStyle w:val="Normal"/>
            <w:spacing w:lineRule="auto" w:line="360"/>
            <w:rPr>
              <w:rFonts w:ascii="DejaVu Serif" w:hAnsi="DejaVu Serif"/>
            </w:rPr>
          </w:pPr>
          <w:r>
            <w:rPr>
              <w:rFonts w:ascii="DejaVu Serif" w:hAnsi="DejaVu Serif"/>
            </w:rPr>
          </w:r>
        </w:p>
      </w:sdtContent>
    </w:sdt>
    <w:p>
      <w:pPr>
        <w:pStyle w:val="Normal"/>
        <w:spacing w:lineRule="auto" w:line="276"/>
        <w:jc w:val="left"/>
        <w:rPr>
          <w:rFonts w:ascii="DejaVu Serif" w:hAnsi="DejaVu Serif" w:eastAsia="Times New Roman" w:cs="Times New Roman"/>
          <w:b/>
          <w:b/>
          <w:bCs/>
          <w:sz w:val="24"/>
          <w:szCs w:val="24"/>
          <w:lang w:val="en-GB"/>
        </w:rPr>
      </w:pPr>
      <w:r>
        <w:rPr>
          <w:rFonts w:eastAsia="Times New Roman" w:cs="Times New Roman" w:ascii="DejaVu Serif" w:hAnsi="DejaVu Serif"/>
          <w:b/>
          <w:bCs/>
          <w:sz w:val="24"/>
          <w:szCs w:val="24"/>
          <w:lang w:val="en-GB"/>
        </w:rPr>
      </w:r>
      <w:r>
        <w:br w:type="page"/>
      </w:r>
    </w:p>
    <w:p>
      <w:pPr>
        <w:pStyle w:val="Titolo1"/>
        <w:jc w:val="both"/>
        <w:rPr>
          <w:rFonts w:ascii="DejaVu Serif" w:hAnsi="DejaVu Serif"/>
        </w:rPr>
      </w:pPr>
      <w:bookmarkStart w:id="0" w:name="_Toc48594518"/>
      <w:r>
        <w:rPr>
          <w:rFonts w:ascii="DejaVu Serif" w:hAnsi="DejaVu Serif"/>
          <w:lang w:val="en-GB"/>
        </w:rPr>
        <w:t>1.0 Introduction</w:t>
      </w:r>
      <w:bookmarkEnd w:id="0"/>
    </w:p>
    <w:p>
      <w:pPr>
        <w:pStyle w:val="Normal"/>
        <w:rPr>
          <w:rFonts w:ascii="DejaVu Serif" w:hAnsi="DejaVu Serif"/>
        </w:rPr>
      </w:pPr>
      <w:r>
        <w:rPr>
          <w:rFonts w:eastAsia="Times New Roman" w:cs="Times New Roman" w:ascii="DejaVu Serif" w:hAnsi="DejaVu Serif"/>
          <w:sz w:val="24"/>
          <w:szCs w:val="24"/>
          <w:lang w:val="en-GB"/>
        </w:rPr>
        <w:t xml:space="preserve">Reflection has been defined as the process that helps an individual to improve his or her self-awareness. By carrying out reflection, it becomes possible for an individual to analyse his strengths and weaknesses along with the experiences that he had gained during his previous actions. According to the literary underpinning of </w:t>
      </w:r>
      <w:r>
        <w:rPr>
          <w:rFonts w:cs="Times New Roman" w:ascii="DejaVu Serif" w:hAnsi="DejaVu Serif"/>
          <w:color w:val="222222"/>
          <w:sz w:val="24"/>
          <w:szCs w:val="24"/>
          <w:shd w:fill="FFFFFF" w:val="clear"/>
        </w:rPr>
        <w:t>Bennett</w:t>
      </w:r>
      <w:r>
        <w:rPr>
          <w:rFonts w:eastAsia="Times New Roman" w:cs="Times New Roman" w:ascii="DejaVu Serif" w:hAnsi="DejaVu Serif"/>
          <w:sz w:val="24"/>
          <w:szCs w:val="24"/>
          <w:lang w:val="en-GB"/>
        </w:rPr>
        <w:t xml:space="preserve"> </w:t>
      </w:r>
      <w:r>
        <w:rPr>
          <w:rFonts w:eastAsia="Times New Roman" w:cs="Times New Roman" w:ascii="DejaVu Serif" w:hAnsi="DejaVu Serif"/>
          <w:i/>
          <w:iCs/>
          <w:sz w:val="24"/>
          <w:szCs w:val="24"/>
          <w:lang w:val="en-GB"/>
        </w:rPr>
        <w:t xml:space="preserve">et al. </w:t>
      </w:r>
      <w:r>
        <w:rPr>
          <w:rFonts w:eastAsia="Times New Roman" w:cs="Times New Roman" w:ascii="DejaVu Serif" w:hAnsi="DejaVu Serif"/>
          <w:sz w:val="24"/>
          <w:szCs w:val="24"/>
          <w:lang w:val="en-GB"/>
        </w:rPr>
        <w:t>(2016), students must be encouraged to carry out the process of reflection. This would help the students to recall the classes and understand the important areas that had been taught. Along with this, it will also be possible for the students to know about the areas in which they need to further gain expertise.in this context, the present report will shed light on the diverse learning special that had been learnt. In addition to this, the reflection will be carried out on 4 topics that are paraphrasing, referencing, cover letter and reflecting.</w:t>
      </w:r>
    </w:p>
    <w:p>
      <w:pPr>
        <w:pStyle w:val="Normal"/>
        <w:rPr>
          <w:rFonts w:ascii="DejaVu Serif" w:hAnsi="DejaVu Serif"/>
        </w:rPr>
      </w:pPr>
      <w:r>
        <w:rPr>
          <w:rFonts w:eastAsia="Times New Roman" w:cs="Times New Roman" w:ascii="DejaVu Serif" w:hAnsi="DejaVu Serif"/>
          <w:sz w:val="24"/>
          <w:szCs w:val="24"/>
          <w:lang w:val="en-GB"/>
        </w:rPr>
        <w:t xml:space="preserve">This will be done with the help of two reflective models. In this context, the reflective models that would be used are Gibbs reflective cycle and Kolb’s model of reflection. With the help of these models, it will be possible to reflect on the learning associated with the above-mentioned topics in a logical and coherent way. </w:t>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ascii="DejaVu Serif" w:hAnsi="DejaVu Serif"/>
        </w:rPr>
      </w:pPr>
      <w:r>
        <w:rPr>
          <w:rFonts w:eastAsia="Times New Roman" w:cs="Times New Roman" w:ascii="DejaVu Serif" w:hAnsi="DejaVu Serif"/>
          <w:sz w:val="24"/>
          <w:szCs w:val="24"/>
          <w:lang w:val="en-GB"/>
        </w:rPr>
        <w:t xml:space="preserve"> </w:t>
      </w:r>
    </w:p>
    <w:p>
      <w:pPr>
        <w:pStyle w:val="Titolo1"/>
        <w:jc w:val="both"/>
        <w:rPr>
          <w:rFonts w:ascii="DejaVu Serif" w:hAnsi="DejaVu Serif"/>
        </w:rPr>
      </w:pPr>
      <w:bookmarkStart w:id="1" w:name="_Toc48594519"/>
      <w:r>
        <w:rPr>
          <w:rFonts w:ascii="DejaVu Serif" w:hAnsi="DejaVu Serif"/>
          <w:lang w:val="en-GB"/>
        </w:rPr>
        <w:t>2.0 Gibb’s model of reflection</w:t>
      </w:r>
      <w:bookmarkEnd w:id="1"/>
    </w:p>
    <w:p>
      <w:pPr>
        <w:pStyle w:val="Normal"/>
        <w:spacing w:before="0" w:after="80"/>
        <w:rPr>
          <w:rFonts w:ascii="DejaVu Serif" w:hAnsi="DejaVu Serif"/>
        </w:rPr>
      </w:pPr>
      <w:r>
        <w:rPr>
          <w:rFonts w:eastAsia="Times New Roman" w:cs="Times New Roman" w:ascii="DejaVu Serif" w:hAnsi="DejaVu Serif"/>
          <w:sz w:val="24"/>
          <w:szCs w:val="24"/>
          <w:lang w:val="en-GB"/>
        </w:rPr>
        <w:t>Gibb's model of reflection was postulated in 1988 by Graham Gibbs. This model was formulated for enabling the individual to learn from their experiences. It is a 6 steps cycle that provides an opportunity for an individual to reflect on the experiences and gain learning from the same.</w:t>
      </w:r>
    </w:p>
    <w:p>
      <w:pPr>
        <w:pStyle w:val="Normal"/>
        <w:spacing w:before="0" w:after="80"/>
        <w:jc w:val="center"/>
        <w:rPr>
          <w:rFonts w:ascii="DejaVu Serif" w:hAnsi="DejaVu Serif"/>
        </w:rPr>
      </w:pPr>
      <w:r>
        <w:rPr/>
        <w:drawing>
          <wp:inline distT="0" distB="0" distL="0" distR="0">
            <wp:extent cx="2217420" cy="1859280"/>
            <wp:effectExtent l="0" t="0" r="0" b="0"/>
            <wp:docPr id="1" name="Picture 2" descr="Gibbs Model of Reflection – My Business Plan | Ami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Gibbs Model of Reflection – My Business Plan | Amina"/>
                    <pic:cNvPicPr>
                      <a:picLocks noChangeAspect="1" noChangeArrowheads="1"/>
                    </pic:cNvPicPr>
                  </pic:nvPicPr>
                  <pic:blipFill>
                    <a:blip r:embed="rId2"/>
                    <a:stretch>
                      <a:fillRect/>
                    </a:stretch>
                  </pic:blipFill>
                  <pic:spPr bwMode="auto">
                    <a:xfrm>
                      <a:off x="0" y="0"/>
                      <a:ext cx="2217420" cy="1859280"/>
                    </a:xfrm>
                    <a:prstGeom prst="rect">
                      <a:avLst/>
                    </a:prstGeom>
                  </pic:spPr>
                </pic:pic>
              </a:graphicData>
            </a:graphic>
          </wp:inline>
        </w:drawing>
      </w:r>
    </w:p>
    <w:p>
      <w:pPr>
        <w:pStyle w:val="Normal"/>
        <w:spacing w:before="0" w:after="80"/>
        <w:jc w:val="center"/>
        <w:rPr>
          <w:rFonts w:ascii="DejaVu Serif" w:hAnsi="DejaVu Serif"/>
        </w:rPr>
      </w:pPr>
      <w:r>
        <w:rPr>
          <w:rFonts w:eastAsia="Times New Roman" w:cs="Times New Roman" w:ascii="DejaVu Serif" w:hAnsi="DejaVu Serif"/>
          <w:b/>
          <w:bCs/>
          <w:sz w:val="24"/>
          <w:szCs w:val="24"/>
          <w:lang w:val="en-GB"/>
        </w:rPr>
        <w:t>Figure 1: Gibb’s reflective cycle</w:t>
      </w:r>
    </w:p>
    <w:p>
      <w:pPr>
        <w:pStyle w:val="Normal"/>
        <w:spacing w:before="0" w:after="80"/>
        <w:jc w:val="center"/>
        <w:rPr>
          <w:rFonts w:ascii="DejaVu Serif" w:hAnsi="DejaVu Serif"/>
        </w:rPr>
      </w:pPr>
      <w:r>
        <w:rPr>
          <w:rFonts w:eastAsia="Times New Roman" w:cs="Times New Roman" w:ascii="DejaVu Serif" w:hAnsi="DejaVu Serif"/>
          <w:sz w:val="24"/>
          <w:szCs w:val="24"/>
          <w:lang w:val="en-GB"/>
        </w:rPr>
        <w:t>(Source:</w:t>
      </w:r>
      <w:r>
        <w:rPr>
          <w:rFonts w:cs="Times New Roman" w:ascii="DejaVu Serif" w:hAnsi="DejaVu Serif"/>
          <w:color w:val="222222"/>
          <w:sz w:val="24"/>
          <w:szCs w:val="24"/>
          <w:shd w:fill="FFFFFF" w:val="clear"/>
        </w:rPr>
        <w:t xml:space="preserve"> Tawanwongsri and Phenwan, 2019</w:t>
      </w:r>
      <w:r>
        <w:rPr>
          <w:rFonts w:eastAsia="Times New Roman" w:cs="Times New Roman" w:ascii="DejaVu Serif" w:hAnsi="DejaVu Serif"/>
          <w:sz w:val="24"/>
          <w:szCs w:val="24"/>
          <w:lang w:val="en-GB"/>
        </w:rPr>
        <w:t>)</w:t>
      </w:r>
    </w:p>
    <w:p>
      <w:pPr>
        <w:pStyle w:val="Normal"/>
        <w:spacing w:before="0" w:after="80"/>
        <w:jc w:val="center"/>
        <w:rPr>
          <w:rFonts w:ascii="DejaVu Serif" w:hAnsi="DejaVu Serif"/>
        </w:rPr>
      </w:pPr>
      <w:r>
        <w:rPr>
          <w:rFonts w:ascii="DejaVu Serif" w:hAnsi="DejaVu Serif"/>
        </w:rPr>
      </w:r>
    </w:p>
    <w:p>
      <w:pPr>
        <w:pStyle w:val="Normal"/>
        <w:spacing w:before="240" w:after="240"/>
        <w:rPr>
          <w:rFonts w:ascii="DejaVu Serif" w:hAnsi="DejaVu Serif"/>
        </w:rPr>
      </w:pPr>
      <w:r>
        <w:rPr>
          <w:rFonts w:eastAsia="Times New Roman" w:cs="Times New Roman" w:ascii="DejaVu Serif" w:hAnsi="DejaVu Serif"/>
          <w:b/>
          <w:i/>
          <w:sz w:val="24"/>
          <w:szCs w:val="24"/>
          <w:lang w:val="en-GB"/>
        </w:rPr>
        <w:t>I. Description of the experience</w:t>
      </w:r>
    </w:p>
    <w:p>
      <w:pPr>
        <w:pStyle w:val="Normal"/>
        <w:rPr>
          <w:rFonts w:ascii="DejaVu Serif" w:hAnsi="DejaVu Serif"/>
        </w:rPr>
      </w:pPr>
      <w:r>
        <w:rPr>
          <w:rFonts w:eastAsia="Times New Roman" w:cs="Times New Roman" w:ascii="DejaVu Serif" w:hAnsi="DejaVu Serif"/>
          <w:sz w:val="24"/>
          <w:szCs w:val="24"/>
          <w:lang w:val="en-GB"/>
        </w:rPr>
        <w:t xml:space="preserve">By undertaking the module, I was able to increase my learning concerning diverse topics. This module has helped me to improve my existing knowledge significantly. The first topic on which I would like to reflect is </w:t>
      </w:r>
      <w:r>
        <w:rPr>
          <w:rFonts w:eastAsia="Times New Roman" w:cs="Times New Roman" w:ascii="DejaVu Serif" w:hAnsi="DejaVu Serif"/>
          <w:b/>
          <w:i/>
          <w:sz w:val="24"/>
          <w:szCs w:val="24"/>
          <w:lang w:val="en-GB"/>
        </w:rPr>
        <w:t>paraphrasing</w:t>
      </w:r>
      <w:r>
        <w:rPr>
          <w:rFonts w:eastAsia="Times New Roman" w:cs="Times New Roman" w:ascii="DejaVu Serif" w:hAnsi="DejaVu Serif"/>
          <w:sz w:val="24"/>
          <w:szCs w:val="24"/>
          <w:lang w:val="en-GB"/>
        </w:rPr>
        <w:t xml:space="preserve">. As per the literary underpinning of </w:t>
      </w:r>
      <w:r>
        <w:rPr>
          <w:rFonts w:cs="Times New Roman" w:ascii="DejaVu Serif" w:hAnsi="DejaVu Serif"/>
          <w:color w:val="222222"/>
          <w:sz w:val="24"/>
          <w:szCs w:val="24"/>
          <w:shd w:fill="FFFFFF" w:val="clear"/>
        </w:rPr>
        <w:t>Siddique</w:t>
      </w:r>
      <w:r>
        <w:rPr>
          <w:rFonts w:eastAsia="Times New Roman" w:cs="Times New Roman" w:ascii="DejaVu Serif" w:hAnsi="DejaVu Serif"/>
          <w:sz w:val="24"/>
          <w:szCs w:val="24"/>
          <w:lang w:val="en-GB"/>
        </w:rPr>
        <w:t xml:space="preserve"> </w:t>
      </w:r>
      <w:r>
        <w:rPr>
          <w:rFonts w:eastAsia="Times New Roman" w:cs="Times New Roman" w:ascii="DejaVu Serif" w:hAnsi="DejaVu Serif"/>
          <w:i/>
          <w:iCs/>
          <w:sz w:val="24"/>
          <w:szCs w:val="24"/>
          <w:lang w:val="en-GB"/>
        </w:rPr>
        <w:t xml:space="preserve">et al. </w:t>
      </w:r>
      <w:r>
        <w:rPr>
          <w:rFonts w:eastAsia="Times New Roman" w:cs="Times New Roman" w:ascii="DejaVu Serif" w:hAnsi="DejaVu Serif"/>
          <w:sz w:val="24"/>
          <w:szCs w:val="24"/>
          <w:lang w:val="en-GB"/>
        </w:rPr>
        <w:t xml:space="preserve">(2020), paraphrasing is referred to the process that helps in presenting the ideas along with information in a person's own words. In this process, although the structure of the sentence is changed by the meaning of the sentence remains the same. In addition to this, the actual author of the sentence is also acknowledged. With the help of paraphrasing, it becomes possible to demonstrate a person's ability to convey the information that he has understood. This was a great experience. </w:t>
      </w:r>
    </w:p>
    <w:p>
      <w:pPr>
        <w:pStyle w:val="Normal"/>
        <w:rPr>
          <w:rFonts w:ascii="DejaVu Serif" w:hAnsi="DejaVu Serif"/>
        </w:rPr>
      </w:pPr>
      <w:r>
        <w:rPr>
          <w:rFonts w:eastAsia="Times New Roman" w:cs="Times New Roman" w:ascii="DejaVu Serif" w:hAnsi="DejaVu Serif"/>
          <w:sz w:val="24"/>
          <w:szCs w:val="24"/>
          <w:lang w:val="en-GB"/>
        </w:rPr>
        <w:t>In this experience, I had learnt to use vital information from various articles for my assignments and other works without copying it directly. Apart from this, the other topic that I had learnt while undertaking the module is related to referencing. I was able to understand that whenever we paraphrase anything, it is essential to acknowledge the original author by referencing his name and his work. Initially, it lacked knowledge about referencing. However, after undertaking this course it was possible on my part to understand that there are various types of reference systems such as the Harvard referencing system, APA referencing system, Chicago reference system and many more. Along with this, it is also possible to comprehend that as per the requirement of the assignment it is necessary to select the relevant referencing system to acknowledge the works of others, which is being paraphrased in the file (</w:t>
      </w:r>
      <w:r>
        <w:rPr>
          <w:rFonts w:cs="Times New Roman" w:ascii="DejaVu Serif" w:hAnsi="DejaVu Serif"/>
          <w:color w:val="222222"/>
          <w:sz w:val="24"/>
          <w:szCs w:val="24"/>
          <w:shd w:fill="FFFFFF" w:val="clear"/>
        </w:rPr>
        <w:t>Marsh and Campion, 2018</w:t>
      </w:r>
      <w:r>
        <w:rPr>
          <w:rFonts w:eastAsia="Times New Roman" w:cs="Times New Roman" w:ascii="DejaVu Serif" w:hAnsi="DejaVu Serif"/>
          <w:sz w:val="24"/>
          <w:szCs w:val="24"/>
          <w:lang w:val="en-GB"/>
        </w:rPr>
        <w:t xml:space="preserve">). </w:t>
      </w:r>
    </w:p>
    <w:p>
      <w:pPr>
        <w:pStyle w:val="Normal"/>
        <w:spacing w:before="240" w:after="240"/>
        <w:rPr>
          <w:rFonts w:ascii="DejaVu Serif" w:hAnsi="DejaVu Serif"/>
        </w:rPr>
      </w:pPr>
      <w:r>
        <w:rPr>
          <w:rFonts w:eastAsia="Times New Roman" w:cs="Times New Roman" w:ascii="DejaVu Serif" w:hAnsi="DejaVu Serif"/>
          <w:b/>
          <w:i/>
          <w:sz w:val="24"/>
          <w:szCs w:val="24"/>
          <w:lang w:val="en-GB"/>
        </w:rPr>
        <w:t>II.</w:t>
      </w:r>
      <w:r>
        <w:rPr>
          <w:rFonts w:eastAsia="Times New Roman" w:cs="Times New Roman" w:ascii="DejaVu Serif" w:hAnsi="DejaVu Serif"/>
          <w:i/>
          <w:sz w:val="24"/>
          <w:szCs w:val="24"/>
          <w:lang w:val="en-GB"/>
        </w:rPr>
        <w:t xml:space="preserve"> </w:t>
      </w:r>
      <w:r>
        <w:rPr>
          <w:rFonts w:eastAsia="Times New Roman" w:cs="Times New Roman" w:ascii="DejaVu Serif" w:hAnsi="DejaVu Serif"/>
          <w:b/>
          <w:i/>
          <w:sz w:val="24"/>
          <w:szCs w:val="24"/>
          <w:lang w:val="en-GB"/>
        </w:rPr>
        <w:t>Feelings</w:t>
      </w:r>
    </w:p>
    <w:p>
      <w:pPr>
        <w:pStyle w:val="Normal"/>
        <w:rPr>
          <w:rFonts w:ascii="DejaVu Serif" w:hAnsi="DejaVu Serif"/>
        </w:rPr>
      </w:pPr>
      <w:r>
        <w:rPr>
          <w:rFonts w:eastAsia="Times New Roman" w:cs="Times New Roman" w:ascii="DejaVu Serif" w:hAnsi="DejaVu Serif"/>
          <w:sz w:val="24"/>
          <w:szCs w:val="24"/>
          <w:lang w:val="en-GB"/>
        </w:rPr>
        <w:t xml:space="preserve">Initially, when I started attending classes related to topics such as paraphrasing and referencing, I was a bit scared. This is because I found it very confusing and faced difficulties in changing the sentences without altering the meaning. However, as the class carried on, it was possible on my part to make sense of the classes. Hence, thereafter the experience was great. I started feeling confident and was able to undertake the assignments successfully related to paraphrasing and referencing.  </w:t>
      </w:r>
    </w:p>
    <w:p>
      <w:pPr>
        <w:pStyle w:val="Normal"/>
        <w:rPr>
          <w:rFonts w:ascii="DejaVu Serif" w:hAnsi="DejaVu Serif"/>
        </w:rPr>
      </w:pPr>
      <w:r>
        <w:rPr>
          <w:rFonts w:ascii="DejaVu Serif" w:hAnsi="DejaVu Serif"/>
        </w:rPr>
      </w:r>
    </w:p>
    <w:p>
      <w:pPr>
        <w:pStyle w:val="Normal"/>
        <w:rPr>
          <w:rFonts w:ascii="DejaVu Serif" w:hAnsi="DejaVu Serif"/>
        </w:rPr>
      </w:pPr>
      <w:r>
        <w:rPr>
          <w:rFonts w:ascii="DejaVu Serif" w:hAnsi="DejaVu Serif"/>
        </w:rPr>
      </w:r>
    </w:p>
    <w:p>
      <w:pPr>
        <w:pStyle w:val="Normal"/>
        <w:rPr>
          <w:rFonts w:ascii="DejaVu Serif" w:hAnsi="DejaVu Serif"/>
        </w:rPr>
      </w:pPr>
      <w:r>
        <w:rPr>
          <w:rFonts w:ascii="DejaVu Serif" w:hAnsi="DejaVu Serif"/>
        </w:rPr>
      </w:r>
    </w:p>
    <w:p>
      <w:pPr>
        <w:pStyle w:val="Normal"/>
        <w:spacing w:before="240" w:after="240"/>
        <w:rPr>
          <w:rFonts w:ascii="DejaVu Serif" w:hAnsi="DejaVu Serif"/>
        </w:rPr>
      </w:pPr>
      <w:r>
        <w:rPr>
          <w:rFonts w:eastAsia="Times New Roman" w:cs="Times New Roman" w:ascii="DejaVu Serif" w:hAnsi="DejaVu Serif"/>
          <w:b/>
          <w:i/>
          <w:sz w:val="24"/>
          <w:szCs w:val="24"/>
          <w:lang w:val="en-GB"/>
        </w:rPr>
        <w:t xml:space="preserve">III. Evaluation </w:t>
      </w:r>
    </w:p>
    <w:p>
      <w:pPr>
        <w:pStyle w:val="Normal"/>
        <w:rPr>
          <w:rFonts w:ascii="DejaVu Serif" w:hAnsi="DejaVu Serif"/>
        </w:rPr>
      </w:pPr>
      <w:r>
        <w:rPr>
          <w:rFonts w:eastAsia="Times New Roman" w:cs="Times New Roman" w:ascii="DejaVu Serif" w:hAnsi="DejaVu Serif"/>
          <w:sz w:val="24"/>
          <w:szCs w:val="24"/>
          <w:lang w:val="en-GB"/>
        </w:rPr>
        <w:t xml:space="preserve">The experience gained during learning about topics such as paraphrasing and referencing was highly valuable. Initially, when I used to be provided with any assignment, most of the parts I used to copy and paste. As a result of which, neither I could understand the meaning of the text that is being copied nor was able to improve my knowledge. However, at this point when I am reflecting, I can realise that by undertaking the course related to paraphrasing and referencing, it has been possible on my part to improve my knowledge gathering skills. This is because as I have taken the assignments related to various topics, for paraphrasing I had to read them thoroughly. </w:t>
      </w:r>
    </w:p>
    <w:p>
      <w:pPr>
        <w:pStyle w:val="Normal"/>
        <w:rPr>
          <w:rFonts w:ascii="DejaVu Serif" w:hAnsi="DejaVu Serif"/>
        </w:rPr>
      </w:pPr>
      <w:r>
        <w:rPr>
          <w:rFonts w:eastAsia="Times New Roman" w:cs="Times New Roman" w:ascii="DejaVu Serif" w:hAnsi="DejaVu Serif"/>
          <w:sz w:val="24"/>
          <w:szCs w:val="24"/>
          <w:lang w:val="en-GB"/>
        </w:rPr>
        <w:t xml:space="preserve">This had helped me to understand the content and then write. As a result of which, it was possible on my part to improve my knowledge level concerning those topics. In addition to this, weathering knowledge about referencing I have become aware of the cruciality of acknowledging the works of others. According to the study conducted by </w:t>
      </w:r>
      <w:r>
        <w:rPr>
          <w:rFonts w:cs="Times New Roman" w:ascii="DejaVu Serif" w:hAnsi="DejaVu Serif"/>
          <w:color w:val="222222"/>
          <w:sz w:val="24"/>
          <w:szCs w:val="24"/>
          <w:shd w:fill="FFFFFF" w:val="clear"/>
        </w:rPr>
        <w:t>Martin</w:t>
      </w:r>
      <w:r>
        <w:rPr>
          <w:rFonts w:eastAsia="Times New Roman" w:cs="Times New Roman" w:ascii="DejaVu Serif" w:hAnsi="DejaVu Serif"/>
          <w:sz w:val="24"/>
          <w:szCs w:val="24"/>
          <w:lang w:val="en-GB"/>
        </w:rPr>
        <w:t xml:space="preserve"> (2016), referencing is the way by which an individual can provide support to the evidence that has been provided in the assignment. It is also the way to put forward the arguments and opinions in a logical way, which has been supported by some other authors.</w:t>
      </w:r>
    </w:p>
    <w:p>
      <w:pPr>
        <w:pStyle w:val="Normal"/>
        <w:spacing w:before="240" w:after="240"/>
        <w:rPr>
          <w:rFonts w:ascii="DejaVu Serif" w:hAnsi="DejaVu Serif"/>
        </w:rPr>
      </w:pPr>
      <w:r>
        <w:rPr>
          <w:rFonts w:eastAsia="Times New Roman" w:cs="Times New Roman" w:ascii="DejaVu Serif" w:hAnsi="DejaVu Serif"/>
          <w:b/>
          <w:i/>
          <w:sz w:val="24"/>
          <w:szCs w:val="24"/>
          <w:lang w:val="en-GB"/>
        </w:rPr>
        <w:t xml:space="preserve">IV. Analysis </w:t>
      </w:r>
    </w:p>
    <w:p>
      <w:pPr>
        <w:pStyle w:val="Normal"/>
        <w:rPr>
          <w:rFonts w:ascii="DejaVu Serif" w:hAnsi="DejaVu Serif"/>
        </w:rPr>
      </w:pPr>
      <w:r>
        <w:rPr>
          <w:rFonts w:eastAsia="Times New Roman" w:cs="Times New Roman" w:ascii="DejaVu Serif" w:hAnsi="DejaVu Serif"/>
          <w:sz w:val="24"/>
          <w:szCs w:val="24"/>
          <w:lang w:val="en-GB"/>
        </w:rPr>
        <w:t xml:space="preserve">As per the literary underpinning of </w:t>
      </w:r>
      <w:r>
        <w:rPr>
          <w:rFonts w:cs="Times New Roman" w:ascii="DejaVu Serif" w:hAnsi="DejaVu Serif"/>
          <w:color w:val="222222"/>
          <w:sz w:val="24"/>
          <w:szCs w:val="24"/>
          <w:shd w:fill="FFFFFF" w:val="clear"/>
        </w:rPr>
        <w:t>Guo</w:t>
      </w:r>
      <w:r>
        <w:rPr>
          <w:rFonts w:eastAsia="Times New Roman" w:cs="Times New Roman" w:ascii="DejaVu Serif" w:hAnsi="DejaVu Serif"/>
          <w:sz w:val="24"/>
          <w:szCs w:val="24"/>
          <w:lang w:val="en-GB"/>
        </w:rPr>
        <w:t xml:space="preserve"> </w:t>
      </w:r>
      <w:r>
        <w:rPr>
          <w:rFonts w:eastAsia="Times New Roman" w:cs="Times New Roman" w:ascii="DejaVu Serif" w:hAnsi="DejaVu Serif"/>
          <w:i/>
          <w:iCs/>
          <w:sz w:val="24"/>
          <w:szCs w:val="24"/>
          <w:lang w:val="en-GB"/>
        </w:rPr>
        <w:t xml:space="preserve">et al. </w:t>
      </w:r>
      <w:r>
        <w:rPr>
          <w:rFonts w:eastAsia="Times New Roman" w:cs="Times New Roman" w:ascii="DejaVu Serif" w:hAnsi="DejaVu Serif"/>
          <w:sz w:val="24"/>
          <w:szCs w:val="24"/>
          <w:lang w:val="en-GB"/>
        </w:rPr>
        <w:t>(2018), a person needs to have reading and writing skills so that he can paraphrase the content properly. As mentioned earlier, before understanding the significance of paraphrasing I had always tried to copy-paste the content. This was basically due to my lack of reading skills. However, this topic has helped me to improve my reading skill to a certain level although still, I try to skip some parts. In addition to this, the module has helped me to understand the four r's of paraphrasing. These are rewording, rearrange, realise, and recheck. However, I need to work hard on my reading skills so that I can carry out paraphrasing effectively. In addition to this, it is right on my part to remember the reference in structures so that I can do manual referencing whenever necessary.</w:t>
      </w:r>
    </w:p>
    <w:p>
      <w:pPr>
        <w:pStyle w:val="Normal"/>
        <w:rPr>
          <w:rFonts w:ascii="DejaVu Serif" w:hAnsi="DejaVu Serif"/>
        </w:rPr>
      </w:pPr>
      <w:r>
        <w:rPr>
          <w:rFonts w:ascii="DejaVu Serif" w:hAnsi="DejaVu Serif"/>
        </w:rPr>
      </w:r>
    </w:p>
    <w:p>
      <w:pPr>
        <w:pStyle w:val="Normal"/>
        <w:rPr>
          <w:rFonts w:ascii="DejaVu Serif" w:hAnsi="DejaVu Serif"/>
        </w:rPr>
      </w:pPr>
      <w:r>
        <w:rPr>
          <w:rFonts w:ascii="DejaVu Serif" w:hAnsi="DejaVu Serif"/>
        </w:rPr>
      </w:r>
    </w:p>
    <w:p>
      <w:pPr>
        <w:pStyle w:val="Normal"/>
        <w:rPr>
          <w:rFonts w:ascii="DejaVu Serif" w:hAnsi="DejaVu Serif"/>
        </w:rPr>
      </w:pPr>
      <w:r>
        <w:rPr>
          <w:rFonts w:eastAsia="Times New Roman" w:cs="Times New Roman" w:ascii="DejaVu Serif" w:hAnsi="DejaVu Serif"/>
          <w:sz w:val="24"/>
          <w:szCs w:val="24"/>
          <w:lang w:val="en-GB"/>
        </w:rPr>
        <w:t xml:space="preserve"> </w:t>
      </w:r>
      <w:r>
        <w:rPr>
          <w:rFonts w:eastAsia="Times New Roman" w:cs="Times New Roman" w:ascii="DejaVu Serif" w:hAnsi="DejaVu Serif"/>
          <w:b/>
          <w:i/>
          <w:sz w:val="24"/>
          <w:szCs w:val="24"/>
          <w:lang w:val="en-GB"/>
        </w:rPr>
        <w:t xml:space="preserve">V. Conclusion </w:t>
      </w:r>
    </w:p>
    <w:p>
      <w:pPr>
        <w:pStyle w:val="Normal"/>
        <w:rPr>
          <w:rFonts w:ascii="DejaVu Serif" w:hAnsi="DejaVu Serif"/>
        </w:rPr>
      </w:pPr>
      <w:r>
        <w:rPr>
          <w:rFonts w:eastAsia="Times New Roman" w:cs="Times New Roman" w:ascii="DejaVu Serif" w:hAnsi="DejaVu Serif"/>
          <w:sz w:val="24"/>
          <w:szCs w:val="24"/>
          <w:lang w:val="en-GB"/>
        </w:rPr>
        <w:t>With the help of this experience, it was possible on my part to understand the imperativeness of paraphrasing and referencing. In addition to this, I was able to understand the areas that I had left due to which are used to copy-paste the content. Therefore, soon and looking forward to improving my reading skills more properly so that paraphrasing could be done effectively.</w:t>
      </w:r>
    </w:p>
    <w:p>
      <w:pPr>
        <w:pStyle w:val="Normal"/>
        <w:spacing w:before="240" w:after="240"/>
        <w:rPr>
          <w:rFonts w:ascii="DejaVu Serif" w:hAnsi="DejaVu Serif"/>
        </w:rPr>
      </w:pPr>
      <w:r>
        <w:rPr>
          <w:rFonts w:eastAsia="Times New Roman" w:cs="Times New Roman" w:ascii="DejaVu Serif" w:hAnsi="DejaVu Serif"/>
          <w:b/>
          <w:i/>
          <w:sz w:val="24"/>
          <w:szCs w:val="24"/>
          <w:lang w:val="en-GB"/>
        </w:rPr>
        <w:t>Vi. Action plan</w:t>
      </w:r>
    </w:p>
    <w:p>
      <w:pPr>
        <w:pStyle w:val="Normal"/>
        <w:rPr>
          <w:rFonts w:ascii="DejaVu Serif" w:hAnsi="DejaVu Serif"/>
        </w:rPr>
      </w:pPr>
      <w:r>
        <w:rPr>
          <w:rFonts w:eastAsia="Times New Roman" w:cs="Times New Roman" w:ascii="DejaVu Serif" w:hAnsi="DejaVu Serif"/>
          <w:sz w:val="24"/>
          <w:szCs w:val="24"/>
          <w:lang w:val="en-GB"/>
        </w:rPr>
        <w:t>To improve my paraphrasing skills, I would take the initiating of reading a text thoroughly and then noting down my ideas without looking at the content. I will also work hard to use synonyms which match closely to the meaning of a word that had been used by the author. In addition to this, I would write my references in different patterns manually so that I can remember the differences between each referencing pattern.</w:t>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Titolo1"/>
        <w:rPr>
          <w:rFonts w:ascii="DejaVu Serif" w:hAnsi="DejaVu Serif"/>
        </w:rPr>
      </w:pPr>
      <w:bookmarkStart w:id="2" w:name="_Toc48594520"/>
      <w:bookmarkStart w:id="3" w:name="_d8pfrh4u0fqd"/>
      <w:bookmarkEnd w:id="3"/>
      <w:r>
        <w:rPr>
          <w:rFonts w:ascii="DejaVu Serif" w:hAnsi="DejaVu Serif"/>
          <w:lang w:val="en-GB"/>
        </w:rPr>
        <w:t>3.0 Kolb’s reflective model</w:t>
      </w:r>
      <w:bookmarkEnd w:id="2"/>
    </w:p>
    <w:p>
      <w:pPr>
        <w:pStyle w:val="Normal"/>
        <w:rPr>
          <w:rFonts w:ascii="DejaVu Serif" w:hAnsi="DejaVu Serif"/>
        </w:rPr>
      </w:pPr>
      <w:r>
        <w:rPr>
          <w:rFonts w:eastAsia="Times New Roman" w:cs="Times New Roman" w:ascii="DejaVu Serif" w:hAnsi="DejaVu Serif"/>
          <w:sz w:val="24"/>
          <w:szCs w:val="24"/>
          <w:lang w:val="en-GB"/>
        </w:rPr>
        <w:t>In the module, I had also learned topics related to cover letter and reflecting. The experience gained during these two topics in the module session would be highlighted with the help of Kolb’s model. The model provides the opportunity to an individual to reflect on his experiences by considering 4 steps which are explained below:</w:t>
      </w:r>
    </w:p>
    <w:p>
      <w:pPr>
        <w:pStyle w:val="Normal"/>
        <w:jc w:val="center"/>
        <w:rPr>
          <w:rFonts w:ascii="DejaVu Serif" w:hAnsi="DejaVu Serif"/>
        </w:rPr>
      </w:pPr>
      <w:r>
        <w:rPr/>
        <w:drawing>
          <wp:inline distT="0" distB="0" distL="0" distR="0">
            <wp:extent cx="3779520" cy="2202180"/>
            <wp:effectExtent l="0" t="0" r="0" b="0"/>
            <wp:docPr id="2" name="Picture 1" descr="Kolb's learning cycle and experiential learning styles. |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Kolb's learning cycle and experiential learning styles. | Download ..."/>
                    <pic:cNvPicPr>
                      <a:picLocks noChangeAspect="1" noChangeArrowheads="1"/>
                    </pic:cNvPicPr>
                  </pic:nvPicPr>
                  <pic:blipFill>
                    <a:blip r:embed="rId3"/>
                    <a:stretch>
                      <a:fillRect/>
                    </a:stretch>
                  </pic:blipFill>
                  <pic:spPr bwMode="auto">
                    <a:xfrm>
                      <a:off x="0" y="0"/>
                      <a:ext cx="3779520" cy="2202180"/>
                    </a:xfrm>
                    <a:prstGeom prst="rect">
                      <a:avLst/>
                    </a:prstGeom>
                  </pic:spPr>
                </pic:pic>
              </a:graphicData>
            </a:graphic>
          </wp:inline>
        </w:drawing>
      </w:r>
    </w:p>
    <w:p>
      <w:pPr>
        <w:pStyle w:val="Normal"/>
        <w:jc w:val="center"/>
        <w:rPr>
          <w:rFonts w:ascii="DejaVu Serif" w:hAnsi="DejaVu Serif"/>
        </w:rPr>
      </w:pPr>
      <w:r>
        <w:rPr>
          <w:rFonts w:eastAsia="Times New Roman" w:cs="Times New Roman" w:ascii="DejaVu Serif" w:hAnsi="DejaVu Serif"/>
          <w:b/>
          <w:bCs/>
          <w:sz w:val="24"/>
          <w:szCs w:val="24"/>
          <w:lang w:val="en-GB"/>
        </w:rPr>
        <w:t>Figure 2: Kolb’s reflective model</w:t>
      </w:r>
    </w:p>
    <w:p>
      <w:pPr>
        <w:pStyle w:val="Normal"/>
        <w:jc w:val="center"/>
        <w:rPr>
          <w:rFonts w:ascii="DejaVu Serif" w:hAnsi="DejaVu Serif"/>
        </w:rPr>
      </w:pPr>
      <w:r>
        <w:rPr>
          <w:rFonts w:eastAsia="Times New Roman" w:cs="Times New Roman" w:ascii="DejaVu Serif" w:hAnsi="DejaVu Serif"/>
          <w:sz w:val="24"/>
          <w:szCs w:val="24"/>
          <w:lang w:val="en-GB"/>
        </w:rPr>
        <w:t>(Source:</w:t>
      </w:r>
      <w:r>
        <w:rPr>
          <w:rFonts w:cs="Times New Roman" w:ascii="DejaVu Serif" w:hAnsi="DejaVu Serif"/>
          <w:color w:val="222222"/>
          <w:sz w:val="24"/>
          <w:szCs w:val="24"/>
          <w:shd w:fill="FFFFFF" w:val="clear"/>
        </w:rPr>
        <w:t xml:space="preserve"> Fewster-Thuente and Batteson, 2018</w:t>
      </w:r>
      <w:r>
        <w:rPr>
          <w:rFonts w:eastAsia="Times New Roman" w:cs="Times New Roman" w:ascii="DejaVu Serif" w:hAnsi="DejaVu Serif"/>
          <w:sz w:val="24"/>
          <w:szCs w:val="24"/>
          <w:lang w:val="en-GB"/>
        </w:rPr>
        <w:t>)</w:t>
      </w:r>
    </w:p>
    <w:p>
      <w:pPr>
        <w:pStyle w:val="Normal"/>
        <w:jc w:val="center"/>
        <w:rPr>
          <w:rFonts w:ascii="DejaVu Serif" w:hAnsi="DejaVu Serif"/>
        </w:rPr>
      </w:pPr>
      <w:r>
        <w:rPr>
          <w:rFonts w:ascii="DejaVu Serif" w:hAnsi="DejaVu Serif"/>
        </w:rPr>
      </w:r>
    </w:p>
    <w:p>
      <w:pPr>
        <w:pStyle w:val="Normal"/>
        <w:jc w:val="center"/>
        <w:rPr>
          <w:rFonts w:ascii="DejaVu Serif" w:hAnsi="DejaVu Serif"/>
        </w:rPr>
      </w:pPr>
      <w:r>
        <w:rPr>
          <w:rFonts w:ascii="DejaVu Serif" w:hAnsi="DejaVu Serif"/>
        </w:rPr>
      </w:r>
    </w:p>
    <w:p>
      <w:pPr>
        <w:pStyle w:val="Normal"/>
        <w:rPr>
          <w:rFonts w:ascii="DejaVu Serif" w:hAnsi="DejaVu Serif"/>
        </w:rPr>
      </w:pPr>
      <w:r>
        <w:rPr>
          <w:rFonts w:eastAsia="Times New Roman" w:cs="Times New Roman" w:ascii="DejaVu Serif" w:hAnsi="DejaVu Serif"/>
          <w:sz w:val="24"/>
          <w:szCs w:val="24"/>
          <w:lang w:val="en-GB"/>
        </w:rPr>
        <w:br/>
      </w:r>
      <w:r>
        <w:rPr>
          <w:rFonts w:eastAsia="Times New Roman" w:cs="Times New Roman" w:ascii="DejaVu Serif" w:hAnsi="DejaVu Serif"/>
          <w:b/>
          <w:i/>
          <w:sz w:val="24"/>
          <w:szCs w:val="24"/>
          <w:lang w:val="en-GB"/>
        </w:rPr>
        <w:t xml:space="preserve">I. Concrete conceptualisation </w:t>
      </w:r>
    </w:p>
    <w:p>
      <w:pPr>
        <w:pStyle w:val="Normal"/>
        <w:rPr>
          <w:rFonts w:ascii="DejaVu Serif" w:hAnsi="DejaVu Serif"/>
        </w:rPr>
      </w:pPr>
      <w:r>
        <w:rPr>
          <w:rFonts w:eastAsia="Times New Roman" w:cs="Times New Roman" w:ascii="DejaVu Serif" w:hAnsi="DejaVu Serif"/>
          <w:sz w:val="24"/>
          <w:szCs w:val="24"/>
          <w:lang w:val="en-GB"/>
        </w:rPr>
        <w:t xml:space="preserve">The module has provided me with the opportunity to understand that along with cv, it is vital to have a cover letter. Until before, I considered that for applying for a job a cv is sufficient. However, by gathering knowledge about cover letters in the module, it has been possible on my part to understand its significance. Conferring to the study led by </w:t>
      </w:r>
      <w:r>
        <w:rPr>
          <w:rFonts w:cs="Times New Roman" w:ascii="DejaVu Serif" w:hAnsi="DejaVu Serif"/>
          <w:color w:val="222222"/>
          <w:sz w:val="24"/>
          <w:szCs w:val="24"/>
          <w:shd w:fill="FFFFFF" w:val="clear"/>
        </w:rPr>
        <w:t>Bicknell-Holmes</w:t>
      </w:r>
      <w:r>
        <w:rPr>
          <w:rFonts w:eastAsia="Times New Roman" w:cs="Times New Roman" w:ascii="DejaVu Serif" w:hAnsi="DejaVu Serif"/>
          <w:sz w:val="24"/>
          <w:szCs w:val="24"/>
          <w:lang w:val="en-GB"/>
        </w:rPr>
        <w:t xml:space="preserve"> (2016), a cover letter is a document that reflects the reason for which an individual is most suitable for that post. In a cover letter, a person highlights a combination of his experiences along with skills that suit the job description that has been advertised. As a result of which, it becomes possible for a job seeker to convey the benefits that the organisation would gain by his experience and skills. </w:t>
      </w:r>
    </w:p>
    <w:p>
      <w:pPr>
        <w:pStyle w:val="Normal"/>
        <w:rPr>
          <w:rFonts w:ascii="DejaVu Serif" w:hAnsi="DejaVu Serif"/>
        </w:rPr>
      </w:pPr>
      <w:r>
        <w:rPr>
          <w:rFonts w:eastAsia="Times New Roman" w:cs="Times New Roman" w:ascii="DejaVu Serif" w:hAnsi="DejaVu Serif"/>
          <w:sz w:val="24"/>
          <w:szCs w:val="24"/>
          <w:lang w:val="en-GB"/>
        </w:rPr>
        <w:t xml:space="preserve">Along with this, the other crucial topic that I had learnt in the module was related to reflective writing or reflecting. As suggested by </w:t>
      </w:r>
      <w:r>
        <w:rPr>
          <w:rFonts w:cs="Times New Roman" w:ascii="DejaVu Serif" w:hAnsi="DejaVu Serif"/>
          <w:color w:val="222222"/>
          <w:sz w:val="24"/>
          <w:szCs w:val="24"/>
          <w:shd w:fill="FFFFFF" w:val="clear"/>
        </w:rPr>
        <w:t>Gibson</w:t>
      </w:r>
      <w:r>
        <w:rPr>
          <w:rFonts w:eastAsia="Times New Roman" w:cs="Times New Roman" w:ascii="DejaVu Serif" w:hAnsi="DejaVu Serif"/>
          <w:sz w:val="24"/>
          <w:szCs w:val="24"/>
          <w:lang w:val="en-GB"/>
        </w:rPr>
        <w:t xml:space="preserve"> </w:t>
      </w:r>
      <w:r>
        <w:rPr>
          <w:rFonts w:eastAsia="Times New Roman" w:cs="Times New Roman" w:ascii="DejaVu Serif" w:hAnsi="DejaVu Serif"/>
          <w:i/>
          <w:iCs/>
          <w:sz w:val="24"/>
          <w:szCs w:val="24"/>
          <w:lang w:val="en-GB"/>
        </w:rPr>
        <w:t xml:space="preserve">et al. </w:t>
      </w:r>
      <w:r>
        <w:rPr>
          <w:rFonts w:eastAsia="Times New Roman" w:cs="Times New Roman" w:ascii="DejaVu Serif" w:hAnsi="DejaVu Serif"/>
          <w:sz w:val="24"/>
          <w:szCs w:val="24"/>
          <w:lang w:val="en-GB"/>
        </w:rPr>
        <w:t>(2017), reflecting is the process that aids an individual to recall the actions that had been carried out previously. This provides the opportunity to understand the areas that could have been done better and the way the improvement could be brought in.it was my undertaking this topic, I was able to know about the process of reflection and started using it.</w:t>
      </w:r>
    </w:p>
    <w:p>
      <w:pPr>
        <w:pStyle w:val="Normal"/>
        <w:spacing w:before="240" w:after="240"/>
        <w:rPr>
          <w:rFonts w:ascii="DejaVu Serif" w:hAnsi="DejaVu Serif"/>
        </w:rPr>
      </w:pPr>
      <w:r>
        <w:rPr>
          <w:rFonts w:eastAsia="Times New Roman" w:cs="Times New Roman" w:ascii="DejaVu Serif" w:hAnsi="DejaVu Serif"/>
          <w:b/>
          <w:i/>
          <w:sz w:val="24"/>
          <w:szCs w:val="24"/>
          <w:lang w:val="en-GB"/>
        </w:rPr>
        <w:t>II. Reflective observation</w:t>
      </w:r>
    </w:p>
    <w:p>
      <w:pPr>
        <w:pStyle w:val="Normal"/>
        <w:rPr>
          <w:rFonts w:ascii="DejaVu Serif" w:hAnsi="DejaVu Serif"/>
        </w:rPr>
      </w:pPr>
      <w:r>
        <w:rPr>
          <w:rFonts w:eastAsia="Times New Roman" w:cs="Times New Roman" w:ascii="DejaVu Serif" w:hAnsi="DejaVu Serif"/>
          <w:sz w:val="24"/>
          <w:szCs w:val="24"/>
          <w:lang w:val="en-GB"/>
        </w:rPr>
        <w:t>After undertaking a few lessons on the cover letter, I had taken up the initiative to search for a job advertisement related to my subject area. Followed by this, I had tried to write a cover letter that would convey the synergism of my skill with the requirements of the job advertisement. Initially, I struggled to note down my skills in a logical way.</w:t>
      </w:r>
    </w:p>
    <w:p>
      <w:pPr>
        <w:pStyle w:val="Normal"/>
        <w:rPr>
          <w:rFonts w:ascii="DejaVu Serif" w:hAnsi="DejaVu Serif"/>
        </w:rPr>
      </w:pPr>
      <w:r>
        <w:rPr>
          <w:rFonts w:eastAsia="Times New Roman" w:cs="Times New Roman" w:ascii="DejaVu Serif" w:hAnsi="DejaVu Serif"/>
          <w:sz w:val="24"/>
          <w:szCs w:val="24"/>
          <w:lang w:val="en-GB"/>
        </w:rPr>
        <w:t xml:space="preserve">As a result of which, it became quite difficult to portray my skills exactly as the requirement of the job. In this entire process, I also tried to utilise the lessons that I had learnt from the topic of reflective writing. This is because as I was writing the cover letter, I kept on recalling what I had been taught in the module. Although there is a scope of improvement, yet I was able to make a draft of the cover letter. As opined by </w:t>
      </w:r>
      <w:r>
        <w:rPr>
          <w:rFonts w:cs="Times New Roman" w:ascii="DejaVu Serif" w:hAnsi="DejaVu Serif"/>
          <w:color w:val="222222"/>
          <w:sz w:val="24"/>
          <w:szCs w:val="24"/>
          <w:shd w:fill="FFFFFF" w:val="clear"/>
        </w:rPr>
        <w:t>Tsingos-Lucas</w:t>
      </w:r>
      <w:r>
        <w:rPr>
          <w:rFonts w:eastAsia="Times New Roman" w:cs="Times New Roman" w:ascii="DejaVu Serif" w:hAnsi="DejaVu Serif"/>
          <w:sz w:val="24"/>
          <w:szCs w:val="24"/>
          <w:lang w:val="en-GB"/>
        </w:rPr>
        <w:t xml:space="preserve"> </w:t>
      </w:r>
      <w:r>
        <w:rPr>
          <w:rFonts w:eastAsia="Times New Roman" w:cs="Times New Roman" w:ascii="DejaVu Serif" w:hAnsi="DejaVu Serif"/>
          <w:i/>
          <w:iCs/>
          <w:sz w:val="24"/>
          <w:szCs w:val="24"/>
          <w:lang w:val="en-GB"/>
        </w:rPr>
        <w:t xml:space="preserve">et al. </w:t>
      </w:r>
      <w:r>
        <w:rPr>
          <w:rFonts w:eastAsia="Times New Roman" w:cs="Times New Roman" w:ascii="DejaVu Serif" w:hAnsi="DejaVu Serif"/>
          <w:sz w:val="24"/>
          <w:szCs w:val="24"/>
          <w:lang w:val="en-GB"/>
        </w:rPr>
        <w:t>(2017), reflective writing is a process that helps to translate theoretical learning into two actions in the future. Therefore, as I was writing the cover letter, I was translating the knowledge that I had gained previously in the class into practice. However, overall, I had a feeling of nervousness when I was carrying out the task, as I was not sure whether I was going on the right track or not.</w:t>
      </w:r>
    </w:p>
    <w:p>
      <w:pPr>
        <w:pStyle w:val="Normal"/>
        <w:rPr>
          <w:rFonts w:eastAsia="Times New Roman" w:cs="Times New Roman"/>
          <w:sz w:val="24"/>
          <w:szCs w:val="24"/>
          <w:lang w:val="en-GB"/>
        </w:rPr>
      </w:pPr>
      <w:r>
        <w:rPr>
          <w:rFonts w:eastAsia="Times New Roman" w:cs="Times New Roman"/>
          <w:sz w:val="24"/>
          <w:szCs w:val="24"/>
          <w:lang w:val="en-GB"/>
        </w:rPr>
      </w:r>
    </w:p>
    <w:p>
      <w:pPr>
        <w:pStyle w:val="Normal"/>
        <w:rPr>
          <w:rFonts w:eastAsia="Times New Roman" w:cs="Times New Roman"/>
          <w:sz w:val="24"/>
          <w:szCs w:val="24"/>
          <w:lang w:val="en-GB"/>
        </w:rPr>
      </w:pPr>
      <w:r>
        <w:rPr>
          <w:rFonts w:eastAsia="Times New Roman" w:cs="Times New Roman"/>
          <w:sz w:val="24"/>
          <w:szCs w:val="24"/>
          <w:lang w:val="en-GB"/>
        </w:rPr>
      </w:r>
    </w:p>
    <w:p>
      <w:pPr>
        <w:pStyle w:val="Normal"/>
        <w:spacing w:before="240" w:after="240"/>
        <w:rPr>
          <w:rFonts w:ascii="DejaVu Serif" w:hAnsi="DejaVu Serif"/>
        </w:rPr>
      </w:pPr>
      <w:r>
        <w:rPr>
          <w:rFonts w:eastAsia="Times New Roman" w:cs="Times New Roman" w:ascii="DejaVu Serif" w:hAnsi="DejaVu Serif"/>
          <w:b/>
          <w:i/>
          <w:sz w:val="24"/>
          <w:szCs w:val="24"/>
          <w:lang w:val="en-GB"/>
        </w:rPr>
        <w:t>III. Abstract conceptualisation</w:t>
      </w:r>
    </w:p>
    <w:p>
      <w:pPr>
        <w:pStyle w:val="Normal"/>
        <w:rPr>
          <w:rFonts w:ascii="DejaVu Serif" w:hAnsi="DejaVu Serif"/>
        </w:rPr>
      </w:pPr>
      <w:r>
        <w:rPr>
          <w:rFonts w:eastAsia="Times New Roman" w:cs="Times New Roman" w:ascii="DejaVu Serif" w:hAnsi="DejaVu Serif"/>
          <w:sz w:val="24"/>
          <w:szCs w:val="24"/>
          <w:lang w:val="en-GB"/>
        </w:rPr>
        <w:t xml:space="preserve">Kolb's cycle had provided me with the opportunity to revise the learning that I had gained during the module with respect to cover letter and reflective writing. In addition to this, I was able to realise that reflecting after every action helps to remember the activity in a much better way. However, if we do not recall or reflect the activity then with a gradual passage of time, we will lose our memories related to the activity. As per the study carried out by </w:t>
      </w:r>
      <w:r>
        <w:rPr>
          <w:rFonts w:cs="Times New Roman" w:ascii="DejaVu Serif" w:hAnsi="DejaVu Serif"/>
          <w:color w:val="222222"/>
          <w:sz w:val="24"/>
          <w:szCs w:val="24"/>
          <w:shd w:fill="FFFFFF" w:val="clear"/>
        </w:rPr>
        <w:t>Tsingos-Lucas</w:t>
      </w:r>
      <w:r>
        <w:rPr>
          <w:rFonts w:eastAsia="Times New Roman" w:cs="Times New Roman" w:ascii="DejaVu Serif" w:hAnsi="DejaVu Serif"/>
          <w:sz w:val="24"/>
          <w:szCs w:val="24"/>
          <w:lang w:val="en-GB"/>
        </w:rPr>
        <w:t xml:space="preserve"> </w:t>
      </w:r>
      <w:r>
        <w:rPr>
          <w:rFonts w:eastAsia="Times New Roman" w:cs="Times New Roman" w:ascii="DejaVu Serif" w:hAnsi="DejaVu Serif"/>
          <w:i/>
          <w:iCs/>
          <w:sz w:val="24"/>
          <w:szCs w:val="24"/>
          <w:lang w:val="en-GB"/>
        </w:rPr>
        <w:t xml:space="preserve">et al. </w:t>
      </w:r>
      <w:r>
        <w:rPr>
          <w:rFonts w:eastAsia="Times New Roman" w:cs="Times New Roman" w:ascii="DejaVu Serif" w:hAnsi="DejaVu Serif"/>
          <w:sz w:val="24"/>
          <w:szCs w:val="24"/>
          <w:lang w:val="en-GB"/>
        </w:rPr>
        <w:t>(2017), reflective writing is one of the most crucial methods of becoming aware of the areas that require further development. Therefore, by reflecting on my class related to cover letter, I was able to understand that I need to analyse my skills and weaknesses. This is crucial for taking the necessary steps to convert those weaknesses into skills.</w:t>
      </w:r>
    </w:p>
    <w:p>
      <w:pPr>
        <w:pStyle w:val="Normal"/>
        <w:spacing w:before="240" w:after="240"/>
        <w:rPr>
          <w:rFonts w:ascii="DejaVu Serif" w:hAnsi="DejaVu Serif"/>
        </w:rPr>
      </w:pPr>
      <w:r>
        <w:rPr>
          <w:rFonts w:eastAsia="Times New Roman" w:cs="Times New Roman" w:ascii="DejaVu Serif" w:hAnsi="DejaVu Serif"/>
          <w:b/>
          <w:i/>
          <w:sz w:val="24"/>
          <w:szCs w:val="24"/>
          <w:lang w:val="en-GB"/>
        </w:rPr>
        <w:t xml:space="preserve">IV. Active experimentation </w:t>
      </w:r>
    </w:p>
    <w:p>
      <w:pPr>
        <w:pStyle w:val="Normal"/>
        <w:rPr>
          <w:rFonts w:ascii="DejaVu Serif" w:hAnsi="DejaVu Serif"/>
        </w:rPr>
      </w:pPr>
      <w:r>
        <w:rPr>
          <w:rFonts w:eastAsia="Times New Roman" w:cs="Times New Roman" w:ascii="DejaVu Serif" w:hAnsi="DejaVu Serif"/>
          <w:sz w:val="24"/>
          <w:szCs w:val="24"/>
          <w:lang w:val="en-GB"/>
        </w:rPr>
        <w:t xml:space="preserve">The application of Kolb's reflective model has helped me to understand that by not carrying out the process of reflection regularly I have erased many of my memories related to my previous experiences. Therefore, in the future after every action, I would take out a specific time to reflect on the experiences that I had gained via those actions. This, in turn, will help me to identify my personal and professional weaknesses. As a result of which, it would be possible on my part to take necessary actions for overcoming those limitations. In addition to this, for cover letters, I would be practising writing them by considering different job advertisements.  </w:t>
      </w:r>
    </w:p>
    <w:p>
      <w:pPr>
        <w:pStyle w:val="Titolo1"/>
        <w:rPr>
          <w:rFonts w:ascii="DejaVu Serif" w:hAnsi="DejaVu Serif"/>
        </w:rPr>
      </w:pPr>
      <w:bookmarkStart w:id="4" w:name="_Toc48594521"/>
      <w:bookmarkStart w:id="5" w:name="_kn7qz566b909"/>
      <w:bookmarkEnd w:id="5"/>
      <w:r>
        <w:rPr>
          <w:rFonts w:ascii="DejaVu Serif" w:hAnsi="DejaVu Serif"/>
          <w:lang w:val="en-GB"/>
        </w:rPr>
        <w:t>4.0 Conclusion</w:t>
      </w:r>
      <w:bookmarkEnd w:id="4"/>
    </w:p>
    <w:p>
      <w:pPr>
        <w:pStyle w:val="Normal"/>
        <w:rPr>
          <w:rFonts w:ascii="DejaVu Serif" w:hAnsi="DejaVu Serif"/>
        </w:rPr>
      </w:pPr>
      <w:r>
        <w:rPr>
          <w:rFonts w:eastAsia="Times New Roman" w:cs="Times New Roman" w:ascii="DejaVu Serif" w:hAnsi="DejaVu Serif"/>
          <w:sz w:val="24"/>
          <w:szCs w:val="24"/>
          <w:lang w:val="en-GB"/>
        </w:rPr>
        <w:t>The application of reflective models like Gibbs reflective model and Kolb's reflective model had helped me to understand the experiences that I had gained by being a part of classes related to paraphrasing, referencing, cover letter and reflecting.it was also possible on my part to understand the areas of development and accordingly take necessary action so that those weaknesses could be mitigated. Along with this, I also became aware of the significance of every topic that I had learnt during the module.</w:t>
      </w:r>
    </w:p>
    <w:p>
      <w:pPr>
        <w:pStyle w:val="Normal"/>
        <w:rPr>
          <w:rFonts w:eastAsia="Times New Roman" w:cs="Times New Roman"/>
          <w:sz w:val="24"/>
          <w:szCs w:val="24"/>
          <w:lang w:val="en-GB"/>
        </w:rPr>
      </w:pPr>
      <w:r>
        <w:rPr>
          <w:rFonts w:eastAsia="Times New Roman" w:cs="Times New Roman"/>
          <w:sz w:val="24"/>
          <w:szCs w:val="24"/>
          <w:lang w:val="en-GB"/>
        </w:rPr>
      </w:r>
    </w:p>
    <w:p>
      <w:pPr>
        <w:pStyle w:val="Titolo1"/>
        <w:rPr>
          <w:rFonts w:ascii="DejaVu Serif" w:hAnsi="DejaVu Serif"/>
        </w:rPr>
      </w:pPr>
      <w:bookmarkStart w:id="6" w:name="_Toc48594522"/>
      <w:r>
        <w:rPr>
          <w:rFonts w:ascii="DejaVu Serif" w:hAnsi="DejaVu Serif"/>
          <w:lang w:val="en-GB"/>
        </w:rPr>
        <w:t>5.0 Reference list</w:t>
      </w:r>
      <w:bookmarkEnd w:id="6"/>
    </w:p>
    <w:p>
      <w:pPr>
        <w:pStyle w:val="Normal"/>
        <w:rPr>
          <w:rFonts w:ascii="DejaVu Serif" w:hAnsi="DejaVu Serif"/>
        </w:rPr>
      </w:pPr>
      <w:r>
        <w:rPr>
          <w:rFonts w:cs="Times New Roman" w:ascii="DejaVu Serif" w:hAnsi="DejaVu Serif"/>
          <w:sz w:val="24"/>
          <w:szCs w:val="24"/>
          <w:shd w:fill="FFFFFF" w:val="clear"/>
        </w:rPr>
        <w:t>Bennett, D., Power, A., Thomson, C., Mason, B. and Bartleet, B.L., 2016. Reflection for learning, learning for reflection: Developing Indigenous competencies in higher education. </w:t>
      </w:r>
      <w:r>
        <w:rPr>
          <w:rFonts w:cs="Times New Roman" w:ascii="DejaVu Serif" w:hAnsi="DejaVu Serif"/>
          <w:i/>
          <w:iCs/>
          <w:sz w:val="24"/>
          <w:szCs w:val="24"/>
          <w:shd w:fill="FFFFFF" w:val="clear"/>
        </w:rPr>
        <w:t>Journal of University teaching &amp; learning practice</w:t>
      </w:r>
      <w:r>
        <w:rPr>
          <w:rFonts w:cs="Times New Roman" w:ascii="DejaVu Serif" w:hAnsi="DejaVu Serif"/>
          <w:sz w:val="24"/>
          <w:szCs w:val="24"/>
          <w:shd w:fill="FFFFFF" w:val="clear"/>
        </w:rPr>
        <w:t>, </w:t>
      </w:r>
      <w:r>
        <w:rPr>
          <w:rFonts w:cs="Times New Roman" w:ascii="DejaVu Serif" w:hAnsi="DejaVu Serif"/>
          <w:i/>
          <w:iCs/>
          <w:sz w:val="24"/>
          <w:szCs w:val="24"/>
          <w:shd w:fill="FFFFFF" w:val="clear"/>
        </w:rPr>
        <w:t>13</w:t>
      </w:r>
      <w:r>
        <w:rPr>
          <w:rFonts w:cs="Times New Roman" w:ascii="DejaVu Serif" w:hAnsi="DejaVu Serif"/>
          <w:sz w:val="24"/>
          <w:szCs w:val="24"/>
          <w:shd w:fill="FFFFFF" w:val="clear"/>
        </w:rPr>
        <w:t>(2), p.7.</w:t>
      </w:r>
    </w:p>
    <w:p>
      <w:pPr>
        <w:pStyle w:val="Normal"/>
        <w:rPr>
          <w:rFonts w:ascii="DejaVu Serif" w:hAnsi="DejaVu Serif"/>
        </w:rPr>
      </w:pPr>
      <w:r>
        <w:rPr>
          <w:rFonts w:cs="Times New Roman" w:ascii="DejaVu Serif" w:hAnsi="DejaVu Serif"/>
          <w:sz w:val="24"/>
          <w:szCs w:val="24"/>
          <w:shd w:fill="FFFFFF" w:val="clear"/>
        </w:rPr>
        <w:t>Bicknell-Holmes, T., 2016. The Mentor: the all Important Application Letter. </w:t>
      </w:r>
      <w:r>
        <w:rPr>
          <w:rFonts w:cs="Times New Roman" w:ascii="DejaVu Serif" w:hAnsi="DejaVu Serif"/>
          <w:i/>
          <w:iCs/>
          <w:sz w:val="24"/>
          <w:szCs w:val="24"/>
          <w:shd w:fill="FFFFFF" w:val="clear"/>
        </w:rPr>
        <w:t>PNLA Quarterly</w:t>
      </w:r>
      <w:r>
        <w:rPr>
          <w:rFonts w:cs="Times New Roman" w:ascii="DejaVu Serif" w:hAnsi="DejaVu Serif"/>
          <w:sz w:val="24"/>
          <w:szCs w:val="24"/>
          <w:shd w:fill="FFFFFF" w:val="clear"/>
        </w:rPr>
        <w:t>, </w:t>
      </w:r>
      <w:r>
        <w:rPr>
          <w:rFonts w:cs="Times New Roman" w:ascii="DejaVu Serif" w:hAnsi="DejaVu Serif"/>
          <w:i/>
          <w:iCs/>
          <w:sz w:val="24"/>
          <w:szCs w:val="24"/>
          <w:shd w:fill="FFFFFF" w:val="clear"/>
        </w:rPr>
        <w:t>80</w:t>
      </w:r>
      <w:r>
        <w:rPr>
          <w:rFonts w:cs="Times New Roman" w:ascii="DejaVu Serif" w:hAnsi="DejaVu Serif"/>
          <w:sz w:val="24"/>
          <w:szCs w:val="24"/>
          <w:shd w:fill="FFFFFF" w:val="clear"/>
        </w:rPr>
        <w:t>(3).</w:t>
      </w:r>
    </w:p>
    <w:p>
      <w:pPr>
        <w:pStyle w:val="Normal"/>
        <w:rPr>
          <w:rFonts w:ascii="DejaVu Serif" w:hAnsi="DejaVu Serif"/>
        </w:rPr>
      </w:pPr>
      <w:r>
        <w:rPr>
          <w:rFonts w:cs="Times New Roman" w:ascii="DejaVu Serif" w:hAnsi="DejaVu Serif"/>
          <w:sz w:val="24"/>
          <w:szCs w:val="24"/>
          <w:shd w:fill="FFFFFF" w:val="clear"/>
        </w:rPr>
        <w:t>Fewster-Thuente, L. and Batteson, T.J., 2018. Kolb's Experiential Learning Theory as a theoretical underpinning for interprofessional education. </w:t>
      </w:r>
      <w:r>
        <w:rPr>
          <w:rFonts w:cs="Times New Roman" w:ascii="DejaVu Serif" w:hAnsi="DejaVu Serif"/>
          <w:i/>
          <w:iCs/>
          <w:sz w:val="24"/>
          <w:szCs w:val="24"/>
          <w:shd w:fill="FFFFFF" w:val="clear"/>
        </w:rPr>
        <w:t>Journal of allied health</w:t>
      </w:r>
      <w:r>
        <w:rPr>
          <w:rFonts w:cs="Times New Roman" w:ascii="DejaVu Serif" w:hAnsi="DejaVu Serif"/>
          <w:sz w:val="24"/>
          <w:szCs w:val="24"/>
          <w:shd w:fill="FFFFFF" w:val="clear"/>
        </w:rPr>
        <w:t>, </w:t>
      </w:r>
      <w:r>
        <w:rPr>
          <w:rFonts w:cs="Times New Roman" w:ascii="DejaVu Serif" w:hAnsi="DejaVu Serif"/>
          <w:i/>
          <w:iCs/>
          <w:sz w:val="24"/>
          <w:szCs w:val="24"/>
          <w:shd w:fill="FFFFFF" w:val="clear"/>
        </w:rPr>
        <w:t>47</w:t>
      </w:r>
      <w:r>
        <w:rPr>
          <w:rFonts w:cs="Times New Roman" w:ascii="DejaVu Serif" w:hAnsi="DejaVu Serif"/>
          <w:sz w:val="24"/>
          <w:szCs w:val="24"/>
          <w:shd w:fill="FFFFFF" w:val="clear"/>
        </w:rPr>
        <w:t>(1), pp.3-8.</w:t>
      </w:r>
    </w:p>
    <w:p>
      <w:pPr>
        <w:pStyle w:val="Normal"/>
        <w:rPr>
          <w:rFonts w:ascii="DejaVu Serif" w:hAnsi="DejaVu Serif"/>
        </w:rPr>
      </w:pPr>
      <w:r>
        <w:rPr>
          <w:rFonts w:cs="Times New Roman" w:ascii="DejaVu Serif" w:hAnsi="DejaVu Serif"/>
          <w:sz w:val="24"/>
          <w:szCs w:val="24"/>
          <w:shd w:fill="FFFFFF" w:val="clear"/>
        </w:rPr>
        <w:t>Gibson, A., Aitken, A., Sándor, Á., Buckingham Shum, S., Tsingos-Lucas, C. and Knight, S., 2017, March. Reflective writing analytics for actionable feedback. In </w:t>
      </w:r>
      <w:r>
        <w:rPr>
          <w:rFonts w:cs="Times New Roman" w:ascii="DejaVu Serif" w:hAnsi="DejaVu Serif"/>
          <w:i/>
          <w:iCs/>
          <w:sz w:val="24"/>
          <w:szCs w:val="24"/>
          <w:shd w:fill="FFFFFF" w:val="clear"/>
        </w:rPr>
        <w:t>Proceedings of the seventh international learning analytics &amp; knowledge conference</w:t>
      </w:r>
      <w:r>
        <w:rPr>
          <w:rFonts w:cs="Times New Roman" w:ascii="DejaVu Serif" w:hAnsi="DejaVu Serif"/>
          <w:sz w:val="24"/>
          <w:szCs w:val="24"/>
          <w:shd w:fill="FFFFFF" w:val="clear"/>
        </w:rPr>
        <w:t> (pp. 153-162).</w:t>
      </w:r>
    </w:p>
    <w:p>
      <w:pPr>
        <w:pStyle w:val="Normal"/>
        <w:rPr>
          <w:rFonts w:ascii="DejaVu Serif" w:hAnsi="DejaVu Serif"/>
        </w:rPr>
      </w:pPr>
      <w:r>
        <w:rPr>
          <w:rFonts w:cs="Times New Roman" w:ascii="DejaVu Serif" w:hAnsi="DejaVu Serif"/>
          <w:sz w:val="24"/>
          <w:szCs w:val="24"/>
          <w:shd w:fill="FFFFFF" w:val="clear"/>
        </w:rPr>
        <w:t>Guo, H., Pasunuru, R. and Bansal, M., 2018. Dynamic multi-level multi-task learning for sentence simplification. </w:t>
      </w:r>
      <w:r>
        <w:rPr>
          <w:rFonts w:cs="Times New Roman" w:ascii="DejaVu Serif" w:hAnsi="DejaVu Serif"/>
          <w:i/>
          <w:iCs/>
          <w:sz w:val="24"/>
          <w:szCs w:val="24"/>
          <w:shd w:fill="FFFFFF" w:val="clear"/>
        </w:rPr>
        <w:t>arXiv preprint arXiv:1806.07304</w:t>
      </w:r>
      <w:r>
        <w:rPr>
          <w:rFonts w:cs="Times New Roman" w:ascii="DejaVu Serif" w:hAnsi="DejaVu Serif"/>
          <w:sz w:val="24"/>
          <w:szCs w:val="24"/>
          <w:shd w:fill="FFFFFF" w:val="clear"/>
        </w:rPr>
        <w:t>.</w:t>
      </w:r>
    </w:p>
    <w:p>
      <w:pPr>
        <w:pStyle w:val="Normal"/>
        <w:rPr>
          <w:rFonts w:ascii="DejaVu Serif" w:hAnsi="DejaVu Serif"/>
        </w:rPr>
      </w:pPr>
      <w:r>
        <w:rPr>
          <w:rFonts w:cs="Times New Roman" w:ascii="DejaVu Serif" w:hAnsi="DejaVu Serif"/>
          <w:sz w:val="24"/>
          <w:szCs w:val="24"/>
          <w:shd w:fill="FFFFFF" w:val="clear"/>
        </w:rPr>
        <w:t>Marsh, J.D. and Campion, J., 2018. Academic integrity and referencing: Whose responsibility is it?. </w:t>
      </w:r>
      <w:r>
        <w:rPr>
          <w:rFonts w:cs="Times New Roman" w:ascii="DejaVu Serif" w:hAnsi="DejaVu Serif"/>
          <w:i/>
          <w:iCs/>
          <w:sz w:val="24"/>
          <w:szCs w:val="24"/>
          <w:shd w:fill="FFFFFF" w:val="clear"/>
        </w:rPr>
        <w:t>Journal of Academic Language and Learning</w:t>
      </w:r>
      <w:r>
        <w:rPr>
          <w:rFonts w:cs="Times New Roman" w:ascii="DejaVu Serif" w:hAnsi="DejaVu Serif"/>
          <w:sz w:val="24"/>
          <w:szCs w:val="24"/>
          <w:shd w:fill="FFFFFF" w:val="clear"/>
        </w:rPr>
        <w:t>, </w:t>
      </w:r>
      <w:r>
        <w:rPr>
          <w:rFonts w:cs="Times New Roman" w:ascii="DejaVu Serif" w:hAnsi="DejaVu Serif"/>
          <w:i/>
          <w:iCs/>
          <w:sz w:val="24"/>
          <w:szCs w:val="24"/>
          <w:shd w:fill="FFFFFF" w:val="clear"/>
        </w:rPr>
        <w:t>12</w:t>
      </w:r>
      <w:r>
        <w:rPr>
          <w:rFonts w:cs="Times New Roman" w:ascii="DejaVu Serif" w:hAnsi="DejaVu Serif"/>
          <w:sz w:val="24"/>
          <w:szCs w:val="24"/>
          <w:shd w:fill="FFFFFF" w:val="clear"/>
        </w:rPr>
        <w:t>(1), pp.A213-A226.</w:t>
      </w:r>
    </w:p>
    <w:p>
      <w:pPr>
        <w:pStyle w:val="Normal"/>
        <w:rPr>
          <w:rFonts w:ascii="DejaVu Serif" w:hAnsi="DejaVu Serif"/>
        </w:rPr>
      </w:pPr>
      <w:r>
        <w:rPr>
          <w:rFonts w:cs="Times New Roman" w:ascii="DejaVu Serif" w:hAnsi="DejaVu Serif"/>
          <w:sz w:val="24"/>
          <w:szCs w:val="24"/>
          <w:shd w:fill="FFFFFF" w:val="clear"/>
        </w:rPr>
        <w:t>Martin, C., 2016. Learning and Teaching: Referencing and Plagiarism: UOS MHRA.</w:t>
      </w:r>
    </w:p>
    <w:p>
      <w:pPr>
        <w:pStyle w:val="Normal"/>
        <w:rPr>
          <w:rFonts w:ascii="DejaVu Serif" w:hAnsi="DejaVu Serif"/>
        </w:rPr>
      </w:pPr>
      <w:r>
        <w:rPr>
          <w:rFonts w:cs="Times New Roman" w:ascii="DejaVu Serif" w:hAnsi="DejaVu Serif"/>
          <w:sz w:val="24"/>
          <w:szCs w:val="24"/>
          <w:shd w:fill="FFFFFF" w:val="clear"/>
        </w:rPr>
        <w:t>Siddique, A.B., Oymak, S. and Hristidis, V., 2020. Unsupervised Paraphrasing via Deep Reinforcement Learning. </w:t>
      </w:r>
      <w:r>
        <w:rPr>
          <w:rFonts w:cs="Times New Roman" w:ascii="DejaVu Serif" w:hAnsi="DejaVu Serif"/>
          <w:i/>
          <w:iCs/>
          <w:sz w:val="24"/>
          <w:szCs w:val="24"/>
          <w:shd w:fill="FFFFFF" w:val="clear"/>
        </w:rPr>
        <w:t>arXiv preprint arXiv:2007.02244</w:t>
      </w:r>
      <w:r>
        <w:rPr>
          <w:rFonts w:cs="Times New Roman" w:ascii="DejaVu Serif" w:hAnsi="DejaVu Serif"/>
          <w:sz w:val="24"/>
          <w:szCs w:val="24"/>
          <w:shd w:fill="FFFFFF" w:val="clear"/>
        </w:rPr>
        <w:t>.</w:t>
      </w:r>
    </w:p>
    <w:p>
      <w:pPr>
        <w:pStyle w:val="Normal"/>
        <w:rPr>
          <w:rFonts w:ascii="DejaVu Serif" w:hAnsi="DejaVu Serif"/>
        </w:rPr>
      </w:pPr>
      <w:r>
        <w:rPr>
          <w:rFonts w:cs="Times New Roman" w:ascii="DejaVu Serif" w:hAnsi="DejaVu Serif"/>
          <w:sz w:val="24"/>
          <w:szCs w:val="24"/>
          <w:shd w:fill="FFFFFF" w:val="clear"/>
        </w:rPr>
        <w:t>Tawanwongsri, W. and Phenwan, T., 2019. Reflective and feedback performances on Thai medical students’ patient history-taking skills. </w:t>
      </w:r>
      <w:r>
        <w:rPr>
          <w:rFonts w:cs="Times New Roman" w:ascii="DejaVu Serif" w:hAnsi="DejaVu Serif"/>
          <w:i/>
          <w:iCs/>
          <w:sz w:val="24"/>
          <w:szCs w:val="24"/>
          <w:shd w:fill="FFFFFF" w:val="clear"/>
        </w:rPr>
        <w:t>BMC medical education</w:t>
      </w:r>
      <w:r>
        <w:rPr>
          <w:rFonts w:cs="Times New Roman" w:ascii="DejaVu Serif" w:hAnsi="DejaVu Serif"/>
          <w:sz w:val="24"/>
          <w:szCs w:val="24"/>
          <w:shd w:fill="FFFFFF" w:val="clear"/>
        </w:rPr>
        <w:t>, </w:t>
      </w:r>
      <w:r>
        <w:rPr>
          <w:rFonts w:cs="Times New Roman" w:ascii="DejaVu Serif" w:hAnsi="DejaVu Serif"/>
          <w:i/>
          <w:iCs/>
          <w:sz w:val="24"/>
          <w:szCs w:val="24"/>
          <w:shd w:fill="FFFFFF" w:val="clear"/>
        </w:rPr>
        <w:t>19</w:t>
      </w:r>
      <w:r>
        <w:rPr>
          <w:rFonts w:cs="Times New Roman" w:ascii="DejaVu Serif" w:hAnsi="DejaVu Serif"/>
          <w:sz w:val="24"/>
          <w:szCs w:val="24"/>
          <w:shd w:fill="FFFFFF" w:val="clear"/>
        </w:rPr>
        <w:t>(1), p.141.</w:t>
      </w:r>
    </w:p>
    <w:p>
      <w:pPr>
        <w:pStyle w:val="Normal"/>
        <w:rPr>
          <w:rFonts w:ascii="DejaVu Serif" w:hAnsi="DejaVu Serif"/>
        </w:rPr>
      </w:pPr>
      <w:r>
        <w:rPr>
          <w:rFonts w:cs="Times New Roman" w:ascii="DejaVu Serif" w:hAnsi="DejaVu Serif"/>
          <w:sz w:val="24"/>
          <w:szCs w:val="24"/>
          <w:shd w:fill="FFFFFF" w:val="clear"/>
        </w:rPr>
        <w:t>Tsingos-Lucas, C., Bosnic-Anticevich, S., Schneider, C.R. and Smith, L., 2017. Using reflective writing as a predictor of academic success in different assessment formats. </w:t>
      </w:r>
      <w:r>
        <w:rPr>
          <w:rFonts w:cs="Times New Roman" w:ascii="DejaVu Serif" w:hAnsi="DejaVu Serif"/>
          <w:i/>
          <w:iCs/>
          <w:sz w:val="24"/>
          <w:szCs w:val="24"/>
          <w:shd w:fill="FFFFFF" w:val="clear"/>
        </w:rPr>
        <w:t>American journal of pharmaceutical education</w:t>
      </w:r>
      <w:r>
        <w:rPr>
          <w:rFonts w:cs="Times New Roman" w:ascii="DejaVu Serif" w:hAnsi="DejaVu Serif"/>
          <w:sz w:val="24"/>
          <w:szCs w:val="24"/>
          <w:shd w:fill="FFFFFF" w:val="clear"/>
        </w:rPr>
        <w:t>, </w:t>
      </w:r>
      <w:r>
        <w:rPr>
          <w:rFonts w:cs="Times New Roman" w:ascii="DejaVu Serif" w:hAnsi="DejaVu Serif"/>
          <w:i/>
          <w:iCs/>
          <w:sz w:val="24"/>
          <w:szCs w:val="24"/>
          <w:shd w:fill="FFFFFF" w:val="clear"/>
        </w:rPr>
        <w:t>81</w:t>
      </w:r>
      <w:r>
        <w:rPr>
          <w:rFonts w:cs="Times New Roman" w:ascii="DejaVu Serif" w:hAnsi="DejaVu Serif"/>
          <w:sz w:val="24"/>
          <w:szCs w:val="24"/>
          <w:shd w:fill="FFFFFF" w:val="clear"/>
        </w:rPr>
        <w:t>(1).</w:t>
      </w:r>
    </w:p>
    <w:sectPr>
      <w:headerReference w:type="default" r:id="rId4"/>
      <w:footerReference w:type="default" r:id="rId5"/>
      <w:type w:val="nextPage"/>
      <w:pgSz w:w="12240" w:h="15840"/>
      <w:pgMar w:left="1440" w:right="1440" w:header="720" w:top="1440" w:footer="72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rial">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 w:name="Calibri">
    <w:charset w:val="01"/>
    <w:family w:val="roman"/>
    <w:pitch w:val="variable"/>
  </w:font>
  <w:font w:name="DejaVu Serif">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813503613"/>
    </w:sdtPr>
    <w:sdtContent>
      <w:p>
        <w:pPr>
          <w:pStyle w:val="Pidipagina"/>
          <w:jc w:val="right"/>
          <w:rPr/>
        </w:pPr>
        <w:r>
          <w:rPr/>
          <w:fldChar w:fldCharType="begin"/>
        </w:r>
        <w:r>
          <w:rPr/>
          <w:instrText> PAGE </w:instrText>
        </w:r>
        <w:r>
          <w:rPr/>
          <w:fldChar w:fldCharType="separate"/>
        </w:r>
        <w:r>
          <w:rPr/>
          <w:t>12</w:t>
        </w:r>
        <w:r>
          <w:rPr/>
          <w:fldChar w:fldCharType="end"/>
        </w:r>
      </w:p>
    </w:sdtContent>
  </w:sdt>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r>
  </w:p>
</w:hdr>
</file>

<file path=word/settings.xml><?xml version="1.0" encoding="utf-8"?>
<w:settings xmlns:w="http://schemas.openxmlformats.org/wordprocessingml/2006/main">
  <w:zoom w:percent="58"/>
  <w:defaultTabStop w:val="720"/>
  <w:autoHyphenation w:val="true"/>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it-IT" w:eastAsia="en-GB"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f7207"/>
    <w:pPr>
      <w:widowControl/>
      <w:suppressAutoHyphens w:val="true"/>
      <w:bidi w:val="0"/>
      <w:spacing w:lineRule="auto" w:line="360" w:before="0" w:after="0"/>
      <w:jc w:val="both"/>
    </w:pPr>
    <w:rPr>
      <w:rFonts w:ascii="Times New Roman" w:hAnsi="Times New Roman" w:eastAsia="Arial" w:cs="Arial"/>
      <w:color w:val="auto"/>
      <w:kern w:val="0"/>
      <w:sz w:val="22"/>
      <w:szCs w:val="22"/>
      <w:lang w:val="it-IT" w:eastAsia="en-GB" w:bidi="ar-SA"/>
    </w:rPr>
  </w:style>
  <w:style w:type="paragraph" w:styleId="Titolo1">
    <w:name w:val="Heading 1"/>
    <w:basedOn w:val="Normal"/>
    <w:next w:val="Normal"/>
    <w:uiPriority w:val="9"/>
    <w:qFormat/>
    <w:rsid w:val="00ef7207"/>
    <w:pPr>
      <w:spacing w:before="0" w:after="80"/>
      <w:jc w:val="left"/>
      <w:outlineLvl w:val="0"/>
    </w:pPr>
    <w:rPr>
      <w:rFonts w:eastAsia="Times New Roman" w:cs="Times New Roman"/>
      <w:b/>
      <w:bCs/>
      <w:sz w:val="24"/>
      <w:szCs w:val="24"/>
    </w:rPr>
  </w:style>
  <w:style w:type="paragraph" w:styleId="Titolo2">
    <w:name w:val="Heading 2"/>
    <w:basedOn w:val="Normal"/>
    <w:next w:val="Normal"/>
    <w:uiPriority w:val="9"/>
    <w:unhideWhenUsed/>
    <w:qFormat/>
    <w:rsid w:val="00cf662a"/>
    <w:pPr>
      <w:keepNext w:val="true"/>
      <w:keepLines/>
      <w:spacing w:lineRule="auto" w:line="276" w:before="360" w:after="120"/>
      <w:jc w:val="left"/>
      <w:outlineLvl w:val="1"/>
    </w:pPr>
    <w:rPr>
      <w:rFonts w:ascii="Arial" w:hAnsi="Arial"/>
      <w:sz w:val="32"/>
      <w:szCs w:val="32"/>
    </w:rPr>
  </w:style>
  <w:style w:type="paragraph" w:styleId="Titolo3">
    <w:name w:val="Heading 3"/>
    <w:basedOn w:val="Normal"/>
    <w:next w:val="Normal"/>
    <w:uiPriority w:val="9"/>
    <w:semiHidden/>
    <w:unhideWhenUsed/>
    <w:qFormat/>
    <w:rsid w:val="00cf662a"/>
    <w:pPr>
      <w:keepNext w:val="true"/>
      <w:keepLines/>
      <w:spacing w:lineRule="auto" w:line="276" w:before="320" w:after="80"/>
      <w:jc w:val="left"/>
      <w:outlineLvl w:val="2"/>
    </w:pPr>
    <w:rPr>
      <w:rFonts w:ascii="Arial" w:hAnsi="Arial"/>
      <w:color w:val="434343"/>
      <w:sz w:val="28"/>
      <w:szCs w:val="28"/>
    </w:rPr>
  </w:style>
  <w:style w:type="paragraph" w:styleId="Titolo4">
    <w:name w:val="Heading 4"/>
    <w:basedOn w:val="Normal"/>
    <w:next w:val="Normal"/>
    <w:uiPriority w:val="9"/>
    <w:semiHidden/>
    <w:unhideWhenUsed/>
    <w:qFormat/>
    <w:rsid w:val="00cf662a"/>
    <w:pPr>
      <w:keepNext w:val="true"/>
      <w:keepLines/>
      <w:spacing w:lineRule="auto" w:line="276" w:before="280" w:after="80"/>
      <w:jc w:val="left"/>
      <w:outlineLvl w:val="3"/>
    </w:pPr>
    <w:rPr>
      <w:rFonts w:ascii="Arial" w:hAnsi="Arial"/>
      <w:color w:val="666666"/>
      <w:sz w:val="24"/>
      <w:szCs w:val="24"/>
    </w:rPr>
  </w:style>
  <w:style w:type="paragraph" w:styleId="Titolo5">
    <w:name w:val="Heading 5"/>
    <w:basedOn w:val="Normal"/>
    <w:next w:val="Normal"/>
    <w:uiPriority w:val="9"/>
    <w:semiHidden/>
    <w:unhideWhenUsed/>
    <w:qFormat/>
    <w:rsid w:val="00cf662a"/>
    <w:pPr>
      <w:keepNext w:val="true"/>
      <w:keepLines/>
      <w:spacing w:lineRule="auto" w:line="276" w:before="240" w:after="80"/>
      <w:jc w:val="left"/>
      <w:outlineLvl w:val="4"/>
    </w:pPr>
    <w:rPr>
      <w:rFonts w:ascii="Arial" w:hAnsi="Arial"/>
      <w:color w:val="666666"/>
    </w:rPr>
  </w:style>
  <w:style w:type="paragraph" w:styleId="Titolo6">
    <w:name w:val="Heading 6"/>
    <w:basedOn w:val="Normal"/>
    <w:next w:val="Normal"/>
    <w:uiPriority w:val="9"/>
    <w:semiHidden/>
    <w:unhideWhenUsed/>
    <w:qFormat/>
    <w:rsid w:val="00cf662a"/>
    <w:pPr>
      <w:keepNext w:val="true"/>
      <w:keepLines/>
      <w:spacing w:lineRule="auto" w:line="276" w:before="240" w:after="80"/>
      <w:jc w:val="left"/>
      <w:outlineLvl w:val="5"/>
    </w:pPr>
    <w:rPr>
      <w:rFonts w:ascii="Arial" w:hAnsi="Arial"/>
      <w:i/>
      <w:color w:val="666666"/>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486769"/>
    <w:rPr>
      <w:rFonts w:ascii="Times New Roman" w:hAnsi="Times New Roman"/>
    </w:rPr>
  </w:style>
  <w:style w:type="character" w:styleId="FooterChar" w:customStyle="1">
    <w:name w:val="Footer Char"/>
    <w:basedOn w:val="DefaultParagraphFont"/>
    <w:link w:val="Footer"/>
    <w:uiPriority w:val="99"/>
    <w:qFormat/>
    <w:rsid w:val="00486769"/>
    <w:rPr>
      <w:rFonts w:ascii="Times New Roman" w:hAnsi="Times New Roman"/>
    </w:rPr>
  </w:style>
  <w:style w:type="character" w:styleId="CollegamentoInternet">
    <w:name w:val="Collegamento Internet"/>
    <w:basedOn w:val="DefaultParagraphFont"/>
    <w:uiPriority w:val="99"/>
    <w:unhideWhenUsed/>
    <w:rsid w:val="00486769"/>
    <w:rPr>
      <w:color w:val="0000FF" w:themeColor="hyperlink"/>
      <w:u w:val="single"/>
    </w:rPr>
  </w:style>
  <w:style w:type="character" w:styleId="BalloonTextChar" w:customStyle="1">
    <w:name w:val="Balloon Text Char"/>
    <w:basedOn w:val="DefaultParagraphFont"/>
    <w:link w:val="BalloonText"/>
    <w:uiPriority w:val="99"/>
    <w:semiHidden/>
    <w:qFormat/>
    <w:rsid w:val="00f657bf"/>
    <w:rPr>
      <w:rFonts w:ascii="Tahoma" w:hAnsi="Tahoma" w:cs="Tahoma"/>
      <w:sz w:val="16"/>
      <w:szCs w:val="16"/>
    </w:rPr>
  </w:style>
  <w:style w:type="character" w:styleId="Saltoaindice">
    <w:name w:val="Salto a indice"/>
    <w:qFormat/>
    <w:rPr/>
  </w:style>
  <w:style w:type="paragraph" w:styleId="Titolo">
    <w:name w:val="Titolo"/>
    <w:basedOn w:val="Normal"/>
    <w:next w:val="Corpodeltesto"/>
    <w:qFormat/>
    <w:pPr>
      <w:keepNext w:val="true"/>
      <w:spacing w:before="240" w:after="120"/>
    </w:pPr>
    <w:rPr>
      <w:rFonts w:ascii="Liberation Sans" w:hAnsi="Liberation Sans" w:eastAsia="Noto Sans CJK JP Regular" w:cs="Free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FreeSans"/>
    </w:rPr>
  </w:style>
  <w:style w:type="paragraph" w:styleId="Didascalia">
    <w:name w:val="Caption"/>
    <w:basedOn w:val="Normal"/>
    <w:qFormat/>
    <w:pPr>
      <w:suppressLineNumbers/>
      <w:spacing w:before="120" w:after="120"/>
    </w:pPr>
    <w:rPr>
      <w:rFonts w:cs="FreeSans"/>
      <w:i/>
      <w:iCs/>
      <w:sz w:val="24"/>
      <w:szCs w:val="24"/>
    </w:rPr>
  </w:style>
  <w:style w:type="paragraph" w:styleId="Indice">
    <w:name w:val="Indice"/>
    <w:basedOn w:val="Normal"/>
    <w:qFormat/>
    <w:pPr>
      <w:suppressLineNumbers/>
    </w:pPr>
    <w:rPr>
      <w:rFonts w:cs="FreeSans"/>
    </w:rPr>
  </w:style>
  <w:style w:type="paragraph" w:styleId="Titoloprincipale">
    <w:name w:val="Title"/>
    <w:basedOn w:val="Normal"/>
    <w:next w:val="Normal"/>
    <w:uiPriority w:val="10"/>
    <w:qFormat/>
    <w:rsid w:val="00486769"/>
    <w:pPr>
      <w:spacing w:lineRule="auto" w:line="276"/>
      <w:jc w:val="center"/>
    </w:pPr>
    <w:rPr>
      <w:b/>
      <w:bCs/>
      <w:color w:val="000000" w:themeColor="text1"/>
      <w:sz w:val="36"/>
      <w:szCs w:val="36"/>
      <w:lang w:val="en-GB"/>
    </w:rPr>
  </w:style>
  <w:style w:type="paragraph" w:styleId="Sottotitolo">
    <w:name w:val="Subtitle"/>
    <w:basedOn w:val="Normal"/>
    <w:next w:val="Normal"/>
    <w:uiPriority w:val="11"/>
    <w:qFormat/>
    <w:rsid w:val="00cf662a"/>
    <w:pPr>
      <w:keepNext w:val="true"/>
      <w:keepLines/>
      <w:spacing w:lineRule="auto" w:line="276" w:before="0" w:after="320"/>
      <w:jc w:val="left"/>
    </w:pPr>
    <w:rPr>
      <w:rFonts w:ascii="Arial" w:hAnsi="Arial"/>
      <w:color w:val="666666"/>
      <w:sz w:val="30"/>
      <w:szCs w:val="30"/>
    </w:rPr>
  </w:style>
  <w:style w:type="paragraph" w:styleId="ListParagraph">
    <w:name w:val="List Paragraph"/>
    <w:basedOn w:val="Normal"/>
    <w:uiPriority w:val="34"/>
    <w:qFormat/>
    <w:rsid w:val="00486769"/>
    <w:pPr>
      <w:spacing w:before="0" w:after="0"/>
      <w:ind w:left="720" w:hanging="0"/>
      <w:contextualSpacing/>
    </w:pPr>
    <w:rPr/>
  </w:style>
  <w:style w:type="paragraph" w:styleId="Intestazioneepidipagina">
    <w:name w:val="Intestazione e piè di pagina"/>
    <w:basedOn w:val="Normal"/>
    <w:qFormat/>
    <w:pPr/>
    <w:rPr/>
  </w:style>
  <w:style w:type="paragraph" w:styleId="Intestazione">
    <w:name w:val="Header"/>
    <w:basedOn w:val="Normal"/>
    <w:link w:val="HeaderChar"/>
    <w:uiPriority w:val="99"/>
    <w:unhideWhenUsed/>
    <w:rsid w:val="00486769"/>
    <w:pPr>
      <w:tabs>
        <w:tab w:val="clear" w:pos="720"/>
        <w:tab w:val="center" w:pos="4513" w:leader="none"/>
        <w:tab w:val="right" w:pos="9026" w:leader="none"/>
      </w:tabs>
      <w:spacing w:lineRule="auto" w:line="240"/>
    </w:pPr>
    <w:rPr/>
  </w:style>
  <w:style w:type="paragraph" w:styleId="Pidipagina">
    <w:name w:val="Footer"/>
    <w:basedOn w:val="Normal"/>
    <w:link w:val="FooterChar"/>
    <w:uiPriority w:val="99"/>
    <w:unhideWhenUsed/>
    <w:rsid w:val="00486769"/>
    <w:pPr>
      <w:tabs>
        <w:tab w:val="clear" w:pos="720"/>
        <w:tab w:val="center" w:pos="4513" w:leader="none"/>
        <w:tab w:val="right" w:pos="9026" w:leader="none"/>
      </w:tabs>
      <w:spacing w:lineRule="auto" w:line="240"/>
    </w:pPr>
    <w:rPr/>
  </w:style>
  <w:style w:type="paragraph" w:styleId="TOCHeading">
    <w:name w:val="TOC Heading"/>
    <w:basedOn w:val="Titolo1"/>
    <w:next w:val="Normal"/>
    <w:uiPriority w:val="39"/>
    <w:unhideWhenUsed/>
    <w:qFormat/>
    <w:rsid w:val="00486769"/>
    <w:pPr>
      <w:keepNext w:val="true"/>
      <w:keepLines/>
      <w:spacing w:lineRule="auto" w:line="259" w:before="240" w:after="0"/>
    </w:pPr>
    <w:rPr>
      <w:rFonts w:ascii="Calibri" w:hAnsi="Calibri" w:eastAsia="" w:cs="" w:asciiTheme="majorHAnsi" w:cstheme="majorBidi" w:eastAsiaTheme="majorEastAsia" w:hAnsiTheme="majorHAnsi"/>
      <w:b w:val="false"/>
      <w:bCs w:val="false"/>
      <w:color w:val="365F91" w:themeColor="accent1" w:themeShade="bf"/>
      <w:sz w:val="32"/>
      <w:szCs w:val="32"/>
      <w:lang w:val="en-US" w:eastAsia="en-US"/>
    </w:rPr>
  </w:style>
  <w:style w:type="paragraph" w:styleId="Indice1">
    <w:name w:val="TOC 1"/>
    <w:basedOn w:val="Normal"/>
    <w:next w:val="Normal"/>
    <w:autoRedefine/>
    <w:uiPriority w:val="39"/>
    <w:unhideWhenUsed/>
    <w:rsid w:val="00486769"/>
    <w:pPr>
      <w:spacing w:before="0" w:after="100"/>
    </w:pPr>
    <w:rPr/>
  </w:style>
  <w:style w:type="paragraph" w:styleId="BalloonText">
    <w:name w:val="Balloon Text"/>
    <w:basedOn w:val="Normal"/>
    <w:link w:val="BalloonTextChar"/>
    <w:uiPriority w:val="99"/>
    <w:semiHidden/>
    <w:unhideWhenUsed/>
    <w:qFormat/>
    <w:rsid w:val="00f657bf"/>
    <w:pPr>
      <w:spacing w:lineRule="auto" w:line="240"/>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E08D7-D609-4628-A89A-D8A033F94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Application>LibreOffice/6.4.4.2$Linux_X86_64 LibreOffice_project/3d775be2011f3886db32dfd395a6a6d1ca2630ff</Application>
  <Pages>12</Pages>
  <Words>2262</Words>
  <Characters>11631</Characters>
  <CharactersWithSpaces>13852</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2020-08-17T16:53:00Z</dcterms:created>
  <dc:creator/>
  <dc:description/>
  <dc:language>it-IT</dc:language>
  <cp:lastModifiedBy/>
  <dcterms:modified xsi:type="dcterms:W3CDTF">2020-08-28T19:16:16Z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