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A9A7FA">
      <w:bookmarkStart w:id="0" w:name="_GoBack"/>
      <w:bookmarkEnd w:id="0"/>
      <w:r>
        <w:drawing>
          <wp:inline distT="0" distB="0" distL="0" distR="0">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pPr>
        <w:rPr>
          <w:rFonts w:ascii="Times New Roman" w:hAnsi="Times New Roman" w:cs="Times New Roman"/>
          <w:sz w:val="24"/>
          <w:szCs w:val="24"/>
        </w:rPr>
      </w:pPr>
    </w:p>
    <w:p w14:paraId="1ED29290">
      <w:pPr>
        <w:overflowPunct/>
        <w:autoSpaceDE/>
        <w:autoSpaceDN/>
        <w:adjustRightInd/>
        <w:textAlignment w:val="auto"/>
        <w:rPr>
          <w:rFonts w:ascii="Times New Roman" w:hAnsi="Times New Roman"/>
          <w:b/>
          <w:bCs/>
          <w:color w:val="auto"/>
          <w:sz w:val="48"/>
          <w:szCs w:val="48"/>
        </w:rPr>
      </w:pPr>
      <w:r>
        <w:rPr>
          <w:rFonts w:ascii="Times New Roman" w:hAnsi="Times New Roman" w:cs="Times New Roman"/>
          <w:b/>
          <w:color w:val="auto"/>
          <w:sz w:val="48"/>
          <w:szCs w:val="48"/>
        </w:rPr>
        <w:t xml:space="preserve">GRADUATE CERTIFICATE in </w:t>
      </w:r>
      <w:r>
        <w:rPr>
          <w:rFonts w:ascii="Times New Roman" w:hAnsi="Times New Roman"/>
          <w:b/>
          <w:bCs/>
          <w:color w:val="auto"/>
          <w:sz w:val="48"/>
          <w:szCs w:val="48"/>
        </w:rPr>
        <w:t>Consolidation of Social Work Practice</w:t>
      </w:r>
    </w:p>
    <w:p w14:paraId="0F4D6E7D">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LEVEL 6 - 60 Credits</w:t>
      </w:r>
    </w:p>
    <w:p w14:paraId="2216C5B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BMPF6044</w:t>
      </w:r>
    </w:p>
    <w:p w14:paraId="28947286">
      <w:pPr>
        <w:overflowPunct/>
        <w:autoSpaceDE/>
        <w:autoSpaceDN/>
        <w:adjustRightInd/>
        <w:ind w:right="-957"/>
        <w:textAlignment w:val="auto"/>
        <w:rPr>
          <w:rFonts w:ascii="Times New Roman" w:hAnsi="Times New Roman" w:cs="Times New Roman"/>
          <w:b/>
          <w:color w:val="auto"/>
          <w:sz w:val="48"/>
        </w:rPr>
      </w:pPr>
    </w:p>
    <w:p w14:paraId="61FA5299">
      <w:pPr>
        <w:overflowPunct/>
        <w:autoSpaceDE/>
        <w:autoSpaceDN/>
        <w:adjustRightInd/>
        <w:ind w:right="-957"/>
        <w:textAlignment w:val="auto"/>
        <w:rPr>
          <w:rFonts w:ascii="Times New Roman" w:hAnsi="Times New Roman" w:cs="Times New Roman"/>
          <w:b/>
          <w:color w:val="auto"/>
          <w:sz w:val="18"/>
          <w:szCs w:val="2"/>
        </w:rPr>
      </w:pPr>
    </w:p>
    <w:p w14:paraId="5B3FA234">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333E90F0">
      <w:pPr>
        <w:overflowPunct/>
        <w:autoSpaceDE/>
        <w:autoSpaceDN/>
        <w:adjustRightInd/>
        <w:ind w:right="-957"/>
        <w:textAlignment w:val="auto"/>
        <w:rPr>
          <w:rFonts w:ascii="Times New Roman" w:hAnsi="Times New Roman" w:cs="Times New Roman"/>
          <w:b/>
          <w:bCs/>
          <w:color w:val="auto"/>
          <w:sz w:val="48"/>
          <w:szCs w:val="48"/>
        </w:rPr>
      </w:pPr>
      <w:r>
        <w:rPr>
          <w:rFonts w:ascii="Times New Roman" w:hAnsi="Times New Roman" w:cs="Times New Roman"/>
          <w:b/>
          <w:bCs/>
          <w:color w:val="auto"/>
          <w:sz w:val="48"/>
          <w:szCs w:val="48"/>
        </w:rPr>
        <w:t>(PORTH AGORED and UNIVERSITY OF WALES TRINITY SAINT DAVID)</w:t>
      </w:r>
    </w:p>
    <w:p w14:paraId="024B1E2F">
      <w:pPr>
        <w:overflowPunct/>
        <w:autoSpaceDE/>
        <w:autoSpaceDN/>
        <w:adjustRightInd/>
        <w:ind w:right="-957"/>
        <w:textAlignment w:val="auto"/>
        <w:rPr>
          <w:rFonts w:ascii="Times New Roman" w:hAnsi="Times New Roman" w:cs="Times New Roman"/>
          <w:b/>
          <w:color w:val="auto"/>
          <w:sz w:val="14"/>
          <w:szCs w:val="2"/>
        </w:rPr>
      </w:pPr>
    </w:p>
    <w:p w14:paraId="16D1A022">
      <w:pPr>
        <w:overflowPunct/>
        <w:autoSpaceDE/>
        <w:autoSpaceDN/>
        <w:adjustRightInd/>
        <w:ind w:right="-957"/>
        <w:textAlignment w:val="auto"/>
        <w:rPr>
          <w:rFonts w:ascii="Times New Roman" w:hAnsi="Times New Roman" w:cs="Times New Roman"/>
          <w:b/>
          <w:color w:val="auto"/>
          <w:sz w:val="48"/>
        </w:rPr>
      </w:pPr>
    </w:p>
    <w:tbl>
      <w:tblPr>
        <w:tblStyle w:val="5"/>
        <w:tblW w:w="103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68"/>
      </w:tblGrid>
      <w:tr w14:paraId="68CAA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68" w:type="dxa"/>
            <w:shd w:val="clear" w:color="auto" w:fill="auto"/>
          </w:tcPr>
          <w:p w14:paraId="56A711D3">
            <w:pPr>
              <w:overflowPunct/>
              <w:autoSpaceDE/>
              <w:adjustRightInd/>
              <w:ind w:right="-957"/>
              <w:rPr>
                <w:rFonts w:ascii="Times New Roman" w:hAnsi="Times New Roman" w:cs="Times New Roman"/>
                <w:sz w:val="48"/>
                <w:szCs w:val="48"/>
              </w:rPr>
            </w:pPr>
            <w:r>
              <w:rPr>
                <w:rFonts w:ascii="Times New Roman" w:hAnsi="Times New Roman" w:cs="Times New Roman"/>
                <w:b/>
                <w:color w:val="auto"/>
                <w:sz w:val="48"/>
                <w:szCs w:val="48"/>
              </w:rPr>
              <w:t xml:space="preserve">Learner’s name: </w:t>
            </w:r>
            <w:r>
              <w:rPr>
                <w:rFonts w:ascii="Times New Roman" w:hAnsi="Times New Roman" w:cs="Times New Roman"/>
                <w:sz w:val="48"/>
                <w:szCs w:val="48"/>
              </w:rPr>
              <w:t>Rachel Anne Cannon</w:t>
            </w:r>
          </w:p>
          <w:p w14:paraId="6263AD82">
            <w:pPr>
              <w:overflowPunct/>
              <w:autoSpaceDE/>
              <w:adjustRightInd/>
              <w:ind w:right="-957"/>
              <w:rPr>
                <w:rFonts w:ascii="Times New Roman" w:hAnsi="Times New Roman" w:cs="Times New Roman"/>
                <w:b/>
                <w:color w:val="auto"/>
                <w:sz w:val="48"/>
                <w:szCs w:val="48"/>
              </w:rPr>
            </w:pPr>
          </w:p>
          <w:p w14:paraId="2504369C">
            <w:pPr>
              <w:overflowPunct/>
              <w:autoSpaceDE/>
              <w:adjustRightInd/>
              <w:ind w:right="-957"/>
              <w:rPr>
                <w:rFonts w:ascii="Times New Roman" w:hAnsi="Times New Roman" w:cs="Times New Roman"/>
                <w:b/>
                <w:color w:val="auto"/>
                <w:sz w:val="48"/>
                <w:szCs w:val="48"/>
              </w:rPr>
            </w:pPr>
            <w:r>
              <w:rPr>
                <w:rFonts w:ascii="Times New Roman" w:hAnsi="Times New Roman" w:cs="Times New Roman"/>
                <w:b/>
                <w:color w:val="auto"/>
                <w:sz w:val="48"/>
                <w:szCs w:val="48"/>
              </w:rPr>
              <w:t xml:space="preserve">Email address: </w:t>
            </w:r>
            <w:r>
              <w:rPr>
                <w:rFonts w:ascii="Times New Roman" w:hAnsi="Times New Roman" w:cs="Times New Roman"/>
                <w:sz w:val="48"/>
                <w:szCs w:val="48"/>
              </w:rPr>
              <w:t>rachel.cannon@wrexham.gov.uk</w:t>
            </w:r>
          </w:p>
          <w:p w14:paraId="2DAFC51B">
            <w:pPr>
              <w:overflowPunct/>
              <w:autoSpaceDE/>
              <w:adjustRightInd/>
              <w:ind w:right="-957"/>
              <w:rPr>
                <w:rFonts w:ascii="Times New Roman" w:hAnsi="Times New Roman" w:cs="Times New Roman"/>
                <w:b/>
                <w:color w:val="auto"/>
                <w:sz w:val="48"/>
                <w:szCs w:val="48"/>
              </w:rPr>
            </w:pPr>
          </w:p>
          <w:p w14:paraId="4B296CC2">
            <w:pPr>
              <w:overflowPunct/>
              <w:autoSpaceDE/>
              <w:adjustRightInd/>
              <w:ind w:right="-957"/>
              <w:rPr>
                <w:rFonts w:ascii="Times New Roman" w:hAnsi="Times New Roman" w:cs="Times New Roman"/>
                <w:b/>
                <w:color w:val="auto"/>
                <w:sz w:val="48"/>
                <w:szCs w:val="48"/>
              </w:rPr>
            </w:pPr>
            <w:r>
              <w:rPr>
                <w:rFonts w:ascii="Times New Roman" w:hAnsi="Times New Roman" w:cs="Times New Roman"/>
                <w:b/>
                <w:color w:val="auto"/>
                <w:sz w:val="48"/>
                <w:szCs w:val="48"/>
              </w:rPr>
              <w:t>Learner’s University Registration Number:</w:t>
            </w:r>
            <w:r>
              <w:rPr>
                <w:rFonts w:ascii="Times New Roman" w:hAnsi="Times New Roman" w:cs="Times New Roman"/>
                <w:sz w:val="48"/>
                <w:szCs w:val="48"/>
              </w:rPr>
              <w:t xml:space="preserve"> 1910349</w:t>
            </w:r>
          </w:p>
          <w:p w14:paraId="0F3E210D">
            <w:pPr>
              <w:overflowPunct/>
              <w:autoSpaceDE/>
              <w:adjustRightInd/>
              <w:ind w:right="-957"/>
              <w:rPr>
                <w:rFonts w:ascii="Times New Roman" w:hAnsi="Times New Roman" w:cs="Times New Roman"/>
                <w:b/>
                <w:color w:val="auto"/>
                <w:sz w:val="48"/>
                <w:szCs w:val="48"/>
              </w:rPr>
            </w:pPr>
          </w:p>
          <w:p w14:paraId="5F84129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szCs w:val="48"/>
              </w:rPr>
              <w:t xml:space="preserve">Cohort: </w:t>
            </w:r>
            <w:r>
              <w:rPr>
                <w:rFonts w:ascii="Times New Roman" w:hAnsi="Times New Roman" w:cs="Times New Roman"/>
                <w:color w:val="auto"/>
                <w:sz w:val="48"/>
                <w:szCs w:val="48"/>
              </w:rPr>
              <w:t>18 onwards</w:t>
            </w:r>
          </w:p>
        </w:tc>
      </w:tr>
    </w:tbl>
    <w:p w14:paraId="40F3C009">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pPr>
        <w:overflowPunct/>
        <w:autoSpaceDE/>
        <w:autoSpaceDN/>
        <w:adjustRightInd/>
        <w:textAlignment w:val="auto"/>
        <w:rPr>
          <w:rFonts w:ascii="Times New Roman" w:hAnsi="Times New Roman" w:cs="Times New Roman"/>
          <w:color w:val="auto"/>
          <w:sz w:val="24"/>
        </w:rPr>
      </w:pPr>
    </w:p>
    <w:p w14:paraId="3FC4E125">
      <w:pPr>
        <w:overflowPunct/>
        <w:autoSpaceDE/>
        <w:autoSpaceDN/>
        <w:adjustRightInd/>
        <w:ind w:right="-957"/>
        <w:textAlignment w:val="auto"/>
        <w:rPr>
          <w:rFonts w:ascii="Times New Roman" w:hAnsi="Times New Roman" w:cs="Times New Roman"/>
          <w:b/>
          <w:color w:val="auto"/>
          <w:sz w:val="48"/>
        </w:rPr>
      </w:pPr>
    </w:p>
    <w:p w14:paraId="025CB5FE">
      <w:pPr>
        <w:jc w:val="center"/>
        <w:rPr>
          <w:b/>
          <w:sz w:val="24"/>
          <w:szCs w:val="24"/>
        </w:rPr>
      </w:pPr>
      <w:r>
        <w:rPr>
          <w:b/>
          <w:sz w:val="24"/>
          <w:szCs w:val="24"/>
        </w:rPr>
        <w:br w:type="page"/>
      </w:r>
    </w:p>
    <w:p w14:paraId="70797153">
      <w:pPr>
        <w:jc w:val="center"/>
        <w:rPr>
          <w:b/>
          <w:sz w:val="28"/>
          <w:szCs w:val="28"/>
        </w:rPr>
      </w:pPr>
    </w:p>
    <w:p w14:paraId="1D68DA91">
      <w:pPr>
        <w:jc w:val="center"/>
        <w:rPr>
          <w:b/>
          <w:sz w:val="24"/>
          <w:szCs w:val="24"/>
        </w:rPr>
      </w:pPr>
    </w:p>
    <w:p w14:paraId="5A670606">
      <w:pPr>
        <w:jc w:val="center"/>
        <w:rPr>
          <w:sz w:val="28"/>
          <w:szCs w:val="28"/>
        </w:rPr>
      </w:pPr>
      <w:r>
        <w:rPr>
          <w:b/>
          <w:sz w:val="28"/>
          <w:szCs w:val="28"/>
        </w:rPr>
        <w:t>Task 3</w:t>
      </w:r>
    </w:p>
    <w:p w14:paraId="3D5F0C24">
      <w:pPr>
        <w:jc w:val="center"/>
        <w:rPr>
          <w:b/>
          <w:sz w:val="28"/>
          <w:szCs w:val="28"/>
        </w:rPr>
      </w:pPr>
    </w:p>
    <w:p w14:paraId="02619381">
      <w:pPr>
        <w:jc w:val="center"/>
        <w:rPr>
          <w:b/>
          <w:color w:val="auto"/>
          <w:sz w:val="28"/>
          <w:szCs w:val="28"/>
        </w:rPr>
      </w:pPr>
      <w:r>
        <w:rPr>
          <w:b/>
          <w:color w:val="auto"/>
          <w:sz w:val="28"/>
          <w:szCs w:val="28"/>
        </w:rPr>
        <w:t>Safeguarding and working in complex situations – Case Study</w:t>
      </w:r>
    </w:p>
    <w:p w14:paraId="746467D8">
      <w:pPr>
        <w:rPr>
          <w:b/>
          <w:color w:val="auto"/>
          <w:sz w:val="24"/>
          <w:szCs w:val="24"/>
        </w:rPr>
      </w:pPr>
    </w:p>
    <w:p w14:paraId="4AF0BB36">
      <w:pPr>
        <w:rPr>
          <w:b/>
          <w:color w:val="auto"/>
          <w:sz w:val="24"/>
          <w:szCs w:val="24"/>
        </w:rPr>
      </w:pPr>
      <w:r>
        <w:rPr>
          <w:b/>
          <w:color w:val="auto"/>
          <w:sz w:val="24"/>
          <w:szCs w:val="24"/>
        </w:rPr>
        <w:t>Guidance;</w:t>
      </w:r>
    </w:p>
    <w:p w14:paraId="104AED32">
      <w:pPr>
        <w:jc w:val="both"/>
        <w:rPr>
          <w:i/>
          <w:iCs/>
          <w:sz w:val="24"/>
          <w:szCs w:val="24"/>
        </w:rPr>
      </w:pPr>
      <w:r>
        <w:rPr>
          <w:i/>
          <w:iCs/>
          <w:sz w:val="24"/>
          <w:szCs w:val="24"/>
        </w:rPr>
        <w:t xml:space="preserve">Please ensure that you meet the National Occupational Standards and assigned Learning Outcomes for this task (see appendix 5 and 6 of the handbook). </w:t>
      </w:r>
    </w:p>
    <w:p w14:paraId="257A6431">
      <w:pPr>
        <w:jc w:val="both"/>
        <w:rPr>
          <w:b/>
          <w:color w:val="auto"/>
          <w:sz w:val="24"/>
          <w:szCs w:val="24"/>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1"/>
      </w:tblGrid>
      <w:tr w14:paraId="2E129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1" w:type="dxa"/>
            <w:shd w:val="clear" w:color="auto" w:fill="auto"/>
          </w:tcPr>
          <w:p w14:paraId="63627B26">
            <w:pPr>
              <w:jc w:val="both"/>
              <w:rPr>
                <w:b/>
                <w:sz w:val="24"/>
                <w:szCs w:val="24"/>
              </w:rPr>
            </w:pPr>
            <w:r>
              <w:rPr>
                <w:b/>
                <w:sz w:val="24"/>
                <w:szCs w:val="24"/>
              </w:rPr>
              <w:t>Question:</w:t>
            </w:r>
          </w:p>
          <w:p w14:paraId="541B485B">
            <w:pPr>
              <w:jc w:val="both"/>
              <w:rPr>
                <w:sz w:val="24"/>
                <w:szCs w:val="24"/>
              </w:rPr>
            </w:pPr>
            <w:r>
              <w:rPr>
                <w:sz w:val="24"/>
                <w:szCs w:val="24"/>
              </w:rPr>
              <w:t>Complete a critically reflective case study based on an assessment that you have undertaken with others,</w:t>
            </w:r>
            <w:r>
              <w:rPr>
                <w:b/>
                <w:bCs/>
                <w:sz w:val="24"/>
                <w:szCs w:val="24"/>
              </w:rPr>
              <w:t xml:space="preserve"> </w:t>
            </w:r>
            <w:r>
              <w:rPr>
                <w:sz w:val="24"/>
                <w:szCs w:val="24"/>
              </w:rPr>
              <w:t xml:space="preserve">in your own area of work, concerning the safeguarding of either an adult or a child. You must demonstrate how the case relates to or could relate to safeguarding legislation, policies, strategies and procedures (including demonstrating an understanding of the </w:t>
            </w:r>
            <w:r>
              <w:rPr>
                <w:rFonts w:eastAsia="Arial"/>
                <w:color w:val="000000" w:themeColor="text1"/>
                <w:sz w:val="24"/>
                <w:szCs w:val="24"/>
                <w14:textFill>
                  <w14:solidFill>
                    <w14:schemeClr w14:val="tx1"/>
                  </w14:solidFill>
                </w14:textFill>
              </w:rPr>
              <w:t>interface between social services provision in Wales with the United Kingdom, the European Union (EU) and outside the EU)</w:t>
            </w:r>
            <w:r>
              <w:rPr>
                <w:sz w:val="24"/>
                <w:szCs w:val="24"/>
              </w:rPr>
              <w:t xml:space="preserve">. You must demonstrate your understanding of the integration of analysis in assessment, collaborative working and professional judgements in increasingly complex situations and the use of social work theories. You must refer to the specific dimensions of working in Wales. </w:t>
            </w:r>
          </w:p>
          <w:p w14:paraId="2F8A7CA5">
            <w:pPr>
              <w:jc w:val="both"/>
              <w:rPr>
                <w:sz w:val="24"/>
                <w:szCs w:val="24"/>
              </w:rPr>
            </w:pPr>
          </w:p>
          <w:p w14:paraId="20A5906F">
            <w:pPr>
              <w:jc w:val="both"/>
              <w:rPr>
                <w:sz w:val="24"/>
                <w:szCs w:val="24"/>
              </w:rPr>
            </w:pPr>
          </w:p>
          <w:p w14:paraId="51AF4546">
            <w:pPr>
              <w:jc w:val="both"/>
              <w:rPr>
                <w:i/>
                <w:sz w:val="24"/>
                <w:szCs w:val="24"/>
              </w:rPr>
            </w:pPr>
            <w:r>
              <w:rPr>
                <w:i/>
                <w:sz w:val="24"/>
                <w:szCs w:val="24"/>
              </w:rPr>
              <w:t>4000 words</w:t>
            </w:r>
            <w:r>
              <w:rPr>
                <w:sz w:val="24"/>
                <w:szCs w:val="24"/>
              </w:rPr>
              <w:t xml:space="preserve"> </w:t>
            </w:r>
            <w:r>
              <w:rPr>
                <w:i/>
                <w:sz w:val="24"/>
                <w:szCs w:val="24"/>
              </w:rPr>
              <w:t>(+/- 10%: include your actual word count at the end of each section).</w:t>
            </w:r>
          </w:p>
          <w:p w14:paraId="701D8D4D">
            <w:pPr>
              <w:jc w:val="both"/>
              <w:rPr>
                <w:i/>
                <w:sz w:val="24"/>
                <w:szCs w:val="24"/>
              </w:rPr>
            </w:pPr>
          </w:p>
          <w:p w14:paraId="45F89D0A">
            <w:pPr>
              <w:spacing w:line="360" w:lineRule="auto"/>
              <w:jc w:val="both"/>
            </w:pPr>
            <w:r>
              <w:rPr>
                <w:iCs/>
                <w:sz w:val="24"/>
                <w:szCs w:val="24"/>
              </w:rPr>
              <w:t xml:space="preserve">This case study will begin by giving an overview of the legislation and frameworks relevant to Childrens Safeguarding. It will then look at how child </w:t>
            </w:r>
            <w:r>
              <w:rPr>
                <w:rFonts w:hint="default"/>
                <w:iCs/>
                <w:sz w:val="24"/>
                <w:szCs w:val="24"/>
                <w:lang w:val="en-GB"/>
              </w:rPr>
              <w:t>1</w:t>
            </w:r>
            <w:r>
              <w:rPr>
                <w:iCs/>
                <w:sz w:val="24"/>
                <w:szCs w:val="24"/>
              </w:rPr>
              <w:t xml:space="preserve"> came into care, exploring the reasons for the safeguarding concerns and will link safeguarding legislation, the local authority’s policies and procedures and any theories relevant to the case study.</w:t>
            </w:r>
            <w:r>
              <w:rPr>
                <w:sz w:val="24"/>
                <w:szCs w:val="24"/>
              </w:rPr>
              <w:t xml:space="preserve"> I</w:t>
            </w:r>
            <w:r>
              <w:rPr>
                <w:iCs/>
                <w:sz w:val="24"/>
                <w:szCs w:val="24"/>
              </w:rPr>
              <w:t xml:space="preserve"> will then explore the importance of liaising with other professionals to support the choice of intervention to be taken, alongside including pertinent family members of </w:t>
            </w:r>
            <w:r>
              <w:rPr>
                <w:rFonts w:hint="default"/>
                <w:iCs/>
                <w:sz w:val="24"/>
                <w:szCs w:val="24"/>
                <w:lang w:val="en-GB"/>
              </w:rPr>
              <w:t>1</w:t>
            </w:r>
            <w:r>
              <w:rPr>
                <w:iCs/>
                <w:sz w:val="24"/>
                <w:szCs w:val="24"/>
              </w:rPr>
              <w:t xml:space="preserve"> and </w:t>
            </w:r>
            <w:r>
              <w:rPr>
                <w:rFonts w:hint="default"/>
                <w:iCs/>
                <w:sz w:val="24"/>
                <w:szCs w:val="24"/>
                <w:lang w:val="en-GB"/>
              </w:rPr>
              <w:t>1</w:t>
            </w:r>
            <w:r>
              <w:rPr>
                <w:iCs/>
                <w:sz w:val="24"/>
                <w:szCs w:val="24"/>
              </w:rPr>
              <w:t xml:space="preserve"> herself, to ensure child centred practice alongside safeguarding procedures. This is in line with CoPP 3 as it is promoting the voices of </w:t>
            </w:r>
            <w:r>
              <w:rPr>
                <w:rFonts w:hint="default"/>
                <w:iCs/>
                <w:sz w:val="24"/>
                <w:szCs w:val="24"/>
                <w:lang w:val="en-GB"/>
              </w:rPr>
              <w:t>1</w:t>
            </w:r>
            <w:r>
              <w:rPr>
                <w:iCs/>
                <w:sz w:val="24"/>
                <w:szCs w:val="24"/>
              </w:rPr>
              <w:t xml:space="preserve"> and her family whilst support </w:t>
            </w:r>
            <w:r>
              <w:rPr>
                <w:rFonts w:hint="default"/>
                <w:iCs/>
                <w:sz w:val="24"/>
                <w:szCs w:val="24"/>
                <w:lang w:val="en-GB"/>
              </w:rPr>
              <w:t>1</w:t>
            </w:r>
            <w:r>
              <w:rPr>
                <w:iCs/>
                <w:sz w:val="24"/>
                <w:szCs w:val="24"/>
              </w:rPr>
              <w:t xml:space="preserve"> to stay safe. The case study will then conclude with a reflection on my feelings, views, assessment and interventions with young person </w:t>
            </w:r>
            <w:r>
              <w:rPr>
                <w:rFonts w:hint="default"/>
                <w:iCs/>
                <w:sz w:val="24"/>
                <w:szCs w:val="24"/>
                <w:lang w:val="en-GB"/>
              </w:rPr>
              <w:t>1</w:t>
            </w:r>
            <w:r>
              <w:rPr>
                <w:iCs/>
                <w:sz w:val="24"/>
                <w:szCs w:val="24"/>
              </w:rPr>
              <w:t>. In order to anonymize the identity of the young person and family members I have been working with, no names or locations will be mentioned in this critically reflective case study.</w:t>
            </w:r>
          </w:p>
          <w:p w14:paraId="11FFEC36">
            <w:pPr>
              <w:pStyle w:val="29"/>
              <w:spacing w:line="360" w:lineRule="auto"/>
              <w:jc w:val="both"/>
            </w:pPr>
          </w:p>
          <w:p w14:paraId="6DAD6983">
            <w:pPr>
              <w:pStyle w:val="29"/>
              <w:spacing w:line="360" w:lineRule="auto"/>
              <w:jc w:val="both"/>
            </w:pPr>
            <w:r>
              <w:t>Before the introduction of The Social Services and Well-Being Act (Wales) 2014 (SSWBA 2014), children’s safeguarding in Wales was managed under the Children Act 1989 (CA 1989) and the All Wales Child Protection Procedures 2008 (AWCPP 2008). The SSWBA 2014 came into force in April 2016 and provides Wales with its own legal framework for social services provision. Although the SSWBA14 is the now the main legislation it has not taken over from the CA 1989, they are legislations that complement each other. In addition, there is new guidance ‘Working Together to Safeguard People Guidance’ (Welsh Government, 2017) which is now used instead of the AWCPP 2008. As I qualified before the recent changes in legislation I undertook training specific to the new Act to ensure appropriate knowledge was gained ensuring I kept up with my professional development to ensure good practice in this area.</w:t>
            </w:r>
          </w:p>
          <w:p w14:paraId="30B5C179">
            <w:pPr>
              <w:pStyle w:val="29"/>
              <w:spacing w:line="360" w:lineRule="auto"/>
              <w:jc w:val="both"/>
            </w:pPr>
          </w:p>
          <w:p w14:paraId="47CC149A">
            <w:pPr>
              <w:pStyle w:val="29"/>
              <w:spacing w:line="360" w:lineRule="auto"/>
              <w:jc w:val="both"/>
              <w:rPr>
                <w:rFonts w:hint="default"/>
                <w:i/>
                <w:lang w:val="en-GB"/>
              </w:rPr>
            </w:pPr>
            <w:r>
              <w:t>The SSWBA14 is national legislation that ensures practitioners working in Wales are adhering to the same legislation. However, it should be noted that that is a different legislation to other countries within the United Kingdom. For example, S17 and S22 of the 1989 Children Act (CA89); provision of services for children and</w:t>
            </w:r>
            <w:r>
              <w:rPr>
                <w:color w:val="auto"/>
              </w:rPr>
              <w:t xml:space="preserve"> young people</w:t>
            </w:r>
            <w:r>
              <w:t xml:space="preserve"> in need and their families (S.17) no longer apply in Wales, but continue to be applicable in England, and in Scotland their safeguarding legislation and subsequent procedures still come under </w:t>
            </w:r>
            <w:r>
              <w:rPr>
                <w:color w:val="202124"/>
                <w:shd w:val="clear" w:color="auto" w:fill="FFFFFF"/>
              </w:rPr>
              <w:t>The Children (Scotland) Act 1995.</w:t>
            </w:r>
            <w:r>
              <w:rPr>
                <w:color w:val="202124"/>
                <w:sz w:val="30"/>
                <w:szCs w:val="30"/>
                <w:shd w:val="clear" w:color="auto" w:fill="FFFFFF"/>
              </w:rPr>
              <w:t xml:space="preserve"> </w:t>
            </w:r>
            <w:r>
              <w:t xml:space="preserve">The SSWBA14 places duties on social workers and all partner agencies to report children </w:t>
            </w:r>
            <w:r>
              <w:rPr>
                <w:color w:val="auto"/>
              </w:rPr>
              <w:t>or young person</w:t>
            </w:r>
            <w:r>
              <w:t xml:space="preserve"> who they have “</w:t>
            </w:r>
            <w:r>
              <w:rPr>
                <w:i/>
                <w:iCs/>
              </w:rPr>
              <w:t>reasonable cause to suspect are at risk of experiencing abuse, neglect or other types of harm</w:t>
            </w:r>
            <w:r>
              <w:rPr>
                <w:iCs/>
              </w:rPr>
              <w:t xml:space="preserve">” </w:t>
            </w:r>
            <w:r>
              <w:t>(s.130). This should mean a more robust, partnership approach to safeguarding between partner agencies as per the</w:t>
            </w:r>
            <w:r>
              <w:rPr>
                <w:rFonts w:eastAsia="Times New Roman"/>
                <w:iCs/>
                <w:lang w:eastAsia="en-GB"/>
              </w:rPr>
              <w:t xml:space="preserve"> systems approach stemming from the ‘Every Child Matters’ (2004). The ethos of that being that organisations at every level should be taking into consideration when safeguarding for children, and the supports this framework. This is a viewpoint supported by an Ofsted report (2018) which found the most successful local safeguarding provisions were established from a shared vision and shared values. However, problems can arise between different agencies as in practice due to varying personal and professional values. Fortunately with </w:t>
            </w:r>
            <w:r>
              <w:rPr>
                <w:rFonts w:hint="default" w:eastAsia="Times New Roman"/>
                <w:iCs/>
                <w:lang w:val="en-US" w:eastAsia="en-GB"/>
              </w:rPr>
              <w:t>1</w:t>
            </w:r>
            <w:r>
              <w:rPr>
                <w:rFonts w:eastAsia="Times New Roman"/>
                <w:iCs/>
                <w:lang w:eastAsia="en-GB"/>
              </w:rPr>
              <w:t>, all professionals were working f</w:t>
            </w:r>
            <w:r>
              <w:rPr>
                <w:rFonts w:hint="default" w:eastAsia="Times New Roman"/>
                <w:iCs/>
                <w:lang w:val="en-US" w:eastAsia="en-GB"/>
              </w:rPr>
              <w:t>ro</w:t>
            </w:r>
            <w:r>
              <w:rPr>
                <w:rFonts w:eastAsia="Times New Roman"/>
                <w:iCs/>
                <w:lang w:eastAsia="en-GB"/>
              </w:rPr>
              <w:t xml:space="preserve">m the same value base but this is not always the case. </w:t>
            </w:r>
            <w:r>
              <w:t>However, it is important to note that although the SSWBA14 clearly states that the duty for safeguarding is everyone’s business, this is only in the sense of sharing information regarding safeguarding concerns;</w:t>
            </w:r>
            <w:r>
              <w:rPr>
                <w:rFonts w:hint="default"/>
                <w:lang w:val="en-GB"/>
              </w:rPr>
              <w:t xml:space="preserve"> Section 7 of the act states</w:t>
            </w:r>
            <w:r>
              <w:t xml:space="preserve"> the legal duty to investigate remains with the local authority </w:t>
            </w:r>
            <w:r>
              <w:rPr>
                <w:rFonts w:hint="default"/>
                <w:lang w:val="en-GB"/>
              </w:rPr>
              <w:t>in a manner that safeguards and promotes the welfare of adults and children</w:t>
            </w:r>
            <w:r>
              <w:rPr>
                <w:color w:val="auto"/>
              </w:rPr>
              <w:t xml:space="preserve">. </w:t>
            </w:r>
            <w:r>
              <w:rPr>
                <w:rFonts w:hint="default"/>
                <w:color w:val="auto"/>
                <w:lang w:val="en-GB"/>
              </w:rPr>
              <w:t>Legislation in the UK that drives the implementation of child safeguarding is influenced by the International United Nations Convention of the rights of the child agreed by the UK Government. The Wales safeguarding procedures (2019) are made up of policies that relate to adults and children deemed at risk. The all Wales safeguarding app can be downloaded electronically onto a phone or pc.</w:t>
            </w:r>
          </w:p>
          <w:p w14:paraId="7B3F2305">
            <w:pPr>
              <w:pStyle w:val="29"/>
              <w:spacing w:line="360" w:lineRule="auto"/>
              <w:jc w:val="both"/>
              <w:rPr>
                <w:color w:val="auto"/>
              </w:rPr>
            </w:pPr>
          </w:p>
          <w:p w14:paraId="402F772B">
            <w:pPr>
              <w:pStyle w:val="29"/>
              <w:spacing w:line="360" w:lineRule="auto"/>
              <w:jc w:val="both"/>
            </w:pPr>
            <w:r>
              <w:t>The SSWBA14 defines a child at risk as;</w:t>
            </w:r>
            <w:r>
              <w:rPr>
                <w:i/>
              </w:rPr>
              <w:t xml:space="preserve"> </w:t>
            </w:r>
          </w:p>
          <w:p w14:paraId="77FB8C4D">
            <w:pPr>
              <w:pStyle w:val="29"/>
              <w:spacing w:line="360" w:lineRule="auto"/>
              <w:jc w:val="both"/>
              <w:rPr>
                <w:i/>
              </w:rPr>
            </w:pPr>
            <w:r>
              <w:rPr>
                <w:i/>
              </w:rPr>
              <w:t xml:space="preserve">“a child who— </w:t>
            </w:r>
          </w:p>
          <w:p w14:paraId="08426475">
            <w:pPr>
              <w:pStyle w:val="29"/>
              <w:spacing w:line="360" w:lineRule="auto"/>
              <w:jc w:val="both"/>
              <w:rPr>
                <w:i/>
              </w:rPr>
            </w:pPr>
            <w:r>
              <w:rPr>
                <w:i/>
              </w:rPr>
              <w:t xml:space="preserve">(a)is experiencing or is at risk of abuse, neglect or other kinds of harm, and </w:t>
            </w:r>
          </w:p>
          <w:p w14:paraId="761480FE">
            <w:pPr>
              <w:pStyle w:val="29"/>
              <w:spacing w:line="360" w:lineRule="auto"/>
              <w:jc w:val="both"/>
              <w:rPr>
                <w:rFonts w:hint="default"/>
                <w:i/>
                <w:lang w:val="en-GB"/>
              </w:rPr>
            </w:pPr>
            <w:r>
              <w:rPr>
                <w:i/>
              </w:rPr>
              <w:t xml:space="preserve">(b)has needs for care and support (whether or not the authority is meeting any of those needs). 130(4).”  </w:t>
            </w:r>
            <w:r>
              <w:rPr>
                <w:color w:val="auto"/>
              </w:rPr>
              <w:t>If the child or young person is thought to be at risk, a section 47 (CA89) safeguarding investigation would take place. A case conference should then be organised, where the risk of harm is assessed and the child or young person’s name may be placed on the local child protection register. The child or young person can be placed on the register under the following categories and can sometimes, be p</w:t>
            </w:r>
            <w:r>
              <w:rPr>
                <w:rFonts w:hint="default"/>
                <w:color w:val="auto"/>
                <w:lang w:val="en-GB"/>
              </w:rPr>
              <w:t>l</w:t>
            </w:r>
            <w:r>
              <w:rPr>
                <w:color w:val="auto"/>
              </w:rPr>
              <w:t xml:space="preserve">aced under more than one of them: physical, sexual or emotional abuse or neglect. To safeguard and promote the welfare of children on the at risk register, a child protection plan will be instigated and will set out what actions need to be taken, by who and within what timescale. In addition to this, regular child safeguarding reviews should take place and child or young person’s name will remain on the child protection register until such time that the considered risks are reduced or where the child may need to be removed from their current setting. This is also in line with my Local Authorities Safeguarding Policies and Procedures (Corporate Safeguarding Policy updated Feb 2022). </w:t>
            </w:r>
            <w:r>
              <w:rPr>
                <w:rFonts w:hint="default"/>
                <w:color w:val="auto"/>
                <w:lang w:val="en-GB"/>
              </w:rPr>
              <w:t>Social workers across Europe are required to conduct their work, meeting the standards of the International Federation of Social Workers (IFSW). The IFSW is committed to promoting human rights in order to achieve social justice. The roles of a social worker enhance European &amp; National Policies. This ensures social workers adhere to regional standards and guidelines in order to support good practice combined with the delivery of social work practice at international level. Worldwide the IFSW and the International Association of the schools in social work in 2004 is the basis used for standards in social work education. There are differences in the approach to child safeguarding for example between the UK and the USA. The USA operate under a federal system ensuring each state has its own systems and child welfare laws, It is the responsibility of the child protective services (CPS) to investigate reports of child abuse and neglect, whereas England, Scotland, Wales and Northern Ireland have slight variations in the guidelines and legislation which cover their regions operates with a more centralized approach. This enables the UK to facilitate multi-agency safeguarding hubs (MASH) (single point of access SPOA) to correlate information and actions amongst different agencies. It’s the implementation of the preventative services that may differ between the UK and USA. Both continue to update their systems to protect and provide support.</w:t>
            </w:r>
          </w:p>
          <w:p w14:paraId="0BA57BB9">
            <w:pPr>
              <w:spacing w:line="360" w:lineRule="auto"/>
              <w:jc w:val="both"/>
              <w:rPr>
                <w:i/>
                <w:sz w:val="24"/>
                <w:szCs w:val="24"/>
              </w:rPr>
            </w:pPr>
          </w:p>
          <w:p w14:paraId="66882DF7">
            <w:pPr>
              <w:spacing w:line="360" w:lineRule="auto"/>
              <w:jc w:val="both"/>
              <w:rPr>
                <w:sz w:val="24"/>
                <w:szCs w:val="24"/>
              </w:rPr>
            </w:pPr>
            <w:r>
              <w:rPr>
                <w:rFonts w:hint="default"/>
                <w:iCs/>
                <w:sz w:val="24"/>
                <w:szCs w:val="24"/>
                <w:lang w:val="en-GB"/>
              </w:rPr>
              <w:t>Moving on to the case study c</w:t>
            </w:r>
            <w:r>
              <w:rPr>
                <w:iCs/>
                <w:sz w:val="24"/>
                <w:szCs w:val="24"/>
              </w:rPr>
              <w:t xml:space="preserve">hild </w:t>
            </w:r>
            <w:r>
              <w:rPr>
                <w:rFonts w:hint="default"/>
                <w:iCs/>
                <w:sz w:val="24"/>
                <w:szCs w:val="24"/>
                <w:lang w:val="en-GB"/>
              </w:rPr>
              <w:t>1</w:t>
            </w:r>
            <w:r>
              <w:rPr>
                <w:iCs/>
                <w:sz w:val="24"/>
                <w:szCs w:val="24"/>
              </w:rPr>
              <w:t xml:space="preserve"> is open to Children’s Services in line with Part 2 6. (2) </w:t>
            </w:r>
            <w:r>
              <w:rPr>
                <w:sz w:val="24"/>
                <w:szCs w:val="24"/>
              </w:rPr>
              <w:t xml:space="preserve">SSWBA 2014. </w:t>
            </w:r>
            <w:r>
              <w:rPr>
                <w:iCs/>
                <w:sz w:val="24"/>
                <w:szCs w:val="24"/>
              </w:rPr>
              <w:t xml:space="preserve">Whilst safeguarding concerns mean it is not always possible to fulfil the wishes of the child, the act promotes that the views and wishes of the child must be heard and taken into account even if they cannot always be fulfilled, dependant on the risk to the child </w:t>
            </w:r>
            <w:r>
              <w:rPr>
                <w:sz w:val="24"/>
                <w:szCs w:val="24"/>
              </w:rPr>
              <w:t xml:space="preserve">/ young person. In order to make sure the child / young person’s views are ascertained, </w:t>
            </w:r>
            <w:r>
              <w:rPr>
                <w:iCs/>
                <w:sz w:val="24"/>
                <w:szCs w:val="24"/>
              </w:rPr>
              <w:t xml:space="preserve">the social worker should work transparently with the child / young person, ensuring they have time to ask questions and share information. The social worker should also look for different ways in which they can do this as some children / young people may find it easier to draw or write things down rather than talk. </w:t>
            </w:r>
          </w:p>
          <w:p w14:paraId="11583AB2">
            <w:pPr>
              <w:spacing w:line="360" w:lineRule="auto"/>
              <w:jc w:val="both"/>
              <w:rPr>
                <w:sz w:val="24"/>
                <w:szCs w:val="24"/>
              </w:rPr>
            </w:pPr>
          </w:p>
          <w:p w14:paraId="00D0699A">
            <w:pPr>
              <w:spacing w:line="360" w:lineRule="auto"/>
              <w:jc w:val="both"/>
              <w:rPr>
                <w:iCs/>
                <w:sz w:val="24"/>
                <w:szCs w:val="24"/>
              </w:rPr>
            </w:pPr>
            <w:r>
              <w:rPr>
                <w:iCs/>
                <w:sz w:val="24"/>
                <w:szCs w:val="24"/>
              </w:rPr>
              <w:t xml:space="preserve">Child </w:t>
            </w:r>
            <w:r>
              <w:rPr>
                <w:rFonts w:hint="default"/>
                <w:iCs/>
                <w:sz w:val="24"/>
                <w:szCs w:val="24"/>
                <w:lang w:val="en-GB"/>
              </w:rPr>
              <w:t>1</w:t>
            </w:r>
            <w:r>
              <w:rPr>
                <w:iCs/>
                <w:sz w:val="24"/>
                <w:szCs w:val="24"/>
              </w:rPr>
              <w:t xml:space="preserve"> had been known to social services for a number of years and numerous referrals had been made to the safeguarding team which led to support being provided by the local authority under a safeguarding plan. Some examples of safeguarding referrals received were; that </w:t>
            </w:r>
            <w:r>
              <w:rPr>
                <w:rFonts w:hint="default"/>
                <w:iCs/>
                <w:sz w:val="24"/>
                <w:szCs w:val="24"/>
                <w:lang w:val="en-GB"/>
              </w:rPr>
              <w:t>1</w:t>
            </w:r>
            <w:r>
              <w:rPr>
                <w:iCs/>
                <w:sz w:val="24"/>
                <w:szCs w:val="24"/>
              </w:rPr>
              <w:t xml:space="preserve"> was playing out on the street all alone late at night and her clothing was not appropriate for the weather. In addition to this, the school reported that parents often failed to pick </w:t>
            </w:r>
            <w:r>
              <w:rPr>
                <w:rFonts w:hint="default"/>
                <w:iCs/>
                <w:sz w:val="24"/>
                <w:szCs w:val="24"/>
                <w:lang w:val="en-GB"/>
              </w:rPr>
              <w:t>1</w:t>
            </w:r>
            <w:r>
              <w:rPr>
                <w:iCs/>
                <w:sz w:val="24"/>
                <w:szCs w:val="24"/>
              </w:rPr>
              <w:t xml:space="preserve"> up at the end of the school day. Also, police reports were received regarding drug misuse at the property where </w:t>
            </w:r>
            <w:r>
              <w:rPr>
                <w:rFonts w:hint="default"/>
                <w:iCs/>
                <w:sz w:val="24"/>
                <w:szCs w:val="24"/>
                <w:lang w:val="en-GB"/>
              </w:rPr>
              <w:t>1</w:t>
            </w:r>
            <w:r>
              <w:rPr>
                <w:iCs/>
                <w:sz w:val="24"/>
                <w:szCs w:val="24"/>
              </w:rPr>
              <w:t xml:space="preserve"> was residing and the police were called a number of times over the years due</w:t>
            </w:r>
            <w:r>
              <w:rPr>
                <w:rFonts w:hint="default"/>
                <w:iCs/>
                <w:sz w:val="24"/>
                <w:szCs w:val="24"/>
                <w:lang w:val="en-GB"/>
              </w:rPr>
              <w:t xml:space="preserve"> to</w:t>
            </w:r>
            <w:r>
              <w:rPr>
                <w:iCs/>
                <w:sz w:val="24"/>
                <w:szCs w:val="24"/>
              </w:rPr>
              <w:t xml:space="preserve"> domestic abuse incidents between </w:t>
            </w:r>
            <w:r>
              <w:rPr>
                <w:rFonts w:hint="default"/>
                <w:iCs/>
                <w:sz w:val="24"/>
                <w:szCs w:val="24"/>
                <w:lang w:val="en-GB"/>
              </w:rPr>
              <w:t>1</w:t>
            </w:r>
            <w:r>
              <w:rPr>
                <w:iCs/>
                <w:sz w:val="24"/>
                <w:szCs w:val="24"/>
              </w:rPr>
              <w:t xml:space="preserve">’s mum and different partners. Subsequently, </w:t>
            </w:r>
            <w:r>
              <w:rPr>
                <w:rFonts w:hint="default"/>
                <w:iCs/>
                <w:sz w:val="24"/>
                <w:szCs w:val="24"/>
                <w:lang w:val="en-GB"/>
              </w:rPr>
              <w:t>1</w:t>
            </w:r>
            <w:r>
              <w:rPr>
                <w:iCs/>
                <w:sz w:val="24"/>
                <w:szCs w:val="24"/>
              </w:rPr>
              <w:t xml:space="preserve"> suffered a high number of adverse childhood experience’s (ACE’s</w:t>
            </w:r>
            <w:r>
              <w:rPr>
                <w:rFonts w:hint="default"/>
                <w:iCs/>
                <w:sz w:val="24"/>
                <w:szCs w:val="24"/>
                <w:lang w:val="en-GB"/>
              </w:rPr>
              <w:t xml:space="preserve"> which may impact on 1 later in life</w:t>
            </w:r>
            <w:r>
              <w:rPr>
                <w:iCs/>
                <w:sz w:val="24"/>
                <w:szCs w:val="24"/>
              </w:rPr>
              <w:t xml:space="preserve">) in her childhood, including witnessing domestic abuse and drug misuse, and suffered physical abuse from her mum. In addition to all this, in her teenage years, </w:t>
            </w:r>
            <w:r>
              <w:rPr>
                <w:rFonts w:hint="default"/>
                <w:iCs/>
                <w:sz w:val="24"/>
                <w:szCs w:val="24"/>
                <w:lang w:val="en-GB"/>
              </w:rPr>
              <w:t>1</w:t>
            </w:r>
            <w:r>
              <w:rPr>
                <w:iCs/>
                <w:sz w:val="24"/>
                <w:szCs w:val="24"/>
              </w:rPr>
              <w:t xml:space="preserve"> was sexually assaulted by her stepfather and the perpetrator received a jail sentence. Despite </w:t>
            </w:r>
            <w:r>
              <w:rPr>
                <w:rFonts w:hint="default"/>
                <w:iCs/>
                <w:sz w:val="24"/>
                <w:szCs w:val="24"/>
                <w:lang w:val="en-GB"/>
              </w:rPr>
              <w:t>1</w:t>
            </w:r>
            <w:r>
              <w:rPr>
                <w:iCs/>
                <w:sz w:val="24"/>
                <w:szCs w:val="24"/>
              </w:rPr>
              <w:t xml:space="preserve">’s mum trying to engage with the safeguarding team over the years, the improvements needed to keep </w:t>
            </w:r>
            <w:r>
              <w:rPr>
                <w:rFonts w:hint="default"/>
                <w:iCs/>
                <w:sz w:val="24"/>
                <w:szCs w:val="24"/>
                <w:lang w:val="en-GB"/>
              </w:rPr>
              <w:t>1</w:t>
            </w:r>
            <w:r>
              <w:rPr>
                <w:iCs/>
                <w:sz w:val="24"/>
                <w:szCs w:val="24"/>
              </w:rPr>
              <w:t xml:space="preserve"> safe were no</w:t>
            </w:r>
            <w:r>
              <w:rPr>
                <w:rFonts w:hint="default"/>
                <w:iCs/>
                <w:sz w:val="24"/>
                <w:szCs w:val="24"/>
                <w:lang w:val="en-GB"/>
              </w:rPr>
              <w:t>t</w:t>
            </w:r>
            <w:r>
              <w:rPr>
                <w:iCs/>
                <w:sz w:val="24"/>
                <w:szCs w:val="24"/>
              </w:rPr>
              <w:t xml:space="preserve"> made and therefore eventually a full care order was sought and </w:t>
            </w:r>
            <w:r>
              <w:rPr>
                <w:rFonts w:hint="default"/>
                <w:iCs/>
                <w:sz w:val="24"/>
                <w:szCs w:val="24"/>
                <w:lang w:val="en-GB"/>
              </w:rPr>
              <w:t>1</w:t>
            </w:r>
            <w:r>
              <w:rPr>
                <w:iCs/>
                <w:sz w:val="24"/>
                <w:szCs w:val="24"/>
              </w:rPr>
              <w:t xml:space="preserve"> was transferred to the Looked After Children Team (LAC).</w:t>
            </w:r>
          </w:p>
          <w:p w14:paraId="566FEF7E">
            <w:pPr>
              <w:spacing w:line="360" w:lineRule="auto"/>
              <w:jc w:val="both"/>
              <w:rPr>
                <w:iCs/>
                <w:sz w:val="24"/>
                <w:szCs w:val="24"/>
              </w:rPr>
            </w:pPr>
          </w:p>
          <w:p w14:paraId="1F43979B">
            <w:pPr>
              <w:spacing w:line="360" w:lineRule="auto"/>
              <w:jc w:val="both"/>
              <w:rPr>
                <w:sz w:val="24"/>
                <w:szCs w:val="24"/>
              </w:rPr>
            </w:pPr>
            <w:r>
              <w:rPr>
                <w:rFonts w:hint="default"/>
                <w:iCs/>
                <w:sz w:val="24"/>
                <w:szCs w:val="24"/>
                <w:lang w:val="en-GB"/>
              </w:rPr>
              <w:t>1</w:t>
            </w:r>
            <w:r>
              <w:rPr>
                <w:iCs/>
                <w:sz w:val="24"/>
                <w:szCs w:val="24"/>
              </w:rPr>
              <w:t xml:space="preserve"> was 15 when she was transferred from the LAC to the Leaving Care Team. My first meeting with </w:t>
            </w:r>
            <w:r>
              <w:rPr>
                <w:rFonts w:hint="default"/>
                <w:iCs/>
                <w:sz w:val="24"/>
                <w:szCs w:val="24"/>
                <w:lang w:val="en-GB"/>
              </w:rPr>
              <w:t>1</w:t>
            </w:r>
            <w:r>
              <w:rPr>
                <w:iCs/>
                <w:sz w:val="24"/>
                <w:szCs w:val="24"/>
              </w:rPr>
              <w:t xml:space="preserve"> and </w:t>
            </w:r>
            <w:r>
              <w:rPr>
                <w:rFonts w:hint="default"/>
                <w:iCs/>
                <w:sz w:val="24"/>
                <w:szCs w:val="24"/>
                <w:lang w:val="en-GB"/>
              </w:rPr>
              <w:t>1</w:t>
            </w:r>
            <w:r>
              <w:rPr>
                <w:iCs/>
                <w:sz w:val="24"/>
                <w:szCs w:val="24"/>
              </w:rPr>
              <w:t xml:space="preserve">’s previous social worker resulted in the foster carer informing me that </w:t>
            </w:r>
            <w:r>
              <w:rPr>
                <w:rFonts w:hint="default"/>
                <w:iCs/>
                <w:sz w:val="24"/>
                <w:szCs w:val="24"/>
                <w:lang w:val="en-GB"/>
              </w:rPr>
              <w:t>1</w:t>
            </w:r>
            <w:r>
              <w:rPr>
                <w:iCs/>
                <w:sz w:val="24"/>
                <w:szCs w:val="24"/>
              </w:rPr>
              <w:t xml:space="preserve"> had left the house just before we had arrived as </w:t>
            </w:r>
            <w:r>
              <w:rPr>
                <w:rFonts w:hint="default"/>
                <w:iCs/>
                <w:sz w:val="24"/>
                <w:szCs w:val="24"/>
                <w:lang w:val="en-GB"/>
              </w:rPr>
              <w:t xml:space="preserve">she </w:t>
            </w:r>
            <w:r>
              <w:rPr>
                <w:iCs/>
                <w:sz w:val="24"/>
                <w:szCs w:val="24"/>
              </w:rPr>
              <w:t xml:space="preserve">did not want to engage with us. The foster carer tried to call her but </w:t>
            </w:r>
            <w:r>
              <w:rPr>
                <w:rFonts w:hint="default"/>
                <w:iCs/>
                <w:sz w:val="24"/>
                <w:szCs w:val="24"/>
                <w:lang w:val="en-GB"/>
              </w:rPr>
              <w:t>1</w:t>
            </w:r>
            <w:r>
              <w:rPr>
                <w:iCs/>
                <w:sz w:val="24"/>
                <w:szCs w:val="24"/>
              </w:rPr>
              <w:t xml:space="preserve"> wouldn’t answer her mobile phone. I quickly learned that this was an on-going pattern for </w:t>
            </w:r>
            <w:r>
              <w:rPr>
                <w:rFonts w:hint="default"/>
                <w:iCs/>
                <w:sz w:val="24"/>
                <w:szCs w:val="24"/>
                <w:lang w:val="en-GB"/>
              </w:rPr>
              <w:t>1</w:t>
            </w:r>
            <w:r>
              <w:rPr>
                <w:iCs/>
                <w:sz w:val="24"/>
                <w:szCs w:val="24"/>
              </w:rPr>
              <w:t xml:space="preserve"> due to the adverse experiences she had faced which had led to significant trust and attachment issues. </w:t>
            </w:r>
            <w:r>
              <w:rPr>
                <w:sz w:val="24"/>
                <w:szCs w:val="24"/>
              </w:rPr>
              <w:t>One of the most predominate theory’s for attachment is the one of John Bowlby (1953) as he believes that any negative behaviour/trauma can affect the development of the child and could permanently shape a child’s development and personality. This is backed up by Payne (2005) who states that ‘</w:t>
            </w:r>
            <w:r>
              <w:rPr>
                <w:i/>
                <w:sz w:val="24"/>
                <w:szCs w:val="24"/>
              </w:rPr>
              <w:t>how we are depends on how we experience early relationships</w:t>
            </w:r>
            <w:r>
              <w:rPr>
                <w:sz w:val="24"/>
                <w:szCs w:val="24"/>
              </w:rPr>
              <w:t xml:space="preserve">’ (p. 81) and this literature certainly supported </w:t>
            </w:r>
            <w:r>
              <w:rPr>
                <w:rFonts w:hint="default"/>
                <w:sz w:val="24"/>
                <w:szCs w:val="24"/>
                <w:lang w:val="en-GB"/>
              </w:rPr>
              <w:t>1</w:t>
            </w:r>
            <w:r>
              <w:rPr>
                <w:sz w:val="24"/>
                <w:szCs w:val="24"/>
              </w:rPr>
              <w:t xml:space="preserve">’s behaviours at this time. </w:t>
            </w:r>
          </w:p>
          <w:p w14:paraId="09B16EC0">
            <w:pPr>
              <w:spacing w:line="360" w:lineRule="auto"/>
              <w:jc w:val="both"/>
            </w:pPr>
          </w:p>
          <w:p w14:paraId="7F1BEAA6">
            <w:pPr>
              <w:spacing w:line="360" w:lineRule="auto"/>
              <w:jc w:val="both"/>
              <w:rPr>
                <w:iCs/>
                <w:sz w:val="24"/>
                <w:szCs w:val="24"/>
              </w:rPr>
            </w:pPr>
            <w:r>
              <w:rPr>
                <w:iCs/>
                <w:sz w:val="24"/>
                <w:szCs w:val="24"/>
              </w:rPr>
              <w:t xml:space="preserve">When I finally met with </w:t>
            </w:r>
            <w:r>
              <w:rPr>
                <w:rFonts w:hint="default"/>
                <w:iCs/>
                <w:sz w:val="24"/>
                <w:szCs w:val="24"/>
                <w:lang w:val="en-GB"/>
              </w:rPr>
              <w:t>1</w:t>
            </w:r>
            <w:r>
              <w:rPr>
                <w:iCs/>
                <w:sz w:val="24"/>
                <w:szCs w:val="24"/>
              </w:rPr>
              <w:t xml:space="preserve"> and her previous social worker to complete the hand over, </w:t>
            </w:r>
            <w:r>
              <w:rPr>
                <w:rFonts w:hint="default"/>
                <w:iCs/>
                <w:sz w:val="24"/>
                <w:szCs w:val="24"/>
                <w:lang w:val="en-GB"/>
              </w:rPr>
              <w:t>1</w:t>
            </w:r>
            <w:r>
              <w:rPr>
                <w:iCs/>
                <w:sz w:val="24"/>
                <w:szCs w:val="24"/>
              </w:rPr>
              <w:t xml:space="preserve"> presented as very well-mannered but </w:t>
            </w:r>
            <w:r>
              <w:rPr>
                <w:rFonts w:hint="default"/>
                <w:iCs/>
                <w:sz w:val="24"/>
                <w:szCs w:val="24"/>
                <w:lang w:val="en-GB"/>
              </w:rPr>
              <w:t xml:space="preserve">I was aware of </w:t>
            </w:r>
            <w:r>
              <w:rPr>
                <w:iCs/>
                <w:sz w:val="24"/>
                <w:szCs w:val="24"/>
              </w:rPr>
              <w:t xml:space="preserve">the atmosphere in the room </w:t>
            </w:r>
            <w:r>
              <w:rPr>
                <w:rFonts w:hint="default"/>
                <w:iCs/>
                <w:sz w:val="24"/>
                <w:szCs w:val="24"/>
                <w:lang w:val="en-GB"/>
              </w:rPr>
              <w:t xml:space="preserve">it </w:t>
            </w:r>
            <w:r>
              <w:rPr>
                <w:iCs/>
                <w:sz w:val="24"/>
                <w:szCs w:val="24"/>
              </w:rPr>
              <w:t xml:space="preserve">felt tense with minimal communication. I was mindful that I needed to be sensitive to yet another change for this young person who had had so little stability in her life. I tried to let </w:t>
            </w:r>
            <w:r>
              <w:rPr>
                <w:rFonts w:hint="default"/>
                <w:iCs/>
                <w:sz w:val="24"/>
                <w:szCs w:val="24"/>
                <w:lang w:val="en-GB"/>
              </w:rPr>
              <w:t>1</w:t>
            </w:r>
            <w:r>
              <w:rPr>
                <w:iCs/>
                <w:sz w:val="24"/>
                <w:szCs w:val="24"/>
              </w:rPr>
              <w:t xml:space="preserve"> know that I was aware she may be concerned about the loss of her previous social worker with, and having to develop a new relationship with me may be hard. It’s well-known within practice that a change in social workers can have a detrimental effect on a child / young person’s engagement with social services and so I prepared myself for old behaviours to re-appear. Whilst I did not want to appear judgemental by feeling this, as it is against social work values, I was aware of everything </w:t>
            </w:r>
            <w:r>
              <w:rPr>
                <w:rFonts w:hint="default"/>
                <w:iCs/>
                <w:sz w:val="24"/>
                <w:szCs w:val="24"/>
                <w:lang w:val="en-GB"/>
              </w:rPr>
              <w:t>1</w:t>
            </w:r>
            <w:r>
              <w:rPr>
                <w:iCs/>
                <w:sz w:val="24"/>
                <w:szCs w:val="24"/>
              </w:rPr>
              <w:t xml:space="preserve"> had been through and how this might affect her engagement with me. Therefore I needed to ensure I was allowing </w:t>
            </w:r>
            <w:r>
              <w:rPr>
                <w:rFonts w:hint="default"/>
                <w:iCs/>
                <w:sz w:val="24"/>
                <w:szCs w:val="24"/>
                <w:lang w:val="en-GB"/>
              </w:rPr>
              <w:t>1</w:t>
            </w:r>
            <w:r>
              <w:rPr>
                <w:iCs/>
                <w:sz w:val="24"/>
                <w:szCs w:val="24"/>
              </w:rPr>
              <w:t xml:space="preserve"> that period of readjustment without feeling that she was ‘failing’. This is supported by Carter R, (2019) who notes that many care experienced children and young people felt the biggest factor for disruption to their lives is having a change of social worker and many report this can be very stressful. Within a space of 2 weeks from </w:t>
            </w:r>
            <w:r>
              <w:rPr>
                <w:rFonts w:hint="default"/>
                <w:iCs/>
                <w:sz w:val="24"/>
                <w:szCs w:val="24"/>
                <w:lang w:val="en-GB"/>
              </w:rPr>
              <w:t>1</w:t>
            </w:r>
            <w:r>
              <w:rPr>
                <w:iCs/>
                <w:sz w:val="24"/>
                <w:szCs w:val="24"/>
              </w:rPr>
              <w:t xml:space="preserve"> being transferred to me she was reported missing almost every night. During this period I maintained regular </w:t>
            </w:r>
            <w:r>
              <w:rPr>
                <w:rFonts w:hint="default"/>
                <w:iCs/>
                <w:sz w:val="24"/>
                <w:szCs w:val="24"/>
                <w:lang w:val="en-GB"/>
              </w:rPr>
              <w:t>communication</w:t>
            </w:r>
            <w:r>
              <w:rPr>
                <w:iCs/>
                <w:sz w:val="24"/>
                <w:szCs w:val="24"/>
              </w:rPr>
              <w:t xml:space="preserve"> with </w:t>
            </w:r>
            <w:r>
              <w:rPr>
                <w:rFonts w:hint="default"/>
                <w:iCs/>
                <w:sz w:val="24"/>
                <w:szCs w:val="24"/>
                <w:lang w:val="en-GB"/>
              </w:rPr>
              <w:t>1</w:t>
            </w:r>
            <w:r>
              <w:rPr>
                <w:iCs/>
                <w:sz w:val="24"/>
                <w:szCs w:val="24"/>
              </w:rPr>
              <w:t xml:space="preserve">’s foster carer, the police, </w:t>
            </w:r>
            <w:r>
              <w:rPr>
                <w:rFonts w:hint="default"/>
                <w:iCs/>
                <w:sz w:val="24"/>
                <w:szCs w:val="24"/>
                <w:lang w:val="en-GB"/>
              </w:rPr>
              <w:t>1</w:t>
            </w:r>
            <w:r>
              <w:rPr>
                <w:iCs/>
                <w:sz w:val="24"/>
                <w:szCs w:val="24"/>
              </w:rPr>
              <w:t xml:space="preserve">’s school and also </w:t>
            </w:r>
            <w:r>
              <w:rPr>
                <w:rFonts w:hint="default"/>
                <w:iCs/>
                <w:sz w:val="24"/>
                <w:szCs w:val="24"/>
                <w:lang w:val="en-GB"/>
              </w:rPr>
              <w:t>1</w:t>
            </w:r>
            <w:r>
              <w:rPr>
                <w:iCs/>
                <w:sz w:val="24"/>
                <w:szCs w:val="24"/>
              </w:rPr>
              <w:t>’s family support worker</w:t>
            </w:r>
            <w:r>
              <w:rPr>
                <w:rFonts w:hint="default"/>
                <w:iCs/>
                <w:sz w:val="24"/>
                <w:szCs w:val="24"/>
                <w:lang w:val="en-GB"/>
              </w:rPr>
              <w:t>.</w:t>
            </w:r>
            <w:r>
              <w:rPr>
                <w:iCs/>
                <w:sz w:val="24"/>
                <w:szCs w:val="24"/>
              </w:rPr>
              <w:t xml:space="preserve"> Partnership working at this point was an extremely significant part of trying to keep </w:t>
            </w:r>
            <w:r>
              <w:rPr>
                <w:rFonts w:hint="default"/>
                <w:iCs/>
                <w:sz w:val="24"/>
                <w:szCs w:val="24"/>
                <w:lang w:val="en-GB"/>
              </w:rPr>
              <w:t xml:space="preserve">1 </w:t>
            </w:r>
            <w:r>
              <w:rPr>
                <w:iCs/>
                <w:sz w:val="24"/>
                <w:szCs w:val="24"/>
              </w:rPr>
              <w:t xml:space="preserve">safe, particularly as the other professionals had known </w:t>
            </w:r>
            <w:r>
              <w:rPr>
                <w:rFonts w:hint="default"/>
                <w:iCs/>
                <w:sz w:val="24"/>
                <w:szCs w:val="24"/>
                <w:lang w:val="en-GB"/>
              </w:rPr>
              <w:t>1</w:t>
            </w:r>
            <w:r>
              <w:rPr>
                <w:iCs/>
                <w:sz w:val="24"/>
                <w:szCs w:val="24"/>
              </w:rPr>
              <w:t xml:space="preserve"> for much longer than me at this point. </w:t>
            </w:r>
            <w:r>
              <w:rPr>
                <w:sz w:val="24"/>
                <w:szCs w:val="24"/>
              </w:rPr>
              <w:t xml:space="preserve">Working in partnership as defined by Carnwell and Buchanan (2004) is where more than one professional work together to improves the lives of vulnerable people within health and social care system and I felt at this point, is what all the professionals working with </w:t>
            </w:r>
            <w:r>
              <w:rPr>
                <w:rFonts w:hint="default"/>
                <w:sz w:val="24"/>
                <w:szCs w:val="24"/>
                <w:lang w:val="en-GB"/>
              </w:rPr>
              <w:t>1</w:t>
            </w:r>
            <w:r>
              <w:rPr>
                <w:sz w:val="24"/>
                <w:szCs w:val="24"/>
              </w:rPr>
              <w:t xml:space="preserve"> were doing.  </w:t>
            </w:r>
          </w:p>
          <w:p w14:paraId="6D05DE3C">
            <w:pPr>
              <w:spacing w:line="360" w:lineRule="auto"/>
              <w:jc w:val="both"/>
              <w:rPr>
                <w:sz w:val="24"/>
                <w:szCs w:val="24"/>
              </w:rPr>
            </w:pPr>
          </w:p>
          <w:p w14:paraId="43038AFE">
            <w:pPr>
              <w:spacing w:line="360" w:lineRule="auto"/>
              <w:jc w:val="both"/>
              <w:rPr>
                <w:iCs/>
                <w:sz w:val="24"/>
                <w:szCs w:val="24"/>
              </w:rPr>
            </w:pPr>
            <w:r>
              <w:rPr>
                <w:iCs/>
                <w:sz w:val="24"/>
                <w:szCs w:val="24"/>
              </w:rPr>
              <w:t xml:space="preserve">Adhering to the safeguarding process set out by the local authority’s policies and procedures and the legislation form </w:t>
            </w:r>
            <w:r>
              <w:rPr>
                <w:sz w:val="24"/>
                <w:szCs w:val="24"/>
              </w:rPr>
              <w:t>SSWBA14</w:t>
            </w:r>
            <w:r>
              <w:rPr>
                <w:iCs/>
                <w:sz w:val="24"/>
                <w:szCs w:val="24"/>
              </w:rPr>
              <w:t xml:space="preserve"> and CA 1989, I requested a strategy meeting to establish if a new S47 investigation was needed. This involved me inviting all professionals who were, or had recently been, involved with </w:t>
            </w:r>
            <w:r>
              <w:rPr>
                <w:rFonts w:hint="default"/>
                <w:iCs/>
                <w:sz w:val="24"/>
                <w:szCs w:val="24"/>
                <w:lang w:val="en-GB"/>
              </w:rPr>
              <w:t xml:space="preserve">1, </w:t>
            </w:r>
            <w:r>
              <w:rPr>
                <w:iCs/>
                <w:sz w:val="24"/>
                <w:szCs w:val="24"/>
              </w:rPr>
              <w:t xml:space="preserve">as I needed to gain as much information about </w:t>
            </w:r>
            <w:r>
              <w:rPr>
                <w:rFonts w:hint="default"/>
                <w:iCs/>
                <w:sz w:val="24"/>
                <w:szCs w:val="24"/>
                <w:lang w:val="en-GB"/>
              </w:rPr>
              <w:t>1</w:t>
            </w:r>
            <w:r>
              <w:rPr>
                <w:iCs/>
                <w:sz w:val="24"/>
                <w:szCs w:val="24"/>
              </w:rPr>
              <w:t xml:space="preserve"> as possible liaising with other professionals who had known her longer was an imperative part of the safeguarding investigation. Sharing of information between different agencies in order to protect children, was a recommendation from Laming’s report into the death of Victoria Climbie Laming (2003) which drew attention to the poor information sharing between organisations involved with Victoria. It was surmised that this poor information sharing was what eventually led to her death. In addition, Lees, A (2017) notes that when information sharing is done well the risks to children and young people are at worst minimised and at best evaded completely. This is a good example of working in line with the NOS Key Roles 3 and 4. </w:t>
            </w:r>
          </w:p>
          <w:p w14:paraId="79F8103B">
            <w:pPr>
              <w:pStyle w:val="29"/>
              <w:spacing w:line="360" w:lineRule="auto"/>
              <w:jc w:val="both"/>
              <w:rPr>
                <w:color w:val="auto"/>
              </w:rPr>
            </w:pPr>
            <w:r>
              <w:rPr>
                <w:rFonts w:eastAsia="Times New Roman"/>
                <w:iCs/>
                <w:color w:val="auto"/>
                <w:lang w:eastAsia="en-GB"/>
              </w:rPr>
              <w:t xml:space="preserve">The S47 strategy discussion took place via conference call, as </w:t>
            </w:r>
            <w:r>
              <w:rPr>
                <w:rFonts w:hint="default" w:eastAsia="Times New Roman"/>
                <w:iCs/>
                <w:color w:val="auto"/>
                <w:lang w:val="en-US" w:eastAsia="en-GB"/>
              </w:rPr>
              <w:t>1</w:t>
            </w:r>
            <w:r>
              <w:rPr>
                <w:rFonts w:eastAsia="Times New Roman"/>
                <w:iCs/>
                <w:color w:val="auto"/>
                <w:lang w:eastAsia="en-GB"/>
              </w:rPr>
              <w:t xml:space="preserve">’s school was out of county and the police could also not attend the meeting physically so this was the most efficient way everyone to be part of this discussion. However, my manager and the family support worker were in the same office as me. The meeting started by each professional giving a detailed account of their safeguarding concerns which resulted in the following concerns being ascertained. </w:t>
            </w:r>
            <w:r>
              <w:rPr>
                <w:rFonts w:hint="default" w:eastAsia="Times New Roman"/>
                <w:iCs/>
                <w:color w:val="auto"/>
                <w:lang w:val="en-US" w:eastAsia="en-GB"/>
              </w:rPr>
              <w:t>1</w:t>
            </w:r>
            <w:r>
              <w:rPr>
                <w:rFonts w:eastAsia="Times New Roman"/>
                <w:iCs/>
                <w:color w:val="auto"/>
                <w:lang w:eastAsia="en-GB"/>
              </w:rPr>
              <w:t xml:space="preserve"> was allegedly associating with a group of young people that were all known to the local Police and Social Services. It appeared that </w:t>
            </w:r>
            <w:r>
              <w:rPr>
                <w:rFonts w:hint="default" w:eastAsia="Times New Roman"/>
                <w:iCs/>
                <w:color w:val="auto"/>
                <w:lang w:val="en-US" w:eastAsia="en-GB"/>
              </w:rPr>
              <w:t>1</w:t>
            </w:r>
            <w:r>
              <w:rPr>
                <w:rFonts w:eastAsia="Times New Roman"/>
                <w:iCs/>
                <w:color w:val="auto"/>
                <w:lang w:eastAsia="en-GB"/>
              </w:rPr>
              <w:t xml:space="preserve"> was potentially at risk of Child Criminal Exploitation (CCE) as </w:t>
            </w:r>
            <w:r>
              <w:rPr>
                <w:rFonts w:hint="default" w:eastAsia="Times New Roman"/>
                <w:iCs/>
                <w:color w:val="auto"/>
                <w:lang w:val="en-US" w:eastAsia="en-GB"/>
              </w:rPr>
              <w:t>1</w:t>
            </w:r>
            <w:r>
              <w:rPr>
                <w:rFonts w:eastAsia="Times New Roman"/>
                <w:iCs/>
                <w:color w:val="auto"/>
                <w:lang w:eastAsia="en-GB"/>
              </w:rPr>
              <w:t xml:space="preserve">’s best friend had been found in a hotel room with an older male and a substantial amount of money and </w:t>
            </w:r>
            <w:r>
              <w:rPr>
                <w:rFonts w:hint="default" w:eastAsia="Times New Roman"/>
                <w:iCs/>
                <w:color w:val="auto"/>
                <w:lang w:val="en-US" w:eastAsia="en-GB"/>
              </w:rPr>
              <w:t>1</w:t>
            </w:r>
            <w:r>
              <w:rPr>
                <w:rFonts w:eastAsia="Times New Roman"/>
                <w:iCs/>
                <w:color w:val="auto"/>
                <w:lang w:eastAsia="en-GB"/>
              </w:rPr>
              <w:t xml:space="preserve"> was also in contact with this man which was a big concern for us. </w:t>
            </w:r>
            <w:r>
              <w:rPr>
                <w:color w:val="auto"/>
              </w:rPr>
              <w:t>CSE is “</w:t>
            </w:r>
            <w:r>
              <w:rPr>
                <w:i/>
                <w:iCs/>
                <w:color w:val="auto"/>
              </w:rPr>
              <w:t xml:space="preserve">the coercion or manipulation of children and young people into taking part in sexual activities. It is a form of sexual abuse involving an exchange of some form of payment which can include money, mobile phones and other items, drugs, alcohol, a place to stay, ‘protection’ or affection. The vulnerability of the young person and grooming process employed by perpetrators renders them powerless to recognise the exploitative nature of relationships and unable to give informed consent” </w:t>
            </w:r>
            <w:r>
              <w:rPr>
                <w:iCs/>
                <w:color w:val="auto"/>
              </w:rPr>
              <w:t xml:space="preserve">(All Wales Protocol). This description depicts very clearly why children and young people in the care system are east targets for CSE and this is why we needed to be vigilant in respect of safeguarding </w:t>
            </w:r>
            <w:r>
              <w:rPr>
                <w:rFonts w:hint="default"/>
                <w:iCs/>
                <w:color w:val="auto"/>
                <w:lang w:val="en-GB"/>
              </w:rPr>
              <w:t>1</w:t>
            </w:r>
            <w:r>
              <w:rPr>
                <w:iCs/>
                <w:color w:val="auto"/>
              </w:rPr>
              <w:t xml:space="preserve"> with this. </w:t>
            </w:r>
          </w:p>
          <w:p w14:paraId="3C939F18">
            <w:pPr>
              <w:spacing w:line="360" w:lineRule="auto"/>
              <w:jc w:val="both"/>
              <w:rPr>
                <w:iCs/>
                <w:sz w:val="24"/>
                <w:szCs w:val="24"/>
              </w:rPr>
            </w:pPr>
          </w:p>
          <w:p w14:paraId="064B38B5">
            <w:pPr>
              <w:spacing w:line="360" w:lineRule="auto"/>
              <w:jc w:val="both"/>
              <w:rPr>
                <w:iCs/>
                <w:sz w:val="24"/>
                <w:szCs w:val="24"/>
              </w:rPr>
            </w:pPr>
            <w:r>
              <w:rPr>
                <w:iCs/>
                <w:sz w:val="24"/>
                <w:szCs w:val="24"/>
              </w:rPr>
              <w:t xml:space="preserve">During this S47 strategy discussion, </w:t>
            </w:r>
            <w:r>
              <w:rPr>
                <w:rFonts w:hint="default"/>
                <w:iCs/>
                <w:sz w:val="24"/>
                <w:szCs w:val="24"/>
                <w:lang w:val="en-GB"/>
              </w:rPr>
              <w:t>1</w:t>
            </w:r>
            <w:r>
              <w:rPr>
                <w:iCs/>
                <w:sz w:val="24"/>
                <w:szCs w:val="24"/>
              </w:rPr>
              <w:t xml:space="preserve">’s teacher </w:t>
            </w:r>
            <w:r>
              <w:rPr>
                <w:rFonts w:hint="default"/>
                <w:iCs/>
                <w:sz w:val="24"/>
                <w:szCs w:val="24"/>
                <w:lang w:val="en-GB"/>
              </w:rPr>
              <w:t>indicated</w:t>
            </w:r>
            <w:r>
              <w:rPr>
                <w:iCs/>
                <w:sz w:val="24"/>
                <w:szCs w:val="24"/>
              </w:rPr>
              <w:t xml:space="preserve"> </w:t>
            </w:r>
            <w:r>
              <w:rPr>
                <w:rFonts w:hint="default"/>
                <w:iCs/>
                <w:sz w:val="24"/>
                <w:szCs w:val="24"/>
                <w:lang w:val="en-GB"/>
              </w:rPr>
              <w:t>1</w:t>
            </w:r>
            <w:r>
              <w:rPr>
                <w:iCs/>
                <w:sz w:val="24"/>
                <w:szCs w:val="24"/>
              </w:rPr>
              <w:t xml:space="preserve"> was using </w:t>
            </w:r>
            <w:r>
              <w:rPr>
                <w:rFonts w:hint="default"/>
                <w:iCs/>
                <w:sz w:val="24"/>
                <w:szCs w:val="24"/>
                <w:lang w:val="en-GB"/>
              </w:rPr>
              <w:t>her reduced time table to</w:t>
            </w:r>
            <w:r>
              <w:rPr>
                <w:iCs/>
                <w:sz w:val="24"/>
                <w:szCs w:val="24"/>
              </w:rPr>
              <w:t xml:space="preserve"> socialise with her friends and refused to attend any lessons at all. In addition to this, </w:t>
            </w:r>
            <w:r>
              <w:rPr>
                <w:rFonts w:hint="default"/>
                <w:iCs/>
                <w:sz w:val="24"/>
                <w:szCs w:val="24"/>
                <w:lang w:val="en-GB"/>
              </w:rPr>
              <w:t>1</w:t>
            </w:r>
            <w:r>
              <w:rPr>
                <w:iCs/>
                <w:sz w:val="24"/>
                <w:szCs w:val="24"/>
              </w:rPr>
              <w:t xml:space="preserve">’s Head teacher reported that they had recently had to call an ambulance to the school as </w:t>
            </w:r>
            <w:r>
              <w:rPr>
                <w:rFonts w:hint="default"/>
                <w:iCs/>
                <w:sz w:val="24"/>
                <w:szCs w:val="24"/>
                <w:lang w:val="en-GB"/>
              </w:rPr>
              <w:t>1</w:t>
            </w:r>
            <w:r>
              <w:rPr>
                <w:iCs/>
                <w:sz w:val="24"/>
                <w:szCs w:val="24"/>
              </w:rPr>
              <w:t xml:space="preserve"> had presented to staff stating she had taken a mixture of legal and illegal substances and had started to feel unwell. At the hospital the Child and Adolescent Mental Health Service (CAMHS) assessed </w:t>
            </w:r>
            <w:r>
              <w:rPr>
                <w:rFonts w:hint="default"/>
                <w:iCs/>
                <w:sz w:val="24"/>
                <w:szCs w:val="24"/>
                <w:lang w:val="en-GB"/>
              </w:rPr>
              <w:t>1</w:t>
            </w:r>
            <w:r>
              <w:rPr>
                <w:iCs/>
                <w:sz w:val="24"/>
                <w:szCs w:val="24"/>
              </w:rPr>
              <w:t xml:space="preserve"> and reported to me that </w:t>
            </w:r>
            <w:r>
              <w:rPr>
                <w:rFonts w:hint="default"/>
                <w:iCs/>
                <w:sz w:val="24"/>
                <w:szCs w:val="24"/>
                <w:lang w:val="en-GB"/>
              </w:rPr>
              <w:t>1</w:t>
            </w:r>
            <w:r>
              <w:rPr>
                <w:iCs/>
                <w:sz w:val="24"/>
                <w:szCs w:val="24"/>
              </w:rPr>
              <w:t xml:space="preserve"> had informed her that she did not mean to overdose, that she had just been trying it for fun but had then got worried when she felt unwell. Therefore the CAHMS worker advised me that her assessment was that </w:t>
            </w:r>
            <w:r>
              <w:rPr>
                <w:rFonts w:hint="default"/>
                <w:iCs/>
                <w:sz w:val="24"/>
                <w:szCs w:val="24"/>
                <w:lang w:val="en-GB"/>
              </w:rPr>
              <w:t>1</w:t>
            </w:r>
            <w:r>
              <w:rPr>
                <w:iCs/>
                <w:sz w:val="24"/>
                <w:szCs w:val="24"/>
              </w:rPr>
              <w:t xml:space="preserve"> had been ‘recreationally experimenting’ and was not a suicide risk. Due to everything detailed above, it was agreed that weekly multiagency meetings were to be held as it was felt by all professionals involved that </w:t>
            </w:r>
            <w:r>
              <w:rPr>
                <w:rFonts w:hint="default"/>
                <w:iCs/>
                <w:sz w:val="24"/>
                <w:szCs w:val="24"/>
                <w:lang w:val="en-GB"/>
              </w:rPr>
              <w:t>1</w:t>
            </w:r>
            <w:r>
              <w:rPr>
                <w:iCs/>
                <w:sz w:val="24"/>
                <w:szCs w:val="24"/>
              </w:rPr>
              <w:t xml:space="preserve">’s risks were increasing significantly. During these weekly meetings it became clear that risks were escalating further and the general consensus of the professionals involved was that we needed to consider moving </w:t>
            </w:r>
            <w:r>
              <w:rPr>
                <w:rFonts w:hint="default"/>
                <w:iCs/>
                <w:sz w:val="24"/>
                <w:szCs w:val="24"/>
                <w:lang w:val="en-GB"/>
              </w:rPr>
              <w:t>1</w:t>
            </w:r>
            <w:r>
              <w:rPr>
                <w:iCs/>
                <w:sz w:val="24"/>
                <w:szCs w:val="24"/>
              </w:rPr>
              <w:t xml:space="preserve"> to an out of county placement. This would minimise the risk as it should prevent or minimise </w:t>
            </w:r>
            <w:r>
              <w:rPr>
                <w:rFonts w:hint="default"/>
                <w:iCs/>
                <w:sz w:val="24"/>
                <w:szCs w:val="24"/>
                <w:lang w:val="en-GB"/>
              </w:rPr>
              <w:t>1</w:t>
            </w:r>
            <w:r>
              <w:rPr>
                <w:iCs/>
                <w:sz w:val="24"/>
                <w:szCs w:val="24"/>
              </w:rPr>
              <w:t xml:space="preserve">’s interaction with the group of peers that were putting her at risk. This S47 investigation, follow up meetings and planning is in line with Key Role 4 in the National Occupational Standards for Social Workers in Wales. It’s also a good demonstration of CoPP 4 as I was taking steps to minimise the risks of harm to </w:t>
            </w:r>
            <w:r>
              <w:rPr>
                <w:rFonts w:hint="default"/>
                <w:iCs/>
                <w:sz w:val="24"/>
                <w:szCs w:val="24"/>
                <w:lang w:val="en-GB"/>
              </w:rPr>
              <w:t>1</w:t>
            </w:r>
            <w:r>
              <w:rPr>
                <w:iCs/>
                <w:sz w:val="24"/>
                <w:szCs w:val="24"/>
              </w:rPr>
              <w:t>.</w:t>
            </w:r>
          </w:p>
          <w:p w14:paraId="31A1EE36">
            <w:pPr>
              <w:spacing w:line="360" w:lineRule="auto"/>
              <w:jc w:val="both"/>
              <w:rPr>
                <w:iCs/>
                <w:sz w:val="24"/>
                <w:szCs w:val="24"/>
              </w:rPr>
            </w:pPr>
          </w:p>
          <w:p w14:paraId="0ECB3B31">
            <w:pPr>
              <w:spacing w:line="360" w:lineRule="auto"/>
              <w:jc w:val="both"/>
            </w:pPr>
            <w:r>
              <w:rPr>
                <w:iCs/>
                <w:sz w:val="24"/>
                <w:szCs w:val="24"/>
              </w:rPr>
              <w:t xml:space="preserve">During this time of looking for an out of county placement, </w:t>
            </w:r>
            <w:r>
              <w:rPr>
                <w:rFonts w:hint="default"/>
                <w:iCs/>
                <w:sz w:val="24"/>
                <w:szCs w:val="24"/>
                <w:lang w:val="en-GB"/>
              </w:rPr>
              <w:t>1</w:t>
            </w:r>
            <w:r>
              <w:rPr>
                <w:iCs/>
                <w:sz w:val="24"/>
                <w:szCs w:val="24"/>
              </w:rPr>
              <w:t xml:space="preserve"> went missing for over a week. Police searched the homes of all </w:t>
            </w:r>
            <w:r>
              <w:rPr>
                <w:rFonts w:hint="default"/>
                <w:iCs/>
                <w:sz w:val="24"/>
                <w:szCs w:val="24"/>
                <w:lang w:val="en-GB"/>
              </w:rPr>
              <w:t>1</w:t>
            </w:r>
            <w:r>
              <w:rPr>
                <w:iCs/>
                <w:sz w:val="24"/>
                <w:szCs w:val="24"/>
              </w:rPr>
              <w:t xml:space="preserve">’s known friends but she was not found. As each day came and went I felt more nervous reflecting what would happen if </w:t>
            </w:r>
            <w:r>
              <w:rPr>
                <w:rFonts w:hint="default"/>
                <w:iCs/>
                <w:sz w:val="24"/>
                <w:szCs w:val="24"/>
                <w:lang w:val="en-GB"/>
              </w:rPr>
              <w:t>1</w:t>
            </w:r>
            <w:r>
              <w:rPr>
                <w:iCs/>
                <w:sz w:val="24"/>
                <w:szCs w:val="24"/>
              </w:rPr>
              <w:t xml:space="preserve"> was found dead or injured and this was an extremely difficult point of my social work career. Whilst I was aware that we were taking a multidisciplinary approach to the case, I felt responsible as her social worker for any harm she might come to. During this time I utilised informal and formal supervision from my manger as I was aware of the accountability I faced if anything had happened to </w:t>
            </w:r>
            <w:r>
              <w:rPr>
                <w:rFonts w:hint="default"/>
                <w:iCs/>
                <w:sz w:val="24"/>
                <w:szCs w:val="24"/>
                <w:lang w:val="en-GB"/>
              </w:rPr>
              <w:t>1</w:t>
            </w:r>
            <w:r>
              <w:rPr>
                <w:iCs/>
                <w:sz w:val="24"/>
                <w:szCs w:val="24"/>
              </w:rPr>
              <w:t xml:space="preserve">. Supervision as described by </w:t>
            </w:r>
            <w:r>
              <w:rPr>
                <w:sz w:val="24"/>
                <w:szCs w:val="24"/>
              </w:rPr>
              <w:t xml:space="preserve">Lishman (2014) is a good place for reflection and professional development, but it can also be used to manage accountability. In situations such as this with </w:t>
            </w:r>
            <w:r>
              <w:rPr>
                <w:rFonts w:hint="default"/>
                <w:sz w:val="24"/>
                <w:szCs w:val="24"/>
                <w:lang w:val="en-GB"/>
              </w:rPr>
              <w:t>1</w:t>
            </w:r>
            <w:r>
              <w:rPr>
                <w:sz w:val="24"/>
                <w:szCs w:val="24"/>
              </w:rPr>
              <w:t xml:space="preserve"> supervision was very important to ensure that others such as my manager and heads of service were also accountable in the decision making process. My working in this way was also adhering to the CoPP 6 and is backed up by</w:t>
            </w:r>
            <w:r>
              <w:rPr>
                <w:iCs/>
                <w:sz w:val="24"/>
                <w:szCs w:val="24"/>
              </w:rPr>
              <w:t xml:space="preserve"> Collins, S (2007) who notes that the quantity and quality of support received from colleagues in the team and managers can help improve the social worker’s ability to cope with the demands of the job. </w:t>
            </w:r>
          </w:p>
          <w:p w14:paraId="25AA8C90">
            <w:pPr>
              <w:spacing w:line="360" w:lineRule="auto"/>
              <w:jc w:val="both"/>
              <w:rPr>
                <w:iCs/>
                <w:sz w:val="24"/>
                <w:szCs w:val="24"/>
              </w:rPr>
            </w:pPr>
          </w:p>
          <w:p w14:paraId="1ADF27E9">
            <w:pPr>
              <w:spacing w:line="360" w:lineRule="auto"/>
              <w:jc w:val="both"/>
              <w:rPr>
                <w:iCs/>
                <w:sz w:val="24"/>
                <w:szCs w:val="24"/>
              </w:rPr>
            </w:pPr>
            <w:r>
              <w:rPr>
                <w:iCs/>
                <w:sz w:val="24"/>
                <w:szCs w:val="24"/>
              </w:rPr>
              <w:t xml:space="preserve">In addition to my concerns, </w:t>
            </w:r>
            <w:r>
              <w:rPr>
                <w:rFonts w:hint="default"/>
                <w:iCs/>
                <w:sz w:val="24"/>
                <w:szCs w:val="24"/>
                <w:lang w:val="en-GB"/>
              </w:rPr>
              <w:t>1</w:t>
            </w:r>
            <w:r>
              <w:rPr>
                <w:iCs/>
                <w:sz w:val="24"/>
                <w:szCs w:val="24"/>
              </w:rPr>
              <w:t xml:space="preserve"> missing was also causing considerable disruption to </w:t>
            </w:r>
            <w:r>
              <w:rPr>
                <w:rFonts w:hint="default"/>
                <w:iCs/>
                <w:sz w:val="24"/>
                <w:szCs w:val="24"/>
                <w:lang w:val="en-GB"/>
              </w:rPr>
              <w:t>1</w:t>
            </w:r>
            <w:r>
              <w:rPr>
                <w:iCs/>
                <w:sz w:val="24"/>
                <w:szCs w:val="24"/>
              </w:rPr>
              <w:t xml:space="preserve">’s foster carer and her family. She reported that the police would call at unsociable hours to check if </w:t>
            </w:r>
            <w:r>
              <w:rPr>
                <w:rFonts w:hint="default"/>
                <w:iCs/>
                <w:sz w:val="24"/>
                <w:szCs w:val="24"/>
                <w:lang w:val="en-GB"/>
              </w:rPr>
              <w:t>1</w:t>
            </w:r>
            <w:r>
              <w:rPr>
                <w:iCs/>
                <w:sz w:val="24"/>
                <w:szCs w:val="24"/>
              </w:rPr>
              <w:t xml:space="preserve"> was in the house and she also reported that she was constantly thinking that </w:t>
            </w:r>
            <w:r>
              <w:rPr>
                <w:rFonts w:hint="default"/>
                <w:iCs/>
                <w:sz w:val="24"/>
                <w:szCs w:val="24"/>
                <w:lang w:val="en-GB"/>
              </w:rPr>
              <w:t>1</w:t>
            </w:r>
            <w:r>
              <w:rPr>
                <w:iCs/>
                <w:sz w:val="24"/>
                <w:szCs w:val="24"/>
              </w:rPr>
              <w:t xml:space="preserve"> would be found dead somewhere and did not feel she could cope anymore with this. Unfortunately when supporting children who are care experienced this is not an unusual scenario, as with many children in foster care there is evidence to suggest that those who have suffered neglect will have behavioural issues due to suffering complex trauma Greeson </w:t>
            </w:r>
            <w:r>
              <w:rPr>
                <w:i/>
                <w:sz w:val="24"/>
                <w:szCs w:val="24"/>
              </w:rPr>
              <w:t>et al</w:t>
            </w:r>
            <w:r>
              <w:rPr>
                <w:iCs/>
                <w:sz w:val="24"/>
                <w:szCs w:val="24"/>
              </w:rPr>
              <w:t xml:space="preserve"> (2011). I was aware that moving foster placement only adds into the rejection and trauma they experience and can exacerbate issues further so I wanted to see if there was any way in which we could support </w:t>
            </w:r>
            <w:r>
              <w:rPr>
                <w:rFonts w:hint="default"/>
                <w:iCs/>
                <w:sz w:val="24"/>
                <w:szCs w:val="24"/>
                <w:lang w:val="en-GB"/>
              </w:rPr>
              <w:t>1</w:t>
            </w:r>
            <w:r>
              <w:rPr>
                <w:iCs/>
                <w:sz w:val="24"/>
                <w:szCs w:val="24"/>
              </w:rPr>
              <w:t xml:space="preserve">’s foster carer to continue to with the placement. However, despite many conversations with </w:t>
            </w:r>
            <w:r>
              <w:rPr>
                <w:rFonts w:hint="default"/>
                <w:iCs/>
                <w:sz w:val="24"/>
                <w:szCs w:val="24"/>
                <w:lang w:val="en-GB"/>
              </w:rPr>
              <w:t>1</w:t>
            </w:r>
            <w:r>
              <w:rPr>
                <w:iCs/>
                <w:sz w:val="24"/>
                <w:szCs w:val="24"/>
              </w:rPr>
              <w:t xml:space="preserve">'s foster carer to try to persuade her otherwise, she was adamant she was not willing to continue caring for </w:t>
            </w:r>
            <w:r>
              <w:rPr>
                <w:rFonts w:hint="default"/>
                <w:iCs/>
                <w:sz w:val="24"/>
                <w:szCs w:val="24"/>
                <w:lang w:val="en-GB"/>
              </w:rPr>
              <w:t>1</w:t>
            </w:r>
            <w:r>
              <w:rPr>
                <w:iCs/>
                <w:sz w:val="24"/>
                <w:szCs w:val="24"/>
              </w:rPr>
              <w:t xml:space="preserve"> due to the pressures this put on her and her family. Therefore, I contacted the local authority fostering team requesting an urgent foster placement. </w:t>
            </w:r>
          </w:p>
          <w:p w14:paraId="7E0AE6F0">
            <w:pPr>
              <w:spacing w:line="360" w:lineRule="auto"/>
              <w:jc w:val="both"/>
              <w:rPr>
                <w:iCs/>
                <w:sz w:val="24"/>
                <w:szCs w:val="24"/>
              </w:rPr>
            </w:pPr>
          </w:p>
          <w:p w14:paraId="034A8877">
            <w:pPr>
              <w:spacing w:line="360" w:lineRule="auto"/>
              <w:jc w:val="both"/>
              <w:rPr>
                <w:iCs/>
                <w:sz w:val="24"/>
                <w:szCs w:val="24"/>
              </w:rPr>
            </w:pPr>
            <w:r>
              <w:rPr>
                <w:rFonts w:hint="default"/>
                <w:iCs/>
                <w:sz w:val="24"/>
                <w:szCs w:val="24"/>
                <w:lang w:val="en-GB"/>
              </w:rPr>
              <w:t xml:space="preserve">At this point there was a lack of placements in Wales, which I was aware could have a detrimental impact on 1. Which could result in loss of identity due to not having face to face contact with friendship groups, family. Education in England is delivered in a different format to Wales, the Welsh language is omitted and topics covered may be different to Wales. </w:t>
            </w:r>
            <w:r>
              <w:rPr>
                <w:iCs/>
                <w:sz w:val="24"/>
                <w:szCs w:val="24"/>
              </w:rPr>
              <w:t xml:space="preserve">A placement was found in a rural community where the nearest bus stop was a 30 minute walk. This was agreed by all professionals involved that this would help to minimise </w:t>
            </w:r>
            <w:r>
              <w:rPr>
                <w:rFonts w:hint="default"/>
                <w:iCs/>
                <w:sz w:val="24"/>
                <w:szCs w:val="24"/>
                <w:lang w:val="en-GB"/>
              </w:rPr>
              <w:t>1</w:t>
            </w:r>
            <w:r>
              <w:rPr>
                <w:iCs/>
                <w:sz w:val="24"/>
                <w:szCs w:val="24"/>
              </w:rPr>
              <w:t xml:space="preserve">’s risk of absconding from placement. During the journey to the new placement (at this time </w:t>
            </w:r>
            <w:r>
              <w:rPr>
                <w:rFonts w:hint="default"/>
                <w:iCs/>
                <w:sz w:val="24"/>
                <w:szCs w:val="24"/>
                <w:lang w:val="en-GB"/>
              </w:rPr>
              <w:t>1</w:t>
            </w:r>
            <w:r>
              <w:rPr>
                <w:iCs/>
                <w:sz w:val="24"/>
                <w:szCs w:val="24"/>
              </w:rPr>
              <w:t xml:space="preserve"> had been found) I was able to explain to </w:t>
            </w:r>
            <w:r>
              <w:rPr>
                <w:rFonts w:hint="default"/>
                <w:iCs/>
                <w:sz w:val="24"/>
                <w:szCs w:val="24"/>
                <w:lang w:val="en-GB"/>
              </w:rPr>
              <w:t>1</w:t>
            </w:r>
            <w:r>
              <w:rPr>
                <w:iCs/>
                <w:sz w:val="24"/>
                <w:szCs w:val="24"/>
              </w:rPr>
              <w:t xml:space="preserve"> about how concerned everyone was not knowing where she was, however she told me at this point that her mum had known where she was. </w:t>
            </w:r>
            <w:r>
              <w:rPr>
                <w:rFonts w:hint="default"/>
                <w:iCs/>
                <w:sz w:val="24"/>
                <w:szCs w:val="24"/>
                <w:lang w:val="en-GB"/>
              </w:rPr>
              <w:t>1</w:t>
            </w:r>
            <w:r>
              <w:rPr>
                <w:iCs/>
                <w:sz w:val="24"/>
                <w:szCs w:val="24"/>
              </w:rPr>
              <w:t xml:space="preserve"> stated that after I had contacted her mum to inform her she was missing she had phoned </w:t>
            </w:r>
            <w:r>
              <w:rPr>
                <w:rFonts w:hint="default"/>
                <w:iCs/>
                <w:sz w:val="24"/>
                <w:szCs w:val="24"/>
                <w:lang w:val="en-GB"/>
              </w:rPr>
              <w:t>1</w:t>
            </w:r>
            <w:r>
              <w:rPr>
                <w:iCs/>
                <w:sz w:val="24"/>
                <w:szCs w:val="24"/>
              </w:rPr>
              <w:t xml:space="preserve">, </w:t>
            </w:r>
            <w:r>
              <w:rPr>
                <w:rFonts w:hint="default"/>
                <w:iCs/>
                <w:sz w:val="24"/>
                <w:szCs w:val="24"/>
                <w:lang w:val="en-GB"/>
              </w:rPr>
              <w:t>1</w:t>
            </w:r>
            <w:r>
              <w:rPr>
                <w:iCs/>
                <w:sz w:val="24"/>
                <w:szCs w:val="24"/>
              </w:rPr>
              <w:t xml:space="preserve"> had picked up the phone when her mum had called and told her mum where she was. This information however was not relayed back to me the time from </w:t>
            </w:r>
            <w:r>
              <w:rPr>
                <w:rFonts w:hint="default"/>
                <w:iCs/>
                <w:sz w:val="24"/>
                <w:szCs w:val="24"/>
                <w:lang w:val="en-GB"/>
              </w:rPr>
              <w:t>1</w:t>
            </w:r>
            <w:r>
              <w:rPr>
                <w:iCs/>
                <w:sz w:val="24"/>
                <w:szCs w:val="24"/>
              </w:rPr>
              <w:t xml:space="preserve">’s mum which would have significantly reduced the concerns all professionals had had for </w:t>
            </w:r>
            <w:r>
              <w:rPr>
                <w:rFonts w:hint="default"/>
                <w:iCs/>
                <w:sz w:val="24"/>
                <w:szCs w:val="24"/>
                <w:lang w:val="en-GB"/>
              </w:rPr>
              <w:t>1</w:t>
            </w:r>
            <w:r>
              <w:rPr>
                <w:iCs/>
                <w:sz w:val="24"/>
                <w:szCs w:val="24"/>
              </w:rPr>
              <w:t xml:space="preserve"> at that time. </w:t>
            </w:r>
          </w:p>
          <w:p w14:paraId="5D61F9B2">
            <w:pPr>
              <w:spacing w:line="360" w:lineRule="auto"/>
              <w:jc w:val="both"/>
              <w:rPr>
                <w:iCs/>
                <w:sz w:val="24"/>
                <w:szCs w:val="24"/>
              </w:rPr>
            </w:pPr>
          </w:p>
          <w:p w14:paraId="12B511E9">
            <w:pPr>
              <w:spacing w:line="360" w:lineRule="auto"/>
              <w:jc w:val="both"/>
              <w:rPr>
                <w:iCs/>
                <w:sz w:val="24"/>
                <w:szCs w:val="24"/>
              </w:rPr>
            </w:pPr>
            <w:r>
              <w:rPr>
                <w:rFonts w:hint="default"/>
                <w:iCs/>
                <w:sz w:val="24"/>
                <w:szCs w:val="24"/>
                <w:lang w:val="en-GB"/>
              </w:rPr>
              <w:t>I</w:t>
            </w:r>
            <w:r>
              <w:rPr>
                <w:iCs/>
                <w:sz w:val="24"/>
                <w:szCs w:val="24"/>
              </w:rPr>
              <w:t xml:space="preserve">t seemed that </w:t>
            </w:r>
            <w:r>
              <w:rPr>
                <w:rFonts w:hint="default"/>
                <w:iCs/>
                <w:sz w:val="24"/>
                <w:szCs w:val="24"/>
                <w:lang w:val="en-GB"/>
              </w:rPr>
              <w:t>1</w:t>
            </w:r>
            <w:r>
              <w:rPr>
                <w:iCs/>
                <w:sz w:val="24"/>
                <w:szCs w:val="24"/>
              </w:rPr>
              <w:t xml:space="preserve"> had settled well in the new placement but this ended abruptly when </w:t>
            </w:r>
            <w:r>
              <w:rPr>
                <w:rFonts w:hint="default"/>
                <w:iCs/>
                <w:sz w:val="24"/>
                <w:szCs w:val="24"/>
                <w:lang w:val="en-GB"/>
              </w:rPr>
              <w:t>1</w:t>
            </w:r>
            <w:r>
              <w:rPr>
                <w:iCs/>
                <w:sz w:val="24"/>
                <w:szCs w:val="24"/>
              </w:rPr>
              <w:t xml:space="preserve"> stated that she had overheard the new foster carer talking about her on the phone in a derogatory manner. </w:t>
            </w:r>
            <w:r>
              <w:rPr>
                <w:rFonts w:hint="default"/>
                <w:iCs/>
                <w:sz w:val="24"/>
                <w:szCs w:val="24"/>
                <w:lang w:val="en-GB"/>
              </w:rPr>
              <w:t>1</w:t>
            </w:r>
            <w:r>
              <w:rPr>
                <w:iCs/>
                <w:sz w:val="24"/>
                <w:szCs w:val="24"/>
              </w:rPr>
              <w:t xml:space="preserve"> became very angry and stated that she would ‘never trust this foster carer again’. On investigation of this with the foster carer and </w:t>
            </w:r>
            <w:r>
              <w:rPr>
                <w:rFonts w:hint="default"/>
                <w:iCs/>
                <w:sz w:val="24"/>
                <w:szCs w:val="24"/>
                <w:lang w:val="en-GB"/>
              </w:rPr>
              <w:t>1</w:t>
            </w:r>
            <w:r>
              <w:rPr>
                <w:iCs/>
                <w:sz w:val="24"/>
                <w:szCs w:val="24"/>
              </w:rPr>
              <w:t xml:space="preserve">, it was extremely upsetting to hear the foster carers response to </w:t>
            </w:r>
            <w:r>
              <w:rPr>
                <w:rFonts w:hint="default"/>
                <w:iCs/>
                <w:sz w:val="24"/>
                <w:szCs w:val="24"/>
                <w:lang w:val="en-GB"/>
              </w:rPr>
              <w:t>1</w:t>
            </w:r>
            <w:r>
              <w:rPr>
                <w:iCs/>
                <w:sz w:val="24"/>
                <w:szCs w:val="24"/>
              </w:rPr>
              <w:t xml:space="preserve"> which was ‘well why were you even listening, that was a private conversation’. </w:t>
            </w:r>
            <w:r>
              <w:rPr>
                <w:rFonts w:hint="default"/>
                <w:iCs/>
                <w:sz w:val="24"/>
                <w:szCs w:val="24"/>
                <w:lang w:val="en-GB"/>
              </w:rPr>
              <w:t>T</w:t>
            </w:r>
            <w:r>
              <w:rPr>
                <w:iCs/>
                <w:sz w:val="24"/>
                <w:szCs w:val="24"/>
              </w:rPr>
              <w:t xml:space="preserve">he foster carer refused to take any responsibility for her actions and talked very negatively about </w:t>
            </w:r>
            <w:r>
              <w:rPr>
                <w:rFonts w:hint="default"/>
                <w:iCs/>
                <w:sz w:val="24"/>
                <w:szCs w:val="24"/>
                <w:lang w:val="en-GB"/>
              </w:rPr>
              <w:t>1</w:t>
            </w:r>
            <w:r>
              <w:rPr>
                <w:iCs/>
                <w:sz w:val="24"/>
                <w:szCs w:val="24"/>
              </w:rPr>
              <w:t xml:space="preserve"> the whole time, despite </w:t>
            </w:r>
            <w:r>
              <w:rPr>
                <w:rFonts w:hint="default"/>
                <w:iCs/>
                <w:sz w:val="24"/>
                <w:szCs w:val="24"/>
                <w:lang w:val="en-GB"/>
              </w:rPr>
              <w:t>1</w:t>
            </w:r>
            <w:r>
              <w:rPr>
                <w:iCs/>
                <w:sz w:val="24"/>
                <w:szCs w:val="24"/>
              </w:rPr>
              <w:t xml:space="preserve"> being very calm and trying to explain how hearing something like that had made her feel. I felt that the placement could not continue and I agreed with </w:t>
            </w:r>
            <w:r>
              <w:rPr>
                <w:rFonts w:hint="default"/>
                <w:iCs/>
                <w:sz w:val="24"/>
                <w:szCs w:val="24"/>
                <w:lang w:val="en-GB"/>
              </w:rPr>
              <w:t>1</w:t>
            </w:r>
            <w:r>
              <w:rPr>
                <w:iCs/>
                <w:sz w:val="24"/>
                <w:szCs w:val="24"/>
              </w:rPr>
              <w:t xml:space="preserve"> that a new placement would be sought immediately. </w:t>
            </w:r>
          </w:p>
          <w:p w14:paraId="477CE5DF">
            <w:pPr>
              <w:spacing w:line="360" w:lineRule="auto"/>
              <w:jc w:val="both"/>
              <w:rPr>
                <w:i/>
                <w:iCs/>
                <w:sz w:val="24"/>
                <w:szCs w:val="24"/>
              </w:rPr>
            </w:pPr>
          </w:p>
          <w:p w14:paraId="1D8B67C4">
            <w:pPr>
              <w:spacing w:line="360" w:lineRule="auto"/>
              <w:jc w:val="both"/>
              <w:rPr>
                <w:iCs/>
                <w:sz w:val="24"/>
                <w:szCs w:val="24"/>
              </w:rPr>
            </w:pPr>
            <w:r>
              <w:rPr>
                <w:iCs/>
                <w:sz w:val="24"/>
                <w:szCs w:val="24"/>
              </w:rPr>
              <w:t xml:space="preserve">Due to the large number of missing from home episodes </w:t>
            </w:r>
            <w:r>
              <w:rPr>
                <w:rFonts w:hint="default"/>
                <w:iCs/>
                <w:sz w:val="24"/>
                <w:szCs w:val="24"/>
                <w:lang w:val="en-GB"/>
              </w:rPr>
              <w:t>1</w:t>
            </w:r>
            <w:r>
              <w:rPr>
                <w:iCs/>
                <w:sz w:val="24"/>
                <w:szCs w:val="24"/>
              </w:rPr>
              <w:t xml:space="preserve"> had had, and the concerns all professionals had regarding her potential risk for CSE, the local authority fostering team could not find any foster carers to accommodate her </w:t>
            </w:r>
            <w:r>
              <w:rPr>
                <w:rFonts w:hint="default"/>
                <w:iCs/>
                <w:sz w:val="24"/>
                <w:szCs w:val="24"/>
                <w:lang w:val="en-GB"/>
              </w:rPr>
              <w:t xml:space="preserve">within Wales. </w:t>
            </w:r>
            <w:r>
              <w:rPr>
                <w:iCs/>
                <w:sz w:val="24"/>
                <w:szCs w:val="24"/>
              </w:rPr>
              <w:t xml:space="preserve">I found  an out of county activity venture placement whose aim was to break the cycle of behaviours that young care experienced teenagers like </w:t>
            </w:r>
            <w:r>
              <w:rPr>
                <w:rFonts w:hint="default"/>
                <w:iCs/>
                <w:sz w:val="24"/>
                <w:szCs w:val="24"/>
                <w:lang w:val="en-GB"/>
              </w:rPr>
              <w:t>1</w:t>
            </w:r>
            <w:r>
              <w:rPr>
                <w:iCs/>
                <w:sz w:val="24"/>
                <w:szCs w:val="24"/>
              </w:rPr>
              <w:t xml:space="preserve"> struggled with.   </w:t>
            </w:r>
          </w:p>
          <w:p w14:paraId="0818962F">
            <w:pPr>
              <w:spacing w:line="360" w:lineRule="auto"/>
              <w:jc w:val="both"/>
              <w:rPr>
                <w:iCs/>
                <w:sz w:val="24"/>
                <w:szCs w:val="24"/>
              </w:rPr>
            </w:pPr>
          </w:p>
          <w:p w14:paraId="32464398">
            <w:pPr>
              <w:spacing w:line="360" w:lineRule="auto"/>
              <w:jc w:val="both"/>
              <w:rPr>
                <w:iCs/>
                <w:sz w:val="24"/>
                <w:szCs w:val="24"/>
              </w:rPr>
            </w:pPr>
            <w:r>
              <w:rPr>
                <w:rFonts w:hint="default"/>
                <w:iCs/>
                <w:sz w:val="24"/>
                <w:szCs w:val="24"/>
                <w:lang w:val="en-GB"/>
              </w:rPr>
              <w:t>1</w:t>
            </w:r>
            <w:r>
              <w:rPr>
                <w:iCs/>
                <w:sz w:val="24"/>
                <w:szCs w:val="24"/>
              </w:rPr>
              <w:t xml:space="preserve"> really struggled with another move as this, combined with a change in social worker and her family stating they didn’t want anything to do with her at this point. This had a significant adverse effect on </w:t>
            </w:r>
            <w:r>
              <w:rPr>
                <w:rFonts w:hint="default"/>
                <w:iCs/>
                <w:sz w:val="24"/>
                <w:szCs w:val="24"/>
                <w:lang w:val="en-GB"/>
              </w:rPr>
              <w:t>1</w:t>
            </w:r>
            <w:r>
              <w:rPr>
                <w:iCs/>
                <w:sz w:val="24"/>
                <w:szCs w:val="24"/>
              </w:rPr>
              <w:t xml:space="preserve"> and her behaviours. Professionals should be able to empower the individual as they have an all-inclusive understanding of why the individual is stuck in a cycle of unhealthy behaviours Waite, R and Ryan, A (2019). I tried to do</w:t>
            </w:r>
            <w:r>
              <w:rPr>
                <w:rFonts w:hint="default"/>
                <w:iCs/>
                <w:sz w:val="24"/>
                <w:szCs w:val="24"/>
                <w:lang w:val="en-GB"/>
              </w:rPr>
              <w:t xml:space="preserve"> this</w:t>
            </w:r>
            <w:r>
              <w:rPr>
                <w:iCs/>
                <w:sz w:val="24"/>
                <w:szCs w:val="24"/>
              </w:rPr>
              <w:t xml:space="preserve"> with </w:t>
            </w:r>
            <w:r>
              <w:rPr>
                <w:rFonts w:hint="default"/>
                <w:iCs/>
                <w:sz w:val="24"/>
                <w:szCs w:val="24"/>
                <w:lang w:val="en-GB"/>
              </w:rPr>
              <w:t>1</w:t>
            </w:r>
            <w:r>
              <w:rPr>
                <w:iCs/>
                <w:sz w:val="24"/>
                <w:szCs w:val="24"/>
              </w:rPr>
              <w:t xml:space="preserve"> to ensure she understood all the reasons of why she had been placed </w:t>
            </w:r>
            <w:r>
              <w:rPr>
                <w:rFonts w:hint="default"/>
                <w:iCs/>
                <w:sz w:val="24"/>
                <w:szCs w:val="24"/>
                <w:lang w:val="en-GB"/>
              </w:rPr>
              <w:t>within a rural community.</w:t>
            </w:r>
            <w:r>
              <w:rPr>
                <w:iCs/>
                <w:sz w:val="24"/>
                <w:szCs w:val="24"/>
              </w:rPr>
              <w:t xml:space="preserve"> </w:t>
            </w:r>
          </w:p>
          <w:p w14:paraId="4C9BF2BD">
            <w:pPr>
              <w:spacing w:line="360" w:lineRule="auto"/>
              <w:jc w:val="both"/>
              <w:rPr>
                <w:iCs/>
                <w:sz w:val="24"/>
                <w:szCs w:val="24"/>
              </w:rPr>
            </w:pPr>
          </w:p>
          <w:p w14:paraId="15BC124E">
            <w:pPr>
              <w:spacing w:line="360" w:lineRule="auto"/>
              <w:jc w:val="both"/>
              <w:rPr>
                <w:iCs/>
                <w:sz w:val="24"/>
                <w:szCs w:val="24"/>
              </w:rPr>
            </w:pPr>
            <w:r>
              <w:rPr>
                <w:iCs/>
                <w:sz w:val="24"/>
                <w:szCs w:val="24"/>
              </w:rPr>
              <w:t xml:space="preserve">During her time in this placement </w:t>
            </w:r>
            <w:r>
              <w:rPr>
                <w:rFonts w:hint="default"/>
                <w:iCs/>
                <w:sz w:val="24"/>
                <w:szCs w:val="24"/>
                <w:lang w:val="en-GB"/>
              </w:rPr>
              <w:t>1</w:t>
            </w:r>
            <w:r>
              <w:rPr>
                <w:iCs/>
                <w:sz w:val="24"/>
                <w:szCs w:val="24"/>
              </w:rPr>
              <w:t xml:space="preserve"> repeatedly asked me if she could go home to her mum as that’s all she has ever wanted. According to Appleton, J and Sidebotham, P (2018), children who have been neglected/ emotionally abused tend to view their parents through “</w:t>
            </w:r>
            <w:r>
              <w:rPr>
                <w:i/>
                <w:iCs/>
                <w:sz w:val="24"/>
                <w:szCs w:val="24"/>
              </w:rPr>
              <w:t>rose tinted glasses</w:t>
            </w:r>
            <w:r>
              <w:rPr>
                <w:iCs/>
                <w:sz w:val="24"/>
                <w:szCs w:val="24"/>
              </w:rPr>
              <w:t xml:space="preserve">”, regardless of the abuse they had suffered and this was definitely true in </w:t>
            </w:r>
            <w:r>
              <w:rPr>
                <w:rFonts w:hint="default"/>
                <w:iCs/>
                <w:sz w:val="24"/>
                <w:szCs w:val="24"/>
                <w:lang w:val="en-GB"/>
              </w:rPr>
              <w:t>1</w:t>
            </w:r>
            <w:r>
              <w:rPr>
                <w:iCs/>
                <w:sz w:val="24"/>
                <w:szCs w:val="24"/>
              </w:rPr>
              <w:t xml:space="preserve">’s case. I talked with </w:t>
            </w:r>
            <w:r>
              <w:rPr>
                <w:rFonts w:hint="default"/>
                <w:iCs/>
                <w:sz w:val="24"/>
                <w:szCs w:val="24"/>
                <w:lang w:val="en-GB"/>
              </w:rPr>
              <w:t>1</w:t>
            </w:r>
            <w:r>
              <w:rPr>
                <w:iCs/>
                <w:sz w:val="24"/>
                <w:szCs w:val="24"/>
              </w:rPr>
              <w:t xml:space="preserve"> to explain that I nor other professionals involved with her could not support this move at this time. We discussed the benefits that there may be from family therapy and that if mum and </w:t>
            </w:r>
            <w:r>
              <w:rPr>
                <w:rFonts w:hint="default"/>
                <w:iCs/>
                <w:sz w:val="24"/>
                <w:szCs w:val="24"/>
                <w:lang w:val="en-GB"/>
              </w:rPr>
              <w:t>1</w:t>
            </w:r>
            <w:r>
              <w:rPr>
                <w:iCs/>
                <w:sz w:val="24"/>
                <w:szCs w:val="24"/>
              </w:rPr>
              <w:t xml:space="preserve"> have their permission I would refer for this again. This had been offered previously but nether </w:t>
            </w:r>
            <w:r>
              <w:rPr>
                <w:rFonts w:hint="default"/>
                <w:iCs/>
                <w:sz w:val="24"/>
                <w:szCs w:val="24"/>
                <w:lang w:val="en-GB"/>
              </w:rPr>
              <w:t>1</w:t>
            </w:r>
            <w:r>
              <w:rPr>
                <w:iCs/>
                <w:sz w:val="24"/>
                <w:szCs w:val="24"/>
              </w:rPr>
              <w:t xml:space="preserve"> or her mum had engaged and any family therapy/mediation needs commitment from both parties for it to go ahead. </w:t>
            </w:r>
          </w:p>
          <w:p w14:paraId="6B170569">
            <w:pPr>
              <w:spacing w:line="360" w:lineRule="auto"/>
              <w:jc w:val="both"/>
              <w:rPr>
                <w:iCs/>
                <w:sz w:val="24"/>
                <w:szCs w:val="24"/>
              </w:rPr>
            </w:pPr>
          </w:p>
          <w:p w14:paraId="6D378D7F">
            <w:pPr>
              <w:spacing w:line="360" w:lineRule="auto"/>
              <w:jc w:val="both"/>
              <w:rPr>
                <w:b/>
                <w:i/>
                <w:iCs/>
                <w:sz w:val="24"/>
                <w:szCs w:val="24"/>
              </w:rPr>
            </w:pPr>
            <w:r>
              <w:rPr>
                <w:iCs/>
                <w:sz w:val="24"/>
                <w:szCs w:val="24"/>
              </w:rPr>
              <w:t xml:space="preserve">During the third week in this placement (as currently it had only been agreed for 28 days) I called a multiagency panel meeting to discuss next steps. All professionals involved agreed that </w:t>
            </w:r>
            <w:r>
              <w:rPr>
                <w:rFonts w:hint="default"/>
                <w:iCs/>
                <w:sz w:val="24"/>
                <w:szCs w:val="24"/>
                <w:lang w:val="en-GB"/>
              </w:rPr>
              <w:t>1</w:t>
            </w:r>
            <w:r>
              <w:rPr>
                <w:iCs/>
                <w:sz w:val="24"/>
                <w:szCs w:val="24"/>
              </w:rPr>
              <w:t xml:space="preserve"> should remain in an out of county setting for at least 12 months and the case was so strong for this that t was agreed very easily in the local authorities accommodation panel. </w:t>
            </w:r>
            <w:r>
              <w:rPr>
                <w:rFonts w:hint="default"/>
                <w:iCs/>
                <w:sz w:val="24"/>
                <w:szCs w:val="24"/>
                <w:lang w:val="en-GB"/>
              </w:rPr>
              <w:t>1</w:t>
            </w:r>
            <w:r>
              <w:rPr>
                <w:iCs/>
                <w:sz w:val="24"/>
                <w:szCs w:val="24"/>
              </w:rPr>
              <w:t xml:space="preserve"> was extremely upset with this decisions which resulted in her becoming verbally abusive to me stating she felt ‘I was controlling her life and not listening to her wishes and feelings’. I continued to work with </w:t>
            </w:r>
            <w:r>
              <w:rPr>
                <w:rFonts w:hint="default"/>
                <w:iCs/>
                <w:sz w:val="24"/>
                <w:szCs w:val="24"/>
                <w:lang w:val="en-GB"/>
              </w:rPr>
              <w:t>1</w:t>
            </w:r>
            <w:r>
              <w:rPr>
                <w:iCs/>
                <w:sz w:val="24"/>
                <w:szCs w:val="24"/>
              </w:rPr>
              <w:t xml:space="preserve"> explaining that whilst I was hearing her wishes and feelings, sometimes as the corporate parent we have to override those wishes and feelings as the local authority have a duty of care to keep her safe. I never gave up on building my relationship with </w:t>
            </w:r>
            <w:r>
              <w:rPr>
                <w:rFonts w:hint="default"/>
                <w:iCs/>
                <w:sz w:val="24"/>
                <w:szCs w:val="24"/>
                <w:lang w:val="en-GB"/>
              </w:rPr>
              <w:t>1</w:t>
            </w:r>
            <w:r>
              <w:rPr>
                <w:iCs/>
                <w:sz w:val="24"/>
                <w:szCs w:val="24"/>
              </w:rPr>
              <w:t xml:space="preserve"> though and over the following weeks we slowly we began to make progress as she started to trust me. During this time </w:t>
            </w:r>
            <w:r>
              <w:rPr>
                <w:rFonts w:hint="default"/>
                <w:iCs/>
                <w:sz w:val="24"/>
                <w:szCs w:val="24"/>
                <w:lang w:val="en-GB"/>
              </w:rPr>
              <w:t>1</w:t>
            </w:r>
            <w:r>
              <w:rPr>
                <w:iCs/>
                <w:sz w:val="24"/>
                <w:szCs w:val="24"/>
              </w:rPr>
              <w:t xml:space="preserve"> also started to attend a college course and after one term there the tutors have had nothing but praise for her and the commitment she has demonstrated with her studies. As </w:t>
            </w:r>
            <w:r>
              <w:rPr>
                <w:rFonts w:hint="default"/>
                <w:iCs/>
                <w:sz w:val="24"/>
                <w:szCs w:val="24"/>
                <w:lang w:val="en-GB"/>
              </w:rPr>
              <w:t>1</w:t>
            </w:r>
            <w:r>
              <w:rPr>
                <w:iCs/>
                <w:sz w:val="24"/>
                <w:szCs w:val="24"/>
              </w:rPr>
              <w:t xml:space="preserve">’s wishes were still to return home at some point, family therapy was started with </w:t>
            </w:r>
            <w:r>
              <w:rPr>
                <w:rFonts w:hint="default"/>
                <w:iCs/>
                <w:sz w:val="24"/>
                <w:szCs w:val="24"/>
                <w:lang w:val="en-GB"/>
              </w:rPr>
              <w:t>1</w:t>
            </w:r>
            <w:r>
              <w:rPr>
                <w:iCs/>
                <w:sz w:val="24"/>
                <w:szCs w:val="24"/>
              </w:rPr>
              <w:t xml:space="preserve"> and her mum and good progress has been with this and her studies to date so far. </w:t>
            </w:r>
          </w:p>
          <w:p w14:paraId="073C20D3">
            <w:pPr>
              <w:spacing w:line="360" w:lineRule="auto"/>
              <w:jc w:val="both"/>
              <w:rPr>
                <w:iCs/>
                <w:sz w:val="24"/>
                <w:szCs w:val="24"/>
              </w:rPr>
            </w:pPr>
          </w:p>
          <w:p w14:paraId="28C3F07B">
            <w:pPr>
              <w:spacing w:line="360" w:lineRule="auto"/>
              <w:jc w:val="both"/>
              <w:rPr>
                <w:rFonts w:hint="default"/>
                <w:b/>
                <w:i/>
                <w:iCs/>
                <w:sz w:val="24"/>
                <w:szCs w:val="24"/>
                <w:lang w:val="en-GB"/>
              </w:rPr>
            </w:pPr>
            <w:r>
              <w:rPr>
                <w:iCs/>
                <w:sz w:val="24"/>
                <w:szCs w:val="24"/>
              </w:rPr>
              <w:t xml:space="preserve">This case was an extremely difficult one for me, as despite professionals within the local authority agreeing with decisions made at each stage of the process, there has been significant challenges with foster carers and </w:t>
            </w:r>
            <w:r>
              <w:rPr>
                <w:rFonts w:hint="default"/>
                <w:iCs/>
                <w:sz w:val="24"/>
                <w:szCs w:val="24"/>
                <w:lang w:val="en-GB"/>
              </w:rPr>
              <w:t>1</w:t>
            </w:r>
            <w:r>
              <w:rPr>
                <w:iCs/>
                <w:sz w:val="24"/>
                <w:szCs w:val="24"/>
              </w:rPr>
              <w:t xml:space="preserve">’s mum. The way I have managed this is through reflection in supervision with my manager and </w:t>
            </w:r>
            <w:r>
              <w:rPr>
                <w:sz w:val="24"/>
                <w:szCs w:val="24"/>
              </w:rPr>
              <w:t xml:space="preserve">utilising the skill set I have already developed with in the role plus the training I undertook when the new safeguarding and legislation came out. I have sought management support when needed to ensure my actions remained proportionate and fair to </w:t>
            </w:r>
            <w:r>
              <w:rPr>
                <w:rFonts w:hint="default"/>
                <w:sz w:val="24"/>
                <w:szCs w:val="24"/>
                <w:lang w:val="en-GB"/>
              </w:rPr>
              <w:t>1</w:t>
            </w:r>
            <w:r>
              <w:rPr>
                <w:sz w:val="24"/>
                <w:szCs w:val="24"/>
              </w:rPr>
              <w:t xml:space="preserve"> and my manger has commented on how she was impressed with the way I managed this without being over reliant on guidance from her. I have continued to listen to </w:t>
            </w:r>
            <w:r>
              <w:rPr>
                <w:rFonts w:hint="default"/>
                <w:sz w:val="24"/>
                <w:szCs w:val="24"/>
                <w:lang w:val="en-GB"/>
              </w:rPr>
              <w:t>1</w:t>
            </w:r>
            <w:r>
              <w:rPr>
                <w:sz w:val="24"/>
                <w:szCs w:val="24"/>
              </w:rPr>
              <w:t xml:space="preserve">’s wishes and needs, explaining why they couldn’t all be fulfilled at certain times due needing to safeguard her at that point. I feel that I have remained fair and non-judgemental throughout my involvement, as I have continued to support the relationships with her mum and </w:t>
            </w:r>
            <w:r>
              <w:rPr>
                <w:rFonts w:hint="default"/>
                <w:sz w:val="24"/>
                <w:szCs w:val="24"/>
                <w:lang w:val="en-GB"/>
              </w:rPr>
              <w:t>1</w:t>
            </w:r>
            <w:r>
              <w:rPr>
                <w:sz w:val="24"/>
                <w:szCs w:val="24"/>
              </w:rPr>
              <w:t xml:space="preserve">’s family despite </w:t>
            </w:r>
            <w:r>
              <w:rPr>
                <w:rFonts w:hint="default"/>
                <w:sz w:val="24"/>
                <w:szCs w:val="24"/>
                <w:lang w:val="en-GB"/>
              </w:rPr>
              <w:t>1</w:t>
            </w:r>
            <w:r>
              <w:rPr>
                <w:sz w:val="24"/>
                <w:szCs w:val="24"/>
              </w:rPr>
              <w:t xml:space="preserve"> not being able to safely live there at this time. Working this case has helped me to feel much more confident as dealing with such complex decisions regarding the safeguarding of young people in the future.</w:t>
            </w:r>
            <w:r>
              <w:rPr>
                <w:b/>
                <w:i/>
                <w:iCs/>
                <w:sz w:val="24"/>
                <w:szCs w:val="24"/>
              </w:rPr>
              <w:t xml:space="preserve"> Word Count 4</w:t>
            </w:r>
            <w:r>
              <w:rPr>
                <w:rFonts w:hint="default"/>
                <w:b/>
                <w:i/>
                <w:iCs/>
                <w:sz w:val="24"/>
                <w:szCs w:val="24"/>
                <w:lang w:val="en-GB"/>
              </w:rPr>
              <w:t>269</w:t>
            </w:r>
          </w:p>
          <w:p w14:paraId="20370495">
            <w:pPr>
              <w:jc w:val="both"/>
              <w:rPr>
                <w:i/>
                <w:sz w:val="24"/>
                <w:szCs w:val="24"/>
              </w:rPr>
            </w:pPr>
          </w:p>
          <w:p w14:paraId="0E7BBCC9">
            <w:pPr>
              <w:jc w:val="both"/>
              <w:rPr>
                <w:i/>
                <w:sz w:val="24"/>
                <w:szCs w:val="24"/>
              </w:rPr>
            </w:pPr>
          </w:p>
          <w:p w14:paraId="47F21B6A">
            <w:pPr>
              <w:jc w:val="both"/>
              <w:rPr>
                <w:sz w:val="24"/>
                <w:szCs w:val="24"/>
              </w:rPr>
            </w:pPr>
          </w:p>
        </w:tc>
      </w:tr>
    </w:tbl>
    <w:p w14:paraId="1B4186EF">
      <w:pPr>
        <w:jc w:val="both"/>
        <w:rPr>
          <w:sz w:val="24"/>
          <w:szCs w:val="24"/>
        </w:rPr>
      </w:pPr>
    </w:p>
    <w:p w14:paraId="3BE23FA3">
      <w:pPr>
        <w:ind w:firstLine="720"/>
        <w:jc w:val="both"/>
        <w:rPr>
          <w:b/>
          <w:sz w:val="24"/>
          <w:szCs w:val="24"/>
        </w:rPr>
      </w:pPr>
    </w:p>
    <w:p w14:paraId="71B02E9F">
      <w:pPr>
        <w:ind w:firstLine="720"/>
        <w:jc w:val="both"/>
        <w:rPr>
          <w:b/>
          <w:sz w:val="24"/>
          <w:szCs w:val="24"/>
        </w:rPr>
      </w:pPr>
    </w:p>
    <w:p w14:paraId="7F4433FA">
      <w:pPr>
        <w:rPr>
          <w:color w:val="auto"/>
          <w:sz w:val="24"/>
          <w:szCs w:val="24"/>
        </w:rPr>
      </w:pPr>
    </w:p>
    <w:sectPr>
      <w:headerReference r:id="rId3" w:type="default"/>
      <w:footerReference r:id="rId4" w:type="default"/>
      <w:pgSz w:w="12240" w:h="15840"/>
      <w:pgMar w:top="1440" w:right="1080" w:bottom="1440" w:left="1080" w:header="720" w:footer="720"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3DEAF">
    <w:pPr>
      <w:pStyle w:val="14"/>
      <w:jc w:val="right"/>
    </w:pPr>
    <w:r>
      <w:fldChar w:fldCharType="begin"/>
    </w:r>
    <w:r>
      <w:instrText xml:space="preserve"> PAGE   \* MERGEFORMAT </w:instrText>
    </w:r>
    <w:r>
      <w:fldChar w:fldCharType="separate"/>
    </w:r>
    <w:r>
      <w:t>4</w:t>
    </w:r>
    <w:r>
      <w:fldChar w:fldCharType="end"/>
    </w:r>
  </w:p>
  <w:p w14:paraId="5CA2AEEC">
    <w:pPr>
      <w:pStyle w:val="14"/>
      <w:ind w:right="360"/>
      <w:jc w:val="center"/>
      <w:rPr>
        <w:lang w:val="en-GB"/>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3128E">
    <w:pPr>
      <w:pStyle w:val="15"/>
    </w:pPr>
    <w:r>
      <w:t xml:space="preserve">Version 1_Cohort 15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oNotHyphenateCaps/>
  <w:drawingGridHorizontalSpacing w:val="120"/>
  <w:drawingGridVerticalSpacing w:val="120"/>
  <w:displayVerticalDrawingGridEvery w:val="0"/>
  <w:doNotUseMarginsForDrawingGridOrigin w:val="1"/>
  <w:drawingGridHorizontalOrigin w:val="1800"/>
  <w:drawingGridVerticalOrigin w:val="1440"/>
  <w:characterSpacingControl w:val="doNotCompress"/>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31B"/>
    <w:rsid w:val="00220D06"/>
    <w:rsid w:val="002246A0"/>
    <w:rsid w:val="00226A4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3F70CA"/>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7B7F"/>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0689"/>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10AD"/>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69C8"/>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36C00"/>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4C97"/>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5BD1918"/>
    <w:rsid w:val="364AF8A5"/>
    <w:rsid w:val="39C47EB7"/>
    <w:rsid w:val="3B2446CA"/>
    <w:rsid w:val="3B2C4091"/>
    <w:rsid w:val="3BE7216C"/>
    <w:rsid w:val="3C06DA9E"/>
    <w:rsid w:val="3CA50B99"/>
    <w:rsid w:val="3CD2139F"/>
    <w:rsid w:val="3D962690"/>
    <w:rsid w:val="3EE31E8D"/>
    <w:rsid w:val="47BF7127"/>
    <w:rsid w:val="488A33B2"/>
    <w:rsid w:val="49FF326B"/>
    <w:rsid w:val="4A356110"/>
    <w:rsid w:val="4B13096D"/>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overflowPunct w:val="0"/>
      <w:autoSpaceDE w:val="0"/>
      <w:autoSpaceDN w:val="0"/>
      <w:adjustRightInd w:val="0"/>
      <w:textAlignment w:val="baseline"/>
    </w:pPr>
    <w:rPr>
      <w:rFonts w:ascii="Arial" w:hAnsi="Arial" w:eastAsia="Times New Roman" w:cs="Arial"/>
      <w:color w:val="000000"/>
      <w:lang w:val="en-GB" w:eastAsia="en-GB" w:bidi="ar-SA"/>
    </w:rPr>
  </w:style>
  <w:style w:type="paragraph" w:styleId="2">
    <w:name w:val="heading 1"/>
    <w:basedOn w:val="1"/>
    <w:next w:val="1"/>
    <w:qFormat/>
    <w:uiPriority w:val="0"/>
    <w:pPr>
      <w:keepNext/>
      <w:spacing w:before="240" w:after="60"/>
      <w:outlineLvl w:val="0"/>
    </w:pPr>
    <w:rPr>
      <w:b/>
      <w:kern w:val="28"/>
      <w:sz w:val="28"/>
    </w:rPr>
  </w:style>
  <w:style w:type="paragraph" w:styleId="3">
    <w:name w:val="heading 2"/>
    <w:basedOn w:val="1"/>
    <w:next w:val="1"/>
    <w:link w:val="22"/>
    <w:qFormat/>
    <w:uiPriority w:val="9"/>
    <w:pPr>
      <w:keepNext/>
      <w:spacing w:before="240" w:after="60"/>
      <w:outlineLvl w:val="1"/>
    </w:pPr>
    <w:rPr>
      <w:rFonts w:ascii="Cambria" w:hAnsi="Cambria" w:cs="Times New Roman"/>
      <w:b/>
      <w:bCs/>
      <w:i/>
      <w:iCs/>
      <w:sz w:val="28"/>
      <w:szCs w:val="28"/>
      <w:lang w:val="zh-CN" w:eastAsia="zh-CN"/>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semiHidden/>
    <w:qFormat/>
    <w:uiPriority w:val="0"/>
    <w:rPr>
      <w:rFonts w:ascii="Tahoma" w:hAnsi="Tahoma" w:cs="Tahoma"/>
      <w:sz w:val="16"/>
      <w:szCs w:val="16"/>
    </w:rPr>
  </w:style>
  <w:style w:type="paragraph" w:styleId="7">
    <w:name w:val="Body Text"/>
    <w:basedOn w:val="1"/>
    <w:semiHidden/>
    <w:qFormat/>
    <w:uiPriority w:val="0"/>
    <w:rPr>
      <w:b/>
      <w:sz w:val="24"/>
    </w:rPr>
  </w:style>
  <w:style w:type="paragraph" w:styleId="8">
    <w:name w:val="Body Text 3"/>
    <w:basedOn w:val="1"/>
    <w:link w:val="23"/>
    <w:semiHidden/>
    <w:unhideWhenUsed/>
    <w:qFormat/>
    <w:uiPriority w:val="99"/>
    <w:pPr>
      <w:spacing w:after="120"/>
    </w:pPr>
    <w:rPr>
      <w:rFonts w:cs="Times New Roman"/>
      <w:sz w:val="16"/>
      <w:szCs w:val="16"/>
      <w:lang w:val="zh-CN" w:eastAsia="zh-CN"/>
    </w:rPr>
  </w:style>
  <w:style w:type="character" w:styleId="9">
    <w:name w:val="annotation reference"/>
    <w:semiHidden/>
    <w:unhideWhenUsed/>
    <w:qFormat/>
    <w:uiPriority w:val="99"/>
    <w:rPr>
      <w:sz w:val="16"/>
      <w:szCs w:val="16"/>
    </w:rPr>
  </w:style>
  <w:style w:type="paragraph" w:styleId="10">
    <w:name w:val="annotation text"/>
    <w:basedOn w:val="1"/>
    <w:link w:val="20"/>
    <w:semiHidden/>
    <w:unhideWhenUsed/>
    <w:qFormat/>
    <w:uiPriority w:val="99"/>
    <w:rPr>
      <w:rFonts w:cs="Times New Roman"/>
      <w:lang w:val="zh-CN" w:eastAsia="zh-CN"/>
    </w:rPr>
  </w:style>
  <w:style w:type="paragraph" w:styleId="11">
    <w:name w:val="annotation subject"/>
    <w:basedOn w:val="10"/>
    <w:next w:val="10"/>
    <w:link w:val="21"/>
    <w:semiHidden/>
    <w:unhideWhenUsed/>
    <w:qFormat/>
    <w:uiPriority w:val="99"/>
    <w:rPr>
      <w:b/>
      <w:bCs/>
    </w:rPr>
  </w:style>
  <w:style w:type="character" w:styleId="12">
    <w:name w:val="endnote reference"/>
    <w:semiHidden/>
    <w:unhideWhenUsed/>
    <w:qFormat/>
    <w:uiPriority w:val="99"/>
    <w:rPr>
      <w:vertAlign w:val="superscript"/>
    </w:rPr>
  </w:style>
  <w:style w:type="paragraph" w:styleId="13">
    <w:name w:val="endnote text"/>
    <w:basedOn w:val="1"/>
    <w:link w:val="26"/>
    <w:semiHidden/>
    <w:unhideWhenUsed/>
    <w:qFormat/>
    <w:uiPriority w:val="99"/>
  </w:style>
  <w:style w:type="paragraph" w:styleId="14">
    <w:name w:val="footer"/>
    <w:basedOn w:val="1"/>
    <w:link w:val="25"/>
    <w:qFormat/>
    <w:uiPriority w:val="99"/>
    <w:pPr>
      <w:tabs>
        <w:tab w:val="center" w:pos="4320"/>
        <w:tab w:val="right" w:pos="8640"/>
      </w:tabs>
    </w:pPr>
    <w:rPr>
      <w:rFonts w:cs="Times New Roman"/>
      <w:lang w:val="zh-CN" w:eastAsia="zh-CN"/>
    </w:rPr>
  </w:style>
  <w:style w:type="paragraph" w:styleId="15">
    <w:name w:val="header"/>
    <w:basedOn w:val="1"/>
    <w:semiHidden/>
    <w:qFormat/>
    <w:uiPriority w:val="0"/>
    <w:pPr>
      <w:tabs>
        <w:tab w:val="center" w:pos="4320"/>
        <w:tab w:val="right" w:pos="8640"/>
      </w:tabs>
    </w:pPr>
  </w:style>
  <w:style w:type="character" w:styleId="16">
    <w:name w:val="Hyperlink"/>
    <w:qFormat/>
    <w:uiPriority w:val="0"/>
    <w:rPr>
      <w:color w:val="0000FF"/>
      <w:u w:val="single"/>
    </w:rPr>
  </w:style>
  <w:style w:type="character" w:styleId="17">
    <w:name w:val="page number"/>
    <w:semiHidden/>
    <w:qFormat/>
    <w:uiPriority w:val="0"/>
  </w:style>
  <w:style w:type="table" w:styleId="18">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9">
    <w:name w:val="Title"/>
    <w:basedOn w:val="1"/>
    <w:link w:val="27"/>
    <w:qFormat/>
    <w:uiPriority w:val="0"/>
    <w:pPr>
      <w:overflowPunct/>
      <w:autoSpaceDE/>
      <w:autoSpaceDN/>
      <w:adjustRightInd/>
      <w:jc w:val="center"/>
      <w:textAlignment w:val="auto"/>
    </w:pPr>
    <w:rPr>
      <w:rFonts w:cs="Times New Roman"/>
      <w:b/>
      <w:color w:val="auto"/>
      <w:sz w:val="24"/>
    </w:rPr>
  </w:style>
  <w:style w:type="character" w:customStyle="1" w:styleId="20">
    <w:name w:val="Comment Text Char"/>
    <w:link w:val="10"/>
    <w:semiHidden/>
    <w:qFormat/>
    <w:uiPriority w:val="99"/>
    <w:rPr>
      <w:rFonts w:ascii="Arial" w:hAnsi="Arial" w:cs="Arial"/>
      <w:color w:val="000000"/>
    </w:rPr>
  </w:style>
  <w:style w:type="character" w:customStyle="1" w:styleId="21">
    <w:name w:val="Comment Subject Char"/>
    <w:link w:val="11"/>
    <w:semiHidden/>
    <w:qFormat/>
    <w:uiPriority w:val="99"/>
    <w:rPr>
      <w:rFonts w:ascii="Arial" w:hAnsi="Arial" w:cs="Arial"/>
      <w:b/>
      <w:bCs/>
      <w:color w:val="000000"/>
    </w:rPr>
  </w:style>
  <w:style w:type="character" w:customStyle="1" w:styleId="22">
    <w:name w:val="Heading 2 Char"/>
    <w:link w:val="3"/>
    <w:semiHidden/>
    <w:qFormat/>
    <w:uiPriority w:val="9"/>
    <w:rPr>
      <w:rFonts w:ascii="Cambria" w:hAnsi="Cambria" w:eastAsia="Times New Roman" w:cs="Times New Roman"/>
      <w:b/>
      <w:bCs/>
      <w:i/>
      <w:iCs/>
      <w:color w:val="000000"/>
      <w:sz w:val="28"/>
      <w:szCs w:val="28"/>
    </w:rPr>
  </w:style>
  <w:style w:type="character" w:customStyle="1" w:styleId="23">
    <w:name w:val="Body Text 3 Char"/>
    <w:link w:val="8"/>
    <w:semiHidden/>
    <w:qFormat/>
    <w:uiPriority w:val="99"/>
    <w:rPr>
      <w:rFonts w:ascii="Arial" w:hAnsi="Arial" w:cs="Arial"/>
      <w:color w:val="000000"/>
      <w:sz w:val="16"/>
      <w:szCs w:val="16"/>
    </w:rPr>
  </w:style>
  <w:style w:type="paragraph" w:customStyle="1" w:styleId="24">
    <w:name w:val="Light List - Accent 31"/>
    <w:hidden/>
    <w:semiHidden/>
    <w:qFormat/>
    <w:uiPriority w:val="99"/>
    <w:rPr>
      <w:rFonts w:ascii="Arial" w:hAnsi="Arial" w:eastAsia="Times New Roman" w:cs="Arial"/>
      <w:color w:val="000000"/>
      <w:lang w:val="en-GB" w:eastAsia="en-GB" w:bidi="ar-SA"/>
    </w:rPr>
  </w:style>
  <w:style w:type="character" w:customStyle="1" w:styleId="25">
    <w:name w:val="Footer Char"/>
    <w:link w:val="14"/>
    <w:qFormat/>
    <w:uiPriority w:val="99"/>
    <w:rPr>
      <w:rFonts w:ascii="Arial" w:hAnsi="Arial" w:cs="Arial"/>
      <w:color w:val="000000"/>
    </w:rPr>
  </w:style>
  <w:style w:type="character" w:customStyle="1" w:styleId="26">
    <w:name w:val="Endnote Text Char"/>
    <w:link w:val="13"/>
    <w:semiHidden/>
    <w:qFormat/>
    <w:uiPriority w:val="99"/>
    <w:rPr>
      <w:rFonts w:ascii="Arial" w:hAnsi="Arial" w:cs="Arial"/>
      <w:color w:val="000000"/>
    </w:rPr>
  </w:style>
  <w:style w:type="character" w:customStyle="1" w:styleId="27">
    <w:name w:val="Title Char"/>
    <w:link w:val="19"/>
    <w:qFormat/>
    <w:uiPriority w:val="0"/>
    <w:rPr>
      <w:rFonts w:ascii="Arial" w:hAnsi="Arial"/>
      <w:b/>
      <w:sz w:val="24"/>
    </w:rPr>
  </w:style>
  <w:style w:type="paragraph" w:customStyle="1" w:styleId="28">
    <w:name w:val="Revision"/>
    <w:hidden/>
    <w:semiHidden/>
    <w:qFormat/>
    <w:uiPriority w:val="99"/>
    <w:rPr>
      <w:rFonts w:ascii="Arial" w:hAnsi="Arial" w:eastAsia="Times New Roman" w:cs="Arial"/>
      <w:color w:val="000000"/>
      <w:lang w:val="en-GB" w:eastAsia="en-GB" w:bidi="ar-SA"/>
    </w:rPr>
  </w:style>
  <w:style w:type="paragraph" w:customStyle="1" w:styleId="29">
    <w:name w:val="Default"/>
    <w:qFormat/>
    <w:uiPriority w:val="0"/>
    <w:pPr>
      <w:autoSpaceDE w:val="0"/>
      <w:autoSpaceDN w:val="0"/>
      <w:adjustRightInd w:val="0"/>
    </w:pPr>
    <w:rPr>
      <w:rFonts w:ascii="Arial" w:hAnsi="Arial" w:cs="Arial" w:eastAsiaTheme="minorHAnsi"/>
      <w:color w:val="000000"/>
      <w:sz w:val="24"/>
      <w:szCs w:val="24"/>
      <w:lang w:val="en-GB"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datastoreItem>
</file>

<file path=customXml/itemProps2.xml><?xml version="1.0" encoding="utf-8"?>
<ds:datastoreItem xmlns:ds="http://schemas.openxmlformats.org/officeDocument/2006/customXml" ds:itemID="{1A7CF81F-C3E6-4976-8A60-4EE6DBD4F5FF}">
  <ds:schemaRefs/>
</ds:datastoreItem>
</file>

<file path=customXml/itemProps3.xml><?xml version="1.0" encoding="utf-8"?>
<ds:datastoreItem xmlns:ds="http://schemas.openxmlformats.org/officeDocument/2006/customXml" ds:itemID="{CF8052BE-73BC-4B97-8ED3-A50D5394C4B5}">
  <ds:schemaRefs/>
</ds:datastoreItem>
</file>

<file path=docProps/app.xml><?xml version="1.0" encoding="utf-8"?>
<Properties xmlns="http://schemas.openxmlformats.org/officeDocument/2006/extended-properties" xmlns:vt="http://schemas.openxmlformats.org/officeDocument/2006/docPropsVTypes">
  <Template>Normal.dotm</Template>
  <Company>Powys County Council</Company>
  <Pages>12</Pages>
  <Words>4342</Words>
  <Characters>21003</Characters>
  <Lines>175</Lines>
  <Paragraphs>50</Paragraphs>
  <TotalTime>131</TotalTime>
  <ScaleCrop>false</ScaleCrop>
  <LinksUpToDate>false</LinksUpToDate>
  <CharactersWithSpaces>25295</CharactersWithSpaces>
  <Application>WPS Office_12.2.0.19805_F1E327BC-269C-435d-A152-05C5408002CA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2024-02-15T09:47:00Z</dcterms:created>
  <dc:creator>GC</dc:creator>
  <cp:lastModifiedBy>R Cannon</cp:lastModifiedBy>
  <cp:lastPrinted>2020-02-11T19:20:00Z</cp:lastPrinted>
  <dcterms:modified xsi:type="dcterms:W3CDTF">2025-02-19T11:36:01Z</dcterms:modified>
  <dc:title>NORTH AND WEST WALES PQ1 PROGRAMME</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KSOProductBuildVer">
    <vt:lpwstr>2057-12.2.0.19805</vt:lpwstr>
  </property>
  <property fmtid="{D5CDD505-2E9C-101B-9397-08002B2CF9AE}" pid="4" name="ICV">
    <vt:lpwstr>6400C60560D24BF99AF592B006A6B3F7_13</vt:lpwstr>
  </property>
</Properties>
</file>