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08F1" w14:textId="74B6D01A" w:rsidR="009B55A7" w:rsidRDefault="009B55A7" w:rsidP="009B55A7">
      <w:pPr>
        <w:rPr>
          <w:lang w:val="en-US"/>
        </w:rPr>
      </w:pPr>
    </w:p>
    <w:p w14:paraId="245A6B62" w14:textId="3BD664D8" w:rsidR="009B55A7" w:rsidRDefault="009B55A7" w:rsidP="009B55A7">
      <w:pPr>
        <w:rPr>
          <w:lang w:val="en-US"/>
        </w:rPr>
      </w:pPr>
    </w:p>
    <w:p w14:paraId="2AE78EEF" w14:textId="10631FD9" w:rsidR="009B55A7" w:rsidRDefault="009B55A7" w:rsidP="009B55A7">
      <w:pPr>
        <w:rPr>
          <w:lang w:val="en-US"/>
        </w:rPr>
      </w:pPr>
    </w:p>
    <w:p w14:paraId="45C98413" w14:textId="5EDCA83D" w:rsidR="009B55A7" w:rsidRDefault="009B55A7" w:rsidP="009B55A7">
      <w:pPr>
        <w:rPr>
          <w:lang w:val="en-US"/>
        </w:rPr>
      </w:pPr>
    </w:p>
    <w:p w14:paraId="522F161C" w14:textId="737003DD" w:rsidR="009B55A7" w:rsidRDefault="009B55A7" w:rsidP="009B55A7">
      <w:pPr>
        <w:rPr>
          <w:lang w:val="en-US"/>
        </w:rPr>
      </w:pPr>
    </w:p>
    <w:p w14:paraId="2B51315E" w14:textId="64DFB531" w:rsidR="009B55A7" w:rsidRDefault="009B55A7" w:rsidP="009B55A7">
      <w:pPr>
        <w:rPr>
          <w:lang w:val="en-US"/>
        </w:rPr>
      </w:pPr>
    </w:p>
    <w:p w14:paraId="75371507" w14:textId="5D2EB3E3" w:rsidR="009B55A7" w:rsidRDefault="009B55A7" w:rsidP="009B55A7">
      <w:pPr>
        <w:rPr>
          <w:lang w:val="en-US"/>
        </w:rPr>
      </w:pPr>
    </w:p>
    <w:p w14:paraId="63B7FF87" w14:textId="24D2C5BF" w:rsidR="009B55A7" w:rsidRDefault="009B55A7" w:rsidP="009B55A7">
      <w:pPr>
        <w:rPr>
          <w:lang w:val="en-US"/>
        </w:rPr>
      </w:pPr>
    </w:p>
    <w:p w14:paraId="44F8F2D9" w14:textId="77777777" w:rsidR="009B55A7" w:rsidRDefault="009B55A7" w:rsidP="009B55A7">
      <w:pPr>
        <w:rPr>
          <w:lang w:val="en-US"/>
        </w:rPr>
      </w:pPr>
    </w:p>
    <w:p w14:paraId="49A0D387" w14:textId="73C02C43" w:rsidR="00463A29" w:rsidRPr="00CC4E0B" w:rsidRDefault="00BC39CE" w:rsidP="009B55A7">
      <w:pPr>
        <w:jc w:val="center"/>
        <w:rPr>
          <w:b/>
          <w:lang w:val="en-US"/>
        </w:rPr>
      </w:pPr>
      <w:r w:rsidRPr="00CC4E0B">
        <w:rPr>
          <w:b/>
          <w:lang w:val="en-US"/>
        </w:rPr>
        <w:t>Module: Introduction To Physiology</w:t>
      </w:r>
    </w:p>
    <w:p w14:paraId="2BBA6219" w14:textId="272AB0EF" w:rsidR="009B55A7" w:rsidRPr="00CC4E0B" w:rsidRDefault="00BC39CE" w:rsidP="009B55A7">
      <w:pPr>
        <w:jc w:val="center"/>
        <w:rPr>
          <w:b/>
          <w:lang w:val="en-US"/>
        </w:rPr>
      </w:pPr>
      <w:r w:rsidRPr="00CC4E0B">
        <w:rPr>
          <w:b/>
          <w:lang w:val="en-US"/>
        </w:rPr>
        <w:t>Module Code: BMHP5023</w:t>
      </w:r>
    </w:p>
    <w:p w14:paraId="2BD28A1B" w14:textId="5AC9F398" w:rsidR="009B55A7" w:rsidRPr="00CC4E0B" w:rsidRDefault="00F304FA" w:rsidP="009B55A7">
      <w:pPr>
        <w:jc w:val="center"/>
        <w:rPr>
          <w:b/>
          <w:lang w:val="en-US"/>
        </w:rPr>
      </w:pPr>
      <w:r>
        <w:rPr>
          <w:b/>
          <w:lang w:val="en-US"/>
        </w:rPr>
        <w:t>{Ifat Batool Hussain}</w:t>
      </w:r>
    </w:p>
    <w:p w14:paraId="5E1BEB58" w14:textId="438A2DB3" w:rsidR="009B55A7" w:rsidRDefault="00F304FA" w:rsidP="009B55A7">
      <w:pPr>
        <w:jc w:val="center"/>
        <w:rPr>
          <w:b/>
          <w:lang w:val="en-US"/>
        </w:rPr>
      </w:pPr>
      <w:r>
        <w:rPr>
          <w:b/>
          <w:lang w:val="en-US"/>
        </w:rPr>
        <w:t>Student number 2419347</w:t>
      </w:r>
    </w:p>
    <w:p w14:paraId="76EA88F1" w14:textId="77777777" w:rsidR="00F304FA" w:rsidRPr="00CC4E0B" w:rsidRDefault="00F304FA" w:rsidP="009B55A7">
      <w:pPr>
        <w:jc w:val="center"/>
        <w:rPr>
          <w:b/>
          <w:lang w:val="en-US"/>
        </w:rPr>
      </w:pPr>
    </w:p>
    <w:p w14:paraId="5E8D5FD4" w14:textId="70A22C44" w:rsidR="00EC3336" w:rsidRPr="00CC4E0B" w:rsidRDefault="00EC3336" w:rsidP="00EC3336">
      <w:pPr>
        <w:rPr>
          <w:lang w:val="en-US"/>
        </w:rPr>
      </w:pPr>
    </w:p>
    <w:p w14:paraId="5CD67378" w14:textId="77777777" w:rsidR="00EC3336" w:rsidRPr="00CC4E0B" w:rsidRDefault="00EC3336" w:rsidP="00EC3336">
      <w:pPr>
        <w:rPr>
          <w:lang w:val="en-US"/>
        </w:rPr>
      </w:pPr>
    </w:p>
    <w:p w14:paraId="103B5D36" w14:textId="0872B46E" w:rsidR="00E40882" w:rsidRPr="00CC4E0B" w:rsidRDefault="00BC39CE">
      <w:pPr>
        <w:spacing w:line="259" w:lineRule="auto"/>
      </w:pPr>
      <w:r w:rsidRPr="00CC4E0B">
        <w:br w:type="page"/>
      </w:r>
    </w:p>
    <w:sdt>
      <w:sdtPr>
        <w:rPr>
          <w:rFonts w:ascii="Times New Roman" w:eastAsiaTheme="minorHAnsi" w:hAnsi="Times New Roman" w:cstheme="minorBidi"/>
          <w:color w:val="auto"/>
          <w:sz w:val="24"/>
          <w:szCs w:val="22"/>
          <w:lang w:val="en-GB"/>
        </w:rPr>
        <w:id w:val="-832766204"/>
        <w:docPartObj>
          <w:docPartGallery w:val="Table of Contents"/>
          <w:docPartUnique/>
        </w:docPartObj>
      </w:sdtPr>
      <w:sdtEndPr>
        <w:rPr>
          <w:b/>
          <w:bCs/>
          <w:noProof/>
        </w:rPr>
      </w:sdtEndPr>
      <w:sdtContent>
        <w:p w14:paraId="7DB976FA" w14:textId="632D4DDB" w:rsidR="00E40882" w:rsidRPr="00CC4E0B" w:rsidRDefault="00BC39CE">
          <w:pPr>
            <w:pStyle w:val="TOCHeading"/>
            <w:rPr>
              <w:rFonts w:ascii="Times New Roman" w:hAnsi="Times New Roman" w:cs="Times New Roman"/>
              <w:color w:val="auto"/>
              <w:sz w:val="24"/>
              <w:szCs w:val="24"/>
            </w:rPr>
          </w:pPr>
          <w:r w:rsidRPr="00CC4E0B">
            <w:rPr>
              <w:rFonts w:ascii="Times New Roman" w:hAnsi="Times New Roman" w:cs="Times New Roman"/>
              <w:color w:val="auto"/>
              <w:sz w:val="24"/>
              <w:szCs w:val="24"/>
            </w:rPr>
            <w:t>Table of Contents</w:t>
          </w:r>
        </w:p>
        <w:p w14:paraId="79A186CA" w14:textId="18DF2351" w:rsidR="00D25CF6" w:rsidRDefault="00BC39CE">
          <w:pPr>
            <w:pStyle w:val="TOC1"/>
            <w:tabs>
              <w:tab w:val="right" w:leader="dot" w:pos="9350"/>
            </w:tabs>
            <w:rPr>
              <w:rFonts w:asciiTheme="minorHAnsi" w:eastAsiaTheme="minorEastAsia" w:hAnsiTheme="minorHAnsi"/>
              <w:noProof/>
              <w:sz w:val="22"/>
              <w:lang w:eastAsia="en-GB"/>
            </w:rPr>
          </w:pPr>
          <w:r w:rsidRPr="00CC4E0B">
            <w:rPr>
              <w:rFonts w:cs="Times New Roman"/>
              <w:szCs w:val="24"/>
            </w:rPr>
            <w:fldChar w:fldCharType="begin"/>
          </w:r>
          <w:r w:rsidRPr="00CC4E0B">
            <w:rPr>
              <w:rFonts w:cs="Times New Roman"/>
              <w:szCs w:val="24"/>
            </w:rPr>
            <w:instrText xml:space="preserve"> TOC \o "1-3" \h \z \u </w:instrText>
          </w:r>
          <w:r w:rsidRPr="00CC4E0B">
            <w:rPr>
              <w:rFonts w:cs="Times New Roman"/>
              <w:szCs w:val="24"/>
            </w:rPr>
            <w:fldChar w:fldCharType="separate"/>
          </w:r>
          <w:hyperlink w:anchor="_Toc232791529" w:history="1">
            <w:r w:rsidR="00D25CF6" w:rsidRPr="00FE39D5">
              <w:rPr>
                <w:rStyle w:val="Hyperlink"/>
                <w:noProof/>
              </w:rPr>
              <w:t>Introduction</w:t>
            </w:r>
            <w:r w:rsidR="00D25CF6">
              <w:rPr>
                <w:noProof/>
                <w:webHidden/>
              </w:rPr>
              <w:tab/>
            </w:r>
            <w:r w:rsidR="00D25CF6">
              <w:rPr>
                <w:noProof/>
                <w:webHidden/>
              </w:rPr>
              <w:fldChar w:fldCharType="begin"/>
            </w:r>
            <w:r w:rsidR="00D25CF6">
              <w:rPr>
                <w:noProof/>
                <w:webHidden/>
              </w:rPr>
              <w:instrText xml:space="preserve"> PAGEREF _Toc232791529 \h </w:instrText>
            </w:r>
            <w:r w:rsidR="00D25CF6">
              <w:rPr>
                <w:noProof/>
                <w:webHidden/>
              </w:rPr>
            </w:r>
            <w:r w:rsidR="00D25CF6">
              <w:rPr>
                <w:noProof/>
                <w:webHidden/>
              </w:rPr>
              <w:fldChar w:fldCharType="separate"/>
            </w:r>
            <w:r w:rsidR="00D25CF6">
              <w:rPr>
                <w:noProof/>
                <w:webHidden/>
              </w:rPr>
              <w:t>3</w:t>
            </w:r>
            <w:r w:rsidR="00D25CF6">
              <w:rPr>
                <w:noProof/>
                <w:webHidden/>
              </w:rPr>
              <w:fldChar w:fldCharType="end"/>
            </w:r>
          </w:hyperlink>
        </w:p>
        <w:p w14:paraId="44BCDA1C" w14:textId="463AA8DA" w:rsidR="00D25CF6" w:rsidRDefault="00D25CF6">
          <w:pPr>
            <w:pStyle w:val="TOC1"/>
            <w:tabs>
              <w:tab w:val="right" w:leader="dot" w:pos="9350"/>
            </w:tabs>
            <w:rPr>
              <w:rFonts w:asciiTheme="minorHAnsi" w:eastAsiaTheme="minorEastAsia" w:hAnsiTheme="minorHAnsi"/>
              <w:noProof/>
              <w:sz w:val="22"/>
              <w:lang w:eastAsia="en-GB"/>
            </w:rPr>
          </w:pPr>
          <w:hyperlink w:anchor="_Toc232791530" w:history="1">
            <w:r w:rsidRPr="00FE39D5">
              <w:rPr>
                <w:rStyle w:val="Hyperlink"/>
                <w:noProof/>
              </w:rPr>
              <w:t>Structure of the Respiratory System &amp; Mechanical Respiration</w:t>
            </w:r>
            <w:r>
              <w:rPr>
                <w:noProof/>
                <w:webHidden/>
              </w:rPr>
              <w:tab/>
            </w:r>
            <w:r>
              <w:rPr>
                <w:noProof/>
                <w:webHidden/>
              </w:rPr>
              <w:fldChar w:fldCharType="begin"/>
            </w:r>
            <w:r>
              <w:rPr>
                <w:noProof/>
                <w:webHidden/>
              </w:rPr>
              <w:instrText xml:space="preserve"> PAGEREF _Toc232791530 \h </w:instrText>
            </w:r>
            <w:r>
              <w:rPr>
                <w:noProof/>
                <w:webHidden/>
              </w:rPr>
            </w:r>
            <w:r>
              <w:rPr>
                <w:noProof/>
                <w:webHidden/>
              </w:rPr>
              <w:fldChar w:fldCharType="separate"/>
            </w:r>
            <w:r>
              <w:rPr>
                <w:noProof/>
                <w:webHidden/>
              </w:rPr>
              <w:t>3</w:t>
            </w:r>
            <w:r>
              <w:rPr>
                <w:noProof/>
                <w:webHidden/>
              </w:rPr>
              <w:fldChar w:fldCharType="end"/>
            </w:r>
          </w:hyperlink>
        </w:p>
        <w:p w14:paraId="1C083F36" w14:textId="5642BD89" w:rsidR="00D25CF6" w:rsidRDefault="00D25CF6">
          <w:pPr>
            <w:pStyle w:val="TOC1"/>
            <w:tabs>
              <w:tab w:val="right" w:leader="dot" w:pos="9350"/>
            </w:tabs>
            <w:rPr>
              <w:rFonts w:asciiTheme="minorHAnsi" w:eastAsiaTheme="minorEastAsia" w:hAnsiTheme="minorHAnsi"/>
              <w:noProof/>
              <w:sz w:val="22"/>
              <w:lang w:eastAsia="en-GB"/>
            </w:rPr>
          </w:pPr>
          <w:hyperlink w:anchor="_Toc232791531" w:history="1">
            <w:r w:rsidRPr="00FE39D5">
              <w:rPr>
                <w:rStyle w:val="Hyperlink"/>
                <w:noProof/>
              </w:rPr>
              <w:t>Gas Exchange in the Lungs</w:t>
            </w:r>
            <w:r>
              <w:rPr>
                <w:noProof/>
                <w:webHidden/>
              </w:rPr>
              <w:tab/>
            </w:r>
            <w:r>
              <w:rPr>
                <w:noProof/>
                <w:webHidden/>
              </w:rPr>
              <w:fldChar w:fldCharType="begin"/>
            </w:r>
            <w:r>
              <w:rPr>
                <w:noProof/>
                <w:webHidden/>
              </w:rPr>
              <w:instrText xml:space="preserve"> PAGEREF _Toc232791531 \h </w:instrText>
            </w:r>
            <w:r>
              <w:rPr>
                <w:noProof/>
                <w:webHidden/>
              </w:rPr>
            </w:r>
            <w:r>
              <w:rPr>
                <w:noProof/>
                <w:webHidden/>
              </w:rPr>
              <w:fldChar w:fldCharType="separate"/>
            </w:r>
            <w:r>
              <w:rPr>
                <w:noProof/>
                <w:webHidden/>
              </w:rPr>
              <w:t>4</w:t>
            </w:r>
            <w:r>
              <w:rPr>
                <w:noProof/>
                <w:webHidden/>
              </w:rPr>
              <w:fldChar w:fldCharType="end"/>
            </w:r>
          </w:hyperlink>
        </w:p>
        <w:p w14:paraId="036DC8B2" w14:textId="1F5305A6" w:rsidR="00D25CF6" w:rsidRDefault="00D25CF6">
          <w:pPr>
            <w:pStyle w:val="TOC1"/>
            <w:tabs>
              <w:tab w:val="right" w:leader="dot" w:pos="9350"/>
            </w:tabs>
            <w:rPr>
              <w:rFonts w:asciiTheme="minorHAnsi" w:eastAsiaTheme="minorEastAsia" w:hAnsiTheme="minorHAnsi"/>
              <w:noProof/>
              <w:sz w:val="22"/>
              <w:lang w:eastAsia="en-GB"/>
            </w:rPr>
          </w:pPr>
          <w:hyperlink w:anchor="_Toc232791532" w:history="1">
            <w:r w:rsidRPr="00FE39D5">
              <w:rPr>
                <w:rStyle w:val="Hyperlink"/>
                <w:noProof/>
              </w:rPr>
              <w:t>Impact of Irritants on Respiratory System and Inflammation</w:t>
            </w:r>
            <w:r>
              <w:rPr>
                <w:noProof/>
                <w:webHidden/>
              </w:rPr>
              <w:tab/>
            </w:r>
            <w:r>
              <w:rPr>
                <w:noProof/>
                <w:webHidden/>
              </w:rPr>
              <w:fldChar w:fldCharType="begin"/>
            </w:r>
            <w:r>
              <w:rPr>
                <w:noProof/>
                <w:webHidden/>
              </w:rPr>
              <w:instrText xml:space="preserve"> PAGEREF _Toc232791532 \h </w:instrText>
            </w:r>
            <w:r>
              <w:rPr>
                <w:noProof/>
                <w:webHidden/>
              </w:rPr>
            </w:r>
            <w:r>
              <w:rPr>
                <w:noProof/>
                <w:webHidden/>
              </w:rPr>
              <w:fldChar w:fldCharType="separate"/>
            </w:r>
            <w:r>
              <w:rPr>
                <w:noProof/>
                <w:webHidden/>
              </w:rPr>
              <w:t>5</w:t>
            </w:r>
            <w:r>
              <w:rPr>
                <w:noProof/>
                <w:webHidden/>
              </w:rPr>
              <w:fldChar w:fldCharType="end"/>
            </w:r>
          </w:hyperlink>
        </w:p>
        <w:p w14:paraId="25B9127B" w14:textId="3A2F899A" w:rsidR="00D25CF6" w:rsidRDefault="00D25CF6">
          <w:pPr>
            <w:pStyle w:val="TOC1"/>
            <w:tabs>
              <w:tab w:val="right" w:leader="dot" w:pos="9350"/>
            </w:tabs>
            <w:rPr>
              <w:rFonts w:asciiTheme="minorHAnsi" w:eastAsiaTheme="minorEastAsia" w:hAnsiTheme="minorHAnsi"/>
              <w:noProof/>
              <w:sz w:val="22"/>
              <w:lang w:eastAsia="en-GB"/>
            </w:rPr>
          </w:pPr>
          <w:hyperlink w:anchor="_Toc232791533" w:history="1">
            <w:r w:rsidRPr="00FE39D5">
              <w:rPr>
                <w:rStyle w:val="Hyperlink"/>
                <w:noProof/>
              </w:rPr>
              <w:t>Importance of Monitoring Respiratory Function</w:t>
            </w:r>
            <w:r>
              <w:rPr>
                <w:noProof/>
                <w:webHidden/>
              </w:rPr>
              <w:tab/>
            </w:r>
            <w:r>
              <w:rPr>
                <w:noProof/>
                <w:webHidden/>
              </w:rPr>
              <w:fldChar w:fldCharType="begin"/>
            </w:r>
            <w:r>
              <w:rPr>
                <w:noProof/>
                <w:webHidden/>
              </w:rPr>
              <w:instrText xml:space="preserve"> PAGEREF _Toc232791533 \h </w:instrText>
            </w:r>
            <w:r>
              <w:rPr>
                <w:noProof/>
                <w:webHidden/>
              </w:rPr>
            </w:r>
            <w:r>
              <w:rPr>
                <w:noProof/>
                <w:webHidden/>
              </w:rPr>
              <w:fldChar w:fldCharType="separate"/>
            </w:r>
            <w:r>
              <w:rPr>
                <w:noProof/>
                <w:webHidden/>
              </w:rPr>
              <w:t>5</w:t>
            </w:r>
            <w:r>
              <w:rPr>
                <w:noProof/>
                <w:webHidden/>
              </w:rPr>
              <w:fldChar w:fldCharType="end"/>
            </w:r>
          </w:hyperlink>
        </w:p>
        <w:p w14:paraId="4806CCE7" w14:textId="6FAA2290" w:rsidR="00D25CF6" w:rsidRDefault="00D25CF6">
          <w:pPr>
            <w:pStyle w:val="TOC1"/>
            <w:tabs>
              <w:tab w:val="right" w:leader="dot" w:pos="9350"/>
            </w:tabs>
            <w:rPr>
              <w:rFonts w:asciiTheme="minorHAnsi" w:eastAsiaTheme="minorEastAsia" w:hAnsiTheme="minorHAnsi"/>
              <w:noProof/>
              <w:sz w:val="22"/>
              <w:lang w:eastAsia="en-GB"/>
            </w:rPr>
          </w:pPr>
          <w:hyperlink w:anchor="_Toc232791534" w:history="1">
            <w:r w:rsidRPr="00FE39D5">
              <w:rPr>
                <w:rStyle w:val="Hyperlink"/>
                <w:noProof/>
              </w:rPr>
              <w:t>Evidence-Based Lifestyle Recommendations</w:t>
            </w:r>
            <w:r>
              <w:rPr>
                <w:noProof/>
                <w:webHidden/>
              </w:rPr>
              <w:tab/>
            </w:r>
            <w:r>
              <w:rPr>
                <w:noProof/>
                <w:webHidden/>
              </w:rPr>
              <w:fldChar w:fldCharType="begin"/>
            </w:r>
            <w:r>
              <w:rPr>
                <w:noProof/>
                <w:webHidden/>
              </w:rPr>
              <w:instrText xml:space="preserve"> PAGEREF _Toc232791534 \h </w:instrText>
            </w:r>
            <w:r>
              <w:rPr>
                <w:noProof/>
                <w:webHidden/>
              </w:rPr>
            </w:r>
            <w:r>
              <w:rPr>
                <w:noProof/>
                <w:webHidden/>
              </w:rPr>
              <w:fldChar w:fldCharType="separate"/>
            </w:r>
            <w:r>
              <w:rPr>
                <w:noProof/>
                <w:webHidden/>
              </w:rPr>
              <w:t>6</w:t>
            </w:r>
            <w:r>
              <w:rPr>
                <w:noProof/>
                <w:webHidden/>
              </w:rPr>
              <w:fldChar w:fldCharType="end"/>
            </w:r>
          </w:hyperlink>
        </w:p>
        <w:p w14:paraId="47EF9A0D" w14:textId="5E01F6A5" w:rsidR="00D25CF6" w:rsidRDefault="00D25CF6">
          <w:pPr>
            <w:pStyle w:val="TOC1"/>
            <w:tabs>
              <w:tab w:val="right" w:leader="dot" w:pos="9350"/>
            </w:tabs>
            <w:rPr>
              <w:rFonts w:asciiTheme="minorHAnsi" w:eastAsiaTheme="minorEastAsia" w:hAnsiTheme="minorHAnsi"/>
              <w:noProof/>
              <w:sz w:val="22"/>
              <w:lang w:eastAsia="en-GB"/>
            </w:rPr>
          </w:pPr>
          <w:hyperlink w:anchor="_Toc232791535" w:history="1">
            <w:r w:rsidRPr="00FE39D5">
              <w:rPr>
                <w:rStyle w:val="Hyperlink"/>
                <w:noProof/>
              </w:rPr>
              <w:t>Conclusion</w:t>
            </w:r>
            <w:r>
              <w:rPr>
                <w:noProof/>
                <w:webHidden/>
              </w:rPr>
              <w:tab/>
            </w:r>
            <w:r>
              <w:rPr>
                <w:noProof/>
                <w:webHidden/>
              </w:rPr>
              <w:fldChar w:fldCharType="begin"/>
            </w:r>
            <w:r>
              <w:rPr>
                <w:noProof/>
                <w:webHidden/>
              </w:rPr>
              <w:instrText xml:space="preserve"> PAGEREF _Toc232791535 \h </w:instrText>
            </w:r>
            <w:r>
              <w:rPr>
                <w:noProof/>
                <w:webHidden/>
              </w:rPr>
            </w:r>
            <w:r>
              <w:rPr>
                <w:noProof/>
                <w:webHidden/>
              </w:rPr>
              <w:fldChar w:fldCharType="separate"/>
            </w:r>
            <w:r>
              <w:rPr>
                <w:noProof/>
                <w:webHidden/>
              </w:rPr>
              <w:t>7</w:t>
            </w:r>
            <w:r>
              <w:rPr>
                <w:noProof/>
                <w:webHidden/>
              </w:rPr>
              <w:fldChar w:fldCharType="end"/>
            </w:r>
          </w:hyperlink>
        </w:p>
        <w:p w14:paraId="4DF5C049" w14:textId="342423FD" w:rsidR="00D25CF6" w:rsidRDefault="00D25CF6">
          <w:pPr>
            <w:pStyle w:val="TOC1"/>
            <w:tabs>
              <w:tab w:val="right" w:leader="dot" w:pos="9350"/>
            </w:tabs>
            <w:rPr>
              <w:rFonts w:asciiTheme="minorHAnsi" w:eastAsiaTheme="minorEastAsia" w:hAnsiTheme="minorHAnsi"/>
              <w:noProof/>
              <w:sz w:val="22"/>
              <w:lang w:eastAsia="en-GB"/>
            </w:rPr>
          </w:pPr>
          <w:hyperlink w:anchor="_Toc232791536" w:history="1">
            <w:r w:rsidRPr="00FE39D5">
              <w:rPr>
                <w:rStyle w:val="Hyperlink"/>
                <w:noProof/>
              </w:rPr>
              <w:t>References</w:t>
            </w:r>
            <w:r>
              <w:rPr>
                <w:noProof/>
                <w:webHidden/>
              </w:rPr>
              <w:tab/>
            </w:r>
            <w:r>
              <w:rPr>
                <w:noProof/>
                <w:webHidden/>
              </w:rPr>
              <w:fldChar w:fldCharType="begin"/>
            </w:r>
            <w:r>
              <w:rPr>
                <w:noProof/>
                <w:webHidden/>
              </w:rPr>
              <w:instrText xml:space="preserve"> PAGEREF _Toc232791536 \h </w:instrText>
            </w:r>
            <w:r>
              <w:rPr>
                <w:noProof/>
                <w:webHidden/>
              </w:rPr>
            </w:r>
            <w:r>
              <w:rPr>
                <w:noProof/>
                <w:webHidden/>
              </w:rPr>
              <w:fldChar w:fldCharType="separate"/>
            </w:r>
            <w:r>
              <w:rPr>
                <w:noProof/>
                <w:webHidden/>
              </w:rPr>
              <w:t>8</w:t>
            </w:r>
            <w:r>
              <w:rPr>
                <w:noProof/>
                <w:webHidden/>
              </w:rPr>
              <w:fldChar w:fldCharType="end"/>
            </w:r>
          </w:hyperlink>
        </w:p>
        <w:p w14:paraId="4F1652ED" w14:textId="7ADFE001" w:rsidR="00E40882" w:rsidRPr="00CC4E0B" w:rsidRDefault="00BC39CE">
          <w:r w:rsidRPr="00CC4E0B">
            <w:rPr>
              <w:rFonts w:cs="Times New Roman"/>
              <w:b/>
              <w:bCs/>
              <w:noProof/>
              <w:szCs w:val="24"/>
            </w:rPr>
            <w:fldChar w:fldCharType="end"/>
          </w:r>
        </w:p>
      </w:sdtContent>
    </w:sdt>
    <w:p w14:paraId="3380A066" w14:textId="77777777" w:rsidR="00EC3336" w:rsidRPr="00CC4E0B" w:rsidRDefault="00EC3336" w:rsidP="00EC3336"/>
    <w:p w14:paraId="1C3716CF" w14:textId="77777777" w:rsidR="00E40882" w:rsidRPr="00CC4E0B" w:rsidRDefault="00E40882" w:rsidP="00EC3336"/>
    <w:p w14:paraId="7D8C484F" w14:textId="77777777" w:rsidR="00EC3336" w:rsidRPr="00CC4E0B" w:rsidRDefault="00BC39CE">
      <w:pPr>
        <w:spacing w:line="259" w:lineRule="auto"/>
      </w:pPr>
      <w:r w:rsidRPr="00CC4E0B">
        <w:br w:type="page"/>
      </w:r>
    </w:p>
    <w:p w14:paraId="574DB3C7" w14:textId="00201D7B" w:rsidR="002948FC" w:rsidRPr="00CC4E0B" w:rsidRDefault="00BC39CE" w:rsidP="00EC3336">
      <w:pPr>
        <w:pStyle w:val="Heading1"/>
        <w:rPr>
          <w:rFonts w:eastAsiaTheme="minorHAnsi"/>
        </w:rPr>
      </w:pPr>
      <w:bookmarkStart w:id="0" w:name="_Toc232791529"/>
      <w:r w:rsidRPr="00CC4E0B">
        <w:rPr>
          <w:rFonts w:eastAsiaTheme="minorHAnsi"/>
        </w:rPr>
        <w:lastRenderedPageBreak/>
        <w:t>Introduction</w:t>
      </w:r>
      <w:bookmarkEnd w:id="0"/>
    </w:p>
    <w:p w14:paraId="3B45709A" w14:textId="2788C403" w:rsidR="00FF36DD" w:rsidRPr="00CC4E0B" w:rsidRDefault="00BC39CE" w:rsidP="001D55CC">
      <w:r w:rsidRPr="00CC4E0B">
        <w:t>Asthma is a chronic lung disease affecting the airways that can cause breathing problems, including wheeze, cough, chest tightness and shortness of breath at times because the airways become constricted (GINA, 2025). It has a high prevalence in children and adolescents; UK estimates are that approximately 1 in 11 children and adolescents are affected, accounting for a significant proportion of school absences and unscheduled primary care visits (NICE, 2024). Asthma continues to be an important workload in GP practice because of avoidable exacerbations and poor long-term asthma control. Patients move from parental responsibilities to personal independence in the care of their preventer inhaler(s) during adolescence, and are considered at heightened risk of deterioration of their condition, particularly regarding adherence to preventer inhaler(s) and engagement with preventer plans (</w:t>
      </w:r>
      <w:r w:rsidR="00067E75" w:rsidRPr="00CC4E0B">
        <w:t>Mansur</w:t>
      </w:r>
      <w:r w:rsidR="00AC3901" w:rsidRPr="00CC4E0B">
        <w:t xml:space="preserve"> </w:t>
      </w:r>
      <w:r w:rsidR="00067E75" w:rsidRPr="00CC4E0B">
        <w:t>and Prasad</w:t>
      </w:r>
      <w:r w:rsidR="00A908D7" w:rsidRPr="00CC4E0B">
        <w:t>, 2023</w:t>
      </w:r>
      <w:r w:rsidRPr="00CC4E0B">
        <w:t xml:space="preserve">). </w:t>
      </w:r>
    </w:p>
    <w:p w14:paraId="01EA098E" w14:textId="197DC34B" w:rsidR="00F72454" w:rsidRPr="00CC4E0B" w:rsidRDefault="00BC39CE" w:rsidP="001D55CC">
      <w:r w:rsidRPr="00CC4E0B">
        <w:t>This is exacerbated by lifestyle factors such as rising exposure to smoking and vaping, which may contribute to the worsening of symptoms and impaired lung function (</w:t>
      </w:r>
      <w:r w:rsidR="00340196" w:rsidRPr="00CC4E0B">
        <w:t>Li et a</w:t>
      </w:r>
      <w:r w:rsidR="00113CC9" w:rsidRPr="00CC4E0B">
        <w:t>l</w:t>
      </w:r>
      <w:r w:rsidR="00340196" w:rsidRPr="00CC4E0B">
        <w:t>., 2024</w:t>
      </w:r>
      <w:r w:rsidRPr="00CC4E0B">
        <w:t xml:space="preserve">). Other risk factors include air pollution, respiratory illness, dust mites, pollen, and regular attendance at bars, clubs, or hospitals where there is more exposure to viruses. This report exists to describe the role of the respiratory system, to discuss adverse effects of irritants on lung health and to stress the importance of using and </w:t>
      </w:r>
      <w:r w:rsidR="002B1FB1" w:rsidRPr="00CC4E0B">
        <w:t>recommending</w:t>
      </w:r>
      <w:r w:rsidRPr="00CC4E0B">
        <w:t xml:space="preserve"> evidence-based self-monitoring tools like peak flow measurement along with lifestyle modifications to enhance long-term asthma outcomes.</w:t>
      </w:r>
    </w:p>
    <w:p w14:paraId="1D0D581C" w14:textId="77777777" w:rsidR="00EC3336" w:rsidRPr="00CC4E0B" w:rsidRDefault="00EC3336" w:rsidP="00EC3336"/>
    <w:p w14:paraId="73C1AE4B" w14:textId="053A83D2" w:rsidR="002948FC" w:rsidRPr="00CC4E0B" w:rsidRDefault="00BC39CE" w:rsidP="00EC3336">
      <w:pPr>
        <w:pStyle w:val="Heading1"/>
      </w:pPr>
      <w:bookmarkStart w:id="1" w:name="_Toc232791530"/>
      <w:r w:rsidRPr="00CC4E0B">
        <w:t>Structure of the Respiratory System &amp; Mechanical Respiration</w:t>
      </w:r>
      <w:bookmarkEnd w:id="1"/>
    </w:p>
    <w:p w14:paraId="692FBF66" w14:textId="380ED206" w:rsidR="00BF3765" w:rsidRPr="00CC4E0B" w:rsidRDefault="00BC39CE" w:rsidP="001D55CC">
      <w:r w:rsidRPr="00CC4E0B">
        <w:t>The respiratory system is a very specialised system of organs that allow for efficient gas exchange and ventilation. It is divided into two parts, the upper respiratory tract and lower respiratory tract. The upper airway consists of the nose, nasal cavity, and the pharynx and larynx, which are responsible for filtering, heating, and moistening the air that enters the lungs to prevent pathogens and particles from entering (</w:t>
      </w:r>
      <w:r w:rsidR="005B0CC3" w:rsidRPr="00CC4E0B">
        <w:t>Nata and Launico, 2025</w:t>
      </w:r>
      <w:r w:rsidRPr="00CC4E0B">
        <w:t>). The lower respiratory tract consists of the trachea, bronchi, bronchioles and alveoli. The trachea uses C-shaped cartilage rings to prevent collapse during respiration, and the bronchi also provide a means by which air is disseminated amongst the lungs and mucociliary clearance is continued by ciliated epithelium and the production of mucus trapping pathogenic organisms and respiratory debris (</w:t>
      </w:r>
      <w:r w:rsidR="00373B99" w:rsidRPr="00CC4E0B">
        <w:t>Hill et al., 2022</w:t>
      </w:r>
      <w:r w:rsidRPr="00CC4E0B">
        <w:t xml:space="preserve">). </w:t>
      </w:r>
    </w:p>
    <w:p w14:paraId="4C1E4A0D" w14:textId="709F271E" w:rsidR="00D94598" w:rsidRPr="00CC4E0B" w:rsidRDefault="00BC39CE" w:rsidP="00EC3336">
      <w:r w:rsidRPr="00CC4E0B">
        <w:t xml:space="preserve">The airways divide into bronchioles; these lose their cartilage support and are mainly composed of smooth muscle, which enables dynamic regulation of the diameter of the airway. The terminal alveoli are covered with a thick capillary network and are very thin-walled with a larger surface area of about 70 m² in adults, and adequate for diffusion of gases (Kulkarni et al., 2022). </w:t>
      </w:r>
      <w:r w:rsidR="00BE4778" w:rsidRPr="00CC4E0B">
        <w:t>The lungs are enclosed by the pleural membranes, a visceral and a parietal layer, between which there is pleural fluid</w:t>
      </w:r>
      <w:r w:rsidRPr="00CC4E0B">
        <w:t xml:space="preserve">. This arrangement decreases the friction which occurs during lung movement, and ensures that the intrapleural space pressure remains negative during inspiration so that the lungs </w:t>
      </w:r>
      <w:r w:rsidRPr="00CC4E0B">
        <w:lastRenderedPageBreak/>
        <w:t>expand (</w:t>
      </w:r>
      <w:r w:rsidR="00CC393A" w:rsidRPr="00CC4E0B">
        <w:t>Bhana and Magan, 2023</w:t>
      </w:r>
      <w:r w:rsidRPr="00CC4E0B">
        <w:t xml:space="preserve">). Mechanical respiration is dependent on pressure differences created by coordinated activity of muscles. On inspiration, the diaphragm flattens its dome and the external intercostal muscles raise the ribs, thereby increasing the volume of the thoracic cavity. </w:t>
      </w:r>
    </w:p>
    <w:p w14:paraId="39DAE4E4" w14:textId="7B632BE1" w:rsidR="00666EA7" w:rsidRPr="00CC4E0B" w:rsidRDefault="00BC39CE" w:rsidP="001D55CC">
      <w:r w:rsidRPr="00CC4E0B">
        <w:t>Boyle's law states that as the volume of the lungs expands, the intrapulmonary pressure is decreased to a point below atmospheric pressure, causing air to enter the lungs (</w:t>
      </w:r>
      <w:r w:rsidR="00965BBE" w:rsidRPr="00CC4E0B">
        <w:t>Binks, 2022</w:t>
      </w:r>
      <w:r w:rsidRPr="00CC4E0B">
        <w:t xml:space="preserve">). During expiration, the diaphragm relaxes and recoils into a dome shape, and the rib cage descends, decreasing thoracic volume and increasing pressure, forcing air out. Forced expiration uses the internal intercostal muscles and abdominal musculature and is primarily active, although passive expiration is also due to contraction of these muscles. In asthma, damage to the epithelium, smooth muscle hypertrophy and mucus overproduction result in narrowing of the airways and increased resistance to airflow due to chronic airway inflammation. This greatly impairs ventilation efficiency and can occur at different points in the cycle, especially during expiration when narrowed airways are more likely to become dynamically </w:t>
      </w:r>
      <w:r w:rsidR="00312B21" w:rsidRPr="00CC4E0B">
        <w:t>collapsed</w:t>
      </w:r>
      <w:r w:rsidRPr="00CC4E0B">
        <w:t xml:space="preserve">, as recommended in GINA (2025) guidelines on obstructive airway disease. </w:t>
      </w:r>
    </w:p>
    <w:p w14:paraId="0ABB8125" w14:textId="77777777" w:rsidR="00EC3336" w:rsidRPr="00CC4E0B" w:rsidRDefault="00EC3336" w:rsidP="00EC3336"/>
    <w:p w14:paraId="4E319D74" w14:textId="5A23D3C4" w:rsidR="002948FC" w:rsidRPr="00CC4E0B" w:rsidRDefault="00BC39CE" w:rsidP="00EC3336">
      <w:pPr>
        <w:pStyle w:val="Heading1"/>
      </w:pPr>
      <w:bookmarkStart w:id="2" w:name="_Toc232791531"/>
      <w:r w:rsidRPr="00CC4E0B">
        <w:t>Gas Exchange in the Lungs</w:t>
      </w:r>
      <w:bookmarkEnd w:id="2"/>
    </w:p>
    <w:p w14:paraId="33D7AF49" w14:textId="71B65705" w:rsidR="00760AEB" w:rsidRPr="00CC4E0B" w:rsidRDefault="00BC39CE" w:rsidP="00EC3336">
      <w:r w:rsidRPr="00CC4E0B">
        <w:t>Gas exchange is the diffusion of respiratory gases through the alveolar-capillary membrane so that either oxygen goes into the blood or carbon dioxide comes out of the body. This process happens in the alveoli, where there is a close relationship between respiratory surface tissues and a large capillary bed, which ensures efficient exchange due to the presence of partial pressure gradients (</w:t>
      </w:r>
      <w:r w:rsidR="00312B21" w:rsidRPr="00CC4E0B">
        <w:t>Petersson</w:t>
      </w:r>
      <w:r w:rsidR="005412BD" w:rsidRPr="00CC4E0B">
        <w:t xml:space="preserve"> </w:t>
      </w:r>
      <w:r w:rsidR="00312B21" w:rsidRPr="00CC4E0B">
        <w:t>and Glenny, 2023</w:t>
      </w:r>
      <w:r w:rsidRPr="00CC4E0B">
        <w:t>). As air enters the lungs during inhalation, oxygen moves in via the airways into the alveoli, and oxygen then diffuses across the thin alveolar epithelium and through the fused basement membrane and the capillary endothelium into the blood. Blood picks up oxygen when the blood cell's haemoglobin reversibly attaches to it, forming oxyhaemoglobin, and transports it to tissues for cellular respiration (</w:t>
      </w:r>
      <w:r w:rsidR="00D51F0A" w:rsidRPr="00CC4E0B">
        <w:t>Braslavskaya et all., 2025</w:t>
      </w:r>
      <w:r w:rsidRPr="00CC4E0B">
        <w:t xml:space="preserve">). Carbon dioxide is transported back to the lungs mostly as bicarbonate ions and also by dissolved carbamino compounds and CO₂. </w:t>
      </w:r>
    </w:p>
    <w:p w14:paraId="79A7FF84" w14:textId="79D9ED95" w:rsidR="00EC3336" w:rsidRPr="00CC4E0B" w:rsidRDefault="00BC39CE" w:rsidP="00D56CAE">
      <w:r w:rsidRPr="00CC4E0B">
        <w:t>CO2 diffuses from capillary blood into the alveolar space because the PCCO2 is greater in capillary blood than the PCO2 inside the alveoli in the lungs. During exhalation, then, it is ejected, and the respiratory cycle is finished (</w:t>
      </w:r>
      <w:r w:rsidR="00147824" w:rsidRPr="00CC4E0B">
        <w:t>Jana et al., 2023</w:t>
      </w:r>
      <w:r w:rsidRPr="00CC4E0B">
        <w:t>). All the structural and physiological adaptations, like a very large alveolar surface area (about 70 m² in adults), thinness of the diffusion barrier (approx. 0.5 micron), a moist lining of the alveolus to allow the gases to dissolve in it, and the presence of a dense capillary bed to maintain steep diffusion gradients, are important for efficient gas exchange</w:t>
      </w:r>
      <w:r w:rsidR="001D55CC">
        <w:t xml:space="preserve"> </w:t>
      </w:r>
      <w:r w:rsidR="001D55CC" w:rsidRPr="00CC4E0B">
        <w:t>(Kulkarni et al., 2022)</w:t>
      </w:r>
      <w:r w:rsidRPr="00CC4E0B">
        <w:t xml:space="preserve">. In asthma, the inflammation develops and remains in the airways, causing plugging of airways, a thickening of the airway wall and uneven distribution of ventilation, resulting in reduced air clearance by the alveoli, causing reduced efficiency of gas exchange. In mild asthma, diffusion capacity might be normal; </w:t>
      </w:r>
      <w:r w:rsidR="0088415F" w:rsidRPr="00CC4E0B">
        <w:lastRenderedPageBreak/>
        <w:t>however</w:t>
      </w:r>
      <w:r w:rsidR="00BE0230" w:rsidRPr="00CC4E0B">
        <w:t>,</w:t>
      </w:r>
      <w:r w:rsidRPr="00CC4E0B">
        <w:t xml:space="preserve"> in severe exacerbations, ventilation-perfusion mismatch can cause a decrease in oxygen uptake and may contribute to hypoxaemia (GINA, 2025). </w:t>
      </w:r>
      <w:r w:rsidR="00074B53" w:rsidRPr="00CC4E0B">
        <w:t xml:space="preserve"> </w:t>
      </w:r>
      <w:r w:rsidR="005F6144" w:rsidRPr="00CC4E0B">
        <w:t xml:space="preserve"> </w:t>
      </w:r>
    </w:p>
    <w:p w14:paraId="32F33747" w14:textId="77777777" w:rsidR="005F6144" w:rsidRPr="00CC4E0B" w:rsidRDefault="005F6144" w:rsidP="00EC3336"/>
    <w:p w14:paraId="5E6BB786" w14:textId="7395C6E8" w:rsidR="002948FC" w:rsidRPr="00CC4E0B" w:rsidRDefault="00BC39CE" w:rsidP="0014262F">
      <w:pPr>
        <w:pStyle w:val="Heading1"/>
      </w:pPr>
      <w:bookmarkStart w:id="3" w:name="_Toc232791532"/>
      <w:r w:rsidRPr="00CC4E0B">
        <w:t>Impact of Irritants on Respiratory System and Inflammation</w:t>
      </w:r>
      <w:bookmarkEnd w:id="3"/>
    </w:p>
    <w:p w14:paraId="089B4CE6" w14:textId="5DFCDA59" w:rsidR="00EB42A0" w:rsidRPr="00CC4E0B" w:rsidRDefault="00BC39CE" w:rsidP="00C5770C">
      <w:r w:rsidRPr="00CC4E0B">
        <w:t>Respiratory irritants are chemicals in the external environment which cause functional impairment and inflammation in the airways. These include thousands of toxic chemicals in tobacco smoke, ultrafine particulates, flavouring agents, carbonyl compounds in e-cigarette vapour, and respiratory viruses, which are often a contributing factor to asthma exacerbations (GINA, 2025). When inhaled, these irritants activate the airway epithelium and innate immune system, leading to the release of inflammatory mediators such as histamine, leukotrienes and cytokines. This immune reaction leads to oedema of the bronchial wall, increased vascular permeability and increased smooth muscle contractility, leading to airways narrowing and bronchoconstriction (</w:t>
      </w:r>
      <w:r w:rsidR="0083026D" w:rsidRPr="00CC4E0B">
        <w:t>Navratilova et al., 2023</w:t>
      </w:r>
      <w:r w:rsidRPr="00CC4E0B">
        <w:t xml:space="preserve">). The effects of this inflammatory process are quite severe. When airways are narrowed, there is more resistance to airflow, especially when breathing out (exhalation), and this decreases the tidal volume and amount of ventilation. In addition, excess mucus secretions impede airflow, and thickening of the lining of the bronchi decreases the airway diameter. </w:t>
      </w:r>
    </w:p>
    <w:p w14:paraId="56CE9F2A" w14:textId="4890D72B" w:rsidR="000017BD" w:rsidRPr="00CC4E0B" w:rsidRDefault="00BC39CE" w:rsidP="00C5770C">
      <w:r w:rsidRPr="00CC4E0B">
        <w:t>These transformations together affect gas exchange by decreasing oxygen intake and increasing carbon dioxide elimination, helping to trigger acute asthma attacks. Long-term exposure (like chronic smoking or vaping) can result in structural airway damage such as damage to the epithelium; ciliary dysfunction and mucociliary clearance disorders; and other conditions. This makes removal of any captured particles and pathogens more difficult for the lungs, thus increasing the risk of infection and continued inflammation (</w:t>
      </w:r>
      <w:r w:rsidR="00C80B62" w:rsidRPr="00CC4E0B">
        <w:t>Gopallawa et al, 2023</w:t>
      </w:r>
      <w:r w:rsidRPr="00CC4E0B">
        <w:t>). Asthma attacks in teens are also more likely when they are around respiratory viruses, which are rampant in crowded areas like bars and clubs. Airway inflammation is worsened by viral bronchiolitis and interstitial inflammation, especially rhinovirus, and may contribute significantly to the increase in bronchial hyperresponsiveness. NICE (2024) emphasi</w:t>
      </w:r>
      <w:r w:rsidR="00505035" w:rsidRPr="00CC4E0B">
        <w:t>s</w:t>
      </w:r>
      <w:r w:rsidRPr="00CC4E0B">
        <w:t>es that triggers of infection are a significant problem in the emergency presentation of poorly controlled asthma. Routinely inhaling an irritant makes the airways more sensitive, causes their inflammation, and slows respiration, all of which can make them more vulnerable to worsening acute and chronic asthma attacks.</w:t>
      </w:r>
    </w:p>
    <w:p w14:paraId="247DA564" w14:textId="77777777" w:rsidR="0014262F" w:rsidRPr="00CC4E0B" w:rsidRDefault="0014262F" w:rsidP="0014262F"/>
    <w:p w14:paraId="1DBF4371" w14:textId="3ACF4856" w:rsidR="002948FC" w:rsidRPr="00CC4E0B" w:rsidRDefault="00BC39CE" w:rsidP="0007324F">
      <w:pPr>
        <w:pStyle w:val="Heading1"/>
      </w:pPr>
      <w:bookmarkStart w:id="4" w:name="_Toc232791533"/>
      <w:r w:rsidRPr="00CC4E0B">
        <w:t>Importance of Monitoring Respiratory Function</w:t>
      </w:r>
      <w:bookmarkEnd w:id="4"/>
    </w:p>
    <w:p w14:paraId="65BBBD6E" w14:textId="10B52791" w:rsidR="00281F19" w:rsidRPr="00CC4E0B" w:rsidRDefault="00BC39CE" w:rsidP="00D56CAE">
      <w:r w:rsidRPr="00CC4E0B">
        <w:t>Peak flow monitoring is a simple but clinically useful technique for measuring respiratory function with a peak expiratory flow meter, which is used to measure the fastest speed that a person can forcibly expire air from the lungs (</w:t>
      </w:r>
      <w:r w:rsidR="00674095" w:rsidRPr="00CC4E0B">
        <w:t>Gerald and Carr, 2022</w:t>
      </w:r>
      <w:r w:rsidRPr="00CC4E0B">
        <w:t xml:space="preserve">). This is an objective </w:t>
      </w:r>
      <w:r w:rsidRPr="00CC4E0B">
        <w:lastRenderedPageBreak/>
        <w:t>measure of airway narrowing and is especially beneficial in the management of asthma, where symptoms might fluctuate a lot over time. Routine monitoring of peak flow can pick up any decline in lung function, preceding obvious clinical signs and symptoms, and prompt corrective action and prevent more serious exacerbations. In asthma care, trends in peak flows can help detect individual triggers of the disease, including allergy, infection, smoking and/or vaping and the environment. It can also be used to inform clinical decision-making, such as using more reliever medication or upgrading the inhaled corticosteroid to a higher level according to personalised asthma action plans (NICE, 2024).</w:t>
      </w:r>
    </w:p>
    <w:p w14:paraId="029B3C6F" w14:textId="350DBD77" w:rsidR="00AF6600" w:rsidRPr="00CC4E0B" w:rsidRDefault="00BC39CE" w:rsidP="00D56CAE">
      <w:r w:rsidRPr="00CC4E0B">
        <w:t xml:space="preserve">Self-monitoring among adolescents also contributes to increased engagement and responsibility in disease management, especially during the transition process when adherence to preventer medication is </w:t>
      </w:r>
      <w:r w:rsidR="00866208" w:rsidRPr="00CC4E0B">
        <w:t>often</w:t>
      </w:r>
      <w:r w:rsidRPr="00CC4E0B">
        <w:t xml:space="preserve"> low (</w:t>
      </w:r>
      <w:r w:rsidR="00EE3EA4" w:rsidRPr="00CC4E0B">
        <w:t>Zehrung et al., 2024</w:t>
      </w:r>
      <w:r w:rsidRPr="00CC4E0B">
        <w:t>). In practice, patients are divided into a hierarchical range of clinical categories that correspond to the colour of the peak flow reading on the meter: green, amber and red. This enables collaborative patient care and helps to facilitate GP-led clinical reviews, enhancing communication and minimi</w:t>
      </w:r>
      <w:r w:rsidR="00505035" w:rsidRPr="00CC4E0B">
        <w:t>s</w:t>
      </w:r>
      <w:r w:rsidRPr="00CC4E0B">
        <w:t xml:space="preserve">ing unplanned, serious exacerbations. Repeated peak flow monitoring develops an individual baseline and empowers doctors to better identify changes in airflow in the lungs and find the most effective treatment, which helps create a personalised and preventative asthma care plan (GINA, 2025). </w:t>
      </w:r>
    </w:p>
    <w:p w14:paraId="73F97130" w14:textId="77777777" w:rsidR="0007324F" w:rsidRPr="00CC4E0B" w:rsidRDefault="0007324F" w:rsidP="0007324F"/>
    <w:p w14:paraId="79FA865D" w14:textId="41D4A44E" w:rsidR="002948FC" w:rsidRPr="00CC4E0B" w:rsidRDefault="00BC39CE" w:rsidP="00FB427A">
      <w:pPr>
        <w:pStyle w:val="Heading1"/>
      </w:pPr>
      <w:bookmarkStart w:id="5" w:name="_Toc232791534"/>
      <w:r w:rsidRPr="00CC4E0B">
        <w:t>Evidence-Based Lifestyle Recommendations</w:t>
      </w:r>
      <w:bookmarkEnd w:id="5"/>
    </w:p>
    <w:p w14:paraId="6986C277" w14:textId="46A9FC43" w:rsidR="006F5593" w:rsidRPr="00CC4E0B" w:rsidRDefault="00BC39CE" w:rsidP="00D56CAE">
      <w:r w:rsidRPr="00CC4E0B">
        <w:t>Maintaining evidence-based lifestyle management is a key part of asthma management and minimi</w:t>
      </w:r>
      <w:r w:rsidR="00505035" w:rsidRPr="00CC4E0B">
        <w:t>s</w:t>
      </w:r>
      <w:r w:rsidRPr="00CC4E0B">
        <w:t>ation of the risk of exacerbation in adolescents. Some of the most important interventions include smoking cessation since there is a strong link between tobacco smoke exposure and airway inflammation, progression of lung function decay and diminished sensitivity to inhaled corticosteroids (</w:t>
      </w:r>
      <w:r w:rsidR="00704DCC" w:rsidRPr="00CC4E0B">
        <w:t>Adcock et al., 2022</w:t>
      </w:r>
      <w:r w:rsidRPr="00CC4E0B">
        <w:t>). The aim of quitting smoking is proven to be better control of symptoms and a slowing of disease progression. Likewise, vaping avoidance is recommended, as emerging evidence indicates that e-cigarette aerosol products containing tobacco nicotine, flavouring agents, and ultrafine particles may lead to irritation of airways, damage to airways, and enhanced bronchial hyperresponsiveness, with long-term effects still under investigation (GINA, 2025). Another critical aspect is infection prevention, especially in adolescents who are often in close contact with others in congregate settings. Good hand hygiene, annual influenza vaccination and COVID-19 vaccination if appropriate help to minimise the risk of exacerbations triggered by viruses; a significant contributor to asthma-related emergency presentations (NICE, 2024).</w:t>
      </w:r>
    </w:p>
    <w:p w14:paraId="3B80D2F9" w14:textId="4A62E8EC" w:rsidR="006F5593" w:rsidRPr="00CC4E0B" w:rsidRDefault="00BC39CE" w:rsidP="00C311D1">
      <w:r w:rsidRPr="00CC4E0B">
        <w:t xml:space="preserve">Preventing exposure to infected crowded poorly ventilated places helps lower the chances of being exposed to respiratory pathogens. Exercise needs to be actively promoted and be part of a structured asthma action plan; it helps build the exercise capacity that helps cardiovascular fitness, increases lung capacity and allows good overall lung efficiency. There is evidence that well-controlled asthma will have enhanced quality of life and fewer symptoms if they are active </w:t>
      </w:r>
      <w:r w:rsidRPr="00CC4E0B">
        <w:lastRenderedPageBreak/>
        <w:t>regularly through moderate exercise (</w:t>
      </w:r>
      <w:r w:rsidR="00731784" w:rsidRPr="00CC4E0B">
        <w:t>Peftoulidou</w:t>
      </w:r>
      <w:r w:rsidR="007E38C2" w:rsidRPr="00CC4E0B">
        <w:t xml:space="preserve"> et al., 2023</w:t>
      </w:r>
      <w:r w:rsidRPr="00CC4E0B">
        <w:t xml:space="preserve">). It is also essential to avoid triggers and taking precautions with the use of inhalers with steroids that help to prevent the inflammation in the air passages. Nonadherence to medication is an important factor affecting asthma control. </w:t>
      </w:r>
      <w:r w:rsidR="00D56CAE">
        <w:t xml:space="preserve">The risk of exacerbation can be </w:t>
      </w:r>
      <w:r w:rsidR="00A44E1B">
        <w:t xml:space="preserve">reduced by using </w:t>
      </w:r>
      <w:r w:rsidRPr="00CC4E0B">
        <w:t>preventer inhalers regularly. Self-management behaviour has been linked with education to understand asthma action plans and early signs of deterioration, and this has been found to reduce the number of hospitali</w:t>
      </w:r>
      <w:r w:rsidR="00505035" w:rsidRPr="00CC4E0B">
        <w:t>s</w:t>
      </w:r>
      <w:r w:rsidRPr="00CC4E0B">
        <w:t>ations (</w:t>
      </w:r>
      <w:r w:rsidR="00541A39" w:rsidRPr="00CC4E0B">
        <w:t>Cravo et al., 2022</w:t>
      </w:r>
      <w:r w:rsidRPr="00CC4E0B">
        <w:t xml:space="preserve">). </w:t>
      </w:r>
    </w:p>
    <w:p w14:paraId="37540AAA" w14:textId="77777777" w:rsidR="00236B3C" w:rsidRPr="00CC4E0B" w:rsidRDefault="00236B3C" w:rsidP="00FB427A"/>
    <w:p w14:paraId="182EDBA3" w14:textId="5117AC15" w:rsidR="009B55A7" w:rsidRPr="00CC4E0B" w:rsidRDefault="00BC39CE" w:rsidP="0074415D">
      <w:pPr>
        <w:pStyle w:val="Heading1"/>
      </w:pPr>
      <w:bookmarkStart w:id="6" w:name="_Toc232791535"/>
      <w:r w:rsidRPr="00CC4E0B">
        <w:t>Conclusion</w:t>
      </w:r>
      <w:bookmarkEnd w:id="6"/>
    </w:p>
    <w:p w14:paraId="7E6802AC" w14:textId="62DD0D26" w:rsidR="008A261D" w:rsidRPr="00CC4E0B" w:rsidRDefault="00BC39CE" w:rsidP="00D86269">
      <w:r w:rsidRPr="00CC4E0B">
        <w:t>Asthma is a chronic inflammatory respiratory disease that can have a profound impact on breathing, quality of life and function, especially if poorly managed. Although it is a chronic disease, it is manageable when appropriately educated, medication compliant and lifestyle changes are undertaken. A knowledge of the lungs' function will allow people to gain greater insight into the systems of the respiratory tract and the impact on their functioning during asthma attacks. Exposure to irritants, like smoking and vaping particles, air pollutants and upper respiratory infections, worsens airway inflammation and the risk of acute exacerbations. These are often exacerbated in the adolescent period, resulting from behavioural/environmental changes. Individual self-monitoring is important in detecting early abnormalities in lung function and may help to facilitate early intervention. O</w:t>
      </w:r>
      <w:r w:rsidR="00CF5E47" w:rsidRPr="00CC4E0B">
        <w:t>verall</w:t>
      </w:r>
      <w:r w:rsidRPr="00CC4E0B">
        <w:t xml:space="preserve">, better education, steadfast adherence to self-management and positive </w:t>
      </w:r>
      <w:r w:rsidR="00505035" w:rsidRPr="00CC4E0B">
        <w:t>behavioural</w:t>
      </w:r>
      <w:r w:rsidRPr="00CC4E0B">
        <w:t xml:space="preserve"> changes should lead to a significant decrease in exacerbations, better control of symptoms, and better long-term outcome of respiratory function in the adolescent asthma population.</w:t>
      </w:r>
    </w:p>
    <w:p w14:paraId="3DD0B39F" w14:textId="0A87BDE5" w:rsidR="008A261D" w:rsidRPr="00CC4E0B" w:rsidRDefault="00BC39CE">
      <w:pPr>
        <w:spacing w:line="259" w:lineRule="auto"/>
      </w:pPr>
      <w:r w:rsidRPr="00CC4E0B">
        <w:br w:type="page"/>
      </w:r>
    </w:p>
    <w:p w14:paraId="148CB995" w14:textId="28145D4E" w:rsidR="008A261D" w:rsidRPr="00CC4E0B" w:rsidRDefault="00BC39CE" w:rsidP="00393311">
      <w:pPr>
        <w:pStyle w:val="Heading1"/>
      </w:pPr>
      <w:bookmarkStart w:id="7" w:name="_Toc232791536"/>
      <w:r w:rsidRPr="00CC4E0B">
        <w:lastRenderedPageBreak/>
        <w:t>References</w:t>
      </w:r>
      <w:bookmarkEnd w:id="7"/>
    </w:p>
    <w:p w14:paraId="127FF8BA" w14:textId="77777777" w:rsidR="00D25CF6" w:rsidRPr="00CC4E0B" w:rsidRDefault="00D25CF6" w:rsidP="00D25CF6">
      <w:pPr>
        <w:ind w:left="720" w:hanging="720"/>
      </w:pPr>
      <w:r w:rsidRPr="00CC4E0B">
        <w:t>Adcock, I.M., Bhatt, S.P., Balkissoon, R. and Wise, R.A. (2022). The use of inhaled corticosteroids for patients with COPD who continue to smoke cigarettes: an evaluation of current practice. </w:t>
      </w:r>
      <w:r w:rsidRPr="00CC4E0B">
        <w:rPr>
          <w:i/>
          <w:iCs/>
        </w:rPr>
        <w:t>The American journal of medicine</w:t>
      </w:r>
      <w:r w:rsidRPr="00CC4E0B">
        <w:t>, </w:t>
      </w:r>
      <w:r w:rsidRPr="00CC4E0B">
        <w:rPr>
          <w:i/>
          <w:iCs/>
        </w:rPr>
        <w:t>135</w:t>
      </w:r>
      <w:r w:rsidRPr="00CC4E0B">
        <w:t xml:space="preserve">(3), pp.302-312. </w:t>
      </w:r>
    </w:p>
    <w:p w14:paraId="5275B3BD" w14:textId="77777777" w:rsidR="00D25CF6" w:rsidRPr="00CC4E0B" w:rsidRDefault="00D25CF6" w:rsidP="00D25CF6">
      <w:pPr>
        <w:ind w:left="720" w:hanging="720"/>
      </w:pPr>
      <w:r w:rsidRPr="00CC4E0B">
        <w:t>Bhana, R.H. and Magan, A.B. (2023). Lung mechanics: a review of solid mechanical elasticity in lung parenchyma. Journal of Elasticity, 153(1), pp.53-117.</w:t>
      </w:r>
    </w:p>
    <w:p w14:paraId="087D2E08" w14:textId="77777777" w:rsidR="00D25CF6" w:rsidRPr="00CC4E0B" w:rsidRDefault="00D25CF6" w:rsidP="00D25CF6">
      <w:pPr>
        <w:ind w:left="720" w:hanging="720"/>
      </w:pPr>
      <w:r w:rsidRPr="00CC4E0B">
        <w:t>Binks, A. (2022). </w:t>
      </w:r>
      <w:r w:rsidRPr="00CC4E0B">
        <w:rPr>
          <w:i/>
          <w:iCs/>
        </w:rPr>
        <w:t>Pulmonary Physiology for Pre-Clinical Students</w:t>
      </w:r>
      <w:r w:rsidRPr="00CC4E0B">
        <w:t>. Virginia Tech Press.</w:t>
      </w:r>
    </w:p>
    <w:p w14:paraId="455BB09D" w14:textId="77777777" w:rsidR="00D25CF6" w:rsidRPr="00CC4E0B" w:rsidRDefault="00D25CF6" w:rsidP="00D25CF6">
      <w:pPr>
        <w:ind w:left="720" w:hanging="720"/>
      </w:pPr>
      <w:r w:rsidRPr="00CC4E0B">
        <w:t>Braslavskaya, K., Reformato, V. and Pantin, E. (2025). Blood Physiology and Oxygen Transport. In </w:t>
      </w:r>
      <w:r w:rsidRPr="00CC4E0B">
        <w:rPr>
          <w:i/>
          <w:iCs/>
        </w:rPr>
        <w:t>Clinical Perfusion for Cardiac Surgery: A Step-by-Step Guide to the Fundamentals</w:t>
      </w:r>
      <w:r w:rsidRPr="00CC4E0B">
        <w:t> (pp. 27-38). Cham: Springer Nature Switzerland.</w:t>
      </w:r>
    </w:p>
    <w:p w14:paraId="69934A5A" w14:textId="77777777" w:rsidR="00D25CF6" w:rsidRPr="00CC4E0B" w:rsidRDefault="00D25CF6" w:rsidP="00D25CF6">
      <w:pPr>
        <w:ind w:left="720" w:hanging="720"/>
      </w:pPr>
      <w:r w:rsidRPr="00CC4E0B">
        <w:t>Cravo, A., Attar, D., Freeman, D., Holmes, S., Ip, L. and Singh, S.J. (2022). The importance of self-management in the context of personalized care in COPD. </w:t>
      </w:r>
      <w:r w:rsidRPr="00CC4E0B">
        <w:rPr>
          <w:i/>
          <w:iCs/>
        </w:rPr>
        <w:t>International Journal of Chronic Obstructive Pulmonary Disease</w:t>
      </w:r>
      <w:r w:rsidRPr="00CC4E0B">
        <w:t>, pp.231-243.</w:t>
      </w:r>
    </w:p>
    <w:p w14:paraId="52985E4C" w14:textId="77777777" w:rsidR="00D25CF6" w:rsidRPr="00CC4E0B" w:rsidRDefault="00D25CF6" w:rsidP="00D25CF6">
      <w:pPr>
        <w:ind w:left="720" w:hanging="720"/>
      </w:pPr>
      <w:r w:rsidRPr="00CC4E0B">
        <w:t>Gerald, L.B. and Carr, T.F. (2022). Peak expiratory flow monitoring in asthma. </w:t>
      </w:r>
      <w:r w:rsidRPr="00CC4E0B">
        <w:rPr>
          <w:i/>
          <w:iCs/>
        </w:rPr>
        <w:t>UpToDate. Date last updated</w:t>
      </w:r>
      <w:r w:rsidRPr="00CC4E0B">
        <w:t>, </w:t>
      </w:r>
      <w:r w:rsidRPr="00CC4E0B">
        <w:rPr>
          <w:i/>
          <w:iCs/>
        </w:rPr>
        <w:t>14</w:t>
      </w:r>
      <w:r w:rsidRPr="00CC4E0B">
        <w:t>.</w:t>
      </w:r>
    </w:p>
    <w:p w14:paraId="3A667043" w14:textId="77777777" w:rsidR="00D25CF6" w:rsidRPr="00CC4E0B" w:rsidRDefault="00D25CF6" w:rsidP="00D25CF6">
      <w:pPr>
        <w:ind w:left="720" w:hanging="720"/>
      </w:pPr>
      <w:r w:rsidRPr="00CC4E0B">
        <w:t xml:space="preserve">GINA (2025). </w:t>
      </w:r>
      <w:r w:rsidRPr="00CC4E0B">
        <w:rPr>
          <w:i/>
          <w:iCs/>
        </w:rPr>
        <w:t>Summary Guide for Asthma Management and Prevention</w:t>
      </w:r>
      <w:r w:rsidRPr="00CC4E0B">
        <w:t xml:space="preserve">. [online] Available at: </w:t>
      </w:r>
      <w:hyperlink r:id="rId8" w:history="1">
        <w:r w:rsidRPr="00CC4E0B">
          <w:rPr>
            <w:rStyle w:val="Hyperlink"/>
          </w:rPr>
          <w:t>https://ginasthma.org/wp-content/uploads/2025/11/GINA-Summary-Guide-2025-WEB_FINAL-WMS.pdf</w:t>
        </w:r>
      </w:hyperlink>
      <w:r w:rsidRPr="00CC4E0B">
        <w:t xml:space="preserve"> [Accessed 19 Jun. 2026].</w:t>
      </w:r>
    </w:p>
    <w:p w14:paraId="06ED8E57" w14:textId="77777777" w:rsidR="00D25CF6" w:rsidRPr="00CC4E0B" w:rsidRDefault="00D25CF6" w:rsidP="00D25CF6">
      <w:pPr>
        <w:ind w:left="720" w:hanging="720"/>
      </w:pPr>
      <w:r w:rsidRPr="00CC4E0B">
        <w:t>Gopallawa, I., Dehinwal, R., Bhatia, V., Gujar, V. and Chirmule, N. (2023). A four-part guide to lung immunology: Invasion, inflammation, immunity, and intervention. </w:t>
      </w:r>
      <w:r w:rsidRPr="00CC4E0B">
        <w:rPr>
          <w:i/>
          <w:iCs/>
        </w:rPr>
        <w:t>Frontiers in immunology</w:t>
      </w:r>
      <w:r w:rsidRPr="00CC4E0B">
        <w:t>, </w:t>
      </w:r>
      <w:r w:rsidRPr="00CC4E0B">
        <w:rPr>
          <w:i/>
          <w:iCs/>
        </w:rPr>
        <w:t>14</w:t>
      </w:r>
      <w:r w:rsidRPr="00CC4E0B">
        <w:t>, p.1119564.</w:t>
      </w:r>
    </w:p>
    <w:p w14:paraId="627A4478" w14:textId="77777777" w:rsidR="00D25CF6" w:rsidRPr="00CC4E0B" w:rsidRDefault="00D25CF6" w:rsidP="00D25CF6">
      <w:pPr>
        <w:ind w:left="720" w:hanging="720"/>
      </w:pPr>
      <w:r w:rsidRPr="00CC4E0B">
        <w:t>Hill, D.B., Button, B., Rubinstein, M. and Boucher, R.C. (2022). Physiology and pathophysiology of human airway mucus. </w:t>
      </w:r>
      <w:r w:rsidRPr="00CC4E0B">
        <w:rPr>
          <w:i/>
          <w:iCs/>
        </w:rPr>
        <w:t>Physiological Reviews</w:t>
      </w:r>
      <w:r w:rsidRPr="00CC4E0B">
        <w:t>, </w:t>
      </w:r>
      <w:r w:rsidRPr="00CC4E0B">
        <w:rPr>
          <w:i/>
          <w:iCs/>
        </w:rPr>
        <w:t>102</w:t>
      </w:r>
      <w:r w:rsidRPr="00CC4E0B">
        <w:t>(4), pp.1757-1836.</w:t>
      </w:r>
    </w:p>
    <w:p w14:paraId="07A19786" w14:textId="77777777" w:rsidR="00D25CF6" w:rsidRPr="00CC4E0B" w:rsidRDefault="00D25CF6" w:rsidP="00D25CF6">
      <w:pPr>
        <w:ind w:left="720" w:hanging="720"/>
      </w:pPr>
      <w:r w:rsidRPr="00CC4E0B">
        <w:t>Jana, S., Manjari, P. and Hyder, I. (2023). Physiology of respiration. In </w:t>
      </w:r>
      <w:r w:rsidRPr="00CC4E0B">
        <w:rPr>
          <w:i/>
          <w:iCs/>
        </w:rPr>
        <w:t>Textbook of veterinary physiology</w:t>
      </w:r>
      <w:r w:rsidRPr="00CC4E0B">
        <w:t> (pp. 171-192). Singapore: Springer Nature Singapore.</w:t>
      </w:r>
    </w:p>
    <w:p w14:paraId="5D3EA0AE" w14:textId="77777777" w:rsidR="00D25CF6" w:rsidRPr="00CC4E0B" w:rsidRDefault="00D25CF6" w:rsidP="00D25CF6">
      <w:pPr>
        <w:ind w:left="720" w:hanging="720"/>
      </w:pPr>
      <w:r w:rsidRPr="00CC4E0B">
        <w:t>Kulkarni, V., Tejaswi, H.L. and Appaji, A.C. (2022. Ultrastructure of the alveolar cell complex of human lung and its functional correlation: A review. </w:t>
      </w:r>
      <w:r w:rsidRPr="00CC4E0B">
        <w:rPr>
          <w:i/>
          <w:iCs/>
        </w:rPr>
        <w:t>Journal of Medical Sciences</w:t>
      </w:r>
      <w:r w:rsidRPr="00CC4E0B">
        <w:t>, </w:t>
      </w:r>
      <w:r w:rsidRPr="00CC4E0B">
        <w:rPr>
          <w:i/>
          <w:iCs/>
        </w:rPr>
        <w:t>8</w:t>
      </w:r>
      <w:r w:rsidRPr="00CC4E0B">
        <w:t>(1), p.78.</w:t>
      </w:r>
    </w:p>
    <w:p w14:paraId="46A72B79" w14:textId="77777777" w:rsidR="00D25CF6" w:rsidRPr="00CC4E0B" w:rsidRDefault="00D25CF6" w:rsidP="00D25CF6">
      <w:pPr>
        <w:ind w:left="720" w:hanging="720"/>
      </w:pPr>
      <w:r w:rsidRPr="00CC4E0B">
        <w:t>Li, X., Yuan, L. and Wang, F. (2024). Health outcomes of electronic cigarettes. </w:t>
      </w:r>
      <w:r w:rsidRPr="00CC4E0B">
        <w:rPr>
          <w:i/>
          <w:iCs/>
        </w:rPr>
        <w:t>Chinese Medical Journal</w:t>
      </w:r>
      <w:r w:rsidRPr="00CC4E0B">
        <w:t>, </w:t>
      </w:r>
      <w:r w:rsidRPr="00CC4E0B">
        <w:rPr>
          <w:i/>
          <w:iCs/>
        </w:rPr>
        <w:t>137</w:t>
      </w:r>
      <w:r w:rsidRPr="00CC4E0B">
        <w:t>(16), pp.1903-1911.</w:t>
      </w:r>
    </w:p>
    <w:p w14:paraId="163B88E4" w14:textId="77777777" w:rsidR="00D25CF6" w:rsidRPr="00CC4E0B" w:rsidRDefault="00D25CF6" w:rsidP="00D25CF6">
      <w:pPr>
        <w:ind w:left="720" w:hanging="720"/>
      </w:pPr>
      <w:r w:rsidRPr="00CC4E0B">
        <w:t>Mansur, A.H. and Prasad, N. (2023. Management of difficult-to-treat asthma in adolescence and young adults. </w:t>
      </w:r>
      <w:r w:rsidRPr="00CC4E0B">
        <w:rPr>
          <w:i/>
          <w:iCs/>
        </w:rPr>
        <w:t>Breathe</w:t>
      </w:r>
      <w:r w:rsidRPr="00CC4E0B">
        <w:t>, </w:t>
      </w:r>
      <w:r w:rsidRPr="00CC4E0B">
        <w:rPr>
          <w:i/>
          <w:iCs/>
        </w:rPr>
        <w:t>19</w:t>
      </w:r>
      <w:r w:rsidRPr="00CC4E0B">
        <w:t>(1).</w:t>
      </w:r>
    </w:p>
    <w:p w14:paraId="04FF54B2" w14:textId="77777777" w:rsidR="00D25CF6" w:rsidRPr="00CC4E0B" w:rsidRDefault="00D25CF6" w:rsidP="00D25CF6">
      <w:pPr>
        <w:ind w:left="720" w:hanging="720"/>
      </w:pPr>
      <w:r w:rsidRPr="00CC4E0B">
        <w:lastRenderedPageBreak/>
        <w:t>Nata, S.C. and Launico, M.V. (2025). Anatomy, airway. In </w:t>
      </w:r>
      <w:r w:rsidRPr="00CC4E0B">
        <w:rPr>
          <w:i/>
          <w:iCs/>
        </w:rPr>
        <w:t>StatPearls [Internet]</w:t>
      </w:r>
      <w:r w:rsidRPr="00CC4E0B">
        <w:t>. StatPearls Publishing.</w:t>
      </w:r>
    </w:p>
    <w:p w14:paraId="5260D72D" w14:textId="77777777" w:rsidR="00D25CF6" w:rsidRPr="00CC4E0B" w:rsidRDefault="00D25CF6" w:rsidP="00D25CF6">
      <w:pPr>
        <w:ind w:left="720" w:hanging="720"/>
      </w:pPr>
      <w:r w:rsidRPr="00CC4E0B">
        <w:t>Navratilova, Z., Kominkova, E. and Petrek, M., (2023). The immune response in the pathophysiology of pulmonary diseases.</w:t>
      </w:r>
    </w:p>
    <w:p w14:paraId="682BC11F" w14:textId="77777777" w:rsidR="00D25CF6" w:rsidRPr="00CC4E0B" w:rsidRDefault="00D25CF6" w:rsidP="00D25CF6">
      <w:pPr>
        <w:ind w:left="720" w:hanging="720"/>
      </w:pPr>
      <w:r w:rsidRPr="00CC4E0B">
        <w:t xml:space="preserve">NICE (2024). </w:t>
      </w:r>
      <w:r w:rsidRPr="00CC4E0B">
        <w:rPr>
          <w:i/>
          <w:iCs/>
        </w:rPr>
        <w:t>Asthma: diagnosis, monitoring and chronic asthma management (BTS, NICE, SIGN) | Guidance | NICE</w:t>
      </w:r>
      <w:r w:rsidRPr="00CC4E0B">
        <w:t xml:space="preserve">. [online] Nice.org.uk. Available at: </w:t>
      </w:r>
      <w:hyperlink r:id="rId9" w:history="1">
        <w:r w:rsidRPr="00CC4E0B">
          <w:rPr>
            <w:rStyle w:val="Hyperlink"/>
          </w:rPr>
          <w:t>https://www.nice.org.uk/guidance/NG245</w:t>
        </w:r>
      </w:hyperlink>
      <w:r w:rsidRPr="00CC4E0B">
        <w:t xml:space="preserve"> [Accessed 19 Jun. 2026].</w:t>
      </w:r>
    </w:p>
    <w:p w14:paraId="719CB20D" w14:textId="77777777" w:rsidR="00D25CF6" w:rsidRPr="00CC4E0B" w:rsidRDefault="00D25CF6" w:rsidP="00D25CF6">
      <w:pPr>
        <w:ind w:left="720" w:hanging="720"/>
      </w:pPr>
      <w:r w:rsidRPr="00CC4E0B">
        <w:t>Peftoulidou, P., Gioulvanidou, M., Chrysochoou, E.A. and Hatziagorou, E. (2023). Physical activity and quality of life in children with well-controlled asthma. </w:t>
      </w:r>
      <w:r w:rsidRPr="00CC4E0B">
        <w:rPr>
          <w:i/>
          <w:iCs/>
        </w:rPr>
        <w:t>Journal of Asthma</w:t>
      </w:r>
      <w:r w:rsidRPr="00CC4E0B">
        <w:t>, </w:t>
      </w:r>
      <w:r w:rsidRPr="00CC4E0B">
        <w:rPr>
          <w:i/>
          <w:iCs/>
        </w:rPr>
        <w:t>60</w:t>
      </w:r>
      <w:r w:rsidRPr="00CC4E0B">
        <w:t>(5), pp.1031-1037.</w:t>
      </w:r>
    </w:p>
    <w:p w14:paraId="23679D3A" w14:textId="77777777" w:rsidR="00D25CF6" w:rsidRPr="00CC4E0B" w:rsidRDefault="00D25CF6" w:rsidP="00D25CF6">
      <w:pPr>
        <w:ind w:left="720" w:hanging="720"/>
      </w:pPr>
      <w:r w:rsidRPr="00CC4E0B">
        <w:t>Petersson, J. and Glenny, R.W., (2023), October. Gas exchange in the lung. In </w:t>
      </w:r>
      <w:r w:rsidRPr="00CC4E0B">
        <w:rPr>
          <w:i/>
          <w:iCs/>
        </w:rPr>
        <w:t>Seminars in Respiratory and Critical Care Medicine</w:t>
      </w:r>
      <w:r w:rsidRPr="00CC4E0B">
        <w:t> (Vol. 44, No. 05, pp. 555-568). Thieme Medical Publishers, Inc.</w:t>
      </w:r>
    </w:p>
    <w:p w14:paraId="59078153" w14:textId="77777777" w:rsidR="00D25CF6" w:rsidRPr="00393311" w:rsidRDefault="00D25CF6" w:rsidP="00D25CF6">
      <w:pPr>
        <w:ind w:left="720" w:hanging="720"/>
      </w:pPr>
      <w:r w:rsidRPr="00CC4E0B">
        <w:t>Zehrung, R., Reddy, M. and Chen, Y. (2024). Transitioning Together: Collaborative Work in Adolescent Chronic Illness Management. </w:t>
      </w:r>
      <w:r w:rsidRPr="00CC4E0B">
        <w:rPr>
          <w:i/>
          <w:iCs/>
        </w:rPr>
        <w:t>Proceedings of the ACM on Human-Computer Interaction</w:t>
      </w:r>
      <w:r w:rsidRPr="00CC4E0B">
        <w:t>, </w:t>
      </w:r>
      <w:r w:rsidRPr="00CC4E0B">
        <w:rPr>
          <w:i/>
          <w:iCs/>
        </w:rPr>
        <w:t>8</w:t>
      </w:r>
      <w:r w:rsidRPr="00CC4E0B">
        <w:t>(CSCW2), pp.1-24.</w:t>
      </w:r>
    </w:p>
    <w:sectPr w:rsidR="00D25CF6" w:rsidRPr="0039331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2D4D3" w14:textId="77777777" w:rsidR="00930DD8" w:rsidRDefault="00930DD8">
      <w:pPr>
        <w:spacing w:after="0" w:line="240" w:lineRule="auto"/>
      </w:pPr>
      <w:r>
        <w:separator/>
      </w:r>
    </w:p>
  </w:endnote>
  <w:endnote w:type="continuationSeparator" w:id="0">
    <w:p w14:paraId="16E76851" w14:textId="77777777" w:rsidR="00930DD8" w:rsidRDefault="00930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34D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205B"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0A0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572DA" w14:textId="77777777" w:rsidR="00930DD8" w:rsidRDefault="00930DD8">
      <w:pPr>
        <w:spacing w:after="0" w:line="240" w:lineRule="auto"/>
      </w:pPr>
      <w:r>
        <w:separator/>
      </w:r>
    </w:p>
  </w:footnote>
  <w:footnote w:type="continuationSeparator" w:id="0">
    <w:p w14:paraId="26E60E7F" w14:textId="77777777" w:rsidR="00930DD8" w:rsidRDefault="00930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DDB8"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A3AFE00" w14:textId="2FC86290" w:rsidR="00540FF6" w:rsidRDefault="00BC39C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B6753B"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13B0"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33CCC"/>
    <w:multiLevelType w:val="multilevel"/>
    <w:tmpl w:val="2ED63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11F25"/>
    <w:multiLevelType w:val="hybridMultilevel"/>
    <w:tmpl w:val="25F0AD82"/>
    <w:lvl w:ilvl="0" w:tplc="BEE03FA2">
      <w:start w:val="1"/>
      <w:numFmt w:val="bullet"/>
      <w:lvlText w:val=""/>
      <w:lvlJc w:val="left"/>
      <w:pPr>
        <w:ind w:left="720" w:hanging="360"/>
      </w:pPr>
      <w:rPr>
        <w:rFonts w:ascii="Symbol" w:hAnsi="Symbol" w:hint="default"/>
      </w:rPr>
    </w:lvl>
    <w:lvl w:ilvl="1" w:tplc="83806A6C" w:tentative="1">
      <w:start w:val="1"/>
      <w:numFmt w:val="bullet"/>
      <w:lvlText w:val="o"/>
      <w:lvlJc w:val="left"/>
      <w:pPr>
        <w:ind w:left="1440" w:hanging="360"/>
      </w:pPr>
      <w:rPr>
        <w:rFonts w:ascii="Courier New" w:hAnsi="Courier New" w:cs="Courier New" w:hint="default"/>
      </w:rPr>
    </w:lvl>
    <w:lvl w:ilvl="2" w:tplc="27DECF5E" w:tentative="1">
      <w:start w:val="1"/>
      <w:numFmt w:val="bullet"/>
      <w:lvlText w:val=""/>
      <w:lvlJc w:val="left"/>
      <w:pPr>
        <w:ind w:left="2160" w:hanging="360"/>
      </w:pPr>
      <w:rPr>
        <w:rFonts w:ascii="Wingdings" w:hAnsi="Wingdings" w:hint="default"/>
      </w:rPr>
    </w:lvl>
    <w:lvl w:ilvl="3" w:tplc="0212D5E0" w:tentative="1">
      <w:start w:val="1"/>
      <w:numFmt w:val="bullet"/>
      <w:lvlText w:val=""/>
      <w:lvlJc w:val="left"/>
      <w:pPr>
        <w:ind w:left="2880" w:hanging="360"/>
      </w:pPr>
      <w:rPr>
        <w:rFonts w:ascii="Symbol" w:hAnsi="Symbol" w:hint="default"/>
      </w:rPr>
    </w:lvl>
    <w:lvl w:ilvl="4" w:tplc="8222B9D4" w:tentative="1">
      <w:start w:val="1"/>
      <w:numFmt w:val="bullet"/>
      <w:lvlText w:val="o"/>
      <w:lvlJc w:val="left"/>
      <w:pPr>
        <w:ind w:left="3600" w:hanging="360"/>
      </w:pPr>
      <w:rPr>
        <w:rFonts w:ascii="Courier New" w:hAnsi="Courier New" w:cs="Courier New" w:hint="default"/>
      </w:rPr>
    </w:lvl>
    <w:lvl w:ilvl="5" w:tplc="91F256B6" w:tentative="1">
      <w:start w:val="1"/>
      <w:numFmt w:val="bullet"/>
      <w:lvlText w:val=""/>
      <w:lvlJc w:val="left"/>
      <w:pPr>
        <w:ind w:left="4320" w:hanging="360"/>
      </w:pPr>
      <w:rPr>
        <w:rFonts w:ascii="Wingdings" w:hAnsi="Wingdings" w:hint="default"/>
      </w:rPr>
    </w:lvl>
    <w:lvl w:ilvl="6" w:tplc="F3DE2A6E" w:tentative="1">
      <w:start w:val="1"/>
      <w:numFmt w:val="bullet"/>
      <w:lvlText w:val=""/>
      <w:lvlJc w:val="left"/>
      <w:pPr>
        <w:ind w:left="5040" w:hanging="360"/>
      </w:pPr>
      <w:rPr>
        <w:rFonts w:ascii="Symbol" w:hAnsi="Symbol" w:hint="default"/>
      </w:rPr>
    </w:lvl>
    <w:lvl w:ilvl="7" w:tplc="41D05EC6" w:tentative="1">
      <w:start w:val="1"/>
      <w:numFmt w:val="bullet"/>
      <w:lvlText w:val="o"/>
      <w:lvlJc w:val="left"/>
      <w:pPr>
        <w:ind w:left="5760" w:hanging="360"/>
      </w:pPr>
      <w:rPr>
        <w:rFonts w:ascii="Courier New" w:hAnsi="Courier New" w:cs="Courier New" w:hint="default"/>
      </w:rPr>
    </w:lvl>
    <w:lvl w:ilvl="8" w:tplc="48E28F66" w:tentative="1">
      <w:start w:val="1"/>
      <w:numFmt w:val="bullet"/>
      <w:lvlText w:val=""/>
      <w:lvlJc w:val="left"/>
      <w:pPr>
        <w:ind w:left="6480" w:hanging="360"/>
      </w:pPr>
      <w:rPr>
        <w:rFonts w:ascii="Wingdings" w:hAnsi="Wingdings" w:hint="default"/>
      </w:rPr>
    </w:lvl>
  </w:abstractNum>
  <w:abstractNum w:abstractNumId="2" w15:restartNumberingAfterBreak="0">
    <w:nsid w:val="12840FE6"/>
    <w:multiLevelType w:val="multilevel"/>
    <w:tmpl w:val="2FBCC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86BF2"/>
    <w:multiLevelType w:val="hybridMultilevel"/>
    <w:tmpl w:val="E5C8BE4E"/>
    <w:lvl w:ilvl="0" w:tplc="C21EA4E4">
      <w:start w:val="1"/>
      <w:numFmt w:val="bullet"/>
      <w:lvlText w:val=""/>
      <w:lvlJc w:val="left"/>
      <w:pPr>
        <w:ind w:left="720" w:hanging="360"/>
      </w:pPr>
      <w:rPr>
        <w:rFonts w:ascii="Symbol" w:hAnsi="Symbol" w:hint="default"/>
      </w:rPr>
    </w:lvl>
    <w:lvl w:ilvl="1" w:tplc="70E47EA0" w:tentative="1">
      <w:start w:val="1"/>
      <w:numFmt w:val="bullet"/>
      <w:lvlText w:val="o"/>
      <w:lvlJc w:val="left"/>
      <w:pPr>
        <w:ind w:left="1440" w:hanging="360"/>
      </w:pPr>
      <w:rPr>
        <w:rFonts w:ascii="Courier New" w:hAnsi="Courier New" w:cs="Courier New" w:hint="default"/>
      </w:rPr>
    </w:lvl>
    <w:lvl w:ilvl="2" w:tplc="31E0A37E" w:tentative="1">
      <w:start w:val="1"/>
      <w:numFmt w:val="bullet"/>
      <w:lvlText w:val=""/>
      <w:lvlJc w:val="left"/>
      <w:pPr>
        <w:ind w:left="2160" w:hanging="360"/>
      </w:pPr>
      <w:rPr>
        <w:rFonts w:ascii="Wingdings" w:hAnsi="Wingdings" w:hint="default"/>
      </w:rPr>
    </w:lvl>
    <w:lvl w:ilvl="3" w:tplc="9F7CCC66" w:tentative="1">
      <w:start w:val="1"/>
      <w:numFmt w:val="bullet"/>
      <w:lvlText w:val=""/>
      <w:lvlJc w:val="left"/>
      <w:pPr>
        <w:ind w:left="2880" w:hanging="360"/>
      </w:pPr>
      <w:rPr>
        <w:rFonts w:ascii="Symbol" w:hAnsi="Symbol" w:hint="default"/>
      </w:rPr>
    </w:lvl>
    <w:lvl w:ilvl="4" w:tplc="DFA43D30" w:tentative="1">
      <w:start w:val="1"/>
      <w:numFmt w:val="bullet"/>
      <w:lvlText w:val="o"/>
      <w:lvlJc w:val="left"/>
      <w:pPr>
        <w:ind w:left="3600" w:hanging="360"/>
      </w:pPr>
      <w:rPr>
        <w:rFonts w:ascii="Courier New" w:hAnsi="Courier New" w:cs="Courier New" w:hint="default"/>
      </w:rPr>
    </w:lvl>
    <w:lvl w:ilvl="5" w:tplc="A440ACFA" w:tentative="1">
      <w:start w:val="1"/>
      <w:numFmt w:val="bullet"/>
      <w:lvlText w:val=""/>
      <w:lvlJc w:val="left"/>
      <w:pPr>
        <w:ind w:left="4320" w:hanging="360"/>
      </w:pPr>
      <w:rPr>
        <w:rFonts w:ascii="Wingdings" w:hAnsi="Wingdings" w:hint="default"/>
      </w:rPr>
    </w:lvl>
    <w:lvl w:ilvl="6" w:tplc="86ECB406" w:tentative="1">
      <w:start w:val="1"/>
      <w:numFmt w:val="bullet"/>
      <w:lvlText w:val=""/>
      <w:lvlJc w:val="left"/>
      <w:pPr>
        <w:ind w:left="5040" w:hanging="360"/>
      </w:pPr>
      <w:rPr>
        <w:rFonts w:ascii="Symbol" w:hAnsi="Symbol" w:hint="default"/>
      </w:rPr>
    </w:lvl>
    <w:lvl w:ilvl="7" w:tplc="FC70DB20" w:tentative="1">
      <w:start w:val="1"/>
      <w:numFmt w:val="bullet"/>
      <w:lvlText w:val="o"/>
      <w:lvlJc w:val="left"/>
      <w:pPr>
        <w:ind w:left="5760" w:hanging="360"/>
      </w:pPr>
      <w:rPr>
        <w:rFonts w:ascii="Courier New" w:hAnsi="Courier New" w:cs="Courier New" w:hint="default"/>
      </w:rPr>
    </w:lvl>
    <w:lvl w:ilvl="8" w:tplc="19E6D548" w:tentative="1">
      <w:start w:val="1"/>
      <w:numFmt w:val="bullet"/>
      <w:lvlText w:val=""/>
      <w:lvlJc w:val="left"/>
      <w:pPr>
        <w:ind w:left="6480" w:hanging="360"/>
      </w:pPr>
      <w:rPr>
        <w:rFonts w:ascii="Wingdings" w:hAnsi="Wingdings" w:hint="default"/>
      </w:rPr>
    </w:lvl>
  </w:abstractNum>
  <w:abstractNum w:abstractNumId="4" w15:restartNumberingAfterBreak="0">
    <w:nsid w:val="2FA751F0"/>
    <w:multiLevelType w:val="multilevel"/>
    <w:tmpl w:val="63C62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671407"/>
    <w:multiLevelType w:val="hybridMultilevel"/>
    <w:tmpl w:val="274E4772"/>
    <w:lvl w:ilvl="0" w:tplc="6770BEB4">
      <w:start w:val="1"/>
      <w:numFmt w:val="decimal"/>
      <w:lvlText w:val="%1."/>
      <w:lvlJc w:val="left"/>
      <w:pPr>
        <w:ind w:left="720" w:hanging="360"/>
      </w:pPr>
    </w:lvl>
    <w:lvl w:ilvl="1" w:tplc="88B2B602" w:tentative="1">
      <w:start w:val="1"/>
      <w:numFmt w:val="lowerLetter"/>
      <w:lvlText w:val="%2."/>
      <w:lvlJc w:val="left"/>
      <w:pPr>
        <w:ind w:left="1440" w:hanging="360"/>
      </w:pPr>
    </w:lvl>
    <w:lvl w:ilvl="2" w:tplc="1200EC88" w:tentative="1">
      <w:start w:val="1"/>
      <w:numFmt w:val="lowerRoman"/>
      <w:lvlText w:val="%3."/>
      <w:lvlJc w:val="right"/>
      <w:pPr>
        <w:ind w:left="2160" w:hanging="180"/>
      </w:pPr>
    </w:lvl>
    <w:lvl w:ilvl="3" w:tplc="D778926C" w:tentative="1">
      <w:start w:val="1"/>
      <w:numFmt w:val="decimal"/>
      <w:lvlText w:val="%4."/>
      <w:lvlJc w:val="left"/>
      <w:pPr>
        <w:ind w:left="2880" w:hanging="360"/>
      </w:pPr>
    </w:lvl>
    <w:lvl w:ilvl="4" w:tplc="B3124296" w:tentative="1">
      <w:start w:val="1"/>
      <w:numFmt w:val="lowerLetter"/>
      <w:lvlText w:val="%5."/>
      <w:lvlJc w:val="left"/>
      <w:pPr>
        <w:ind w:left="3600" w:hanging="360"/>
      </w:pPr>
    </w:lvl>
    <w:lvl w:ilvl="5" w:tplc="C6C8A00C" w:tentative="1">
      <w:start w:val="1"/>
      <w:numFmt w:val="lowerRoman"/>
      <w:lvlText w:val="%6."/>
      <w:lvlJc w:val="right"/>
      <w:pPr>
        <w:ind w:left="4320" w:hanging="180"/>
      </w:pPr>
    </w:lvl>
    <w:lvl w:ilvl="6" w:tplc="70945752" w:tentative="1">
      <w:start w:val="1"/>
      <w:numFmt w:val="decimal"/>
      <w:lvlText w:val="%7."/>
      <w:lvlJc w:val="left"/>
      <w:pPr>
        <w:ind w:left="5040" w:hanging="360"/>
      </w:pPr>
    </w:lvl>
    <w:lvl w:ilvl="7" w:tplc="3724D80E" w:tentative="1">
      <w:start w:val="1"/>
      <w:numFmt w:val="lowerLetter"/>
      <w:lvlText w:val="%8."/>
      <w:lvlJc w:val="left"/>
      <w:pPr>
        <w:ind w:left="5760" w:hanging="360"/>
      </w:pPr>
    </w:lvl>
    <w:lvl w:ilvl="8" w:tplc="21DA1FF2" w:tentative="1">
      <w:start w:val="1"/>
      <w:numFmt w:val="lowerRoman"/>
      <w:lvlText w:val="%9."/>
      <w:lvlJc w:val="right"/>
      <w:pPr>
        <w:ind w:left="6480" w:hanging="180"/>
      </w:pPr>
    </w:lvl>
  </w:abstractNum>
  <w:abstractNum w:abstractNumId="6" w15:restartNumberingAfterBreak="0">
    <w:nsid w:val="60F60AAB"/>
    <w:multiLevelType w:val="multilevel"/>
    <w:tmpl w:val="DA44E0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556B07"/>
    <w:multiLevelType w:val="multilevel"/>
    <w:tmpl w:val="50C2A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7643EC"/>
    <w:multiLevelType w:val="multilevel"/>
    <w:tmpl w:val="FDE60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3203C6"/>
    <w:multiLevelType w:val="multilevel"/>
    <w:tmpl w:val="CF94D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831531">
    <w:abstractNumId w:val="1"/>
  </w:num>
  <w:num w:numId="2" w16cid:durableId="1381049338">
    <w:abstractNumId w:val="3"/>
  </w:num>
  <w:num w:numId="3" w16cid:durableId="1588613005">
    <w:abstractNumId w:val="5"/>
  </w:num>
  <w:num w:numId="4" w16cid:durableId="1911190088">
    <w:abstractNumId w:val="4"/>
  </w:num>
  <w:num w:numId="5" w16cid:durableId="1082288594">
    <w:abstractNumId w:val="0"/>
  </w:num>
  <w:num w:numId="6" w16cid:durableId="1584221681">
    <w:abstractNumId w:val="8"/>
  </w:num>
  <w:num w:numId="7" w16cid:durableId="2089689734">
    <w:abstractNumId w:val="2"/>
  </w:num>
  <w:num w:numId="8" w16cid:durableId="1555199063">
    <w:abstractNumId w:val="9"/>
  </w:num>
  <w:num w:numId="9" w16cid:durableId="1745906684">
    <w:abstractNumId w:val="6"/>
  </w:num>
  <w:num w:numId="10" w16cid:durableId="6773449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7BD"/>
    <w:rsid w:val="00001AA3"/>
    <w:rsid w:val="000023DB"/>
    <w:rsid w:val="000032E5"/>
    <w:rsid w:val="00017183"/>
    <w:rsid w:val="00022609"/>
    <w:rsid w:val="00023B30"/>
    <w:rsid w:val="0003287B"/>
    <w:rsid w:val="00032C9B"/>
    <w:rsid w:val="00034E85"/>
    <w:rsid w:val="000403DC"/>
    <w:rsid w:val="00040DA7"/>
    <w:rsid w:val="00043794"/>
    <w:rsid w:val="000528D5"/>
    <w:rsid w:val="0006684D"/>
    <w:rsid w:val="00067E75"/>
    <w:rsid w:val="00071CEB"/>
    <w:rsid w:val="0007324F"/>
    <w:rsid w:val="00074B53"/>
    <w:rsid w:val="0008149D"/>
    <w:rsid w:val="000912FE"/>
    <w:rsid w:val="00093C6D"/>
    <w:rsid w:val="000A31C2"/>
    <w:rsid w:val="000B0BBC"/>
    <w:rsid w:val="000B2B02"/>
    <w:rsid w:val="000C05B3"/>
    <w:rsid w:val="000C42B3"/>
    <w:rsid w:val="000D56EF"/>
    <w:rsid w:val="000E4057"/>
    <w:rsid w:val="000F0C31"/>
    <w:rsid w:val="00102444"/>
    <w:rsid w:val="00104C71"/>
    <w:rsid w:val="00107498"/>
    <w:rsid w:val="001111A7"/>
    <w:rsid w:val="00113CC9"/>
    <w:rsid w:val="00122A70"/>
    <w:rsid w:val="00124993"/>
    <w:rsid w:val="00124C2D"/>
    <w:rsid w:val="001279A6"/>
    <w:rsid w:val="0014262F"/>
    <w:rsid w:val="0014402F"/>
    <w:rsid w:val="00144F69"/>
    <w:rsid w:val="00145914"/>
    <w:rsid w:val="00145C7E"/>
    <w:rsid w:val="00147824"/>
    <w:rsid w:val="001574FE"/>
    <w:rsid w:val="00160724"/>
    <w:rsid w:val="0016135B"/>
    <w:rsid w:val="001732CE"/>
    <w:rsid w:val="001817CB"/>
    <w:rsid w:val="0018235D"/>
    <w:rsid w:val="0018545A"/>
    <w:rsid w:val="001863CD"/>
    <w:rsid w:val="00191971"/>
    <w:rsid w:val="00192B0D"/>
    <w:rsid w:val="001A3032"/>
    <w:rsid w:val="001B0942"/>
    <w:rsid w:val="001B387C"/>
    <w:rsid w:val="001C159B"/>
    <w:rsid w:val="001D55CC"/>
    <w:rsid w:val="001D7C27"/>
    <w:rsid w:val="001F47B9"/>
    <w:rsid w:val="00205FBC"/>
    <w:rsid w:val="00217D52"/>
    <w:rsid w:val="0022050C"/>
    <w:rsid w:val="0022672D"/>
    <w:rsid w:val="00236B3C"/>
    <w:rsid w:val="00250BAF"/>
    <w:rsid w:val="00252656"/>
    <w:rsid w:val="00256E5C"/>
    <w:rsid w:val="00257C58"/>
    <w:rsid w:val="00281F19"/>
    <w:rsid w:val="0028769C"/>
    <w:rsid w:val="00287DEB"/>
    <w:rsid w:val="0029109F"/>
    <w:rsid w:val="00293C94"/>
    <w:rsid w:val="002948FC"/>
    <w:rsid w:val="002955E4"/>
    <w:rsid w:val="002A6A5A"/>
    <w:rsid w:val="002B1FB1"/>
    <w:rsid w:val="002D45C2"/>
    <w:rsid w:val="002D4E24"/>
    <w:rsid w:val="002D7326"/>
    <w:rsid w:val="002F31F6"/>
    <w:rsid w:val="00307E34"/>
    <w:rsid w:val="00312B21"/>
    <w:rsid w:val="00324C80"/>
    <w:rsid w:val="00326607"/>
    <w:rsid w:val="00340196"/>
    <w:rsid w:val="00350909"/>
    <w:rsid w:val="0035312D"/>
    <w:rsid w:val="00354E9B"/>
    <w:rsid w:val="00373B99"/>
    <w:rsid w:val="00381AFE"/>
    <w:rsid w:val="00390B33"/>
    <w:rsid w:val="00392165"/>
    <w:rsid w:val="00393311"/>
    <w:rsid w:val="003966CB"/>
    <w:rsid w:val="00397A12"/>
    <w:rsid w:val="003B2E32"/>
    <w:rsid w:val="003B3FD8"/>
    <w:rsid w:val="003B6220"/>
    <w:rsid w:val="003B6D98"/>
    <w:rsid w:val="003D3815"/>
    <w:rsid w:val="003E0498"/>
    <w:rsid w:val="003F0F03"/>
    <w:rsid w:val="003F1E6B"/>
    <w:rsid w:val="003F2565"/>
    <w:rsid w:val="003F3465"/>
    <w:rsid w:val="0040046E"/>
    <w:rsid w:val="0040413B"/>
    <w:rsid w:val="00407933"/>
    <w:rsid w:val="00407E47"/>
    <w:rsid w:val="00412137"/>
    <w:rsid w:val="00440D8C"/>
    <w:rsid w:val="00454DC2"/>
    <w:rsid w:val="00463A29"/>
    <w:rsid w:val="00463FD4"/>
    <w:rsid w:val="0046442B"/>
    <w:rsid w:val="00466B61"/>
    <w:rsid w:val="00466B91"/>
    <w:rsid w:val="004729C6"/>
    <w:rsid w:val="004768E0"/>
    <w:rsid w:val="00486402"/>
    <w:rsid w:val="004959F3"/>
    <w:rsid w:val="0049655F"/>
    <w:rsid w:val="00496A07"/>
    <w:rsid w:val="004A02E4"/>
    <w:rsid w:val="004A351B"/>
    <w:rsid w:val="004B0727"/>
    <w:rsid w:val="004C085F"/>
    <w:rsid w:val="004C0D17"/>
    <w:rsid w:val="004C30B1"/>
    <w:rsid w:val="004C5212"/>
    <w:rsid w:val="004D1F75"/>
    <w:rsid w:val="00505035"/>
    <w:rsid w:val="005104B3"/>
    <w:rsid w:val="00521BE3"/>
    <w:rsid w:val="005236E9"/>
    <w:rsid w:val="00532E4D"/>
    <w:rsid w:val="0054023C"/>
    <w:rsid w:val="00540FF6"/>
    <w:rsid w:val="005412BD"/>
    <w:rsid w:val="00541A39"/>
    <w:rsid w:val="005475A8"/>
    <w:rsid w:val="0055312B"/>
    <w:rsid w:val="00577136"/>
    <w:rsid w:val="00591804"/>
    <w:rsid w:val="005A0FCA"/>
    <w:rsid w:val="005A6D79"/>
    <w:rsid w:val="005B0CC3"/>
    <w:rsid w:val="005B2A8C"/>
    <w:rsid w:val="005B61EA"/>
    <w:rsid w:val="005C0391"/>
    <w:rsid w:val="005C1D9B"/>
    <w:rsid w:val="005E1D3B"/>
    <w:rsid w:val="005F1FBF"/>
    <w:rsid w:val="005F6144"/>
    <w:rsid w:val="00602864"/>
    <w:rsid w:val="0060528A"/>
    <w:rsid w:val="00612FE9"/>
    <w:rsid w:val="00624E8A"/>
    <w:rsid w:val="00632C8B"/>
    <w:rsid w:val="00632FB5"/>
    <w:rsid w:val="006468C0"/>
    <w:rsid w:val="006475B8"/>
    <w:rsid w:val="0065581E"/>
    <w:rsid w:val="00660468"/>
    <w:rsid w:val="00666EA7"/>
    <w:rsid w:val="00674095"/>
    <w:rsid w:val="00693C5D"/>
    <w:rsid w:val="006A3C3F"/>
    <w:rsid w:val="006A7E2F"/>
    <w:rsid w:val="006B79B6"/>
    <w:rsid w:val="006D7BF8"/>
    <w:rsid w:val="006E4C6E"/>
    <w:rsid w:val="006E5E2F"/>
    <w:rsid w:val="006E6917"/>
    <w:rsid w:val="006E7D34"/>
    <w:rsid w:val="006F116E"/>
    <w:rsid w:val="006F5378"/>
    <w:rsid w:val="006F5593"/>
    <w:rsid w:val="006F789B"/>
    <w:rsid w:val="007029F9"/>
    <w:rsid w:val="00704DCC"/>
    <w:rsid w:val="00713C96"/>
    <w:rsid w:val="0072636D"/>
    <w:rsid w:val="00730027"/>
    <w:rsid w:val="00731784"/>
    <w:rsid w:val="00742BA4"/>
    <w:rsid w:val="0074415D"/>
    <w:rsid w:val="00745758"/>
    <w:rsid w:val="0074774F"/>
    <w:rsid w:val="00747C83"/>
    <w:rsid w:val="007521CF"/>
    <w:rsid w:val="00760AEB"/>
    <w:rsid w:val="00791442"/>
    <w:rsid w:val="0079355B"/>
    <w:rsid w:val="0079570D"/>
    <w:rsid w:val="007978B8"/>
    <w:rsid w:val="007A3A32"/>
    <w:rsid w:val="007A3A82"/>
    <w:rsid w:val="007B21A0"/>
    <w:rsid w:val="007B3780"/>
    <w:rsid w:val="007C1D00"/>
    <w:rsid w:val="007C5313"/>
    <w:rsid w:val="007C5410"/>
    <w:rsid w:val="007C5CC6"/>
    <w:rsid w:val="007D05FA"/>
    <w:rsid w:val="007E07BB"/>
    <w:rsid w:val="007E38C2"/>
    <w:rsid w:val="007E69F0"/>
    <w:rsid w:val="007E74A7"/>
    <w:rsid w:val="007F4885"/>
    <w:rsid w:val="007F5294"/>
    <w:rsid w:val="007F54F4"/>
    <w:rsid w:val="008006A9"/>
    <w:rsid w:val="00802041"/>
    <w:rsid w:val="00807200"/>
    <w:rsid w:val="00810405"/>
    <w:rsid w:val="00810FF4"/>
    <w:rsid w:val="0082264E"/>
    <w:rsid w:val="00823052"/>
    <w:rsid w:val="0083026D"/>
    <w:rsid w:val="00840E87"/>
    <w:rsid w:val="00843E71"/>
    <w:rsid w:val="00853131"/>
    <w:rsid w:val="00854362"/>
    <w:rsid w:val="00866208"/>
    <w:rsid w:val="008678FD"/>
    <w:rsid w:val="008718F9"/>
    <w:rsid w:val="0088274F"/>
    <w:rsid w:val="0088415F"/>
    <w:rsid w:val="008A261D"/>
    <w:rsid w:val="008B3E1A"/>
    <w:rsid w:val="008B6256"/>
    <w:rsid w:val="008C638F"/>
    <w:rsid w:val="008D27B5"/>
    <w:rsid w:val="008D404B"/>
    <w:rsid w:val="008E78C9"/>
    <w:rsid w:val="008F6B1D"/>
    <w:rsid w:val="0091483F"/>
    <w:rsid w:val="0091704F"/>
    <w:rsid w:val="00921602"/>
    <w:rsid w:val="0092632C"/>
    <w:rsid w:val="00927825"/>
    <w:rsid w:val="00930600"/>
    <w:rsid w:val="00930DD8"/>
    <w:rsid w:val="00931C9C"/>
    <w:rsid w:val="0093406C"/>
    <w:rsid w:val="00934DA2"/>
    <w:rsid w:val="00935075"/>
    <w:rsid w:val="00937C07"/>
    <w:rsid w:val="00937C4B"/>
    <w:rsid w:val="0094411A"/>
    <w:rsid w:val="00952E17"/>
    <w:rsid w:val="00954609"/>
    <w:rsid w:val="00955871"/>
    <w:rsid w:val="00961D9E"/>
    <w:rsid w:val="009636CB"/>
    <w:rsid w:val="00965BBE"/>
    <w:rsid w:val="009721F0"/>
    <w:rsid w:val="0097552B"/>
    <w:rsid w:val="00983947"/>
    <w:rsid w:val="00985BB8"/>
    <w:rsid w:val="00991F89"/>
    <w:rsid w:val="0099341C"/>
    <w:rsid w:val="00993DE1"/>
    <w:rsid w:val="009953C5"/>
    <w:rsid w:val="009A418F"/>
    <w:rsid w:val="009A4EAD"/>
    <w:rsid w:val="009A5B17"/>
    <w:rsid w:val="009A5F09"/>
    <w:rsid w:val="009B55A7"/>
    <w:rsid w:val="009B65E7"/>
    <w:rsid w:val="009B6724"/>
    <w:rsid w:val="009C60F1"/>
    <w:rsid w:val="009E4A15"/>
    <w:rsid w:val="009F6BDF"/>
    <w:rsid w:val="00A030FF"/>
    <w:rsid w:val="00A05A71"/>
    <w:rsid w:val="00A0768B"/>
    <w:rsid w:val="00A105DC"/>
    <w:rsid w:val="00A106A9"/>
    <w:rsid w:val="00A30600"/>
    <w:rsid w:val="00A30CDB"/>
    <w:rsid w:val="00A37802"/>
    <w:rsid w:val="00A44E1B"/>
    <w:rsid w:val="00A46E9A"/>
    <w:rsid w:val="00A478DB"/>
    <w:rsid w:val="00A53E0A"/>
    <w:rsid w:val="00A56384"/>
    <w:rsid w:val="00A5774F"/>
    <w:rsid w:val="00A610B5"/>
    <w:rsid w:val="00A67CE4"/>
    <w:rsid w:val="00A70EA7"/>
    <w:rsid w:val="00A723F4"/>
    <w:rsid w:val="00A731A5"/>
    <w:rsid w:val="00A74605"/>
    <w:rsid w:val="00A85BE5"/>
    <w:rsid w:val="00A87576"/>
    <w:rsid w:val="00A87622"/>
    <w:rsid w:val="00A908D7"/>
    <w:rsid w:val="00A90CC1"/>
    <w:rsid w:val="00A94AE9"/>
    <w:rsid w:val="00AC3901"/>
    <w:rsid w:val="00AD3547"/>
    <w:rsid w:val="00AD408E"/>
    <w:rsid w:val="00AD4684"/>
    <w:rsid w:val="00AD5B39"/>
    <w:rsid w:val="00AE561E"/>
    <w:rsid w:val="00AF01F3"/>
    <w:rsid w:val="00AF1065"/>
    <w:rsid w:val="00AF6600"/>
    <w:rsid w:val="00B04C54"/>
    <w:rsid w:val="00B12550"/>
    <w:rsid w:val="00B13580"/>
    <w:rsid w:val="00B214DE"/>
    <w:rsid w:val="00B44CA7"/>
    <w:rsid w:val="00B45FD2"/>
    <w:rsid w:val="00B46594"/>
    <w:rsid w:val="00B47BEB"/>
    <w:rsid w:val="00B55170"/>
    <w:rsid w:val="00B83D0E"/>
    <w:rsid w:val="00BA4BE3"/>
    <w:rsid w:val="00BA5040"/>
    <w:rsid w:val="00BB7F9F"/>
    <w:rsid w:val="00BC39CE"/>
    <w:rsid w:val="00BC6237"/>
    <w:rsid w:val="00BE0230"/>
    <w:rsid w:val="00BE1926"/>
    <w:rsid w:val="00BE2228"/>
    <w:rsid w:val="00BE4778"/>
    <w:rsid w:val="00BF1265"/>
    <w:rsid w:val="00BF3765"/>
    <w:rsid w:val="00C019D3"/>
    <w:rsid w:val="00C02B7D"/>
    <w:rsid w:val="00C07098"/>
    <w:rsid w:val="00C23CE5"/>
    <w:rsid w:val="00C311D1"/>
    <w:rsid w:val="00C33318"/>
    <w:rsid w:val="00C37198"/>
    <w:rsid w:val="00C404C2"/>
    <w:rsid w:val="00C40DF5"/>
    <w:rsid w:val="00C4185F"/>
    <w:rsid w:val="00C419A5"/>
    <w:rsid w:val="00C54810"/>
    <w:rsid w:val="00C57150"/>
    <w:rsid w:val="00C5770C"/>
    <w:rsid w:val="00C579D7"/>
    <w:rsid w:val="00C60C92"/>
    <w:rsid w:val="00C67B6F"/>
    <w:rsid w:val="00C71C6A"/>
    <w:rsid w:val="00C74F2B"/>
    <w:rsid w:val="00C76260"/>
    <w:rsid w:val="00C809C2"/>
    <w:rsid w:val="00C80B62"/>
    <w:rsid w:val="00C87318"/>
    <w:rsid w:val="00C91D4B"/>
    <w:rsid w:val="00C9395F"/>
    <w:rsid w:val="00C93A96"/>
    <w:rsid w:val="00CA0925"/>
    <w:rsid w:val="00CA4D05"/>
    <w:rsid w:val="00CC168C"/>
    <w:rsid w:val="00CC393A"/>
    <w:rsid w:val="00CC4E0B"/>
    <w:rsid w:val="00CC6206"/>
    <w:rsid w:val="00CD58F1"/>
    <w:rsid w:val="00CE149A"/>
    <w:rsid w:val="00CE20FE"/>
    <w:rsid w:val="00CF3333"/>
    <w:rsid w:val="00CF40DB"/>
    <w:rsid w:val="00CF5E47"/>
    <w:rsid w:val="00D02784"/>
    <w:rsid w:val="00D150D6"/>
    <w:rsid w:val="00D165ED"/>
    <w:rsid w:val="00D25CF6"/>
    <w:rsid w:val="00D33EED"/>
    <w:rsid w:val="00D35459"/>
    <w:rsid w:val="00D410CC"/>
    <w:rsid w:val="00D51288"/>
    <w:rsid w:val="00D51F0A"/>
    <w:rsid w:val="00D56CAE"/>
    <w:rsid w:val="00D6259E"/>
    <w:rsid w:val="00D7380B"/>
    <w:rsid w:val="00D82749"/>
    <w:rsid w:val="00D82995"/>
    <w:rsid w:val="00D82DA8"/>
    <w:rsid w:val="00D86269"/>
    <w:rsid w:val="00D944DA"/>
    <w:rsid w:val="00D94598"/>
    <w:rsid w:val="00DB6CEB"/>
    <w:rsid w:val="00DD5E48"/>
    <w:rsid w:val="00DD6690"/>
    <w:rsid w:val="00DE1E73"/>
    <w:rsid w:val="00E0371A"/>
    <w:rsid w:val="00E042E9"/>
    <w:rsid w:val="00E13095"/>
    <w:rsid w:val="00E13BAC"/>
    <w:rsid w:val="00E16454"/>
    <w:rsid w:val="00E20DB0"/>
    <w:rsid w:val="00E30880"/>
    <w:rsid w:val="00E40882"/>
    <w:rsid w:val="00E47C7D"/>
    <w:rsid w:val="00E56D9A"/>
    <w:rsid w:val="00E7014C"/>
    <w:rsid w:val="00EB191A"/>
    <w:rsid w:val="00EB42A0"/>
    <w:rsid w:val="00EB5E21"/>
    <w:rsid w:val="00EB6749"/>
    <w:rsid w:val="00EC3336"/>
    <w:rsid w:val="00EC5196"/>
    <w:rsid w:val="00ED63A9"/>
    <w:rsid w:val="00EE3EA4"/>
    <w:rsid w:val="00EF6D1E"/>
    <w:rsid w:val="00EF7B52"/>
    <w:rsid w:val="00F01B92"/>
    <w:rsid w:val="00F04923"/>
    <w:rsid w:val="00F1212A"/>
    <w:rsid w:val="00F150A3"/>
    <w:rsid w:val="00F228A3"/>
    <w:rsid w:val="00F304FA"/>
    <w:rsid w:val="00F307B6"/>
    <w:rsid w:val="00F3521B"/>
    <w:rsid w:val="00F3599C"/>
    <w:rsid w:val="00F42366"/>
    <w:rsid w:val="00F42650"/>
    <w:rsid w:val="00F47358"/>
    <w:rsid w:val="00F47FFB"/>
    <w:rsid w:val="00F66F3F"/>
    <w:rsid w:val="00F720F0"/>
    <w:rsid w:val="00F72454"/>
    <w:rsid w:val="00F76964"/>
    <w:rsid w:val="00F859EC"/>
    <w:rsid w:val="00F86F61"/>
    <w:rsid w:val="00F9239F"/>
    <w:rsid w:val="00F9787E"/>
    <w:rsid w:val="00FB427A"/>
    <w:rsid w:val="00FB5F4D"/>
    <w:rsid w:val="00FC32D4"/>
    <w:rsid w:val="00FC46A5"/>
    <w:rsid w:val="00FC501E"/>
    <w:rsid w:val="00FE1CD8"/>
    <w:rsid w:val="00FE3400"/>
    <w:rsid w:val="00FE3C82"/>
    <w:rsid w:val="00FE5044"/>
    <w:rsid w:val="00FF2BCC"/>
    <w:rsid w:val="00FF3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E40882"/>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E4088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nasthma.org/wp-content/uploads/2025/11/GINA-Summary-Guide-2025-WEB_FINAL-WMS.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ice.org.uk/guidance/NG245"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E627D-AEAE-430C-BADF-66207C834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2804</Words>
  <Characters>15985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Ifat Hussain</dc:creator>
  <cp:lastModifiedBy>Ifat Hussain (2419347)</cp:lastModifiedBy>
  <cp:revision>2</cp:revision>
  <dcterms:created xsi:type="dcterms:W3CDTF">2026-06-24T18:36:00Z</dcterms:created>
  <dcterms:modified xsi:type="dcterms:W3CDTF">2026-06-24T18:36:00Z</dcterms:modified>
</cp:coreProperties>
</file>