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8F98D1" w14:textId="77777777" w:rsidR="00214CA6" w:rsidRDefault="00214CA6" w:rsidP="00214CA6">
      <w:r>
        <w:rPr>
          <w:noProof/>
        </w:rPr>
        <w:drawing>
          <wp:inline distT="0" distB="0" distL="0" distR="0" wp14:anchorId="6BB35017" wp14:editId="591474FF">
            <wp:extent cx="3343275" cy="1343025"/>
            <wp:effectExtent l="0" t="0" r="0" b="0"/>
            <wp:docPr id="1"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3343275" cy="1343025"/>
                    </a:xfrm>
                    <a:prstGeom prst="rect">
                      <a:avLst/>
                    </a:prstGeom>
                    <a:noFill/>
                    <a:ln>
                      <a:noFill/>
                    </a:ln>
                  </pic:spPr>
                </pic:pic>
              </a:graphicData>
            </a:graphic>
          </wp:inline>
        </w:drawing>
      </w:r>
    </w:p>
    <w:p w14:paraId="56E65753" w14:textId="77777777" w:rsidR="00214CA6" w:rsidRDefault="00214CA6" w:rsidP="00214CA6">
      <w:pPr>
        <w:rPr>
          <w:rStyle w:val="Strong"/>
          <w:rFonts w:ascii="Segoe UI" w:hAnsi="Segoe UI" w:cs="Segoe UI"/>
          <w:color w:val="1D2125"/>
        </w:rPr>
      </w:pPr>
    </w:p>
    <w:p w14:paraId="5DB0FD57" w14:textId="77777777" w:rsidR="00214CA6" w:rsidRDefault="00214CA6" w:rsidP="00214CA6">
      <w:pPr>
        <w:rPr>
          <w:rStyle w:val="Strong"/>
          <w:rFonts w:cs="Arial"/>
          <w:color w:val="1D2125"/>
          <w:sz w:val="36"/>
          <w:szCs w:val="36"/>
        </w:rPr>
      </w:pPr>
    </w:p>
    <w:p w14:paraId="69F3EBEA" w14:textId="77777777" w:rsidR="00214CA6" w:rsidRDefault="00214CA6" w:rsidP="00214CA6">
      <w:pPr>
        <w:jc w:val="center"/>
        <w:rPr>
          <w:rStyle w:val="Strong"/>
          <w:rFonts w:cs="Arial"/>
          <w:color w:val="1D2125"/>
          <w:sz w:val="36"/>
          <w:szCs w:val="36"/>
        </w:rPr>
      </w:pPr>
    </w:p>
    <w:p w14:paraId="4DAE4CC5" w14:textId="77777777" w:rsidR="00214CA6" w:rsidRDefault="00214CA6" w:rsidP="00214CA6">
      <w:pPr>
        <w:jc w:val="center"/>
        <w:rPr>
          <w:rStyle w:val="Strong"/>
          <w:rFonts w:cs="Arial"/>
          <w:color w:val="1D2125"/>
          <w:sz w:val="36"/>
          <w:szCs w:val="36"/>
        </w:rPr>
      </w:pPr>
      <w:r w:rsidRPr="008375B5">
        <w:rPr>
          <w:rStyle w:val="Strong"/>
          <w:rFonts w:cs="Arial"/>
          <w:color w:val="1D2125"/>
          <w:sz w:val="36"/>
          <w:szCs w:val="36"/>
        </w:rPr>
        <w:t>Digital Transformation in the Health and Care Professions (BMHP6026</w:t>
      </w:r>
      <w:r>
        <w:rPr>
          <w:rStyle w:val="Strong"/>
          <w:rFonts w:cs="Arial"/>
          <w:color w:val="1D2125"/>
          <w:sz w:val="36"/>
          <w:szCs w:val="36"/>
        </w:rPr>
        <w:t>)</w:t>
      </w:r>
    </w:p>
    <w:p w14:paraId="32C3F676" w14:textId="77777777" w:rsidR="00214CA6" w:rsidRDefault="00214CA6" w:rsidP="00214CA6">
      <w:pPr>
        <w:jc w:val="center"/>
        <w:rPr>
          <w:rStyle w:val="Strong"/>
          <w:rFonts w:cs="Arial"/>
          <w:color w:val="1D2125"/>
          <w:sz w:val="36"/>
          <w:szCs w:val="36"/>
        </w:rPr>
      </w:pPr>
    </w:p>
    <w:p w14:paraId="22D2DEFE" w14:textId="77777777" w:rsidR="00214CA6" w:rsidRDefault="00214CA6" w:rsidP="00214CA6">
      <w:pPr>
        <w:jc w:val="center"/>
        <w:rPr>
          <w:rStyle w:val="Strong"/>
          <w:rFonts w:cs="Arial"/>
          <w:color w:val="1D2125"/>
          <w:sz w:val="36"/>
          <w:szCs w:val="36"/>
        </w:rPr>
      </w:pPr>
    </w:p>
    <w:p w14:paraId="0EC16CC0" w14:textId="77777777" w:rsidR="00214CA6" w:rsidRDefault="00214CA6" w:rsidP="00214CA6">
      <w:pPr>
        <w:rPr>
          <w:rStyle w:val="Strong"/>
          <w:rFonts w:cs="Arial"/>
          <w:b w:val="0"/>
          <w:bCs w:val="0"/>
          <w:color w:val="1D2125"/>
          <w:sz w:val="32"/>
          <w:szCs w:val="32"/>
        </w:rPr>
      </w:pPr>
      <w:r>
        <w:rPr>
          <w:rFonts w:cs="Arial"/>
          <w:b/>
          <w:bCs/>
          <w:color w:val="000000"/>
          <w:sz w:val="32"/>
          <w:szCs w:val="32"/>
        </w:rPr>
        <w:t>Component 1: Written Report</w:t>
      </w:r>
    </w:p>
    <w:p w14:paraId="2D75B740" w14:textId="77777777" w:rsidR="00214CA6" w:rsidRDefault="00214CA6" w:rsidP="00214CA6">
      <w:pPr>
        <w:rPr>
          <w:rStyle w:val="Strong"/>
          <w:rFonts w:cs="Arial"/>
          <w:color w:val="1D2125"/>
          <w:sz w:val="32"/>
          <w:szCs w:val="32"/>
        </w:rPr>
      </w:pPr>
    </w:p>
    <w:p w14:paraId="1803E041" w14:textId="77777777" w:rsidR="00214CA6" w:rsidRDefault="00214CA6" w:rsidP="00214CA6">
      <w:pPr>
        <w:rPr>
          <w:rStyle w:val="Strong"/>
          <w:rFonts w:cs="Arial"/>
          <w:color w:val="1D2125"/>
          <w:sz w:val="32"/>
          <w:szCs w:val="32"/>
        </w:rPr>
      </w:pPr>
      <w:r>
        <w:rPr>
          <w:rStyle w:val="Strong"/>
          <w:rFonts w:cs="Arial"/>
          <w:color w:val="1D2125"/>
          <w:sz w:val="32"/>
          <w:szCs w:val="32"/>
        </w:rPr>
        <w:t>Student name: Agnieszka Szalek</w:t>
      </w:r>
    </w:p>
    <w:p w14:paraId="67BED475" w14:textId="77777777" w:rsidR="00214CA6" w:rsidRDefault="00214CA6" w:rsidP="00214CA6">
      <w:pPr>
        <w:rPr>
          <w:rStyle w:val="Strong"/>
          <w:rFonts w:cs="Arial"/>
          <w:color w:val="1D2125"/>
          <w:sz w:val="32"/>
          <w:szCs w:val="32"/>
        </w:rPr>
      </w:pPr>
      <w:r>
        <w:rPr>
          <w:rStyle w:val="Strong"/>
          <w:rFonts w:cs="Arial"/>
          <w:color w:val="1D2125"/>
          <w:sz w:val="32"/>
          <w:szCs w:val="32"/>
        </w:rPr>
        <w:t>Student number: 2325666</w:t>
      </w:r>
    </w:p>
    <w:p w14:paraId="1EE98B36" w14:textId="77777777" w:rsidR="00214CA6" w:rsidRDefault="00214CA6" w:rsidP="00214CA6">
      <w:pPr>
        <w:rPr>
          <w:rStyle w:val="Strong"/>
          <w:rFonts w:cs="Arial"/>
          <w:color w:val="1D2125"/>
          <w:sz w:val="32"/>
          <w:szCs w:val="32"/>
        </w:rPr>
      </w:pPr>
      <w:r>
        <w:rPr>
          <w:rStyle w:val="Strong"/>
          <w:rFonts w:cs="Arial"/>
          <w:color w:val="1D2125"/>
          <w:sz w:val="32"/>
          <w:szCs w:val="32"/>
        </w:rPr>
        <w:t>Lecturer’s name: Laila Surani</w:t>
      </w:r>
    </w:p>
    <w:p w14:paraId="008E5004" w14:textId="77777777" w:rsidR="00214CA6" w:rsidRDefault="00214CA6" w:rsidP="00214CA6">
      <w:pPr>
        <w:pStyle w:val="TOCHeading"/>
        <w:rPr>
          <w:rFonts w:ascii="Arial" w:eastAsiaTheme="minorHAnsi" w:hAnsi="Arial" w:cstheme="minorBidi"/>
          <w:b w:val="0"/>
          <w:bCs w:val="0"/>
          <w:color w:val="auto"/>
          <w:kern w:val="2"/>
          <w:sz w:val="22"/>
          <w:szCs w:val="24"/>
          <w:lang w:val="en-GB"/>
          <w14:ligatures w14:val="standardContextual"/>
        </w:rPr>
      </w:pPr>
    </w:p>
    <w:p w14:paraId="6EA0622C" w14:textId="77777777" w:rsidR="00214CA6" w:rsidRDefault="00214CA6" w:rsidP="00214CA6">
      <w:pPr>
        <w:spacing w:line="240" w:lineRule="auto"/>
        <w:jc w:val="center"/>
        <w:rPr>
          <w:b/>
          <w:bCs/>
          <w:sz w:val="32"/>
          <w:szCs w:val="32"/>
        </w:rPr>
      </w:pPr>
    </w:p>
    <w:p w14:paraId="19E31F15" w14:textId="77777777" w:rsidR="00214CA6" w:rsidRDefault="00214CA6" w:rsidP="00214CA6">
      <w:pPr>
        <w:spacing w:line="240" w:lineRule="auto"/>
        <w:jc w:val="center"/>
        <w:rPr>
          <w:b/>
          <w:bCs/>
          <w:sz w:val="32"/>
          <w:szCs w:val="32"/>
        </w:rPr>
      </w:pPr>
    </w:p>
    <w:p w14:paraId="392C39A1" w14:textId="77777777" w:rsidR="00214CA6" w:rsidRDefault="00214CA6" w:rsidP="00214CA6">
      <w:pPr>
        <w:spacing w:line="240" w:lineRule="auto"/>
        <w:jc w:val="center"/>
        <w:rPr>
          <w:b/>
          <w:bCs/>
          <w:sz w:val="32"/>
          <w:szCs w:val="32"/>
        </w:rPr>
      </w:pPr>
    </w:p>
    <w:p w14:paraId="70AB9686" w14:textId="77777777" w:rsidR="00214CA6" w:rsidRDefault="00214CA6" w:rsidP="00214CA6">
      <w:pPr>
        <w:spacing w:line="240" w:lineRule="auto"/>
        <w:jc w:val="center"/>
        <w:rPr>
          <w:b/>
          <w:bCs/>
          <w:sz w:val="32"/>
          <w:szCs w:val="32"/>
        </w:rPr>
      </w:pPr>
    </w:p>
    <w:p w14:paraId="08909481" w14:textId="2AB01C1C" w:rsidR="00214CA6" w:rsidRPr="00214CA6" w:rsidRDefault="00214CA6" w:rsidP="00214CA6">
      <w:pPr>
        <w:spacing w:line="240" w:lineRule="auto"/>
        <w:jc w:val="center"/>
        <w:rPr>
          <w:sz w:val="32"/>
          <w:szCs w:val="32"/>
        </w:rPr>
      </w:pPr>
      <w:r>
        <w:rPr>
          <w:b/>
          <w:bCs/>
          <w:sz w:val="32"/>
          <w:szCs w:val="32"/>
        </w:rPr>
        <w:t xml:space="preserve">LIBRE A PATCH TO MONITOR DIABETES </w:t>
      </w:r>
    </w:p>
    <w:p w14:paraId="1761F20D" w14:textId="77777777" w:rsidR="00214CA6" w:rsidRDefault="00214CA6">
      <w:pPr>
        <w:spacing w:line="240" w:lineRule="auto"/>
        <w:jc w:val="left"/>
      </w:pPr>
      <w:r>
        <w:rPr>
          <w:b/>
          <w:bCs/>
        </w:rPr>
        <w:br w:type="page"/>
      </w:r>
    </w:p>
    <w:sdt>
      <w:sdtPr>
        <w:rPr>
          <w:rFonts w:ascii="Arial" w:eastAsiaTheme="minorHAnsi" w:hAnsi="Arial" w:cstheme="minorBidi"/>
          <w:b w:val="0"/>
          <w:bCs w:val="0"/>
          <w:color w:val="auto"/>
          <w:kern w:val="2"/>
          <w:sz w:val="22"/>
          <w:szCs w:val="24"/>
          <w:lang w:val="en-GB"/>
          <w14:ligatures w14:val="standardContextual"/>
        </w:rPr>
        <w:id w:val="461782670"/>
        <w:docPartObj>
          <w:docPartGallery w:val="Table of Contents"/>
          <w:docPartUnique/>
        </w:docPartObj>
      </w:sdtPr>
      <w:sdtEndPr>
        <w:rPr>
          <w:noProof/>
        </w:rPr>
      </w:sdtEndPr>
      <w:sdtContent>
        <w:p w14:paraId="0F9F9EE0" w14:textId="2D9DBCD5" w:rsidR="00232C14" w:rsidRDefault="00232C14">
          <w:pPr>
            <w:pStyle w:val="TOCHeading"/>
          </w:pPr>
          <w:r>
            <w:t>Table of Contents</w:t>
          </w:r>
        </w:p>
        <w:p w14:paraId="4AB0D133" w14:textId="5D558DC4" w:rsidR="00F75EDF" w:rsidRDefault="00232C14">
          <w:pPr>
            <w:pStyle w:val="TOC1"/>
            <w:tabs>
              <w:tab w:val="right" w:leader="dot" w:pos="9016"/>
            </w:tabs>
            <w:rPr>
              <w:rFonts w:eastAsiaTheme="minorEastAsia"/>
              <w:b w:val="0"/>
              <w:bCs w:val="0"/>
              <w:caps w:val="0"/>
              <w:noProof/>
              <w:sz w:val="24"/>
              <w:szCs w:val="24"/>
              <w:u w:val="none"/>
              <w:lang w:eastAsia="en-GB"/>
            </w:rPr>
          </w:pPr>
          <w:r>
            <w:rPr>
              <w:b w:val="0"/>
              <w:bCs w:val="0"/>
            </w:rPr>
            <w:fldChar w:fldCharType="begin"/>
          </w:r>
          <w:r>
            <w:instrText xml:space="preserve"> TOC \o "1-3" \h \z \u </w:instrText>
          </w:r>
          <w:r>
            <w:rPr>
              <w:b w:val="0"/>
              <w:bCs w:val="0"/>
            </w:rPr>
            <w:fldChar w:fldCharType="separate"/>
          </w:r>
          <w:hyperlink w:anchor="_Toc224766233" w:history="1">
            <w:r>
              <w:rPr>
                <w:rStyle w:val="Hyperlink"/>
                <w:noProof/>
              </w:rPr>
              <w:t>Introduction</w:t>
            </w:r>
            <w:r>
              <w:rPr>
                <w:noProof/>
                <w:webHidden/>
              </w:rPr>
              <w:tab/>
            </w:r>
            <w:r>
              <w:rPr>
                <w:noProof/>
                <w:webHidden/>
              </w:rPr>
              <w:fldChar w:fldCharType="begin"/>
            </w:r>
            <w:r>
              <w:rPr>
                <w:noProof/>
                <w:webHidden/>
              </w:rPr>
              <w:instrText xml:space="preserve"> PAGEREF _Toc224766233 \h </w:instrText>
            </w:r>
            <w:r>
              <w:rPr>
                <w:noProof/>
                <w:webHidden/>
              </w:rPr>
            </w:r>
            <w:r>
              <w:rPr>
                <w:noProof/>
                <w:webHidden/>
              </w:rPr>
              <w:fldChar w:fldCharType="separate"/>
            </w:r>
            <w:r>
              <w:rPr>
                <w:noProof/>
                <w:webHidden/>
              </w:rPr>
              <w:t>2</w:t>
            </w:r>
            <w:r>
              <w:rPr>
                <w:noProof/>
                <w:webHidden/>
              </w:rPr>
              <w:fldChar w:fldCharType="end"/>
            </w:r>
          </w:hyperlink>
        </w:p>
        <w:p w14:paraId="7C566631" w14:textId="65FCB52E" w:rsidR="00F75EDF" w:rsidRDefault="00F75EDF">
          <w:pPr>
            <w:pStyle w:val="TOC1"/>
            <w:tabs>
              <w:tab w:val="right" w:leader="dot" w:pos="9016"/>
            </w:tabs>
            <w:rPr>
              <w:rFonts w:eastAsiaTheme="minorEastAsia"/>
              <w:b w:val="0"/>
              <w:bCs w:val="0"/>
              <w:caps w:val="0"/>
              <w:noProof/>
              <w:sz w:val="24"/>
              <w:szCs w:val="24"/>
              <w:u w:val="none"/>
              <w:lang w:eastAsia="en-GB"/>
            </w:rPr>
          </w:pPr>
          <w:hyperlink w:anchor="_Toc224766234" w:history="1">
            <w:r>
              <w:rPr>
                <w:rStyle w:val="Hyperlink"/>
                <w:noProof/>
              </w:rPr>
              <w:t>Impact on Workforce</w:t>
            </w:r>
            <w:r>
              <w:rPr>
                <w:noProof/>
                <w:webHidden/>
              </w:rPr>
              <w:tab/>
            </w:r>
            <w:r>
              <w:rPr>
                <w:noProof/>
                <w:webHidden/>
              </w:rPr>
              <w:fldChar w:fldCharType="begin"/>
            </w:r>
            <w:r>
              <w:rPr>
                <w:noProof/>
                <w:webHidden/>
              </w:rPr>
              <w:instrText xml:space="preserve"> PAGEREF _Toc224766234 \h </w:instrText>
            </w:r>
            <w:r>
              <w:rPr>
                <w:noProof/>
                <w:webHidden/>
              </w:rPr>
            </w:r>
            <w:r>
              <w:rPr>
                <w:noProof/>
                <w:webHidden/>
              </w:rPr>
              <w:fldChar w:fldCharType="separate"/>
            </w:r>
            <w:r>
              <w:rPr>
                <w:noProof/>
                <w:webHidden/>
              </w:rPr>
              <w:t>2</w:t>
            </w:r>
            <w:r>
              <w:rPr>
                <w:noProof/>
                <w:webHidden/>
              </w:rPr>
              <w:fldChar w:fldCharType="end"/>
            </w:r>
          </w:hyperlink>
        </w:p>
        <w:p w14:paraId="199B6FBF" w14:textId="0FC0D392" w:rsidR="00F75EDF" w:rsidRDefault="00F75EDF">
          <w:pPr>
            <w:pStyle w:val="TOC2"/>
            <w:tabs>
              <w:tab w:val="right" w:leader="dot" w:pos="9016"/>
            </w:tabs>
            <w:rPr>
              <w:rFonts w:eastAsiaTheme="minorEastAsia"/>
              <w:b w:val="0"/>
              <w:bCs w:val="0"/>
              <w:smallCaps w:val="0"/>
              <w:noProof/>
              <w:sz w:val="24"/>
              <w:szCs w:val="24"/>
              <w:lang w:eastAsia="en-GB"/>
            </w:rPr>
          </w:pPr>
          <w:hyperlink w:anchor="_Toc224766235" w:history="1">
            <w:r>
              <w:rPr>
                <w:rStyle w:val="Hyperlink"/>
                <w:noProof/>
              </w:rPr>
              <w:t>The negative side</w:t>
            </w:r>
            <w:r>
              <w:rPr>
                <w:noProof/>
                <w:webHidden/>
              </w:rPr>
              <w:tab/>
            </w:r>
            <w:r>
              <w:rPr>
                <w:noProof/>
                <w:webHidden/>
              </w:rPr>
              <w:fldChar w:fldCharType="begin"/>
            </w:r>
            <w:r>
              <w:rPr>
                <w:noProof/>
                <w:webHidden/>
              </w:rPr>
              <w:instrText xml:space="preserve"> PAGEREF _Toc224766235 \h </w:instrText>
            </w:r>
            <w:r>
              <w:rPr>
                <w:noProof/>
                <w:webHidden/>
              </w:rPr>
            </w:r>
            <w:r>
              <w:rPr>
                <w:noProof/>
                <w:webHidden/>
              </w:rPr>
              <w:fldChar w:fldCharType="separate"/>
            </w:r>
            <w:r>
              <w:rPr>
                <w:noProof/>
                <w:webHidden/>
              </w:rPr>
              <w:t>3</w:t>
            </w:r>
            <w:r>
              <w:rPr>
                <w:noProof/>
                <w:webHidden/>
              </w:rPr>
              <w:fldChar w:fldCharType="end"/>
            </w:r>
          </w:hyperlink>
        </w:p>
        <w:p w14:paraId="7B1AB54B" w14:textId="40258501" w:rsidR="00F75EDF" w:rsidRDefault="00F75EDF">
          <w:pPr>
            <w:pStyle w:val="TOC1"/>
            <w:tabs>
              <w:tab w:val="right" w:leader="dot" w:pos="9016"/>
            </w:tabs>
            <w:rPr>
              <w:rFonts w:eastAsiaTheme="minorEastAsia"/>
              <w:b w:val="0"/>
              <w:bCs w:val="0"/>
              <w:caps w:val="0"/>
              <w:noProof/>
              <w:sz w:val="24"/>
              <w:szCs w:val="24"/>
              <w:u w:val="none"/>
              <w:lang w:eastAsia="en-GB"/>
            </w:rPr>
          </w:pPr>
          <w:hyperlink w:anchor="_Toc224766236" w:history="1">
            <w:r>
              <w:rPr>
                <w:rStyle w:val="Hyperlink"/>
                <w:noProof/>
              </w:rPr>
              <w:t>Service Delivery Impact</w:t>
            </w:r>
            <w:r>
              <w:rPr>
                <w:noProof/>
                <w:webHidden/>
              </w:rPr>
              <w:tab/>
            </w:r>
            <w:r>
              <w:rPr>
                <w:noProof/>
                <w:webHidden/>
              </w:rPr>
              <w:fldChar w:fldCharType="begin"/>
            </w:r>
            <w:r>
              <w:rPr>
                <w:noProof/>
                <w:webHidden/>
              </w:rPr>
              <w:instrText xml:space="preserve"> PAGEREF _Toc224766236 \h </w:instrText>
            </w:r>
            <w:r>
              <w:rPr>
                <w:noProof/>
                <w:webHidden/>
              </w:rPr>
            </w:r>
            <w:r>
              <w:rPr>
                <w:noProof/>
                <w:webHidden/>
              </w:rPr>
              <w:fldChar w:fldCharType="separate"/>
            </w:r>
            <w:r>
              <w:rPr>
                <w:noProof/>
                <w:webHidden/>
              </w:rPr>
              <w:t>4</w:t>
            </w:r>
            <w:r>
              <w:rPr>
                <w:noProof/>
                <w:webHidden/>
              </w:rPr>
              <w:fldChar w:fldCharType="end"/>
            </w:r>
          </w:hyperlink>
        </w:p>
        <w:p w14:paraId="4AAA0651" w14:textId="28574ADC" w:rsidR="00F75EDF" w:rsidRDefault="00F75EDF">
          <w:pPr>
            <w:pStyle w:val="TOC2"/>
            <w:tabs>
              <w:tab w:val="right" w:leader="dot" w:pos="9016"/>
            </w:tabs>
            <w:rPr>
              <w:rFonts w:eastAsiaTheme="minorEastAsia"/>
              <w:b w:val="0"/>
              <w:bCs w:val="0"/>
              <w:smallCaps w:val="0"/>
              <w:noProof/>
              <w:sz w:val="24"/>
              <w:szCs w:val="24"/>
              <w:lang w:eastAsia="en-GB"/>
            </w:rPr>
          </w:pPr>
          <w:hyperlink w:anchor="_Toc224766237" w:history="1">
            <w:r>
              <w:rPr>
                <w:rStyle w:val="Hyperlink"/>
                <w:noProof/>
              </w:rPr>
              <w:t>Where it became even more difficult</w:t>
            </w:r>
            <w:r>
              <w:rPr>
                <w:noProof/>
                <w:webHidden/>
              </w:rPr>
              <w:tab/>
            </w:r>
            <w:r>
              <w:rPr>
                <w:noProof/>
                <w:webHidden/>
              </w:rPr>
              <w:fldChar w:fldCharType="begin"/>
            </w:r>
            <w:r>
              <w:rPr>
                <w:noProof/>
                <w:webHidden/>
              </w:rPr>
              <w:instrText xml:space="preserve"> PAGEREF _Toc224766237 \h </w:instrText>
            </w:r>
            <w:r>
              <w:rPr>
                <w:noProof/>
                <w:webHidden/>
              </w:rPr>
            </w:r>
            <w:r>
              <w:rPr>
                <w:noProof/>
                <w:webHidden/>
              </w:rPr>
              <w:fldChar w:fldCharType="separate"/>
            </w:r>
            <w:r>
              <w:rPr>
                <w:noProof/>
                <w:webHidden/>
              </w:rPr>
              <w:t>5</w:t>
            </w:r>
            <w:r>
              <w:rPr>
                <w:noProof/>
                <w:webHidden/>
              </w:rPr>
              <w:fldChar w:fldCharType="end"/>
            </w:r>
          </w:hyperlink>
        </w:p>
        <w:p w14:paraId="77C125DE" w14:textId="169C4F97" w:rsidR="00F75EDF" w:rsidRDefault="00F75EDF">
          <w:pPr>
            <w:pStyle w:val="TOC1"/>
            <w:tabs>
              <w:tab w:val="right" w:leader="dot" w:pos="9016"/>
            </w:tabs>
            <w:rPr>
              <w:rFonts w:eastAsiaTheme="minorEastAsia"/>
              <w:b w:val="0"/>
              <w:bCs w:val="0"/>
              <w:caps w:val="0"/>
              <w:noProof/>
              <w:sz w:val="24"/>
              <w:szCs w:val="24"/>
              <w:u w:val="none"/>
              <w:lang w:eastAsia="en-GB"/>
            </w:rPr>
          </w:pPr>
          <w:hyperlink w:anchor="_Toc224766238" w:history="1">
            <w:r>
              <w:rPr>
                <w:rStyle w:val="Hyperlink"/>
                <w:noProof/>
              </w:rPr>
              <w:t>Impact on Patients</w:t>
            </w:r>
            <w:r>
              <w:rPr>
                <w:noProof/>
                <w:webHidden/>
              </w:rPr>
              <w:tab/>
            </w:r>
            <w:r>
              <w:rPr>
                <w:noProof/>
                <w:webHidden/>
              </w:rPr>
              <w:fldChar w:fldCharType="begin"/>
            </w:r>
            <w:r>
              <w:rPr>
                <w:noProof/>
                <w:webHidden/>
              </w:rPr>
              <w:instrText xml:space="preserve"> PAGEREF _Toc224766238 \h </w:instrText>
            </w:r>
            <w:r>
              <w:rPr>
                <w:noProof/>
                <w:webHidden/>
              </w:rPr>
            </w:r>
            <w:r>
              <w:rPr>
                <w:noProof/>
                <w:webHidden/>
              </w:rPr>
              <w:fldChar w:fldCharType="separate"/>
            </w:r>
            <w:r>
              <w:rPr>
                <w:noProof/>
                <w:webHidden/>
              </w:rPr>
              <w:t>5</w:t>
            </w:r>
            <w:r>
              <w:rPr>
                <w:noProof/>
                <w:webHidden/>
              </w:rPr>
              <w:fldChar w:fldCharType="end"/>
            </w:r>
          </w:hyperlink>
        </w:p>
        <w:p w14:paraId="47D6AAB0" w14:textId="509EB515" w:rsidR="00F75EDF" w:rsidRDefault="00F75EDF">
          <w:pPr>
            <w:pStyle w:val="TOC1"/>
            <w:tabs>
              <w:tab w:val="right" w:leader="dot" w:pos="9016"/>
            </w:tabs>
            <w:rPr>
              <w:rFonts w:eastAsiaTheme="minorEastAsia"/>
              <w:b w:val="0"/>
              <w:bCs w:val="0"/>
              <w:caps w:val="0"/>
              <w:noProof/>
              <w:sz w:val="24"/>
              <w:szCs w:val="24"/>
              <w:u w:val="none"/>
              <w:lang w:eastAsia="en-GB"/>
            </w:rPr>
          </w:pPr>
          <w:hyperlink w:anchor="_Toc224766239" w:history="1">
            <w:r>
              <w:rPr>
                <w:rStyle w:val="Hyperlink"/>
                <w:noProof/>
              </w:rPr>
              <w:t>Impact on Community</w:t>
            </w:r>
            <w:r>
              <w:rPr>
                <w:noProof/>
                <w:webHidden/>
              </w:rPr>
              <w:tab/>
            </w:r>
            <w:r>
              <w:rPr>
                <w:noProof/>
                <w:webHidden/>
              </w:rPr>
              <w:fldChar w:fldCharType="begin"/>
            </w:r>
            <w:r>
              <w:rPr>
                <w:noProof/>
                <w:webHidden/>
              </w:rPr>
              <w:instrText xml:space="preserve"> PAGEREF _Toc224766239 \h </w:instrText>
            </w:r>
            <w:r>
              <w:rPr>
                <w:noProof/>
                <w:webHidden/>
              </w:rPr>
            </w:r>
            <w:r>
              <w:rPr>
                <w:noProof/>
                <w:webHidden/>
              </w:rPr>
              <w:fldChar w:fldCharType="separate"/>
            </w:r>
            <w:r>
              <w:rPr>
                <w:noProof/>
                <w:webHidden/>
              </w:rPr>
              <w:t>6</w:t>
            </w:r>
            <w:r>
              <w:rPr>
                <w:noProof/>
                <w:webHidden/>
              </w:rPr>
              <w:fldChar w:fldCharType="end"/>
            </w:r>
          </w:hyperlink>
        </w:p>
        <w:p w14:paraId="115EF124" w14:textId="51452171" w:rsidR="00F75EDF" w:rsidRDefault="00F75EDF">
          <w:pPr>
            <w:pStyle w:val="TOC1"/>
            <w:tabs>
              <w:tab w:val="right" w:leader="dot" w:pos="9016"/>
            </w:tabs>
            <w:rPr>
              <w:rFonts w:eastAsiaTheme="minorEastAsia"/>
              <w:b w:val="0"/>
              <w:bCs w:val="0"/>
              <w:caps w:val="0"/>
              <w:noProof/>
              <w:sz w:val="24"/>
              <w:szCs w:val="24"/>
              <w:u w:val="none"/>
              <w:lang w:eastAsia="en-GB"/>
            </w:rPr>
          </w:pPr>
          <w:hyperlink w:anchor="_Toc224766240" w:history="1">
            <w:r>
              <w:rPr>
                <w:rStyle w:val="Hyperlink"/>
                <w:noProof/>
              </w:rPr>
              <w:t>Conclusion</w:t>
            </w:r>
            <w:r>
              <w:rPr>
                <w:noProof/>
                <w:webHidden/>
              </w:rPr>
              <w:tab/>
            </w:r>
            <w:r>
              <w:rPr>
                <w:noProof/>
                <w:webHidden/>
              </w:rPr>
              <w:fldChar w:fldCharType="begin"/>
            </w:r>
            <w:r>
              <w:rPr>
                <w:noProof/>
                <w:webHidden/>
              </w:rPr>
              <w:instrText xml:space="preserve"> PAGEREF _Toc224766240 \h </w:instrText>
            </w:r>
            <w:r>
              <w:rPr>
                <w:noProof/>
                <w:webHidden/>
              </w:rPr>
            </w:r>
            <w:r>
              <w:rPr>
                <w:noProof/>
                <w:webHidden/>
              </w:rPr>
              <w:fldChar w:fldCharType="separate"/>
            </w:r>
            <w:r>
              <w:rPr>
                <w:noProof/>
                <w:webHidden/>
              </w:rPr>
              <w:t>7</w:t>
            </w:r>
            <w:r>
              <w:rPr>
                <w:noProof/>
                <w:webHidden/>
              </w:rPr>
              <w:fldChar w:fldCharType="end"/>
            </w:r>
          </w:hyperlink>
        </w:p>
        <w:p w14:paraId="0255A555" w14:textId="56DEDE50" w:rsidR="00F75EDF" w:rsidRDefault="00F75EDF">
          <w:pPr>
            <w:pStyle w:val="TOC1"/>
            <w:tabs>
              <w:tab w:val="right" w:leader="dot" w:pos="9016"/>
            </w:tabs>
            <w:rPr>
              <w:rFonts w:eastAsiaTheme="minorEastAsia"/>
              <w:b w:val="0"/>
              <w:bCs w:val="0"/>
              <w:caps w:val="0"/>
              <w:noProof/>
              <w:sz w:val="24"/>
              <w:szCs w:val="24"/>
              <w:u w:val="none"/>
              <w:lang w:eastAsia="en-GB"/>
            </w:rPr>
          </w:pPr>
          <w:hyperlink w:anchor="_Toc224766241" w:history="1">
            <w:r>
              <w:rPr>
                <w:rStyle w:val="Hyperlink"/>
                <w:noProof/>
              </w:rPr>
              <w:t>References</w:t>
            </w:r>
            <w:r>
              <w:rPr>
                <w:noProof/>
                <w:webHidden/>
              </w:rPr>
              <w:tab/>
            </w:r>
            <w:r>
              <w:rPr>
                <w:noProof/>
                <w:webHidden/>
              </w:rPr>
              <w:fldChar w:fldCharType="begin"/>
            </w:r>
            <w:r>
              <w:rPr>
                <w:noProof/>
                <w:webHidden/>
              </w:rPr>
              <w:instrText xml:space="preserve"> PAGEREF _Toc224766241 \h </w:instrText>
            </w:r>
            <w:r>
              <w:rPr>
                <w:noProof/>
                <w:webHidden/>
              </w:rPr>
            </w:r>
            <w:r>
              <w:rPr>
                <w:noProof/>
                <w:webHidden/>
              </w:rPr>
              <w:fldChar w:fldCharType="separate"/>
            </w:r>
            <w:r>
              <w:rPr>
                <w:noProof/>
                <w:webHidden/>
              </w:rPr>
              <w:t>8</w:t>
            </w:r>
            <w:r>
              <w:rPr>
                <w:noProof/>
                <w:webHidden/>
              </w:rPr>
              <w:fldChar w:fldCharType="end"/>
            </w:r>
          </w:hyperlink>
        </w:p>
        <w:p w14:paraId="799EA275" w14:textId="2AB46AA6" w:rsidR="00232C14" w:rsidRDefault="00232C14">
          <w:r>
            <w:rPr>
              <w:b/>
              <w:bCs/>
              <w:noProof/>
            </w:rPr>
            <w:fldChar w:fldCharType="end"/>
          </w:r>
        </w:p>
      </w:sdtContent>
    </w:sdt>
    <w:p w14:paraId="0EECE282" w14:textId="0E013976" w:rsidR="00B67966" w:rsidRDefault="00B67966" w:rsidP="00B67966"/>
    <w:p w14:paraId="60060968" w14:textId="77777777" w:rsidR="00B67966" w:rsidRDefault="00B67966">
      <w:pPr>
        <w:spacing w:line="240" w:lineRule="auto"/>
        <w:jc w:val="left"/>
      </w:pPr>
      <w:r>
        <w:br w:type="page"/>
      </w:r>
    </w:p>
    <w:p w14:paraId="50B3D787" w14:textId="0539A147" w:rsidR="0087590A" w:rsidRDefault="0087590A" w:rsidP="0087590A">
      <w:pPr>
        <w:pStyle w:val="Heading1"/>
      </w:pPr>
      <w:bookmarkStart w:id="0" w:name="_Toc224766233"/>
      <w:r>
        <w:lastRenderedPageBreak/>
        <w:t>Introduction</w:t>
      </w:r>
      <w:bookmarkEnd w:id="0"/>
    </w:p>
    <w:p w14:paraId="196A8FA2" w14:textId="01504A32" w:rsidR="0087590A" w:rsidRDefault="003B01D4" w:rsidP="0087590A">
      <w:r w:rsidRPr="003B01D4">
        <w:t>Diabetes is an ever-expanding issue for the NHS and is affecting 4.3 million people in the UK and this is an ever-growing number (Diabetes UK, 2023)</w:t>
      </w:r>
      <w:r w:rsidR="0087590A">
        <w:t>. Blood glucose management is a common problem that affects people with diabetes. Finger-prick blood tests are how blood glucose levels are measured, a process that is painful, and for most patients, not something they can do consistently. Abbott’s Freestyle Libre changed the testing process. Now, patients can wear a small sensor on their upper arms, which reads their glucose levels and provides the information they need. Since 2017, patients with Type 1 diabetes on the NHS have been able to use this sensor, and with each new healthcare directive, more patients become eligible (NHS England, 2021).</w:t>
      </w:r>
    </w:p>
    <w:p w14:paraId="738C63E9" w14:textId="77777777" w:rsidR="00B64D98" w:rsidRDefault="00B64D98" w:rsidP="00B64D98">
      <w:pPr>
        <w:keepNext/>
      </w:pPr>
      <w:r>
        <w:rPr>
          <w:noProof/>
        </w:rPr>
        <w:drawing>
          <wp:inline distT="0" distB="0" distL="0" distR="0" wp14:anchorId="1976AE9C" wp14:editId="792E32D1">
            <wp:extent cx="5731510" cy="3620135"/>
            <wp:effectExtent l="12700" t="12700" r="8890" b="12065"/>
            <wp:docPr id="112435970" name="Picture 1" descr="A person using a blood sugar monitor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435970" name="Picture 1" descr="A person using a blood sugar monitor  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731510" cy="3620135"/>
                    </a:xfrm>
                    <a:prstGeom prst="rect">
                      <a:avLst/>
                    </a:prstGeom>
                    <a:ln>
                      <a:solidFill>
                        <a:schemeClr val="accent1"/>
                      </a:solidFill>
                    </a:ln>
                  </pic:spPr>
                </pic:pic>
              </a:graphicData>
            </a:graphic>
          </wp:inline>
        </w:drawing>
      </w:r>
    </w:p>
    <w:p w14:paraId="2814EB9B" w14:textId="6D935035" w:rsidR="0087590A" w:rsidRDefault="00B64D98" w:rsidP="00B64D98">
      <w:pPr>
        <w:pStyle w:val="Caption"/>
        <w:jc w:val="center"/>
      </w:pPr>
      <w:r>
        <w:t xml:space="preserve">Figure </w:t>
      </w:r>
      <w:fldSimple w:instr=" SEQ Figure \* ARABIC ">
        <w:r>
          <w:rPr>
            <w:noProof/>
          </w:rPr>
          <w:t>1</w:t>
        </w:r>
      </w:fldSimple>
      <w:r>
        <w:t>: FreeStyle Libre blood glucose monitoring sensor (www.medium.com, 2026).</w:t>
      </w:r>
    </w:p>
    <w:p w14:paraId="459F6429" w14:textId="489DDCBC" w:rsidR="0087590A" w:rsidRDefault="0087590A" w:rsidP="0087590A">
      <w:r>
        <w:t>This essay examines the impact the implementation of Freestyle Libre has had on health and social care in the UK. Its focus will be on the workforce, service delivery, patients, and the wider community, and to discuss both the positive and negative aspects of this implementation.</w:t>
      </w:r>
    </w:p>
    <w:p w14:paraId="3A44A12E" w14:textId="7F80CD8C" w:rsidR="00804672" w:rsidRDefault="00804672" w:rsidP="00804672">
      <w:pPr>
        <w:pStyle w:val="Heading1"/>
      </w:pPr>
      <w:bookmarkStart w:id="1" w:name="_Toc224766234"/>
      <w:r>
        <w:t>Impact on Workforce</w:t>
      </w:r>
      <w:bookmarkEnd w:id="1"/>
    </w:p>
    <w:p w14:paraId="7AF928CA" w14:textId="238119E8" w:rsidR="00804672" w:rsidRDefault="00804672" w:rsidP="00804672">
      <w:r>
        <w:t xml:space="preserve">With the introduction of the Freestyle Libre, patients are now able to monitor glucose levels more easily, and the expectations of caregivers have changed as well (Winter, 2019). Diabetes specialist nurses (DSNs) now must learn to analyse and interpret data from continuous glucose monitors as opposed to one-time readings. This is an entirely different skill. Much </w:t>
      </w:r>
      <w:r>
        <w:lastRenderedPageBreak/>
        <w:t>training is needed to view and analyse glucose trends, understand the direction and rate of change, and advise patients based on their analyses. Many employees did not have this training before the technology was introduced (Lawton et al., 2018). General practitioners were also required to adapt to this change. Data from remote consultations is now richer because patients are able to share their LibreView reports during consultations. Some of the GPs appreciated this change, while others felt that the data was just an added burden with no further opportunities (Abner et al., 2021). There was no national training programme implemented alongside the NHS rollout, which represents a considerable oversight given the scale of the commission.</w:t>
      </w:r>
    </w:p>
    <w:p w14:paraId="1D07436F" w14:textId="77777777" w:rsidR="000547DC" w:rsidRDefault="000547DC" w:rsidP="000547DC">
      <w:pPr>
        <w:keepNext/>
      </w:pPr>
      <w:r>
        <w:rPr>
          <w:noProof/>
        </w:rPr>
        <w:drawing>
          <wp:inline distT="0" distB="0" distL="0" distR="0" wp14:anchorId="4A5D0522" wp14:editId="6CE6FA92">
            <wp:extent cx="5731510" cy="3318510"/>
            <wp:effectExtent l="12700" t="12700" r="8890" b="8890"/>
            <wp:docPr id="334841006" name="Picture 2" descr="A computer and a phone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4841006" name="Picture 2" descr="A computer and a phone  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731510" cy="3318510"/>
                    </a:xfrm>
                    <a:prstGeom prst="rect">
                      <a:avLst/>
                    </a:prstGeom>
                    <a:ln>
                      <a:solidFill>
                        <a:schemeClr val="accent1"/>
                      </a:solidFill>
                    </a:ln>
                  </pic:spPr>
                </pic:pic>
              </a:graphicData>
            </a:graphic>
          </wp:inline>
        </w:drawing>
      </w:r>
    </w:p>
    <w:p w14:paraId="439EC604" w14:textId="233FB6F6" w:rsidR="00804672" w:rsidRDefault="000547DC" w:rsidP="000547DC">
      <w:pPr>
        <w:pStyle w:val="Caption"/>
        <w:jc w:val="center"/>
      </w:pPr>
      <w:r>
        <w:t xml:space="preserve">Figure </w:t>
      </w:r>
      <w:fldSimple w:instr=" SEQ Figure \* ARABIC ">
        <w:r>
          <w:rPr>
            <w:noProof/>
          </w:rPr>
          <w:t>2</w:t>
        </w:r>
      </w:fldSimple>
      <w:r>
        <w:t>: Libre's digital health solution remote management (www.pro.freestyle.abbott, 2026).</w:t>
      </w:r>
    </w:p>
    <w:p w14:paraId="7A6DEEB0" w14:textId="03A575D5" w:rsidR="00804672" w:rsidRDefault="00804672" w:rsidP="00804672">
      <w:r>
        <w:t>The role of community pharmacists also changed. As Libre sensors became a prescribed item, community pharmacists became the first point of contact for patients needing guidance on how to apply, troubleshoot, and resolve sensor errors. This unplanned expansion of responsibilities broadened clinical involvement in diabetes care for community pharmacists (Winter, 2019).</w:t>
      </w:r>
    </w:p>
    <w:p w14:paraId="29FC87F7" w14:textId="3AEA92BB" w:rsidR="00804672" w:rsidRDefault="00804672" w:rsidP="00804672">
      <w:pPr>
        <w:pStyle w:val="Heading2"/>
      </w:pPr>
      <w:bookmarkStart w:id="2" w:name="_Toc224766235"/>
      <w:r>
        <w:t>The negative side</w:t>
      </w:r>
      <w:bookmarkEnd w:id="2"/>
    </w:p>
    <w:p w14:paraId="17D0A5B9" w14:textId="77777777" w:rsidR="00DF7EA4" w:rsidRDefault="00DF7EA4" w:rsidP="00DF7EA4">
      <w:r>
        <w:t xml:space="preserve">The launch of FreeStyle Libre highlighted the lack of workforce readiness across the NHS. Community staff in Wales and northern England felt unsupported and unprepared, with guidance absent to help them meet the challenges of the new technology (NHS Digital, 2022). Despite the size of the commission, the rollout occurred without any comprehensive national training initiative, and many professionals were left to adapt to an entirely new working </w:t>
      </w:r>
      <w:r>
        <w:lastRenderedPageBreak/>
        <w:t>environment (Lawton et al., 2018). Given the different skills involved in interpreting continuous glucose data as opposed to reading an HbA1c result, this is a serious oversight.</w:t>
      </w:r>
    </w:p>
    <w:p w14:paraId="3A725A16" w14:textId="77777777" w:rsidR="00DF7EA4" w:rsidRDefault="00DF7EA4" w:rsidP="00DF7EA4"/>
    <w:p w14:paraId="4FF6DA74" w14:textId="77777777" w:rsidR="00DF7EA4" w:rsidRDefault="00DF7EA4" w:rsidP="00DF7EA4">
      <w:r>
        <w:t>The reluctance to embrace new means of technology has shown itself in some of the clinical settings. Lawton et al. (2018) state that role boundaries shift greatly and within the new care models, staff have little clarity on what the expectations are. With the increase in remote monitoring, some Diabetes Specialist Nurses had to start monitoring and reviewing glucose data of hundreds of patients, with no additional staff, which is a serious issue with respect to patient safety and the clinical sustainability of the practice. It shows that there is a systemic issue and instead of using the systems to improve the quality of care, organisations are using the systems to increase the amount of work that has to be done.</w:t>
      </w:r>
    </w:p>
    <w:p w14:paraId="4C277386" w14:textId="77777777" w:rsidR="00DF7EA4" w:rsidRDefault="00DF7EA4" w:rsidP="00DF7EA4"/>
    <w:p w14:paraId="1E856BAF" w14:textId="129BD1DC" w:rsidR="00804672" w:rsidRDefault="00DF7EA4" w:rsidP="00804672">
      <w:r>
        <w:t>The rapid increase in the scope of work created considerable new challenges as well as some opportunities for staff. It is true that FreeStyle Libre had a positive role in making care more accessible, data-driven, and timely. However, the benefits of the technology were offset by the insufficient structural support for those who were required to provide the care. Cavan et al. (2020) state that for digital health technologies to be used successfully, the technology must be matched with the ability of an organisation to implement, accommodate, and support the changes. This reflects a systemic failure in which efficiency gains were used to justify increased workloads rather than to improve the quality of care delivered. In this regard, the implementation of FreeStyle Libre fell short.</w:t>
      </w:r>
    </w:p>
    <w:p w14:paraId="1C54A3BE" w14:textId="3AB48B04" w:rsidR="00B86748" w:rsidRDefault="00B86748" w:rsidP="00B86748">
      <w:pPr>
        <w:pStyle w:val="Heading1"/>
      </w:pPr>
      <w:bookmarkStart w:id="3" w:name="_Toc224766236"/>
      <w:r>
        <w:t>Service Delivery Impact</w:t>
      </w:r>
      <w:bookmarkEnd w:id="3"/>
    </w:p>
    <w:p w14:paraId="5A5ADF97" w14:textId="294067B9" w:rsidR="00B86748" w:rsidRDefault="00B86748" w:rsidP="00B86748">
      <w:r>
        <w:t>The introduction of Freestyle Libre transformed diabetes management in the NHS from a reactive model to a more proactive and robust model (Cavan et al., 2020). Patients previously visited the hospitals every three to six months, and the healthcare providers made changes to their diabetes management plans from an HbA1c number, which does not provide insight to day-to-day blood glucose management. Libre transformed the care model towards more continuous and responsive care (Ajjan et al., 2019). With the addition of continuous glucose monitoring (CGM) devices, remote consultations became far more valuable. Clinicians were able to see a patient’s glucose trends over the two-week period prior to a call and walked into the consult knowing what the specific issues were. This is quantifiably different from previous consultations and allowed for a more substantive discussion. This was particularly beneficial when face-to-face consultations were limited during the COVID-19 pandemic (Khunti et al., 2021).</w:t>
      </w:r>
    </w:p>
    <w:p w14:paraId="6B407FCA" w14:textId="77777777" w:rsidR="00B86748" w:rsidRDefault="00B86748" w:rsidP="00B86748"/>
    <w:p w14:paraId="247363B7" w14:textId="77777777" w:rsidR="00B86748" w:rsidRDefault="00B86748" w:rsidP="00B86748">
      <w:r>
        <w:lastRenderedPageBreak/>
        <w:t>In some cases, there was a reduction in the outpatient backlog. Patients that were doing well were able to be monitored from a distance, which allowed for more in-person evaluations for those that required it. Some hospitals were able to reduce the number of appointments booked and that is significant considering the current pressures on the NHS (NHS England, 2021).</w:t>
      </w:r>
    </w:p>
    <w:p w14:paraId="1B65195A" w14:textId="2E1F0653" w:rsidR="00B86748" w:rsidRDefault="00B86748" w:rsidP="003B260F">
      <w:pPr>
        <w:pStyle w:val="Heading2"/>
      </w:pPr>
      <w:bookmarkStart w:id="4" w:name="_Toc224766237"/>
      <w:r>
        <w:t>Where it became even more difficult</w:t>
      </w:r>
      <w:bookmarkEnd w:id="4"/>
    </w:p>
    <w:p w14:paraId="116DC1E8" w14:textId="1709D0E1" w:rsidR="00B86748" w:rsidRDefault="00ED5BD4" w:rsidP="00ED5BD4">
      <w:r>
        <w:t xml:space="preserve">The inadequate integration of NHS electronic patient record systems with the LibreView Abbott data platform created significant operational challenges. In some trusts, clinicians reported having to log into a completely separate system before they could access patient data (Cavan, 2020). There was a considerable shortfall in the sharing of data between primary and secondary care. The service delivery criteria of who is eligible is also something to be considered. Libre was, in the first instance, commissioned for patients with Type 1 diabetes and only those who are on intensive insulin therapy. The majority of patients with diabetes are Type 2, and so they were completely excluded. This created an inequitable experience in the same clinics where some patients had access to sophisticated monitoring technologies and others did not (Diabetes UK, 2023). Clinicians were required to navigate these conversations with considerable sensitivity. The potential for the system to fail and the problems that are caused by technology is also a disadvantage. There is also the issue of faulty and medication-affected sensors (e.g. paracetamol). Patients faced delays in monitoring due to waiting for replacement sensors, as the service was not structured for quick system failure replacements (Ajjan et al., 2019). </w:t>
      </w:r>
    </w:p>
    <w:p w14:paraId="7ABAA84B" w14:textId="51DBEA88" w:rsidR="00A1379E" w:rsidRDefault="00A1379E" w:rsidP="00A1379E">
      <w:pPr>
        <w:pStyle w:val="Heading1"/>
      </w:pPr>
      <w:bookmarkStart w:id="5" w:name="_Toc224766238"/>
      <w:r>
        <w:t>Impact on Patients</w:t>
      </w:r>
      <w:bookmarkEnd w:id="5"/>
    </w:p>
    <w:p w14:paraId="61D934E3" w14:textId="77777777" w:rsidR="00AB23C5" w:rsidRDefault="00AB23C5" w:rsidP="00AB23C5">
      <w:r>
        <w:t>The introduction of FreeStyle Libre technology brought about a remarkable change in the experience of diabetes patients as well as the process of self-managing the condition. It replaced the up to eight finger prick tests patients did every day with an arm scan which removed a tremendous physical and psychological burden (Haak et al., 2017). Patients also appreciated the autonomy and sense of control that came with being able to monitor and manage their condition. They also claimed to experience improved quality of life (Bolinder et al., 2016). In addition to the stated benefits of novel technology, diabetes patients were also able to access glucose monitoring data that supplied information about direction and speed of changes to their glucose levels. This meant patients did not stay passive to the advice they were given about their condition and instead became active stakeholders in their self-care. This was likely the most important impact that the introduction of this technology brought.</w:t>
      </w:r>
    </w:p>
    <w:p w14:paraId="64CEC5F9" w14:textId="77777777" w:rsidR="00AB23C5" w:rsidRDefault="00AB23C5" w:rsidP="00AB23C5"/>
    <w:p w14:paraId="294B8938" w14:textId="420DEDA2" w:rsidR="00A1379E" w:rsidRDefault="00AB23C5" w:rsidP="00AB23C5">
      <w:r>
        <w:t xml:space="preserve">Yet it would be too simplistic to label this an unqualified success. Although the literature review made several mentions of the theme of empowerment, it remains to be seen how this was </w:t>
      </w:r>
      <w:r>
        <w:lastRenderedPageBreak/>
        <w:t>accessible to each patient group. Alfarwan et al. (2025) reported older and socio-economically disadvantaged patients having significant difficulties with the system's digital requirements, particularly around interpreting trend arrows and time-in-range metrics. Many patients were forced to teach themselves how to use the system through trial and error, and no patient education was offered at the time of the prescription. This raises the question of whether a system intended to empower patients can only do so if patients are sufficiently supported to use it. Without adequate support, the technology risks becoming a source of anxiety rather than a tool for empowerment.</w:t>
      </w:r>
    </w:p>
    <w:p w14:paraId="6FDC4909" w14:textId="77777777" w:rsidR="00AB23C5" w:rsidRDefault="00AB23C5" w:rsidP="00AB23C5"/>
    <w:p w14:paraId="5830FFB3" w14:textId="77777777" w:rsidR="005D64CD" w:rsidRDefault="005D64CD" w:rsidP="005D64CD">
      <w:r>
        <w:t>Reporting on the physical adverse effects associated with the devices has been lacking in the initial clinical literature. Abandonment of the devices was documented by Charleer et al. (2018) due to real-world adverse effects that included increased irritation and allergies to the adhesive and irritation at the site of the sensors, and were much greater than in clinical trials. This disparity between the actual experiences of individuals and the trials demonstrates the new limitations of the evaluation of health technology prior to its implementation.</w:t>
      </w:r>
    </w:p>
    <w:p w14:paraId="6ACE5077" w14:textId="77777777" w:rsidR="005D64CD" w:rsidRDefault="005D64CD" w:rsidP="005D64CD"/>
    <w:p w14:paraId="795DA80E" w14:textId="619D774D" w:rsidR="00AB23C5" w:rsidRDefault="005D64CD" w:rsidP="00AB23C5">
      <w:r>
        <w:t>For many, the most concerning factor is the inequity. Type 2 diabetes patients in need of clinical care were excluded from access if they did not meet the NHS commissioning criteria. This inequity was noted by Diabetes UK (2023) as patients in the same clinic with the same condition, were subject to differing levels of surveillance and monitoring depending on the diabetes type, insulin regimen, and monitoring requirements. Those who could not meet the eligibility criteria remained on finger-prick testing, while those who could afford to self-fund accessed the technology — a stark and unaddressed inequality. The inequity is in direct violation of the NHS’s principle of universal care and access to healthcare, and demonstrates that the commissioning process prioritised speed of rollout over equitable access.</w:t>
      </w:r>
    </w:p>
    <w:p w14:paraId="1A939C70" w14:textId="69C0BAF3" w:rsidR="003758F2" w:rsidRDefault="003758F2" w:rsidP="003758F2">
      <w:pPr>
        <w:pStyle w:val="Heading1"/>
      </w:pPr>
      <w:bookmarkStart w:id="6" w:name="_Toc224766239"/>
      <w:r>
        <w:t>Impact on Community</w:t>
      </w:r>
      <w:bookmarkEnd w:id="6"/>
    </w:p>
    <w:p w14:paraId="50A3E4A9" w14:textId="47415FE6" w:rsidR="003758F2" w:rsidRDefault="003758F2" w:rsidP="003758F2">
      <w:r>
        <w:t xml:space="preserve">The effects of Freestyle Libre extended beyond the clinic walls. One of the more quantifiable effects was the reduction of hypoglycaemia-related emergency admissions. The ability of patients to see their real-time glucose levels, and consequently act to stabilize them, means they are less likely to arrive at an emergency department. Leelarathna et al. (2022) found substantial reductions in hospital admissions for severe hypoglycaemia and diabetic ketoacidosis. This is important in terms of the resources used by the NHS, but, more importantly, reduces the disruption to the lives of patients who experience these emergency episodes. Families experienced these changes as well. The ability to remotely monitor glucose levels through the Libre Link app (and, therefore, monitor the child’s glucose levels without </w:t>
      </w:r>
      <w:r>
        <w:lastRenderedPageBreak/>
        <w:t>being in the same room) was described as life-changing by parents of children with Type 1 diabetes. The child could remain undisturbed for the finger prick check, and parents could avoid the child being upset by having to do these checks (Maiorino et al., 2020). The additional burden placed on caregivers is difficult to quantify, but it is significant and contributes to the overall wellbeing of caregivers.</w:t>
      </w:r>
    </w:p>
    <w:p w14:paraId="3A880B80" w14:textId="77777777" w:rsidR="003758F2" w:rsidRDefault="003758F2" w:rsidP="003758F2"/>
    <w:p w14:paraId="0A76FC1C" w14:textId="45C81C03" w:rsidR="003758F2" w:rsidRDefault="003758F2" w:rsidP="00AB23C5">
      <w:r>
        <w:t>At the population level, sustained improvements in glucose control are likely to delay the onset of diabetes complications, such as retinopathy, nephropathy, and neuropathy, which are costly to manage and devastating to patients. If Libre significantly enhances a population’s diabetes control by contributing to sustained HbA1c reductions, the anticipated community health benefits will be enormous (Ajjan et al., 2019).</w:t>
      </w:r>
    </w:p>
    <w:p w14:paraId="28164742" w14:textId="1EEFA6C6" w:rsidR="00402B3B" w:rsidRDefault="00402B3B" w:rsidP="00402B3B">
      <w:pPr>
        <w:pStyle w:val="Heading1"/>
      </w:pPr>
      <w:bookmarkStart w:id="7" w:name="_Toc224766240"/>
      <w:r>
        <w:t>Conclusion</w:t>
      </w:r>
      <w:bookmarkEnd w:id="7"/>
    </w:p>
    <w:p w14:paraId="1791933F" w14:textId="233E224B" w:rsidR="00ED19E6" w:rsidRDefault="00ED19E6" w:rsidP="00ED19E6">
      <w:r>
        <w:t xml:space="preserve">An example of the progressive strides made in treating diabetes is </w:t>
      </w:r>
      <w:proofErr w:type="spellStart"/>
      <w:r>
        <w:t>FreeStyle</w:t>
      </w:r>
      <w:proofErr w:type="spellEnd"/>
      <w:r>
        <w:t xml:space="preserve"> Libre. More evidence of improved glucose levels and quality of life and a fresh model of care relationships for clinicians and patients more positives for the NHS. With the diabetes epidemic impacting the NHS significantly, the worth of this type of medicine is more than justified. The challenge, however, is the technologies that could have been deployed in a fair </w:t>
      </w:r>
      <w:proofErr w:type="gramStart"/>
      <w:r>
        <w:t>way, but</w:t>
      </w:r>
      <w:proofErr w:type="gramEnd"/>
      <w:r>
        <w:t xml:space="preserve"> remained unused. The NHS was operationally unprepared in personnel, digital, and equity to match the rapid deployment of Libre. Rewarded most by the benefits of Libre were patients who possessed the required digital literacy, received supportive clinical care, and were participants of structured education. The rest of the patients, who lacked </w:t>
      </w:r>
      <w:proofErr w:type="gramStart"/>
      <w:r>
        <w:t>all of</w:t>
      </w:r>
      <w:proofErr w:type="gramEnd"/>
      <w:r>
        <w:t xml:space="preserve"> those supportive conditions, were lucky to receive a sensor and not much more than that. The technology is not the issue. The misplaced expectation of a technology solution was the implementation shortfall (</w:t>
      </w:r>
      <w:proofErr w:type="spellStart"/>
      <w:r>
        <w:t>Alfarwan</w:t>
      </w:r>
      <w:proofErr w:type="spellEnd"/>
      <w:r>
        <w:t xml:space="preserve"> et al., 2025). Planned digital health and social care innovations require, from the outset, not retrospectively, workforce planning, frameworks for equitable access, and genuine community involvement. The Freestyle Libre case study demonstrated the potential and the limits of what can go wrong when planning is inadequate to support the innovation (</w:t>
      </w:r>
      <w:proofErr w:type="spellStart"/>
      <w:r>
        <w:t>Khunti</w:t>
      </w:r>
      <w:proofErr w:type="spellEnd"/>
      <w:r>
        <w:t xml:space="preserve"> et al., 2021).</w:t>
      </w:r>
    </w:p>
    <w:p w14:paraId="6BAE75F2" w14:textId="76C60564" w:rsidR="00402B3B" w:rsidRDefault="00402B3B" w:rsidP="00ED19E6"/>
    <w:p w14:paraId="0712803C" w14:textId="37D59DA0" w:rsidR="008313A4" w:rsidRDefault="008313A4" w:rsidP="00B86748"/>
    <w:p w14:paraId="190CCFB4" w14:textId="77777777" w:rsidR="008313A4" w:rsidRDefault="008313A4">
      <w:pPr>
        <w:spacing w:line="240" w:lineRule="auto"/>
        <w:jc w:val="left"/>
      </w:pPr>
      <w:r>
        <w:br w:type="page"/>
      </w:r>
    </w:p>
    <w:p w14:paraId="44ACE4E2" w14:textId="7CE49736" w:rsidR="003B260F" w:rsidRDefault="008313A4" w:rsidP="008313A4">
      <w:pPr>
        <w:pStyle w:val="Heading1"/>
      </w:pPr>
      <w:bookmarkStart w:id="8" w:name="_Toc224766241"/>
      <w:r>
        <w:lastRenderedPageBreak/>
        <w:t>References</w:t>
      </w:r>
      <w:bookmarkEnd w:id="8"/>
    </w:p>
    <w:p w14:paraId="4889EAE3" w14:textId="0E12F1FE" w:rsidR="008313A4" w:rsidRDefault="008313A4" w:rsidP="008313A4">
      <w:pPr>
        <w:spacing w:after="240"/>
      </w:pPr>
      <w:r>
        <w:t>Abner, E., Gillies, C., Zaccardi, F., Seidu, S., Davies, M. and Khunti, K. (2021) ‘Remote care of people with type 2 diabetes during the COVID-19 pandemic’, Primary Care Diabetes, 15(6), pp. 957–963.</w:t>
      </w:r>
    </w:p>
    <w:p w14:paraId="4889EAE4" w14:textId="0E12F1FF" w:rsidR="008313A4" w:rsidRDefault="008313A4" w:rsidP="008313A4">
      <w:pPr>
        <w:spacing w:after="240"/>
      </w:pPr>
      <w:r>
        <w:t>Ajjan, R., Slattery, D. and Wright, E. (2019) ‘Continuous glucose monitoring: a brief review for primary care practitioners’, Advances in Therapy, 36(3), pp. 579–596.</w:t>
      </w:r>
    </w:p>
    <w:p w14:paraId="6E050AC9" w14:textId="099C5BB0" w:rsidR="008313A4" w:rsidRDefault="008313A4" w:rsidP="008313A4">
      <w:pPr>
        <w:spacing w:after="240"/>
      </w:pPr>
      <w:r>
        <w:t>Alfarwan, N., Alrasheed, A. and Almoayad, F. (2025) ‘Demographic and Socioeconomic Disparities in Telemedicine Utilisation Among Individuals with Type 2 Diabetes in Primary Care: Systematic Review and Meta-Analysis’, Journal of Medical Internet Research, 27, e73113.</w:t>
      </w:r>
    </w:p>
    <w:p w14:paraId="527BB8AE" w14:textId="0DF9D8DF" w:rsidR="008313A4" w:rsidRDefault="008313A4" w:rsidP="008313A4">
      <w:pPr>
        <w:spacing w:after="240"/>
      </w:pPr>
      <w:r>
        <w:t>Bolinder, J., Antuna, R., Geelhoed-Duijvestijn, P., Kröger, J. and Weitgasser, R. (2016) ‘Novel glucose-sensing technology and hypoglycaemia in Type 1 diabetes: a multicentre, non-masked, randomised controlled trial’, The Lancet, 388(10057), pp. 2254–2263.</w:t>
      </w:r>
    </w:p>
    <w:p w14:paraId="6F68C832" w14:textId="0913B6FF" w:rsidR="008313A4" w:rsidRDefault="008313A4" w:rsidP="008313A4">
      <w:pPr>
        <w:spacing w:after="240"/>
      </w:pPr>
      <w:r>
        <w:t>Cavan, D., Laughton, S. and Lalic, N. (2020) ‘Digital health and diabetes: opportunities and challenges’, Diabetes Research and Clinical Practice, 162, pp. 1–9.</w:t>
      </w:r>
    </w:p>
    <w:p w14:paraId="21D50FF7" w14:textId="3C776F02" w:rsidR="008313A4" w:rsidRDefault="008313A4" w:rsidP="008313A4">
      <w:pPr>
        <w:spacing w:after="240"/>
      </w:pPr>
      <w:r>
        <w:t>Charleer, S., Mathieu, C., Nobels, F. and Gillard, P. (2018) ‘Effect of continuous glucose monitoring on glycemic control, acute admissions, and quality of life: a real-world study’, Journal of Clinical Endocrinology and Metabolism, 103(3), pp. 1224–1232.</w:t>
      </w:r>
    </w:p>
    <w:p w14:paraId="05D23C7E" w14:textId="77777777" w:rsidR="008313A4" w:rsidRDefault="008313A4" w:rsidP="008313A4">
      <w:pPr>
        <w:spacing w:after="240"/>
      </w:pPr>
      <w:r>
        <w:t>Diabetes UK (2023) How Many People in the UK Have Diabetes? Available at: https://www.diabetes.org.uk/about-us/about-the-charity/our-strategy/statistics (Accessed: 14 March 2026).</w:t>
      </w:r>
    </w:p>
    <w:p w14:paraId="6D67655E" w14:textId="2B316DF6" w:rsidR="008313A4" w:rsidRDefault="008313A4" w:rsidP="008313A4">
      <w:pPr>
        <w:spacing w:after="240"/>
      </w:pPr>
      <w:r>
        <w:t>Haak, T., Hanaire, H., Ajjan, R., Hermanns, N., Riveline, J. and Rayman, G. (2017) ‘Flash glucose-sensing technology as a replacement for blood glucose monitoring for the management of insulin-treated type 2 diabetes’, Diabetes Therapy, 8(1), pp. 55–73.</w:t>
      </w:r>
    </w:p>
    <w:p w14:paraId="32A8BECF" w14:textId="1B88A861" w:rsidR="008313A4" w:rsidRDefault="008313A4" w:rsidP="008313A4">
      <w:pPr>
        <w:spacing w:after="240"/>
      </w:pPr>
      <w:r>
        <w:t>Kasturi, R., Tan, G., Knighton, P., Bashir, M. and Kar, P. (2022) ‘The impact of socio-economic deprivation on access to diabetes technology in adults with type 1 diabetes’, Diabetic Medicine, 39(11), e14919.</w:t>
      </w:r>
    </w:p>
    <w:p w14:paraId="0EACE830" w14:textId="5E3EC4BD" w:rsidR="008313A4" w:rsidRDefault="008313A4" w:rsidP="008313A4">
      <w:pPr>
        <w:spacing w:after="240"/>
      </w:pPr>
      <w:r>
        <w:t>Khunti, K., Aroda, V., Bhatt, D., Aschner, P. and Grunberger, G. (2021) ‘The impact of the COVID-19 pandemic on diabetes services and glycaemic outcomes’, Diabetes Care, 44(10), pp. 2182–2189.</w:t>
      </w:r>
    </w:p>
    <w:p w14:paraId="1A543CE0" w14:textId="2C6E44D7" w:rsidR="008313A4" w:rsidRDefault="008313A4" w:rsidP="008313A4">
      <w:pPr>
        <w:spacing w:after="240"/>
      </w:pPr>
      <w:r>
        <w:lastRenderedPageBreak/>
        <w:t>Lawton, J., Blackburn, M., Allen, J., Campbell, F., Elleri, D., Leelarathna, L. and Rankin, D. (2018) ‘Patients’ and caregivers’ experiences of using continuous glucose monitoring to support diabetes self-management: qualitative study’, BMC Endocrine Disorders, 18(1), pp. 1–10.</w:t>
      </w:r>
    </w:p>
    <w:p w14:paraId="2CB02322" w14:textId="7AE64B5A" w:rsidR="008313A4" w:rsidRDefault="008313A4" w:rsidP="008313A4">
      <w:pPr>
        <w:spacing w:after="240"/>
      </w:pPr>
      <w:r>
        <w:t>Leelarathna, L., Evans, M. L., Neupane, S., Rayman, G., Lumley, S., Berthier, C. and Wilmot, E. G. (2022) ‘Intermittent-scanned continuous glucose monitoring for type 1 diabetes in routine clinical care: the FLASH-UK randomised controlled trial’, The Lancet, 400(10352), pp. 610–620.</w:t>
      </w:r>
    </w:p>
    <w:p w14:paraId="7C40AD4F" w14:textId="33CB2340" w:rsidR="008313A4" w:rsidRDefault="008313A4" w:rsidP="008313A4">
      <w:pPr>
        <w:spacing w:after="240"/>
      </w:pPr>
      <w:r>
        <w:t>Maiorino, M., Signoriello, S., Maio, A., Chiodini, P., Bellastella, G., Scappaticcio, L. and Esposito, K. (2020) ‘Effects of continuous glucose monitoring on metrics of glycemic control in diabetes: a systematic review with meta-analysis of randomized controlled trials’, Diabetes Care, 43(5), pp. 1146–1156.</w:t>
      </w:r>
    </w:p>
    <w:p w14:paraId="5845A75C" w14:textId="77777777" w:rsidR="008313A4" w:rsidRDefault="008313A4" w:rsidP="008313A4">
      <w:pPr>
        <w:spacing w:after="240"/>
      </w:pPr>
      <w:r>
        <w:t>NHS Digital (2022) National Diabetes Audit. Available at: https://digital.nhs.uk/data-and-information/publications/statistical/national-diabetes-audit (Accessed: 14 March 2026).</w:t>
      </w:r>
    </w:p>
    <w:p w14:paraId="03325169" w14:textId="77777777" w:rsidR="008313A4" w:rsidRDefault="008313A4" w:rsidP="008313A4">
      <w:pPr>
        <w:spacing w:after="240"/>
      </w:pPr>
      <w:r>
        <w:t>NHS England (2021) Flash Glucose Monitoring – Frequently Asked Questions for Commissioners. Available at: https://www.england.nhs.uk/diabetes/digital-innovations-to-support-diabetes-outcomes/flash-glucose-monitoring/faqs-commissioners/ (Accessed: 14 March 2026).</w:t>
      </w:r>
    </w:p>
    <w:p w14:paraId="3C69EC95" w14:textId="5E4F994A" w:rsidR="008313A4" w:rsidRPr="008313A4" w:rsidRDefault="008313A4" w:rsidP="008313A4">
      <w:pPr>
        <w:spacing w:after="240"/>
      </w:pPr>
      <w:r>
        <w:t>Winter, G. (2019) ‘Pharmacists’ role in improving diabetes care’, Journal of Prescribing Practice, 1(9), pp. 430–433.</w:t>
      </w:r>
    </w:p>
    <w:p w14:paraId="438B9056" w14:textId="77777777" w:rsidR="00804672" w:rsidRDefault="00804672" w:rsidP="00804672"/>
    <w:p w14:paraId="0739BCBA" w14:textId="77777777" w:rsidR="004A5391" w:rsidRPr="00A55E03" w:rsidRDefault="004A5391" w:rsidP="00A55E03"/>
    <w:sectPr w:rsidR="004A5391" w:rsidRPr="00A55E03" w:rsidSect="00214CA6">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CBC273" w14:textId="77777777" w:rsidR="006931C4" w:rsidRDefault="006931C4" w:rsidP="003C6DDA">
      <w:pPr>
        <w:spacing w:line="240" w:lineRule="auto"/>
      </w:pPr>
      <w:r>
        <w:separator/>
      </w:r>
    </w:p>
  </w:endnote>
  <w:endnote w:type="continuationSeparator" w:id="0">
    <w:p w14:paraId="77FD9FB4" w14:textId="77777777" w:rsidR="006931C4" w:rsidRDefault="006931C4" w:rsidP="003C6DD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85484150"/>
      <w:docPartObj>
        <w:docPartGallery w:val="Page Numbers (Bottom of Page)"/>
        <w:docPartUnique/>
      </w:docPartObj>
    </w:sdtPr>
    <w:sdtContent>
      <w:p w14:paraId="4A0E6AA3" w14:textId="61B9789B" w:rsidR="003C6DDA" w:rsidRDefault="003C6DDA" w:rsidP="00C6310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CFABC16" w14:textId="77777777" w:rsidR="003C6DDA" w:rsidRDefault="003C6DDA" w:rsidP="003C6DD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33036244"/>
      <w:docPartObj>
        <w:docPartGallery w:val="Page Numbers (Bottom of Page)"/>
        <w:docPartUnique/>
      </w:docPartObj>
    </w:sdtPr>
    <w:sdtContent>
      <w:p w14:paraId="43DF6643" w14:textId="29CCA82B" w:rsidR="003C6DDA" w:rsidRDefault="003C6DDA" w:rsidP="00C6310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B9A2738" w14:textId="77777777" w:rsidR="003C6DDA" w:rsidRDefault="003C6DDA" w:rsidP="003C6DD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E2861A" w14:textId="77777777" w:rsidR="006931C4" w:rsidRDefault="006931C4" w:rsidP="003C6DDA">
      <w:pPr>
        <w:spacing w:line="240" w:lineRule="auto"/>
      </w:pPr>
      <w:r>
        <w:separator/>
      </w:r>
    </w:p>
  </w:footnote>
  <w:footnote w:type="continuationSeparator" w:id="0">
    <w:p w14:paraId="13A8F4A8" w14:textId="77777777" w:rsidR="006931C4" w:rsidRDefault="006931C4" w:rsidP="003C6DD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5E03"/>
    <w:rsid w:val="0003594F"/>
    <w:rsid w:val="000547DC"/>
    <w:rsid w:val="000D47CB"/>
    <w:rsid w:val="00115BD5"/>
    <w:rsid w:val="00127401"/>
    <w:rsid w:val="00184A08"/>
    <w:rsid w:val="00214CA6"/>
    <w:rsid w:val="00232C14"/>
    <w:rsid w:val="00313273"/>
    <w:rsid w:val="00362083"/>
    <w:rsid w:val="003758F2"/>
    <w:rsid w:val="00385755"/>
    <w:rsid w:val="00386962"/>
    <w:rsid w:val="003B01D4"/>
    <w:rsid w:val="003B260F"/>
    <w:rsid w:val="003C6DDA"/>
    <w:rsid w:val="003D5D24"/>
    <w:rsid w:val="00402B3B"/>
    <w:rsid w:val="00460623"/>
    <w:rsid w:val="004A15A5"/>
    <w:rsid w:val="004A5391"/>
    <w:rsid w:val="004C6DAD"/>
    <w:rsid w:val="00502A25"/>
    <w:rsid w:val="00520755"/>
    <w:rsid w:val="00531529"/>
    <w:rsid w:val="005541B4"/>
    <w:rsid w:val="005603FD"/>
    <w:rsid w:val="00586C54"/>
    <w:rsid w:val="005C065B"/>
    <w:rsid w:val="005C320F"/>
    <w:rsid w:val="005D64CD"/>
    <w:rsid w:val="0061287B"/>
    <w:rsid w:val="0064771E"/>
    <w:rsid w:val="00657837"/>
    <w:rsid w:val="00657AD8"/>
    <w:rsid w:val="00680A61"/>
    <w:rsid w:val="006931C4"/>
    <w:rsid w:val="006B6DBE"/>
    <w:rsid w:val="006E283C"/>
    <w:rsid w:val="0073559F"/>
    <w:rsid w:val="00804672"/>
    <w:rsid w:val="008313A4"/>
    <w:rsid w:val="0087590A"/>
    <w:rsid w:val="008D46C0"/>
    <w:rsid w:val="0093224F"/>
    <w:rsid w:val="0098410D"/>
    <w:rsid w:val="009A451C"/>
    <w:rsid w:val="00A000A8"/>
    <w:rsid w:val="00A1379E"/>
    <w:rsid w:val="00A55E03"/>
    <w:rsid w:val="00AB23C5"/>
    <w:rsid w:val="00B601CC"/>
    <w:rsid w:val="00B64D98"/>
    <w:rsid w:val="00B67966"/>
    <w:rsid w:val="00B86748"/>
    <w:rsid w:val="00B95A17"/>
    <w:rsid w:val="00BA7469"/>
    <w:rsid w:val="00BC75B2"/>
    <w:rsid w:val="00BD0E41"/>
    <w:rsid w:val="00C1623F"/>
    <w:rsid w:val="00C708D0"/>
    <w:rsid w:val="00D15A58"/>
    <w:rsid w:val="00DD311B"/>
    <w:rsid w:val="00DE0357"/>
    <w:rsid w:val="00DF7EA4"/>
    <w:rsid w:val="00E25A11"/>
    <w:rsid w:val="00E27973"/>
    <w:rsid w:val="00E51C5F"/>
    <w:rsid w:val="00ED19E6"/>
    <w:rsid w:val="00ED26DD"/>
    <w:rsid w:val="00ED5BD4"/>
    <w:rsid w:val="00F31C01"/>
    <w:rsid w:val="00F56585"/>
    <w:rsid w:val="00F75E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35E799"/>
  <w15:chartTrackingRefBased/>
  <w15:docId w15:val="{533EF3E1-16B5-C844-A3A5-B77E253FB5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5E03"/>
    <w:pPr>
      <w:spacing w:line="360" w:lineRule="auto"/>
      <w:jc w:val="both"/>
    </w:pPr>
    <w:rPr>
      <w:rFonts w:ascii="Arial" w:hAnsi="Arial"/>
      <w:sz w:val="22"/>
    </w:rPr>
  </w:style>
  <w:style w:type="paragraph" w:styleId="Heading1">
    <w:name w:val="heading 1"/>
    <w:basedOn w:val="Normal"/>
    <w:next w:val="Normal"/>
    <w:link w:val="Heading1Char"/>
    <w:uiPriority w:val="9"/>
    <w:qFormat/>
    <w:rsid w:val="00A55E03"/>
    <w:pPr>
      <w:keepNext/>
      <w:keepLines/>
      <w:spacing w:before="360" w:after="80"/>
      <w:outlineLvl w:val="0"/>
    </w:pPr>
    <w:rPr>
      <w:rFonts w:eastAsiaTheme="majorEastAsia" w:cstheme="majorBidi"/>
      <w:b/>
      <w:color w:val="0F4761" w:themeColor="accent1" w:themeShade="BF"/>
      <w:sz w:val="24"/>
      <w:szCs w:val="40"/>
      <w:u w:val="single"/>
    </w:rPr>
  </w:style>
  <w:style w:type="paragraph" w:styleId="Heading2">
    <w:name w:val="heading 2"/>
    <w:basedOn w:val="Normal"/>
    <w:next w:val="Normal"/>
    <w:link w:val="Heading2Char"/>
    <w:uiPriority w:val="9"/>
    <w:unhideWhenUsed/>
    <w:qFormat/>
    <w:rsid w:val="00A55E03"/>
    <w:pPr>
      <w:keepNext/>
      <w:keepLines/>
      <w:spacing w:before="160" w:after="80"/>
      <w:outlineLvl w:val="1"/>
    </w:pPr>
    <w:rPr>
      <w:rFonts w:eastAsiaTheme="majorEastAsia" w:cstheme="majorBidi"/>
      <w:b/>
      <w:color w:val="0F4761" w:themeColor="accent1" w:themeShade="BF"/>
      <w:szCs w:val="32"/>
    </w:rPr>
  </w:style>
  <w:style w:type="paragraph" w:styleId="Heading3">
    <w:name w:val="heading 3"/>
    <w:basedOn w:val="Normal"/>
    <w:next w:val="Normal"/>
    <w:link w:val="Heading3Char"/>
    <w:uiPriority w:val="9"/>
    <w:semiHidden/>
    <w:unhideWhenUsed/>
    <w:qFormat/>
    <w:rsid w:val="00A55E0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5E0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5E0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5E0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5E0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5E0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5E0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5E03"/>
    <w:rPr>
      <w:rFonts w:ascii="Arial" w:eastAsiaTheme="majorEastAsia" w:hAnsi="Arial" w:cstheme="majorBidi"/>
      <w:b/>
      <w:color w:val="0F4761" w:themeColor="accent1" w:themeShade="BF"/>
      <w:szCs w:val="40"/>
      <w:u w:val="single"/>
    </w:rPr>
  </w:style>
  <w:style w:type="character" w:customStyle="1" w:styleId="Heading2Char">
    <w:name w:val="Heading 2 Char"/>
    <w:basedOn w:val="DefaultParagraphFont"/>
    <w:link w:val="Heading2"/>
    <w:uiPriority w:val="9"/>
    <w:rsid w:val="00A55E03"/>
    <w:rPr>
      <w:rFonts w:ascii="Arial" w:eastAsiaTheme="majorEastAsia" w:hAnsi="Arial" w:cstheme="majorBidi"/>
      <w:b/>
      <w:color w:val="0F4761" w:themeColor="accent1" w:themeShade="BF"/>
      <w:sz w:val="22"/>
      <w:szCs w:val="32"/>
    </w:rPr>
  </w:style>
  <w:style w:type="character" w:customStyle="1" w:styleId="Heading3Char">
    <w:name w:val="Heading 3 Char"/>
    <w:basedOn w:val="DefaultParagraphFont"/>
    <w:link w:val="Heading3"/>
    <w:uiPriority w:val="9"/>
    <w:semiHidden/>
    <w:rsid w:val="00A55E0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5E0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5E0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5E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5E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5E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5E03"/>
    <w:rPr>
      <w:rFonts w:eastAsiaTheme="majorEastAsia" w:cstheme="majorBidi"/>
      <w:color w:val="272727" w:themeColor="text1" w:themeTint="D8"/>
    </w:rPr>
  </w:style>
  <w:style w:type="paragraph" w:styleId="Title">
    <w:name w:val="Title"/>
    <w:basedOn w:val="Normal"/>
    <w:next w:val="Normal"/>
    <w:link w:val="TitleChar"/>
    <w:uiPriority w:val="10"/>
    <w:qFormat/>
    <w:rsid w:val="00A55E0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5E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5E0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5E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5E0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55E03"/>
    <w:rPr>
      <w:i/>
      <w:iCs/>
      <w:color w:val="404040" w:themeColor="text1" w:themeTint="BF"/>
    </w:rPr>
  </w:style>
  <w:style w:type="paragraph" w:styleId="ListParagraph">
    <w:name w:val="List Paragraph"/>
    <w:basedOn w:val="Normal"/>
    <w:uiPriority w:val="34"/>
    <w:qFormat/>
    <w:rsid w:val="00A55E03"/>
    <w:pPr>
      <w:ind w:left="720"/>
      <w:contextualSpacing/>
    </w:pPr>
  </w:style>
  <w:style w:type="character" w:styleId="IntenseEmphasis">
    <w:name w:val="Intense Emphasis"/>
    <w:basedOn w:val="DefaultParagraphFont"/>
    <w:uiPriority w:val="21"/>
    <w:qFormat/>
    <w:rsid w:val="00A55E03"/>
    <w:rPr>
      <w:i/>
      <w:iCs/>
      <w:color w:val="0F4761" w:themeColor="accent1" w:themeShade="BF"/>
    </w:rPr>
  </w:style>
  <w:style w:type="paragraph" w:styleId="IntenseQuote">
    <w:name w:val="Intense Quote"/>
    <w:basedOn w:val="Normal"/>
    <w:next w:val="Normal"/>
    <w:link w:val="IntenseQuoteChar"/>
    <w:uiPriority w:val="30"/>
    <w:qFormat/>
    <w:rsid w:val="00A55E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5E03"/>
    <w:rPr>
      <w:i/>
      <w:iCs/>
      <w:color w:val="0F4761" w:themeColor="accent1" w:themeShade="BF"/>
    </w:rPr>
  </w:style>
  <w:style w:type="character" w:styleId="IntenseReference">
    <w:name w:val="Intense Reference"/>
    <w:basedOn w:val="DefaultParagraphFont"/>
    <w:uiPriority w:val="32"/>
    <w:qFormat/>
    <w:rsid w:val="00A55E03"/>
    <w:rPr>
      <w:b/>
      <w:bCs/>
      <w:smallCaps/>
      <w:color w:val="0F4761" w:themeColor="accent1" w:themeShade="BF"/>
      <w:spacing w:val="5"/>
    </w:rPr>
  </w:style>
  <w:style w:type="paragraph" w:styleId="NoSpacing">
    <w:name w:val="No Spacing"/>
    <w:link w:val="NoSpacingChar"/>
    <w:uiPriority w:val="1"/>
    <w:qFormat/>
    <w:rsid w:val="00A55E03"/>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A55E03"/>
    <w:rPr>
      <w:rFonts w:eastAsiaTheme="minorEastAsia"/>
      <w:kern w:val="0"/>
      <w:sz w:val="22"/>
      <w:szCs w:val="22"/>
      <w:lang w:val="en-US" w:eastAsia="zh-CN"/>
      <w14:ligatures w14:val="none"/>
    </w:rPr>
  </w:style>
  <w:style w:type="paragraph" w:styleId="Footer">
    <w:name w:val="footer"/>
    <w:basedOn w:val="Normal"/>
    <w:link w:val="FooterChar"/>
    <w:uiPriority w:val="99"/>
    <w:unhideWhenUsed/>
    <w:rsid w:val="003C6DDA"/>
    <w:pPr>
      <w:tabs>
        <w:tab w:val="center" w:pos="4513"/>
        <w:tab w:val="right" w:pos="9026"/>
      </w:tabs>
      <w:spacing w:line="240" w:lineRule="auto"/>
    </w:pPr>
  </w:style>
  <w:style w:type="character" w:customStyle="1" w:styleId="FooterChar">
    <w:name w:val="Footer Char"/>
    <w:basedOn w:val="DefaultParagraphFont"/>
    <w:link w:val="Footer"/>
    <w:uiPriority w:val="99"/>
    <w:rsid w:val="003C6DDA"/>
    <w:rPr>
      <w:rFonts w:ascii="Arial" w:hAnsi="Arial"/>
      <w:sz w:val="22"/>
    </w:rPr>
  </w:style>
  <w:style w:type="character" w:styleId="PageNumber">
    <w:name w:val="page number"/>
    <w:basedOn w:val="DefaultParagraphFont"/>
    <w:uiPriority w:val="99"/>
    <w:semiHidden/>
    <w:unhideWhenUsed/>
    <w:rsid w:val="003C6DDA"/>
  </w:style>
  <w:style w:type="paragraph" w:styleId="Caption">
    <w:name w:val="caption"/>
    <w:basedOn w:val="Normal"/>
    <w:next w:val="Normal"/>
    <w:uiPriority w:val="35"/>
    <w:unhideWhenUsed/>
    <w:qFormat/>
    <w:rsid w:val="00B64D98"/>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232C14"/>
    <w:pPr>
      <w:spacing w:before="480" w:after="0" w:line="276" w:lineRule="auto"/>
      <w:jc w:val="left"/>
      <w:outlineLvl w:val="9"/>
    </w:pPr>
    <w:rPr>
      <w:rFonts w:asciiTheme="majorHAnsi" w:hAnsiTheme="majorHAnsi"/>
      <w:bCs/>
      <w:kern w:val="0"/>
      <w:sz w:val="28"/>
      <w:szCs w:val="28"/>
      <w:u w:val="none"/>
      <w:lang w:val="en-US"/>
      <w14:ligatures w14:val="none"/>
    </w:rPr>
  </w:style>
  <w:style w:type="paragraph" w:styleId="TOC1">
    <w:name w:val="toc 1"/>
    <w:basedOn w:val="Normal"/>
    <w:next w:val="Normal"/>
    <w:autoRedefine/>
    <w:uiPriority w:val="39"/>
    <w:unhideWhenUsed/>
    <w:rsid w:val="00232C14"/>
    <w:pPr>
      <w:spacing w:before="360" w:after="360"/>
      <w:jc w:val="left"/>
    </w:pPr>
    <w:rPr>
      <w:rFonts w:asciiTheme="minorHAnsi" w:hAnsiTheme="minorHAnsi"/>
      <w:b/>
      <w:bCs/>
      <w:caps/>
      <w:szCs w:val="22"/>
      <w:u w:val="single"/>
    </w:rPr>
  </w:style>
  <w:style w:type="paragraph" w:styleId="TOC2">
    <w:name w:val="toc 2"/>
    <w:basedOn w:val="Normal"/>
    <w:next w:val="Normal"/>
    <w:autoRedefine/>
    <w:uiPriority w:val="39"/>
    <w:unhideWhenUsed/>
    <w:rsid w:val="00232C14"/>
    <w:pPr>
      <w:jc w:val="left"/>
    </w:pPr>
    <w:rPr>
      <w:rFonts w:asciiTheme="minorHAnsi" w:hAnsiTheme="minorHAnsi"/>
      <w:b/>
      <w:bCs/>
      <w:smallCaps/>
      <w:szCs w:val="22"/>
    </w:rPr>
  </w:style>
  <w:style w:type="character" w:styleId="Hyperlink">
    <w:name w:val="Hyperlink"/>
    <w:basedOn w:val="DefaultParagraphFont"/>
    <w:uiPriority w:val="99"/>
    <w:unhideWhenUsed/>
    <w:rsid w:val="00232C14"/>
    <w:rPr>
      <w:color w:val="467886" w:themeColor="hyperlink"/>
      <w:u w:val="single"/>
    </w:rPr>
  </w:style>
  <w:style w:type="paragraph" w:styleId="TOC3">
    <w:name w:val="toc 3"/>
    <w:basedOn w:val="Normal"/>
    <w:next w:val="Normal"/>
    <w:autoRedefine/>
    <w:uiPriority w:val="39"/>
    <w:semiHidden/>
    <w:unhideWhenUsed/>
    <w:rsid w:val="00232C14"/>
    <w:pPr>
      <w:jc w:val="left"/>
    </w:pPr>
    <w:rPr>
      <w:rFonts w:asciiTheme="minorHAnsi" w:hAnsiTheme="minorHAnsi"/>
      <w:smallCaps/>
      <w:szCs w:val="22"/>
    </w:rPr>
  </w:style>
  <w:style w:type="paragraph" w:styleId="TOC4">
    <w:name w:val="toc 4"/>
    <w:basedOn w:val="Normal"/>
    <w:next w:val="Normal"/>
    <w:autoRedefine/>
    <w:uiPriority w:val="39"/>
    <w:semiHidden/>
    <w:unhideWhenUsed/>
    <w:rsid w:val="00232C14"/>
    <w:pPr>
      <w:jc w:val="left"/>
    </w:pPr>
    <w:rPr>
      <w:rFonts w:asciiTheme="minorHAnsi" w:hAnsiTheme="minorHAnsi"/>
      <w:szCs w:val="22"/>
    </w:rPr>
  </w:style>
  <w:style w:type="paragraph" w:styleId="TOC5">
    <w:name w:val="toc 5"/>
    <w:basedOn w:val="Normal"/>
    <w:next w:val="Normal"/>
    <w:autoRedefine/>
    <w:uiPriority w:val="39"/>
    <w:semiHidden/>
    <w:unhideWhenUsed/>
    <w:rsid w:val="00232C14"/>
    <w:pPr>
      <w:jc w:val="left"/>
    </w:pPr>
    <w:rPr>
      <w:rFonts w:asciiTheme="minorHAnsi" w:hAnsiTheme="minorHAnsi"/>
      <w:szCs w:val="22"/>
    </w:rPr>
  </w:style>
  <w:style w:type="paragraph" w:styleId="TOC6">
    <w:name w:val="toc 6"/>
    <w:basedOn w:val="Normal"/>
    <w:next w:val="Normal"/>
    <w:autoRedefine/>
    <w:uiPriority w:val="39"/>
    <w:semiHidden/>
    <w:unhideWhenUsed/>
    <w:rsid w:val="00232C14"/>
    <w:pPr>
      <w:jc w:val="left"/>
    </w:pPr>
    <w:rPr>
      <w:rFonts w:asciiTheme="minorHAnsi" w:hAnsiTheme="minorHAnsi"/>
      <w:szCs w:val="22"/>
    </w:rPr>
  </w:style>
  <w:style w:type="paragraph" w:styleId="TOC7">
    <w:name w:val="toc 7"/>
    <w:basedOn w:val="Normal"/>
    <w:next w:val="Normal"/>
    <w:autoRedefine/>
    <w:uiPriority w:val="39"/>
    <w:semiHidden/>
    <w:unhideWhenUsed/>
    <w:rsid w:val="00232C14"/>
    <w:pPr>
      <w:jc w:val="left"/>
    </w:pPr>
    <w:rPr>
      <w:rFonts w:asciiTheme="minorHAnsi" w:hAnsiTheme="minorHAnsi"/>
      <w:szCs w:val="22"/>
    </w:rPr>
  </w:style>
  <w:style w:type="paragraph" w:styleId="TOC8">
    <w:name w:val="toc 8"/>
    <w:basedOn w:val="Normal"/>
    <w:next w:val="Normal"/>
    <w:autoRedefine/>
    <w:uiPriority w:val="39"/>
    <w:semiHidden/>
    <w:unhideWhenUsed/>
    <w:rsid w:val="00232C14"/>
    <w:pPr>
      <w:jc w:val="left"/>
    </w:pPr>
    <w:rPr>
      <w:rFonts w:asciiTheme="minorHAnsi" w:hAnsiTheme="minorHAnsi"/>
      <w:szCs w:val="22"/>
    </w:rPr>
  </w:style>
  <w:style w:type="paragraph" w:styleId="TOC9">
    <w:name w:val="toc 9"/>
    <w:basedOn w:val="Normal"/>
    <w:next w:val="Normal"/>
    <w:autoRedefine/>
    <w:uiPriority w:val="39"/>
    <w:semiHidden/>
    <w:unhideWhenUsed/>
    <w:rsid w:val="00232C14"/>
    <w:pPr>
      <w:jc w:val="left"/>
    </w:pPr>
    <w:rPr>
      <w:rFonts w:asciiTheme="minorHAnsi" w:hAnsiTheme="minorHAnsi"/>
      <w:szCs w:val="22"/>
    </w:rPr>
  </w:style>
  <w:style w:type="character" w:styleId="Strong">
    <w:name w:val="Strong"/>
    <w:uiPriority w:val="22"/>
    <w:qFormat/>
    <w:rsid w:val="00214CA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file:///C:\Users\biancasanfilippo\Library\Group%20Containers\UBF8T346G9.ms\WebArchiveCopyPasteTempFiles\com.microsoft.Word\UWTSD-Logo.jpg"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340301-53A6-914B-BFCA-9A7C8605D0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10</Pages>
  <Words>2784</Words>
  <Characters>15874</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FreeStyle Libre: Evaluating Digital Transformation in NHS Diabetes Management</vt:lpstr>
    </vt:vector>
  </TitlesOfParts>
  <Company/>
  <LinksUpToDate>false</LinksUpToDate>
  <CharactersWithSpaces>18621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FreeStyle Libre: Evaluating Digital Transformation in NHS Diabetes Management</dc:title>
  <dc:subject/>
  <dc:creator>Student id: ……………………………</dc:creator>
  <cp:keywords/>
  <dc:description/>
  <cp:lastModifiedBy>Agnieszka Szalek (2325666)</cp:lastModifiedBy>
  <cp:revision>3</cp:revision>
  <dcterms:created xsi:type="dcterms:W3CDTF">2026-03-22T16:36:00Z</dcterms:created>
  <dcterms:modified xsi:type="dcterms:W3CDTF">2026-03-22T16:50:00Z</dcterms:modified>
</cp:coreProperties>
</file>