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ms-office.chartstyle+xml" PartName="/word/charts/style1.xml"/>
  <Override ContentType="application/vnd.ms-office.chartstyle+xml" PartName="/word/charts/style6.xml"/>
  <Override ContentType="application/vnd.ms-office.chartstyle+xml" PartName="/word/charts/style5.xml"/>
  <Override ContentType="application/vnd.ms-office.chartstyle+xml" PartName="/word/charts/style3.xml"/>
  <Override ContentType="application/vnd.ms-office.chartstyle+xml" PartName="/word/charts/style4.xml"/>
  <Override ContentType="application/vnd.ms-office.chartstyle+xml" PartName="/word/charts/style2.xml"/>
  <Override ContentType="application/vnd.ms-office.chartcolorstyle+xml" PartName="/word/charts/colors6.xml"/>
  <Override ContentType="application/vnd.ms-office.chartcolorstyle+xml" PartName="/word/charts/colors5.xml"/>
  <Override ContentType="application/vnd.ms-office.chartcolorstyle+xml" PartName="/word/charts/colors3.xml"/>
  <Override ContentType="application/vnd.ms-office.chartcolorstyle+xml" PartName="/word/charts/colors4.xml"/>
  <Override ContentType="application/vnd.ms-office.chartcolorstyle+xml" PartName="/word/charts/colors2.xml"/>
  <Override ContentType="application/vnd.ms-office.chartcolorstyle+xml" PartName="/word/charts/colors1.xml"/>
  <Override ContentType="application/vnd.openxmlformats-officedocument.wordprocessingml.document.main+xml" PartName="/word/document.xml"/>
  <Override ContentType="application/vnd.openxmlformats-officedocument.drawingml.chart+xml" PartName="/word/charts/chart6.xml"/>
  <Override ContentType="application/vnd.openxmlformats-officedocument.drawingml.chart+xml" PartName="/word/charts/chart1.xml"/>
  <Override ContentType="application/vnd.openxmlformats-officedocument.drawingml.chart+xml" PartName="/word/charts/chart2.xml"/>
  <Override ContentType="application/vnd.openxmlformats-officedocument.drawingml.chart+xml" PartName="/word/charts/chart4.xml"/>
  <Override ContentType="application/vnd.openxmlformats-officedocument.drawingml.chart+xml" PartName="/word/charts/chart5.xml"/>
  <Override ContentType="application/vnd.openxmlformats-officedocument.drawingml.chart+xml" PartName="/word/charts/chart3.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rPr>
          <w:rFonts w:ascii="Arial" w:cs="Arial" w:eastAsia="Arial" w:hAnsi="Arial"/>
          <w:b w:val="1"/>
          <w:bCs w:val="1"/>
          <w:sz w:val="32"/>
          <w:szCs w:val="32"/>
        </w:rPr>
      </w:pPr>
      <w:r w:rsidDel="00000000" w:rsidR="00000000" w:rsidRPr="00000000">
        <w:rPr>
          <w:rFonts w:ascii="Arial" w:cs="Arial" w:eastAsia="Arial" w:hAnsi="Arial"/>
          <w:b w:val="1"/>
          <w:bCs w:val="1"/>
          <w:sz w:val="32"/>
          <w:szCs w:val="32"/>
        </w:rPr>
        <w:drawing>
          <wp:inline distB="0" distT="0" distL="0" distR="0">
            <wp:extent cx="3572374" cy="1324160"/>
            <wp:effectExtent b="0" l="0" r="0" t="0"/>
            <wp:docPr id="7"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572374" cy="13241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Assignment Title:</w:t>
      </w:r>
      <w:r w:rsidDel="00000000" w:rsidR="00000000" w:rsidRPr="00000000">
        <w:rPr>
          <w:sz w:val="32"/>
          <w:szCs w:val="32"/>
          <w:rtl w:val="0"/>
        </w:rPr>
        <w:t xml:space="preserve"> </w:t>
      </w:r>
      <w:r w:rsidDel="00000000" w:rsidR="00000000" w:rsidRPr="00000000">
        <w:rPr>
          <w:rFonts w:ascii="Arial" w:cs="Arial" w:eastAsia="Arial" w:hAnsi="Arial"/>
          <w:b w:val="1"/>
          <w:bCs w:val="1"/>
          <w:sz w:val="32"/>
          <w:szCs w:val="32"/>
          <w:rtl w:val="0"/>
        </w:rPr>
        <w:t xml:space="preserve">Assessment component: Financial performance and management</w:t>
      </w:r>
    </w:p>
    <w:p w:rsidR="00000000" w:rsidDel="00000000" w:rsidP="00000000" w:rsidRDefault="00000000" w:rsidRPr="00000000" w14:paraId="00000004">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Student name: Yogshree Bundela </w:t>
      </w:r>
    </w:p>
    <w:p w:rsidR="00000000" w:rsidDel="00000000" w:rsidP="00000000" w:rsidRDefault="00000000" w:rsidRPr="00000000" w14:paraId="00000006">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Student ID number: 2507696</w:t>
      </w:r>
    </w:p>
    <w:p w:rsidR="00000000" w:rsidDel="00000000" w:rsidP="00000000" w:rsidRDefault="00000000" w:rsidRPr="00000000" w14:paraId="00000007">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Programme: Master of Business Administration</w:t>
      </w:r>
    </w:p>
    <w:p w:rsidR="00000000" w:rsidDel="00000000" w:rsidP="00000000" w:rsidRDefault="00000000" w:rsidRPr="00000000" w14:paraId="00000009">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Module: Financial Management</w:t>
      </w:r>
    </w:p>
    <w:p w:rsidR="00000000" w:rsidDel="00000000" w:rsidP="00000000" w:rsidRDefault="00000000" w:rsidRPr="00000000" w14:paraId="0000000B">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C">
      <w:pPr>
        <w:spacing w:line="360" w:lineRule="auto"/>
        <w:jc w:val="center"/>
        <w:rPr>
          <w:rFonts w:ascii="Arial" w:cs="Arial" w:eastAsia="Arial" w:hAnsi="Arial"/>
          <w:b w:val="1"/>
          <w:bCs w:val="1"/>
          <w:sz w:val="32"/>
          <w:szCs w:val="32"/>
        </w:rPr>
      </w:pPr>
      <w:r w:rsidDel="00000000" w:rsidR="00000000" w:rsidRPr="00000000">
        <w:rPr>
          <w:rFonts w:ascii="Arial" w:cs="Arial" w:eastAsia="Arial" w:hAnsi="Arial"/>
          <w:b w:val="1"/>
          <w:bCs w:val="1"/>
          <w:sz w:val="32"/>
          <w:szCs w:val="32"/>
          <w:rtl w:val="0"/>
        </w:rPr>
        <w:t xml:space="preserve">Module code: LCMB7002</w:t>
      </w:r>
    </w:p>
    <w:p w:rsidR="00000000" w:rsidDel="00000000" w:rsidP="00000000" w:rsidRDefault="00000000" w:rsidRPr="00000000" w14:paraId="0000000D">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E">
      <w:pPr>
        <w:spacing w:line="360" w:lineRule="auto"/>
        <w:jc w:val="center"/>
        <w:rPr>
          <w:rFonts w:ascii="Arial" w:cs="Arial" w:eastAsia="Arial" w:hAnsi="Arial"/>
          <w:b w:val="1"/>
          <w:bCs w:val="1"/>
          <w:sz w:val="32"/>
          <w:szCs w:val="32"/>
        </w:rPr>
      </w:pPr>
      <w:r w:rsidDel="00000000" w:rsidR="00000000" w:rsidRPr="00000000">
        <w:rPr>
          <w:rtl w:val="0"/>
        </w:rPr>
      </w:r>
    </w:p>
    <w:p w:rsidR="00000000" w:rsidDel="00000000" w:rsidP="00000000" w:rsidRDefault="00000000" w:rsidRPr="00000000" w14:paraId="0000000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32"/>
          <w:szCs w:val="32"/>
          <w:rtl w:val="0"/>
        </w:rPr>
        <w:t xml:space="preserve">Lecturer: Shengfeng Mei (London)</w:t>
      </w: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76"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1647602452"/>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59w762bii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 Health Check</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43puuxrfqgg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Analyse the firm’s financial statements [provided in the next section].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jbjysdljw8s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Perform a full ratio analysis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gecrcpvnqvg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Profitability Ratio</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cm3op65r4g4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Liquidity Ratio</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lm0pp8z40w1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Efficiency Ratio</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9o69bi42x6q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Gearing Ratio</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se2rmcf49c7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Investment Ratio</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kxe4ef5htg8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Cash flow</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5iagfmffp86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Identify trends, strengths and threats</w:t>
              <w:tab/>
              <w:t xml:space="preserve">7</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9ivmpq1talz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Use corporate failure prediction models (e.g., Altman Z-Score) to assess default risk</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udt5z4vnibw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Working Capital Management Analysis</w:t>
              <w:tab/>
              <w:t xml:space="preserve">8</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spdssz3kl8c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Assess the cash operating cycle</w:t>
              <w:tab/>
              <w:t xml:space="preserve">8</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agnjhmqdl6v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 strategies to improve liquidity through working capital reforms</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s0qdnor7qu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Compare short-term vs long-term financing options</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196da8j6y9q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Strategic Financial Restructuring Plan</w:t>
              <w:tab/>
              <w:t xml:space="preserve">11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pe8s9xfles6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 financial restructuring options</w:t>
              <w:tab/>
              <w:t xml:space="preserve">11</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an0jc4ofm1y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Evaluate impact on shareholder value, debt structure, and operational flexibility</w:t>
              <w:tab/>
              <w:t xml:space="preserve">12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flvxlqh53a6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Include international and ethical considerations</w:t>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erm9oziudkk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Investment Appraisal and Capital Budgeting</w:t>
              <w:tab/>
              <w:t xml:space="preserve">16</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xeq5g1fvhzb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Final investment recommendation assuming capital rationing</w:t>
              <w:tab/>
              <w:t xml:space="preserve">16</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46lqkpnkuuf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Recommendation with reference to the company’s financial performance</w:t>
              <w:tab/>
              <w:t xml:space="preserve">17</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eycne5rt9d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Recommendation with reference to project risk characteristics</w:t>
              <w:tab/>
              <w:t xml:space="preserve">19</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tr976edzkae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gfd7ilmes9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w:t>
              <w:tab/>
              <w:t xml:space="preserve">26</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62dyv3onnne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Ratio Table and Graphs</w:t>
              <w:tab/>
              <w:t xml:space="preserve">26</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2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nlciq6iv16q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Investment appraisal calculations</w:t>
              <w:tab/>
              <w:t xml:space="preserve">30</w:t>
            </w:r>
          </w:hyperlink>
          <w:r w:rsidDel="00000000" w:rsidR="00000000" w:rsidRPr="00000000">
            <w:rPr>
              <w:rtl w:val="0"/>
            </w:rPr>
          </w:r>
        </w:p>
        <w:p w:rsidR="00000000" w:rsidDel="00000000" w:rsidP="00000000" w:rsidRDefault="00000000" w:rsidRPr="00000000" w14:paraId="0000002C">
          <w:pPr>
            <w:spacing w:line="276" w:lineRule="auto"/>
            <w:jc w:val="both"/>
            <w:rPr>
              <w:rFonts w:ascii="Arial" w:cs="Arial" w:eastAsia="Arial" w:hAnsi="Arial"/>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D">
      <w:pPr>
        <w:spacing w:line="360" w:lineRule="auto"/>
        <w:jc w:val="both"/>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2E">
      <w:pPr>
        <w:pStyle w:val="Heading1"/>
        <w:spacing w:line="360" w:lineRule="auto"/>
        <w:jc w:val="both"/>
        <w:rPr>
          <w:rFonts w:ascii="Arial" w:cs="Arial" w:eastAsia="Arial" w:hAnsi="Arial"/>
          <w:b w:val="1"/>
          <w:bCs w:val="1"/>
          <w:color w:val="000000"/>
          <w:sz w:val="24"/>
          <w:szCs w:val="24"/>
        </w:rPr>
      </w:pPr>
      <w:bookmarkStart w:colFirst="0" w:colLast="0" w:name="_59w762bii1" w:id="0"/>
      <w:bookmarkEnd w:id="0"/>
      <w:r w:rsidDel="00000000" w:rsidR="00000000" w:rsidRPr="00000000">
        <w:rPr>
          <w:rFonts w:ascii="Arial" w:cs="Arial" w:eastAsia="Arial" w:hAnsi="Arial"/>
          <w:b w:val="1"/>
          <w:bCs w:val="1"/>
          <w:color w:val="000000"/>
          <w:sz w:val="24"/>
          <w:szCs w:val="24"/>
          <w:rtl w:val="0"/>
        </w:rPr>
        <w:t xml:space="preserve">Financial Health Check</w:t>
      </w:r>
    </w:p>
    <w:p w:rsidR="00000000" w:rsidDel="00000000" w:rsidP="00000000" w:rsidRDefault="00000000" w:rsidRPr="00000000" w14:paraId="0000002F">
      <w:pPr>
        <w:pStyle w:val="Heading2"/>
        <w:spacing w:line="360" w:lineRule="auto"/>
        <w:jc w:val="both"/>
        <w:rPr>
          <w:rFonts w:ascii="Arial" w:cs="Arial" w:eastAsia="Arial" w:hAnsi="Arial"/>
          <w:b w:val="1"/>
          <w:bCs w:val="1"/>
          <w:color w:val="000000"/>
          <w:sz w:val="24"/>
          <w:szCs w:val="24"/>
        </w:rPr>
      </w:pPr>
      <w:bookmarkStart w:colFirst="0" w:colLast="0" w:name="_43puuxrfqgg6" w:id="1"/>
      <w:bookmarkEnd w:id="1"/>
      <w:r w:rsidDel="00000000" w:rsidR="00000000" w:rsidRPr="00000000">
        <w:rPr>
          <w:rFonts w:ascii="Arial" w:cs="Arial" w:eastAsia="Arial" w:hAnsi="Arial"/>
          <w:b w:val="1"/>
          <w:bCs w:val="1"/>
          <w:color w:val="000000"/>
          <w:sz w:val="24"/>
          <w:szCs w:val="24"/>
          <w:rtl w:val="0"/>
        </w:rPr>
        <w:t xml:space="preserve">Analyse the firm’s financial statements [provided in the next section].</w:t>
      </w:r>
    </w:p>
    <w:p w:rsidR="00000000" w:rsidDel="00000000" w:rsidP="00000000" w:rsidRDefault="00000000" w:rsidRPr="00000000" w14:paraId="00000030">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Revenue and Profitability Performance</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Net sales declined 35% from £614.7 billion in 2020 to £394.9 billion in 2024. Market competition, low demand, and pricing cut revenue. High drop in 2022–2024 suggests market saturation or product mismatch. Gross profit declined from £176.3 billion in 2020 to £114 billion in 2024. Growing operational costs outweighed manufacturing efficiency gross profit margin of 28%–29% (Ombui et al., 2024). Operating expenses climbed from £139 billion in 2020 to £183 billion in 2023 and £129 billion in 2024, below gross profit. High administrative costs, ineffective marketing, and redundant buildings produce overhead control inefficiencies. Operating income create huge issues. After positive 2020 and 2021, the company lost £85.3 billion and £15.3 billion in 2023 and 2024. Losses illustrate that good gross margins cannot profit sales (Maheshwari et al., 2024). Profit declined from 2020's £38.6 billion to 2023 and 2024's £98.2 billion and £24.0 billion losses. </w:t>
      </w:r>
    </w:p>
    <w:p w:rsidR="00000000" w:rsidDel="00000000" w:rsidP="00000000" w:rsidRDefault="00000000" w:rsidRPr="00000000" w14:paraId="00000032">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Asset Structure and Efficiency</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Income statement operational errors are indicated in balance sheets. Comprehensive assets declined in 2020 PS510.3 billion to 2024 PS323.4 billion, which implies dire liquidity and illiquidity consumption. The property, plant and equipment costs reduced to £34.2billion in 2024 compared with £87.3billion in 2020, which is a sign of impairment, selling plant or productive capacity. This is a blow to its sustainability and competitiveness in a new industry (Badakhshan and Ivanov, 2025). Current assets recorded a fall of £326.8 billion in 2020 to £242.5 billion in 2024. The inventory decreased by £120.4 billion to £79.4 billion in 2020 and 2024, respectively; and cash by £57.2 billion to £26.8 billion. </w:t>
      </w:r>
    </w:p>
    <w:p w:rsidR="00000000" w:rsidDel="00000000" w:rsidP="00000000" w:rsidRDefault="00000000" w:rsidRPr="00000000" w14:paraId="0000003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Capital Structure and Solvency</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General Electronics has increasing debt and declining equity in terms of financial. The solvency decreased the total liabilities by £197 billion in 2020 to £170 billion in 2024 because of credit shortages, rather than solvency. Short term borrowings (lines of credit) by the company fell to £37 billion as of 2024 as compared to PS55 billion as of 2023. The stockholders equity dropped by around 50 percent over a period of five years in 2020 to £313.3 billion to 2024 to £153.1 billion. Unrelenting losses led to a decrease of retained earnings of £325 billion in 2020 to PS208 billion in 2024. In 2024, the debt to equity ratio reached 1.0, as compared to 0.63 in 2020 (Potharla, 2025). Gearing increases risk in financing and constrains the scope of funding. The interest is high as compared to the operating performance. </w:t>
      </w:r>
    </w:p>
    <w:p w:rsidR="00000000" w:rsidDel="00000000" w:rsidP="00000000" w:rsidRDefault="00000000" w:rsidRPr="00000000" w14:paraId="0000003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Liquidity and Working Capital Position</w:t>
      </w:r>
    </w:p>
    <w:p w:rsidR="00000000" w:rsidDel="00000000" w:rsidP="00000000" w:rsidRDefault="00000000" w:rsidRPr="00000000" w14:paraId="00000037">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Even with a stable current ratio, there was a decline in liquidity. Current assets are more than current debts, although the quality of this current assets has declined since 2020, and the ratio remains almost 1.5. The illiquidity of the receivables emerged because the cash and cash equivalents dropped to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27 billion as opposed to PS57 billion. Conglomerate of stressed current liabilities. In the case of huge liabilities and compensation deals, accounts payable decreased to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72 billion in 2024 out of </w:t>
      </w:r>
      <w:r w:rsidDel="00000000" w:rsidR="00000000" w:rsidRPr="00000000">
        <w:rPr>
          <w:rFonts w:ascii="Arial" w:cs="Arial" w:eastAsia="Arial" w:hAnsi="Arial"/>
          <w:rtl w:val="0"/>
        </w:rPr>
        <w:t xml:space="preserve">£</w:t>
      </w:r>
      <w:r w:rsidDel="00000000" w:rsidR="00000000" w:rsidRPr="00000000">
        <w:rPr>
          <w:rFonts w:ascii="Arial" w:cs="Arial" w:eastAsia="Arial" w:hAnsi="Arial"/>
          <w:sz w:val="24"/>
          <w:szCs w:val="24"/>
          <w:rtl w:val="0"/>
        </w:rPr>
        <w:t xml:space="preserve">83.2 in 2020. The company can afford to pay the suppliers on time in order to continue the supply because the trade payables have declined. </w:t>
      </w:r>
    </w:p>
    <w:p w:rsidR="00000000" w:rsidDel="00000000" w:rsidP="00000000" w:rsidRDefault="00000000" w:rsidRPr="00000000" w14:paraId="0000003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Cash Flow Performance</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company's cash flow shows operational and liquidity difficulties. Operating cash flow fell from £73.4 billion in 2020 to £14.8 billion in 2024. When activities generated little income, depreciation and amortisation supported capital and financial demands. The reduction was caused by lower profitability, growing working capital demands, and large impairment charges such the £49 billion goodwill write-off in 2023 (Zhira, 2025). Investment fell despite lower fixed and intangible asset spending. Capital expenditure fell from £16.9 billion in 2020 to £4.6 billion in 2024, jeopardising innovation and growth. Despite volatility, borrowing and repayments have dominated finance operations with limited stock inflows. </w:t>
      </w:r>
    </w:p>
    <w:p w:rsidR="00000000" w:rsidDel="00000000" w:rsidP="00000000" w:rsidRDefault="00000000" w:rsidRPr="00000000" w14:paraId="0000003A">
      <w:pPr>
        <w:pStyle w:val="Heading2"/>
        <w:spacing w:line="360" w:lineRule="auto"/>
        <w:jc w:val="both"/>
        <w:rPr>
          <w:rFonts w:ascii="Arial" w:cs="Arial" w:eastAsia="Arial" w:hAnsi="Arial"/>
          <w:b w:val="1"/>
          <w:bCs w:val="1"/>
          <w:color w:val="000000"/>
          <w:sz w:val="24"/>
          <w:szCs w:val="24"/>
        </w:rPr>
      </w:pPr>
      <w:bookmarkStart w:colFirst="0" w:colLast="0" w:name="_jbjysdljw8sh" w:id="2"/>
      <w:bookmarkEnd w:id="2"/>
      <w:r w:rsidDel="00000000" w:rsidR="00000000" w:rsidRPr="00000000">
        <w:rPr>
          <w:rFonts w:ascii="Arial" w:cs="Arial" w:eastAsia="Arial" w:hAnsi="Arial"/>
          <w:b w:val="1"/>
          <w:bCs w:val="1"/>
          <w:color w:val="000000"/>
          <w:sz w:val="24"/>
          <w:szCs w:val="24"/>
          <w:rtl w:val="0"/>
        </w:rPr>
        <w:t xml:space="preserve">Perform a full ratio analysis </w:t>
      </w:r>
    </w:p>
    <w:p w:rsidR="00000000" w:rsidDel="00000000" w:rsidP="00000000" w:rsidRDefault="00000000" w:rsidRPr="00000000" w14:paraId="0000003B">
      <w:pPr>
        <w:pStyle w:val="Heading2"/>
        <w:spacing w:line="360" w:lineRule="auto"/>
        <w:jc w:val="both"/>
        <w:rPr>
          <w:rFonts w:ascii="Arial" w:cs="Arial" w:eastAsia="Arial" w:hAnsi="Arial"/>
          <w:b w:val="1"/>
          <w:bCs w:val="1"/>
          <w:color w:val="000000"/>
          <w:sz w:val="24"/>
          <w:szCs w:val="24"/>
        </w:rPr>
      </w:pPr>
      <w:bookmarkStart w:colFirst="0" w:colLast="0" w:name="_gecrcpvnqvgb" w:id="3"/>
      <w:bookmarkEnd w:id="3"/>
      <w:r w:rsidDel="00000000" w:rsidR="00000000" w:rsidRPr="00000000">
        <w:rPr>
          <w:rFonts w:ascii="Arial" w:cs="Arial" w:eastAsia="Arial" w:hAnsi="Arial"/>
          <w:b w:val="1"/>
          <w:bCs w:val="1"/>
          <w:color w:val="000000"/>
          <w:sz w:val="24"/>
          <w:szCs w:val="24"/>
          <w:rtl w:val="0"/>
        </w:rPr>
        <w:t xml:space="preserve">Profitability Ratio</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Five years of declining profitability for General Electronics. Sales profitability declined from 6.3% in 2020 to –6.1% in 2024 due to rising operational costs, slow demand, and high impairment charges. The company's ROCE fell from 11.9% to –7.8%, suggesting low ROI (Wang, 2024). After 2022, performance and value decreased, showing General Electronics' structural and long-term profitability crisis that requires immediate attention.</w:t>
      </w:r>
    </w:p>
    <w:p w:rsidR="00000000" w:rsidDel="00000000" w:rsidP="00000000" w:rsidRDefault="00000000" w:rsidRPr="00000000" w14:paraId="0000003D">
      <w:pPr>
        <w:pStyle w:val="Heading2"/>
        <w:spacing w:line="360" w:lineRule="auto"/>
        <w:jc w:val="both"/>
        <w:rPr>
          <w:rFonts w:ascii="Arial" w:cs="Arial" w:eastAsia="Arial" w:hAnsi="Arial"/>
          <w:b w:val="1"/>
          <w:bCs w:val="1"/>
          <w:color w:val="000000"/>
          <w:sz w:val="24"/>
          <w:szCs w:val="24"/>
        </w:rPr>
      </w:pPr>
      <w:bookmarkStart w:colFirst="0" w:colLast="0" w:name="_cm3op65r4g4j" w:id="4"/>
      <w:bookmarkEnd w:id="4"/>
      <w:r w:rsidDel="00000000" w:rsidR="00000000" w:rsidRPr="00000000">
        <w:rPr>
          <w:rFonts w:ascii="Arial" w:cs="Arial" w:eastAsia="Arial" w:hAnsi="Arial"/>
          <w:b w:val="1"/>
          <w:bCs w:val="1"/>
          <w:color w:val="000000"/>
          <w:sz w:val="24"/>
          <w:szCs w:val="24"/>
          <w:rtl w:val="0"/>
        </w:rPr>
        <w:t xml:space="preserve">Liquidity Ratio</w:t>
      </w:r>
    </w:p>
    <w:p w:rsidR="00000000" w:rsidDel="00000000" w:rsidP="00000000" w:rsidRDefault="00000000" w:rsidRPr="00000000" w14:paraId="0000003E">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liquidity of General Electronics has been decreasing over a period of five years. The temporary liquidity was reduced due to a reduction in the current ratio as current assets declined at a rate greater than the current liabilities, which reduced the current ratio by 1.82 in 2020 to 1.53 in 2024. The quick ratio 1.14 improved to 0.92 in 2024 and then to 1.03, which shows that there is not adequate coverage of the liquid assets. Both the ratios are nearly normal, but a negative shift indicates the usage of cash and slow receivables turnover which causes a strain on liquidity. </w:t>
      </w:r>
    </w:p>
    <w:p w:rsidR="00000000" w:rsidDel="00000000" w:rsidP="00000000" w:rsidRDefault="00000000" w:rsidRPr="00000000" w14:paraId="0000003F">
      <w:pPr>
        <w:pStyle w:val="Heading2"/>
        <w:spacing w:line="360" w:lineRule="auto"/>
        <w:jc w:val="both"/>
        <w:rPr>
          <w:rFonts w:ascii="Arial" w:cs="Arial" w:eastAsia="Arial" w:hAnsi="Arial"/>
          <w:b w:val="1"/>
          <w:bCs w:val="1"/>
          <w:color w:val="000000"/>
          <w:sz w:val="24"/>
          <w:szCs w:val="24"/>
        </w:rPr>
      </w:pPr>
      <w:bookmarkStart w:colFirst="0" w:colLast="0" w:name="_lm0pp8z40w1j" w:id="5"/>
      <w:bookmarkEnd w:id="5"/>
      <w:r w:rsidDel="00000000" w:rsidR="00000000" w:rsidRPr="00000000">
        <w:rPr>
          <w:rFonts w:ascii="Arial" w:cs="Arial" w:eastAsia="Arial" w:hAnsi="Arial"/>
          <w:b w:val="1"/>
          <w:bCs w:val="1"/>
          <w:color w:val="000000"/>
          <w:sz w:val="24"/>
          <w:szCs w:val="24"/>
          <w:rtl w:val="0"/>
        </w:rPr>
        <w:t xml:space="preserve">Efficiency Ratio</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efficiency of General Electronics slowed down to 100 days in 2020, 131 days in 2022, and 103 days in 2024. Late payment and poor credit control made the turnover of receivables to be 106 days compared to 77 days. The turnover of payment was 65-70 days, with the amount of improvement in the management of suppliers being minimal (Ridwan et al., 2025). </w:t>
      </w:r>
    </w:p>
    <w:p w:rsidR="00000000" w:rsidDel="00000000" w:rsidP="00000000" w:rsidRDefault="00000000" w:rsidRPr="00000000" w14:paraId="00000041">
      <w:pPr>
        <w:pStyle w:val="Heading2"/>
        <w:spacing w:line="360" w:lineRule="auto"/>
        <w:jc w:val="both"/>
        <w:rPr>
          <w:rFonts w:ascii="Arial" w:cs="Arial" w:eastAsia="Arial" w:hAnsi="Arial"/>
          <w:b w:val="1"/>
          <w:bCs w:val="1"/>
          <w:color w:val="000000"/>
          <w:sz w:val="24"/>
          <w:szCs w:val="24"/>
        </w:rPr>
      </w:pPr>
      <w:bookmarkStart w:colFirst="0" w:colLast="0" w:name="_9o69bi42x6q4" w:id="6"/>
      <w:bookmarkEnd w:id="6"/>
      <w:r w:rsidDel="00000000" w:rsidR="00000000" w:rsidRPr="00000000">
        <w:rPr>
          <w:rFonts w:ascii="Arial" w:cs="Arial" w:eastAsia="Arial" w:hAnsi="Arial"/>
          <w:b w:val="1"/>
          <w:bCs w:val="1"/>
          <w:color w:val="000000"/>
          <w:sz w:val="24"/>
          <w:szCs w:val="24"/>
          <w:rtl w:val="0"/>
        </w:rPr>
        <w:t xml:space="preserve">Gearing Ratio</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gearing of General Electronics is deteriorating putting the company at risk of going under. Its debt to equity ratio increased to 1.11 in 2024 as compared to 0.63 in 2020. Increase in losses reduces owner equity, and borrowing increases. Interest coverage ratio has gone down to negative in 2023 and 2024 after it was 26.2 times in 2020, indicating that the operational revenue will not be sufficient to cover the interest payments (Liu and Fu, 2024). The massive levels of indebtedness and inability to cover financing expenses placed the firm on the brink of insolvency unless it can be recapitalised or restructure its debt quickly.</w:t>
      </w:r>
    </w:p>
    <w:p w:rsidR="00000000" w:rsidDel="00000000" w:rsidP="00000000" w:rsidRDefault="00000000" w:rsidRPr="00000000" w14:paraId="00000043">
      <w:pPr>
        <w:pStyle w:val="Heading2"/>
        <w:spacing w:line="360" w:lineRule="auto"/>
        <w:jc w:val="both"/>
        <w:rPr>
          <w:rFonts w:ascii="Arial" w:cs="Arial" w:eastAsia="Arial" w:hAnsi="Arial"/>
          <w:b w:val="1"/>
          <w:bCs w:val="1"/>
          <w:color w:val="000000"/>
          <w:sz w:val="24"/>
          <w:szCs w:val="24"/>
        </w:rPr>
      </w:pPr>
      <w:bookmarkStart w:colFirst="0" w:colLast="0" w:name="_se2rmcf49c70" w:id="7"/>
      <w:bookmarkEnd w:id="7"/>
      <w:r w:rsidDel="00000000" w:rsidR="00000000" w:rsidRPr="00000000">
        <w:rPr>
          <w:rFonts w:ascii="Arial" w:cs="Arial" w:eastAsia="Arial" w:hAnsi="Arial"/>
          <w:b w:val="1"/>
          <w:bCs w:val="1"/>
          <w:color w:val="000000"/>
          <w:sz w:val="24"/>
          <w:szCs w:val="24"/>
          <w:rtl w:val="0"/>
        </w:rPr>
        <w:t xml:space="preserve">Investment Ratio</w:t>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success of the investment by general electronics was influenced by the confidence of the market and the decrease of shareholder values. The EPS dropped to -7.64 and -1.85 in 2023 and 2024, respectively, which means that the company experienced losses and a decline in investment returns (Alexander, 2024). The company is not rated on earnings as it increased its P/E ratio in 20212022 and decreased to N/A in years of losses. Dividends were postponed across the board, yield reduced to 0%. The unfavorable EPS, dividends and value indicates poor satisfaction among the investors and need to restore profitability to increase market confidence.</w:t>
      </w:r>
    </w:p>
    <w:p w:rsidR="00000000" w:rsidDel="00000000" w:rsidP="00000000" w:rsidRDefault="00000000" w:rsidRPr="00000000" w14:paraId="00000045">
      <w:pPr>
        <w:pStyle w:val="Heading2"/>
        <w:spacing w:line="360" w:lineRule="auto"/>
        <w:jc w:val="both"/>
        <w:rPr>
          <w:rFonts w:ascii="Arial" w:cs="Arial" w:eastAsia="Arial" w:hAnsi="Arial"/>
          <w:b w:val="1"/>
          <w:bCs w:val="1"/>
          <w:color w:val="000000"/>
          <w:sz w:val="24"/>
          <w:szCs w:val="24"/>
        </w:rPr>
      </w:pPr>
      <w:bookmarkStart w:colFirst="0" w:colLast="0" w:name="_kxe4ef5htg8h" w:id="8"/>
      <w:bookmarkEnd w:id="8"/>
      <w:r w:rsidDel="00000000" w:rsidR="00000000" w:rsidRPr="00000000">
        <w:rPr>
          <w:rFonts w:ascii="Arial" w:cs="Arial" w:eastAsia="Arial" w:hAnsi="Arial"/>
          <w:b w:val="1"/>
          <w:bCs w:val="1"/>
          <w:color w:val="000000"/>
          <w:sz w:val="24"/>
          <w:szCs w:val="24"/>
          <w:rtl w:val="0"/>
        </w:rPr>
        <w:t xml:space="preserve">Cash flow</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General Electronics has experienced five years of decline in its cash flow which indicates that it is experiencing liquidity problems. The cash flow of the main activities of the company also decreased compared to PS73.4 billion in 2020 to PS14.8 billion in 2024 because of ineffective working capital management and deteriorating profitability. The lower capital expenditure and long-term investment in assets lowered the outflows of PS23.7billion to PS8.4billion (Bhujel et al., 2025). With loan payments exceeding new borrowings, finance activities declined as the outflows in 2020 decreased to incurring outflows. Therefore, the cash of the firm diminished by 53 percent to PS26.8 billion compared to PS57.2 billion. </w:t>
      </w:r>
    </w:p>
    <w:p w:rsidR="00000000" w:rsidDel="00000000" w:rsidP="00000000" w:rsidRDefault="00000000" w:rsidRPr="00000000" w14:paraId="00000047">
      <w:pPr>
        <w:rPr>
          <w:rFonts w:ascii="Arial" w:cs="Arial" w:eastAsia="Arial" w:hAnsi="Arial"/>
          <w:b w:val="1"/>
          <w:bCs w:val="1"/>
          <w:sz w:val="24"/>
          <w:szCs w:val="24"/>
        </w:rPr>
      </w:pPr>
      <w:bookmarkStart w:colFirst="0" w:colLast="0" w:name="_5iagfmffp86n" w:id="9"/>
      <w:bookmarkEnd w:id="9"/>
      <w:r w:rsidDel="00000000" w:rsidR="00000000" w:rsidRPr="00000000">
        <w:br w:type="page"/>
      </w:r>
      <w:r w:rsidDel="00000000" w:rsidR="00000000" w:rsidRPr="00000000">
        <w:rPr>
          <w:rtl w:val="0"/>
        </w:rPr>
      </w:r>
    </w:p>
    <w:p w:rsidR="00000000" w:rsidDel="00000000" w:rsidP="00000000" w:rsidRDefault="00000000" w:rsidRPr="00000000" w14:paraId="00000048">
      <w:pPr>
        <w:pStyle w:val="Heading2"/>
        <w:spacing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Identify trends, strengths and threats</w:t>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37"/>
        <w:gridCol w:w="2737"/>
        <w:gridCol w:w="2070"/>
        <w:gridCol w:w="2672"/>
        <w:tblGridChange w:id="0">
          <w:tblGrid>
            <w:gridCol w:w="1537"/>
            <w:gridCol w:w="2737"/>
            <w:gridCol w:w="2070"/>
            <w:gridCol w:w="2672"/>
          </w:tblGrid>
        </w:tblGridChange>
      </w:tblGrid>
      <w:tr>
        <w:trPr>
          <w:cantSplit w:val="0"/>
          <w:tblHeader w:val="0"/>
        </w:trPr>
        <w:tc>
          <w:tcPr/>
          <w:p w:rsidR="00000000" w:rsidDel="00000000" w:rsidP="00000000" w:rsidRDefault="00000000" w:rsidRPr="00000000" w14:paraId="0000004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Aspect</w:t>
            </w:r>
          </w:p>
        </w:tc>
        <w:tc>
          <w:tcPr/>
          <w:p w:rsidR="00000000" w:rsidDel="00000000" w:rsidP="00000000" w:rsidRDefault="00000000" w:rsidRPr="00000000" w14:paraId="0000004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Trends</w:t>
            </w:r>
          </w:p>
        </w:tc>
        <w:tc>
          <w:tcPr/>
          <w:p w:rsidR="00000000" w:rsidDel="00000000" w:rsidP="00000000" w:rsidRDefault="00000000" w:rsidRPr="00000000" w14:paraId="0000004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Strengths</w:t>
            </w:r>
          </w:p>
        </w:tc>
        <w:tc>
          <w:tcPr/>
          <w:p w:rsidR="00000000" w:rsidDel="00000000" w:rsidP="00000000" w:rsidRDefault="00000000" w:rsidRPr="00000000" w14:paraId="0000004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Threats</w:t>
            </w:r>
          </w:p>
        </w:tc>
      </w:tr>
      <w:tr>
        <w:trPr>
          <w:cantSplit w:val="0"/>
          <w:tblHeader w:val="0"/>
        </w:trPr>
        <w:tc>
          <w:tcPr/>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Profitability</w:t>
            </w:r>
            <w:r w:rsidDel="00000000" w:rsidR="00000000" w:rsidRPr="00000000">
              <w:rPr>
                <w:rtl w:val="0"/>
              </w:rPr>
            </w:r>
          </w:p>
        </w:tc>
        <w:tc>
          <w:tcPr/>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Sharp decline in margins; negative returns since 2023</w:t>
            </w:r>
          </w:p>
        </w:tc>
        <w:tc>
          <w:tcPr/>
          <w:p w:rsidR="00000000" w:rsidDel="00000000" w:rsidP="00000000" w:rsidRDefault="00000000" w:rsidRPr="00000000" w14:paraId="000000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Strong gross margins in early years</w:t>
            </w:r>
          </w:p>
        </w:tc>
        <w:tc>
          <w:tcPr/>
          <w:p w:rsidR="00000000" w:rsidDel="00000000" w:rsidP="00000000" w:rsidRDefault="00000000" w:rsidRPr="00000000" w14:paraId="0000005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Continuous losses and eroding shareholder value</w:t>
            </w:r>
          </w:p>
        </w:tc>
      </w:tr>
      <w:tr>
        <w:trPr>
          <w:cantSplit w:val="0"/>
          <w:tblHeader w:val="0"/>
        </w:trPr>
        <w:tc>
          <w:tcPr/>
          <w:p w:rsidR="00000000" w:rsidDel="00000000" w:rsidP="00000000" w:rsidRDefault="00000000" w:rsidRPr="00000000" w14:paraId="00000051">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Liquidity</w:t>
            </w:r>
            <w:r w:rsidDel="00000000" w:rsidR="00000000" w:rsidRPr="00000000">
              <w:rPr>
                <w:rtl w:val="0"/>
              </w:rPr>
            </w:r>
          </w:p>
        </w:tc>
        <w:tc>
          <w:tcPr/>
          <w:p w:rsidR="00000000" w:rsidDel="00000000" w:rsidP="00000000" w:rsidRDefault="00000000" w:rsidRPr="00000000" w14:paraId="0000005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Current ratio stable around 1.5; quick ratio slightly improved in 2024</w:t>
            </w:r>
          </w:p>
        </w:tc>
        <w:tc>
          <w:tcPr/>
          <w:p w:rsidR="00000000" w:rsidDel="00000000" w:rsidP="00000000" w:rsidRDefault="00000000" w:rsidRPr="00000000" w14:paraId="0000005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Adequate short-term asset coverage</w:t>
            </w:r>
          </w:p>
        </w:tc>
        <w:tc>
          <w:tcPr/>
          <w:p w:rsidR="00000000" w:rsidDel="00000000" w:rsidP="00000000" w:rsidRDefault="00000000" w:rsidRPr="00000000" w14:paraId="0000005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Falling cash reserves and high receivables dependency</w:t>
            </w:r>
          </w:p>
        </w:tc>
      </w:tr>
      <w:tr>
        <w:trPr>
          <w:cantSplit w:val="0"/>
          <w:tblHeader w:val="0"/>
        </w:trPr>
        <w:tc>
          <w:tcPr/>
          <w:p w:rsidR="00000000" w:rsidDel="00000000" w:rsidP="00000000" w:rsidRDefault="00000000" w:rsidRPr="00000000" w14:paraId="00000055">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Efficiency</w:t>
            </w:r>
            <w:r w:rsidDel="00000000" w:rsidR="00000000" w:rsidRPr="00000000">
              <w:rPr>
                <w:rtl w:val="0"/>
              </w:rPr>
            </w:r>
          </w:p>
        </w:tc>
        <w:tc>
          <w:tcPr/>
          <w:p w:rsidR="00000000" w:rsidDel="00000000" w:rsidP="00000000" w:rsidRDefault="00000000" w:rsidRPr="00000000" w14:paraId="0000005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Lengthening cash conversion cycle</w:t>
            </w:r>
          </w:p>
        </w:tc>
        <w:tc>
          <w:tcPr/>
          <w:p w:rsidR="00000000" w:rsidDel="00000000" w:rsidP="00000000" w:rsidRDefault="00000000" w:rsidRPr="00000000" w14:paraId="0000005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Improved inventory control after 2022</w:t>
            </w:r>
          </w:p>
        </w:tc>
        <w:tc>
          <w:tcPr/>
          <w:p w:rsidR="00000000" w:rsidDel="00000000" w:rsidP="00000000" w:rsidRDefault="00000000" w:rsidRPr="00000000" w14:paraId="0000005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Slow receivable collection; weak working capital management</w:t>
            </w:r>
          </w:p>
        </w:tc>
      </w:tr>
      <w:tr>
        <w:trPr>
          <w:cantSplit w:val="0"/>
          <w:tblHeader w:val="0"/>
        </w:trPr>
        <w:tc>
          <w:tcPr/>
          <w:p w:rsidR="00000000" w:rsidDel="00000000" w:rsidP="00000000" w:rsidRDefault="00000000" w:rsidRPr="00000000" w14:paraId="00000059">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Gearing</w:t>
            </w:r>
            <w:r w:rsidDel="00000000" w:rsidR="00000000" w:rsidRPr="00000000">
              <w:rPr>
                <w:rtl w:val="0"/>
              </w:rPr>
            </w:r>
          </w:p>
        </w:tc>
        <w:tc>
          <w:tcPr/>
          <w:p w:rsidR="00000000" w:rsidDel="00000000" w:rsidP="00000000" w:rsidRDefault="00000000" w:rsidRPr="00000000" w14:paraId="0000005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Rising leverage; D/E ratio above 1.0</w:t>
            </w:r>
          </w:p>
        </w:tc>
        <w:tc>
          <w:tcPr/>
          <w:p w:rsidR="00000000" w:rsidDel="00000000" w:rsidP="00000000" w:rsidRDefault="00000000" w:rsidRPr="00000000" w14:paraId="0000005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Some long-term financing stability</w:t>
            </w:r>
          </w:p>
        </w:tc>
        <w:tc>
          <w:tcPr/>
          <w:p w:rsidR="00000000" w:rsidDel="00000000" w:rsidP="00000000" w:rsidRDefault="00000000" w:rsidRPr="00000000" w14:paraId="0000005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Negative interest coverage; high insolvency risk</w:t>
            </w:r>
          </w:p>
        </w:tc>
      </w:tr>
      <w:tr>
        <w:trPr>
          <w:cantSplit w:val="0"/>
          <w:tblHeader w:val="0"/>
        </w:trPr>
        <w:tc>
          <w:tcPr/>
          <w:p w:rsidR="00000000" w:rsidDel="00000000" w:rsidP="00000000" w:rsidRDefault="00000000" w:rsidRPr="00000000" w14:paraId="0000005D">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Investment</w:t>
            </w:r>
            <w:r w:rsidDel="00000000" w:rsidR="00000000" w:rsidRPr="00000000">
              <w:rPr>
                <w:rtl w:val="0"/>
              </w:rPr>
            </w:r>
          </w:p>
        </w:tc>
        <w:tc>
          <w:tcPr/>
          <w:p w:rsidR="00000000" w:rsidDel="00000000" w:rsidP="00000000" w:rsidRDefault="00000000" w:rsidRPr="00000000" w14:paraId="0000005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EPS and dividends turned negative</w:t>
            </w:r>
          </w:p>
        </w:tc>
        <w:tc>
          <w:tcPr/>
          <w:p w:rsidR="00000000" w:rsidDel="00000000" w:rsidP="00000000" w:rsidRDefault="00000000" w:rsidRPr="00000000" w14:paraId="0000005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Historical investor confidence (2020–2021)</w:t>
            </w:r>
          </w:p>
        </w:tc>
        <w:tc>
          <w:tcPr/>
          <w:p w:rsidR="00000000" w:rsidDel="00000000" w:rsidP="00000000" w:rsidRDefault="00000000" w:rsidRPr="00000000" w14:paraId="0000006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No dividend payments; low investor trust</w:t>
            </w:r>
          </w:p>
        </w:tc>
      </w:tr>
      <w:tr>
        <w:trPr>
          <w:cantSplit w:val="0"/>
          <w:tblHeader w:val="0"/>
        </w:trPr>
        <w:tc>
          <w:tcPr/>
          <w:p w:rsidR="00000000" w:rsidDel="00000000" w:rsidP="00000000" w:rsidRDefault="00000000" w:rsidRPr="00000000" w14:paraId="00000061">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Cash Flow</w:t>
            </w:r>
            <w:r w:rsidDel="00000000" w:rsidR="00000000" w:rsidRPr="00000000">
              <w:rPr>
                <w:rtl w:val="0"/>
              </w:rPr>
            </w:r>
          </w:p>
        </w:tc>
        <w:tc>
          <w:tcPr/>
          <w:p w:rsidR="00000000" w:rsidDel="00000000" w:rsidP="00000000" w:rsidRDefault="00000000" w:rsidRPr="00000000" w14:paraId="0000006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Operating cash inflows shrinking</w:t>
            </w:r>
          </w:p>
        </w:tc>
        <w:tc>
          <w:tcPr/>
          <w:p w:rsidR="00000000" w:rsidDel="00000000" w:rsidP="00000000" w:rsidRDefault="00000000" w:rsidRPr="00000000" w14:paraId="0000006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Reduced investing outflows</w:t>
            </w:r>
          </w:p>
        </w:tc>
        <w:tc>
          <w:tcPr/>
          <w:p w:rsidR="00000000" w:rsidDel="00000000" w:rsidP="00000000" w:rsidRDefault="00000000" w:rsidRPr="00000000" w14:paraId="0000006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Heavy financing outflows; declining cash balance</w:t>
            </w:r>
          </w:p>
        </w:tc>
      </w:tr>
    </w:tbl>
    <w:p w:rsidR="00000000" w:rsidDel="00000000" w:rsidP="00000000" w:rsidRDefault="00000000" w:rsidRPr="00000000" w14:paraId="00000065">
      <w:pPr>
        <w:pStyle w:val="Heading2"/>
        <w:spacing w:line="360" w:lineRule="auto"/>
        <w:jc w:val="both"/>
        <w:rPr>
          <w:rFonts w:ascii="Arial" w:cs="Arial" w:eastAsia="Arial" w:hAnsi="Arial"/>
          <w:b w:val="1"/>
          <w:bCs w:val="1"/>
          <w:color w:val="000000"/>
          <w:sz w:val="24"/>
          <w:szCs w:val="24"/>
        </w:rPr>
      </w:pPr>
      <w:bookmarkStart w:colFirst="0" w:colLast="0" w:name="_9ivmpq1talz4" w:id="10"/>
      <w:bookmarkEnd w:id="10"/>
      <w:r w:rsidDel="00000000" w:rsidR="00000000" w:rsidRPr="00000000">
        <w:rPr>
          <w:rFonts w:ascii="Arial" w:cs="Arial" w:eastAsia="Arial" w:hAnsi="Arial"/>
          <w:b w:val="1"/>
          <w:bCs w:val="1"/>
          <w:color w:val="000000"/>
          <w:sz w:val="24"/>
          <w:szCs w:val="24"/>
          <w:rtl w:val="0"/>
        </w:rPr>
        <w:t xml:space="preserve">Use corporate failure prediction models (e.g., Altman Z-Score) to assess default risk</w:t>
      </w:r>
    </w:p>
    <w:p w:rsidR="00000000" w:rsidDel="00000000" w:rsidP="00000000" w:rsidRDefault="00000000" w:rsidRPr="00000000" w14:paraId="0000006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General Electronics' high Altman Z-Score suggests failure. Negative earnings, excessive leverage (1.11 debt-to-equity ratio), dropping working capital, and declining retained earnings put the firm's predicted Z-Score below the safe guideline of 1.8, putting it in distress. General Electronics may default on this score (Jin and Li, 2024). Continuous losses, limited cash, and negative interest coverage signal financial instability, requiring reorganisation and capital reinforcement to avoid insolvency.</w:t>
      </w:r>
    </w:p>
    <w:p w:rsidR="00000000" w:rsidDel="00000000" w:rsidP="00000000" w:rsidRDefault="00000000" w:rsidRPr="00000000" w14:paraId="00000067">
      <w:pPr>
        <w:pStyle w:val="Heading1"/>
        <w:spacing w:line="360" w:lineRule="auto"/>
        <w:jc w:val="both"/>
        <w:rPr>
          <w:rFonts w:ascii="Arial" w:cs="Arial" w:eastAsia="Arial" w:hAnsi="Arial"/>
          <w:b w:val="1"/>
          <w:bCs w:val="1"/>
          <w:color w:val="000000"/>
          <w:sz w:val="24"/>
          <w:szCs w:val="24"/>
        </w:rPr>
      </w:pPr>
      <w:bookmarkStart w:colFirst="0" w:colLast="0" w:name="_udt5z4vnibwi" w:id="11"/>
      <w:bookmarkEnd w:id="11"/>
      <w:r w:rsidDel="00000000" w:rsidR="00000000" w:rsidRPr="00000000">
        <w:rPr>
          <w:rFonts w:ascii="Arial" w:cs="Arial" w:eastAsia="Arial" w:hAnsi="Arial"/>
          <w:b w:val="1"/>
          <w:bCs w:val="1"/>
          <w:color w:val="000000"/>
          <w:sz w:val="24"/>
          <w:szCs w:val="24"/>
          <w:rtl w:val="0"/>
        </w:rPr>
        <w:t xml:space="preserve">Working Capital Management Analysis</w:t>
      </w:r>
    </w:p>
    <w:p w:rsidR="00000000" w:rsidDel="00000000" w:rsidP="00000000" w:rsidRDefault="00000000" w:rsidRPr="00000000" w14:paraId="00000068">
      <w:pPr>
        <w:pStyle w:val="Heading2"/>
        <w:spacing w:line="360" w:lineRule="auto"/>
        <w:jc w:val="both"/>
        <w:rPr>
          <w:rFonts w:ascii="Arial" w:cs="Arial" w:eastAsia="Arial" w:hAnsi="Arial"/>
          <w:b w:val="1"/>
          <w:bCs w:val="1"/>
          <w:color w:val="000000"/>
          <w:sz w:val="24"/>
          <w:szCs w:val="24"/>
        </w:rPr>
      </w:pPr>
      <w:bookmarkStart w:colFirst="0" w:colLast="0" w:name="_spdssz3kl8cg" w:id="12"/>
      <w:bookmarkEnd w:id="12"/>
      <w:r w:rsidDel="00000000" w:rsidR="00000000" w:rsidRPr="00000000">
        <w:rPr>
          <w:rFonts w:ascii="Arial" w:cs="Arial" w:eastAsia="Arial" w:hAnsi="Arial"/>
          <w:b w:val="1"/>
          <w:bCs w:val="1"/>
          <w:color w:val="000000"/>
          <w:sz w:val="24"/>
          <w:szCs w:val="24"/>
          <w:rtl w:val="0"/>
        </w:rPr>
        <w:t xml:space="preserve">Assess the cash operating cycle</w:t>
      </w:r>
    </w:p>
    <w:p w:rsidR="00000000" w:rsidDel="00000000" w:rsidP="00000000" w:rsidRDefault="00000000" w:rsidRPr="00000000" w14:paraId="0000006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cash operating cycle of General Electronics decreased in 2020-24, reducing the liquidity and efficiency. Receivable days increased to 106 instead of 77, inventory days increased to 103 instead of 100, and payables were 65-70 (Moore et al., 2024). The corporation will be postponing the sale of raw materials and payments to customers but not suppliers. This reduces the operating capital due to daily operation since inventory and receivables hold more money in the cash conversion cycle. Poor credit score, low stock turnover and poor management of working capital make liquidity low and dependency on external funding high in terms of operational stability.</w:t>
      </w:r>
    </w:p>
    <w:p w:rsidR="00000000" w:rsidDel="00000000" w:rsidP="00000000" w:rsidRDefault="00000000" w:rsidRPr="00000000" w14:paraId="0000006A">
      <w:pPr>
        <w:pStyle w:val="Heading2"/>
        <w:spacing w:line="360" w:lineRule="auto"/>
        <w:jc w:val="both"/>
        <w:rPr>
          <w:rFonts w:ascii="Arial" w:cs="Arial" w:eastAsia="Arial" w:hAnsi="Arial"/>
          <w:b w:val="1"/>
          <w:bCs w:val="1"/>
          <w:color w:val="000000"/>
          <w:sz w:val="24"/>
          <w:szCs w:val="24"/>
        </w:rPr>
      </w:pPr>
      <w:bookmarkStart w:colFirst="0" w:colLast="0" w:name="_agnjhmqdl6vi" w:id="13"/>
      <w:bookmarkEnd w:id="13"/>
      <w:r w:rsidDel="00000000" w:rsidR="00000000" w:rsidRPr="00000000">
        <w:rPr>
          <w:rFonts w:ascii="Arial" w:cs="Arial" w:eastAsia="Arial" w:hAnsi="Arial"/>
          <w:b w:val="1"/>
          <w:bCs w:val="1"/>
          <w:color w:val="000000"/>
          <w:sz w:val="24"/>
          <w:szCs w:val="24"/>
          <w:rtl w:val="0"/>
        </w:rPr>
        <w:t xml:space="preserve">Recommend strategies to improve liquidity through working capital reforms</w:t>
      </w:r>
    </w:p>
    <w:p w:rsidR="00000000" w:rsidDel="00000000" w:rsidP="00000000" w:rsidRDefault="00000000" w:rsidRPr="00000000" w14:paraId="0000006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Receivables Management Reform</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Liquidity of General Electronics can be improved by managing receivables in a better way. The receivable days increased to 106 days within five years, which means that the company collects them slowly and has a high credit risk (Atamaya, 2025). It requires stricter credit evaluations prior to the issuance of terms, credit limitations based on customer risk, as well as on debtor ageing timetable check to enhance credit management. Cash inflow predictability would be enhanced by having a special credit management team that would oversee big accounts and go after the late payments fast. Reduction in debtor days enhances the liquidity of operations and the external funding.</w:t>
      </w:r>
    </w:p>
    <w:p w:rsidR="00000000" w:rsidDel="00000000" w:rsidP="00000000" w:rsidRDefault="00000000" w:rsidRPr="00000000" w14:paraId="0000006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Inventory and Procurement Efficiency</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Higher inventory turnover will improve liquidity. The mean inventory turnover exceeds 100 days, which shows that the holding of stocks is very high and the circulation of products is insufficient. General Electronics requires lean inventory, demand forecast, and supply chain analytics. JIT and EOQ models only store the necessary resulting in a reduction in the risk of obsolescence and the cost of storage. There is the possibility of digital supplier integration that enables to track inventory and replenish in real-time. To increase turnover, the corporation should concentrate on high-moving, fast-moving products that are at a high margin. A reduction in inventory days would increase short-term and strategic investment cash flows by 10 to 15 percent (Raza et al., 2024). Inventory control generates both cash flow of slow assets and customer service.</w:t>
      </w:r>
    </w:p>
    <w:p w:rsidR="00000000" w:rsidDel="00000000" w:rsidP="00000000" w:rsidRDefault="00000000" w:rsidRPr="00000000" w14:paraId="0000006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Payables and Cash Flow Optimisation</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Higher inventory turnover will improve liquidity. The mean inventory turnover exceeds 100 days, which shows that the holding of stocks is very high and the circulation of products is insufficient. General Electronics requires lean inventory, demand forecast, and supply chain analytics. JIT and EOQ models only store the necessary resulting in a reduction in the risk of obsolescence and the cost of storage. There is the possibility of digital supplier integration that enables to track inventory and replenish in real-time. To increase turnover, the corporation should concentrate on high-moving, fast-moving products that are at a high margin. A reduction in inventory days would increase short-term and strategic investment cash flows by 10 to 15 percent (Raza et al., 2024). Inventory control generates both cash flow of slow assets and customer service.</w:t>
      </w:r>
    </w:p>
    <w:p w:rsidR="00000000" w:rsidDel="00000000" w:rsidP="00000000" w:rsidRDefault="00000000" w:rsidRPr="00000000" w14:paraId="00000071">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72">
      <w:pPr>
        <w:pStyle w:val="Heading2"/>
        <w:spacing w:line="360" w:lineRule="auto"/>
        <w:jc w:val="both"/>
        <w:rPr>
          <w:rFonts w:ascii="Arial" w:cs="Arial" w:eastAsia="Arial" w:hAnsi="Arial"/>
          <w:b w:val="1"/>
          <w:bCs w:val="1"/>
          <w:color w:val="000000"/>
          <w:sz w:val="24"/>
          <w:szCs w:val="24"/>
        </w:rPr>
      </w:pPr>
      <w:bookmarkStart w:colFirst="0" w:colLast="0" w:name="_s0qdnor7quh" w:id="14"/>
      <w:bookmarkEnd w:id="14"/>
      <w:r w:rsidDel="00000000" w:rsidR="00000000" w:rsidRPr="00000000">
        <w:rPr>
          <w:rFonts w:ascii="Arial" w:cs="Arial" w:eastAsia="Arial" w:hAnsi="Arial"/>
          <w:b w:val="1"/>
          <w:bCs w:val="1"/>
          <w:color w:val="000000"/>
          <w:sz w:val="24"/>
          <w:szCs w:val="24"/>
          <w:rtl w:val="0"/>
        </w:rPr>
        <w:t xml:space="preserve">Compare short-term vs long-term financing options</w:t>
      </w:r>
    </w:p>
    <w:tbl>
      <w:tblPr>
        <w:tblStyle w:val="Table2"/>
        <w:tblW w:w="11624.0" w:type="dxa"/>
        <w:jc w:val="left"/>
        <w:tblInd w:w="-1281.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985"/>
        <w:gridCol w:w="4678"/>
        <w:gridCol w:w="4961"/>
        <w:tblGridChange w:id="0">
          <w:tblGrid>
            <w:gridCol w:w="1985"/>
            <w:gridCol w:w="4678"/>
            <w:gridCol w:w="4961"/>
          </w:tblGrid>
        </w:tblGridChange>
      </w:tblGrid>
      <w:tr>
        <w:trPr>
          <w:cantSplit w:val="0"/>
          <w:tblHeader w:val="0"/>
        </w:trPr>
        <w:tc>
          <w:tcPr/>
          <w:p w:rsidR="00000000" w:rsidDel="00000000" w:rsidP="00000000" w:rsidRDefault="00000000" w:rsidRPr="00000000" w14:paraId="0000007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Criteria</w:t>
            </w:r>
          </w:p>
        </w:tc>
        <w:tc>
          <w:tcPr/>
          <w:p w:rsidR="00000000" w:rsidDel="00000000" w:rsidP="00000000" w:rsidRDefault="00000000" w:rsidRPr="00000000" w14:paraId="0000007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Short-Term Financing</w:t>
            </w:r>
          </w:p>
        </w:tc>
        <w:tc>
          <w:tcPr/>
          <w:p w:rsidR="00000000" w:rsidDel="00000000" w:rsidP="00000000" w:rsidRDefault="00000000" w:rsidRPr="00000000" w14:paraId="0000007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Long-Term Financing</w:t>
            </w:r>
          </w:p>
        </w:tc>
      </w:tr>
      <w:tr>
        <w:trPr>
          <w:cantSplit w:val="0"/>
          <w:tblHeader w:val="0"/>
        </w:trPr>
        <w:tc>
          <w:tcPr/>
          <w:p w:rsidR="00000000" w:rsidDel="00000000" w:rsidP="00000000" w:rsidRDefault="00000000" w:rsidRPr="00000000" w14:paraId="00000076">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Definition and Nature</w:t>
            </w:r>
            <w:r w:rsidDel="00000000" w:rsidR="00000000" w:rsidRPr="00000000">
              <w:rPr>
                <w:rtl w:val="0"/>
              </w:rPr>
            </w:r>
          </w:p>
        </w:tc>
        <w:tc>
          <w:tcPr/>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Short-term financing is considered to be those sources of finance whose repayment term is below one year which are normally utilized to meet working capital and liquidity demands. It consists of bank overdrafts, trade credit, short term loans, and commercial papers (Kaino et al., 2025).</w:t>
            </w:r>
          </w:p>
        </w:tc>
        <w:tc>
          <w:tcPr/>
          <w:p w:rsidR="00000000" w:rsidDel="00000000" w:rsidP="00000000" w:rsidRDefault="00000000" w:rsidRPr="00000000" w14:paraId="0000007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Long-term financing refers to capital raised with more than one year duration with the main purpose being to fund capital expenditure, expansion, and restructuring of debt. Some of the common sources are term loans, bonds, equity financing and lease obligations.</w:t>
            </w:r>
          </w:p>
        </w:tc>
      </w:tr>
      <w:tr>
        <w:trPr>
          <w:cantSplit w:val="0"/>
          <w:tblHeader w:val="0"/>
        </w:trPr>
        <w:tc>
          <w:tcPr/>
          <w:p w:rsidR="00000000" w:rsidDel="00000000" w:rsidP="00000000" w:rsidRDefault="00000000" w:rsidRPr="00000000" w14:paraId="00000079">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Purpose and Suitability</w:t>
            </w:r>
            <w:r w:rsidDel="00000000" w:rsidR="00000000" w:rsidRPr="00000000">
              <w:rPr>
                <w:rtl w:val="0"/>
              </w:rPr>
            </w:r>
          </w:p>
        </w:tc>
        <w:tc>
          <w:tcPr/>
          <w:p w:rsidR="00000000" w:rsidDel="00000000" w:rsidP="00000000" w:rsidRDefault="00000000" w:rsidRPr="00000000" w14:paraId="0000007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Perfect in funding day-to-day business, covering short-time cash requirements, and covering the working capital cycle. It is especially applicable in the even-out liquidity swings during the slack periods of the collection of receivables or high levels of inventory holding.</w:t>
            </w:r>
          </w:p>
        </w:tc>
        <w:tc>
          <w:tcPr/>
          <w:p w:rsidR="00000000" w:rsidDel="00000000" w:rsidP="00000000" w:rsidRDefault="00000000" w:rsidRPr="00000000" w14:paraId="0000007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Ideally suited to strategic investments, including the acquisition of fixed assets, research and development, and long term investments which pay off over several years. It helps in business development and structural stability.</w:t>
            </w:r>
          </w:p>
        </w:tc>
      </w:tr>
      <w:tr>
        <w:trPr>
          <w:cantSplit w:val="0"/>
          <w:tblHeader w:val="0"/>
        </w:trPr>
        <w:tc>
          <w:tcPr/>
          <w:p w:rsidR="00000000" w:rsidDel="00000000" w:rsidP="00000000" w:rsidRDefault="00000000" w:rsidRPr="00000000" w14:paraId="0000007C">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Cost and Interest Implications</w:t>
            </w:r>
            <w:r w:rsidDel="00000000" w:rsidR="00000000" w:rsidRPr="00000000">
              <w:rPr>
                <w:rtl w:val="0"/>
              </w:rPr>
            </w:r>
          </w:p>
        </w:tc>
        <w:tc>
          <w:tcPr/>
          <w:p w:rsidR="00000000" w:rsidDel="00000000" w:rsidP="00000000" w:rsidRDefault="00000000" w:rsidRPr="00000000" w14:paraId="0000007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Usually has lower interests but it is frequently renewed and it has high fluctuations in the market. Extensive short term borrowing may result in refinancing risk and cash flow strain in case the revenues go down.</w:t>
            </w:r>
          </w:p>
        </w:tc>
        <w:tc>
          <w:tcPr/>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Long-term financing is usually at higher interest rates or cost of issuing but offers stability in repayment by having set schedules. The cost of equity is quite expensive but does not require any repayment obligations, increasing the flexibility of liquidity (Dai and Fang, 2024).</w:t>
            </w:r>
          </w:p>
        </w:tc>
      </w:tr>
      <w:tr>
        <w:trPr>
          <w:cantSplit w:val="0"/>
          <w:tblHeader w:val="0"/>
        </w:trPr>
        <w:tc>
          <w:tcPr/>
          <w:p w:rsidR="00000000" w:rsidDel="00000000" w:rsidP="00000000" w:rsidRDefault="00000000" w:rsidRPr="00000000" w14:paraId="0000007F">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Risk and Financial Stability</w:t>
            </w:r>
            <w:r w:rsidDel="00000000" w:rsidR="00000000" w:rsidRPr="00000000">
              <w:rPr>
                <w:rtl w:val="0"/>
              </w:rPr>
            </w:r>
          </w:p>
        </w:tc>
        <w:tc>
          <w:tcPr/>
          <w:p w:rsidR="00000000" w:rsidDel="00000000" w:rsidP="00000000" w:rsidRDefault="00000000" w:rsidRPr="00000000" w14:paraId="0000008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Raises liquidity risk when the short-term debt surpasses the capacity of the company to raise quick cash inflows. The regular refinancing may put a strain on the credit lines, particularly where profitability is dwindling.</w:t>
            </w:r>
          </w:p>
        </w:tc>
        <w:tc>
          <w:tcPr/>
          <w:p w:rsidR="00000000" w:rsidDel="00000000" w:rsidP="00000000" w:rsidRDefault="00000000" w:rsidRPr="00000000" w14:paraId="0000008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Debt financing ensures financial stability and less liquidity risk at the expense of leverage and long term interest expense. High long term debt can also result in high gearing which influences the credit worthiness and investor confidence.</w:t>
            </w:r>
          </w:p>
        </w:tc>
      </w:tr>
      <w:tr>
        <w:trPr>
          <w:cantSplit w:val="0"/>
          <w:tblHeader w:val="0"/>
        </w:trPr>
        <w:tc>
          <w:tcPr/>
          <w:p w:rsidR="00000000" w:rsidDel="00000000" w:rsidP="00000000" w:rsidRDefault="00000000" w:rsidRPr="00000000" w14:paraId="00000082">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Impact on Liquidity</w:t>
            </w:r>
            <w:r w:rsidDel="00000000" w:rsidR="00000000" w:rsidRPr="00000000">
              <w:rPr>
                <w:rtl w:val="0"/>
              </w:rPr>
            </w:r>
          </w:p>
        </w:tc>
        <w:tc>
          <w:tcPr/>
          <w:p w:rsidR="00000000" w:rsidDel="00000000" w:rsidP="00000000" w:rsidRDefault="00000000" w:rsidRPr="00000000" w14:paraId="0000008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Enhances liquidity in the short term by providing immediate cash; however, it can create repayment pressure within the same accounting period.</w:t>
            </w:r>
          </w:p>
        </w:tc>
        <w:tc>
          <w:tcPr/>
          <w:p w:rsidR="00000000" w:rsidDel="00000000" w:rsidP="00000000" w:rsidRDefault="00000000" w:rsidRPr="00000000" w14:paraId="0000008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Supports liquidity indirectly by reducing the need for frequent refinancing, but large fixed repayments can constrain future cash flow flexibility.</w:t>
            </w:r>
          </w:p>
        </w:tc>
      </w:tr>
      <w:tr>
        <w:trPr>
          <w:cantSplit w:val="0"/>
          <w:tblHeader w:val="0"/>
        </w:trPr>
        <w:tc>
          <w:tcPr/>
          <w:p w:rsidR="00000000" w:rsidDel="00000000" w:rsidP="00000000" w:rsidRDefault="00000000" w:rsidRPr="00000000" w14:paraId="00000085">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Control and Ownership</w:t>
            </w:r>
            <w:r w:rsidDel="00000000" w:rsidR="00000000" w:rsidRPr="00000000">
              <w:rPr>
                <w:rtl w:val="0"/>
              </w:rPr>
            </w:r>
          </w:p>
        </w:tc>
        <w:tc>
          <w:tcPr/>
          <w:p w:rsidR="00000000" w:rsidDel="00000000" w:rsidP="00000000" w:rsidRDefault="00000000" w:rsidRPr="00000000" w14:paraId="0000008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Usually debt-based and does not dilute ownership. However, covenants attached to short-term loans can restrict managerial freedom.</w:t>
            </w:r>
          </w:p>
        </w:tc>
        <w:tc>
          <w:tcPr/>
          <w:p w:rsidR="00000000" w:rsidDel="00000000" w:rsidP="00000000" w:rsidRDefault="00000000" w:rsidRPr="00000000" w14:paraId="0000008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Long-term equity financing can dilute ownership, while debt financing adds long-term obligations. A balanced mix of both preserves control and strengthens capital structure.</w:t>
            </w:r>
          </w:p>
        </w:tc>
      </w:tr>
      <w:tr>
        <w:trPr>
          <w:cantSplit w:val="0"/>
          <w:tblHeader w:val="0"/>
        </w:trPr>
        <w:tc>
          <w:tcPr/>
          <w:p w:rsidR="00000000" w:rsidDel="00000000" w:rsidP="00000000" w:rsidRDefault="00000000" w:rsidRPr="00000000" w14:paraId="00000088">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Examples Applicable to General Electronics</w:t>
            </w:r>
            <w:r w:rsidDel="00000000" w:rsidR="00000000" w:rsidRPr="00000000">
              <w:rPr>
                <w:rtl w:val="0"/>
              </w:rPr>
            </w:r>
          </w:p>
        </w:tc>
        <w:tc>
          <w:tcPr/>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Bank overdrafts, trade credit, invoice discounting, or short-term bank loans to manage inventory and receivable delays (Holthausen and Zmijewski, 2025).</w:t>
            </w:r>
          </w:p>
        </w:tc>
        <w:tc>
          <w:tcPr/>
          <w:p w:rsidR="00000000" w:rsidDel="00000000" w:rsidP="00000000" w:rsidRDefault="00000000" w:rsidRPr="00000000" w14:paraId="0000008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Issuance of corporate bonds, equity infusion, asset-based loans, or strategic investor partnerships to restructure the balance sheet and fund long-term recovery initiatives.</w:t>
            </w:r>
          </w:p>
        </w:tc>
      </w:tr>
      <w:tr>
        <w:trPr>
          <w:cantSplit w:val="0"/>
          <w:tblHeader w:val="0"/>
        </w:trPr>
        <w:tc>
          <w:tcPr/>
          <w:p w:rsidR="00000000" w:rsidDel="00000000" w:rsidP="00000000" w:rsidRDefault="00000000" w:rsidRPr="00000000" w14:paraId="0000008B">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Overall Assessment for General Electronics</w:t>
            </w:r>
            <w:r w:rsidDel="00000000" w:rsidR="00000000" w:rsidRPr="00000000">
              <w:rPr>
                <w:rtl w:val="0"/>
              </w:rPr>
            </w:r>
          </w:p>
        </w:tc>
        <w:tc>
          <w:tcPr/>
          <w:p w:rsidR="00000000" w:rsidDel="00000000" w:rsidP="00000000" w:rsidRDefault="00000000" w:rsidRPr="00000000" w14:paraId="0000008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Short-term funding is fast relief and is risky to a loss-making company such as General Electronics that is in negative cash flow and has poor repayment ability. It can only be utilized carefully in the management of working capital.</w:t>
            </w:r>
          </w:p>
        </w:tc>
        <w:tc>
          <w:tcPr/>
          <w:p w:rsidR="00000000" w:rsidDel="00000000" w:rsidP="00000000" w:rsidRDefault="00000000" w:rsidRPr="00000000" w14:paraId="0000008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short-term financing would be less suitable in the given case of the firm since it would only be able to finance the financial restructuring, the renewal of assets, and the replacement of debt, thus stabilizing the operations and enhancing the solvency.</w:t>
            </w:r>
          </w:p>
        </w:tc>
      </w:tr>
    </w:tbl>
    <w:p w:rsidR="00000000" w:rsidDel="00000000" w:rsidP="00000000" w:rsidRDefault="00000000" w:rsidRPr="00000000" w14:paraId="0000008E">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8F">
      <w:pPr>
        <w:pStyle w:val="Heading1"/>
        <w:spacing w:line="360" w:lineRule="auto"/>
        <w:jc w:val="both"/>
        <w:rPr>
          <w:rFonts w:ascii="Arial" w:cs="Arial" w:eastAsia="Arial" w:hAnsi="Arial"/>
          <w:b w:val="1"/>
          <w:bCs w:val="1"/>
          <w:color w:val="000000"/>
          <w:sz w:val="24"/>
          <w:szCs w:val="24"/>
        </w:rPr>
      </w:pPr>
      <w:bookmarkStart w:colFirst="0" w:colLast="0" w:name="_196da8j6y9qs" w:id="15"/>
      <w:bookmarkEnd w:id="15"/>
      <w:r w:rsidDel="00000000" w:rsidR="00000000" w:rsidRPr="00000000">
        <w:rPr>
          <w:rFonts w:ascii="Arial" w:cs="Arial" w:eastAsia="Arial" w:hAnsi="Arial"/>
          <w:b w:val="1"/>
          <w:bCs w:val="1"/>
          <w:color w:val="000000"/>
          <w:sz w:val="24"/>
          <w:szCs w:val="24"/>
          <w:rtl w:val="0"/>
        </w:rPr>
        <w:t xml:space="preserve">Strategic Financial Restructuring Plan </w:t>
      </w:r>
    </w:p>
    <w:p w:rsidR="00000000" w:rsidDel="00000000" w:rsidP="00000000" w:rsidRDefault="00000000" w:rsidRPr="00000000" w14:paraId="00000090">
      <w:pPr>
        <w:pStyle w:val="Heading2"/>
        <w:spacing w:line="360" w:lineRule="auto"/>
        <w:jc w:val="both"/>
        <w:rPr>
          <w:rFonts w:ascii="Arial" w:cs="Arial" w:eastAsia="Arial" w:hAnsi="Arial"/>
          <w:b w:val="1"/>
          <w:bCs w:val="1"/>
          <w:color w:val="000000"/>
          <w:sz w:val="24"/>
          <w:szCs w:val="24"/>
        </w:rPr>
      </w:pPr>
      <w:bookmarkStart w:colFirst="0" w:colLast="0" w:name="_pe8s9xfles64" w:id="16"/>
      <w:bookmarkEnd w:id="16"/>
      <w:r w:rsidDel="00000000" w:rsidR="00000000" w:rsidRPr="00000000">
        <w:rPr>
          <w:rFonts w:ascii="Arial" w:cs="Arial" w:eastAsia="Arial" w:hAnsi="Arial"/>
          <w:b w:val="1"/>
          <w:bCs w:val="1"/>
          <w:color w:val="000000"/>
          <w:sz w:val="24"/>
          <w:szCs w:val="24"/>
          <w:rtl w:val="0"/>
        </w:rPr>
        <w:t xml:space="preserve">Recommend financial restructuring options </w:t>
      </w:r>
    </w:p>
    <w:p w:rsidR="00000000" w:rsidDel="00000000" w:rsidP="00000000" w:rsidRDefault="00000000" w:rsidRPr="00000000" w14:paraId="00000091">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Divestiture and Asset Rationalisation</w:t>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General Electronics is disposing of non-core or poor performing business units to release resources and stabilise the liquidity. The assets of the company were reduced by inefficient use of assets by cutting the asset of PS510 billion in 2020 to PS323 billion in 2024. Dispose of non-strategic divisions or product lines. It is a strategy that will allow the company to sell unnecessary resources, settle debts, and invest in consumer technology and environmentally friendly electronics (Kottala and Sahu, 2024). The excess property, idle facilities, and old equipment are possible to sell to reduce the maintenance costs and enhance the balance sheet. Asset sales are expected to decrease short term borrowing, augment working capital and partially reclaim retained earnings. </w:t>
      </w:r>
    </w:p>
    <w:p w:rsidR="00000000" w:rsidDel="00000000" w:rsidP="00000000" w:rsidRDefault="00000000" w:rsidRPr="00000000" w14:paraId="00000093">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Merger or Strategic Alliance</w:t>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Mergers and strategic alliances may boost finances and operations. Given the firm's declining profitability and rising debt, partnering or merging with a financially stronger company could give economies of scale, technical integration, and worldwide market access for recovery. Competitive horizontal mergers increase market share and reduce R&amp;D, production, and distribution costs. Vertical alliances with suppliers or distributors could stabilise the supply chain and reduce costs, increasing revenues. General Electronics would benefit most from a strategic merger or joint venture with a tech company that can provide resources and innovation (COTTCO, 2024). </w:t>
      </w:r>
    </w:p>
    <w:p w:rsidR="00000000" w:rsidDel="00000000" w:rsidP="00000000" w:rsidRDefault="00000000" w:rsidRPr="00000000" w14:paraId="0000009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Equity Injection and Debt Restructuring</w:t>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Rights offers, privatization placements or strategic investors are needed in terms of investor confidence and balance sheet resilience. The retention earnings have declined and the debt-to-equity is 1.11 following recurring losses. Equity capital would lower leverage, enhance solvency and finance growth. Entry of new investors such as venture funds, institutional investors and sovereign wealth partners enhance confidence and share prices. This should be accompanied by the reduction of rates, the lengthening of the maturities, and the renewal of the loan conditions (Vemic, 2025). Because of the negative interest coverage ratio in 2023 and 2024, the extension of the repayment schedules and the transformation of the short-term loans into the long-term ones would reduce the cash flow pressure. Part of the creditor liabilities may be transformed into shareholder equity and portion of fixed commitments mitigated through partial debt-to-equity conversion. </w:t>
      </w:r>
    </w:p>
    <w:p w:rsidR="00000000" w:rsidDel="00000000" w:rsidP="00000000" w:rsidRDefault="00000000" w:rsidRPr="00000000" w14:paraId="00000097">
      <w:pPr>
        <w:pStyle w:val="Heading2"/>
        <w:spacing w:line="360" w:lineRule="auto"/>
        <w:jc w:val="both"/>
        <w:rPr>
          <w:rFonts w:ascii="Arial" w:cs="Arial" w:eastAsia="Arial" w:hAnsi="Arial"/>
          <w:b w:val="1"/>
          <w:bCs w:val="1"/>
          <w:color w:val="000000"/>
          <w:sz w:val="24"/>
          <w:szCs w:val="24"/>
        </w:rPr>
      </w:pPr>
      <w:bookmarkStart w:colFirst="0" w:colLast="0" w:name="_an0jc4ofm1yn" w:id="17"/>
      <w:bookmarkEnd w:id="17"/>
      <w:r w:rsidDel="00000000" w:rsidR="00000000" w:rsidRPr="00000000">
        <w:rPr>
          <w:rFonts w:ascii="Arial" w:cs="Arial" w:eastAsia="Arial" w:hAnsi="Arial"/>
          <w:b w:val="1"/>
          <w:bCs w:val="1"/>
          <w:color w:val="000000"/>
          <w:sz w:val="24"/>
          <w:szCs w:val="24"/>
          <w:rtl w:val="0"/>
        </w:rPr>
        <w:t xml:space="preserve">Evaluate impact on shareholder value, debt structure, and operational flexibility</w:t>
      </w:r>
    </w:p>
    <w:p w:rsidR="00000000" w:rsidDel="00000000" w:rsidP="00000000" w:rsidRDefault="00000000" w:rsidRPr="00000000" w14:paraId="0000009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Impact on Shareholder Value</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Restructuring of the finances may have both long-term and immediate impact on shareholder value. This may reduce EPS and investor sentiment due to the existence of divided ownership from the injection of equity and debt-to- equity conversion (Al Wahid et al., 2024). The trade-off needs to be between dilution and financial stability and solvency. The decreasing leverage, reinforcing the equity base and increasing profitability by selling of assets and cost rationalisation will ultimately boost intrinsic value. With time, these strategies would increase the return on equity, confidence of the investor, and institutional interest. </w:t>
      </w:r>
    </w:p>
    <w:p w:rsidR="00000000" w:rsidDel="00000000" w:rsidP="00000000" w:rsidRDefault="00000000" w:rsidRPr="00000000" w14:paraId="0000009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Impact on Debt Structure</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negative interest coverage debt and high leverage would reduce once the firm has been restructured. The conversion of short-term borrowings into long-term facilities and partial repayment of the debt by divestiture would cause an immediate reduction of pressure on repayment and enhancement of liquidity. The company is able to invest in business and investment activities by regulating interest rates and maturity of loans to decrease the costs of yearly financing. In a debt-to-equity swap, lenders exchanging loans with shares are able to reduce gearing dramatically but a little change control (Belhani, 2025). It would result in a leaner, more sustainable capital structure of lesser financial risk, increased credit-worthiness and improved financing terms. </w:t>
      </w:r>
    </w:p>
    <w:p w:rsidR="00000000" w:rsidDel="00000000" w:rsidP="00000000" w:rsidRDefault="00000000" w:rsidRPr="00000000" w14:paraId="0000009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Impact on Operational Flexibility</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Restructuring will release the organisation of the financial limitations and enable active allocation of resources making operations more flexible. General Electronics has restricted financial flexibility due to high interest payment and low asset capital. It allows the management to invest in the innovation, automation of processes, and developing the market, selling non-core assets, and decreasing debt (Koller et al., 2025). This will reduce leverage so that the firm can respond swiftly to market opportunities, form alliances as well as finance R&amp;D without excessive use of debt. Asset rationalisation enhances decision making and productivity. Restructuring of finances will correct the problem of capital imbalance within the company and provide it with a strategic freedom to compete in the rapidly expanding global electronics market.</w:t>
      </w:r>
    </w:p>
    <w:p w:rsidR="00000000" w:rsidDel="00000000" w:rsidP="00000000" w:rsidRDefault="00000000" w:rsidRPr="00000000" w14:paraId="0000009E">
      <w:pPr>
        <w:pStyle w:val="Heading2"/>
        <w:spacing w:line="360" w:lineRule="auto"/>
        <w:jc w:val="both"/>
        <w:rPr>
          <w:rFonts w:ascii="Arial" w:cs="Arial" w:eastAsia="Arial" w:hAnsi="Arial"/>
          <w:b w:val="1"/>
          <w:bCs w:val="1"/>
          <w:color w:val="000000"/>
          <w:sz w:val="24"/>
          <w:szCs w:val="24"/>
        </w:rPr>
      </w:pPr>
      <w:bookmarkStart w:colFirst="0" w:colLast="0" w:name="_flvxlqh53a6k" w:id="18"/>
      <w:bookmarkEnd w:id="18"/>
      <w:r w:rsidDel="00000000" w:rsidR="00000000" w:rsidRPr="00000000">
        <w:rPr>
          <w:rFonts w:ascii="Arial" w:cs="Arial" w:eastAsia="Arial" w:hAnsi="Arial"/>
          <w:b w:val="1"/>
          <w:bCs w:val="1"/>
          <w:color w:val="000000"/>
          <w:sz w:val="24"/>
          <w:szCs w:val="24"/>
          <w:rtl w:val="0"/>
        </w:rPr>
        <w:t xml:space="preserve">Include international and ethical considerations </w:t>
      </w:r>
    </w:p>
    <w:p w:rsidR="00000000" w:rsidDel="00000000" w:rsidP="00000000" w:rsidRDefault="00000000" w:rsidRPr="00000000" w14:paraId="0000009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Taxation Considerations</w:t>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Taxation also affects the financial structuring of General Electronics because of its worldwide activities as well as geographic exposure. The company should evaluate the implication of tax on divestiture, merger and equity injection to meet tax requirements as well as maximise after tax earnings. Unless designed appropriately, capital gains taxes in certain jurisdictions may reduce the proceeds of the sale of assets or divestiture (Zhelev and Kostova, 2024). The company ought to relocate the assets to the subsidiaries with lower taxes or exploit the tax-loss carry forward to minimize capital gains. The transfer pricing should also be evaluated in case of a global restructuring to prevent the OECD scrutiny and avoidance of the two tax. Mergers and joint ventures should comply with the local tax treaties and withholding tax in order to evade fines. The selection of debt-equity may be influenced by rates of corporate tax in the locations of operations. The restructuring plan of General Electronics will involve tax planning as a way of maintaining cash flow, minimizing tax liability and staying competitive without violating the international tax regulations (Khusainova et al., 2025).</w:t>
      </w:r>
    </w:p>
    <w:p w:rsidR="00000000" w:rsidDel="00000000" w:rsidP="00000000" w:rsidRDefault="00000000" w:rsidRPr="00000000" w14:paraId="000000A1">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Currency Risk Management</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global nature and the geographic exposure of General Electronics make it susceptible to taxation in terms of its financial structure. The company should explore the effects of divestiture, merger and equity injection tax to maximise after tax earnings. When not managed properly, in certain countries the capital gains taxes may reduce the proceeds of the asset sales or divestitures. To reduce the capital gains, the corporation needs to utilize tax-loss carry forwards or relocate assets to the lower-tax subsidiaries. When the global reorganisation is involved, transfer pricing needs to be taken into account to prevent the focus of OECD and double taxes (Srivastava, 2025). To avoid fines, mergers and joint ventures should be in accordance with the local tax treaties and withholding tax regulations. Debt-equity selection may be influenced by the rate of operating location corporate taxes. The restructuring strategy to the General Electronics involves tax planning to enable the sustenance of cash flow, minimize tax exposure, and remain competitive and obey international tax laws.</w:t>
      </w:r>
    </w:p>
    <w:p w:rsidR="00000000" w:rsidDel="00000000" w:rsidP="00000000" w:rsidRDefault="00000000" w:rsidRPr="00000000" w14:paraId="000000A3">
      <w:pPr>
        <w:rPr>
          <w:rFonts w:ascii="Arial" w:cs="Arial" w:eastAsia="Arial" w:hAnsi="Arial"/>
          <w:b w:val="1"/>
          <w:bCs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Inflation and Macroeconomic Stability</w:t>
      </w:r>
    </w:p>
    <w:p w:rsidR="00000000" w:rsidDel="00000000" w:rsidP="00000000" w:rsidRDefault="00000000" w:rsidRPr="00000000" w14:paraId="000000A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restructuring of finance and operations, General Electronics will be forced to take into account the inflation factor. The constant inflation in some of the markets that the company is operating in is likely to distort cost structure, increase working capital and reduce purchasing power. The increase in the costs of raw materials, logistics, and labour constrain profits and might necessitate uncompetitive pricing (Morin, 2024). Both the short and long term nominal interest rates increase with inflation. In order to have realistic assumptions of revenue, costs and investments, the restructuring approach used by General Electronics ought to have taken into consideration inflation-adjusted budgeting and forecasting. In order to maintain profitability and cash flow, the corporation can enter into negotiation of inflation based supplier and customer contracts. Future interest rates can be stabilised through fixed rate or inflation indexed debts. The firm will survive through the inflation because it has smaller operations and flexibility of costs. Good control of inflation protects liquidity and reorganization in the unstable markets across the globe (Mesioye and Bakare, 2024).</w:t>
      </w:r>
    </w:p>
    <w:p w:rsidR="00000000" w:rsidDel="00000000" w:rsidP="00000000" w:rsidRDefault="00000000" w:rsidRPr="00000000" w14:paraId="000000A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Corporate Social Responsibility (CSR) and Ethical Governance</w:t>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restructuring of General Electronics should be based on ethics and CSR to ensure that the stakeholders remain trustful and that the brand integrity remains intact. The company should do fair, transparent and responsible divestment, merger and staff restructuring decisions. Reputations of the company have to be protected by ensuring employee layoffs, disruption in the supply chains, and environmental consequences of selling assets or reducing operations (Prasetiyono, 2024). The global labour standards, the fair treatment of workers, and the transparent communication with the stakeholders are required to maintain the morale and prevent the loss of the popular support. Long-term value of the firm can be enhanced with the help of sustainability concepts such as carbon reduction, investing in renewable technologies, and ethical sourcing (Mehmood and De Luco, 2025).</w:t>
      </w:r>
    </w:p>
    <w:p w:rsidR="00000000" w:rsidDel="00000000" w:rsidP="00000000" w:rsidRDefault="00000000" w:rsidRPr="00000000" w14:paraId="000000A8">
      <w:pPr>
        <w:rPr>
          <w:rFonts w:ascii="Arial" w:cs="Arial" w:eastAsia="Arial" w:hAnsi="Arial"/>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A9">
      <w:pPr>
        <w:pStyle w:val="Heading1"/>
        <w:spacing w:line="360" w:lineRule="auto"/>
        <w:jc w:val="both"/>
        <w:rPr>
          <w:rFonts w:ascii="Arial" w:cs="Arial" w:eastAsia="Arial" w:hAnsi="Arial"/>
          <w:b w:val="1"/>
          <w:bCs w:val="1"/>
          <w:color w:val="000000"/>
          <w:sz w:val="24"/>
          <w:szCs w:val="24"/>
        </w:rPr>
      </w:pPr>
      <w:bookmarkStart w:colFirst="0" w:colLast="0" w:name="_erm9oziudkkg" w:id="19"/>
      <w:bookmarkEnd w:id="19"/>
      <w:r w:rsidDel="00000000" w:rsidR="00000000" w:rsidRPr="00000000">
        <w:rPr>
          <w:rFonts w:ascii="Arial" w:cs="Arial" w:eastAsia="Arial" w:hAnsi="Arial"/>
          <w:b w:val="1"/>
          <w:bCs w:val="1"/>
          <w:color w:val="000000"/>
          <w:sz w:val="24"/>
          <w:szCs w:val="24"/>
          <w:rtl w:val="0"/>
        </w:rPr>
        <w:t xml:space="preserve">Investment Appraisal and Capital Budgeting </w:t>
      </w:r>
    </w:p>
    <w:tbl>
      <w:tblPr>
        <w:tblStyle w:val="Table3"/>
        <w:tblW w:w="8128.000000000001"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030"/>
        <w:gridCol w:w="2885"/>
        <w:gridCol w:w="1176"/>
        <w:gridCol w:w="1283"/>
        <w:gridCol w:w="684"/>
        <w:gridCol w:w="1070"/>
        <w:tblGridChange w:id="0">
          <w:tblGrid>
            <w:gridCol w:w="1030"/>
            <w:gridCol w:w="2885"/>
            <w:gridCol w:w="1176"/>
            <w:gridCol w:w="1283"/>
            <w:gridCol w:w="684"/>
            <w:gridCol w:w="1070"/>
          </w:tblGrid>
        </w:tblGridChange>
      </w:tblGrid>
      <w:tr>
        <w:trPr>
          <w:cantSplit w:val="0"/>
          <w:tblHeader w:val="0"/>
        </w:trPr>
        <w:tc>
          <w:tcPr/>
          <w:p w:rsidR="00000000" w:rsidDel="00000000" w:rsidP="00000000" w:rsidRDefault="00000000" w:rsidRPr="00000000" w14:paraId="000000A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Project</w:t>
            </w:r>
          </w:p>
        </w:tc>
        <w:tc>
          <w:tcPr/>
          <w:p w:rsidR="00000000" w:rsidDel="00000000" w:rsidP="00000000" w:rsidRDefault="00000000" w:rsidRPr="00000000" w14:paraId="000000A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Payback Period (Years)</w:t>
            </w:r>
          </w:p>
        </w:tc>
        <w:tc>
          <w:tcPr/>
          <w:p w:rsidR="00000000" w:rsidDel="00000000" w:rsidP="00000000" w:rsidRDefault="00000000" w:rsidRPr="00000000" w14:paraId="000000A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ARR (%)</w:t>
            </w:r>
          </w:p>
        </w:tc>
        <w:tc>
          <w:tcPr/>
          <w:p w:rsidR="00000000" w:rsidDel="00000000" w:rsidP="00000000" w:rsidRDefault="00000000" w:rsidRPr="00000000" w14:paraId="000000A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NPV (£m)</w:t>
            </w:r>
          </w:p>
        </w:tc>
        <w:tc>
          <w:tcPr/>
          <w:p w:rsidR="00000000" w:rsidDel="00000000" w:rsidP="00000000" w:rsidRDefault="00000000" w:rsidRPr="00000000" w14:paraId="000000AE">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PI</w:t>
            </w:r>
          </w:p>
        </w:tc>
        <w:tc>
          <w:tcPr/>
          <w:p w:rsidR="00000000" w:rsidDel="00000000" w:rsidP="00000000" w:rsidRDefault="00000000" w:rsidRPr="00000000" w14:paraId="000000A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IRR (%)</w:t>
            </w:r>
          </w:p>
        </w:tc>
      </w:tr>
      <w:tr>
        <w:trPr>
          <w:cantSplit w:val="0"/>
          <w:tblHeader w:val="0"/>
        </w:trPr>
        <w:tc>
          <w:tcPr/>
          <w:p w:rsidR="00000000" w:rsidDel="00000000" w:rsidP="00000000" w:rsidRDefault="00000000" w:rsidRPr="00000000" w14:paraId="000000B0">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A</w:t>
            </w:r>
            <w:r w:rsidDel="00000000" w:rsidR="00000000" w:rsidRPr="00000000">
              <w:rPr>
                <w:rtl w:val="0"/>
              </w:rPr>
            </w:r>
          </w:p>
        </w:tc>
        <w:tc>
          <w:tcPr/>
          <w:p w:rsidR="00000000" w:rsidDel="00000000" w:rsidP="00000000" w:rsidRDefault="00000000" w:rsidRPr="00000000" w14:paraId="000000B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3.4</w:t>
            </w:r>
          </w:p>
        </w:tc>
        <w:tc>
          <w:tcPr/>
          <w:p w:rsidR="00000000" w:rsidDel="00000000" w:rsidP="00000000" w:rsidRDefault="00000000" w:rsidRPr="00000000" w14:paraId="000000B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14.0</w:t>
            </w:r>
          </w:p>
        </w:tc>
        <w:tc>
          <w:tcPr/>
          <w:p w:rsidR="00000000" w:rsidDel="00000000" w:rsidP="00000000" w:rsidRDefault="00000000" w:rsidRPr="00000000" w14:paraId="000000B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1.32</w:t>
            </w:r>
          </w:p>
        </w:tc>
        <w:tc>
          <w:tcPr/>
          <w:p w:rsidR="00000000" w:rsidDel="00000000" w:rsidP="00000000" w:rsidRDefault="00000000" w:rsidRPr="00000000" w14:paraId="000000B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1.03</w:t>
            </w:r>
          </w:p>
        </w:tc>
        <w:tc>
          <w:tcPr/>
          <w:p w:rsidR="00000000" w:rsidDel="00000000" w:rsidP="00000000" w:rsidRDefault="00000000" w:rsidRPr="00000000" w14:paraId="000000B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11.33</w:t>
            </w:r>
          </w:p>
        </w:tc>
      </w:tr>
      <w:tr>
        <w:trPr>
          <w:cantSplit w:val="0"/>
          <w:tblHeader w:val="0"/>
        </w:trPr>
        <w:tc>
          <w:tcPr/>
          <w:p w:rsidR="00000000" w:rsidDel="00000000" w:rsidP="00000000" w:rsidRDefault="00000000" w:rsidRPr="00000000" w14:paraId="000000B6">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B</w:t>
            </w:r>
            <w:r w:rsidDel="00000000" w:rsidR="00000000" w:rsidRPr="00000000">
              <w:rPr>
                <w:rtl w:val="0"/>
              </w:rPr>
            </w:r>
          </w:p>
        </w:tc>
        <w:tc>
          <w:tcPr/>
          <w:p w:rsidR="00000000" w:rsidDel="00000000" w:rsidP="00000000" w:rsidRDefault="00000000" w:rsidRPr="00000000" w14:paraId="000000B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5.0</w:t>
            </w:r>
          </w:p>
        </w:tc>
        <w:tc>
          <w:tcPr/>
          <w:p w:rsidR="00000000" w:rsidDel="00000000" w:rsidP="00000000" w:rsidRDefault="00000000" w:rsidRPr="00000000" w14:paraId="000000B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0.0</w:t>
            </w:r>
          </w:p>
        </w:tc>
        <w:tc>
          <w:tcPr/>
          <w:p w:rsidR="00000000" w:rsidDel="00000000" w:rsidP="00000000" w:rsidRDefault="00000000" w:rsidRPr="00000000" w14:paraId="000000B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-7.26</w:t>
            </w:r>
          </w:p>
        </w:tc>
        <w:tc>
          <w:tcPr/>
          <w:p w:rsidR="00000000" w:rsidDel="00000000" w:rsidP="00000000" w:rsidRDefault="00000000" w:rsidRPr="00000000" w14:paraId="000000B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0.76</w:t>
            </w:r>
          </w:p>
        </w:tc>
        <w:tc>
          <w:tcPr/>
          <w:p w:rsidR="00000000" w:rsidDel="00000000" w:rsidP="00000000" w:rsidRDefault="00000000" w:rsidRPr="00000000" w14:paraId="000000B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0.00</w:t>
            </w:r>
          </w:p>
        </w:tc>
      </w:tr>
      <w:tr>
        <w:trPr>
          <w:cantSplit w:val="0"/>
          <w:tblHeader w:val="0"/>
        </w:trPr>
        <w:tc>
          <w:tcPr/>
          <w:p w:rsidR="00000000" w:rsidDel="00000000" w:rsidP="00000000" w:rsidRDefault="00000000" w:rsidRPr="00000000" w14:paraId="000000BC">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C</w:t>
            </w:r>
            <w:r w:rsidDel="00000000" w:rsidR="00000000" w:rsidRPr="00000000">
              <w:rPr>
                <w:rtl w:val="0"/>
              </w:rPr>
            </w:r>
          </w:p>
        </w:tc>
        <w:tc>
          <w:tcPr/>
          <w:p w:rsidR="00000000" w:rsidDel="00000000" w:rsidP="00000000" w:rsidRDefault="00000000" w:rsidRPr="00000000" w14:paraId="000000B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3.6</w:t>
            </w:r>
          </w:p>
        </w:tc>
        <w:tc>
          <w:tcPr/>
          <w:p w:rsidR="00000000" w:rsidDel="00000000" w:rsidP="00000000" w:rsidRDefault="00000000" w:rsidRPr="00000000" w14:paraId="000000B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20.0</w:t>
            </w:r>
          </w:p>
        </w:tc>
        <w:tc>
          <w:tcPr/>
          <w:p w:rsidR="00000000" w:rsidDel="00000000" w:rsidP="00000000" w:rsidRDefault="00000000" w:rsidRPr="00000000" w14:paraId="000000B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4.23</w:t>
            </w:r>
          </w:p>
        </w:tc>
        <w:tc>
          <w:tcPr/>
          <w:p w:rsidR="00000000" w:rsidDel="00000000" w:rsidP="00000000" w:rsidRDefault="00000000" w:rsidRPr="00000000" w14:paraId="000000C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1.08</w:t>
            </w:r>
          </w:p>
        </w:tc>
        <w:tc>
          <w:tcPr/>
          <w:p w:rsidR="00000000" w:rsidDel="00000000" w:rsidP="00000000" w:rsidRDefault="00000000" w:rsidRPr="00000000" w14:paraId="000000C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12.72</w:t>
            </w:r>
          </w:p>
        </w:tc>
      </w:tr>
    </w:tbl>
    <w:p w:rsidR="00000000" w:rsidDel="00000000" w:rsidP="00000000" w:rsidRDefault="00000000" w:rsidRPr="00000000" w14:paraId="000000C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Project C is the best based on its value per pound invested with NPV of 4.23m, IRR of 12.72 and PI of 1.0. Project A is a profitable project with a good NPV and profits. Both values of a negative NPV and 0 IRR imply the destruction of the Project B value (Makau, 2024). </w:t>
      </w:r>
    </w:p>
    <w:p w:rsidR="00000000" w:rsidDel="00000000" w:rsidP="00000000" w:rsidRDefault="00000000" w:rsidRPr="00000000" w14:paraId="000000C3">
      <w:pPr>
        <w:pStyle w:val="Heading2"/>
        <w:spacing w:line="360" w:lineRule="auto"/>
        <w:jc w:val="both"/>
        <w:rPr>
          <w:rFonts w:ascii="Arial" w:cs="Arial" w:eastAsia="Arial" w:hAnsi="Arial"/>
          <w:b w:val="1"/>
          <w:bCs w:val="1"/>
          <w:color w:val="000000"/>
          <w:sz w:val="24"/>
          <w:szCs w:val="24"/>
        </w:rPr>
      </w:pPr>
      <w:bookmarkStart w:colFirst="0" w:colLast="0" w:name="_xeq5g1fvhzb0" w:id="20"/>
      <w:bookmarkEnd w:id="20"/>
      <w:r w:rsidDel="00000000" w:rsidR="00000000" w:rsidRPr="00000000">
        <w:rPr>
          <w:rFonts w:ascii="Arial" w:cs="Arial" w:eastAsia="Arial" w:hAnsi="Arial"/>
          <w:b w:val="1"/>
          <w:bCs w:val="1"/>
          <w:color w:val="000000"/>
          <w:sz w:val="24"/>
          <w:szCs w:val="24"/>
          <w:rtl w:val="0"/>
        </w:rPr>
        <w:t xml:space="preserve">Final investment recommendation assuming capital rationing</w:t>
      </w:r>
    </w:p>
    <w:p w:rsidR="00000000" w:rsidDel="00000000" w:rsidP="00000000" w:rsidRDefault="00000000" w:rsidRPr="00000000" w14:paraId="000000C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Evaluation of Capital Constraints and Investment Priorities</w:t>
      </w:r>
    </w:p>
    <w:p w:rsidR="00000000" w:rsidDel="00000000" w:rsidP="00000000" w:rsidRDefault="00000000" w:rsidRPr="00000000" w14:paraId="000000C5">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capital rationing of PS60 million investment ceiling requires General Electronics Ltd. to select disciplined and valuable projects. Liquidity, debt and declining profitability of the firm are in need of capital restraint. The turnaround plan is based on internal capital allocation because in 2024 liabilities become PS170 billion and debt-to-equity ratios will have reached 1.1. This budget limitation requires investments with high returns to stabilise cash flow and balance the book (Dekamini et al., 2024). Project C can be considered the best to invest in the tight financial climate, since it has a higher risk-adjusted compensation, and has a better strategic fit. Under capital limit, PS50 million start up of the project will provide a PS10 million liquidity buffer in case of an emergency or working capital buffer. The NPV (PS4.23m) and IRR (12.72) of the company are much higher than its 10% discount rate, which enhances the value of shareholders. The next years would have large cash inflows, which would increase liquidity when domestic cash reserves are minimal. Project C will be having the largest sustainable wealth potential as compared to Project A with moderate returns and Project B with a negative NPV. Project C is a project that enables financial reorganisation and recovery of the corporation (Thompson, 2024). The small rise in income and the inflows of the project in the middle and late years contribute to the rebalancing of debts and their efficiency. General Electronics focuses on this project when it comes to profitability, liquidity, long-term solvency in terms of capital rationing (Yahaya, 2025). The Project C maximises shareholder value and assists the company to manoeuvre in its companies post restructuring environment as it has cash limitations and investment aspirations.</w:t>
      </w:r>
    </w:p>
    <w:p w:rsidR="00000000" w:rsidDel="00000000" w:rsidP="00000000" w:rsidRDefault="00000000" w:rsidRPr="00000000" w14:paraId="000000C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Optimal Investment Combination and Financial Justification</w:t>
      </w:r>
    </w:p>
    <w:p w:rsidR="00000000" w:rsidDel="00000000" w:rsidP="00000000" w:rsidRDefault="00000000" w:rsidRPr="00000000" w14:paraId="000000C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 the case of PS60 million constraint, Project A (PS40m), Project B (PS30m), or Project C (PS50m) and one smaller one is the best. Since the combination would be beyond the limit (PS70m) and Project B would not be financially wise, it would be prudent to combine Project A (PS40m) and Project C (PS50m) in case they can be externally financed. Project C is the most preferable investment except in case of strict rationing. Financial inflows associated with Project C (PS25m in Year 4) will increase liquidity and help the company to internalize reinvestment in the long run (Danda, 2024). The NPV and IRR are higher. It’s payback period is 3.6 years compared to 3.4 years of project A yet its yield is worth it. The wide cash flow structure of project C allows to minimise short range variability, stabilising cash flow and reorganising the business.</w:t>
      </w:r>
    </w:p>
    <w:p w:rsidR="00000000" w:rsidDel="00000000" w:rsidP="00000000" w:rsidRDefault="00000000" w:rsidRPr="00000000" w14:paraId="000000C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Strategic and Operational Alignment of the Recommendation</w:t>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structure and timeframe of Project C will be most effective in helping General Electronics recuperate and grow in long-term prospects besides finances. High cash flows stabilise the liquidity by restructuring operations and covering the debts by Year 3. Global repositioning of the company includes innovative or popular consumer products to enhance competition in the market. Project A, profitable as it is, has less returns and shorter-term benefits, so it is less efficient in resolving the financial problems of the firm (Shekhar, 2025). </w:t>
      </w:r>
    </w:p>
    <w:p w:rsidR="00000000" w:rsidDel="00000000" w:rsidP="00000000" w:rsidRDefault="00000000" w:rsidRPr="00000000" w14:paraId="000000CA">
      <w:pPr>
        <w:pStyle w:val="Heading2"/>
        <w:spacing w:line="360" w:lineRule="auto"/>
        <w:jc w:val="both"/>
        <w:rPr>
          <w:rFonts w:ascii="Arial" w:cs="Arial" w:eastAsia="Arial" w:hAnsi="Arial"/>
          <w:b w:val="1"/>
          <w:bCs w:val="1"/>
          <w:color w:val="000000"/>
          <w:sz w:val="24"/>
          <w:szCs w:val="24"/>
        </w:rPr>
      </w:pPr>
      <w:bookmarkStart w:colFirst="0" w:colLast="0" w:name="_46lqkpnkuuf6" w:id="21"/>
      <w:bookmarkEnd w:id="21"/>
      <w:r w:rsidDel="00000000" w:rsidR="00000000" w:rsidRPr="00000000">
        <w:rPr>
          <w:rFonts w:ascii="Arial" w:cs="Arial" w:eastAsia="Arial" w:hAnsi="Arial"/>
          <w:b w:val="1"/>
          <w:bCs w:val="1"/>
          <w:color w:val="000000"/>
          <w:sz w:val="24"/>
          <w:szCs w:val="24"/>
          <w:rtl w:val="0"/>
        </w:rPr>
        <w:t xml:space="preserve">Recommendation with reference to the company’s financial performance </w:t>
      </w:r>
    </w:p>
    <w:p w:rsidR="00000000" w:rsidDel="00000000" w:rsidP="00000000" w:rsidRDefault="00000000" w:rsidRPr="00000000" w14:paraId="000000C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Justification Based on Profitability Performance</w:t>
      </w:r>
    </w:p>
    <w:p w:rsidR="00000000" w:rsidDel="00000000" w:rsidP="00000000" w:rsidRDefault="00000000" w:rsidRPr="00000000" w14:paraId="000000C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Profitability analysis of General Electronics over the last five years shows that it is financially challenged. The capital base returns decreased during the period of 2020 to 2024 when the net profit margin of the company decreased to -6.1 and -7.8 respectively, and ROCE decreased to 11.9. Losses and inability to cover finance and operating expenses with profit results in an unsustainable strategy of the company. The EPS has reduced and dividend payments have stalled since 2023 as investors lack confidence. Project C is the only investment that would make an organisation profitable in the long and medium term. Its NPV (PS4.23 million) and IRR (12.72 percentage) are higher than the cost of capital of the company (10 percent), which brings values to shareholders as well as higher returns compared to current operations (Xiaowei, 2024). Cash inflows of the project covering the revenue growth and operational scale is evidenced by the increase in PS5 million in Year 1 to PS25 million in Year 4. </w:t>
      </w:r>
    </w:p>
    <w:p w:rsidR="00000000" w:rsidDel="00000000" w:rsidP="00000000" w:rsidRDefault="00000000" w:rsidRPr="00000000" w14:paraId="000000C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Justification Based on Liquidity and Working Capital Position</w:t>
      </w:r>
    </w:p>
    <w:p w:rsidR="00000000" w:rsidDel="00000000" w:rsidP="00000000" w:rsidRDefault="00000000" w:rsidRPr="00000000" w14:paraId="000000C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decreasing liquidity levels of general electronics require improvement because of its declining cash reserves and extended working capital turnover. Although there was a slight improvement in current and quick ratios (1.53 and 1.03), the cash and cash equivalents decreased to 26.8 in 2024, compared to 57.1 billion in 2020. The cash operating cycle of the company also stretched because the inventory and receivable days grew, freezing the cash (Jaiwani and Gopalkrishnan, 2024). After going bankrupt, the firm has not been in a position to finance its daily operations and the short term demands without borrowing. Project C is a strategic solution to the liquidity-starved environment with early operating cash inflows. The liquidity turnaround plan of the company after the financial restructuring is fulfilled by the mild payback of the project (3.6 years) and the back-ended cash flow (maximum inflows during the Years 3-5). The increase in cash inflows will allow the firm to reduce the short-term credit facilities and build operating cash reserves. The positive profitability index (C positive) (1.08) indicates that each extra pound invested will enhance value, liquidity, and production of internal funds (Sheng, 2025). </w:t>
      </w:r>
    </w:p>
    <w:p w:rsidR="00000000" w:rsidDel="00000000" w:rsidP="00000000" w:rsidRDefault="00000000" w:rsidRPr="00000000" w14:paraId="000000C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Justification Based on Risk, Solvency, and Strategic Fit</w:t>
      </w:r>
    </w:p>
    <w:p w:rsidR="00000000" w:rsidDel="00000000" w:rsidP="00000000" w:rsidRDefault="00000000" w:rsidRPr="00000000" w14:paraId="000000D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debt-to-equity ratio of 1.11 and negative interest coverage ratios in the previous two years indicate that General Electronics is faced with financial trouble. The risk of default of finances is attributed to the low level of debt service earnings of the company. Foreign operations with low yield or high risk jeopardize the finances of the company. Investments should be balanced in terms of profit and risk. Project C has good return metrics and reliable cash flow, hence, payment of interests and reinvestment. Project C facilitates strategic restructuring and recovery of the firm to enhance efficiency and technology as well as global market share. The company can finance operational enhancements and debt reorganization in the absence of pressure on liquidity as the project matures and the cash flow increases (Mohamed Riyath and Indunil Dayaratne, 2025). The global consumer electronics market, which is associated with high currency volatility and supply chain costs is hedged against the predicted cash inflows to mitigate both exchange rate and inflation risks. </w:t>
      </w:r>
    </w:p>
    <w:p w:rsidR="00000000" w:rsidDel="00000000" w:rsidP="00000000" w:rsidRDefault="00000000" w:rsidRPr="00000000" w14:paraId="000000D1">
      <w:pPr>
        <w:pStyle w:val="Heading2"/>
        <w:spacing w:line="360" w:lineRule="auto"/>
        <w:jc w:val="both"/>
        <w:rPr>
          <w:rFonts w:ascii="Arial" w:cs="Arial" w:eastAsia="Arial" w:hAnsi="Arial"/>
          <w:b w:val="1"/>
          <w:bCs w:val="1"/>
          <w:color w:val="000000"/>
          <w:sz w:val="24"/>
          <w:szCs w:val="24"/>
        </w:rPr>
      </w:pPr>
      <w:bookmarkStart w:colFirst="0" w:colLast="0" w:name="_neycne5rt9du" w:id="22"/>
      <w:bookmarkEnd w:id="22"/>
      <w:r w:rsidDel="00000000" w:rsidR="00000000" w:rsidRPr="00000000">
        <w:rPr>
          <w:rFonts w:ascii="Arial" w:cs="Arial" w:eastAsia="Arial" w:hAnsi="Arial"/>
          <w:b w:val="1"/>
          <w:bCs w:val="1"/>
          <w:color w:val="000000"/>
          <w:sz w:val="24"/>
          <w:szCs w:val="24"/>
          <w:rtl w:val="0"/>
        </w:rPr>
        <w:t xml:space="preserve">Recommendation with reference to project risk characteristics </w:t>
      </w:r>
    </w:p>
    <w:p w:rsidR="00000000" w:rsidDel="00000000" w:rsidP="00000000" w:rsidRDefault="00000000" w:rsidRPr="00000000" w14:paraId="000000D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Under capital rationing, the three recommended investments should be analyzed in terms of profitability, liquidity and risk, such as cash flow volatility, financial vulnerability, and operational volatility. General electronics Ltd., which had lost money and operational income during the past two years, requires risk management to invest. Project C has the best risk-return profile in case of firm restructuring. The dynamic and predictable cash flow volatility in Project C indicates a rise that starts with PS5 million in the first year and culminates to PS25 million in the fourth year and decreases to PS15 million in the fifth year (Sokolowska and Zargartalebi, 2024). This is not a consistent pattern but that this is a growth trend with a controlled rise phase, then big and long-term returns at maturity. The restructuring and cost cutting will stabilise the operations and minimise initial volatility. Sustained inflows offset short-term cash fluctuations and improve liquidity and solvency, which means the risk profile of Project C is a transitionary and not systemic profile. The initial cash flows of Project A were strong, yet the returns and limited scalability were low, which exposed it to external shocks. The negative NPV and zero IRR of Project B signify a low degree of volatility but no potential of wealth creation even when PS6 million inflows to the project occur on an annual basis. Project C NPV (PS4.23m) and IRR (12.72) improve to positive spread even under conservative cash flow assumptions, although a weighted average of the cost of capital of the firm (10%) is lower than such (12.72) (Bulau et al., 2024). A qualitative sensitivity analysis would indicate that the NPV of Project C would remain positive with a cash inflow decrease of 10-15% indicating financial strength. The consumer electronics industry requires resilience owing to inflation, supply chain interruptions and fluctuations of the exchange rate. The exposure to macroeconomic risk is hedged in the project as larger inflows are made in later years as the inflation have more effect on the earlier cash flows. In the long run, the scalability and revenue diversity in Project C minimize the operational risk. Increasing cash inflows indicate market penetration and product adoption, product line or regional market dependence decreases. The projects A and B are constrained by their financial flow systems in terms of development and adapting to the market. With the high leverage and negative earnings, General Electric should have some flexibility in maintaining the returns on investments in the evolving markets. The cash flow variation of project C suggests an increase, and not unsteadiness (Parrino et al., 2025). </w:t>
      </w:r>
    </w:p>
    <w:p w:rsidR="00000000" w:rsidDel="00000000" w:rsidP="00000000" w:rsidRDefault="00000000" w:rsidRPr="00000000" w14:paraId="000000D3">
      <w:pPr>
        <w:rPr>
          <w:rFonts w:ascii="Arial" w:cs="Arial" w:eastAsia="Arial" w:hAnsi="Arial"/>
          <w:b w:val="1"/>
          <w:bCs w:val="1"/>
          <w:sz w:val="24"/>
          <w:szCs w:val="24"/>
        </w:rPr>
      </w:pPr>
      <w:bookmarkStart w:colFirst="0" w:colLast="0" w:name="_tr976edzkaex" w:id="23"/>
      <w:bookmarkEnd w:id="23"/>
      <w:r w:rsidDel="00000000" w:rsidR="00000000" w:rsidRPr="00000000">
        <w:br w:type="page"/>
      </w:r>
      <w:r w:rsidDel="00000000" w:rsidR="00000000" w:rsidRPr="00000000">
        <w:rPr>
          <w:rtl w:val="0"/>
        </w:rPr>
      </w:r>
    </w:p>
    <w:p w:rsidR="00000000" w:rsidDel="00000000" w:rsidP="00000000" w:rsidRDefault="00000000" w:rsidRPr="00000000" w14:paraId="000000D4">
      <w:pPr>
        <w:pStyle w:val="Heading1"/>
        <w:spacing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References</w:t>
      </w:r>
    </w:p>
    <w:p w:rsidR="00000000" w:rsidDel="00000000" w:rsidP="00000000" w:rsidRDefault="00000000" w:rsidRPr="00000000" w14:paraId="000000D5">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Al Wahid, S.A., Mohammad, N., Islam, R., Faisal, M.H. and Rana, M.S., 2024. Evaluation of information technology implementation for business goal improvement under process functionality in economic development. </w:t>
      </w:r>
      <w:r w:rsidDel="00000000" w:rsidR="00000000" w:rsidRPr="00000000">
        <w:rPr>
          <w:rFonts w:ascii="Arial" w:cs="Arial" w:eastAsia="Arial" w:hAnsi="Arial"/>
          <w:i w:val="1"/>
          <w:iCs w:val="1"/>
          <w:sz w:val="24"/>
          <w:szCs w:val="24"/>
          <w:highlight w:val="white"/>
          <w:rtl w:val="0"/>
        </w:rPr>
        <w:t xml:space="preserve">Journal of Data Analysis and Information Processing</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12</w:t>
      </w:r>
      <w:r w:rsidDel="00000000" w:rsidR="00000000" w:rsidRPr="00000000">
        <w:rPr>
          <w:rFonts w:ascii="Arial" w:cs="Arial" w:eastAsia="Arial" w:hAnsi="Arial"/>
          <w:sz w:val="24"/>
          <w:szCs w:val="24"/>
          <w:highlight w:val="white"/>
          <w:rtl w:val="0"/>
        </w:rPr>
        <w:t xml:space="preserve">(2), pp.304-317.</w:t>
      </w:r>
    </w:p>
    <w:p w:rsidR="00000000" w:rsidDel="00000000" w:rsidP="00000000" w:rsidRDefault="00000000" w:rsidRPr="00000000" w14:paraId="000000D6">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Alexander, J., 2024. </w:t>
      </w:r>
      <w:r w:rsidDel="00000000" w:rsidR="00000000" w:rsidRPr="00000000">
        <w:rPr>
          <w:rFonts w:ascii="Arial" w:cs="Arial" w:eastAsia="Arial" w:hAnsi="Arial"/>
          <w:i w:val="1"/>
          <w:iCs w:val="1"/>
          <w:sz w:val="24"/>
          <w:szCs w:val="24"/>
          <w:highlight w:val="white"/>
          <w:rtl w:val="0"/>
        </w:rPr>
        <w:t xml:space="preserve">Financial Management: Partner in Driving Performance and Value</w:t>
      </w:r>
      <w:r w:rsidDel="00000000" w:rsidR="00000000" w:rsidRPr="00000000">
        <w:rPr>
          <w:rFonts w:ascii="Arial" w:cs="Arial" w:eastAsia="Arial" w:hAnsi="Arial"/>
          <w:sz w:val="24"/>
          <w:szCs w:val="24"/>
          <w:highlight w:val="white"/>
          <w:rtl w:val="0"/>
        </w:rPr>
        <w:t xml:space="preserve">. John Wiley &amp; Sons.</w:t>
      </w:r>
    </w:p>
    <w:p w:rsidR="00000000" w:rsidDel="00000000" w:rsidP="00000000" w:rsidRDefault="00000000" w:rsidRPr="00000000" w14:paraId="000000D7">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Atamaya, S., 2025. </w:t>
      </w:r>
      <w:r w:rsidDel="00000000" w:rsidR="00000000" w:rsidRPr="00000000">
        <w:rPr>
          <w:rFonts w:ascii="Arial" w:cs="Arial" w:eastAsia="Arial" w:hAnsi="Arial"/>
          <w:i w:val="1"/>
          <w:iCs w:val="1"/>
          <w:sz w:val="24"/>
          <w:szCs w:val="24"/>
          <w:highlight w:val="white"/>
          <w:rtl w:val="0"/>
        </w:rPr>
        <w:t xml:space="preserve">Strategies to Obtain Working Capital for Small Businesses</w:t>
      </w:r>
      <w:r w:rsidDel="00000000" w:rsidR="00000000" w:rsidRPr="00000000">
        <w:rPr>
          <w:rFonts w:ascii="Arial" w:cs="Arial" w:eastAsia="Arial" w:hAnsi="Arial"/>
          <w:sz w:val="24"/>
          <w:szCs w:val="24"/>
          <w:highlight w:val="white"/>
          <w:rtl w:val="0"/>
        </w:rPr>
        <w:t xml:space="preserve"> (Doctoral dissertation, Walden University).</w:t>
      </w:r>
    </w:p>
    <w:p w:rsidR="00000000" w:rsidDel="00000000" w:rsidP="00000000" w:rsidRDefault="00000000" w:rsidRPr="00000000" w14:paraId="000000D8">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Badakhshan, E. and Ivanov, D., 2025. Integrating digital twin and blockchain for responsive working capital management in supply chains facing financial disruptions. </w:t>
      </w:r>
      <w:r w:rsidDel="00000000" w:rsidR="00000000" w:rsidRPr="00000000">
        <w:rPr>
          <w:rFonts w:ascii="Arial" w:cs="Arial" w:eastAsia="Arial" w:hAnsi="Arial"/>
          <w:i w:val="1"/>
          <w:iCs w:val="1"/>
          <w:sz w:val="24"/>
          <w:szCs w:val="24"/>
          <w:highlight w:val="white"/>
          <w:rtl w:val="0"/>
        </w:rPr>
        <w:t xml:space="preserve">International Journal of Production Research</w:t>
      </w:r>
      <w:r w:rsidDel="00000000" w:rsidR="00000000" w:rsidRPr="00000000">
        <w:rPr>
          <w:rFonts w:ascii="Arial" w:cs="Arial" w:eastAsia="Arial" w:hAnsi="Arial"/>
          <w:sz w:val="24"/>
          <w:szCs w:val="24"/>
          <w:highlight w:val="white"/>
          <w:rtl w:val="0"/>
        </w:rPr>
        <w:t xml:space="preserve">, pp.1-35.</w:t>
      </w:r>
    </w:p>
    <w:p w:rsidR="00000000" w:rsidDel="00000000" w:rsidP="00000000" w:rsidRDefault="00000000" w:rsidRPr="00000000" w14:paraId="000000D9">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Belhani, Y., 2025. Cargotec demerger: drivers of corporate restructuring in Finland.</w:t>
      </w:r>
    </w:p>
    <w:p w:rsidR="00000000" w:rsidDel="00000000" w:rsidP="00000000" w:rsidRDefault="00000000" w:rsidRPr="00000000" w14:paraId="000000DA">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Bhujel, K., Ansari, I., Azim, K.S., Panchal, S.S. and Ahirrao, Y.S., 2025. Digital Transformation In Corporate Finance: The Strategic Role Of IT In Driving Business Value. </w:t>
      </w:r>
      <w:r w:rsidDel="00000000" w:rsidR="00000000" w:rsidRPr="00000000">
        <w:rPr>
          <w:rFonts w:ascii="Arial" w:cs="Arial" w:eastAsia="Arial" w:hAnsi="Arial"/>
          <w:i w:val="1"/>
          <w:iCs w:val="1"/>
          <w:sz w:val="24"/>
          <w:szCs w:val="24"/>
          <w:highlight w:val="white"/>
          <w:rtl w:val="0"/>
        </w:rPr>
        <w:t xml:space="preserve">Emerging Frontiers Library for The American Journal of Engineering and Technology</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7</w:t>
      </w:r>
      <w:r w:rsidDel="00000000" w:rsidR="00000000" w:rsidRPr="00000000">
        <w:rPr>
          <w:rFonts w:ascii="Arial" w:cs="Arial" w:eastAsia="Arial" w:hAnsi="Arial"/>
          <w:sz w:val="24"/>
          <w:szCs w:val="24"/>
          <w:highlight w:val="white"/>
          <w:rtl w:val="0"/>
        </w:rPr>
        <w:t xml:space="preserve">(09), pp.100-125.</w:t>
      </w:r>
    </w:p>
    <w:p w:rsidR="00000000" w:rsidDel="00000000" w:rsidP="00000000" w:rsidRDefault="00000000" w:rsidRPr="00000000" w14:paraId="000000DB">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Bulau, C.M., Mustatea, A.O. and Matei, M., 2024. Can Artificial Intelligence (AI) Become an Active Assistant to the Finance, Audit, and Accounting Functions? A Credit Control Data Analysis Approach. </w:t>
      </w:r>
      <w:r w:rsidDel="00000000" w:rsidR="00000000" w:rsidRPr="00000000">
        <w:rPr>
          <w:rFonts w:ascii="Arial" w:cs="Arial" w:eastAsia="Arial" w:hAnsi="Arial"/>
          <w:i w:val="1"/>
          <w:iCs w:val="1"/>
          <w:sz w:val="24"/>
          <w:szCs w:val="24"/>
          <w:highlight w:val="white"/>
          <w:rtl w:val="0"/>
        </w:rPr>
        <w:t xml:space="preserve">Acta Universitatis Danubius. Œconomica</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20</w:t>
      </w:r>
      <w:r w:rsidDel="00000000" w:rsidR="00000000" w:rsidRPr="00000000">
        <w:rPr>
          <w:rFonts w:ascii="Arial" w:cs="Arial" w:eastAsia="Arial" w:hAnsi="Arial"/>
          <w:sz w:val="24"/>
          <w:szCs w:val="24"/>
          <w:highlight w:val="white"/>
          <w:rtl w:val="0"/>
        </w:rPr>
        <w:t xml:space="preserve">(4), pp.109-126.</w:t>
      </w:r>
    </w:p>
    <w:p w:rsidR="00000000" w:rsidDel="00000000" w:rsidP="00000000" w:rsidRDefault="00000000" w:rsidRPr="00000000" w14:paraId="000000DC">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Cinaroglu, S. and Pirgaip, B., 2024. Financial efficiency of healthcare companies in an emerging market. </w:t>
      </w:r>
      <w:r w:rsidDel="00000000" w:rsidR="00000000" w:rsidRPr="00000000">
        <w:rPr>
          <w:rFonts w:ascii="Arial" w:cs="Arial" w:eastAsia="Arial" w:hAnsi="Arial"/>
          <w:i w:val="1"/>
          <w:iCs w:val="1"/>
          <w:sz w:val="24"/>
          <w:szCs w:val="24"/>
          <w:highlight w:val="white"/>
          <w:rtl w:val="0"/>
        </w:rPr>
        <w:t xml:space="preserve">Managerial and Decision Economics</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45</w:t>
      </w:r>
      <w:r w:rsidDel="00000000" w:rsidR="00000000" w:rsidRPr="00000000">
        <w:rPr>
          <w:rFonts w:ascii="Arial" w:cs="Arial" w:eastAsia="Arial" w:hAnsi="Arial"/>
          <w:sz w:val="24"/>
          <w:szCs w:val="24"/>
          <w:highlight w:val="white"/>
          <w:rtl w:val="0"/>
        </w:rPr>
        <w:t xml:space="preserve">(5), pp.3283-3296.</w:t>
      </w:r>
    </w:p>
    <w:p w:rsidR="00000000" w:rsidDel="00000000" w:rsidP="00000000" w:rsidRDefault="00000000" w:rsidRPr="00000000" w14:paraId="000000DD">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COTTCO, F.P.A.C.O., 2024. </w:t>
      </w:r>
      <w:r w:rsidDel="00000000" w:rsidR="00000000" w:rsidRPr="00000000">
        <w:rPr>
          <w:rFonts w:ascii="Arial" w:cs="Arial" w:eastAsia="Arial" w:hAnsi="Arial"/>
          <w:i w:val="1"/>
          <w:iCs w:val="1"/>
          <w:sz w:val="24"/>
          <w:szCs w:val="24"/>
          <w:highlight w:val="white"/>
          <w:rtl w:val="0"/>
        </w:rPr>
        <w:t xml:space="preserve">FACULTY OF COMMERCE DEPARTMENT OF HUMAN CAPITAL MANAGEMENT</w:t>
      </w:r>
      <w:r w:rsidDel="00000000" w:rsidR="00000000" w:rsidRPr="00000000">
        <w:rPr>
          <w:rFonts w:ascii="Arial" w:cs="Arial" w:eastAsia="Arial" w:hAnsi="Arial"/>
          <w:sz w:val="24"/>
          <w:szCs w:val="24"/>
          <w:highlight w:val="white"/>
          <w:rtl w:val="0"/>
        </w:rPr>
        <w:t xml:space="preserve"> (Doctoral dissertation, BINDURA UNIVERSITY OF SCIENCE EDUCATION).</w:t>
      </w:r>
    </w:p>
    <w:p w:rsidR="00000000" w:rsidDel="00000000" w:rsidP="00000000" w:rsidRDefault="00000000" w:rsidRPr="00000000" w14:paraId="000000DE">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Dai, C. and Fang, J., 2024. Digital Transformation and Non-Financial Performance in Manufacturing. </w:t>
      </w:r>
      <w:r w:rsidDel="00000000" w:rsidR="00000000" w:rsidRPr="00000000">
        <w:rPr>
          <w:rFonts w:ascii="Arial" w:cs="Arial" w:eastAsia="Arial" w:hAnsi="Arial"/>
          <w:i w:val="1"/>
          <w:iCs w:val="1"/>
          <w:sz w:val="24"/>
          <w:szCs w:val="24"/>
          <w:highlight w:val="white"/>
          <w:rtl w:val="0"/>
        </w:rPr>
        <w:t xml:space="preserve">Sustainability</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16</w:t>
      </w:r>
      <w:r w:rsidDel="00000000" w:rsidR="00000000" w:rsidRPr="00000000">
        <w:rPr>
          <w:rFonts w:ascii="Arial" w:cs="Arial" w:eastAsia="Arial" w:hAnsi="Arial"/>
          <w:sz w:val="24"/>
          <w:szCs w:val="24"/>
          <w:highlight w:val="white"/>
          <w:rtl w:val="0"/>
        </w:rPr>
        <w:t xml:space="preserve">(12), p.5099.</w:t>
      </w:r>
    </w:p>
    <w:p w:rsidR="00000000" w:rsidDel="00000000" w:rsidP="00000000" w:rsidRDefault="00000000" w:rsidRPr="00000000" w14:paraId="000000DF">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Danda, R.R., 2024. Financial Services in the Capital Goods Sector: Analyzing Financing Solutions for Equipment Acquisition. </w:t>
      </w:r>
      <w:r w:rsidDel="00000000" w:rsidR="00000000" w:rsidRPr="00000000">
        <w:rPr>
          <w:rFonts w:ascii="Arial" w:cs="Arial" w:eastAsia="Arial" w:hAnsi="Arial"/>
          <w:i w:val="1"/>
          <w:iCs w:val="1"/>
          <w:sz w:val="24"/>
          <w:szCs w:val="24"/>
          <w:highlight w:val="white"/>
          <w:rtl w:val="0"/>
        </w:rPr>
        <w:t xml:space="preserve">Library Progress International</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44</w:t>
      </w:r>
      <w:r w:rsidDel="00000000" w:rsidR="00000000" w:rsidRPr="00000000">
        <w:rPr>
          <w:rFonts w:ascii="Arial" w:cs="Arial" w:eastAsia="Arial" w:hAnsi="Arial"/>
          <w:sz w:val="24"/>
          <w:szCs w:val="24"/>
          <w:highlight w:val="white"/>
          <w:rtl w:val="0"/>
        </w:rPr>
        <w:t xml:space="preserve">(3), pp.25066-25075.</w:t>
      </w:r>
    </w:p>
    <w:p w:rsidR="00000000" w:rsidDel="00000000" w:rsidP="00000000" w:rsidRDefault="00000000" w:rsidRPr="00000000" w14:paraId="000000E0">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Dekamini, F., Dastanpour Hossein Abadi, A., Entezari, A., Birau, R. and Pourmansouri, R. eds., 2024. </w:t>
      </w:r>
      <w:r w:rsidDel="00000000" w:rsidR="00000000" w:rsidRPr="00000000">
        <w:rPr>
          <w:rFonts w:ascii="Arial" w:cs="Arial" w:eastAsia="Arial" w:hAnsi="Arial"/>
          <w:i w:val="1"/>
          <w:iCs w:val="1"/>
          <w:sz w:val="24"/>
          <w:szCs w:val="24"/>
          <w:highlight w:val="white"/>
          <w:rtl w:val="0"/>
        </w:rPr>
        <w:t xml:space="preserve">Entrepreneurial Financial Literacy During Crisis Conditions</w:t>
      </w:r>
      <w:r w:rsidDel="00000000" w:rsidR="00000000" w:rsidRPr="00000000">
        <w:rPr>
          <w:rFonts w:ascii="Arial" w:cs="Arial" w:eastAsia="Arial" w:hAnsi="Arial"/>
          <w:sz w:val="24"/>
          <w:szCs w:val="24"/>
          <w:highlight w:val="white"/>
          <w:rtl w:val="0"/>
        </w:rPr>
        <w:t xml:space="preserve">. IGI Global.</w:t>
      </w:r>
    </w:p>
    <w:p w:rsidR="00000000" w:rsidDel="00000000" w:rsidP="00000000" w:rsidRDefault="00000000" w:rsidRPr="00000000" w14:paraId="000000E1">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Holthausen, R. and Zmijewski, M., 2025. </w:t>
      </w:r>
      <w:r w:rsidDel="00000000" w:rsidR="00000000" w:rsidRPr="00000000">
        <w:rPr>
          <w:rFonts w:ascii="Arial" w:cs="Arial" w:eastAsia="Arial" w:hAnsi="Arial"/>
          <w:i w:val="1"/>
          <w:iCs w:val="1"/>
          <w:sz w:val="24"/>
          <w:szCs w:val="24"/>
          <w:highlight w:val="white"/>
          <w:rtl w:val="0"/>
        </w:rPr>
        <w:t xml:space="preserve">Corporate valuation</w:t>
      </w:r>
      <w:r w:rsidDel="00000000" w:rsidR="00000000" w:rsidRPr="00000000">
        <w:rPr>
          <w:rFonts w:ascii="Arial" w:cs="Arial" w:eastAsia="Arial" w:hAnsi="Arial"/>
          <w:sz w:val="24"/>
          <w:szCs w:val="24"/>
          <w:highlight w:val="white"/>
          <w:rtl w:val="0"/>
        </w:rPr>
        <w:t xml:space="preserve">. SAGE Publications.</w:t>
      </w:r>
    </w:p>
    <w:p w:rsidR="00000000" w:rsidDel="00000000" w:rsidP="00000000" w:rsidRDefault="00000000" w:rsidRPr="00000000" w14:paraId="000000E2">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Jaiwani, M. and Gopalkrishnan, S., 2024. Global resurgence: private asset reconstruction companies as legal catalysts for financial stability in India and beyond. </w:t>
      </w:r>
      <w:r w:rsidDel="00000000" w:rsidR="00000000" w:rsidRPr="00000000">
        <w:rPr>
          <w:rFonts w:ascii="Arial" w:cs="Arial" w:eastAsia="Arial" w:hAnsi="Arial"/>
          <w:i w:val="1"/>
          <w:iCs w:val="1"/>
          <w:sz w:val="24"/>
          <w:szCs w:val="24"/>
          <w:highlight w:val="white"/>
          <w:rtl w:val="0"/>
        </w:rPr>
        <w:t xml:space="preserve">International Journal of Law and Management</w:t>
      </w:r>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0E3">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Jin, H. and Li, B., 2024, April. ZT Electronic Financial Risk Assessment Based on Z-score Model. In </w:t>
      </w:r>
      <w:r w:rsidDel="00000000" w:rsidR="00000000" w:rsidRPr="00000000">
        <w:rPr>
          <w:rFonts w:ascii="Arial" w:cs="Arial" w:eastAsia="Arial" w:hAnsi="Arial"/>
          <w:i w:val="1"/>
          <w:iCs w:val="1"/>
          <w:sz w:val="24"/>
          <w:szCs w:val="24"/>
          <w:highlight w:val="white"/>
          <w:rtl w:val="0"/>
        </w:rPr>
        <w:t xml:space="preserve">International Conference on Computational Finance and Business Analytics</w:t>
      </w:r>
      <w:r w:rsidDel="00000000" w:rsidR="00000000" w:rsidRPr="00000000">
        <w:rPr>
          <w:rFonts w:ascii="Arial" w:cs="Arial" w:eastAsia="Arial" w:hAnsi="Arial"/>
          <w:sz w:val="24"/>
          <w:szCs w:val="24"/>
          <w:highlight w:val="white"/>
          <w:rtl w:val="0"/>
        </w:rPr>
        <w:t xml:space="preserve"> (pp. 580-591). Cham: Springer Nature Switzerland.</w:t>
      </w:r>
    </w:p>
    <w:p w:rsidR="00000000" w:rsidDel="00000000" w:rsidP="00000000" w:rsidRDefault="00000000" w:rsidRPr="00000000" w14:paraId="000000E4">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Kaino, B.J., Kiragu, D.N. and Mburu, N., 2025. Effect of Financial Management Practices on Performance of Commercial State-owned Enterprises in Kenya: A Machine Learning Approach.</w:t>
      </w:r>
    </w:p>
    <w:p w:rsidR="00000000" w:rsidDel="00000000" w:rsidP="00000000" w:rsidRDefault="00000000" w:rsidRPr="00000000" w14:paraId="000000E5">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Khusainova, E.A., Timergazizova, E.R. and Serkina, N.A., 2025, April. Financial Engineering as an Enterprise Management Tool. In </w:t>
      </w:r>
      <w:r w:rsidDel="00000000" w:rsidR="00000000" w:rsidRPr="00000000">
        <w:rPr>
          <w:rFonts w:ascii="Arial" w:cs="Arial" w:eastAsia="Arial" w:hAnsi="Arial"/>
          <w:i w:val="1"/>
          <w:iCs w:val="1"/>
          <w:sz w:val="24"/>
          <w:szCs w:val="24"/>
          <w:highlight w:val="white"/>
          <w:rtl w:val="0"/>
        </w:rPr>
        <w:t xml:space="preserve">2025 7th International Youth Conference on Radio Electronics, Electrical and Power Engineering (REEPE)</w:t>
      </w:r>
      <w:r w:rsidDel="00000000" w:rsidR="00000000" w:rsidRPr="00000000">
        <w:rPr>
          <w:rFonts w:ascii="Arial" w:cs="Arial" w:eastAsia="Arial" w:hAnsi="Arial"/>
          <w:sz w:val="24"/>
          <w:szCs w:val="24"/>
          <w:highlight w:val="white"/>
          <w:rtl w:val="0"/>
        </w:rPr>
        <w:t xml:space="preserve"> (pp. 1-5). IEEE.</w:t>
      </w:r>
    </w:p>
    <w:p w:rsidR="00000000" w:rsidDel="00000000" w:rsidP="00000000" w:rsidRDefault="00000000" w:rsidRPr="00000000" w14:paraId="000000E6">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Koller, T., Goedhart, M. and Wessels, D., 2025. </w:t>
      </w:r>
      <w:r w:rsidDel="00000000" w:rsidR="00000000" w:rsidRPr="00000000">
        <w:rPr>
          <w:rFonts w:ascii="Arial" w:cs="Arial" w:eastAsia="Arial" w:hAnsi="Arial"/>
          <w:i w:val="1"/>
          <w:iCs w:val="1"/>
          <w:sz w:val="24"/>
          <w:szCs w:val="24"/>
          <w:highlight w:val="white"/>
          <w:rtl w:val="0"/>
        </w:rPr>
        <w:t xml:space="preserve">Valuation: Measuring and managing the value of companies</w:t>
      </w:r>
      <w:r w:rsidDel="00000000" w:rsidR="00000000" w:rsidRPr="00000000">
        <w:rPr>
          <w:rFonts w:ascii="Arial" w:cs="Arial" w:eastAsia="Arial" w:hAnsi="Arial"/>
          <w:sz w:val="24"/>
          <w:szCs w:val="24"/>
          <w:highlight w:val="white"/>
          <w:rtl w:val="0"/>
        </w:rPr>
        <w:t xml:space="preserve">. John Wiley &amp; Sons.</w:t>
      </w:r>
    </w:p>
    <w:p w:rsidR="00000000" w:rsidDel="00000000" w:rsidP="00000000" w:rsidRDefault="00000000" w:rsidRPr="00000000" w14:paraId="000000E7">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Kottala, S.Y. and Sahu, A.K., 2024. Evaluating ergonomics and financial distress in manufacturing organization behavior: Resiliency framework from operations and strategic management. </w:t>
      </w:r>
      <w:r w:rsidDel="00000000" w:rsidR="00000000" w:rsidRPr="00000000">
        <w:rPr>
          <w:rFonts w:ascii="Arial" w:cs="Arial" w:eastAsia="Arial" w:hAnsi="Arial"/>
          <w:i w:val="1"/>
          <w:iCs w:val="1"/>
          <w:sz w:val="24"/>
          <w:szCs w:val="24"/>
          <w:highlight w:val="white"/>
          <w:rtl w:val="0"/>
        </w:rPr>
        <w:t xml:space="preserve">The Learning Organization</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31</w:t>
      </w:r>
      <w:r w:rsidDel="00000000" w:rsidR="00000000" w:rsidRPr="00000000">
        <w:rPr>
          <w:rFonts w:ascii="Arial" w:cs="Arial" w:eastAsia="Arial" w:hAnsi="Arial"/>
          <w:sz w:val="24"/>
          <w:szCs w:val="24"/>
          <w:highlight w:val="white"/>
          <w:rtl w:val="0"/>
        </w:rPr>
        <w:t xml:space="preserve">(5), pp.765-788.</w:t>
      </w:r>
    </w:p>
    <w:p w:rsidR="00000000" w:rsidDel="00000000" w:rsidP="00000000" w:rsidRDefault="00000000" w:rsidRPr="00000000" w14:paraId="000000E8">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Liu, J. and Fu, S., 2024. Financial big data management and intelligence based on computer intelligent algorithm. </w:t>
      </w:r>
      <w:r w:rsidDel="00000000" w:rsidR="00000000" w:rsidRPr="00000000">
        <w:rPr>
          <w:rFonts w:ascii="Arial" w:cs="Arial" w:eastAsia="Arial" w:hAnsi="Arial"/>
          <w:i w:val="1"/>
          <w:iCs w:val="1"/>
          <w:sz w:val="24"/>
          <w:szCs w:val="24"/>
          <w:highlight w:val="white"/>
          <w:rtl w:val="0"/>
        </w:rPr>
        <w:t xml:space="preserve">Scientific reports</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14</w:t>
      </w:r>
      <w:r w:rsidDel="00000000" w:rsidR="00000000" w:rsidRPr="00000000">
        <w:rPr>
          <w:rFonts w:ascii="Arial" w:cs="Arial" w:eastAsia="Arial" w:hAnsi="Arial"/>
          <w:sz w:val="24"/>
          <w:szCs w:val="24"/>
          <w:highlight w:val="white"/>
          <w:rtl w:val="0"/>
        </w:rPr>
        <w:t xml:space="preserve">(1), p.9395.</w:t>
      </w:r>
    </w:p>
    <w:p w:rsidR="00000000" w:rsidDel="00000000" w:rsidP="00000000" w:rsidRDefault="00000000" w:rsidRPr="00000000" w14:paraId="000000E9">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Maheshwari, S.N., Maheshwari, S.K. and Maheshwari, S.K., 2024. </w:t>
      </w:r>
      <w:r w:rsidDel="00000000" w:rsidR="00000000" w:rsidRPr="00000000">
        <w:rPr>
          <w:rFonts w:ascii="Arial" w:cs="Arial" w:eastAsia="Arial" w:hAnsi="Arial"/>
          <w:i w:val="1"/>
          <w:iCs w:val="1"/>
          <w:sz w:val="24"/>
          <w:szCs w:val="24"/>
          <w:highlight w:val="white"/>
          <w:rtl w:val="0"/>
        </w:rPr>
        <w:t xml:space="preserve">Management Accounting and Financial Control</w:t>
      </w:r>
      <w:r w:rsidDel="00000000" w:rsidR="00000000" w:rsidRPr="00000000">
        <w:rPr>
          <w:rFonts w:ascii="Arial" w:cs="Arial" w:eastAsia="Arial" w:hAnsi="Arial"/>
          <w:sz w:val="24"/>
          <w:szCs w:val="24"/>
          <w:highlight w:val="white"/>
          <w:rtl w:val="0"/>
        </w:rPr>
        <w:t xml:space="preserve">. Sultan Chand &amp; Sons.</w:t>
      </w:r>
    </w:p>
    <w:p w:rsidR="00000000" w:rsidDel="00000000" w:rsidP="00000000" w:rsidRDefault="00000000" w:rsidRPr="00000000" w14:paraId="000000EA">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Makau, C., 2024. </w:t>
      </w:r>
      <w:r w:rsidDel="00000000" w:rsidR="00000000" w:rsidRPr="00000000">
        <w:rPr>
          <w:rFonts w:ascii="Arial" w:cs="Arial" w:eastAsia="Arial" w:hAnsi="Arial"/>
          <w:i w:val="1"/>
          <w:iCs w:val="1"/>
          <w:sz w:val="24"/>
          <w:szCs w:val="24"/>
          <w:highlight w:val="white"/>
          <w:rtl w:val="0"/>
        </w:rPr>
        <w:t xml:space="preserve">The Effect of corporate restructuring on employee performance: a case of the NCBA merger</w:t>
      </w:r>
      <w:r w:rsidDel="00000000" w:rsidR="00000000" w:rsidRPr="00000000">
        <w:rPr>
          <w:rFonts w:ascii="Arial" w:cs="Arial" w:eastAsia="Arial" w:hAnsi="Arial"/>
          <w:sz w:val="24"/>
          <w:szCs w:val="24"/>
          <w:highlight w:val="white"/>
          <w:rtl w:val="0"/>
        </w:rPr>
        <w:t xml:space="preserve"> (Doctoral dissertation, Strathmore University).</w:t>
      </w:r>
    </w:p>
    <w:p w:rsidR="00000000" w:rsidDel="00000000" w:rsidP="00000000" w:rsidRDefault="00000000" w:rsidRPr="00000000" w14:paraId="000000EB">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Mehmood, A. and De Luca, F., 2025. Financial distress prediction in private firms: developing a model for troubled debt restructuring. </w:t>
      </w:r>
      <w:r w:rsidDel="00000000" w:rsidR="00000000" w:rsidRPr="00000000">
        <w:rPr>
          <w:rFonts w:ascii="Arial" w:cs="Arial" w:eastAsia="Arial" w:hAnsi="Arial"/>
          <w:i w:val="1"/>
          <w:iCs w:val="1"/>
          <w:sz w:val="24"/>
          <w:szCs w:val="24"/>
          <w:highlight w:val="white"/>
          <w:rtl w:val="0"/>
        </w:rPr>
        <w:t xml:space="preserve">Journal of Applied Accounting Research</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26</w:t>
      </w:r>
      <w:r w:rsidDel="00000000" w:rsidR="00000000" w:rsidRPr="00000000">
        <w:rPr>
          <w:rFonts w:ascii="Arial" w:cs="Arial" w:eastAsia="Arial" w:hAnsi="Arial"/>
          <w:sz w:val="24"/>
          <w:szCs w:val="24"/>
          <w:highlight w:val="white"/>
          <w:rtl w:val="0"/>
        </w:rPr>
        <w:t xml:space="preserve">(6), pp.205-222.</w:t>
      </w:r>
    </w:p>
    <w:p w:rsidR="00000000" w:rsidDel="00000000" w:rsidP="00000000" w:rsidRDefault="00000000" w:rsidRPr="00000000" w14:paraId="000000EC">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Mesioye, O. and Bakare, I.A., 2024. Evaluating financial reporting quality: Metrics, challenges, and impact on decision-making. </w:t>
      </w:r>
      <w:r w:rsidDel="00000000" w:rsidR="00000000" w:rsidRPr="00000000">
        <w:rPr>
          <w:rFonts w:ascii="Arial" w:cs="Arial" w:eastAsia="Arial" w:hAnsi="Arial"/>
          <w:i w:val="1"/>
          <w:iCs w:val="1"/>
          <w:sz w:val="24"/>
          <w:szCs w:val="24"/>
          <w:highlight w:val="white"/>
          <w:rtl w:val="0"/>
        </w:rPr>
        <w:t xml:space="preserve">Int J Res Public Rev</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5</w:t>
      </w:r>
      <w:r w:rsidDel="00000000" w:rsidR="00000000" w:rsidRPr="00000000">
        <w:rPr>
          <w:rFonts w:ascii="Arial" w:cs="Arial" w:eastAsia="Arial" w:hAnsi="Arial"/>
          <w:sz w:val="24"/>
          <w:szCs w:val="24"/>
          <w:highlight w:val="white"/>
          <w:rtl w:val="0"/>
        </w:rPr>
        <w:t xml:space="preserve">(10), pp.1144-1156.</w:t>
      </w:r>
    </w:p>
    <w:p w:rsidR="00000000" w:rsidDel="00000000" w:rsidP="00000000" w:rsidRDefault="00000000" w:rsidRPr="00000000" w14:paraId="000000ED">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Mohamed Riyath, M.I. and Indunil Dayaratne, D.A., 2025. Why do companies go public in Sri Lanka? A mixed-method approach. </w:t>
      </w:r>
      <w:r w:rsidDel="00000000" w:rsidR="00000000" w:rsidRPr="00000000">
        <w:rPr>
          <w:rFonts w:ascii="Arial" w:cs="Arial" w:eastAsia="Arial" w:hAnsi="Arial"/>
          <w:i w:val="1"/>
          <w:iCs w:val="1"/>
          <w:sz w:val="24"/>
          <w:szCs w:val="24"/>
          <w:highlight w:val="white"/>
          <w:rtl w:val="0"/>
        </w:rPr>
        <w:t xml:space="preserve">Qualitative Research in Financial Markets</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17</w:t>
      </w:r>
      <w:r w:rsidDel="00000000" w:rsidR="00000000" w:rsidRPr="00000000">
        <w:rPr>
          <w:rFonts w:ascii="Arial" w:cs="Arial" w:eastAsia="Arial" w:hAnsi="Arial"/>
          <w:sz w:val="24"/>
          <w:szCs w:val="24"/>
          <w:highlight w:val="white"/>
          <w:rtl w:val="0"/>
        </w:rPr>
        <w:t xml:space="preserve">(2), pp.229-250.</w:t>
      </w:r>
    </w:p>
    <w:p w:rsidR="00000000" w:rsidDel="00000000" w:rsidP="00000000" w:rsidRDefault="00000000" w:rsidRPr="00000000" w14:paraId="000000EE">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Moore, P.H., Le, B. and Paul, D.L., 2024. Strategic working capital management in response to a performance shock: evidence from the NOx Budget Trading Program. </w:t>
      </w:r>
      <w:r w:rsidDel="00000000" w:rsidR="00000000" w:rsidRPr="00000000">
        <w:rPr>
          <w:rFonts w:ascii="Arial" w:cs="Arial" w:eastAsia="Arial" w:hAnsi="Arial"/>
          <w:i w:val="1"/>
          <w:iCs w:val="1"/>
          <w:sz w:val="24"/>
          <w:szCs w:val="24"/>
          <w:highlight w:val="white"/>
          <w:rtl w:val="0"/>
        </w:rPr>
        <w:t xml:space="preserve">International Journal of Managerial Finance</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20</w:t>
      </w:r>
      <w:r w:rsidDel="00000000" w:rsidR="00000000" w:rsidRPr="00000000">
        <w:rPr>
          <w:rFonts w:ascii="Arial" w:cs="Arial" w:eastAsia="Arial" w:hAnsi="Arial"/>
          <w:sz w:val="24"/>
          <w:szCs w:val="24"/>
          <w:highlight w:val="white"/>
          <w:rtl w:val="0"/>
        </w:rPr>
        <w:t xml:space="preserve">(2), pp.358-376.</w:t>
      </w:r>
    </w:p>
    <w:p w:rsidR="00000000" w:rsidDel="00000000" w:rsidP="00000000" w:rsidRDefault="00000000" w:rsidRPr="00000000" w14:paraId="000000EF">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Morin, S.L., 2024. The financial trap of short-term focus eroding long-term value in financial management: a theoretical analysis. </w:t>
      </w:r>
      <w:r w:rsidDel="00000000" w:rsidR="00000000" w:rsidRPr="00000000">
        <w:rPr>
          <w:rFonts w:ascii="Arial" w:cs="Arial" w:eastAsia="Arial" w:hAnsi="Arial"/>
          <w:i w:val="1"/>
          <w:iCs w:val="1"/>
          <w:sz w:val="24"/>
          <w:szCs w:val="24"/>
          <w:highlight w:val="white"/>
          <w:rtl w:val="0"/>
        </w:rPr>
        <w:t xml:space="preserve">Financial Markets, Institutions and Risks</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8</w:t>
      </w:r>
      <w:r w:rsidDel="00000000" w:rsidR="00000000" w:rsidRPr="00000000">
        <w:rPr>
          <w:rFonts w:ascii="Arial" w:cs="Arial" w:eastAsia="Arial" w:hAnsi="Arial"/>
          <w:sz w:val="24"/>
          <w:szCs w:val="24"/>
          <w:highlight w:val="white"/>
          <w:rtl w:val="0"/>
        </w:rPr>
        <w:t xml:space="preserve">(4), pp.148-162.</w:t>
      </w:r>
    </w:p>
    <w:p w:rsidR="00000000" w:rsidDel="00000000" w:rsidP="00000000" w:rsidRDefault="00000000" w:rsidRPr="00000000" w14:paraId="000000F0">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Ombui, J., Monari, D., Kamau, C., Kibiti, C. and Muhoro, G., 2024. Working Capital Management and its Effect on Financial Performance of Public Universities in Coastal Region Kenya. </w:t>
      </w:r>
      <w:r w:rsidDel="00000000" w:rsidR="00000000" w:rsidRPr="00000000">
        <w:rPr>
          <w:rFonts w:ascii="Arial" w:cs="Arial" w:eastAsia="Arial" w:hAnsi="Arial"/>
          <w:i w:val="1"/>
          <w:iCs w:val="1"/>
          <w:sz w:val="24"/>
          <w:szCs w:val="24"/>
          <w:highlight w:val="white"/>
          <w:rtl w:val="0"/>
        </w:rPr>
        <w:t xml:space="preserve">International Journal of Religion</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5</w:t>
      </w:r>
      <w:r w:rsidDel="00000000" w:rsidR="00000000" w:rsidRPr="00000000">
        <w:rPr>
          <w:rFonts w:ascii="Arial" w:cs="Arial" w:eastAsia="Arial" w:hAnsi="Arial"/>
          <w:sz w:val="24"/>
          <w:szCs w:val="24"/>
          <w:highlight w:val="white"/>
          <w:rtl w:val="0"/>
        </w:rPr>
        <w:t xml:space="preserve">(9), pp.977-994.</w:t>
      </w:r>
    </w:p>
    <w:p w:rsidR="00000000" w:rsidDel="00000000" w:rsidP="00000000" w:rsidRDefault="00000000" w:rsidRPr="00000000" w14:paraId="000000F1">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Parrino, R., Bates, T.W., Gillan, S.L. and Kidwell, D.S., 2025. </w:t>
      </w:r>
      <w:r w:rsidDel="00000000" w:rsidR="00000000" w:rsidRPr="00000000">
        <w:rPr>
          <w:rFonts w:ascii="Arial" w:cs="Arial" w:eastAsia="Arial" w:hAnsi="Arial"/>
          <w:i w:val="1"/>
          <w:iCs w:val="1"/>
          <w:sz w:val="24"/>
          <w:szCs w:val="24"/>
          <w:highlight w:val="white"/>
          <w:rtl w:val="0"/>
        </w:rPr>
        <w:t xml:space="preserve">Fundamentals of corporate finance</w:t>
      </w:r>
      <w:r w:rsidDel="00000000" w:rsidR="00000000" w:rsidRPr="00000000">
        <w:rPr>
          <w:rFonts w:ascii="Arial" w:cs="Arial" w:eastAsia="Arial" w:hAnsi="Arial"/>
          <w:sz w:val="24"/>
          <w:szCs w:val="24"/>
          <w:highlight w:val="white"/>
          <w:rtl w:val="0"/>
        </w:rPr>
        <w:t xml:space="preserve">. John Wiley &amp; Sons.</w:t>
      </w:r>
    </w:p>
    <w:p w:rsidR="00000000" w:rsidDel="00000000" w:rsidP="00000000" w:rsidRDefault="00000000" w:rsidRPr="00000000" w14:paraId="000000F2">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Potharla, S., 2025. From Debt to Divestiture: How Indian and Global Firms Reshaped through Corporate Restructuring. </w:t>
      </w:r>
      <w:r w:rsidDel="00000000" w:rsidR="00000000" w:rsidRPr="00000000">
        <w:rPr>
          <w:rFonts w:ascii="Arial" w:cs="Arial" w:eastAsia="Arial" w:hAnsi="Arial"/>
          <w:i w:val="1"/>
          <w:iCs w:val="1"/>
          <w:sz w:val="24"/>
          <w:szCs w:val="24"/>
          <w:highlight w:val="white"/>
          <w:rtl w:val="0"/>
        </w:rPr>
        <w:t xml:space="preserve">Available at SSRN 5348941</w:t>
      </w:r>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0F3">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Prasetiyono, D., 2024. The effectiveness of implementing debt to equity swap as a strategy for performance improvement and non-performing loan reduction. </w:t>
      </w:r>
      <w:r w:rsidDel="00000000" w:rsidR="00000000" w:rsidRPr="00000000">
        <w:rPr>
          <w:rFonts w:ascii="Arial" w:cs="Arial" w:eastAsia="Arial" w:hAnsi="Arial"/>
          <w:i w:val="1"/>
          <w:iCs w:val="1"/>
          <w:sz w:val="24"/>
          <w:szCs w:val="24"/>
          <w:highlight w:val="white"/>
          <w:rtl w:val="0"/>
        </w:rPr>
        <w:t xml:space="preserve">Atestasi: Jurnal Ilmiah Akuntansi</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7</w:t>
      </w:r>
      <w:r w:rsidDel="00000000" w:rsidR="00000000" w:rsidRPr="00000000">
        <w:rPr>
          <w:rFonts w:ascii="Arial" w:cs="Arial" w:eastAsia="Arial" w:hAnsi="Arial"/>
          <w:sz w:val="24"/>
          <w:szCs w:val="24"/>
          <w:highlight w:val="white"/>
          <w:rtl w:val="0"/>
        </w:rPr>
        <w:t xml:space="preserve">(2), pp.1133-1147.</w:t>
      </w:r>
    </w:p>
    <w:p w:rsidR="00000000" w:rsidDel="00000000" w:rsidP="00000000" w:rsidRDefault="00000000" w:rsidRPr="00000000" w14:paraId="000000F4">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Raza, A., Tursoy, T., Shaikh, E. and Shaikh, A.U.H., 2024. Investigating the symmetric effects of working capital on profitability in Turkish banking: An ARDL empirical analysis. </w:t>
      </w:r>
      <w:r w:rsidDel="00000000" w:rsidR="00000000" w:rsidRPr="00000000">
        <w:rPr>
          <w:rFonts w:ascii="Arial" w:cs="Arial" w:eastAsia="Arial" w:hAnsi="Arial"/>
          <w:i w:val="1"/>
          <w:iCs w:val="1"/>
          <w:sz w:val="24"/>
          <w:szCs w:val="24"/>
          <w:highlight w:val="white"/>
          <w:rtl w:val="0"/>
        </w:rPr>
        <w:t xml:space="preserve">Studia Universitatis Vasile Goldiș Arad, Seria Științe Economice</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34</w:t>
      </w:r>
      <w:r w:rsidDel="00000000" w:rsidR="00000000" w:rsidRPr="00000000">
        <w:rPr>
          <w:rFonts w:ascii="Arial" w:cs="Arial" w:eastAsia="Arial" w:hAnsi="Arial"/>
          <w:sz w:val="24"/>
          <w:szCs w:val="24"/>
          <w:highlight w:val="white"/>
          <w:rtl w:val="0"/>
        </w:rPr>
        <w:t xml:space="preserve">(1), pp.74-97.</w:t>
      </w:r>
    </w:p>
    <w:p w:rsidR="00000000" w:rsidDel="00000000" w:rsidP="00000000" w:rsidRDefault="00000000" w:rsidRPr="00000000" w14:paraId="000000F5">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Ridwan, S., Syah, T.Y.R., Kustiawan, U. and Nofierni, N., 2025. Financial planning and investment feasibility analysis based on five-year projections using ROI, NPV, IRR, and financial ratios. </w:t>
      </w:r>
      <w:r w:rsidDel="00000000" w:rsidR="00000000" w:rsidRPr="00000000">
        <w:rPr>
          <w:rFonts w:ascii="Arial" w:cs="Arial" w:eastAsia="Arial" w:hAnsi="Arial"/>
          <w:i w:val="1"/>
          <w:iCs w:val="1"/>
          <w:sz w:val="24"/>
          <w:szCs w:val="24"/>
          <w:highlight w:val="white"/>
          <w:rtl w:val="0"/>
        </w:rPr>
        <w:t xml:space="preserve">Journal La Bisecoman</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6</w:t>
      </w:r>
      <w:r w:rsidDel="00000000" w:rsidR="00000000" w:rsidRPr="00000000">
        <w:rPr>
          <w:rFonts w:ascii="Arial" w:cs="Arial" w:eastAsia="Arial" w:hAnsi="Arial"/>
          <w:sz w:val="24"/>
          <w:szCs w:val="24"/>
          <w:highlight w:val="white"/>
          <w:rtl w:val="0"/>
        </w:rPr>
        <w:t xml:space="preserve">(2), pp.489-506.</w:t>
      </w:r>
    </w:p>
    <w:p w:rsidR="00000000" w:rsidDel="00000000" w:rsidP="00000000" w:rsidRDefault="00000000" w:rsidRPr="00000000" w14:paraId="000000F6">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SHEKHAR, H., 2025. </w:t>
      </w:r>
      <w:r w:rsidDel="00000000" w:rsidR="00000000" w:rsidRPr="00000000">
        <w:rPr>
          <w:rFonts w:ascii="Arial" w:cs="Arial" w:eastAsia="Arial" w:hAnsi="Arial"/>
          <w:i w:val="1"/>
          <w:iCs w:val="1"/>
          <w:sz w:val="24"/>
          <w:szCs w:val="24"/>
          <w:highlight w:val="white"/>
          <w:rtl w:val="0"/>
        </w:rPr>
        <w:t xml:space="preserve">ASHES TO ASSETS: THE ART OF LIQUIDATION AND BUSINESS REVIVAL</w:t>
      </w:r>
      <w:r w:rsidDel="00000000" w:rsidR="00000000" w:rsidRPr="00000000">
        <w:rPr>
          <w:rFonts w:ascii="Arial" w:cs="Arial" w:eastAsia="Arial" w:hAnsi="Arial"/>
          <w:sz w:val="24"/>
          <w:szCs w:val="24"/>
          <w:highlight w:val="white"/>
          <w:rtl w:val="0"/>
        </w:rPr>
        <w:t xml:space="preserve">. HIMANSHU SHEKHAR.</w:t>
      </w:r>
    </w:p>
    <w:p w:rsidR="00000000" w:rsidDel="00000000" w:rsidP="00000000" w:rsidRDefault="00000000" w:rsidRPr="00000000" w14:paraId="000000F7">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Sheng, C., 2025. Strategies and Practices of Enterprise Financial Accounting and Financial Management in the New Financial Environment. </w:t>
      </w:r>
      <w:r w:rsidDel="00000000" w:rsidR="00000000" w:rsidRPr="00000000">
        <w:rPr>
          <w:rFonts w:ascii="Arial" w:cs="Arial" w:eastAsia="Arial" w:hAnsi="Arial"/>
          <w:i w:val="1"/>
          <w:iCs w:val="1"/>
          <w:sz w:val="24"/>
          <w:szCs w:val="24"/>
          <w:highlight w:val="white"/>
          <w:rtl w:val="0"/>
        </w:rPr>
        <w:t xml:space="preserve">2025). International Journal of Social Sciences and Economic Management, 6 (1), 124</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133</w:t>
      </w:r>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0F8">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Sokołowska, E. and Zargartalebi, M., 2024. </w:t>
      </w:r>
      <w:r w:rsidDel="00000000" w:rsidR="00000000" w:rsidRPr="00000000">
        <w:rPr>
          <w:rFonts w:ascii="Arial" w:cs="Arial" w:eastAsia="Arial" w:hAnsi="Arial"/>
          <w:i w:val="1"/>
          <w:iCs w:val="1"/>
          <w:sz w:val="24"/>
          <w:szCs w:val="24"/>
          <w:highlight w:val="white"/>
          <w:rtl w:val="0"/>
        </w:rPr>
        <w:t xml:space="preserve">Capital structure and firm performance: Global financing decisions among listed companies</w:t>
      </w:r>
      <w:r w:rsidDel="00000000" w:rsidR="00000000" w:rsidRPr="00000000">
        <w:rPr>
          <w:rFonts w:ascii="Arial" w:cs="Arial" w:eastAsia="Arial" w:hAnsi="Arial"/>
          <w:sz w:val="24"/>
          <w:szCs w:val="24"/>
          <w:highlight w:val="white"/>
          <w:rtl w:val="0"/>
        </w:rPr>
        <w:t xml:space="preserve">. Taylor &amp; Francis.</w:t>
      </w:r>
    </w:p>
    <w:p w:rsidR="00000000" w:rsidDel="00000000" w:rsidP="00000000" w:rsidRDefault="00000000" w:rsidRPr="00000000" w14:paraId="000000F9">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Srivastava, A., 2025. Financial Reporting for the Knowledge Economy. </w:t>
      </w:r>
      <w:r w:rsidDel="00000000" w:rsidR="00000000" w:rsidRPr="00000000">
        <w:rPr>
          <w:rFonts w:ascii="Arial" w:cs="Arial" w:eastAsia="Arial" w:hAnsi="Arial"/>
          <w:i w:val="1"/>
          <w:iCs w:val="1"/>
          <w:sz w:val="24"/>
          <w:szCs w:val="24"/>
          <w:highlight w:val="white"/>
          <w:rtl w:val="0"/>
        </w:rPr>
        <w:t xml:space="preserve">Accounting Horizons</w:t>
      </w:r>
      <w:r w:rsidDel="00000000" w:rsidR="00000000" w:rsidRPr="00000000">
        <w:rPr>
          <w:rFonts w:ascii="Arial" w:cs="Arial" w:eastAsia="Arial" w:hAnsi="Arial"/>
          <w:sz w:val="24"/>
          <w:szCs w:val="24"/>
          <w:highlight w:val="white"/>
          <w:rtl w:val="0"/>
        </w:rPr>
        <w:t xml:space="preserve">, pp.1-15.</w:t>
      </w:r>
    </w:p>
    <w:p w:rsidR="00000000" w:rsidDel="00000000" w:rsidP="00000000" w:rsidRDefault="00000000" w:rsidRPr="00000000" w14:paraId="000000FA">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Thompson, T.L., 2024. Credit History Controls the Ability of Small Businesses to Obtain Working Capital: A Case Study.</w:t>
      </w:r>
    </w:p>
    <w:p w:rsidR="00000000" w:rsidDel="00000000" w:rsidP="00000000" w:rsidRDefault="00000000" w:rsidRPr="00000000" w14:paraId="000000FB">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Vemić, M.B., 2025. Evolving Business Analytics of Capital Structure and Working Capital Optimization in Serbian MSEs: Correlations and Simulations (2009-2018). </w:t>
      </w:r>
      <w:r w:rsidDel="00000000" w:rsidR="00000000" w:rsidRPr="00000000">
        <w:rPr>
          <w:rFonts w:ascii="Arial" w:cs="Arial" w:eastAsia="Arial" w:hAnsi="Arial"/>
          <w:i w:val="1"/>
          <w:iCs w:val="1"/>
          <w:sz w:val="24"/>
          <w:szCs w:val="24"/>
          <w:highlight w:val="white"/>
          <w:rtl w:val="0"/>
        </w:rPr>
        <w:t xml:space="preserve">International Journal of Business Analytics (IJBAN)</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12</w:t>
      </w:r>
      <w:r w:rsidDel="00000000" w:rsidR="00000000" w:rsidRPr="00000000">
        <w:rPr>
          <w:rFonts w:ascii="Arial" w:cs="Arial" w:eastAsia="Arial" w:hAnsi="Arial"/>
          <w:sz w:val="24"/>
          <w:szCs w:val="24"/>
          <w:highlight w:val="white"/>
          <w:rtl w:val="0"/>
        </w:rPr>
        <w:t xml:space="preserve">(1), pp.1-29.</w:t>
      </w:r>
    </w:p>
    <w:p w:rsidR="00000000" w:rsidDel="00000000" w:rsidP="00000000" w:rsidRDefault="00000000" w:rsidRPr="00000000" w14:paraId="000000FC">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Wang, R., 2024. Safeguarding enterprise prosperity: An in-depth analysis of financial management strategies. </w:t>
      </w:r>
      <w:r w:rsidDel="00000000" w:rsidR="00000000" w:rsidRPr="00000000">
        <w:rPr>
          <w:rFonts w:ascii="Arial" w:cs="Arial" w:eastAsia="Arial" w:hAnsi="Arial"/>
          <w:i w:val="1"/>
          <w:iCs w:val="1"/>
          <w:sz w:val="24"/>
          <w:szCs w:val="24"/>
          <w:highlight w:val="white"/>
          <w:rtl w:val="0"/>
        </w:rPr>
        <w:t xml:space="preserve">Journal of the Knowledge Economy</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15</w:t>
      </w:r>
      <w:r w:rsidDel="00000000" w:rsidR="00000000" w:rsidRPr="00000000">
        <w:rPr>
          <w:rFonts w:ascii="Arial" w:cs="Arial" w:eastAsia="Arial" w:hAnsi="Arial"/>
          <w:sz w:val="24"/>
          <w:szCs w:val="24"/>
          <w:highlight w:val="white"/>
          <w:rtl w:val="0"/>
        </w:rPr>
        <w:t xml:space="preserve">(4), pp.17676-17704.</w:t>
      </w:r>
    </w:p>
    <w:p w:rsidR="00000000" w:rsidDel="00000000" w:rsidP="00000000" w:rsidRDefault="00000000" w:rsidRPr="00000000" w14:paraId="000000FD">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Xiaowei, D., 2024. </w:t>
      </w:r>
      <w:r w:rsidDel="00000000" w:rsidR="00000000" w:rsidRPr="00000000">
        <w:rPr>
          <w:rFonts w:ascii="Arial" w:cs="Arial" w:eastAsia="Arial" w:hAnsi="Arial"/>
          <w:i w:val="1"/>
          <w:iCs w:val="1"/>
          <w:sz w:val="24"/>
          <w:szCs w:val="24"/>
          <w:highlight w:val="white"/>
          <w:rtl w:val="0"/>
        </w:rPr>
        <w:t xml:space="preserve">Improving financial potential managing mechanism of oil and gas enterprises</w:t>
      </w:r>
      <w:r w:rsidDel="00000000" w:rsidR="00000000" w:rsidRPr="00000000">
        <w:rPr>
          <w:rFonts w:ascii="Arial" w:cs="Arial" w:eastAsia="Arial" w:hAnsi="Arial"/>
          <w:sz w:val="24"/>
          <w:szCs w:val="24"/>
          <w:highlight w:val="white"/>
          <w:rtl w:val="0"/>
        </w:rPr>
        <w:t xml:space="preserve"> (Doctoral dissertation, Dissertation of Saint-Petersburg University, Russia. https://tinyurl. com/ms7h6vf2).</w:t>
      </w:r>
    </w:p>
    <w:p w:rsidR="00000000" w:rsidDel="00000000" w:rsidP="00000000" w:rsidRDefault="00000000" w:rsidRPr="00000000" w14:paraId="000000FE">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Yahaya, O.A., 2025. Could the Board of Directors save Publicly Traded Companies from Bankruptcy?. </w:t>
      </w:r>
      <w:r w:rsidDel="00000000" w:rsidR="00000000" w:rsidRPr="00000000">
        <w:rPr>
          <w:rFonts w:ascii="Arial" w:cs="Arial" w:eastAsia="Arial" w:hAnsi="Arial"/>
          <w:i w:val="1"/>
          <w:iCs w:val="1"/>
          <w:sz w:val="24"/>
          <w:szCs w:val="24"/>
          <w:highlight w:val="white"/>
          <w:rtl w:val="0"/>
        </w:rPr>
        <w:t xml:space="preserve">Available at SSRN 5159976</w:t>
      </w:r>
      <w:r w:rsidDel="00000000" w:rsidR="00000000" w:rsidRPr="00000000">
        <w:rPr>
          <w:rFonts w:ascii="Arial" w:cs="Arial" w:eastAsia="Arial" w:hAnsi="Arial"/>
          <w:sz w:val="24"/>
          <w:szCs w:val="24"/>
          <w:highlight w:val="white"/>
          <w:rtl w:val="0"/>
        </w:rPr>
        <w:t xml:space="preserve">.</w:t>
      </w:r>
    </w:p>
    <w:p w:rsidR="00000000" w:rsidDel="00000000" w:rsidP="00000000" w:rsidRDefault="00000000" w:rsidRPr="00000000" w14:paraId="000000FF">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Zhelev, Z. and Kostova, S., 2024. Investigating the application of digital tools for information management in financial control: Evidence from Bulgaria. </w:t>
      </w:r>
      <w:r w:rsidDel="00000000" w:rsidR="00000000" w:rsidRPr="00000000">
        <w:rPr>
          <w:rFonts w:ascii="Arial" w:cs="Arial" w:eastAsia="Arial" w:hAnsi="Arial"/>
          <w:i w:val="1"/>
          <w:iCs w:val="1"/>
          <w:sz w:val="24"/>
          <w:szCs w:val="24"/>
          <w:highlight w:val="white"/>
          <w:rtl w:val="0"/>
        </w:rPr>
        <w:t xml:space="preserve">Journal of Risk and Financial Management</w:t>
      </w:r>
      <w:r w:rsidDel="00000000" w:rsidR="00000000" w:rsidRPr="00000000">
        <w:rPr>
          <w:rFonts w:ascii="Arial" w:cs="Arial" w:eastAsia="Arial" w:hAnsi="Arial"/>
          <w:sz w:val="24"/>
          <w:szCs w:val="24"/>
          <w:highlight w:val="white"/>
          <w:rtl w:val="0"/>
        </w:rPr>
        <w:t xml:space="preserve">, </w:t>
      </w:r>
      <w:r w:rsidDel="00000000" w:rsidR="00000000" w:rsidRPr="00000000">
        <w:rPr>
          <w:rFonts w:ascii="Arial" w:cs="Arial" w:eastAsia="Arial" w:hAnsi="Arial"/>
          <w:i w:val="1"/>
          <w:iCs w:val="1"/>
          <w:sz w:val="24"/>
          <w:szCs w:val="24"/>
          <w:highlight w:val="white"/>
          <w:rtl w:val="0"/>
        </w:rPr>
        <w:t xml:space="preserve">17</w:t>
      </w:r>
      <w:r w:rsidDel="00000000" w:rsidR="00000000" w:rsidRPr="00000000">
        <w:rPr>
          <w:rFonts w:ascii="Arial" w:cs="Arial" w:eastAsia="Arial" w:hAnsi="Arial"/>
          <w:sz w:val="24"/>
          <w:szCs w:val="24"/>
          <w:highlight w:val="white"/>
          <w:rtl w:val="0"/>
        </w:rPr>
        <w:t xml:space="preserve">(4), p.165.</w:t>
      </w:r>
    </w:p>
    <w:p w:rsidR="00000000" w:rsidDel="00000000" w:rsidP="00000000" w:rsidRDefault="00000000" w:rsidRPr="00000000" w14:paraId="00000100">
      <w:pPr>
        <w:spacing w:line="360" w:lineRule="auto"/>
        <w:jc w:val="both"/>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Zhira, D., 2025. </w:t>
      </w:r>
      <w:r w:rsidDel="00000000" w:rsidR="00000000" w:rsidRPr="00000000">
        <w:rPr>
          <w:rFonts w:ascii="Arial" w:cs="Arial" w:eastAsia="Arial" w:hAnsi="Arial"/>
          <w:i w:val="1"/>
          <w:iCs w:val="1"/>
          <w:sz w:val="24"/>
          <w:szCs w:val="24"/>
          <w:highlight w:val="white"/>
          <w:rtl w:val="0"/>
        </w:rPr>
        <w:t xml:space="preserve">Working Capital Management Strategies to Improve Private Healthcare Facilities’ Profitability in Southern Africa</w:t>
      </w:r>
      <w:r w:rsidDel="00000000" w:rsidR="00000000" w:rsidRPr="00000000">
        <w:rPr>
          <w:rFonts w:ascii="Arial" w:cs="Arial" w:eastAsia="Arial" w:hAnsi="Arial"/>
          <w:sz w:val="24"/>
          <w:szCs w:val="24"/>
          <w:highlight w:val="white"/>
          <w:rtl w:val="0"/>
        </w:rPr>
        <w:t xml:space="preserve"> (Doctoral dissertation, Walden University).</w:t>
      </w:r>
    </w:p>
    <w:p w:rsidR="00000000" w:rsidDel="00000000" w:rsidP="00000000" w:rsidRDefault="00000000" w:rsidRPr="00000000" w14:paraId="00000101">
      <w:pPr>
        <w:rPr>
          <w:rFonts w:ascii="Arial" w:cs="Arial" w:eastAsia="Arial" w:hAnsi="Arial"/>
          <w:b w:val="1"/>
          <w:bCs w:val="1"/>
          <w:sz w:val="24"/>
          <w:szCs w:val="24"/>
        </w:rPr>
      </w:pPr>
      <w:bookmarkStart w:colFirst="0" w:colLast="0" w:name="_ngfd7ilmes95" w:id="24"/>
      <w:bookmarkEnd w:id="24"/>
      <w:r w:rsidDel="00000000" w:rsidR="00000000" w:rsidRPr="00000000">
        <w:br w:type="page"/>
      </w:r>
      <w:r w:rsidDel="00000000" w:rsidR="00000000" w:rsidRPr="00000000">
        <w:rPr>
          <w:rtl w:val="0"/>
        </w:rPr>
      </w:r>
    </w:p>
    <w:p w:rsidR="00000000" w:rsidDel="00000000" w:rsidP="00000000" w:rsidRDefault="00000000" w:rsidRPr="00000000" w14:paraId="00000102">
      <w:pPr>
        <w:pStyle w:val="Heading1"/>
        <w:spacing w:line="360" w:lineRule="auto"/>
        <w:jc w:val="both"/>
        <w:rPr>
          <w:rFonts w:ascii="Arial" w:cs="Arial" w:eastAsia="Arial" w:hAnsi="Arial"/>
          <w:b w:val="1"/>
          <w:bCs w:val="1"/>
          <w:color w:val="000000"/>
          <w:sz w:val="24"/>
          <w:szCs w:val="24"/>
        </w:rPr>
      </w:pPr>
      <w:r w:rsidDel="00000000" w:rsidR="00000000" w:rsidRPr="00000000">
        <w:rPr>
          <w:rFonts w:ascii="Arial" w:cs="Arial" w:eastAsia="Arial" w:hAnsi="Arial"/>
          <w:b w:val="1"/>
          <w:bCs w:val="1"/>
          <w:color w:val="000000"/>
          <w:sz w:val="24"/>
          <w:szCs w:val="24"/>
          <w:rtl w:val="0"/>
        </w:rPr>
        <w:t xml:space="preserve">Appendix</w:t>
      </w:r>
    </w:p>
    <w:p w:rsidR="00000000" w:rsidDel="00000000" w:rsidP="00000000" w:rsidRDefault="00000000" w:rsidRPr="00000000" w14:paraId="00000103">
      <w:pPr>
        <w:pStyle w:val="Heading2"/>
        <w:spacing w:line="360" w:lineRule="auto"/>
        <w:jc w:val="both"/>
        <w:rPr>
          <w:rFonts w:ascii="Arial" w:cs="Arial" w:eastAsia="Arial" w:hAnsi="Arial"/>
          <w:b w:val="1"/>
          <w:bCs w:val="1"/>
          <w:color w:val="000000"/>
          <w:sz w:val="24"/>
          <w:szCs w:val="24"/>
        </w:rPr>
      </w:pPr>
      <w:bookmarkStart w:colFirst="0" w:colLast="0" w:name="_62dyv3onnne2" w:id="25"/>
      <w:bookmarkEnd w:id="25"/>
      <w:r w:rsidDel="00000000" w:rsidR="00000000" w:rsidRPr="00000000">
        <w:rPr>
          <w:rFonts w:ascii="Arial" w:cs="Arial" w:eastAsia="Arial" w:hAnsi="Arial"/>
          <w:b w:val="1"/>
          <w:bCs w:val="1"/>
          <w:color w:val="000000"/>
          <w:sz w:val="24"/>
          <w:szCs w:val="24"/>
          <w:rtl w:val="0"/>
        </w:rPr>
        <w:t xml:space="preserve">Ratio Table and Graphs</w:t>
      </w:r>
    </w:p>
    <w:p w:rsidR="00000000" w:rsidDel="00000000" w:rsidP="00000000" w:rsidRDefault="00000000" w:rsidRPr="00000000" w14:paraId="0000010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Profitability Ratio</w:t>
      </w:r>
    </w:p>
    <w:tbl>
      <w:tblPr>
        <w:tblStyle w:val="Table4"/>
        <w:tblW w:w="797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50"/>
        <w:gridCol w:w="2590"/>
        <w:gridCol w:w="4630"/>
        <w:tblGridChange w:id="0">
          <w:tblGrid>
            <w:gridCol w:w="750"/>
            <w:gridCol w:w="2590"/>
            <w:gridCol w:w="4630"/>
          </w:tblGrid>
        </w:tblGridChange>
      </w:tblGrid>
      <w:tr>
        <w:trPr>
          <w:cantSplit w:val="0"/>
          <w:tblHeader w:val="0"/>
        </w:trPr>
        <w:tc>
          <w:tcPr/>
          <w:p w:rsidR="00000000" w:rsidDel="00000000" w:rsidP="00000000" w:rsidRDefault="00000000" w:rsidRPr="00000000" w14:paraId="0000010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Year</w:t>
            </w:r>
          </w:p>
        </w:tc>
        <w:tc>
          <w:tcPr/>
          <w:p w:rsidR="00000000" w:rsidDel="00000000" w:rsidP="00000000" w:rsidRDefault="00000000" w:rsidRPr="00000000" w14:paraId="0000010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Net Profit Margin (%)</w:t>
            </w:r>
          </w:p>
        </w:tc>
        <w:tc>
          <w:tcPr/>
          <w:p w:rsidR="00000000" w:rsidDel="00000000" w:rsidP="00000000" w:rsidRDefault="00000000" w:rsidRPr="00000000" w14:paraId="0000010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Return on Capital Employed (ROCE %)</w:t>
            </w:r>
          </w:p>
        </w:tc>
      </w:tr>
      <w:tr>
        <w:trPr>
          <w:cantSplit w:val="0"/>
          <w:tblHeader w:val="0"/>
        </w:trPr>
        <w:tc>
          <w:tcPr/>
          <w:p w:rsidR="00000000" w:rsidDel="00000000" w:rsidP="00000000" w:rsidRDefault="00000000" w:rsidRPr="00000000" w14:paraId="00000108">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2020</w:t>
            </w:r>
            <w:r w:rsidDel="00000000" w:rsidR="00000000" w:rsidRPr="00000000">
              <w:rPr>
                <w:rtl w:val="0"/>
              </w:rPr>
            </w:r>
          </w:p>
        </w:tc>
        <w:tc>
          <w:tcPr/>
          <w:p w:rsidR="00000000" w:rsidDel="00000000" w:rsidP="00000000" w:rsidRDefault="00000000" w:rsidRPr="00000000" w14:paraId="0000010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6.3%</w:t>
            </w:r>
          </w:p>
        </w:tc>
        <w:tc>
          <w:tcPr/>
          <w:p w:rsidR="00000000" w:rsidDel="00000000" w:rsidP="00000000" w:rsidRDefault="00000000" w:rsidRPr="00000000" w14:paraId="0000010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11.9%</w:t>
            </w:r>
          </w:p>
        </w:tc>
      </w:tr>
      <w:tr>
        <w:trPr>
          <w:cantSplit w:val="0"/>
          <w:tblHeader w:val="0"/>
        </w:trPr>
        <w:tc>
          <w:tcPr/>
          <w:p w:rsidR="00000000" w:rsidDel="00000000" w:rsidP="00000000" w:rsidRDefault="00000000" w:rsidRPr="00000000" w14:paraId="0000010B">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2021</w:t>
            </w:r>
            <w:r w:rsidDel="00000000" w:rsidR="00000000" w:rsidRPr="00000000">
              <w:rPr>
                <w:rtl w:val="0"/>
              </w:rPr>
            </w:r>
          </w:p>
        </w:tc>
        <w:tc>
          <w:tcPr/>
          <w:p w:rsidR="00000000" w:rsidDel="00000000" w:rsidP="00000000" w:rsidRDefault="00000000" w:rsidRPr="00000000" w14:paraId="0000010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0.9%</w:t>
            </w:r>
          </w:p>
        </w:tc>
        <w:tc>
          <w:tcPr/>
          <w:p w:rsidR="00000000" w:rsidDel="00000000" w:rsidP="00000000" w:rsidRDefault="00000000" w:rsidRPr="00000000" w14:paraId="0000010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8.4%</w:t>
            </w:r>
          </w:p>
        </w:tc>
      </w:tr>
      <w:tr>
        <w:trPr>
          <w:cantSplit w:val="0"/>
          <w:tblHeader w:val="0"/>
        </w:trPr>
        <w:tc>
          <w:tcPr/>
          <w:p w:rsidR="00000000" w:rsidDel="00000000" w:rsidP="00000000" w:rsidRDefault="00000000" w:rsidRPr="00000000" w14:paraId="0000010E">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2022</w:t>
            </w:r>
            <w:r w:rsidDel="00000000" w:rsidR="00000000" w:rsidRPr="00000000">
              <w:rPr>
                <w:rtl w:val="0"/>
              </w:rPr>
            </w:r>
          </w:p>
        </w:tc>
        <w:tc>
          <w:tcPr/>
          <w:p w:rsidR="00000000" w:rsidDel="00000000" w:rsidP="00000000" w:rsidRDefault="00000000" w:rsidRPr="00000000" w14:paraId="0000010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0.07%</w:t>
            </w:r>
          </w:p>
        </w:tc>
        <w:tc>
          <w:tcPr/>
          <w:p w:rsidR="00000000" w:rsidDel="00000000" w:rsidP="00000000" w:rsidRDefault="00000000" w:rsidRPr="00000000" w14:paraId="0000011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2.9%</w:t>
            </w:r>
          </w:p>
        </w:tc>
      </w:tr>
      <w:tr>
        <w:trPr>
          <w:cantSplit w:val="0"/>
          <w:tblHeader w:val="0"/>
        </w:trPr>
        <w:tc>
          <w:tcPr/>
          <w:p w:rsidR="00000000" w:rsidDel="00000000" w:rsidP="00000000" w:rsidRDefault="00000000" w:rsidRPr="00000000" w14:paraId="00000111">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2023</w:t>
            </w:r>
            <w:r w:rsidDel="00000000" w:rsidR="00000000" w:rsidRPr="00000000">
              <w:rPr>
                <w:rtl w:val="0"/>
              </w:rPr>
            </w:r>
          </w:p>
        </w:tc>
        <w:tc>
          <w:tcPr/>
          <w:p w:rsidR="00000000" w:rsidDel="00000000" w:rsidP="00000000" w:rsidRDefault="00000000" w:rsidRPr="00000000" w14:paraId="0000011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-23.4%</w:t>
            </w:r>
          </w:p>
        </w:tc>
        <w:tc>
          <w:tcPr/>
          <w:p w:rsidR="00000000" w:rsidDel="00000000" w:rsidP="00000000" w:rsidRDefault="00000000" w:rsidRPr="00000000" w14:paraId="0000011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-18.1%</w:t>
            </w:r>
          </w:p>
        </w:tc>
      </w:tr>
      <w:tr>
        <w:trPr>
          <w:cantSplit w:val="0"/>
          <w:tblHeader w:val="0"/>
        </w:trPr>
        <w:tc>
          <w:tcPr/>
          <w:p w:rsidR="00000000" w:rsidDel="00000000" w:rsidP="00000000" w:rsidRDefault="00000000" w:rsidRPr="00000000" w14:paraId="00000114">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2024</w:t>
            </w:r>
            <w:r w:rsidDel="00000000" w:rsidR="00000000" w:rsidRPr="00000000">
              <w:rPr>
                <w:rtl w:val="0"/>
              </w:rPr>
            </w:r>
          </w:p>
        </w:tc>
        <w:tc>
          <w:tcPr/>
          <w:p w:rsidR="00000000" w:rsidDel="00000000" w:rsidP="00000000" w:rsidRDefault="00000000" w:rsidRPr="00000000" w14:paraId="0000011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-6.1%</w:t>
            </w:r>
          </w:p>
        </w:tc>
        <w:tc>
          <w:tcPr/>
          <w:p w:rsidR="00000000" w:rsidDel="00000000" w:rsidP="00000000" w:rsidRDefault="00000000" w:rsidRPr="00000000" w14:paraId="0000011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-7.8%</w:t>
            </w:r>
          </w:p>
        </w:tc>
      </w:tr>
    </w:tbl>
    <w:p w:rsidR="00000000" w:rsidDel="00000000" w:rsidP="00000000" w:rsidRDefault="00000000" w:rsidRPr="00000000" w14:paraId="0000011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effectExtent b="0" l="0" r="0" t="0"/>
            <wp:docPr id="2" name=""/>
            <a:graphic>
              <a:graphicData uri="http://schemas.openxmlformats.org/drawingml/2006/chart">
                <c:chart r:id="rId7"/>
              </a:graphicData>
            </a:graphic>
          </wp:inline>
        </w:drawing>
      </w:r>
      <w:r w:rsidDel="00000000" w:rsidR="00000000" w:rsidRPr="00000000">
        <w:rPr>
          <w:rtl w:val="0"/>
        </w:rPr>
      </w:r>
    </w:p>
    <w:p w:rsidR="00000000" w:rsidDel="00000000" w:rsidP="00000000" w:rsidRDefault="00000000" w:rsidRPr="00000000" w14:paraId="0000011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Liquidity Ratio</w:t>
      </w:r>
    </w:p>
    <w:tbl>
      <w:tblPr>
        <w:tblStyle w:val="Table5"/>
        <w:tblW w:w="778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441"/>
        <w:gridCol w:w="3363"/>
        <w:gridCol w:w="2978"/>
        <w:tblGridChange w:id="0">
          <w:tblGrid>
            <w:gridCol w:w="1441"/>
            <w:gridCol w:w="3363"/>
            <w:gridCol w:w="2978"/>
          </w:tblGrid>
        </w:tblGridChange>
      </w:tblGrid>
      <w:tr>
        <w:trPr>
          <w:cantSplit w:val="0"/>
          <w:trHeight w:val="254" w:hRule="atLeast"/>
          <w:tblHeader w:val="0"/>
        </w:trPr>
        <w:tc>
          <w:tcPr/>
          <w:p w:rsidR="00000000" w:rsidDel="00000000" w:rsidP="00000000" w:rsidRDefault="00000000" w:rsidRPr="00000000" w14:paraId="0000011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Year</w:t>
            </w:r>
          </w:p>
        </w:tc>
        <w:tc>
          <w:tcPr/>
          <w:p w:rsidR="00000000" w:rsidDel="00000000" w:rsidP="00000000" w:rsidRDefault="00000000" w:rsidRPr="00000000" w14:paraId="0000011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Current Ratio</w:t>
            </w:r>
          </w:p>
        </w:tc>
        <w:tc>
          <w:tcPr/>
          <w:p w:rsidR="00000000" w:rsidDel="00000000" w:rsidP="00000000" w:rsidRDefault="00000000" w:rsidRPr="00000000" w14:paraId="0000011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Quick Ratio</w:t>
            </w:r>
          </w:p>
        </w:tc>
      </w:tr>
      <w:tr>
        <w:trPr>
          <w:cantSplit w:val="0"/>
          <w:trHeight w:val="254" w:hRule="atLeast"/>
          <w:tblHeader w:val="0"/>
        </w:trPr>
        <w:tc>
          <w:tcPr/>
          <w:p w:rsidR="00000000" w:rsidDel="00000000" w:rsidP="00000000" w:rsidRDefault="00000000" w:rsidRPr="00000000" w14:paraId="0000011C">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2020</w:t>
            </w:r>
            <w:r w:rsidDel="00000000" w:rsidR="00000000" w:rsidRPr="00000000">
              <w:rPr>
                <w:rtl w:val="0"/>
              </w:rPr>
            </w:r>
          </w:p>
        </w:tc>
        <w:tc>
          <w:tcPr/>
          <w:p w:rsidR="00000000" w:rsidDel="00000000" w:rsidP="00000000" w:rsidRDefault="00000000" w:rsidRPr="00000000" w14:paraId="0000011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1.82</w:t>
            </w:r>
          </w:p>
        </w:tc>
        <w:tc>
          <w:tcPr/>
          <w:p w:rsidR="00000000" w:rsidDel="00000000" w:rsidP="00000000" w:rsidRDefault="00000000" w:rsidRPr="00000000" w14:paraId="0000011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1.14</w:t>
            </w:r>
          </w:p>
        </w:tc>
      </w:tr>
      <w:tr>
        <w:trPr>
          <w:cantSplit w:val="0"/>
          <w:trHeight w:val="243" w:hRule="atLeast"/>
          <w:tblHeader w:val="0"/>
        </w:trPr>
        <w:tc>
          <w:tcPr/>
          <w:p w:rsidR="00000000" w:rsidDel="00000000" w:rsidP="00000000" w:rsidRDefault="00000000" w:rsidRPr="00000000" w14:paraId="0000011F">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2021</w:t>
            </w:r>
            <w:r w:rsidDel="00000000" w:rsidR="00000000" w:rsidRPr="00000000">
              <w:rPr>
                <w:rtl w:val="0"/>
              </w:rPr>
            </w:r>
          </w:p>
        </w:tc>
        <w:tc>
          <w:tcPr/>
          <w:p w:rsidR="00000000" w:rsidDel="00000000" w:rsidP="00000000" w:rsidRDefault="00000000" w:rsidRPr="00000000" w14:paraId="0000012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1.55</w:t>
            </w:r>
          </w:p>
        </w:tc>
        <w:tc>
          <w:tcPr/>
          <w:p w:rsidR="00000000" w:rsidDel="00000000" w:rsidP="00000000" w:rsidRDefault="00000000" w:rsidRPr="00000000" w14:paraId="0000012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1.02</w:t>
            </w:r>
          </w:p>
        </w:tc>
      </w:tr>
      <w:tr>
        <w:trPr>
          <w:cantSplit w:val="0"/>
          <w:trHeight w:val="254" w:hRule="atLeast"/>
          <w:tblHeader w:val="0"/>
        </w:trPr>
        <w:tc>
          <w:tcPr/>
          <w:p w:rsidR="00000000" w:rsidDel="00000000" w:rsidP="00000000" w:rsidRDefault="00000000" w:rsidRPr="00000000" w14:paraId="00000122">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2022</w:t>
            </w:r>
            <w:r w:rsidDel="00000000" w:rsidR="00000000" w:rsidRPr="00000000">
              <w:rPr>
                <w:rtl w:val="0"/>
              </w:rPr>
            </w:r>
          </w:p>
        </w:tc>
        <w:tc>
          <w:tcPr/>
          <w:p w:rsidR="00000000" w:rsidDel="00000000" w:rsidP="00000000" w:rsidRDefault="00000000" w:rsidRPr="00000000" w14:paraId="0000012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1.56</w:t>
            </w:r>
          </w:p>
        </w:tc>
        <w:tc>
          <w:tcPr/>
          <w:p w:rsidR="00000000" w:rsidDel="00000000" w:rsidP="00000000" w:rsidRDefault="00000000" w:rsidRPr="00000000" w14:paraId="000001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0.92</w:t>
            </w:r>
          </w:p>
        </w:tc>
      </w:tr>
      <w:tr>
        <w:trPr>
          <w:cantSplit w:val="0"/>
          <w:trHeight w:val="254" w:hRule="atLeast"/>
          <w:tblHeader w:val="0"/>
        </w:trPr>
        <w:tc>
          <w:tcPr/>
          <w:p w:rsidR="00000000" w:rsidDel="00000000" w:rsidP="00000000" w:rsidRDefault="00000000" w:rsidRPr="00000000" w14:paraId="00000125">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2023</w:t>
            </w:r>
            <w:r w:rsidDel="00000000" w:rsidR="00000000" w:rsidRPr="00000000">
              <w:rPr>
                <w:rtl w:val="0"/>
              </w:rPr>
            </w:r>
          </w:p>
        </w:tc>
        <w:tc>
          <w:tcPr/>
          <w:p w:rsidR="00000000" w:rsidDel="00000000" w:rsidP="00000000" w:rsidRDefault="00000000" w:rsidRPr="00000000" w14:paraId="000001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1.61</w:t>
            </w:r>
          </w:p>
        </w:tc>
        <w:tc>
          <w:tcPr/>
          <w:p w:rsidR="00000000" w:rsidDel="00000000" w:rsidP="00000000" w:rsidRDefault="00000000" w:rsidRPr="00000000" w14:paraId="0000012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0.93</w:t>
            </w:r>
          </w:p>
        </w:tc>
      </w:tr>
      <w:tr>
        <w:trPr>
          <w:cantSplit w:val="0"/>
          <w:trHeight w:val="254" w:hRule="atLeast"/>
          <w:tblHeader w:val="0"/>
        </w:trPr>
        <w:tc>
          <w:tcPr/>
          <w:p w:rsidR="00000000" w:rsidDel="00000000" w:rsidP="00000000" w:rsidRDefault="00000000" w:rsidRPr="00000000" w14:paraId="00000128">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2024</w:t>
            </w:r>
            <w:r w:rsidDel="00000000" w:rsidR="00000000" w:rsidRPr="00000000">
              <w:rPr>
                <w:rtl w:val="0"/>
              </w:rPr>
            </w:r>
          </w:p>
        </w:tc>
        <w:tc>
          <w:tcPr/>
          <w:p w:rsidR="00000000" w:rsidDel="00000000" w:rsidP="00000000" w:rsidRDefault="00000000" w:rsidRPr="00000000" w14:paraId="0000012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1.53</w:t>
            </w:r>
          </w:p>
        </w:tc>
        <w:tc>
          <w:tcPr/>
          <w:p w:rsidR="00000000" w:rsidDel="00000000" w:rsidP="00000000" w:rsidRDefault="00000000" w:rsidRPr="00000000" w14:paraId="0000012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1.03</w:t>
            </w:r>
          </w:p>
        </w:tc>
      </w:tr>
    </w:tbl>
    <w:p w:rsidR="00000000" w:rsidDel="00000000" w:rsidP="00000000" w:rsidRDefault="00000000" w:rsidRPr="00000000" w14:paraId="0000012B">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effectExtent b="0" l="0" r="0" t="0"/>
            <wp:docPr id="1" name=""/>
            <a:graphic>
              <a:graphicData uri="http://schemas.openxmlformats.org/drawingml/2006/chart">
                <c:chart r:id="rId8"/>
              </a:graphicData>
            </a:graphic>
          </wp:inline>
        </w:drawing>
      </w:r>
      <w:r w:rsidDel="00000000" w:rsidR="00000000" w:rsidRPr="00000000">
        <w:rPr>
          <w:rtl w:val="0"/>
        </w:rPr>
      </w:r>
    </w:p>
    <w:p w:rsidR="00000000" w:rsidDel="00000000" w:rsidP="00000000" w:rsidRDefault="00000000" w:rsidRPr="00000000" w14:paraId="0000012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Efficiency Ratio</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50"/>
        <w:gridCol w:w="2665"/>
        <w:gridCol w:w="2974"/>
        <w:gridCol w:w="2627"/>
        <w:tblGridChange w:id="0">
          <w:tblGrid>
            <w:gridCol w:w="750"/>
            <w:gridCol w:w="2665"/>
            <w:gridCol w:w="2974"/>
            <w:gridCol w:w="2627"/>
          </w:tblGrid>
        </w:tblGridChange>
      </w:tblGrid>
      <w:tr>
        <w:trPr>
          <w:cantSplit w:val="0"/>
          <w:tblHeader w:val="0"/>
        </w:trPr>
        <w:tc>
          <w:tcPr/>
          <w:p w:rsidR="00000000" w:rsidDel="00000000" w:rsidP="00000000" w:rsidRDefault="00000000" w:rsidRPr="00000000" w14:paraId="0000012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Year</w:t>
            </w:r>
          </w:p>
        </w:tc>
        <w:tc>
          <w:tcPr/>
          <w:p w:rsidR="00000000" w:rsidDel="00000000" w:rsidP="00000000" w:rsidRDefault="00000000" w:rsidRPr="00000000" w14:paraId="0000012E">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Inventory Turnover Period (Days)</w:t>
            </w:r>
          </w:p>
        </w:tc>
        <w:tc>
          <w:tcPr/>
          <w:p w:rsidR="00000000" w:rsidDel="00000000" w:rsidP="00000000" w:rsidRDefault="00000000" w:rsidRPr="00000000" w14:paraId="0000012F">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Receivables Turnover Period (Days)</w:t>
            </w:r>
          </w:p>
        </w:tc>
        <w:tc>
          <w:tcPr/>
          <w:p w:rsidR="00000000" w:rsidDel="00000000" w:rsidP="00000000" w:rsidRDefault="00000000" w:rsidRPr="00000000" w14:paraId="00000130">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Payables Turnover Period (Days)</w:t>
            </w:r>
          </w:p>
        </w:tc>
      </w:tr>
      <w:tr>
        <w:trPr>
          <w:cantSplit w:val="0"/>
          <w:tblHeader w:val="0"/>
        </w:trPr>
        <w:tc>
          <w:tcPr/>
          <w:p w:rsidR="00000000" w:rsidDel="00000000" w:rsidP="00000000" w:rsidRDefault="00000000" w:rsidRPr="00000000" w14:paraId="00000131">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2020</w:t>
            </w:r>
            <w:r w:rsidDel="00000000" w:rsidR="00000000" w:rsidRPr="00000000">
              <w:rPr>
                <w:rtl w:val="0"/>
              </w:rPr>
            </w:r>
          </w:p>
        </w:tc>
        <w:tc>
          <w:tcPr/>
          <w:p w:rsidR="00000000" w:rsidDel="00000000" w:rsidP="00000000" w:rsidRDefault="00000000" w:rsidRPr="00000000" w14:paraId="0000013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100</w:t>
            </w:r>
          </w:p>
        </w:tc>
        <w:tc>
          <w:tcPr/>
          <w:p w:rsidR="00000000" w:rsidDel="00000000" w:rsidP="00000000" w:rsidRDefault="00000000" w:rsidRPr="00000000" w14:paraId="0000013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77</w:t>
            </w:r>
          </w:p>
        </w:tc>
        <w:tc>
          <w:tcPr/>
          <w:p w:rsidR="00000000" w:rsidDel="00000000" w:rsidP="00000000" w:rsidRDefault="00000000" w:rsidRPr="00000000" w14:paraId="0000013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69</w:t>
            </w:r>
          </w:p>
        </w:tc>
      </w:tr>
      <w:tr>
        <w:trPr>
          <w:cantSplit w:val="0"/>
          <w:tblHeader w:val="0"/>
        </w:trPr>
        <w:tc>
          <w:tcPr/>
          <w:p w:rsidR="00000000" w:rsidDel="00000000" w:rsidP="00000000" w:rsidRDefault="00000000" w:rsidRPr="00000000" w14:paraId="00000135">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2021</w:t>
            </w:r>
            <w:r w:rsidDel="00000000" w:rsidR="00000000" w:rsidRPr="00000000">
              <w:rPr>
                <w:rtl w:val="0"/>
              </w:rPr>
            </w:r>
          </w:p>
        </w:tc>
        <w:tc>
          <w:tcPr/>
          <w:p w:rsidR="00000000" w:rsidDel="00000000" w:rsidP="00000000" w:rsidRDefault="00000000" w:rsidRPr="00000000" w14:paraId="0000013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114</w:t>
            </w:r>
          </w:p>
        </w:tc>
        <w:tc>
          <w:tcPr/>
          <w:p w:rsidR="00000000" w:rsidDel="00000000" w:rsidP="00000000" w:rsidRDefault="00000000" w:rsidRPr="00000000" w14:paraId="000001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78</w:t>
            </w:r>
          </w:p>
        </w:tc>
        <w:tc>
          <w:tcPr/>
          <w:p w:rsidR="00000000" w:rsidDel="00000000" w:rsidP="00000000" w:rsidRDefault="00000000" w:rsidRPr="00000000" w14:paraId="000001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73</w:t>
            </w:r>
          </w:p>
        </w:tc>
      </w:tr>
      <w:tr>
        <w:trPr>
          <w:cantSplit w:val="0"/>
          <w:tblHeader w:val="0"/>
        </w:trPr>
        <w:tc>
          <w:tcPr/>
          <w:p w:rsidR="00000000" w:rsidDel="00000000" w:rsidP="00000000" w:rsidRDefault="00000000" w:rsidRPr="00000000" w14:paraId="00000139">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2022</w:t>
            </w:r>
            <w:r w:rsidDel="00000000" w:rsidR="00000000" w:rsidRPr="00000000">
              <w:rPr>
                <w:rtl w:val="0"/>
              </w:rPr>
            </w:r>
          </w:p>
        </w:tc>
        <w:tc>
          <w:tcPr/>
          <w:p w:rsidR="00000000" w:rsidDel="00000000" w:rsidP="00000000" w:rsidRDefault="00000000" w:rsidRPr="00000000" w14:paraId="0000013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131</w:t>
            </w:r>
          </w:p>
        </w:tc>
        <w:tc>
          <w:tcPr/>
          <w:p w:rsidR="00000000" w:rsidDel="00000000" w:rsidP="00000000" w:rsidRDefault="00000000" w:rsidRPr="00000000" w14:paraId="0000013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76</w:t>
            </w:r>
          </w:p>
        </w:tc>
        <w:tc>
          <w:tcPr/>
          <w:p w:rsidR="00000000" w:rsidDel="00000000" w:rsidP="00000000" w:rsidRDefault="00000000" w:rsidRPr="00000000" w14:paraId="0000013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66</w:t>
            </w:r>
          </w:p>
        </w:tc>
      </w:tr>
      <w:tr>
        <w:trPr>
          <w:cantSplit w:val="0"/>
          <w:tblHeader w:val="0"/>
        </w:trPr>
        <w:tc>
          <w:tcPr/>
          <w:p w:rsidR="00000000" w:rsidDel="00000000" w:rsidP="00000000" w:rsidRDefault="00000000" w:rsidRPr="00000000" w14:paraId="0000013D">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2023</w:t>
            </w:r>
            <w:r w:rsidDel="00000000" w:rsidR="00000000" w:rsidRPr="00000000">
              <w:rPr>
                <w:rtl w:val="0"/>
              </w:rPr>
            </w:r>
          </w:p>
        </w:tc>
        <w:tc>
          <w:tcPr/>
          <w:p w:rsidR="00000000" w:rsidDel="00000000" w:rsidP="00000000" w:rsidRDefault="00000000" w:rsidRPr="00000000" w14:paraId="0000013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100</w:t>
            </w:r>
          </w:p>
        </w:tc>
        <w:tc>
          <w:tcPr/>
          <w:p w:rsidR="00000000" w:rsidDel="00000000" w:rsidP="00000000" w:rsidRDefault="00000000" w:rsidRPr="00000000" w14:paraId="0000013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98</w:t>
            </w:r>
          </w:p>
        </w:tc>
        <w:tc>
          <w:tcPr/>
          <w:p w:rsidR="00000000" w:rsidDel="00000000" w:rsidP="00000000" w:rsidRDefault="00000000" w:rsidRPr="00000000" w14:paraId="0000014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64</w:t>
            </w:r>
          </w:p>
        </w:tc>
      </w:tr>
      <w:tr>
        <w:trPr>
          <w:cantSplit w:val="0"/>
          <w:tblHeader w:val="0"/>
        </w:trPr>
        <w:tc>
          <w:tcPr/>
          <w:p w:rsidR="00000000" w:rsidDel="00000000" w:rsidP="00000000" w:rsidRDefault="00000000" w:rsidRPr="00000000" w14:paraId="00000141">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2024</w:t>
            </w:r>
            <w:r w:rsidDel="00000000" w:rsidR="00000000" w:rsidRPr="00000000">
              <w:rPr>
                <w:rtl w:val="0"/>
              </w:rPr>
            </w:r>
          </w:p>
        </w:tc>
        <w:tc>
          <w:tcPr/>
          <w:p w:rsidR="00000000" w:rsidDel="00000000" w:rsidP="00000000" w:rsidRDefault="00000000" w:rsidRPr="00000000" w14:paraId="000001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103</w:t>
            </w:r>
          </w:p>
        </w:tc>
        <w:tc>
          <w:tcPr/>
          <w:p w:rsidR="00000000" w:rsidDel="00000000" w:rsidP="00000000" w:rsidRDefault="00000000" w:rsidRPr="00000000" w14:paraId="0000014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106</w:t>
            </w:r>
          </w:p>
        </w:tc>
        <w:tc>
          <w:tcPr/>
          <w:p w:rsidR="00000000" w:rsidDel="00000000" w:rsidP="00000000" w:rsidRDefault="00000000" w:rsidRPr="00000000" w14:paraId="0000014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67</w:t>
            </w:r>
          </w:p>
        </w:tc>
      </w:tr>
    </w:tbl>
    <w:p w:rsidR="00000000" w:rsidDel="00000000" w:rsidP="00000000" w:rsidRDefault="00000000" w:rsidRPr="00000000" w14:paraId="00000145">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effectExtent b="0" l="0" r="0" t="0"/>
            <wp:docPr id="4" name=""/>
            <a:graphic>
              <a:graphicData uri="http://schemas.openxmlformats.org/drawingml/2006/chart">
                <c:chart r:id="rId9"/>
              </a:graphicData>
            </a:graphic>
          </wp:inline>
        </w:drawing>
      </w:r>
      <w:r w:rsidDel="00000000" w:rsidR="00000000" w:rsidRPr="00000000">
        <w:rPr>
          <w:rtl w:val="0"/>
        </w:rPr>
      </w:r>
    </w:p>
    <w:p w:rsidR="00000000" w:rsidDel="00000000" w:rsidP="00000000" w:rsidRDefault="00000000" w:rsidRPr="00000000" w14:paraId="0000014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Gearing Ratio</w:t>
      </w:r>
    </w:p>
    <w:tbl>
      <w:tblPr>
        <w:tblStyle w:val="Table7"/>
        <w:tblW w:w="9092.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100"/>
        <w:gridCol w:w="3721"/>
        <w:gridCol w:w="4271"/>
        <w:tblGridChange w:id="0">
          <w:tblGrid>
            <w:gridCol w:w="1100"/>
            <w:gridCol w:w="3721"/>
            <w:gridCol w:w="4271"/>
          </w:tblGrid>
        </w:tblGridChange>
      </w:tblGrid>
      <w:tr>
        <w:trPr>
          <w:cantSplit w:val="0"/>
          <w:trHeight w:val="254" w:hRule="atLeast"/>
          <w:tblHeader w:val="0"/>
        </w:trPr>
        <w:tc>
          <w:tcPr/>
          <w:p w:rsidR="00000000" w:rsidDel="00000000" w:rsidP="00000000" w:rsidRDefault="00000000" w:rsidRPr="00000000" w14:paraId="0000014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Year</w:t>
            </w:r>
          </w:p>
        </w:tc>
        <w:tc>
          <w:tcPr/>
          <w:p w:rsidR="00000000" w:rsidDel="00000000" w:rsidP="00000000" w:rsidRDefault="00000000" w:rsidRPr="00000000" w14:paraId="0000014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Debt-to-Equity Ratio </w:t>
            </w:r>
          </w:p>
        </w:tc>
        <w:tc>
          <w:tcPr/>
          <w:p w:rsidR="00000000" w:rsidDel="00000000" w:rsidP="00000000" w:rsidRDefault="00000000" w:rsidRPr="00000000" w14:paraId="0000014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Interest Coverage Ratio </w:t>
            </w:r>
          </w:p>
        </w:tc>
      </w:tr>
      <w:tr>
        <w:trPr>
          <w:cantSplit w:val="0"/>
          <w:trHeight w:val="254" w:hRule="atLeast"/>
          <w:tblHeader w:val="0"/>
        </w:trPr>
        <w:tc>
          <w:tcPr/>
          <w:p w:rsidR="00000000" w:rsidDel="00000000" w:rsidP="00000000" w:rsidRDefault="00000000" w:rsidRPr="00000000" w14:paraId="0000014A">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2020</w:t>
            </w:r>
            <w:r w:rsidDel="00000000" w:rsidR="00000000" w:rsidRPr="00000000">
              <w:rPr>
                <w:rtl w:val="0"/>
              </w:rPr>
            </w:r>
          </w:p>
        </w:tc>
        <w:tc>
          <w:tcPr/>
          <w:p w:rsidR="00000000" w:rsidDel="00000000" w:rsidP="00000000" w:rsidRDefault="00000000" w:rsidRPr="00000000" w14:paraId="000001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0.63</w:t>
            </w:r>
          </w:p>
        </w:tc>
        <w:tc>
          <w:tcPr/>
          <w:p w:rsidR="00000000" w:rsidDel="00000000" w:rsidP="00000000" w:rsidRDefault="00000000" w:rsidRPr="00000000" w14:paraId="0000014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26.2</w:t>
            </w:r>
          </w:p>
        </w:tc>
      </w:tr>
      <w:tr>
        <w:trPr>
          <w:cantSplit w:val="0"/>
          <w:trHeight w:val="243" w:hRule="atLeast"/>
          <w:tblHeader w:val="0"/>
        </w:trPr>
        <w:tc>
          <w:tcPr/>
          <w:p w:rsidR="00000000" w:rsidDel="00000000" w:rsidP="00000000" w:rsidRDefault="00000000" w:rsidRPr="00000000" w14:paraId="0000014D">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2021</w:t>
            </w:r>
            <w:r w:rsidDel="00000000" w:rsidR="00000000" w:rsidRPr="00000000">
              <w:rPr>
                <w:rtl w:val="0"/>
              </w:rPr>
            </w:r>
          </w:p>
        </w:tc>
        <w:tc>
          <w:tcPr/>
          <w:p w:rsidR="00000000" w:rsidDel="00000000" w:rsidP="00000000" w:rsidRDefault="00000000" w:rsidRPr="00000000" w14:paraId="000001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0.68</w:t>
            </w:r>
          </w:p>
        </w:tc>
        <w:tc>
          <w:tcPr/>
          <w:p w:rsidR="00000000" w:rsidDel="00000000" w:rsidP="00000000" w:rsidRDefault="00000000" w:rsidRPr="00000000" w14:paraId="0000014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41.1</w:t>
            </w:r>
          </w:p>
        </w:tc>
      </w:tr>
      <w:tr>
        <w:trPr>
          <w:cantSplit w:val="0"/>
          <w:trHeight w:val="254" w:hRule="atLeast"/>
          <w:tblHeader w:val="0"/>
        </w:trPr>
        <w:tc>
          <w:tcPr/>
          <w:p w:rsidR="00000000" w:rsidDel="00000000" w:rsidP="00000000" w:rsidRDefault="00000000" w:rsidRPr="00000000" w14:paraId="00000150">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2022</w:t>
            </w:r>
            <w:r w:rsidDel="00000000" w:rsidR="00000000" w:rsidRPr="00000000">
              <w:rPr>
                <w:rtl w:val="0"/>
              </w:rPr>
            </w:r>
          </w:p>
        </w:tc>
        <w:tc>
          <w:tcPr/>
          <w:p w:rsidR="00000000" w:rsidDel="00000000" w:rsidP="00000000" w:rsidRDefault="00000000" w:rsidRPr="00000000" w14:paraId="0000015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0.88</w:t>
            </w:r>
          </w:p>
        </w:tc>
        <w:tc>
          <w:tcPr/>
          <w:p w:rsidR="00000000" w:rsidDel="00000000" w:rsidP="00000000" w:rsidRDefault="00000000" w:rsidRPr="00000000" w14:paraId="0000015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6.6</w:t>
            </w:r>
          </w:p>
        </w:tc>
      </w:tr>
      <w:tr>
        <w:trPr>
          <w:cantSplit w:val="0"/>
          <w:trHeight w:val="254" w:hRule="atLeast"/>
          <w:tblHeader w:val="0"/>
        </w:trPr>
        <w:tc>
          <w:tcPr/>
          <w:p w:rsidR="00000000" w:rsidDel="00000000" w:rsidP="00000000" w:rsidRDefault="00000000" w:rsidRPr="00000000" w14:paraId="00000153">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2023</w:t>
            </w:r>
            <w:r w:rsidDel="00000000" w:rsidR="00000000" w:rsidRPr="00000000">
              <w:rPr>
                <w:rtl w:val="0"/>
              </w:rPr>
            </w:r>
          </w:p>
        </w:tc>
        <w:tc>
          <w:tcPr/>
          <w:p w:rsidR="00000000" w:rsidDel="00000000" w:rsidP="00000000" w:rsidRDefault="00000000" w:rsidRPr="00000000" w14:paraId="0000015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0.99</w:t>
            </w:r>
          </w:p>
        </w:tc>
        <w:tc>
          <w:tcPr/>
          <w:p w:rsidR="00000000" w:rsidDel="00000000" w:rsidP="00000000" w:rsidRDefault="00000000" w:rsidRPr="00000000" w14:paraId="0000015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-19.7</w:t>
            </w:r>
          </w:p>
        </w:tc>
      </w:tr>
      <w:tr>
        <w:trPr>
          <w:cantSplit w:val="0"/>
          <w:trHeight w:val="254" w:hRule="atLeast"/>
          <w:tblHeader w:val="0"/>
        </w:trPr>
        <w:tc>
          <w:tcPr/>
          <w:p w:rsidR="00000000" w:rsidDel="00000000" w:rsidP="00000000" w:rsidRDefault="00000000" w:rsidRPr="00000000" w14:paraId="00000156">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2024</w:t>
            </w:r>
            <w:r w:rsidDel="00000000" w:rsidR="00000000" w:rsidRPr="00000000">
              <w:rPr>
                <w:rtl w:val="0"/>
              </w:rPr>
            </w:r>
          </w:p>
        </w:tc>
        <w:tc>
          <w:tcPr/>
          <w:p w:rsidR="00000000" w:rsidDel="00000000" w:rsidP="00000000" w:rsidRDefault="00000000" w:rsidRPr="00000000" w14:paraId="0000015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1.11</w:t>
            </w:r>
          </w:p>
        </w:tc>
        <w:tc>
          <w:tcPr/>
          <w:p w:rsidR="00000000" w:rsidDel="00000000" w:rsidP="00000000" w:rsidRDefault="00000000" w:rsidRPr="00000000" w14:paraId="0000015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-4.6</w:t>
            </w:r>
          </w:p>
        </w:tc>
      </w:tr>
    </w:tbl>
    <w:p w:rsidR="00000000" w:rsidDel="00000000" w:rsidP="00000000" w:rsidRDefault="00000000" w:rsidRPr="00000000" w14:paraId="00000159">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effectExtent b="0" l="0" r="0" t="0"/>
            <wp:docPr id="3" name=""/>
            <a:graphic>
              <a:graphicData uri="http://schemas.openxmlformats.org/drawingml/2006/chart">
                <c:chart r:id="rId10"/>
              </a:graphicData>
            </a:graphic>
          </wp:inline>
        </w:drawing>
      </w:r>
      <w:r w:rsidDel="00000000" w:rsidR="00000000" w:rsidRPr="00000000">
        <w:rPr>
          <w:rtl w:val="0"/>
        </w:rPr>
      </w:r>
    </w:p>
    <w:p w:rsidR="00000000" w:rsidDel="00000000" w:rsidP="00000000" w:rsidRDefault="00000000" w:rsidRPr="00000000" w14:paraId="0000015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Investment Ratio</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50"/>
        <w:gridCol w:w="3025"/>
        <w:gridCol w:w="2993"/>
        <w:gridCol w:w="2248"/>
        <w:tblGridChange w:id="0">
          <w:tblGrid>
            <w:gridCol w:w="750"/>
            <w:gridCol w:w="3025"/>
            <w:gridCol w:w="2993"/>
            <w:gridCol w:w="2248"/>
          </w:tblGrid>
        </w:tblGridChange>
      </w:tblGrid>
      <w:tr>
        <w:trPr>
          <w:cantSplit w:val="0"/>
          <w:tblHeader w:val="0"/>
        </w:trPr>
        <w:tc>
          <w:tcPr/>
          <w:p w:rsidR="00000000" w:rsidDel="00000000" w:rsidP="00000000" w:rsidRDefault="00000000" w:rsidRPr="00000000" w14:paraId="0000015B">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Year</w:t>
            </w:r>
          </w:p>
        </w:tc>
        <w:tc>
          <w:tcPr/>
          <w:p w:rsidR="00000000" w:rsidDel="00000000" w:rsidP="00000000" w:rsidRDefault="00000000" w:rsidRPr="00000000" w14:paraId="0000015C">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Earnings per Share (EPS £)</w:t>
            </w:r>
          </w:p>
        </w:tc>
        <w:tc>
          <w:tcPr/>
          <w:p w:rsidR="00000000" w:rsidDel="00000000" w:rsidP="00000000" w:rsidRDefault="00000000" w:rsidRPr="00000000" w14:paraId="0000015D">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Price/Earnings (P/E) Ratio </w:t>
            </w:r>
          </w:p>
        </w:tc>
        <w:tc>
          <w:tcPr/>
          <w:p w:rsidR="00000000" w:rsidDel="00000000" w:rsidP="00000000" w:rsidRDefault="00000000" w:rsidRPr="00000000" w14:paraId="0000015E">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w:t>
            </w:r>
            <w:r w:rsidDel="00000000" w:rsidR="00000000" w:rsidRPr="00000000">
              <w:rPr>
                <w:rFonts w:ascii="Arial" w:cs="Arial" w:eastAsia="Arial" w:hAnsi="Arial"/>
                <w:b w:val="1"/>
                <w:bCs w:val="1"/>
                <w:i w:val="1"/>
                <w:iCs w:val="1"/>
                <w:sz w:val="24"/>
                <w:szCs w:val="24"/>
                <w:rtl w:val="0"/>
              </w:rPr>
              <w:t xml:space="preserve">Dividend Yield (%)</w:t>
            </w:r>
            <w:r w:rsidDel="00000000" w:rsidR="00000000" w:rsidRPr="00000000">
              <w:rPr>
                <w:rtl w:val="0"/>
              </w:rPr>
            </w:r>
          </w:p>
        </w:tc>
      </w:tr>
      <w:tr>
        <w:trPr>
          <w:cantSplit w:val="0"/>
          <w:tblHeader w:val="0"/>
        </w:trPr>
        <w:tc>
          <w:tcPr/>
          <w:p w:rsidR="00000000" w:rsidDel="00000000" w:rsidP="00000000" w:rsidRDefault="00000000" w:rsidRPr="00000000" w14:paraId="0000015F">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2020</w:t>
            </w:r>
            <w:r w:rsidDel="00000000" w:rsidR="00000000" w:rsidRPr="00000000">
              <w:rPr>
                <w:rtl w:val="0"/>
              </w:rPr>
            </w:r>
          </w:p>
        </w:tc>
        <w:tc>
          <w:tcPr/>
          <w:p w:rsidR="00000000" w:rsidDel="00000000" w:rsidP="00000000" w:rsidRDefault="00000000" w:rsidRPr="00000000" w14:paraId="0000016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2.78</w:t>
            </w:r>
          </w:p>
        </w:tc>
        <w:tc>
          <w:tcPr/>
          <w:p w:rsidR="00000000" w:rsidDel="00000000" w:rsidP="00000000" w:rsidRDefault="00000000" w:rsidRPr="00000000" w14:paraId="0000016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12.0</w:t>
            </w:r>
          </w:p>
        </w:tc>
        <w:tc>
          <w:tcPr/>
          <w:p w:rsidR="00000000" w:rsidDel="00000000" w:rsidP="00000000" w:rsidRDefault="00000000" w:rsidRPr="00000000" w14:paraId="0000016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3.2</w:t>
            </w:r>
          </w:p>
        </w:tc>
      </w:tr>
      <w:tr>
        <w:trPr>
          <w:cantSplit w:val="0"/>
          <w:tblHeader w:val="0"/>
        </w:trPr>
        <w:tc>
          <w:tcPr/>
          <w:p w:rsidR="00000000" w:rsidDel="00000000" w:rsidP="00000000" w:rsidRDefault="00000000" w:rsidRPr="00000000" w14:paraId="00000163">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2021</w:t>
            </w:r>
            <w:r w:rsidDel="00000000" w:rsidR="00000000" w:rsidRPr="00000000">
              <w:rPr>
                <w:rtl w:val="0"/>
              </w:rPr>
            </w:r>
          </w:p>
        </w:tc>
        <w:tc>
          <w:tcPr/>
          <w:p w:rsidR="00000000" w:rsidDel="00000000" w:rsidP="00000000" w:rsidRDefault="00000000" w:rsidRPr="00000000" w14:paraId="0000016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0.39</w:t>
            </w:r>
          </w:p>
        </w:tc>
        <w:tc>
          <w:tcPr/>
          <w:p w:rsidR="00000000" w:rsidDel="00000000" w:rsidP="00000000" w:rsidRDefault="00000000" w:rsidRPr="00000000" w14:paraId="0000016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28.5</w:t>
            </w:r>
          </w:p>
        </w:tc>
        <w:tc>
          <w:tcPr/>
          <w:p w:rsidR="00000000" w:rsidDel="00000000" w:rsidP="00000000" w:rsidRDefault="00000000" w:rsidRPr="00000000" w14:paraId="0000016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2.4</w:t>
            </w:r>
          </w:p>
        </w:tc>
      </w:tr>
      <w:tr>
        <w:trPr>
          <w:cantSplit w:val="0"/>
          <w:tblHeader w:val="0"/>
        </w:trPr>
        <w:tc>
          <w:tcPr/>
          <w:p w:rsidR="00000000" w:rsidDel="00000000" w:rsidP="00000000" w:rsidRDefault="00000000" w:rsidRPr="00000000" w14:paraId="00000167">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2022</w:t>
            </w:r>
            <w:r w:rsidDel="00000000" w:rsidR="00000000" w:rsidRPr="00000000">
              <w:rPr>
                <w:rtl w:val="0"/>
              </w:rPr>
            </w:r>
          </w:p>
        </w:tc>
        <w:tc>
          <w:tcPr/>
          <w:p w:rsidR="00000000" w:rsidDel="00000000" w:rsidP="00000000" w:rsidRDefault="00000000" w:rsidRPr="00000000" w14:paraId="0000016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0.03</w:t>
            </w:r>
          </w:p>
        </w:tc>
        <w:tc>
          <w:tcPr/>
          <w:p w:rsidR="00000000" w:rsidDel="00000000" w:rsidP="00000000" w:rsidRDefault="00000000" w:rsidRPr="00000000" w14:paraId="0000016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180.0</w:t>
            </w:r>
          </w:p>
        </w:tc>
        <w:tc>
          <w:tcPr/>
          <w:p w:rsidR="00000000" w:rsidDel="00000000" w:rsidP="00000000" w:rsidRDefault="00000000" w:rsidRPr="00000000" w14:paraId="0000016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0.5</w:t>
            </w:r>
          </w:p>
        </w:tc>
      </w:tr>
      <w:tr>
        <w:trPr>
          <w:cantSplit w:val="0"/>
          <w:tblHeader w:val="0"/>
        </w:trPr>
        <w:tc>
          <w:tcPr/>
          <w:p w:rsidR="00000000" w:rsidDel="00000000" w:rsidP="00000000" w:rsidRDefault="00000000" w:rsidRPr="00000000" w14:paraId="0000016B">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2023</w:t>
            </w:r>
            <w:r w:rsidDel="00000000" w:rsidR="00000000" w:rsidRPr="00000000">
              <w:rPr>
                <w:rtl w:val="0"/>
              </w:rPr>
            </w:r>
          </w:p>
        </w:tc>
        <w:tc>
          <w:tcPr/>
          <w:p w:rsidR="00000000" w:rsidDel="00000000" w:rsidP="00000000" w:rsidRDefault="00000000" w:rsidRPr="00000000" w14:paraId="0000016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-7.64</w:t>
            </w:r>
          </w:p>
        </w:tc>
        <w:tc>
          <w:tcPr/>
          <w:p w:rsidR="00000000" w:rsidDel="00000000" w:rsidP="00000000" w:rsidRDefault="00000000" w:rsidRPr="00000000" w14:paraId="0000016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c>
          <w:tcPr/>
          <w:p w:rsidR="00000000" w:rsidDel="00000000" w:rsidP="00000000" w:rsidRDefault="00000000" w:rsidRPr="00000000" w14:paraId="0000016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0.0</w:t>
            </w:r>
          </w:p>
        </w:tc>
      </w:tr>
      <w:tr>
        <w:trPr>
          <w:cantSplit w:val="0"/>
          <w:tblHeader w:val="0"/>
        </w:trPr>
        <w:tc>
          <w:tcPr/>
          <w:p w:rsidR="00000000" w:rsidDel="00000000" w:rsidP="00000000" w:rsidRDefault="00000000" w:rsidRPr="00000000" w14:paraId="0000016F">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2024</w:t>
            </w:r>
            <w:r w:rsidDel="00000000" w:rsidR="00000000" w:rsidRPr="00000000">
              <w:rPr>
                <w:rtl w:val="0"/>
              </w:rPr>
            </w:r>
          </w:p>
        </w:tc>
        <w:tc>
          <w:tcPr/>
          <w:p w:rsidR="00000000" w:rsidDel="00000000" w:rsidP="00000000" w:rsidRDefault="00000000" w:rsidRPr="00000000" w14:paraId="0000017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-1.85</w:t>
            </w:r>
          </w:p>
        </w:tc>
        <w:tc>
          <w:tcPr/>
          <w:p w:rsidR="00000000" w:rsidDel="00000000" w:rsidP="00000000" w:rsidRDefault="00000000" w:rsidRPr="00000000" w14:paraId="0000017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N/A</w:t>
            </w:r>
          </w:p>
        </w:tc>
        <w:tc>
          <w:tcPr/>
          <w:p w:rsidR="00000000" w:rsidDel="00000000" w:rsidP="00000000" w:rsidRDefault="00000000" w:rsidRPr="00000000" w14:paraId="0000017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0.0</w:t>
            </w:r>
          </w:p>
        </w:tc>
      </w:tr>
    </w:tbl>
    <w:p w:rsidR="00000000" w:rsidDel="00000000" w:rsidP="00000000" w:rsidRDefault="00000000" w:rsidRPr="00000000" w14:paraId="00000173">
      <w:pPr>
        <w:spacing w:after="0" w:line="360" w:lineRule="auto"/>
        <w:jc w:val="both"/>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effectExtent b="0" l="0" r="0" t="0"/>
            <wp:docPr id="6" name=""/>
            <a:graphic>
              <a:graphicData uri="http://schemas.openxmlformats.org/drawingml/2006/chart">
                <c:chart r:id="rId11"/>
              </a:graphicData>
            </a:graphic>
          </wp:inline>
        </w:drawing>
      </w:r>
      <w:r w:rsidDel="00000000" w:rsidR="00000000" w:rsidRPr="00000000">
        <w:rPr>
          <w:rtl w:val="0"/>
        </w:rPr>
      </w:r>
    </w:p>
    <w:p w:rsidR="00000000" w:rsidDel="00000000" w:rsidP="00000000" w:rsidRDefault="00000000" w:rsidRPr="00000000" w14:paraId="00000174">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Cash flow</w:t>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50"/>
        <w:gridCol w:w="1545"/>
        <w:gridCol w:w="1478"/>
        <w:gridCol w:w="1545"/>
        <w:gridCol w:w="2437"/>
        <w:gridCol w:w="1261"/>
        <w:tblGridChange w:id="0">
          <w:tblGrid>
            <w:gridCol w:w="750"/>
            <w:gridCol w:w="1545"/>
            <w:gridCol w:w="1478"/>
            <w:gridCol w:w="1545"/>
            <w:gridCol w:w="2437"/>
            <w:gridCol w:w="1261"/>
          </w:tblGrid>
        </w:tblGridChange>
      </w:tblGrid>
      <w:tr>
        <w:trPr>
          <w:cantSplit w:val="0"/>
          <w:tblHeader w:val="0"/>
        </w:trPr>
        <w:tc>
          <w:tcPr/>
          <w:p w:rsidR="00000000" w:rsidDel="00000000" w:rsidP="00000000" w:rsidRDefault="00000000" w:rsidRPr="00000000" w14:paraId="00000175">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Year</w:t>
            </w:r>
          </w:p>
        </w:tc>
        <w:tc>
          <w:tcPr/>
          <w:p w:rsidR="00000000" w:rsidDel="00000000" w:rsidP="00000000" w:rsidRDefault="00000000" w:rsidRPr="00000000" w14:paraId="00000176">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Net Cash from Operating Activities (£m)</w:t>
            </w:r>
          </w:p>
        </w:tc>
        <w:tc>
          <w:tcPr/>
          <w:p w:rsidR="00000000" w:rsidDel="00000000" w:rsidP="00000000" w:rsidRDefault="00000000" w:rsidRPr="00000000" w14:paraId="00000177">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Net Cash from Investing Activities (£m)</w:t>
            </w:r>
          </w:p>
        </w:tc>
        <w:tc>
          <w:tcPr/>
          <w:p w:rsidR="00000000" w:rsidDel="00000000" w:rsidP="00000000" w:rsidRDefault="00000000" w:rsidRPr="00000000" w14:paraId="00000178">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Net Cash from Financing Activities (£m)</w:t>
            </w:r>
          </w:p>
        </w:tc>
        <w:tc>
          <w:tcPr/>
          <w:p w:rsidR="00000000" w:rsidDel="00000000" w:rsidP="00000000" w:rsidRDefault="00000000" w:rsidRPr="00000000" w14:paraId="00000179">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Net Increase/Decrease in Cash (£m)</w:t>
            </w:r>
          </w:p>
        </w:tc>
        <w:tc>
          <w:tcPr/>
          <w:p w:rsidR="00000000" w:rsidDel="00000000" w:rsidP="00000000" w:rsidRDefault="00000000" w:rsidRPr="00000000" w14:paraId="0000017A">
            <w:pPr>
              <w:spacing w:line="360" w:lineRule="auto"/>
              <w:jc w:val="both"/>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Closing Cash Balance (£m)</w:t>
            </w:r>
          </w:p>
        </w:tc>
      </w:tr>
      <w:tr>
        <w:trPr>
          <w:cantSplit w:val="0"/>
          <w:tblHeader w:val="0"/>
        </w:trPr>
        <w:tc>
          <w:tcPr/>
          <w:p w:rsidR="00000000" w:rsidDel="00000000" w:rsidP="00000000" w:rsidRDefault="00000000" w:rsidRPr="00000000" w14:paraId="0000017B">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2020</w:t>
            </w:r>
            <w:r w:rsidDel="00000000" w:rsidR="00000000" w:rsidRPr="00000000">
              <w:rPr>
                <w:rtl w:val="0"/>
              </w:rPr>
            </w:r>
          </w:p>
        </w:tc>
        <w:tc>
          <w:tcPr/>
          <w:p w:rsidR="00000000" w:rsidDel="00000000" w:rsidP="00000000" w:rsidRDefault="00000000" w:rsidRPr="00000000" w14:paraId="0000017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73,392</w:t>
            </w:r>
          </w:p>
        </w:tc>
        <w:tc>
          <w:tcPr/>
          <w:p w:rsidR="00000000" w:rsidDel="00000000" w:rsidP="00000000" w:rsidRDefault="00000000" w:rsidRPr="00000000" w14:paraId="0000017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(23,734)</w:t>
            </w:r>
          </w:p>
        </w:tc>
        <w:tc>
          <w:tcPr/>
          <w:p w:rsidR="00000000" w:rsidDel="00000000" w:rsidP="00000000" w:rsidRDefault="00000000" w:rsidRPr="00000000" w14:paraId="0000017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65,964</w:t>
            </w:r>
          </w:p>
        </w:tc>
        <w:tc>
          <w:tcPr/>
          <w:p w:rsidR="00000000" w:rsidDel="00000000" w:rsidP="00000000" w:rsidRDefault="00000000" w:rsidRPr="00000000" w14:paraId="0000017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(17,149)</w:t>
            </w:r>
          </w:p>
        </w:tc>
        <w:tc>
          <w:tcPr/>
          <w:p w:rsidR="00000000" w:rsidDel="00000000" w:rsidP="00000000" w:rsidRDefault="00000000" w:rsidRPr="00000000" w14:paraId="0000018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57,153</w:t>
            </w:r>
          </w:p>
        </w:tc>
      </w:tr>
      <w:tr>
        <w:trPr>
          <w:cantSplit w:val="0"/>
          <w:tblHeader w:val="0"/>
        </w:trPr>
        <w:tc>
          <w:tcPr/>
          <w:p w:rsidR="00000000" w:rsidDel="00000000" w:rsidP="00000000" w:rsidRDefault="00000000" w:rsidRPr="00000000" w14:paraId="00000181">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2021</w:t>
            </w:r>
            <w:r w:rsidDel="00000000" w:rsidR="00000000" w:rsidRPr="00000000">
              <w:rPr>
                <w:rtl w:val="0"/>
              </w:rPr>
            </w:r>
          </w:p>
        </w:tc>
        <w:tc>
          <w:tcPr/>
          <w:p w:rsidR="00000000" w:rsidDel="00000000" w:rsidP="00000000" w:rsidRDefault="00000000" w:rsidRPr="00000000" w14:paraId="0000018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40,283</w:t>
            </w:r>
          </w:p>
        </w:tc>
        <w:tc>
          <w:tcPr/>
          <w:p w:rsidR="00000000" w:rsidDel="00000000" w:rsidP="00000000" w:rsidRDefault="00000000" w:rsidRPr="00000000" w14:paraId="0000018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(17,041)</w:t>
            </w:r>
          </w:p>
        </w:tc>
        <w:tc>
          <w:tcPr/>
          <w:p w:rsidR="00000000" w:rsidDel="00000000" w:rsidP="00000000" w:rsidRDefault="00000000" w:rsidRPr="00000000" w14:paraId="0000018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(22,026)</w:t>
            </w:r>
          </w:p>
        </w:tc>
        <w:tc>
          <w:tcPr/>
          <w:p w:rsidR="00000000" w:rsidDel="00000000" w:rsidP="00000000" w:rsidRDefault="00000000" w:rsidRPr="00000000" w14:paraId="0000018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3,660</w:t>
            </w:r>
          </w:p>
        </w:tc>
        <w:tc>
          <w:tcPr/>
          <w:p w:rsidR="00000000" w:rsidDel="00000000" w:rsidP="00000000" w:rsidRDefault="00000000" w:rsidRPr="00000000" w14:paraId="0000018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60,813</w:t>
            </w:r>
          </w:p>
        </w:tc>
      </w:tr>
      <w:tr>
        <w:trPr>
          <w:cantSplit w:val="0"/>
          <w:tblHeader w:val="0"/>
        </w:trPr>
        <w:tc>
          <w:tcPr/>
          <w:p w:rsidR="00000000" w:rsidDel="00000000" w:rsidP="00000000" w:rsidRDefault="00000000" w:rsidRPr="00000000" w14:paraId="00000187">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2022</w:t>
            </w:r>
            <w:r w:rsidDel="00000000" w:rsidR="00000000" w:rsidRPr="00000000">
              <w:rPr>
                <w:rtl w:val="0"/>
              </w:rPr>
            </w:r>
          </w:p>
        </w:tc>
        <w:tc>
          <w:tcPr/>
          <w:p w:rsidR="00000000" w:rsidDel="00000000" w:rsidP="00000000" w:rsidRDefault="00000000" w:rsidRPr="00000000" w14:paraId="0000018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10,926</w:t>
            </w:r>
          </w:p>
        </w:tc>
        <w:tc>
          <w:tcPr/>
          <w:p w:rsidR="00000000" w:rsidDel="00000000" w:rsidP="00000000" w:rsidRDefault="00000000" w:rsidRPr="00000000" w14:paraId="0000018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(21,208)</w:t>
            </w:r>
          </w:p>
        </w:tc>
        <w:tc>
          <w:tcPr/>
          <w:p w:rsidR="00000000" w:rsidDel="00000000" w:rsidP="00000000" w:rsidRDefault="00000000" w:rsidRPr="00000000" w14:paraId="0000018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20,501</w:t>
            </w:r>
          </w:p>
        </w:tc>
        <w:tc>
          <w:tcPr/>
          <w:p w:rsidR="00000000" w:rsidDel="00000000" w:rsidP="00000000" w:rsidRDefault="00000000" w:rsidRPr="00000000" w14:paraId="0000018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5,927</w:t>
            </w:r>
          </w:p>
        </w:tc>
        <w:tc>
          <w:tcPr/>
          <w:p w:rsidR="00000000" w:rsidDel="00000000" w:rsidP="00000000" w:rsidRDefault="00000000" w:rsidRPr="00000000" w14:paraId="0000018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66,740</w:t>
            </w:r>
          </w:p>
        </w:tc>
      </w:tr>
      <w:tr>
        <w:trPr>
          <w:cantSplit w:val="0"/>
          <w:tblHeader w:val="0"/>
        </w:trPr>
        <w:tc>
          <w:tcPr/>
          <w:p w:rsidR="00000000" w:rsidDel="00000000" w:rsidP="00000000" w:rsidRDefault="00000000" w:rsidRPr="00000000" w14:paraId="0000018D">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2023</w:t>
            </w:r>
            <w:r w:rsidDel="00000000" w:rsidR="00000000" w:rsidRPr="00000000">
              <w:rPr>
                <w:rtl w:val="0"/>
              </w:rPr>
            </w:r>
          </w:p>
        </w:tc>
        <w:tc>
          <w:tcPr/>
          <w:p w:rsidR="00000000" w:rsidDel="00000000" w:rsidP="00000000" w:rsidRDefault="00000000" w:rsidRPr="00000000" w14:paraId="0000018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25,190</w:t>
            </w:r>
          </w:p>
        </w:tc>
        <w:tc>
          <w:tcPr/>
          <w:p w:rsidR="00000000" w:rsidDel="00000000" w:rsidP="00000000" w:rsidRDefault="00000000" w:rsidRPr="00000000" w14:paraId="0000018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(13,877)</w:t>
            </w:r>
          </w:p>
        </w:tc>
        <w:tc>
          <w:tcPr/>
          <w:p w:rsidR="00000000" w:rsidDel="00000000" w:rsidP="00000000" w:rsidRDefault="00000000" w:rsidRPr="00000000" w14:paraId="0000019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(34,779)</w:t>
            </w:r>
          </w:p>
        </w:tc>
        <w:tc>
          <w:tcPr/>
          <w:p w:rsidR="00000000" w:rsidDel="00000000" w:rsidP="00000000" w:rsidRDefault="00000000" w:rsidRPr="00000000" w14:paraId="00000191">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(23,989)</w:t>
            </w:r>
          </w:p>
        </w:tc>
        <w:tc>
          <w:tcPr/>
          <w:p w:rsidR="00000000" w:rsidDel="00000000" w:rsidP="00000000" w:rsidRDefault="00000000" w:rsidRPr="00000000" w14:paraId="0000019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42,751</w:t>
            </w:r>
          </w:p>
        </w:tc>
      </w:tr>
      <w:tr>
        <w:trPr>
          <w:cantSplit w:val="0"/>
          <w:tblHeader w:val="0"/>
        </w:trPr>
        <w:tc>
          <w:tcPr/>
          <w:p w:rsidR="00000000" w:rsidDel="00000000" w:rsidP="00000000" w:rsidRDefault="00000000" w:rsidRPr="00000000" w14:paraId="00000193">
            <w:pPr>
              <w:spacing w:line="360" w:lineRule="auto"/>
              <w:jc w:val="both"/>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2024</w:t>
            </w:r>
            <w:r w:rsidDel="00000000" w:rsidR="00000000" w:rsidRPr="00000000">
              <w:rPr>
                <w:rtl w:val="0"/>
              </w:rPr>
            </w:r>
          </w:p>
        </w:tc>
        <w:tc>
          <w:tcPr/>
          <w:p w:rsidR="00000000" w:rsidDel="00000000" w:rsidP="00000000" w:rsidRDefault="00000000" w:rsidRPr="00000000" w14:paraId="0000019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14,822</w:t>
            </w:r>
          </w:p>
        </w:tc>
        <w:tc>
          <w:tcPr/>
          <w:p w:rsidR="00000000" w:rsidDel="00000000" w:rsidP="00000000" w:rsidRDefault="00000000" w:rsidRPr="00000000" w14:paraId="0000019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(8,428)</w:t>
            </w:r>
          </w:p>
        </w:tc>
        <w:tc>
          <w:tcPr/>
          <w:p w:rsidR="00000000" w:rsidDel="00000000" w:rsidP="00000000" w:rsidRDefault="00000000" w:rsidRPr="00000000" w14:paraId="0000019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(19,764)</w:t>
            </w:r>
          </w:p>
        </w:tc>
        <w:tc>
          <w:tcPr/>
          <w:p w:rsidR="00000000" w:rsidDel="00000000" w:rsidP="00000000" w:rsidRDefault="00000000" w:rsidRPr="00000000" w14:paraId="0000019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(15,968)</w:t>
            </w:r>
          </w:p>
        </w:tc>
        <w:tc>
          <w:tcPr/>
          <w:p w:rsidR="00000000" w:rsidDel="00000000" w:rsidP="00000000" w:rsidRDefault="00000000" w:rsidRPr="00000000" w14:paraId="0000019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26,783</w:t>
            </w:r>
          </w:p>
        </w:tc>
      </w:tr>
    </w:tbl>
    <w:p w:rsidR="00000000" w:rsidDel="00000000" w:rsidP="00000000" w:rsidRDefault="00000000" w:rsidRPr="00000000" w14:paraId="00000199">
      <w:pPr>
        <w:spacing w:after="0" w:line="360" w:lineRule="auto"/>
        <w:jc w:val="center"/>
        <w:rPr>
          <w:rFonts w:ascii="Arial" w:cs="Arial" w:eastAsia="Arial" w:hAnsi="Arial"/>
          <w:sz w:val="24"/>
          <w:szCs w:val="24"/>
        </w:rPr>
      </w:pPr>
      <w:r w:rsidDel="00000000" w:rsidR="00000000" w:rsidRPr="00000000">
        <w:rPr>
          <w:rFonts w:ascii="Arial" w:cs="Arial" w:eastAsia="Arial" w:hAnsi="Arial"/>
          <w:sz w:val="24"/>
          <w:szCs w:val="24"/>
        </w:rPr>
        <w:drawing>
          <wp:inline distB="0" distT="0" distL="0" distR="0">
            <wp:extent cx="4572000" cy="2743200"/>
            <wp:effectExtent b="0" l="0" r="0" t="0"/>
            <wp:docPr id="5" name=""/>
            <a:graphic>
              <a:graphicData uri="http://schemas.openxmlformats.org/drawingml/2006/chart">
                <c:chart r:id="rId12"/>
              </a:graphicData>
            </a:graphic>
          </wp:inline>
        </w:drawing>
      </w:r>
      <w:r w:rsidDel="00000000" w:rsidR="00000000" w:rsidRPr="00000000">
        <w:rPr>
          <w:rtl w:val="0"/>
        </w:rPr>
      </w:r>
    </w:p>
    <w:p w:rsidR="00000000" w:rsidDel="00000000" w:rsidP="00000000" w:rsidRDefault="00000000" w:rsidRPr="00000000" w14:paraId="0000019A">
      <w:pPr>
        <w:pStyle w:val="Heading2"/>
        <w:spacing w:line="360" w:lineRule="auto"/>
        <w:jc w:val="both"/>
        <w:rPr>
          <w:rFonts w:ascii="Arial" w:cs="Arial" w:eastAsia="Arial" w:hAnsi="Arial"/>
          <w:b w:val="1"/>
          <w:bCs w:val="1"/>
          <w:color w:val="000000"/>
          <w:sz w:val="24"/>
          <w:szCs w:val="24"/>
        </w:rPr>
      </w:pPr>
      <w:bookmarkStart w:colFirst="0" w:colLast="0" w:name="_nlciq6iv16qz" w:id="26"/>
      <w:bookmarkEnd w:id="26"/>
      <w:r w:rsidDel="00000000" w:rsidR="00000000" w:rsidRPr="00000000">
        <w:rPr>
          <w:rFonts w:ascii="Arial" w:cs="Arial" w:eastAsia="Arial" w:hAnsi="Arial"/>
          <w:b w:val="1"/>
          <w:bCs w:val="1"/>
          <w:color w:val="000000"/>
          <w:sz w:val="24"/>
          <w:szCs w:val="24"/>
          <w:rtl w:val="0"/>
        </w:rPr>
        <w:t xml:space="preserve">Investment appraisal calculations</w:t>
      </w:r>
    </w:p>
    <w:p w:rsidR="00000000" w:rsidDel="00000000" w:rsidP="00000000" w:rsidRDefault="00000000" w:rsidRPr="00000000" w14:paraId="0000019B">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Pr>
        <w:drawing>
          <wp:inline distB="0" distT="0" distL="0" distR="0">
            <wp:extent cx="4149462" cy="2144999"/>
            <wp:effectExtent b="0" l="0" r="0" t="0"/>
            <wp:docPr id="9"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4149462" cy="2144999"/>
                    </a:xfrm>
                    <a:prstGeom prst="rect"/>
                    <a:ln/>
                  </pic:spPr>
                </pic:pic>
              </a:graphicData>
            </a:graphic>
          </wp:inline>
        </w:drawing>
      </w:r>
      <w:r w:rsidDel="00000000" w:rsidR="00000000" w:rsidRPr="00000000">
        <w:rPr>
          <w:rtl w:val="0"/>
        </w:rPr>
      </w:r>
    </w:p>
    <w:p w:rsidR="00000000" w:rsidDel="00000000" w:rsidP="00000000" w:rsidRDefault="00000000" w:rsidRPr="00000000" w14:paraId="0000019C">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Pr>
        <w:drawing>
          <wp:inline distB="0" distT="0" distL="0" distR="0">
            <wp:extent cx="4180153" cy="1465656"/>
            <wp:effectExtent b="0" l="0" r="0" t="0"/>
            <wp:docPr id="8"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4180153" cy="1465656"/>
                    </a:xfrm>
                    <a:prstGeom prst="rect"/>
                    <a:ln/>
                  </pic:spPr>
                </pic:pic>
              </a:graphicData>
            </a:graphic>
          </wp:inline>
        </w:drawing>
      </w:r>
      <w:r w:rsidDel="00000000" w:rsidR="00000000" w:rsidRPr="00000000">
        <w:rPr>
          <w:rtl w:val="0"/>
        </w:rPr>
      </w:r>
    </w:p>
    <w:p w:rsidR="00000000" w:rsidDel="00000000" w:rsidP="00000000" w:rsidRDefault="00000000" w:rsidRPr="00000000" w14:paraId="0000019D">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Pr>
        <w:drawing>
          <wp:inline distB="0" distT="0" distL="0" distR="0">
            <wp:extent cx="3848637" cy="3896269"/>
            <wp:effectExtent b="0" l="0" r="0" t="0"/>
            <wp:docPr id="12"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3848637" cy="3896269"/>
                    </a:xfrm>
                    <a:prstGeom prst="rect"/>
                    <a:ln/>
                  </pic:spPr>
                </pic:pic>
              </a:graphicData>
            </a:graphic>
          </wp:inline>
        </w:drawing>
      </w:r>
      <w:r w:rsidDel="00000000" w:rsidR="00000000" w:rsidRPr="00000000">
        <w:rPr>
          <w:rtl w:val="0"/>
        </w:rPr>
      </w:r>
    </w:p>
    <w:p w:rsidR="00000000" w:rsidDel="00000000" w:rsidP="00000000" w:rsidRDefault="00000000" w:rsidRPr="00000000" w14:paraId="0000019E">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Pr>
        <w:drawing>
          <wp:inline distB="0" distT="0" distL="0" distR="0">
            <wp:extent cx="3437349" cy="1565316"/>
            <wp:effectExtent b="0" l="0" r="0" t="0"/>
            <wp:docPr id="10" name="image4.png"/>
            <a:graphic>
              <a:graphicData uri="http://schemas.openxmlformats.org/drawingml/2006/picture">
                <pic:pic>
                  <pic:nvPicPr>
                    <pic:cNvPr id="0" name="image4.png"/>
                    <pic:cNvPicPr preferRelativeResize="0"/>
                  </pic:nvPicPr>
                  <pic:blipFill>
                    <a:blip r:embed="rId16"/>
                    <a:srcRect b="0" l="0" r="0" t="0"/>
                    <a:stretch>
                      <a:fillRect/>
                    </a:stretch>
                  </pic:blipFill>
                  <pic:spPr>
                    <a:xfrm>
                      <a:off x="0" y="0"/>
                      <a:ext cx="3437349" cy="1565316"/>
                    </a:xfrm>
                    <a:prstGeom prst="rect"/>
                    <a:ln/>
                  </pic:spPr>
                </pic:pic>
              </a:graphicData>
            </a:graphic>
          </wp:inline>
        </w:drawing>
      </w:r>
      <w:r w:rsidDel="00000000" w:rsidR="00000000" w:rsidRPr="00000000">
        <w:rPr>
          <w:rtl w:val="0"/>
        </w:rPr>
      </w:r>
    </w:p>
    <w:p w:rsidR="00000000" w:rsidDel="00000000" w:rsidP="00000000" w:rsidRDefault="00000000" w:rsidRPr="00000000" w14:paraId="0000019F">
      <w:pPr>
        <w:spacing w:line="360" w:lineRule="auto"/>
        <w:jc w:val="center"/>
        <w:rPr>
          <w:rFonts w:ascii="Arial" w:cs="Arial" w:eastAsia="Arial" w:hAnsi="Arial"/>
          <w:b w:val="1"/>
          <w:bCs w:val="1"/>
          <w:sz w:val="24"/>
          <w:szCs w:val="24"/>
        </w:rPr>
      </w:pPr>
      <w:r w:rsidDel="00000000" w:rsidR="00000000" w:rsidRPr="00000000">
        <w:rPr>
          <w:rFonts w:ascii="Arial" w:cs="Arial" w:eastAsia="Arial" w:hAnsi="Arial"/>
          <w:b w:val="1"/>
          <w:bCs w:val="1"/>
          <w:sz w:val="24"/>
          <w:szCs w:val="24"/>
        </w:rPr>
        <w:drawing>
          <wp:inline distB="0" distT="0" distL="0" distR="0">
            <wp:extent cx="3381847" cy="1619476"/>
            <wp:effectExtent b="0" l="0" r="0" t="0"/>
            <wp:docPr id="11"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3381847" cy="1619476"/>
                    </a:xfrm>
                    <a:prstGeom prst="rect"/>
                    <a:ln/>
                  </pic:spPr>
                </pic:pic>
              </a:graphicData>
            </a:graphic>
          </wp:inline>
        </w:drawing>
      </w:r>
      <w:r w:rsidDel="00000000" w:rsidR="00000000" w:rsidRPr="00000000">
        <w:rPr>
          <w:rtl w:val="0"/>
        </w:rPr>
      </w:r>
    </w:p>
    <w:p w:rsidR="00000000" w:rsidDel="00000000" w:rsidP="00000000" w:rsidRDefault="00000000" w:rsidRPr="00000000" w14:paraId="000001A0">
      <w:pPr>
        <w:spacing w:line="360" w:lineRule="auto"/>
        <w:jc w:val="both"/>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A1">
      <w:pPr>
        <w:spacing w:line="360" w:lineRule="auto"/>
        <w:jc w:val="both"/>
        <w:rPr>
          <w:rFonts w:ascii="Arial" w:cs="Arial" w:eastAsia="Arial" w:hAnsi="Arial"/>
          <w:b w:val="1"/>
          <w:bCs w:val="1"/>
          <w:sz w:val="24"/>
          <w:szCs w:val="24"/>
        </w:rPr>
      </w:pPr>
      <w:r w:rsidDel="00000000" w:rsidR="00000000" w:rsidRPr="00000000">
        <w:rPr>
          <w:rtl w:val="0"/>
        </w:rPr>
      </w:r>
    </w:p>
    <w:sectPr>
      <w:footerReference r:id="rId1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A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A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I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rFonts w:ascii="Calibri" w:cs="Calibri" w:eastAsia="Calibri" w:hAnsi="Calibri"/>
      <w:color w:val="2e75b5"/>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e75b5"/>
      <w:sz w:val="26"/>
      <w:szCs w:val="26"/>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chart" Target="charts/chart6.xml"/><Relationship Id="rId10" Type="http://schemas.openxmlformats.org/officeDocument/2006/relationships/chart" Target="charts/chart3.xml"/><Relationship Id="rId13" Type="http://schemas.openxmlformats.org/officeDocument/2006/relationships/image" Target="media/image3.png"/><Relationship Id="rId12" Type="http://schemas.openxmlformats.org/officeDocument/2006/relationships/chart" Target="charts/chart5.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hart" Target="charts/chart4.xml"/><Relationship Id="rId15" Type="http://schemas.openxmlformats.org/officeDocument/2006/relationships/image" Target="media/image6.png"/><Relationship Id="rId14" Type="http://schemas.openxmlformats.org/officeDocument/2006/relationships/image" Target="media/image2.png"/><Relationship Id="rId17" Type="http://schemas.openxmlformats.org/officeDocument/2006/relationships/image" Target="media/image5.png"/><Relationship Id="rId16"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18" Type="http://schemas.openxmlformats.org/officeDocument/2006/relationships/footer" Target="footer1.xml"/><Relationship Id="rId7" Type="http://schemas.openxmlformats.org/officeDocument/2006/relationships/chart" Target="charts/chart2.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Book2"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Book4"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Book3"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Book6"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Book5"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Current Ratio</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1.82</c:v>
                </c:pt>
                <c:pt idx="1">
                  <c:v>1.55</c:v>
                </c:pt>
                <c:pt idx="2">
                  <c:v>1.56</c:v>
                </c:pt>
                <c:pt idx="3">
                  <c:v>1.61</c:v>
                </c:pt>
                <c:pt idx="4">
                  <c:v>1.53</c:v>
                </c:pt>
              </c:numCache>
            </c:numRef>
          </c:val>
          <c:extLst>
            <c:ext xmlns:c16="http://schemas.microsoft.com/office/drawing/2014/chart" uri="{C3380CC4-5D6E-409C-BE32-E72D297353CC}">
              <c16:uniqueId val="{00000000-2743-44C4-A8E8-019E4E749908}"/>
            </c:ext>
          </c:extLst>
        </c:ser>
        <c:ser>
          <c:idx val="1"/>
          <c:order val="1"/>
          <c:tx>
            <c:strRef>
              <c:f>Sheet1!$C$1</c:f>
              <c:strCache>
                <c:ptCount val="1"/>
                <c:pt idx="0">
                  <c:v>Quick Ratio</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1.1399999999999999</c:v>
                </c:pt>
                <c:pt idx="1">
                  <c:v>1.02</c:v>
                </c:pt>
                <c:pt idx="2">
                  <c:v>0.92</c:v>
                </c:pt>
                <c:pt idx="3">
                  <c:v>0.93</c:v>
                </c:pt>
                <c:pt idx="4">
                  <c:v>1.03</c:v>
                </c:pt>
              </c:numCache>
            </c:numRef>
          </c:val>
          <c:extLst>
            <c:ext xmlns:c16="http://schemas.microsoft.com/office/drawing/2014/chart" uri="{C3380CC4-5D6E-409C-BE32-E72D297353CC}">
              <c16:uniqueId val="{00000001-2743-44C4-A8E8-019E4E749908}"/>
            </c:ext>
          </c:extLst>
        </c:ser>
        <c:dLbls>
          <c:dLblPos val="outEnd"/>
          <c:showLegendKey val="0"/>
          <c:showVal val="1"/>
          <c:showCatName val="0"/>
          <c:showSerName val="0"/>
          <c:showPercent val="0"/>
          <c:showBubbleSize val="0"/>
        </c:dLbls>
        <c:gapWidth val="444"/>
        <c:overlap val="-90"/>
        <c:axId val="420349808"/>
        <c:axId val="420345456"/>
      </c:barChart>
      <c:catAx>
        <c:axId val="42034980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420345456"/>
        <c:crosses val="autoZero"/>
        <c:auto val="1"/>
        <c:lblAlgn val="ctr"/>
        <c:lblOffset val="100"/>
        <c:noMultiLvlLbl val="0"/>
      </c:catAx>
      <c:valAx>
        <c:axId val="420345456"/>
        <c:scaling>
          <c:orientation val="minMax"/>
        </c:scaling>
        <c:delete val="1"/>
        <c:axPos val="l"/>
        <c:numFmt formatCode="General" sourceLinked="1"/>
        <c:majorTickMark val="none"/>
        <c:minorTickMark val="none"/>
        <c:tickLblPos val="nextTo"/>
        <c:crossAx val="4203498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Net Profit Margin (%)</c:v>
                </c:pt>
              </c:strCache>
            </c:strRef>
          </c:tx>
          <c:spPr>
            <a:solidFill>
              <a:schemeClr val="accent1"/>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0.00%</c:formatCode>
                <c:ptCount val="5"/>
                <c:pt idx="0">
                  <c:v>6.3E-2</c:v>
                </c:pt>
                <c:pt idx="1">
                  <c:v>8.9999999999999993E-3</c:v>
                </c:pt>
                <c:pt idx="2">
                  <c:v>6.9999999999999999E-4</c:v>
                </c:pt>
                <c:pt idx="3">
                  <c:v>-0.23400000000000001</c:v>
                </c:pt>
                <c:pt idx="4">
                  <c:v>-6.0999999999999999E-2</c:v>
                </c:pt>
              </c:numCache>
            </c:numRef>
          </c:val>
          <c:extLst>
            <c:ext xmlns:c16="http://schemas.microsoft.com/office/drawing/2014/chart" uri="{C3380CC4-5D6E-409C-BE32-E72D297353CC}">
              <c16:uniqueId val="{00000000-C665-400C-8D93-CFCF2FA204E8}"/>
            </c:ext>
          </c:extLst>
        </c:ser>
        <c:ser>
          <c:idx val="1"/>
          <c:order val="1"/>
          <c:tx>
            <c:strRef>
              <c:f>Sheet1!$C$1</c:f>
              <c:strCache>
                <c:ptCount val="1"/>
                <c:pt idx="0">
                  <c:v>Return on Capital Employed (ROCE %)</c:v>
                </c:pt>
              </c:strCache>
            </c:strRef>
          </c:tx>
          <c:spPr>
            <a:solidFill>
              <a:schemeClr val="accent2"/>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Sheet1!$C$2:$C$6</c:f>
              <c:numCache>
                <c:formatCode>0.00%</c:formatCode>
                <c:ptCount val="5"/>
                <c:pt idx="0">
                  <c:v>0.11899999999999999</c:v>
                </c:pt>
                <c:pt idx="1">
                  <c:v>8.4000000000000005E-2</c:v>
                </c:pt>
                <c:pt idx="2">
                  <c:v>2.9000000000000001E-2</c:v>
                </c:pt>
                <c:pt idx="3">
                  <c:v>-0.18099999999999999</c:v>
                </c:pt>
                <c:pt idx="4">
                  <c:v>-7.8E-2</c:v>
                </c:pt>
              </c:numCache>
            </c:numRef>
          </c:val>
          <c:extLst>
            <c:ext xmlns:c16="http://schemas.microsoft.com/office/drawing/2014/chart" uri="{C3380CC4-5D6E-409C-BE32-E72D297353CC}">
              <c16:uniqueId val="{00000001-C665-400C-8D93-CFCF2FA204E8}"/>
            </c:ext>
          </c:extLst>
        </c:ser>
        <c:dLbls>
          <c:showLegendKey val="0"/>
          <c:showVal val="0"/>
          <c:showCatName val="0"/>
          <c:showSerName val="0"/>
          <c:showPercent val="0"/>
          <c:showBubbleSize val="0"/>
        </c:dLbls>
        <c:gapWidth val="219"/>
        <c:overlap val="-27"/>
        <c:axId val="418374960"/>
        <c:axId val="418373328"/>
      </c:barChart>
      <c:catAx>
        <c:axId val="4183749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373328"/>
        <c:crosses val="autoZero"/>
        <c:auto val="1"/>
        <c:lblAlgn val="ctr"/>
        <c:lblOffset val="100"/>
        <c:noMultiLvlLbl val="0"/>
      </c:catAx>
      <c:valAx>
        <c:axId val="4183733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83749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Debt-to-Equity Ratio </c:v>
                </c:pt>
              </c:strCache>
            </c:strRef>
          </c:tx>
          <c:spPr>
            <a:solidFill>
              <a:schemeClr val="accent1"/>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0.63</c:v>
                </c:pt>
                <c:pt idx="1">
                  <c:v>0.68</c:v>
                </c:pt>
                <c:pt idx="2">
                  <c:v>0.88</c:v>
                </c:pt>
                <c:pt idx="3">
                  <c:v>0.99</c:v>
                </c:pt>
                <c:pt idx="4">
                  <c:v>1.1100000000000001</c:v>
                </c:pt>
              </c:numCache>
            </c:numRef>
          </c:val>
          <c:extLst>
            <c:ext xmlns:c16="http://schemas.microsoft.com/office/drawing/2014/chart" uri="{C3380CC4-5D6E-409C-BE32-E72D297353CC}">
              <c16:uniqueId val="{00000000-0589-4CEA-9E55-55A08F42AF39}"/>
            </c:ext>
          </c:extLst>
        </c:ser>
        <c:ser>
          <c:idx val="1"/>
          <c:order val="1"/>
          <c:tx>
            <c:strRef>
              <c:f>Sheet1!$C$1</c:f>
              <c:strCache>
                <c:ptCount val="1"/>
                <c:pt idx="0">
                  <c:v>Interest Coverage Ratio </c:v>
                </c:pt>
              </c:strCache>
            </c:strRef>
          </c:tx>
          <c:spPr>
            <a:solidFill>
              <a:schemeClr val="accent2"/>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26.2</c:v>
                </c:pt>
                <c:pt idx="1">
                  <c:v>41.1</c:v>
                </c:pt>
                <c:pt idx="2">
                  <c:v>6.6</c:v>
                </c:pt>
                <c:pt idx="3">
                  <c:v>-19.7</c:v>
                </c:pt>
                <c:pt idx="4">
                  <c:v>-4.5999999999999996</c:v>
                </c:pt>
              </c:numCache>
            </c:numRef>
          </c:val>
          <c:extLst>
            <c:ext xmlns:c16="http://schemas.microsoft.com/office/drawing/2014/chart" uri="{C3380CC4-5D6E-409C-BE32-E72D297353CC}">
              <c16:uniqueId val="{00000001-0589-4CEA-9E55-55A08F42AF39}"/>
            </c:ext>
          </c:extLst>
        </c:ser>
        <c:dLbls>
          <c:showLegendKey val="0"/>
          <c:showVal val="0"/>
          <c:showCatName val="0"/>
          <c:showSerName val="0"/>
          <c:showPercent val="0"/>
          <c:showBubbleSize val="0"/>
        </c:dLbls>
        <c:gapWidth val="219"/>
        <c:overlap val="-27"/>
        <c:axId val="275468144"/>
        <c:axId val="275470864"/>
      </c:barChart>
      <c:catAx>
        <c:axId val="2754681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470864"/>
        <c:crosses val="autoZero"/>
        <c:auto val="1"/>
        <c:lblAlgn val="ctr"/>
        <c:lblOffset val="100"/>
        <c:noMultiLvlLbl val="0"/>
      </c:catAx>
      <c:valAx>
        <c:axId val="275470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4681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Sheet1!$B$1</c:f>
              <c:strCache>
                <c:ptCount val="1"/>
                <c:pt idx="0">
                  <c:v>Inventory Turnover Period (Days)</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100</c:v>
                </c:pt>
                <c:pt idx="1">
                  <c:v>114</c:v>
                </c:pt>
                <c:pt idx="2">
                  <c:v>131</c:v>
                </c:pt>
                <c:pt idx="3">
                  <c:v>100</c:v>
                </c:pt>
                <c:pt idx="4">
                  <c:v>103</c:v>
                </c:pt>
              </c:numCache>
            </c:numRef>
          </c:val>
          <c:extLst>
            <c:ext xmlns:c16="http://schemas.microsoft.com/office/drawing/2014/chart" uri="{C3380CC4-5D6E-409C-BE32-E72D297353CC}">
              <c16:uniqueId val="{00000000-737F-4E3E-A599-98044F3E7038}"/>
            </c:ext>
          </c:extLst>
        </c:ser>
        <c:ser>
          <c:idx val="1"/>
          <c:order val="1"/>
          <c:tx>
            <c:strRef>
              <c:f>Sheet1!$C$1</c:f>
              <c:strCache>
                <c:ptCount val="1"/>
                <c:pt idx="0">
                  <c:v>Receivables Turnover Period (Days)</c:v>
                </c:pt>
              </c:strCache>
            </c:strRef>
          </c:tx>
          <c:spPr>
            <a:solidFill>
              <a:schemeClr val="accent2"/>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77</c:v>
                </c:pt>
                <c:pt idx="1">
                  <c:v>78</c:v>
                </c:pt>
                <c:pt idx="2">
                  <c:v>76</c:v>
                </c:pt>
                <c:pt idx="3">
                  <c:v>98</c:v>
                </c:pt>
                <c:pt idx="4">
                  <c:v>106</c:v>
                </c:pt>
              </c:numCache>
            </c:numRef>
          </c:val>
          <c:extLst>
            <c:ext xmlns:c16="http://schemas.microsoft.com/office/drawing/2014/chart" uri="{C3380CC4-5D6E-409C-BE32-E72D297353CC}">
              <c16:uniqueId val="{00000001-737F-4E3E-A599-98044F3E7038}"/>
            </c:ext>
          </c:extLst>
        </c:ser>
        <c:ser>
          <c:idx val="2"/>
          <c:order val="2"/>
          <c:tx>
            <c:strRef>
              <c:f>Sheet1!$D$1</c:f>
              <c:strCache>
                <c:ptCount val="1"/>
                <c:pt idx="0">
                  <c:v>Payables Turnover Period (Days)</c:v>
                </c:pt>
              </c:strCache>
            </c:strRef>
          </c:tx>
          <c:spPr>
            <a:solidFill>
              <a:schemeClr val="accent3"/>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Sheet1!$D$2:$D$6</c:f>
              <c:numCache>
                <c:formatCode>General</c:formatCode>
                <c:ptCount val="5"/>
                <c:pt idx="0">
                  <c:v>69</c:v>
                </c:pt>
                <c:pt idx="1">
                  <c:v>73</c:v>
                </c:pt>
                <c:pt idx="2">
                  <c:v>66</c:v>
                </c:pt>
                <c:pt idx="3">
                  <c:v>64</c:v>
                </c:pt>
                <c:pt idx="4">
                  <c:v>67</c:v>
                </c:pt>
              </c:numCache>
            </c:numRef>
          </c:val>
          <c:extLst>
            <c:ext xmlns:c16="http://schemas.microsoft.com/office/drawing/2014/chart" uri="{C3380CC4-5D6E-409C-BE32-E72D297353CC}">
              <c16:uniqueId val="{00000002-737F-4E3E-A599-98044F3E7038}"/>
            </c:ext>
          </c:extLst>
        </c:ser>
        <c:dLbls>
          <c:dLblPos val="outEnd"/>
          <c:showLegendKey val="0"/>
          <c:showVal val="1"/>
          <c:showCatName val="0"/>
          <c:showSerName val="0"/>
          <c:showPercent val="0"/>
          <c:showBubbleSize val="0"/>
        </c:dLbls>
        <c:gapWidth val="444"/>
        <c:overlap val="-90"/>
        <c:axId val="275470320"/>
        <c:axId val="275471408"/>
      </c:barChart>
      <c:catAx>
        <c:axId val="2754703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75471408"/>
        <c:crosses val="autoZero"/>
        <c:auto val="1"/>
        <c:lblAlgn val="ctr"/>
        <c:lblOffset val="100"/>
        <c:noMultiLvlLbl val="0"/>
      </c:catAx>
      <c:valAx>
        <c:axId val="275471408"/>
        <c:scaling>
          <c:orientation val="minMax"/>
        </c:scaling>
        <c:delete val="1"/>
        <c:axPos val="l"/>
        <c:numFmt formatCode="General" sourceLinked="1"/>
        <c:majorTickMark val="none"/>
        <c:minorTickMark val="none"/>
        <c:tickLblPos val="nextTo"/>
        <c:crossAx val="27547032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Sheet1!$A$2</c:f>
              <c:strCache>
                <c:ptCount val="1"/>
                <c:pt idx="0">
                  <c:v>2020</c:v>
                </c:pt>
              </c:strCache>
            </c:strRef>
          </c:tx>
          <c:spPr>
            <a:pattFill prst="narVert">
              <a:fgClr>
                <a:schemeClr val="accent1"/>
              </a:fgClr>
              <a:bgClr>
                <a:schemeClr val="accent1">
                  <a:lumMod val="20000"/>
                  <a:lumOff val="80000"/>
                </a:schemeClr>
              </a:bgClr>
            </a:pattFill>
            <a:ln>
              <a:noFill/>
            </a:ln>
            <a:effectLst>
              <a:innerShdw blurRad="114300">
                <a:schemeClr val="accent1"/>
              </a:innerShdw>
            </a:effectLst>
          </c:spPr>
          <c:invertIfNegative val="0"/>
          <c:cat>
            <c:strRef>
              <c:f>Sheet1!$B$1:$F$1</c:f>
              <c:strCache>
                <c:ptCount val="5"/>
                <c:pt idx="0">
                  <c:v>Net Cash from Operating Activities (£m)</c:v>
                </c:pt>
                <c:pt idx="1">
                  <c:v>Net Cash from Investing Activities (£m)</c:v>
                </c:pt>
                <c:pt idx="2">
                  <c:v>Net Cash from Financing Activities (£m)</c:v>
                </c:pt>
                <c:pt idx="3">
                  <c:v>Net Increase/Decrease in Cash (£m)</c:v>
                </c:pt>
                <c:pt idx="4">
                  <c:v>Closing Cash Balance (£m)</c:v>
                </c:pt>
              </c:strCache>
            </c:strRef>
          </c:cat>
          <c:val>
            <c:numRef>
              <c:f>Sheet1!$B$2:$F$2</c:f>
              <c:numCache>
                <c:formatCode>#,##0</c:formatCode>
                <c:ptCount val="5"/>
                <c:pt idx="0">
                  <c:v>73392</c:v>
                </c:pt>
                <c:pt idx="1">
                  <c:v>-23734</c:v>
                </c:pt>
                <c:pt idx="2">
                  <c:v>65964</c:v>
                </c:pt>
                <c:pt idx="3">
                  <c:v>-17149</c:v>
                </c:pt>
                <c:pt idx="4">
                  <c:v>57153</c:v>
                </c:pt>
              </c:numCache>
            </c:numRef>
          </c:val>
          <c:extLst>
            <c:ext xmlns:c16="http://schemas.microsoft.com/office/drawing/2014/chart" uri="{C3380CC4-5D6E-409C-BE32-E72D297353CC}">
              <c16:uniqueId val="{00000000-D9C0-4611-BF88-352AAB30C2CE}"/>
            </c:ext>
          </c:extLst>
        </c:ser>
        <c:ser>
          <c:idx val="1"/>
          <c:order val="1"/>
          <c:tx>
            <c:strRef>
              <c:f>Sheet1!$A$3</c:f>
              <c:strCache>
                <c:ptCount val="1"/>
                <c:pt idx="0">
                  <c:v>2021</c:v>
                </c:pt>
              </c:strCache>
            </c:strRef>
          </c:tx>
          <c:spPr>
            <a:pattFill prst="narVert">
              <a:fgClr>
                <a:schemeClr val="accent2"/>
              </a:fgClr>
              <a:bgClr>
                <a:schemeClr val="accent2">
                  <a:lumMod val="20000"/>
                  <a:lumOff val="80000"/>
                </a:schemeClr>
              </a:bgClr>
            </a:pattFill>
            <a:ln>
              <a:noFill/>
            </a:ln>
            <a:effectLst>
              <a:innerShdw blurRad="114300">
                <a:schemeClr val="accent2"/>
              </a:innerShdw>
            </a:effectLst>
          </c:spPr>
          <c:invertIfNegative val="0"/>
          <c:cat>
            <c:strRef>
              <c:f>Sheet1!$B$1:$F$1</c:f>
              <c:strCache>
                <c:ptCount val="5"/>
                <c:pt idx="0">
                  <c:v>Net Cash from Operating Activities (£m)</c:v>
                </c:pt>
                <c:pt idx="1">
                  <c:v>Net Cash from Investing Activities (£m)</c:v>
                </c:pt>
                <c:pt idx="2">
                  <c:v>Net Cash from Financing Activities (£m)</c:v>
                </c:pt>
                <c:pt idx="3">
                  <c:v>Net Increase/Decrease in Cash (£m)</c:v>
                </c:pt>
                <c:pt idx="4">
                  <c:v>Closing Cash Balance (£m)</c:v>
                </c:pt>
              </c:strCache>
            </c:strRef>
          </c:cat>
          <c:val>
            <c:numRef>
              <c:f>Sheet1!$B$3:$F$3</c:f>
              <c:numCache>
                <c:formatCode>#,##0</c:formatCode>
                <c:ptCount val="5"/>
                <c:pt idx="0">
                  <c:v>40283</c:v>
                </c:pt>
                <c:pt idx="1">
                  <c:v>-17041</c:v>
                </c:pt>
                <c:pt idx="2">
                  <c:v>-22026</c:v>
                </c:pt>
                <c:pt idx="3">
                  <c:v>3660</c:v>
                </c:pt>
                <c:pt idx="4">
                  <c:v>60813</c:v>
                </c:pt>
              </c:numCache>
            </c:numRef>
          </c:val>
          <c:extLst>
            <c:ext xmlns:c16="http://schemas.microsoft.com/office/drawing/2014/chart" uri="{C3380CC4-5D6E-409C-BE32-E72D297353CC}">
              <c16:uniqueId val="{00000001-D9C0-4611-BF88-352AAB30C2CE}"/>
            </c:ext>
          </c:extLst>
        </c:ser>
        <c:ser>
          <c:idx val="2"/>
          <c:order val="2"/>
          <c:tx>
            <c:strRef>
              <c:f>Sheet1!$A$4</c:f>
              <c:strCache>
                <c:ptCount val="1"/>
                <c:pt idx="0">
                  <c:v>2022</c:v>
                </c:pt>
              </c:strCache>
            </c:strRef>
          </c:tx>
          <c:spPr>
            <a:pattFill prst="narVert">
              <a:fgClr>
                <a:schemeClr val="accent3"/>
              </a:fgClr>
              <a:bgClr>
                <a:schemeClr val="accent3">
                  <a:lumMod val="20000"/>
                  <a:lumOff val="80000"/>
                </a:schemeClr>
              </a:bgClr>
            </a:pattFill>
            <a:ln>
              <a:noFill/>
            </a:ln>
            <a:effectLst>
              <a:innerShdw blurRad="114300">
                <a:schemeClr val="accent3"/>
              </a:innerShdw>
            </a:effectLst>
          </c:spPr>
          <c:invertIfNegative val="0"/>
          <c:cat>
            <c:strRef>
              <c:f>Sheet1!$B$1:$F$1</c:f>
              <c:strCache>
                <c:ptCount val="5"/>
                <c:pt idx="0">
                  <c:v>Net Cash from Operating Activities (£m)</c:v>
                </c:pt>
                <c:pt idx="1">
                  <c:v>Net Cash from Investing Activities (£m)</c:v>
                </c:pt>
                <c:pt idx="2">
                  <c:v>Net Cash from Financing Activities (£m)</c:v>
                </c:pt>
                <c:pt idx="3">
                  <c:v>Net Increase/Decrease in Cash (£m)</c:v>
                </c:pt>
                <c:pt idx="4">
                  <c:v>Closing Cash Balance (£m)</c:v>
                </c:pt>
              </c:strCache>
            </c:strRef>
          </c:cat>
          <c:val>
            <c:numRef>
              <c:f>Sheet1!$B$4:$F$4</c:f>
              <c:numCache>
                <c:formatCode>#,##0</c:formatCode>
                <c:ptCount val="5"/>
                <c:pt idx="0">
                  <c:v>10926</c:v>
                </c:pt>
                <c:pt idx="1">
                  <c:v>-21208</c:v>
                </c:pt>
                <c:pt idx="2">
                  <c:v>20501</c:v>
                </c:pt>
                <c:pt idx="3">
                  <c:v>5927</c:v>
                </c:pt>
                <c:pt idx="4">
                  <c:v>66740</c:v>
                </c:pt>
              </c:numCache>
            </c:numRef>
          </c:val>
          <c:extLst>
            <c:ext xmlns:c16="http://schemas.microsoft.com/office/drawing/2014/chart" uri="{C3380CC4-5D6E-409C-BE32-E72D297353CC}">
              <c16:uniqueId val="{00000002-D9C0-4611-BF88-352AAB30C2CE}"/>
            </c:ext>
          </c:extLst>
        </c:ser>
        <c:ser>
          <c:idx val="3"/>
          <c:order val="3"/>
          <c:tx>
            <c:strRef>
              <c:f>Sheet1!$A$5</c:f>
              <c:strCache>
                <c:ptCount val="1"/>
                <c:pt idx="0">
                  <c:v>2023</c:v>
                </c:pt>
              </c:strCache>
            </c:strRef>
          </c:tx>
          <c:spPr>
            <a:pattFill prst="narVert">
              <a:fgClr>
                <a:schemeClr val="accent4"/>
              </a:fgClr>
              <a:bgClr>
                <a:schemeClr val="accent4">
                  <a:lumMod val="20000"/>
                  <a:lumOff val="80000"/>
                </a:schemeClr>
              </a:bgClr>
            </a:pattFill>
            <a:ln>
              <a:noFill/>
            </a:ln>
            <a:effectLst>
              <a:innerShdw blurRad="114300">
                <a:schemeClr val="accent4"/>
              </a:innerShdw>
            </a:effectLst>
          </c:spPr>
          <c:invertIfNegative val="0"/>
          <c:cat>
            <c:strRef>
              <c:f>Sheet1!$B$1:$F$1</c:f>
              <c:strCache>
                <c:ptCount val="5"/>
                <c:pt idx="0">
                  <c:v>Net Cash from Operating Activities (£m)</c:v>
                </c:pt>
                <c:pt idx="1">
                  <c:v>Net Cash from Investing Activities (£m)</c:v>
                </c:pt>
                <c:pt idx="2">
                  <c:v>Net Cash from Financing Activities (£m)</c:v>
                </c:pt>
                <c:pt idx="3">
                  <c:v>Net Increase/Decrease in Cash (£m)</c:v>
                </c:pt>
                <c:pt idx="4">
                  <c:v>Closing Cash Balance (£m)</c:v>
                </c:pt>
              </c:strCache>
            </c:strRef>
          </c:cat>
          <c:val>
            <c:numRef>
              <c:f>Sheet1!$B$5:$F$5</c:f>
              <c:numCache>
                <c:formatCode>#,##0</c:formatCode>
                <c:ptCount val="5"/>
                <c:pt idx="0">
                  <c:v>25190</c:v>
                </c:pt>
                <c:pt idx="1">
                  <c:v>-13877</c:v>
                </c:pt>
                <c:pt idx="2">
                  <c:v>-34779</c:v>
                </c:pt>
                <c:pt idx="3">
                  <c:v>-23989</c:v>
                </c:pt>
                <c:pt idx="4">
                  <c:v>42751</c:v>
                </c:pt>
              </c:numCache>
            </c:numRef>
          </c:val>
          <c:extLst>
            <c:ext xmlns:c16="http://schemas.microsoft.com/office/drawing/2014/chart" uri="{C3380CC4-5D6E-409C-BE32-E72D297353CC}">
              <c16:uniqueId val="{00000003-D9C0-4611-BF88-352AAB30C2CE}"/>
            </c:ext>
          </c:extLst>
        </c:ser>
        <c:ser>
          <c:idx val="4"/>
          <c:order val="4"/>
          <c:tx>
            <c:strRef>
              <c:f>Sheet1!$A$6</c:f>
              <c:strCache>
                <c:ptCount val="1"/>
                <c:pt idx="0">
                  <c:v>2024</c:v>
                </c:pt>
              </c:strCache>
            </c:strRef>
          </c:tx>
          <c:spPr>
            <a:pattFill prst="narVert">
              <a:fgClr>
                <a:schemeClr val="accent5"/>
              </a:fgClr>
              <a:bgClr>
                <a:schemeClr val="accent5">
                  <a:lumMod val="20000"/>
                  <a:lumOff val="80000"/>
                </a:schemeClr>
              </a:bgClr>
            </a:pattFill>
            <a:ln>
              <a:noFill/>
            </a:ln>
            <a:effectLst>
              <a:innerShdw blurRad="114300">
                <a:schemeClr val="accent5"/>
              </a:innerShdw>
            </a:effectLst>
          </c:spPr>
          <c:invertIfNegative val="0"/>
          <c:cat>
            <c:strRef>
              <c:f>Sheet1!$B$1:$F$1</c:f>
              <c:strCache>
                <c:ptCount val="5"/>
                <c:pt idx="0">
                  <c:v>Net Cash from Operating Activities (£m)</c:v>
                </c:pt>
                <c:pt idx="1">
                  <c:v>Net Cash from Investing Activities (£m)</c:v>
                </c:pt>
                <c:pt idx="2">
                  <c:v>Net Cash from Financing Activities (£m)</c:v>
                </c:pt>
                <c:pt idx="3">
                  <c:v>Net Increase/Decrease in Cash (£m)</c:v>
                </c:pt>
                <c:pt idx="4">
                  <c:v>Closing Cash Balance (£m)</c:v>
                </c:pt>
              </c:strCache>
            </c:strRef>
          </c:cat>
          <c:val>
            <c:numRef>
              <c:f>Sheet1!$B$6:$F$6</c:f>
              <c:numCache>
                <c:formatCode>#,##0</c:formatCode>
                <c:ptCount val="5"/>
                <c:pt idx="0">
                  <c:v>14822</c:v>
                </c:pt>
                <c:pt idx="1">
                  <c:v>-8428</c:v>
                </c:pt>
                <c:pt idx="2">
                  <c:v>-19764</c:v>
                </c:pt>
                <c:pt idx="3">
                  <c:v>-15968</c:v>
                </c:pt>
                <c:pt idx="4">
                  <c:v>26783</c:v>
                </c:pt>
              </c:numCache>
            </c:numRef>
          </c:val>
          <c:extLst>
            <c:ext xmlns:c16="http://schemas.microsoft.com/office/drawing/2014/chart" uri="{C3380CC4-5D6E-409C-BE32-E72D297353CC}">
              <c16:uniqueId val="{00000004-D9C0-4611-BF88-352AAB30C2CE}"/>
            </c:ext>
          </c:extLst>
        </c:ser>
        <c:dLbls>
          <c:showLegendKey val="0"/>
          <c:showVal val="0"/>
          <c:showCatName val="0"/>
          <c:showSerName val="0"/>
          <c:showPercent val="0"/>
          <c:showBubbleSize val="0"/>
        </c:dLbls>
        <c:gapWidth val="227"/>
        <c:overlap val="-48"/>
        <c:axId val="275464880"/>
        <c:axId val="516740576"/>
      </c:barChart>
      <c:catAx>
        <c:axId val="275464880"/>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6740576"/>
        <c:crosses val="autoZero"/>
        <c:auto val="1"/>
        <c:lblAlgn val="ctr"/>
        <c:lblOffset val="100"/>
        <c:noMultiLvlLbl val="0"/>
      </c:catAx>
      <c:valAx>
        <c:axId val="516740576"/>
        <c:scaling>
          <c:orientation val="minMax"/>
        </c:scaling>
        <c:delete val="0"/>
        <c:axPos val="b"/>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46488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[Book5]Sheet2!PivotTable9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Sum of Year by Price/Earnings (P/E)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Sheet2!$B$3</c:f>
              <c:strCache>
                <c:ptCount val="1"/>
                <c:pt idx="0">
                  <c:v>Total</c:v>
                </c:pt>
              </c:strCache>
            </c:strRef>
          </c:tx>
          <c:spPr>
            <a:solidFill>
              <a:schemeClr val="accent1"/>
            </a:solidFill>
            <a:ln>
              <a:noFill/>
            </a:ln>
            <a:effectLst/>
          </c:spPr>
          <c:invertIfNegative val="0"/>
          <c:cat>
            <c:strRef>
              <c:f>Sheet2!$A$4:$A$7</c:f>
              <c:strCache>
                <c:ptCount val="4"/>
                <c:pt idx="0">
                  <c:v>12</c:v>
                </c:pt>
                <c:pt idx="1">
                  <c:v>28.5</c:v>
                </c:pt>
                <c:pt idx="2">
                  <c:v>180</c:v>
                </c:pt>
                <c:pt idx="3">
                  <c:v>N/A</c:v>
                </c:pt>
              </c:strCache>
            </c:strRef>
          </c:cat>
          <c:val>
            <c:numRef>
              <c:f>Sheet2!$B$4:$B$7</c:f>
              <c:numCache>
                <c:formatCode>General</c:formatCode>
                <c:ptCount val="4"/>
                <c:pt idx="0">
                  <c:v>2020</c:v>
                </c:pt>
                <c:pt idx="1">
                  <c:v>2021</c:v>
                </c:pt>
                <c:pt idx="2">
                  <c:v>2022</c:v>
                </c:pt>
                <c:pt idx="3">
                  <c:v>4047</c:v>
                </c:pt>
              </c:numCache>
            </c:numRef>
          </c:val>
          <c:extLst>
            <c:ext xmlns:c16="http://schemas.microsoft.com/office/drawing/2014/chart" uri="{C3380CC4-5D6E-409C-BE32-E72D297353CC}">
              <c16:uniqueId val="{00000000-AE41-48C5-BB45-8EC4CB5F42CB}"/>
            </c:ext>
          </c:extLst>
        </c:ser>
        <c:dLbls>
          <c:showLegendKey val="0"/>
          <c:showVal val="0"/>
          <c:showCatName val="0"/>
          <c:showSerName val="0"/>
          <c:showPercent val="0"/>
          <c:showBubbleSize val="0"/>
        </c:dLbls>
        <c:gapWidth val="219"/>
        <c:overlap val="-27"/>
        <c:axId val="275467056"/>
        <c:axId val="275467600"/>
      </c:barChart>
      <c:catAx>
        <c:axId val="275467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467600"/>
        <c:crosses val="autoZero"/>
        <c:auto val="1"/>
        <c:lblAlgn val="ctr"/>
        <c:lblOffset val="100"/>
        <c:noMultiLvlLbl val="0"/>
      </c:catAx>
      <c:valAx>
        <c:axId val="2754676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5467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17">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Vert">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