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Ind w:w="-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A71279">
        <w:tc>
          <w:tcPr>
            <w:tcW w:w="10910" w:type="dxa"/>
            <w:shd w:val="clear" w:color="auto" w:fill="auto"/>
          </w:tcPr>
          <w:p w14:paraId="02F8EE88" w14:textId="2E851E2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71279">
              <w:rPr>
                <w:rFonts w:ascii="Times New Roman" w:hAnsi="Times New Roman" w:cs="Times New Roman"/>
                <w:b/>
                <w:color w:val="auto"/>
                <w:sz w:val="48"/>
              </w:rPr>
              <w:t>Naomi Parry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9C354D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71279">
              <w:rPr>
                <w:rFonts w:ascii="Times New Roman" w:hAnsi="Times New Roman" w:cs="Times New Roman"/>
                <w:b/>
                <w:color w:val="auto"/>
                <w:sz w:val="48"/>
              </w:rPr>
              <w:t xml:space="preserve"> Naomianna@aol.com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8876B5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71279">
              <w:rPr>
                <w:rFonts w:ascii="Times New Roman" w:hAnsi="Times New Roman" w:cs="Times New Roman"/>
                <w:b/>
                <w:color w:val="auto"/>
                <w:sz w:val="48"/>
              </w:rPr>
              <w:t xml:space="preserve"> 2128703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36CA9370"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This case study is based upon a Child Criminal Exploitation (CCE) risk assessment that was completed when leading on a multidisciplinary decision around safeguarding and Care and Support planning for a young person at risk of CCE. There is no legal definition of CCE however Barnado’s provide the following definition that is being proposed to be included in Part 1, Section 3 of the Modern Slavery Act (2015).</w:t>
            </w:r>
          </w:p>
          <w:p w14:paraId="1486EFAE" w14:textId="77777777" w:rsidR="00A71279" w:rsidRPr="00A71279" w:rsidRDefault="00A71279" w:rsidP="00A71279">
            <w:pPr>
              <w:overflowPunct/>
              <w:autoSpaceDE/>
              <w:autoSpaceDN/>
              <w:adjustRightInd/>
              <w:spacing w:after="160" w:line="259" w:lineRule="auto"/>
              <w:textAlignment w:val="auto"/>
              <w:rPr>
                <w:rFonts w:eastAsia="Calibri"/>
                <w:i/>
                <w:color w:val="auto"/>
                <w:sz w:val="22"/>
                <w:szCs w:val="22"/>
                <w:lang w:eastAsia="en-US"/>
              </w:rPr>
            </w:pPr>
            <w:r w:rsidRPr="00A71279">
              <w:rPr>
                <w:rFonts w:eastAsia="Calibri"/>
                <w:i/>
                <w:color w:val="auto"/>
                <w:sz w:val="22"/>
                <w:szCs w:val="22"/>
                <w:lang w:eastAsia="en-US"/>
              </w:rPr>
              <w:t xml:space="preserve">‘Child criminal exploitation is when another person or persons manipulate, deceive, coerce or control the person to undertake activity which constitutes a criminal offence where the person is under the age of 18.’ (James, 2021). </w:t>
            </w:r>
          </w:p>
          <w:p w14:paraId="17A59E56"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For confidentiality reasons the young person will be referred to as 3 in this assignment. 3 is a white a white Welsh male aged 16 years old. 3 has lived in a coastal town in Wales since birth, however recently moved to live in a residential home in England. 3 is a Child Looked After by the Local Authority and due to safeguarding concerns of being at risk of CCE, 3 needed to move away from his local area. 3 has attended mainstream Welsh school until moving to his current home.</w:t>
            </w:r>
          </w:p>
          <w:p w14:paraId="47B7FE97"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The purpose of the CCE Risk Assessment being undertaken in this case study was necessary following 3 having frequent missing from care episodes, reported to have been associating with individuals of concern in the local community and attending areas and properties of concern.</w:t>
            </w:r>
          </w:p>
          <w:p w14:paraId="78AECD48"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The national Wales Safeguarding Procedures are the procedures adhered to in Wales by Social Workers to apply the Social Services and Wellbeing (Wales) Act 2014 to safeguarding (Welsh 2023) children and adults at risk. The procedures provide detail of the roles and responsibilities of practitioners in Wales in safeguarding those at risk of abuse and neglect (Welsh Government, 2023).</w:t>
            </w:r>
          </w:p>
          <w:p w14:paraId="6506289B"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The Social Services and Well-being (Wales) Act 2014 provides statutory guidance within it’s Working Together to Safeguard People Volume 5 – Handling Individual Cases to Protect Children at Risk (Welsh Government 2018). This provides statutory guidance on ‘handling individual cases’ (Welsh Government, 2023) and the principles that need to be followed to ensure best practice is achieved.</w:t>
            </w:r>
          </w:p>
          <w:p w14:paraId="3850C06A"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This assignment is going to use the principles which are summarised in the Wales Safeguarding Procedures into 6 main categories, to comprehensively critically analyse the case study of 3, the CCE risk assessment process applied and used within his Care and Support, to ensure he was effectively and proportionately safeguarded from abuse and neglect, with the voice of the child at the centre of best practice.</w:t>
            </w:r>
          </w:p>
          <w:p w14:paraId="0CF270E3"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CCE is a form of abuse that can present in various environments and forms, it can be perpetrated by single family members for that family member’s personal criminal gain or within gangs for purposes such as </w:t>
            </w:r>
            <w:r w:rsidRPr="00A71279">
              <w:rPr>
                <w:rFonts w:eastAsia="Calibri"/>
                <w:i/>
                <w:color w:val="auto"/>
                <w:sz w:val="22"/>
                <w:szCs w:val="22"/>
                <w:lang w:eastAsia="en-US"/>
              </w:rPr>
              <w:t>‘county lines’</w:t>
            </w:r>
            <w:r w:rsidRPr="00A71279">
              <w:rPr>
                <w:rFonts w:eastAsia="Calibri"/>
                <w:color w:val="auto"/>
                <w:sz w:val="22"/>
                <w:szCs w:val="22"/>
                <w:lang w:eastAsia="en-US"/>
              </w:rPr>
              <w:t xml:space="preserve"> (Welsh Government, 2023). ‘</w:t>
            </w:r>
            <w:r w:rsidRPr="00A71279">
              <w:rPr>
                <w:rFonts w:eastAsia="Calibri"/>
                <w:i/>
                <w:color w:val="auto"/>
                <w:sz w:val="22"/>
                <w:szCs w:val="22"/>
                <w:lang w:eastAsia="en-US"/>
              </w:rPr>
              <w:t xml:space="preserve">County Lines’ </w:t>
            </w:r>
            <w:r w:rsidRPr="00A71279">
              <w:rPr>
                <w:rFonts w:eastAsia="Calibri"/>
                <w:color w:val="auto"/>
                <w:sz w:val="22"/>
                <w:szCs w:val="22"/>
                <w:lang w:eastAsia="en-US"/>
              </w:rPr>
              <w:t xml:space="preserve">is an illegal business model, the gangs that operate them target, groom, recruit and exploit children for their own criminal gain (Welsh Government, 2023). </w:t>
            </w:r>
          </w:p>
          <w:p w14:paraId="4BE167CA"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w:t>
            </w:r>
            <w:r w:rsidRPr="00A71279">
              <w:rPr>
                <w:rFonts w:eastAsia="Calibri"/>
                <w:i/>
                <w:color w:val="auto"/>
                <w:sz w:val="22"/>
                <w:szCs w:val="22"/>
                <w:lang w:eastAsia="en-US"/>
              </w:rPr>
              <w:t xml:space="preserve">County Lines’ </w:t>
            </w:r>
            <w:r w:rsidRPr="00A71279">
              <w:rPr>
                <w:rFonts w:eastAsia="Calibri"/>
                <w:color w:val="auto"/>
                <w:sz w:val="22"/>
                <w:szCs w:val="22"/>
                <w:lang w:eastAsia="en-US"/>
              </w:rPr>
              <w:t>is an issue involving drugs, violence, gangs, safeguarding, criminal and sexual exploitation, modern slavery, human trafficking and missing persons and involves importing illegal drugs within the UK (Welsh Government, 2023 and Home Office, 2018). The business model of ‘</w:t>
            </w:r>
            <w:r w:rsidRPr="00A71279">
              <w:rPr>
                <w:rFonts w:eastAsia="Calibri"/>
                <w:i/>
                <w:color w:val="auto"/>
                <w:sz w:val="22"/>
                <w:szCs w:val="22"/>
                <w:lang w:eastAsia="en-US"/>
              </w:rPr>
              <w:t xml:space="preserve">County Lines’ </w:t>
            </w:r>
            <w:r w:rsidRPr="00A71279">
              <w:rPr>
                <w:rFonts w:eastAsia="Calibri"/>
                <w:color w:val="auto"/>
                <w:sz w:val="22"/>
                <w:szCs w:val="22"/>
                <w:lang w:eastAsia="en-US"/>
              </w:rPr>
              <w:t xml:space="preserve">is run by </w:t>
            </w:r>
            <w:r w:rsidRPr="00A71279">
              <w:rPr>
                <w:rFonts w:eastAsia="Calibri"/>
                <w:i/>
                <w:color w:val="auto"/>
                <w:sz w:val="22"/>
                <w:szCs w:val="22"/>
                <w:lang w:eastAsia="en-US"/>
              </w:rPr>
              <w:t>‘urban gangs supplying drugs to suburban areas and market and coastal towns using dedicated mobile phone lines or “deal lines”</w:t>
            </w:r>
            <w:r w:rsidRPr="00A71279">
              <w:rPr>
                <w:rFonts w:eastAsia="Calibri"/>
                <w:color w:val="auto"/>
                <w:sz w:val="22"/>
                <w:szCs w:val="22"/>
                <w:lang w:eastAsia="en-US"/>
              </w:rPr>
              <w:t xml:space="preserve"> (Lenz, 2018). It therefore makes children in coastal towns in Wales particularly vulnerable to this type exploitation.</w:t>
            </w:r>
          </w:p>
          <w:p w14:paraId="21579A7C"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Although </w:t>
            </w:r>
            <w:r w:rsidRPr="00A71279">
              <w:rPr>
                <w:rFonts w:eastAsia="Calibri"/>
                <w:i/>
                <w:color w:val="auto"/>
                <w:sz w:val="22"/>
                <w:szCs w:val="22"/>
                <w:lang w:eastAsia="en-US"/>
              </w:rPr>
              <w:t>‘County Lines’</w:t>
            </w:r>
            <w:r w:rsidRPr="00A71279">
              <w:rPr>
                <w:rFonts w:eastAsia="Calibri"/>
                <w:color w:val="auto"/>
                <w:sz w:val="22"/>
                <w:szCs w:val="22"/>
                <w:lang w:eastAsia="en-US"/>
              </w:rPr>
              <w:t xml:space="preserve"> is generally the term used to refer to this type of criminal exploitation within the UK, it is important to consider the risk of exploitation on a wider scale. Children who are vulnerable to exploitation can be trafficked to countries outside of the UK. Children in the UK are protected by the United Nations Convention on the Rights of the Child (UNCRC) therefore despite the reduced level of protection in terms of human trafficking that has occurred due to Britain no longer being in the European Union (EU), children at risk of trafficking are protected under the UNCRC. Although the specific Articles of the UNCRC do not state CCE as specific category, it does protect children from CCE under the following articles: </w:t>
            </w:r>
          </w:p>
          <w:p w14:paraId="38CE4251" w14:textId="77777777" w:rsidR="00A71279" w:rsidRPr="00A71279" w:rsidRDefault="00A71279" w:rsidP="00A71279">
            <w:pPr>
              <w:overflowPunct/>
              <w:autoSpaceDE/>
              <w:autoSpaceDN/>
              <w:adjustRightInd/>
              <w:spacing w:after="160" w:line="259" w:lineRule="auto"/>
              <w:textAlignment w:val="auto"/>
              <w:rPr>
                <w:rFonts w:eastAsia="Calibri"/>
                <w:i/>
                <w:color w:val="auto"/>
                <w:sz w:val="22"/>
                <w:szCs w:val="22"/>
                <w:lang w:eastAsia="en-US"/>
              </w:rPr>
            </w:pPr>
            <w:r w:rsidRPr="00A71279">
              <w:rPr>
                <w:rFonts w:eastAsia="Calibri"/>
                <w:i/>
                <w:color w:val="auto"/>
                <w:sz w:val="22"/>
                <w:szCs w:val="22"/>
                <w:lang w:eastAsia="en-US"/>
              </w:rPr>
              <w:t>‘Article 32 – Child Labour</w:t>
            </w:r>
          </w:p>
          <w:p w14:paraId="5BD2EAE6" w14:textId="77777777" w:rsidR="00A71279" w:rsidRPr="00A71279" w:rsidRDefault="00A71279" w:rsidP="00A71279">
            <w:pPr>
              <w:overflowPunct/>
              <w:autoSpaceDE/>
              <w:autoSpaceDN/>
              <w:adjustRightInd/>
              <w:spacing w:after="160" w:line="259" w:lineRule="auto"/>
              <w:textAlignment w:val="auto"/>
              <w:rPr>
                <w:rFonts w:eastAsia="Calibri"/>
                <w:i/>
                <w:color w:val="auto"/>
                <w:sz w:val="22"/>
                <w:szCs w:val="22"/>
                <w:lang w:eastAsia="en-US"/>
              </w:rPr>
            </w:pPr>
            <w:r w:rsidRPr="00A71279">
              <w:rPr>
                <w:rFonts w:eastAsia="Calibri"/>
                <w:i/>
                <w:color w:val="auto"/>
                <w:sz w:val="22"/>
                <w:szCs w:val="22"/>
                <w:lang w:eastAsia="en-US"/>
              </w:rPr>
              <w:t>Article 33 – Drug abuse</w:t>
            </w:r>
          </w:p>
          <w:p w14:paraId="458A72B7" w14:textId="77777777" w:rsidR="00A71279" w:rsidRPr="00A71279" w:rsidRDefault="00A71279" w:rsidP="00A71279">
            <w:pPr>
              <w:overflowPunct/>
              <w:autoSpaceDE/>
              <w:autoSpaceDN/>
              <w:adjustRightInd/>
              <w:spacing w:after="160" w:line="259" w:lineRule="auto"/>
              <w:textAlignment w:val="auto"/>
              <w:rPr>
                <w:rFonts w:eastAsia="Calibri"/>
                <w:i/>
                <w:color w:val="auto"/>
                <w:sz w:val="22"/>
                <w:szCs w:val="22"/>
                <w:lang w:eastAsia="en-US"/>
              </w:rPr>
            </w:pPr>
            <w:r w:rsidRPr="00A71279">
              <w:rPr>
                <w:rFonts w:eastAsia="Calibri"/>
                <w:i/>
                <w:color w:val="auto"/>
                <w:sz w:val="22"/>
                <w:szCs w:val="22"/>
                <w:lang w:eastAsia="en-US"/>
              </w:rPr>
              <w:t>Article – 34 Sexual Exploitation</w:t>
            </w:r>
          </w:p>
          <w:p w14:paraId="6B5FA54D" w14:textId="77777777" w:rsidR="00A71279" w:rsidRPr="00A71279" w:rsidRDefault="00A71279" w:rsidP="00A71279">
            <w:pPr>
              <w:overflowPunct/>
              <w:autoSpaceDE/>
              <w:autoSpaceDN/>
              <w:adjustRightInd/>
              <w:spacing w:after="160" w:line="259" w:lineRule="auto"/>
              <w:textAlignment w:val="auto"/>
              <w:rPr>
                <w:rFonts w:eastAsia="Calibri"/>
                <w:i/>
                <w:color w:val="auto"/>
                <w:sz w:val="22"/>
                <w:szCs w:val="22"/>
                <w:lang w:eastAsia="en-US"/>
              </w:rPr>
            </w:pPr>
            <w:r w:rsidRPr="00A71279">
              <w:rPr>
                <w:rFonts w:eastAsia="Calibri"/>
                <w:i/>
                <w:color w:val="auto"/>
                <w:sz w:val="22"/>
                <w:szCs w:val="22"/>
                <w:lang w:eastAsia="en-US"/>
              </w:rPr>
              <w:t>Article – 35 Abduction, sale, trafficking</w:t>
            </w:r>
          </w:p>
          <w:p w14:paraId="4F557E79"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i/>
                <w:color w:val="auto"/>
                <w:sz w:val="22"/>
                <w:szCs w:val="22"/>
                <w:lang w:eastAsia="en-US"/>
              </w:rPr>
              <w:t>Article 36 – other forms of trafficking’</w:t>
            </w:r>
          </w:p>
          <w:p w14:paraId="1DE1B968"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Although there may be a reduced level of protection for those at risk of trafficking following Britain leaving the EU, the European Convention of Human Rights continues to protect those adults and children and in particular to safeguarding, articles 2,3,5,6, and 8 apply (Welsh Government 2023 and Council of Europe, 2023).</w:t>
            </w:r>
          </w:p>
          <w:p w14:paraId="77928F43"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It is important for all practitioners working with and involved in the care of children and safeguarding to be vigilant in identifying, monitoring, recording and reporting any concerns that a child may be being exploited (Wales Safeguarding Procures, 2023). The Wales Safeguarding Procedures states that </w:t>
            </w:r>
            <w:r w:rsidRPr="00A71279">
              <w:rPr>
                <w:rFonts w:eastAsia="Calibri"/>
                <w:i/>
                <w:color w:val="auto"/>
                <w:sz w:val="22"/>
                <w:szCs w:val="22"/>
                <w:lang w:eastAsia="en-US"/>
              </w:rPr>
              <w:t>‘two key principles underpin safeguarding practice’</w:t>
            </w:r>
            <w:r w:rsidRPr="00A71279">
              <w:rPr>
                <w:rFonts w:eastAsia="Calibri"/>
                <w:color w:val="auto"/>
                <w:sz w:val="22"/>
                <w:szCs w:val="22"/>
                <w:lang w:eastAsia="en-US"/>
              </w:rPr>
              <w:t xml:space="preserve"> (Welsh Government, 2023). These are: </w:t>
            </w:r>
          </w:p>
          <w:p w14:paraId="4C8EFE4A" w14:textId="77777777" w:rsidR="00A71279" w:rsidRPr="00A71279" w:rsidRDefault="00A71279" w:rsidP="00A71279">
            <w:pPr>
              <w:overflowPunct/>
              <w:autoSpaceDE/>
              <w:autoSpaceDN/>
              <w:adjustRightInd/>
              <w:spacing w:after="160" w:line="259" w:lineRule="auto"/>
              <w:textAlignment w:val="auto"/>
              <w:rPr>
                <w:rFonts w:eastAsia="Calibri"/>
                <w:i/>
                <w:color w:val="auto"/>
                <w:sz w:val="22"/>
                <w:szCs w:val="22"/>
                <w:lang w:eastAsia="en-US"/>
              </w:rPr>
            </w:pPr>
            <w:r w:rsidRPr="00A71279">
              <w:rPr>
                <w:rFonts w:eastAsia="Calibri"/>
                <w:i/>
                <w:color w:val="auto"/>
                <w:sz w:val="22"/>
                <w:szCs w:val="22"/>
                <w:lang w:eastAsia="en-US"/>
              </w:rPr>
              <w:t>‘1/ Safeguarding and protecting is everyone’s responsibility</w:t>
            </w:r>
          </w:p>
          <w:p w14:paraId="24BE4DF4" w14:textId="77777777" w:rsidR="00A71279" w:rsidRPr="00A71279" w:rsidRDefault="00A71279" w:rsidP="00A71279">
            <w:pPr>
              <w:overflowPunct/>
              <w:autoSpaceDE/>
              <w:autoSpaceDN/>
              <w:adjustRightInd/>
              <w:spacing w:after="160" w:line="259" w:lineRule="auto"/>
              <w:textAlignment w:val="auto"/>
              <w:rPr>
                <w:rFonts w:eastAsia="Calibri"/>
                <w:i/>
                <w:color w:val="auto"/>
                <w:sz w:val="22"/>
                <w:szCs w:val="22"/>
                <w:lang w:eastAsia="en-US"/>
              </w:rPr>
            </w:pPr>
            <w:r w:rsidRPr="00A71279">
              <w:rPr>
                <w:rFonts w:eastAsia="Calibri"/>
                <w:i/>
                <w:color w:val="auto"/>
                <w:sz w:val="22"/>
                <w:szCs w:val="22"/>
                <w:lang w:eastAsia="en-US"/>
              </w:rPr>
              <w:t>2/ A child centred approach’</w:t>
            </w:r>
          </w:p>
          <w:p w14:paraId="33C140CA"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These principles act as a reminder to the practitioner throughout their practice when managing risk that there is a responsibility on all involved in the child’s life to safeguard and whilst doing so the child’s voice and best interest is central in decision making and planning a response (Welsh Government, 2023). The Wales Safeguarding Procedures (2023) also summarises the principles provided by the statutory guidance into the below 6 categories:</w:t>
            </w:r>
          </w:p>
          <w:p w14:paraId="17DF533C" w14:textId="77777777" w:rsidR="00A71279" w:rsidRPr="00A71279" w:rsidRDefault="00A71279" w:rsidP="00A71279">
            <w:pPr>
              <w:overflowPunct/>
              <w:autoSpaceDE/>
              <w:autoSpaceDN/>
              <w:adjustRightInd/>
              <w:spacing w:after="160" w:line="259" w:lineRule="auto"/>
              <w:ind w:left="360"/>
              <w:textAlignment w:val="auto"/>
              <w:rPr>
                <w:rFonts w:eastAsia="Calibri"/>
                <w:i/>
                <w:color w:val="auto"/>
                <w:sz w:val="22"/>
                <w:szCs w:val="22"/>
                <w:lang w:eastAsia="en-US"/>
              </w:rPr>
            </w:pPr>
            <w:r w:rsidRPr="00A71279">
              <w:rPr>
                <w:rFonts w:eastAsia="Calibri"/>
                <w:b/>
                <w:bCs/>
                <w:i/>
                <w:color w:val="auto"/>
                <w:sz w:val="22"/>
                <w:szCs w:val="22"/>
                <w:lang w:eastAsia="en-US"/>
              </w:rPr>
              <w:t>‘Principle 1:</w:t>
            </w:r>
            <w:r w:rsidRPr="00A71279">
              <w:rPr>
                <w:rFonts w:eastAsia="Calibri"/>
                <w:i/>
                <w:color w:val="auto"/>
                <w:sz w:val="22"/>
                <w:szCs w:val="22"/>
                <w:lang w:eastAsia="en-US"/>
              </w:rPr>
              <w:t> The wishes, needs and well-being of the child are put first, so that they receive the care and support they need before a problem escalates.</w:t>
            </w:r>
          </w:p>
          <w:p w14:paraId="6D88F412" w14:textId="77777777" w:rsidR="00A71279" w:rsidRPr="00A71279" w:rsidRDefault="00A71279" w:rsidP="00A71279">
            <w:pPr>
              <w:overflowPunct/>
              <w:autoSpaceDE/>
              <w:autoSpaceDN/>
              <w:adjustRightInd/>
              <w:spacing w:after="160" w:line="259" w:lineRule="auto"/>
              <w:ind w:left="360"/>
              <w:textAlignment w:val="auto"/>
              <w:rPr>
                <w:rFonts w:eastAsia="Calibri"/>
                <w:i/>
                <w:color w:val="auto"/>
                <w:sz w:val="22"/>
                <w:szCs w:val="22"/>
                <w:lang w:eastAsia="en-US"/>
              </w:rPr>
            </w:pPr>
            <w:r w:rsidRPr="00A71279">
              <w:rPr>
                <w:rFonts w:eastAsia="Calibri"/>
                <w:b/>
                <w:bCs/>
                <w:i/>
                <w:color w:val="auto"/>
                <w:sz w:val="22"/>
                <w:szCs w:val="22"/>
                <w:lang w:eastAsia="en-US"/>
              </w:rPr>
              <w:t>Principle 2:</w:t>
            </w:r>
            <w:r w:rsidRPr="00A71279">
              <w:rPr>
                <w:rFonts w:eastAsia="Calibri"/>
                <w:i/>
                <w:color w:val="auto"/>
                <w:sz w:val="22"/>
                <w:szCs w:val="22"/>
                <w:lang w:eastAsia="en-US"/>
              </w:rPr>
              <w:t> All practitioners who come into contact with children are alert to their needs including any potential or suspected </w:t>
            </w:r>
            <w:hyperlink r:id="rId12" w:anchor="tooltip" w:history="1">
              <w:r w:rsidRPr="00A71279">
                <w:rPr>
                  <w:rFonts w:eastAsia="Calibri"/>
                  <w:i/>
                  <w:color w:val="0563C1"/>
                  <w:sz w:val="22"/>
                  <w:szCs w:val="22"/>
                  <w:u w:val="single"/>
                  <w:lang w:eastAsia="en-US"/>
                </w:rPr>
                <w:t>abuse</w:t>
              </w:r>
            </w:hyperlink>
            <w:r w:rsidRPr="00A71279">
              <w:rPr>
                <w:rFonts w:eastAsia="Calibri"/>
                <w:i/>
                <w:color w:val="auto"/>
                <w:sz w:val="22"/>
                <w:szCs w:val="22"/>
                <w:lang w:eastAsia="en-US"/>
              </w:rPr>
              <w:t> or risk of abuse or </w:t>
            </w:r>
            <w:hyperlink r:id="rId13" w:anchor="tooltip" w:history="1">
              <w:r w:rsidRPr="00A71279">
                <w:rPr>
                  <w:rFonts w:eastAsia="Calibri"/>
                  <w:i/>
                  <w:color w:val="0563C1"/>
                  <w:sz w:val="22"/>
                  <w:szCs w:val="22"/>
                  <w:u w:val="single"/>
                  <w:lang w:eastAsia="en-US"/>
                </w:rPr>
                <w:t>harm</w:t>
              </w:r>
            </w:hyperlink>
            <w:r w:rsidRPr="00A71279">
              <w:rPr>
                <w:rFonts w:eastAsia="Calibri"/>
                <w:i/>
                <w:color w:val="auto"/>
                <w:sz w:val="22"/>
                <w:szCs w:val="22"/>
                <w:lang w:eastAsia="en-US"/>
              </w:rPr>
              <w:t> and understand what action they should take.</w:t>
            </w:r>
          </w:p>
          <w:p w14:paraId="3A08371F" w14:textId="77777777" w:rsidR="00A71279" w:rsidRPr="00A71279" w:rsidRDefault="00A71279" w:rsidP="00A71279">
            <w:pPr>
              <w:overflowPunct/>
              <w:autoSpaceDE/>
              <w:autoSpaceDN/>
              <w:adjustRightInd/>
              <w:spacing w:after="160" w:line="259" w:lineRule="auto"/>
              <w:ind w:left="360"/>
              <w:textAlignment w:val="auto"/>
              <w:rPr>
                <w:rFonts w:eastAsia="Calibri"/>
                <w:i/>
                <w:color w:val="auto"/>
                <w:sz w:val="22"/>
                <w:szCs w:val="22"/>
                <w:lang w:eastAsia="en-US"/>
              </w:rPr>
            </w:pPr>
            <w:r w:rsidRPr="00A71279">
              <w:rPr>
                <w:rFonts w:eastAsia="Calibri"/>
                <w:b/>
                <w:bCs/>
                <w:i/>
                <w:color w:val="auto"/>
                <w:sz w:val="22"/>
                <w:szCs w:val="22"/>
                <w:lang w:eastAsia="en-US"/>
              </w:rPr>
              <w:t>Principle 3:</w:t>
            </w:r>
            <w:r w:rsidRPr="00A71279">
              <w:rPr>
                <w:rFonts w:eastAsia="Calibri"/>
                <w:i/>
                <w:color w:val="auto"/>
                <w:sz w:val="22"/>
                <w:szCs w:val="22"/>
                <w:lang w:eastAsia="en-US"/>
              </w:rPr>
              <w:t> All practitioners share appropriate information and have direct access to advice to discuss any concerns about a child.</w:t>
            </w:r>
          </w:p>
          <w:p w14:paraId="68377F58" w14:textId="77777777" w:rsidR="00A71279" w:rsidRPr="00A71279" w:rsidRDefault="00A71279" w:rsidP="00A71279">
            <w:pPr>
              <w:overflowPunct/>
              <w:autoSpaceDE/>
              <w:autoSpaceDN/>
              <w:adjustRightInd/>
              <w:spacing w:after="160" w:line="259" w:lineRule="auto"/>
              <w:ind w:left="360"/>
              <w:textAlignment w:val="auto"/>
              <w:rPr>
                <w:rFonts w:eastAsia="Calibri"/>
                <w:i/>
                <w:color w:val="auto"/>
                <w:sz w:val="22"/>
                <w:szCs w:val="22"/>
                <w:lang w:eastAsia="en-US"/>
              </w:rPr>
            </w:pPr>
            <w:r w:rsidRPr="00A71279">
              <w:rPr>
                <w:rFonts w:eastAsia="Calibri"/>
                <w:b/>
                <w:bCs/>
                <w:i/>
                <w:color w:val="auto"/>
                <w:sz w:val="22"/>
                <w:szCs w:val="22"/>
                <w:lang w:eastAsia="en-US"/>
              </w:rPr>
              <w:t>Principle 4:</w:t>
            </w:r>
            <w:r w:rsidRPr="00A71279">
              <w:rPr>
                <w:rFonts w:eastAsia="Calibri"/>
                <w:i/>
                <w:color w:val="auto"/>
                <w:sz w:val="22"/>
                <w:szCs w:val="22"/>
                <w:lang w:eastAsia="en-US"/>
              </w:rPr>
              <w:t> All practitioners are able to use their professional judgment to put the child’s needs and personal outcomes at the centre of the system so that the right solution can be found for them.</w:t>
            </w:r>
          </w:p>
          <w:p w14:paraId="341D4011" w14:textId="77777777" w:rsidR="00A71279" w:rsidRPr="00A71279" w:rsidRDefault="00A71279" w:rsidP="00A71279">
            <w:pPr>
              <w:overflowPunct/>
              <w:autoSpaceDE/>
              <w:autoSpaceDN/>
              <w:adjustRightInd/>
              <w:spacing w:after="160" w:line="259" w:lineRule="auto"/>
              <w:ind w:left="360"/>
              <w:textAlignment w:val="auto"/>
              <w:rPr>
                <w:rFonts w:eastAsia="Calibri"/>
                <w:i/>
                <w:color w:val="auto"/>
                <w:sz w:val="22"/>
                <w:szCs w:val="22"/>
                <w:lang w:eastAsia="en-US"/>
              </w:rPr>
            </w:pPr>
            <w:r w:rsidRPr="00A71279">
              <w:rPr>
                <w:rFonts w:eastAsia="Calibri"/>
                <w:b/>
                <w:bCs/>
                <w:i/>
                <w:color w:val="auto"/>
                <w:sz w:val="22"/>
                <w:szCs w:val="22"/>
                <w:lang w:eastAsia="en-US"/>
              </w:rPr>
              <w:t>Principle 5:</w:t>
            </w:r>
            <w:r w:rsidRPr="00A71279">
              <w:rPr>
                <w:rFonts w:eastAsia="Calibri"/>
                <w:i/>
                <w:color w:val="auto"/>
                <w:sz w:val="22"/>
                <w:szCs w:val="22"/>
                <w:lang w:eastAsia="en-US"/>
              </w:rPr>
              <w:t> All practitioners working with a child operate in a </w:t>
            </w:r>
            <w:hyperlink r:id="rId14" w:anchor="tooltip" w:history="1">
              <w:r w:rsidRPr="00A71279">
                <w:rPr>
                  <w:rFonts w:eastAsia="Calibri"/>
                  <w:i/>
                  <w:color w:val="0563C1"/>
                  <w:sz w:val="22"/>
                  <w:szCs w:val="22"/>
                  <w:u w:val="single"/>
                  <w:lang w:eastAsia="en-US"/>
                </w:rPr>
                <w:t>multi-agency</w:t>
              </w:r>
            </w:hyperlink>
            <w:r w:rsidRPr="00A71279">
              <w:rPr>
                <w:rFonts w:eastAsia="Calibri"/>
                <w:i/>
                <w:color w:val="auto"/>
                <w:sz w:val="22"/>
                <w:szCs w:val="22"/>
                <w:lang w:eastAsia="en-US"/>
              </w:rPr>
              <w:t> and co-operative way to safeguard and promote a child’s well-being, record decisions appropriately and regularly review progress against the outcomes set out in care and support plans.</w:t>
            </w:r>
          </w:p>
          <w:p w14:paraId="612F91A2" w14:textId="77777777" w:rsidR="00A71279" w:rsidRPr="00A71279" w:rsidRDefault="00A71279" w:rsidP="00A71279">
            <w:pPr>
              <w:overflowPunct/>
              <w:autoSpaceDE/>
              <w:autoSpaceDN/>
              <w:adjustRightInd/>
              <w:spacing w:after="160" w:line="259" w:lineRule="auto"/>
              <w:ind w:left="360"/>
              <w:textAlignment w:val="auto"/>
              <w:rPr>
                <w:rFonts w:eastAsia="Calibri"/>
                <w:i/>
                <w:color w:val="auto"/>
                <w:sz w:val="22"/>
                <w:szCs w:val="22"/>
                <w:lang w:eastAsia="en-US"/>
              </w:rPr>
            </w:pPr>
            <w:r w:rsidRPr="00A71279">
              <w:rPr>
                <w:rFonts w:eastAsia="Calibri"/>
                <w:b/>
                <w:bCs/>
                <w:i/>
                <w:color w:val="auto"/>
                <w:sz w:val="22"/>
                <w:szCs w:val="22"/>
                <w:lang w:eastAsia="en-US"/>
              </w:rPr>
              <w:t>Principle 6:</w:t>
            </w:r>
            <w:r w:rsidRPr="00A71279">
              <w:rPr>
                <w:rFonts w:eastAsia="Calibri"/>
                <w:i/>
                <w:color w:val="auto"/>
                <w:sz w:val="22"/>
                <w:szCs w:val="22"/>
                <w:lang w:eastAsia="en-US"/>
              </w:rPr>
              <w:t> All practitioners who come into contact with children are able to access professional strategic leadership which supports the practitioner to achieve desired outcomes for the child.’</w:t>
            </w:r>
          </w:p>
          <w:p w14:paraId="78F2DC4C" w14:textId="77777777" w:rsidR="00A71279" w:rsidRPr="00A71279" w:rsidRDefault="00A71279" w:rsidP="00A71279">
            <w:pPr>
              <w:overflowPunct/>
              <w:autoSpaceDE/>
              <w:autoSpaceDN/>
              <w:adjustRightInd/>
              <w:spacing w:after="160" w:line="259" w:lineRule="auto"/>
              <w:ind w:left="360"/>
              <w:textAlignment w:val="auto"/>
              <w:rPr>
                <w:rFonts w:eastAsia="Calibri"/>
                <w:i/>
                <w:color w:val="auto"/>
                <w:sz w:val="22"/>
                <w:szCs w:val="22"/>
                <w:lang w:eastAsia="en-US"/>
              </w:rPr>
            </w:pPr>
          </w:p>
          <w:p w14:paraId="17FA57C2" w14:textId="77777777" w:rsidR="00A71279" w:rsidRPr="00A71279" w:rsidRDefault="00A71279" w:rsidP="00A71279">
            <w:pPr>
              <w:overflowPunct/>
              <w:autoSpaceDE/>
              <w:autoSpaceDN/>
              <w:adjustRightInd/>
              <w:spacing w:after="160" w:line="259" w:lineRule="auto"/>
              <w:textAlignment w:val="auto"/>
              <w:rPr>
                <w:rFonts w:eastAsia="Calibri"/>
                <w:b/>
                <w:color w:val="auto"/>
                <w:sz w:val="22"/>
                <w:szCs w:val="22"/>
                <w:lang w:eastAsia="en-US"/>
              </w:rPr>
            </w:pPr>
            <w:r w:rsidRPr="00A71279">
              <w:rPr>
                <w:rFonts w:eastAsia="Calibri"/>
                <w:b/>
                <w:color w:val="auto"/>
                <w:sz w:val="22"/>
                <w:szCs w:val="22"/>
                <w:lang w:eastAsia="en-US"/>
              </w:rPr>
              <w:t>Principle 1: The wishes, needs and well-being of the child are put first, so that they receive the care and support they need before a problem escalates.</w:t>
            </w:r>
          </w:p>
          <w:p w14:paraId="7A056299"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Under part 6 of the Social Services and Well-being (Wales) Act 2014, a CLA by the Local Authority in residential care must be visited by a Social Worker every 6 weeks. During these visits I have carried out, along with phone calls and CLA reviews the views and wishes of 3 are consistently gathered. Wishes and feeling are also gathered through weekly reporting and communicating with 3’s residential home staff to ensure I am up to date of any recent issues. 3 also has my contact details and his own phone and makes direct contact with me as and when required to share views.</w:t>
            </w:r>
          </w:p>
          <w:p w14:paraId="3BA47F78"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It is 3’s wish to return to Wales to live as he wants to be closer to friends and family. It is however his view that he is satisfied with the care received and home in England, however his goal is to return to Wales. In this case, the wellbeing and needs of the child conflict with the wishes and feelings. The decision for 3 to move away from the area was made to safeguard him from harm and in his best interest, however his wishes and feelings and potential for the situation to escalate needed ongoing risk assessment and management.</w:t>
            </w:r>
          </w:p>
          <w:p w14:paraId="30BAEA0C"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It is important to emphasise here the cultural sensitivity and identity needs that needed to be considered in assessing, decision making and care planning for 3. 3 has a learning difficulty and a risk factor that made him vulnerable to exploitation in Wales was his need for sense of belonging, to be accepted by peers and reduced awareness of risk and understanding of exploitation. 3 was now living in England identifying as white Welsh, away from family and those individuals he viewed as friends. </w:t>
            </w:r>
          </w:p>
          <w:p w14:paraId="0DB1A4D4"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This was managed through emphasising cultural sensitivity in his care plan for residential staff to follow, relationship building with staff and peers and ensuring consistent and regular family time was incorporated into his care and support plan. However, from reflecting on my practice, I feel more could have been done to support language needs. </w:t>
            </w:r>
          </w:p>
          <w:p w14:paraId="730D2404"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Although 3 is a first language Welsh speaker, it is important to consider the impact of not having access to Welsh language education and language development opportunities in the placement in England and how this may have been impacting on his identity development and sense of belonging in an unfamiliar environment. Also a possible barrier to further develop his Welsh language skills, given his wish and goal is to move back to Wales. The Active Offer was used during my conversations with 3, however more in depth exploration should have taken place around his feelings and views of the impact of language development and learning needs.</w:t>
            </w:r>
          </w:p>
          <w:p w14:paraId="5A2BA6D6"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p>
          <w:p w14:paraId="57AC4378" w14:textId="77777777" w:rsidR="00A71279" w:rsidRPr="00A71279" w:rsidRDefault="00A71279" w:rsidP="00A71279">
            <w:pPr>
              <w:overflowPunct/>
              <w:autoSpaceDE/>
              <w:autoSpaceDN/>
              <w:adjustRightInd/>
              <w:spacing w:after="160" w:line="259" w:lineRule="auto"/>
              <w:textAlignment w:val="auto"/>
              <w:rPr>
                <w:rFonts w:eastAsia="Calibri"/>
                <w:b/>
                <w:color w:val="auto"/>
                <w:sz w:val="22"/>
                <w:szCs w:val="22"/>
                <w:lang w:eastAsia="en-US"/>
              </w:rPr>
            </w:pPr>
            <w:r w:rsidRPr="00A71279">
              <w:rPr>
                <w:rFonts w:eastAsia="Calibri"/>
                <w:b/>
                <w:color w:val="auto"/>
                <w:sz w:val="22"/>
                <w:szCs w:val="22"/>
                <w:lang w:eastAsia="en-US"/>
              </w:rPr>
              <w:t>Principle 2: All practitioners who come into contact with children are alert to their needs including any potential or suspected abuse or risk of abuse or harm and understand what action they should take.</w:t>
            </w:r>
          </w:p>
          <w:p w14:paraId="06A549BC"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In this assessment, it was vital that all practitioners involved were aware of the escalating risk and urgency for the assessment to take place and their role in providing information, insight and contribution to the decision making process. For 3, the professionals involved were the Wales and England police force, health professional, education professional, England Local Authority exploitation team, Wales Local Authority management, residential home managers and myself.</w:t>
            </w:r>
          </w:p>
          <w:p w14:paraId="0E0A5D6F"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Through regular communication, the residential home staff members and myself discussed the concerns, incident reports were shared via LA procedures and referrals sent made to the Wales LA from the missing from care team in England. Following an increasing number of missing from care episodes and 3 associating with individuals of concern and other indicators causing concern, the Wales Safeguarding Procedures were followed in adherence to the Social Services and Well-being (Wales) Act 2014 and where a CLA is at risk of CCE a strategy meeting must be arranged (Welsh Government, 2023).</w:t>
            </w:r>
          </w:p>
          <w:p w14:paraId="3EAF1E47"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A strategy meeting is a multiagency meeting where professional involved with the child discuss and manage risk and plan intervention and responses to safeguard a child or adult at risk (Welsh Government, 2023). This was requested by my line manager and the Local Authority Safeguarding Team are then responsible for arranging, recording and sharing the gathered information with the professionals requested to attend. </w:t>
            </w:r>
          </w:p>
          <w:p w14:paraId="5F29510C"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Due to 3 living in England and some differences in the processes of between LA’s and police forces, arranging the meeting was problematic to begin with and the result of this was a delay in the meeting being arranged. On reflection, more research and discussion should have taken place earlier on to ensure the processes were clear and an effective line of communication between all professionals involved was established to ensure there were no delays in the meeting being arranged. </w:t>
            </w:r>
          </w:p>
          <w:p w14:paraId="4F172F98"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Due to the need for a multiagency Strategy Meeting, along with an exploitation risk assessment and meeting it was decided for both efficiency and comprehensive, timely information sharing to combine a Strategy Meeting with a Safeguarding Exploitation Meeting. Although this may have resulted in a longer meeting, it was felt that in the best interest of the child, Strategy Meeting and Exploitation Risk Assessment safeguarding meeting was needed as soon as possible to ensure all professionals were alert to the needs of 3 and understand what action to take.</w:t>
            </w:r>
          </w:p>
          <w:p w14:paraId="4789CC2F" w14:textId="77777777" w:rsidR="00A71279" w:rsidRPr="00A71279" w:rsidRDefault="00A71279" w:rsidP="00A71279">
            <w:pPr>
              <w:overflowPunct/>
              <w:autoSpaceDE/>
              <w:autoSpaceDN/>
              <w:adjustRightInd/>
              <w:spacing w:after="160" w:line="259" w:lineRule="auto"/>
              <w:textAlignment w:val="auto"/>
              <w:rPr>
                <w:rFonts w:eastAsia="Calibri"/>
                <w:b/>
                <w:color w:val="auto"/>
                <w:sz w:val="22"/>
                <w:szCs w:val="22"/>
                <w:lang w:eastAsia="en-US"/>
              </w:rPr>
            </w:pPr>
            <w:r w:rsidRPr="00A71279">
              <w:rPr>
                <w:rFonts w:eastAsia="Calibri"/>
                <w:b/>
                <w:color w:val="auto"/>
                <w:sz w:val="22"/>
                <w:szCs w:val="22"/>
                <w:lang w:eastAsia="en-US"/>
              </w:rPr>
              <w:t>Principle 3: All practitioners share appropriate information and have direct access to advice to discuss any concerns about a child.</w:t>
            </w:r>
          </w:p>
          <w:p w14:paraId="0C6B0B7B"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It is important for social workers to be aware of the various types of assessment and the theory as they are a vital component of the role of a Social Worker (Community Care Inform, 2019). Smale et al (1993) describe three models of assessment that are commonly used within social work practice. The first being the ‘</w:t>
            </w:r>
            <w:r w:rsidRPr="00A71279">
              <w:rPr>
                <w:rFonts w:eastAsia="Calibri"/>
                <w:i/>
                <w:color w:val="auto"/>
                <w:sz w:val="22"/>
                <w:szCs w:val="22"/>
                <w:lang w:eastAsia="en-US"/>
              </w:rPr>
              <w:t>questioning model’</w:t>
            </w:r>
            <w:r w:rsidRPr="00A71279">
              <w:rPr>
                <w:rFonts w:eastAsia="Calibri"/>
                <w:color w:val="auto"/>
                <w:sz w:val="22"/>
                <w:szCs w:val="22"/>
                <w:lang w:eastAsia="en-US"/>
              </w:rPr>
              <w:t xml:space="preserve"> where the social worker will gather factual information by asking the individual questions (Smale et al, 1993). The </w:t>
            </w:r>
            <w:r w:rsidRPr="00A71279">
              <w:rPr>
                <w:rFonts w:eastAsia="Calibri"/>
                <w:i/>
                <w:color w:val="auto"/>
                <w:sz w:val="22"/>
                <w:szCs w:val="22"/>
                <w:lang w:eastAsia="en-US"/>
              </w:rPr>
              <w:t>‘procedural model’</w:t>
            </w:r>
            <w:r w:rsidRPr="00A71279">
              <w:rPr>
                <w:rFonts w:eastAsia="Calibri"/>
                <w:color w:val="auto"/>
                <w:sz w:val="22"/>
                <w:szCs w:val="22"/>
                <w:lang w:eastAsia="en-US"/>
              </w:rPr>
              <w:t xml:space="preserve"> describes assessments that are usually in the form of checklists and determine whether or not an individual is eligible for a service (Smale et al, 1993). The third is the </w:t>
            </w:r>
            <w:r w:rsidRPr="00A71279">
              <w:rPr>
                <w:rFonts w:eastAsia="Calibri"/>
                <w:i/>
                <w:color w:val="auto"/>
                <w:sz w:val="22"/>
                <w:szCs w:val="22"/>
                <w:lang w:eastAsia="en-US"/>
              </w:rPr>
              <w:t xml:space="preserve">‘exchange model’ </w:t>
            </w:r>
            <w:r w:rsidRPr="00A71279">
              <w:rPr>
                <w:rFonts w:eastAsia="Calibri"/>
                <w:color w:val="auto"/>
                <w:sz w:val="22"/>
                <w:szCs w:val="22"/>
                <w:lang w:eastAsia="en-US"/>
              </w:rPr>
              <w:t xml:space="preserve">and adopts the approach of the individual being the </w:t>
            </w:r>
            <w:r w:rsidRPr="00A71279">
              <w:rPr>
                <w:rFonts w:eastAsia="Calibri"/>
                <w:i/>
                <w:color w:val="auto"/>
                <w:sz w:val="22"/>
                <w:szCs w:val="22"/>
                <w:lang w:eastAsia="en-US"/>
              </w:rPr>
              <w:t xml:space="preserve">‘expert of themselves’ </w:t>
            </w:r>
            <w:r w:rsidRPr="00A71279">
              <w:rPr>
                <w:rFonts w:eastAsia="Calibri"/>
                <w:color w:val="auto"/>
                <w:sz w:val="22"/>
                <w:szCs w:val="22"/>
                <w:lang w:eastAsia="en-US"/>
              </w:rPr>
              <w:t>Community Care Inform, 2019:p.29) and their narrative and story explored.</w:t>
            </w:r>
          </w:p>
          <w:p w14:paraId="01A43073"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Due to the nature of Safeguarding and the need to clearly assess risk, gather and share evidence and information amongst professionals and work collaboratively with 3, it was not possible to complete this assessment in line with one specific assessment style and therefore needed to be a combination of assessment styles. The questioning and exchange assessment model styles were used prior to the strategy meeting by working with 3, his family and carers, exploring his views and narrative through in depth conversations. </w:t>
            </w:r>
          </w:p>
          <w:p w14:paraId="12E35930"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I spent time with 3 exploring reasons for going missing, what he did whilst he was missing and we spent time exploring ways we could prevent it from happening again and why it poses a risk. These conversations required a person centred and collaborative approach to ensure 3’s voice was being heard and shared within the meeting and that he would be invested and in agreement with any plans and outcome from the meeting. This was done by following the exchange model of assessment and ensuring his communication needs were met during these conversations. </w:t>
            </w:r>
          </w:p>
          <w:p w14:paraId="36E13CC3"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It was also important that accurate evidence and information with regards to dates, times, location and any other specific information was gathered in preparation for the meeting. For this aspect of the assessment the questioning model was used. This model is criticised for being limited questioning however I tried to ensure information was gathered whilst providing the opportunity for 3 to lead the conversation.</w:t>
            </w:r>
          </w:p>
          <w:p w14:paraId="79E4DE43"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All evidence and information that had been gathered was then used during the strategy and exploitation meeting, which follows a procedural model format. To complete the child exploitation risk assessment a specific exploitation tool is used. This consists of several categories which help identify the vulnerability of the child. These categories are:</w:t>
            </w:r>
          </w:p>
          <w:p w14:paraId="5C2FBB8E"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Missing episodes</w:t>
            </w:r>
          </w:p>
          <w:p w14:paraId="2E3B234F"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Unexplained items or gifts</w:t>
            </w:r>
          </w:p>
          <w:p w14:paraId="2DC656AE"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Education</w:t>
            </w:r>
          </w:p>
          <w:p w14:paraId="2CF827E8"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Associations and locations</w:t>
            </w:r>
          </w:p>
          <w:p w14:paraId="471FA8D3"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Drug and alcohol use</w:t>
            </w:r>
          </w:p>
          <w:p w14:paraId="249C93AD"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Sexual health</w:t>
            </w:r>
          </w:p>
          <w:p w14:paraId="25DA1257"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Physical and emotional health</w:t>
            </w:r>
          </w:p>
          <w:p w14:paraId="39FE59D0"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Technology and social media</w:t>
            </w:r>
          </w:p>
          <w:p w14:paraId="6DC861F8"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Family and community</w:t>
            </w:r>
          </w:p>
          <w:p w14:paraId="3B634607"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Weapons and gang association</w:t>
            </w:r>
          </w:p>
          <w:p w14:paraId="6A8259C6" w14:textId="77777777" w:rsidR="00A71279" w:rsidRP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Forced marriage/ Female genital mutilation/ Radicalisation</w:t>
            </w:r>
          </w:p>
          <w:p w14:paraId="25BAFBF7" w14:textId="46BDE7DA" w:rsidR="00A71279" w:rsidRDefault="00A71279" w:rsidP="00A71279">
            <w:pPr>
              <w:numPr>
                <w:ilvl w:val="0"/>
                <w:numId w:val="54"/>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Barriers to engagement</w:t>
            </w:r>
          </w:p>
          <w:p w14:paraId="7E74811D" w14:textId="77777777" w:rsidR="00A71279" w:rsidRPr="00A71279" w:rsidRDefault="00A71279" w:rsidP="00A71279">
            <w:pPr>
              <w:overflowPunct/>
              <w:autoSpaceDE/>
              <w:autoSpaceDN/>
              <w:adjustRightInd/>
              <w:spacing w:after="160" w:line="259" w:lineRule="auto"/>
              <w:contextualSpacing/>
              <w:textAlignment w:val="auto"/>
              <w:rPr>
                <w:rFonts w:eastAsia="Calibri"/>
                <w:color w:val="auto"/>
                <w:sz w:val="22"/>
                <w:szCs w:val="22"/>
                <w:lang w:eastAsia="en-US"/>
              </w:rPr>
            </w:pPr>
          </w:p>
          <w:p w14:paraId="1160EFF3"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This tool is then used during the multiagency meeting to ensure all practitioners are involved in the assessment and are able to share the appropriate and evidence and information. It gives opportunity to comprehensively and holistically discuss any concerns about the child and be involved in and aware of any decision making and safeguarding planning and gain direction and advice.</w:t>
            </w:r>
          </w:p>
          <w:p w14:paraId="4EE2001D"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The risk assessment tool uses a scoring format to evaluate the level of risk and whether the level of risk reaches the threshold to be monitored under the Child Exploitation Safeguarding process. In this meeting, the tool was completed as the various agencies each shared their information in relation to each category and I was able to share the wishes and views of 3 along with my information and professional judgment.</w:t>
            </w:r>
          </w:p>
          <w:p w14:paraId="4F2B3346"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In preparation, prior to the meeting, I had completed a draft version of the tool based on the information previously gathered and used my professional judgement to score the level of risk. This was then proposed to all professionals in the meeting and the agencies shared their views and professional judgement and a score for each category was agreed upon. This meeting was chaired by a team manager who would share their professional judgement on the scoring and agree and advise where necessary. </w:t>
            </w:r>
          </w:p>
          <w:p w14:paraId="475ADCFF"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On reflection, I have considered that more could have been done to work collaboratively with 3 as he was not aware of the assessment tool. It may have been useful to show him the tool and gather his views on each section. Due to 3’s learning needs, he benefits from visual tools to help him process and retain information. This would have required discussion with a line manager for view and their professional opinion, however, 3 may have benefitted from seeing the exploitation tool template to gain better insight into the information being gathered and explored with him.  </w:t>
            </w:r>
          </w:p>
          <w:p w14:paraId="03DCF0F1"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p>
          <w:p w14:paraId="4E13F9E8" w14:textId="77777777" w:rsidR="00A71279" w:rsidRPr="00A71279" w:rsidRDefault="00A71279" w:rsidP="00A71279">
            <w:pPr>
              <w:overflowPunct/>
              <w:autoSpaceDE/>
              <w:autoSpaceDN/>
              <w:adjustRightInd/>
              <w:spacing w:after="160" w:line="259" w:lineRule="auto"/>
              <w:textAlignment w:val="auto"/>
              <w:rPr>
                <w:rFonts w:eastAsia="Calibri"/>
                <w:b/>
                <w:color w:val="auto"/>
                <w:sz w:val="22"/>
                <w:szCs w:val="22"/>
                <w:lang w:eastAsia="en-US"/>
              </w:rPr>
            </w:pPr>
            <w:r w:rsidRPr="00A71279">
              <w:rPr>
                <w:rFonts w:eastAsia="Calibri"/>
                <w:b/>
                <w:color w:val="auto"/>
                <w:sz w:val="22"/>
                <w:szCs w:val="22"/>
                <w:lang w:eastAsia="en-US"/>
              </w:rPr>
              <w:t>Principle 4: All practitioners are able to use their professional judgment to put the child’s needs and personal outcomes at the centre of the system so that the right solution can be found for them.</w:t>
            </w:r>
          </w:p>
          <w:p w14:paraId="6F672780"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The tool used for this risk assessment has a specific additional category which gives the practitioners the opportunity to score additionally for any other factors they feel relevant to the individual child in their professional judgement. During this assessment all practitioners used their professional judgement when discussing the needs of 3 and the factors and indicators of risk. It was highlighted that due to having a learning difficulty and level of understanding and insight into exploitation and lacking ability to apply it to himself, 3 was more vulnerable to the grooming and coercive controlling nature of exploitation (Local Government Association, 2021).</w:t>
            </w:r>
          </w:p>
          <w:p w14:paraId="63633AC1"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The Deluth Power and Control Wheel was developed in 1984 by the Domestic Abuse Intervention Project and is commonly used by social work practitioners to help explain how power and control can be used to control and manipulate a relationship. When assessing the risk of exploitation it is useful to consider. This was used when considering the power imbalance an abuser may have in relation to 3 and his need for sense of belonging and acceptance. The tactics used by an abuser that apply to 3 could be physical or sexual violence, coercion and threats, intimidation, emotional abuse, isolation, minimizing, blaming, threatening family and friends, using age and gender (DAIP, 2023).</w:t>
            </w:r>
          </w:p>
          <w:p w14:paraId="70D1F59F"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A thorough analysis of the information gathered prior to the meeting and the information analysed throughout the meeting, along with in depth consideration of the risk and vulnerability factors of 3, resulted in me adding additional points to professional judgement score. Although safeguarding 3 and ensuring his needs and rights to be safeguarding from abuse were key within this decision, 3’s wishes and feelings was the underpinning factor that informed my decision in adherence to section 3 of the Code of Professional Practice (CoPP) in promoting his wishes and feelings whilst keeping him safe.</w:t>
            </w:r>
          </w:p>
          <w:p w14:paraId="41C8CA1A" w14:textId="77777777" w:rsidR="00A71279" w:rsidRPr="00A71279" w:rsidRDefault="00A71279" w:rsidP="00A71279">
            <w:pPr>
              <w:overflowPunct/>
              <w:autoSpaceDE/>
              <w:autoSpaceDN/>
              <w:adjustRightInd/>
              <w:spacing w:after="160" w:line="259" w:lineRule="auto"/>
              <w:textAlignment w:val="auto"/>
              <w:rPr>
                <w:rFonts w:eastAsia="Calibri"/>
                <w:i/>
                <w:color w:val="auto"/>
                <w:sz w:val="22"/>
                <w:szCs w:val="22"/>
                <w:lang w:eastAsia="en-US"/>
              </w:rPr>
            </w:pPr>
            <w:r w:rsidRPr="00A71279">
              <w:rPr>
                <w:rFonts w:eastAsia="Calibri"/>
                <w:color w:val="auto"/>
                <w:sz w:val="22"/>
                <w:szCs w:val="22"/>
                <w:lang w:eastAsia="en-US"/>
              </w:rPr>
              <w:t>In planning a solution and proportionate safeguarding response to the risk of harm, the concept of ‘</w:t>
            </w:r>
            <w:r w:rsidRPr="00A71279">
              <w:rPr>
                <w:rFonts w:eastAsia="Calibri"/>
                <w:i/>
                <w:color w:val="auto"/>
                <w:sz w:val="22"/>
                <w:szCs w:val="22"/>
                <w:lang w:eastAsia="en-US"/>
              </w:rPr>
              <w:t xml:space="preserve">positive risk taking’ </w:t>
            </w:r>
            <w:r w:rsidRPr="00A71279">
              <w:rPr>
                <w:rFonts w:eastAsia="Calibri"/>
                <w:color w:val="auto"/>
                <w:sz w:val="22"/>
                <w:szCs w:val="22"/>
                <w:lang w:eastAsia="en-US"/>
              </w:rPr>
              <w:t>is important in empowering and preserving the rights of the child (Blood and Wardle, 2016). Blood and Wardle (2016) highlight that ‘</w:t>
            </w:r>
            <w:r w:rsidRPr="00A71279">
              <w:rPr>
                <w:rFonts w:eastAsia="Calibri"/>
                <w:i/>
                <w:color w:val="auto"/>
                <w:sz w:val="22"/>
                <w:szCs w:val="22"/>
                <w:lang w:eastAsia="en-US"/>
              </w:rPr>
              <w:t>Positive risk taking is supported by the Social Services and Well-being (Wales) Act 2014, the Mental Capacity Act 2005, the Human Rights Act 1998 and the Equality Act 2010; however, awareness of and confidence in this is limited within social care and among health professionals’.</w:t>
            </w:r>
          </w:p>
          <w:p w14:paraId="4EFE0C4E"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From analysing the information gathered it was apparent that 3 is vulnerable online, a person of concern had been attempting to contact 3 on his mobile phone via social media. This posed a risk that he would be encouraged to leave his home and associate with individuals of, and in locations of, concern. It was vital during this aspect of care planning that collaborative working was key in managing the rights and risk of 3. </w:t>
            </w:r>
          </w:p>
          <w:p w14:paraId="032AE368"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Under the Mental Capacity Act 2005 Deprivation of Liberty Safeguards (DoLS) provide legal protection for a child in a residential home who may be being cared for in a way which deprives them of their liberty in order to protect them from harm (Social Care Wales, 2023). This is due to be replaced by Liberty Protection Safeguards (LPS) which aims to be more person centred for the individual and flexible for the practitioner (Social Care Wales, 2023).</w:t>
            </w:r>
          </w:p>
          <w:p w14:paraId="1F62C2CF"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If 3 was thought to be at risk of harm due to his mobile phone and the possible tactics that may be used over the phone discussed in the Power and Control wheel, a DoLS may need to be considered. Harvard and Lefevre (2020) build upon the original model of Power and Control to incorporate mobile phone technology due to its impact on the perpetrators access to the victim to for monitoring, controlling and manipulating. </w:t>
            </w:r>
          </w:p>
          <w:p w14:paraId="2AD83141"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It was felt in this case, by collaboratively working with 3, a contract was made together with 3 and residential home management where 3 suggested his phone was checked regularly, however he would keep to use as he wishes. Although there are risks associated with this, 3 felt empowered in the decision making and managing risk and was in agreement for his phone to be checked. 3 would also have his phone on him at all times, which would help manage risk in the community as he would be contactable. This decision was made with professional judgement by incorporating collaborative working and positive risk taking and ensuring 3 meet his outcomes.</w:t>
            </w:r>
          </w:p>
          <w:p w14:paraId="42E661FB"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Upon reflection, more work could have been done with 3 around his outcomes on a broader level, I feel due to the urgent nature of the escalating concerns, most of our conversations around this time were around gathering information, keeping safe and exploring solutions to the main presenting concerns. I feel not enough time and attention was given to exploring other outcomes, which may have helped identify other underlying causes for the concerns around exploitation.</w:t>
            </w:r>
          </w:p>
          <w:p w14:paraId="1B49AC15" w14:textId="77777777" w:rsidR="00A71279" w:rsidRPr="00A71279" w:rsidRDefault="00A71279" w:rsidP="00A71279">
            <w:pPr>
              <w:overflowPunct/>
              <w:autoSpaceDE/>
              <w:autoSpaceDN/>
              <w:adjustRightInd/>
              <w:spacing w:after="160" w:line="259" w:lineRule="auto"/>
              <w:textAlignment w:val="auto"/>
              <w:rPr>
                <w:rFonts w:eastAsia="Calibri"/>
                <w:b/>
                <w:color w:val="auto"/>
                <w:sz w:val="22"/>
                <w:szCs w:val="22"/>
                <w:lang w:eastAsia="en-US"/>
              </w:rPr>
            </w:pPr>
            <w:r w:rsidRPr="00A71279">
              <w:rPr>
                <w:rFonts w:eastAsia="Calibri"/>
                <w:b/>
                <w:color w:val="auto"/>
                <w:sz w:val="22"/>
                <w:szCs w:val="22"/>
                <w:lang w:eastAsia="en-US"/>
              </w:rPr>
              <w:t>Principle 5: All practitioners working with a child operate in a multi-agency and co-operative way to safeguard and promote a child’s well-being, record decisions appropriately and regularly review progress against the outcomes set out in care and support plans.</w:t>
            </w:r>
          </w:p>
          <w:p w14:paraId="745B698F"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From analysing all the information provided by 3, his family and professionals involved in his care and support, an outcome and plan was put in place. The outcome of the scoring of the assessment was that 3 did not require ongoing monitoring through the safeguarding process due to the lack of evidence of exploitation. However, the risk of remained high and required close management. The plan put in place was:</w:t>
            </w:r>
          </w:p>
          <w:p w14:paraId="71ED7B2C" w14:textId="77777777" w:rsidR="00A71279" w:rsidRPr="00A71279" w:rsidRDefault="00A71279" w:rsidP="00A71279">
            <w:pPr>
              <w:numPr>
                <w:ilvl w:val="0"/>
                <w:numId w:val="55"/>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 xml:space="preserve">3’s care plans, risk assessments and residential home protocols would be updated to reflect any additional safeguarding measures put in place. </w:t>
            </w:r>
          </w:p>
          <w:p w14:paraId="3E9B3A4D" w14:textId="77777777" w:rsidR="00A71279" w:rsidRPr="00A71279" w:rsidRDefault="00A71279" w:rsidP="00A71279">
            <w:pPr>
              <w:numPr>
                <w:ilvl w:val="0"/>
                <w:numId w:val="55"/>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Extra waking night staff member would be put in place to support 3 during the night when risk increases of him going missing.</w:t>
            </w:r>
          </w:p>
          <w:p w14:paraId="6418646D" w14:textId="77777777" w:rsidR="00A71279" w:rsidRPr="00A71279" w:rsidRDefault="00A71279" w:rsidP="00A71279">
            <w:pPr>
              <w:numPr>
                <w:ilvl w:val="0"/>
                <w:numId w:val="55"/>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Family time in Wales and regular calls with his sibling to be prioritised.</w:t>
            </w:r>
          </w:p>
          <w:p w14:paraId="16D19C3E" w14:textId="77777777" w:rsidR="00A71279" w:rsidRPr="00A71279" w:rsidRDefault="00A71279" w:rsidP="00A71279">
            <w:pPr>
              <w:numPr>
                <w:ilvl w:val="0"/>
                <w:numId w:val="55"/>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Direct work to be completed on a one to one basis around risks of exploitation and healthy relationships.</w:t>
            </w:r>
          </w:p>
          <w:p w14:paraId="0263A68E" w14:textId="77777777" w:rsidR="00A71279" w:rsidRPr="00A71279" w:rsidRDefault="00A71279" w:rsidP="00A71279">
            <w:pPr>
              <w:numPr>
                <w:ilvl w:val="0"/>
                <w:numId w:val="55"/>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College to monitor behaviour and attendance and update if not attended.</w:t>
            </w:r>
          </w:p>
          <w:p w14:paraId="43F9599F" w14:textId="77777777" w:rsidR="00A71279" w:rsidRPr="00A71279" w:rsidRDefault="00A71279" w:rsidP="00A71279">
            <w:pPr>
              <w:numPr>
                <w:ilvl w:val="0"/>
                <w:numId w:val="55"/>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Support to access activities and groups, hobbies and relationships within local community.</w:t>
            </w:r>
          </w:p>
          <w:p w14:paraId="4FEFFFE8" w14:textId="77777777" w:rsidR="00A71279" w:rsidRPr="00A71279" w:rsidRDefault="00A71279" w:rsidP="00A71279">
            <w:pPr>
              <w:numPr>
                <w:ilvl w:val="0"/>
                <w:numId w:val="55"/>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3 to continue to spend time independently in the community with additional ‘keep in touch’ communication with residential staff.</w:t>
            </w:r>
          </w:p>
          <w:p w14:paraId="45393B47" w14:textId="2F4C649B" w:rsidR="00A71279" w:rsidRDefault="00A71279" w:rsidP="00A71279">
            <w:pPr>
              <w:numPr>
                <w:ilvl w:val="0"/>
                <w:numId w:val="55"/>
              </w:numPr>
              <w:overflowPunct/>
              <w:autoSpaceDE/>
              <w:autoSpaceDN/>
              <w:adjustRightInd/>
              <w:spacing w:after="160" w:line="259" w:lineRule="auto"/>
              <w:contextualSpacing/>
              <w:textAlignment w:val="auto"/>
              <w:rPr>
                <w:rFonts w:eastAsia="Calibri"/>
                <w:color w:val="auto"/>
                <w:sz w:val="22"/>
                <w:szCs w:val="22"/>
                <w:lang w:eastAsia="en-US"/>
              </w:rPr>
            </w:pPr>
            <w:r w:rsidRPr="00A71279">
              <w:rPr>
                <w:rFonts w:eastAsia="Calibri"/>
                <w:color w:val="auto"/>
                <w:sz w:val="22"/>
                <w:szCs w:val="22"/>
                <w:lang w:eastAsia="en-US"/>
              </w:rPr>
              <w:t>Continue to share information among professionals and arrange review meeting if necessary.</w:t>
            </w:r>
          </w:p>
          <w:p w14:paraId="20BC526C" w14:textId="77777777" w:rsidR="00A71279" w:rsidRPr="00A71279" w:rsidRDefault="00A71279" w:rsidP="00A71279">
            <w:pPr>
              <w:overflowPunct/>
              <w:autoSpaceDE/>
              <w:autoSpaceDN/>
              <w:adjustRightInd/>
              <w:spacing w:after="160" w:line="259" w:lineRule="auto"/>
              <w:ind w:left="360"/>
              <w:contextualSpacing/>
              <w:textAlignment w:val="auto"/>
              <w:rPr>
                <w:rFonts w:eastAsia="Calibri"/>
                <w:color w:val="auto"/>
                <w:sz w:val="22"/>
                <w:szCs w:val="22"/>
                <w:lang w:eastAsia="en-US"/>
              </w:rPr>
            </w:pPr>
          </w:p>
          <w:p w14:paraId="3FA3DE05"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This information was recorded and minuted by the safeguarding team admin staff member which allowed those involved in the meeting to focus on the sharing and analysis of evidence and information whilst it was being accurately recorded. The minutes were then shared with all professionals involved. It was agreed that staff from the residential home would feedback to 3 with the outcomes of the meeting and I would follow up with a telephone call to discuss this with him and gather his views on if he feels he is being sufficiently and proportionately protected with the plan in place. </w:t>
            </w:r>
          </w:p>
          <w:p w14:paraId="0C894DBF"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On reflection, I feel it would have been more appropriate and person centred for me to have had this conversation with 3 face to face, however due to the distance to travel and other demands of the role and caseload, I was unable to prioritise travelling to the area where he lives. This conflict between values, beliefs in best practice and not always being able to fulfil this within the role can cause the practitioner </w:t>
            </w:r>
            <w:r w:rsidRPr="00A71279">
              <w:rPr>
                <w:rFonts w:eastAsia="Calibri"/>
                <w:i/>
                <w:color w:val="auto"/>
                <w:sz w:val="22"/>
                <w:szCs w:val="22"/>
                <w:lang w:eastAsia="en-US"/>
              </w:rPr>
              <w:t xml:space="preserve">‘moral injury’ </w:t>
            </w:r>
            <w:r w:rsidRPr="00A71279">
              <w:rPr>
                <w:rFonts w:eastAsia="Calibri"/>
                <w:color w:val="auto"/>
                <w:sz w:val="22"/>
                <w:szCs w:val="22"/>
                <w:lang w:eastAsia="en-US"/>
              </w:rPr>
              <w:t xml:space="preserve">(Maclean, 2020). </w:t>
            </w:r>
          </w:p>
          <w:p w14:paraId="0A784965"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I was concerned about 3’s feelings of not being valued if a face to face to visit was not completed and therefore experienced feelings of shame and guilt. In response to this I ensured that I did what I could within my means to ensure he felt valued and that his best interest was a priority. I ensured I allowed 3 the option for a video call and set time aside for the call, in a space with no distractions so that I was able to give the call the required attention.</w:t>
            </w:r>
          </w:p>
          <w:p w14:paraId="43A4533A" w14:textId="77777777" w:rsidR="00A71279" w:rsidRPr="00A71279" w:rsidRDefault="00A71279" w:rsidP="00A71279">
            <w:pPr>
              <w:overflowPunct/>
              <w:autoSpaceDE/>
              <w:autoSpaceDN/>
              <w:adjustRightInd/>
              <w:spacing w:after="160" w:line="259" w:lineRule="auto"/>
              <w:textAlignment w:val="auto"/>
              <w:rPr>
                <w:rFonts w:eastAsia="Calibri"/>
                <w:b/>
                <w:color w:val="auto"/>
                <w:sz w:val="22"/>
                <w:szCs w:val="22"/>
                <w:lang w:eastAsia="en-US"/>
              </w:rPr>
            </w:pPr>
            <w:r w:rsidRPr="00A71279">
              <w:rPr>
                <w:rFonts w:eastAsia="Calibri"/>
                <w:b/>
                <w:color w:val="auto"/>
                <w:sz w:val="22"/>
                <w:szCs w:val="22"/>
                <w:lang w:eastAsia="en-US"/>
              </w:rPr>
              <w:t>Principle 6: All practitioners who come into contact with children are able to access professional strategic leadership which supports the practitioner to achieve desired outcomes for the child.</w:t>
            </w:r>
          </w:p>
          <w:p w14:paraId="1219A001"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 xml:space="preserve">Through managing the escalating concerns of CCE by following Safeguarding procedures and incorporating the Exploitation risk assessment into the practice it ensured that all practitioners involved were able to access strategic leadership consistently across England and Wales and work together with 3 to ensure he was proportionately safeguarded under the Social Services and Well-being (Wales) Act 2014 legislation Working Together to Safeguard People Volume 5 – Handling Individual Cases to Protect Children at Risk (Welsh Government 2018), safeguarding procedures and Wales Safeguarding Board guidance. </w:t>
            </w:r>
          </w:p>
          <w:p w14:paraId="7C1C0839"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The plan set out will then be monitored through the Care and Support Plan statutory reviewing process as per part 6 of the Social Services and Well-being Wales Act 2014 and also through personal supervision and internal reporting and recording processes and multiagency working. Statutory visits will be completed face to face as per the legislation Social Services and Well-being (Wales) Act to ensure 3’s voice is not only heard but at the centre of all future care planning in supporting him achieving his outcomes and future potential.</w:t>
            </w:r>
          </w:p>
          <w:p w14:paraId="5A7465F2"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In conclusion, this critical reflection of the case study has enabled me to analyse my own social work practice under the safeguarding best practice principles to ensure I have been able to thoroughly and comprehensively identity areas where practice could have been improved. This, in line with policies, procedures and legislation, has made me aware of various issues to consider within my practice and how to make changes moving forward. Such as, being more creative in my thinking around cultural needs and applying the ‘More than just Words’ framework for second language Welsh speakers and learners in Wales. I will continue to develop my practice through discussing areas for further development within supervision and continuous reflection, utilising support from managers and colleagues.</w:t>
            </w:r>
          </w:p>
          <w:p w14:paraId="3E77DCD7" w14:textId="77777777" w:rsidR="00A71279" w:rsidRPr="00A71279" w:rsidRDefault="00A71279" w:rsidP="00A71279">
            <w:pPr>
              <w:overflowPunct/>
              <w:autoSpaceDE/>
              <w:autoSpaceDN/>
              <w:adjustRightInd/>
              <w:spacing w:after="160" w:line="259" w:lineRule="auto"/>
              <w:textAlignment w:val="auto"/>
              <w:rPr>
                <w:rFonts w:eastAsia="Calibri"/>
                <w:color w:val="auto"/>
                <w:sz w:val="22"/>
                <w:szCs w:val="22"/>
                <w:lang w:eastAsia="en-US"/>
              </w:rPr>
            </w:pPr>
            <w:r w:rsidRPr="00A71279">
              <w:rPr>
                <w:rFonts w:eastAsia="Calibri"/>
                <w:color w:val="auto"/>
                <w:sz w:val="22"/>
                <w:szCs w:val="22"/>
                <w:lang w:eastAsia="en-US"/>
              </w:rPr>
              <w:t>This practice enabled me to apply my professional judgement within a risk assessment of an increasingly complex safeguarding concern whilst considering ethical issues and dilemma’s involving conflicts between managing needs, risk and rights of individuals whilst safeguarding in partnership with those involved in the care, support and protection of the child. The practice required me to prepare professional reports and records in the continuous monitoring of concerns. The exploitation risk assessment tool itself and communicating information and care planning. Risk management plans were agreed whilst promoting the rights of the child, independence, positive risk and responsibility by listening to, communicating and promoting the voice of the child and enabling him to achieve his outcomes and potential.</w:t>
            </w:r>
          </w:p>
          <w:p w14:paraId="175FFB7A" w14:textId="77777777" w:rsidR="00A71279" w:rsidRPr="00A71279" w:rsidRDefault="00A71279" w:rsidP="00A71279">
            <w:pPr>
              <w:overflowPunct/>
              <w:autoSpaceDE/>
              <w:autoSpaceDN/>
              <w:adjustRightInd/>
              <w:spacing w:after="160" w:line="259" w:lineRule="auto"/>
              <w:textAlignment w:val="auto"/>
              <w:rPr>
                <w:rFonts w:eastAsia="Calibri"/>
                <w:b/>
                <w:color w:val="auto"/>
                <w:sz w:val="22"/>
                <w:szCs w:val="22"/>
                <w:lang w:eastAsia="en-US"/>
              </w:rPr>
            </w:pPr>
            <w:r w:rsidRPr="00A71279">
              <w:rPr>
                <w:rFonts w:eastAsia="Calibri"/>
                <w:b/>
                <w:color w:val="auto"/>
                <w:sz w:val="22"/>
                <w:szCs w:val="22"/>
                <w:lang w:eastAsia="en-US"/>
              </w:rPr>
              <w:t>Word Count: 4082</w:t>
            </w:r>
          </w:p>
          <w:p w14:paraId="20370495" w14:textId="79B79501" w:rsidR="00D3203C" w:rsidRPr="00A71279" w:rsidRDefault="00D3203C" w:rsidP="00FF7EBB">
            <w:pPr>
              <w:jc w:val="both"/>
              <w:rPr>
                <w:sz w:val="24"/>
                <w:szCs w:val="24"/>
              </w:rPr>
            </w:pPr>
          </w:p>
          <w:p w14:paraId="12DC2F24" w14:textId="24094196" w:rsidR="00D3203C" w:rsidRDefault="00D3203C" w:rsidP="00FF7EBB">
            <w:pPr>
              <w:jc w:val="both"/>
              <w:rPr>
                <w:i/>
                <w:sz w:val="24"/>
                <w:szCs w:val="24"/>
              </w:rPr>
            </w:pPr>
          </w:p>
          <w:p w14:paraId="47F21B6A" w14:textId="387F0329"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F4433FA" w14:textId="3AB5FED8" w:rsidR="00CC135E" w:rsidRPr="003B29BC" w:rsidRDefault="00CC135E" w:rsidP="003B29BC">
      <w:pPr>
        <w:rPr>
          <w:color w:val="auto"/>
          <w:sz w:val="24"/>
          <w:szCs w:val="24"/>
        </w:rPr>
      </w:pPr>
      <w:bookmarkStart w:id="0" w:name="_GoBack"/>
      <w:bookmarkEnd w:id="0"/>
    </w:p>
    <w:sectPr w:rsidR="00CC135E" w:rsidRPr="003B29BC"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8FF1342" w:rsidR="00A5656A" w:rsidRDefault="00A5656A">
    <w:pPr>
      <w:pStyle w:val="Footer"/>
      <w:jc w:val="right"/>
    </w:pPr>
    <w:r>
      <w:fldChar w:fldCharType="begin"/>
    </w:r>
    <w:r>
      <w:instrText xml:space="preserve"> PAGE   \* MERGEFORMAT </w:instrText>
    </w:r>
    <w:r>
      <w:fldChar w:fldCharType="separate"/>
    </w:r>
    <w:r w:rsidR="00A71279">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455EF8"/>
    <w:multiLevelType w:val="hybridMultilevel"/>
    <w:tmpl w:val="0F4C2F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8D25C1A"/>
    <w:multiLevelType w:val="hybridMultilevel"/>
    <w:tmpl w:val="1518A2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50"/>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1"/>
  </w:num>
  <w:num w:numId="53">
    <w:abstractNumId w:val="2"/>
  </w:num>
  <w:num w:numId="54">
    <w:abstractNumId w:val="22"/>
  </w:num>
  <w:num w:numId="55">
    <w:abstractNumId w:val="4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279"/>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afeguarding.wales/en/chi-i/chi-i-c1/c1-p3/"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afeguarding.wales/en/chi-i/chi-i-c1/c1-p3/"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afeguarding.wales/en/chi-i/chi-i-c1/c1-p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E9793F05CF4EF4186E5DAF0A779EC28" ma:contentTypeVersion="6" ma:contentTypeDescription="Create a new document." ma:contentTypeScope="" ma:versionID="3c101395f87fd6f0d10a7c27f1d46a9a">
  <xsd:schema xmlns:xsd="http://www.w3.org/2001/XMLSchema" xmlns:xs="http://www.w3.org/2001/XMLSchema" xmlns:p="http://schemas.microsoft.com/office/2006/metadata/properties" xmlns:ns3="f18f89df-039e-4fbc-bb35-53d951b31966" targetNamespace="http://schemas.microsoft.com/office/2006/metadata/properties" ma:root="true" ma:fieldsID="bb8b9fab8f0eb29127746646b5459ecc" ns3:_="">
    <xsd:import namespace="f18f89df-039e-4fbc-bb35-53d951b3196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89df-039e-4fbc-bb35-53d951b3196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29B74E2D-A7E0-4186-ABAF-3220C5BDBC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89df-039e-4fbc-bb35-53d951b319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9AC38C-A85A-481B-A541-B040BCD39DB1}">
  <ds:schemaRefs>
    <ds:schemaRef ds:uri="http://schemas.microsoft.com/office/infopath/2007/PartnerControls"/>
    <ds:schemaRef ds:uri="http://purl.org/dc/elements/1.1/"/>
    <ds:schemaRef ds:uri="http://schemas.microsoft.com/office/2006/metadata/properties"/>
    <ds:schemaRef ds:uri="f18f89df-039e-4fbc-bb35-53d951b31966"/>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4.xml><?xml version="1.0" encoding="utf-8"?>
<ds:datastoreItem xmlns:ds="http://schemas.openxmlformats.org/officeDocument/2006/customXml" ds:itemID="{BBDF561D-CD97-47FA-A4BA-AD31FD082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4797</Words>
  <Characters>25345</Characters>
  <Application>Microsoft Office Word</Application>
  <DocSecurity>4</DocSecurity>
  <Lines>211</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Parry</cp:lastModifiedBy>
  <cp:revision>2</cp:revision>
  <cp:lastPrinted>2020-02-11T19:20:00Z</cp:lastPrinted>
  <dcterms:created xsi:type="dcterms:W3CDTF">2023-02-26T11:36:00Z</dcterms:created>
  <dcterms:modified xsi:type="dcterms:W3CDTF">2023-02-26T11:36:00Z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0x0101009E9793F05CF4EF4186E5DAF0A779EC28</vt:lpwstr>
  </property>
</Properties>
</file>