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C4EA8" w14:textId="77777777" w:rsidR="009E2AC6" w:rsidRPr="00FB4BB3" w:rsidRDefault="009E2AC6" w:rsidP="009E2AC6">
      <w:pPr>
        <w:jc w:val="center"/>
        <w:rPr>
          <w:rFonts w:ascii="Calibri" w:hAnsi="Calibri" w:cstheme="minorHAnsi"/>
          <w:b/>
          <w:spacing w:val="-2"/>
          <w:szCs w:val="24"/>
        </w:rPr>
      </w:pPr>
    </w:p>
    <w:p w14:paraId="57DE20EC" w14:textId="77777777" w:rsidR="009E2AC6" w:rsidRPr="00FB4BB3" w:rsidRDefault="009E2AC6" w:rsidP="009E2AC6">
      <w:pPr>
        <w:jc w:val="center"/>
        <w:rPr>
          <w:rFonts w:ascii="Calibri" w:hAnsi="Calibri" w:cstheme="minorHAnsi"/>
          <w:b/>
          <w:spacing w:val="-2"/>
          <w:szCs w:val="24"/>
        </w:rPr>
      </w:pPr>
    </w:p>
    <w:p w14:paraId="01F71020" w14:textId="77777777" w:rsidR="009E2AC6" w:rsidRPr="00FB4BB3" w:rsidRDefault="009E2AC6" w:rsidP="009E2AC6">
      <w:pPr>
        <w:jc w:val="center"/>
        <w:rPr>
          <w:rFonts w:ascii="Calibri" w:hAnsi="Calibri" w:cstheme="minorHAnsi"/>
          <w:b/>
          <w:spacing w:val="-2"/>
          <w:szCs w:val="24"/>
        </w:rPr>
      </w:pPr>
    </w:p>
    <w:p w14:paraId="6BC961D7" w14:textId="77777777" w:rsidR="009E2AC6" w:rsidRPr="00FB4BB3" w:rsidRDefault="009E2AC6" w:rsidP="009E2AC6">
      <w:pPr>
        <w:jc w:val="center"/>
        <w:rPr>
          <w:rFonts w:ascii="Calibri" w:hAnsi="Calibri" w:cstheme="minorHAnsi"/>
          <w:b/>
          <w:spacing w:val="-2"/>
          <w:szCs w:val="24"/>
        </w:rPr>
      </w:pPr>
    </w:p>
    <w:p w14:paraId="5BEC7C54" w14:textId="77777777" w:rsidR="009E2AC6" w:rsidRPr="00FB4BB3" w:rsidRDefault="009E2AC6" w:rsidP="009E2AC6">
      <w:pPr>
        <w:jc w:val="center"/>
        <w:rPr>
          <w:rFonts w:ascii="Calibri" w:hAnsi="Calibri" w:cstheme="minorHAnsi"/>
          <w:b/>
          <w:spacing w:val="-2"/>
          <w:szCs w:val="24"/>
        </w:rPr>
      </w:pPr>
    </w:p>
    <w:p w14:paraId="0159EA6F" w14:textId="77777777" w:rsidR="009E2AC6" w:rsidRPr="00FB4BB3" w:rsidRDefault="009E2AC6" w:rsidP="009E2AC6">
      <w:pPr>
        <w:jc w:val="center"/>
        <w:rPr>
          <w:rFonts w:ascii="Calibri" w:hAnsi="Calibri" w:cstheme="minorHAnsi"/>
          <w:b/>
          <w:spacing w:val="-2"/>
          <w:szCs w:val="24"/>
        </w:rPr>
      </w:pPr>
    </w:p>
    <w:p w14:paraId="570E422C" w14:textId="77777777" w:rsidR="009E2AC6" w:rsidRPr="00FB4BB3" w:rsidRDefault="009E2AC6" w:rsidP="009E2AC6">
      <w:pPr>
        <w:jc w:val="center"/>
        <w:rPr>
          <w:rFonts w:ascii="Calibri" w:hAnsi="Calibri" w:cstheme="minorHAnsi"/>
          <w:b/>
          <w:spacing w:val="-2"/>
          <w:szCs w:val="24"/>
        </w:rPr>
      </w:pPr>
    </w:p>
    <w:p w14:paraId="71E5DB38" w14:textId="77777777" w:rsidR="009E2AC6" w:rsidRPr="00FB4BB3" w:rsidRDefault="009E2AC6" w:rsidP="009E2AC6">
      <w:pPr>
        <w:jc w:val="center"/>
        <w:rPr>
          <w:rFonts w:ascii="Calibri" w:hAnsi="Calibri" w:cstheme="minorHAnsi"/>
          <w:b/>
          <w:spacing w:val="-2"/>
          <w:szCs w:val="24"/>
        </w:rPr>
      </w:pPr>
    </w:p>
    <w:p w14:paraId="23295C25" w14:textId="77777777" w:rsidR="009E2AC6" w:rsidRPr="00FB4BB3" w:rsidRDefault="009E2AC6" w:rsidP="009E2AC6">
      <w:pPr>
        <w:jc w:val="center"/>
        <w:rPr>
          <w:rFonts w:ascii="Calibri" w:hAnsi="Calibri" w:cstheme="minorHAnsi"/>
          <w:b/>
          <w:spacing w:val="-2"/>
          <w:szCs w:val="24"/>
        </w:rPr>
      </w:pPr>
    </w:p>
    <w:p w14:paraId="6FAB5C87" w14:textId="1A17EE9A" w:rsidR="00C41F1A" w:rsidRPr="00FB4BB3" w:rsidRDefault="00C41F1A" w:rsidP="009E2AC6">
      <w:pPr>
        <w:jc w:val="center"/>
        <w:rPr>
          <w:rFonts w:ascii="Calibri" w:hAnsi="Calibri" w:cstheme="minorHAnsi"/>
          <w:szCs w:val="24"/>
        </w:rPr>
      </w:pPr>
      <w:r w:rsidRPr="00FB4BB3">
        <w:rPr>
          <w:rFonts w:ascii="Calibri" w:hAnsi="Calibri" w:cstheme="minorHAnsi"/>
          <w:szCs w:val="24"/>
        </w:rPr>
        <w:t xml:space="preserve">Module Code: </w:t>
      </w:r>
      <w:r w:rsidR="00924014" w:rsidRPr="00FB4BB3">
        <w:rPr>
          <w:rFonts w:ascii="Calibri" w:hAnsi="Calibri" w:cstheme="minorHAnsi"/>
          <w:b/>
          <w:bCs/>
          <w:szCs w:val="24"/>
        </w:rPr>
        <w:t>LCLM5005</w:t>
      </w:r>
    </w:p>
    <w:p w14:paraId="437D9206" w14:textId="04C0B4E3" w:rsidR="00C41F1A" w:rsidRPr="00FB4BB3" w:rsidRDefault="00C41F1A" w:rsidP="009E2AC6">
      <w:pPr>
        <w:jc w:val="center"/>
        <w:rPr>
          <w:rFonts w:ascii="Calibri" w:hAnsi="Calibri" w:cstheme="minorHAnsi"/>
          <w:bCs/>
          <w:szCs w:val="24"/>
        </w:rPr>
      </w:pPr>
      <w:r w:rsidRPr="00FB4BB3">
        <w:rPr>
          <w:rFonts w:ascii="Calibri" w:hAnsi="Calibri" w:cstheme="minorHAnsi"/>
          <w:szCs w:val="24"/>
        </w:rPr>
        <w:t xml:space="preserve">Module Title: </w:t>
      </w:r>
      <w:r w:rsidR="00924014" w:rsidRPr="00FB4BB3">
        <w:rPr>
          <w:rFonts w:ascii="Calibri" w:hAnsi="Calibri" w:cstheme="minorHAnsi"/>
          <w:szCs w:val="24"/>
        </w:rPr>
        <w:t>Organisational Culture</w:t>
      </w:r>
    </w:p>
    <w:p w14:paraId="6FE819D7" w14:textId="0679B911" w:rsidR="009E2AC6" w:rsidRPr="00FB4BB3" w:rsidRDefault="009E2AC6" w:rsidP="009E2AC6">
      <w:pPr>
        <w:jc w:val="center"/>
        <w:rPr>
          <w:rFonts w:ascii="Calibri" w:hAnsi="Calibri" w:cstheme="minorHAnsi"/>
          <w:bCs/>
          <w:szCs w:val="24"/>
        </w:rPr>
      </w:pPr>
      <w:r w:rsidRPr="00FB4BB3">
        <w:rPr>
          <w:rFonts w:ascii="Calibri" w:hAnsi="Calibri" w:cstheme="minorHAnsi"/>
          <w:bCs/>
          <w:szCs w:val="24"/>
        </w:rPr>
        <w:t xml:space="preserve">Module Leaders: Rameses </w:t>
      </w:r>
      <w:proofErr w:type="spellStart"/>
      <w:r w:rsidRPr="00FB4BB3">
        <w:rPr>
          <w:rFonts w:ascii="Calibri" w:hAnsi="Calibri" w:cstheme="minorHAnsi"/>
          <w:bCs/>
          <w:szCs w:val="24"/>
        </w:rPr>
        <w:t>Manalang</w:t>
      </w:r>
      <w:proofErr w:type="spellEnd"/>
      <w:r w:rsidRPr="00FB4BB3">
        <w:rPr>
          <w:rFonts w:ascii="Calibri" w:hAnsi="Calibri" w:cstheme="minorHAnsi"/>
          <w:bCs/>
          <w:szCs w:val="24"/>
        </w:rPr>
        <w:t xml:space="preserve"> and David </w:t>
      </w:r>
      <w:proofErr w:type="spellStart"/>
      <w:r w:rsidRPr="00FB4BB3">
        <w:rPr>
          <w:rFonts w:ascii="Calibri" w:hAnsi="Calibri" w:cstheme="minorHAnsi"/>
          <w:bCs/>
          <w:szCs w:val="24"/>
        </w:rPr>
        <w:t>Oyebisi</w:t>
      </w:r>
      <w:proofErr w:type="spellEnd"/>
    </w:p>
    <w:p w14:paraId="1692E02E" w14:textId="7429C43C" w:rsidR="00C41F1A" w:rsidRPr="00FB4BB3" w:rsidRDefault="00C41F1A" w:rsidP="009E2AC6">
      <w:pPr>
        <w:jc w:val="center"/>
        <w:rPr>
          <w:rFonts w:ascii="Calibri" w:hAnsi="Calibri" w:cstheme="minorHAnsi"/>
          <w:bCs/>
          <w:szCs w:val="24"/>
        </w:rPr>
      </w:pPr>
      <w:r w:rsidRPr="00FB4BB3">
        <w:rPr>
          <w:rFonts w:ascii="Calibri" w:hAnsi="Calibri" w:cstheme="minorHAnsi"/>
          <w:bCs/>
          <w:szCs w:val="24"/>
        </w:rPr>
        <w:t>Student Name:</w:t>
      </w:r>
      <w:r w:rsidR="00FB4BB3" w:rsidRPr="00FB4BB3">
        <w:rPr>
          <w:rFonts w:ascii="Calibri" w:hAnsi="Calibri" w:cstheme="minorHAnsi"/>
          <w:bCs/>
          <w:szCs w:val="24"/>
        </w:rPr>
        <w:t xml:space="preserve"> Ansar Ali</w:t>
      </w:r>
    </w:p>
    <w:p w14:paraId="04B0F9A6" w14:textId="7BFADEA5" w:rsidR="00C41F1A" w:rsidRPr="00FB4BB3" w:rsidRDefault="00C41F1A" w:rsidP="009E2AC6">
      <w:pPr>
        <w:jc w:val="center"/>
        <w:rPr>
          <w:rFonts w:ascii="Calibri" w:hAnsi="Calibri" w:cstheme="minorHAnsi"/>
          <w:bCs/>
          <w:szCs w:val="24"/>
        </w:rPr>
      </w:pPr>
      <w:r w:rsidRPr="00FB4BB3">
        <w:rPr>
          <w:rFonts w:ascii="Calibri" w:hAnsi="Calibri" w:cstheme="minorHAnsi"/>
          <w:bCs/>
          <w:szCs w:val="24"/>
        </w:rPr>
        <w:t>Student ID Code:</w:t>
      </w:r>
      <w:r w:rsidR="00FB4BB3" w:rsidRPr="00FB4BB3">
        <w:rPr>
          <w:rFonts w:ascii="Calibri" w:hAnsi="Calibri" w:cstheme="minorHAnsi"/>
          <w:bCs/>
          <w:szCs w:val="24"/>
        </w:rPr>
        <w:t xml:space="preserve"> 2319374</w:t>
      </w:r>
    </w:p>
    <w:p w14:paraId="439FA1BA" w14:textId="77777777" w:rsidR="00C41F1A" w:rsidRPr="00FB4BB3" w:rsidRDefault="00C41F1A" w:rsidP="00F65314">
      <w:pPr>
        <w:rPr>
          <w:rFonts w:ascii="Calibri" w:hAnsi="Calibri" w:cstheme="minorHAnsi"/>
          <w:b/>
          <w:bCs/>
          <w:szCs w:val="24"/>
        </w:rPr>
      </w:pPr>
    </w:p>
    <w:p w14:paraId="0167C2C3" w14:textId="77777777" w:rsidR="00C41F1A" w:rsidRPr="00FB4BB3" w:rsidRDefault="00C41F1A">
      <w:pPr>
        <w:spacing w:line="259" w:lineRule="auto"/>
        <w:jc w:val="left"/>
        <w:rPr>
          <w:rFonts w:ascii="Calibri" w:hAnsi="Calibri" w:cstheme="minorHAnsi"/>
          <w:b/>
          <w:bCs/>
          <w:szCs w:val="24"/>
        </w:rPr>
      </w:pPr>
      <w:r w:rsidRPr="00FB4BB3">
        <w:rPr>
          <w:rFonts w:ascii="Calibri" w:hAnsi="Calibri" w:cstheme="minorHAnsi"/>
          <w:b/>
          <w:bCs/>
          <w:szCs w:val="24"/>
        </w:rPr>
        <w:br w:type="page"/>
      </w:r>
    </w:p>
    <w:sdt>
      <w:sdtPr>
        <w:rPr>
          <w:rFonts w:ascii="Calibri" w:eastAsia="Calibri" w:hAnsi="Calibri" w:cstheme="minorHAnsi"/>
          <w:color w:val="000000"/>
          <w:sz w:val="24"/>
          <w:szCs w:val="24"/>
          <w:lang w:val="en-GB" w:eastAsia="en-GB"/>
        </w:rPr>
        <w:id w:val="791172291"/>
        <w:docPartObj>
          <w:docPartGallery w:val="Table of Contents"/>
          <w:docPartUnique/>
        </w:docPartObj>
      </w:sdtPr>
      <w:sdtEndPr>
        <w:rPr>
          <w:b/>
          <w:bCs/>
          <w:noProof/>
        </w:rPr>
      </w:sdtEndPr>
      <w:sdtContent>
        <w:p w14:paraId="1880BB97" w14:textId="50FC517F" w:rsidR="00C41F1A" w:rsidRPr="00FB4BB3" w:rsidRDefault="00C41F1A">
          <w:pPr>
            <w:pStyle w:val="TOCHeading"/>
            <w:rPr>
              <w:rFonts w:ascii="Calibri" w:hAnsi="Calibri" w:cstheme="minorHAnsi"/>
              <w:sz w:val="24"/>
              <w:szCs w:val="24"/>
              <w:lang w:val="en-GB"/>
            </w:rPr>
          </w:pPr>
          <w:r w:rsidRPr="00FB4BB3">
            <w:rPr>
              <w:rFonts w:ascii="Calibri" w:hAnsi="Calibri" w:cstheme="minorHAnsi"/>
              <w:sz w:val="24"/>
              <w:szCs w:val="24"/>
              <w:lang w:val="en-GB"/>
            </w:rPr>
            <w:t>Table of Contents</w:t>
          </w:r>
        </w:p>
        <w:p w14:paraId="2DDCFA2E" w14:textId="6C561282" w:rsidR="00C41F1A" w:rsidRPr="00FB4BB3" w:rsidRDefault="00C41F1A">
          <w:pPr>
            <w:pStyle w:val="TOC1"/>
            <w:tabs>
              <w:tab w:val="right" w:leader="dot" w:pos="9350"/>
            </w:tabs>
            <w:rPr>
              <w:rFonts w:ascii="Calibri" w:hAnsi="Calibri" w:cstheme="minorHAnsi"/>
              <w:noProof/>
              <w:szCs w:val="24"/>
            </w:rPr>
          </w:pPr>
          <w:r w:rsidRPr="00FB4BB3">
            <w:rPr>
              <w:rFonts w:ascii="Calibri" w:hAnsi="Calibri" w:cstheme="minorHAnsi"/>
              <w:szCs w:val="24"/>
            </w:rPr>
            <w:fldChar w:fldCharType="begin"/>
          </w:r>
          <w:r w:rsidRPr="00FB4BB3">
            <w:rPr>
              <w:rFonts w:ascii="Calibri" w:hAnsi="Calibri" w:cstheme="minorHAnsi"/>
              <w:szCs w:val="24"/>
            </w:rPr>
            <w:instrText xml:space="preserve"> TOC \o "1-3" \h \z \u </w:instrText>
          </w:r>
          <w:r w:rsidRPr="00FB4BB3">
            <w:rPr>
              <w:rFonts w:ascii="Calibri" w:hAnsi="Calibri" w:cstheme="minorHAnsi"/>
              <w:szCs w:val="24"/>
            </w:rPr>
            <w:fldChar w:fldCharType="separate"/>
          </w:r>
          <w:hyperlink w:anchor="_Toc213531913" w:history="1">
            <w:r w:rsidRPr="00FB4BB3">
              <w:rPr>
                <w:rStyle w:val="Hyperlink"/>
                <w:rFonts w:ascii="Calibri" w:hAnsi="Calibri" w:cstheme="minorHAnsi"/>
                <w:noProof/>
                <w:szCs w:val="24"/>
              </w:rPr>
              <w:t>1.0 Introduction</w:t>
            </w:r>
            <w:r w:rsidRPr="00FB4BB3">
              <w:rPr>
                <w:rFonts w:ascii="Calibri" w:hAnsi="Calibri" w:cstheme="minorHAnsi"/>
                <w:noProof/>
                <w:webHidden/>
                <w:szCs w:val="24"/>
              </w:rPr>
              <w:tab/>
            </w:r>
            <w:r w:rsidRPr="00FB4BB3">
              <w:rPr>
                <w:rFonts w:ascii="Calibri" w:hAnsi="Calibri" w:cstheme="minorHAnsi"/>
                <w:noProof/>
                <w:webHidden/>
                <w:szCs w:val="24"/>
              </w:rPr>
              <w:fldChar w:fldCharType="begin"/>
            </w:r>
            <w:r w:rsidRPr="00FB4BB3">
              <w:rPr>
                <w:rFonts w:ascii="Calibri" w:hAnsi="Calibri" w:cstheme="minorHAnsi"/>
                <w:noProof/>
                <w:webHidden/>
                <w:szCs w:val="24"/>
              </w:rPr>
              <w:instrText xml:space="preserve"> PAGEREF _Toc213531913 \h </w:instrText>
            </w:r>
            <w:r w:rsidRPr="00FB4BB3">
              <w:rPr>
                <w:rFonts w:ascii="Calibri" w:hAnsi="Calibri" w:cstheme="minorHAnsi"/>
                <w:noProof/>
                <w:webHidden/>
                <w:szCs w:val="24"/>
              </w:rPr>
            </w:r>
            <w:r w:rsidRPr="00FB4BB3">
              <w:rPr>
                <w:rFonts w:ascii="Calibri" w:hAnsi="Calibri" w:cstheme="minorHAnsi"/>
                <w:noProof/>
                <w:webHidden/>
                <w:szCs w:val="24"/>
              </w:rPr>
              <w:fldChar w:fldCharType="separate"/>
            </w:r>
            <w:r w:rsidRPr="00FB4BB3">
              <w:rPr>
                <w:rFonts w:ascii="Calibri" w:hAnsi="Calibri" w:cstheme="minorHAnsi"/>
                <w:noProof/>
                <w:webHidden/>
                <w:szCs w:val="24"/>
              </w:rPr>
              <w:t>3</w:t>
            </w:r>
            <w:r w:rsidRPr="00FB4BB3">
              <w:rPr>
                <w:rFonts w:ascii="Calibri" w:hAnsi="Calibri" w:cstheme="minorHAnsi"/>
                <w:noProof/>
                <w:webHidden/>
                <w:szCs w:val="24"/>
              </w:rPr>
              <w:fldChar w:fldCharType="end"/>
            </w:r>
          </w:hyperlink>
        </w:p>
        <w:p w14:paraId="11767222" w14:textId="2EB1DBBF" w:rsidR="00C41F1A" w:rsidRPr="00FB4BB3" w:rsidRDefault="00C41F1A">
          <w:pPr>
            <w:pStyle w:val="TOC1"/>
            <w:tabs>
              <w:tab w:val="right" w:leader="dot" w:pos="9350"/>
            </w:tabs>
            <w:rPr>
              <w:rFonts w:ascii="Calibri" w:hAnsi="Calibri" w:cstheme="minorHAnsi"/>
              <w:noProof/>
              <w:szCs w:val="24"/>
            </w:rPr>
          </w:pPr>
          <w:hyperlink w:anchor="_Toc213531914" w:history="1">
            <w:r w:rsidRPr="00FB4BB3">
              <w:rPr>
                <w:rStyle w:val="Hyperlink"/>
                <w:rFonts w:ascii="Calibri" w:hAnsi="Calibri" w:cstheme="minorHAnsi"/>
                <w:noProof/>
                <w:szCs w:val="24"/>
              </w:rPr>
              <w:t>2.0 Organisational Culture, Structure, and Decision-Making in John Lewis</w:t>
            </w:r>
            <w:r w:rsidRPr="00FB4BB3">
              <w:rPr>
                <w:rFonts w:ascii="Calibri" w:hAnsi="Calibri" w:cstheme="minorHAnsi"/>
                <w:noProof/>
                <w:webHidden/>
                <w:szCs w:val="24"/>
              </w:rPr>
              <w:tab/>
            </w:r>
            <w:r w:rsidRPr="00FB4BB3">
              <w:rPr>
                <w:rFonts w:ascii="Calibri" w:hAnsi="Calibri" w:cstheme="minorHAnsi"/>
                <w:noProof/>
                <w:webHidden/>
                <w:szCs w:val="24"/>
              </w:rPr>
              <w:fldChar w:fldCharType="begin"/>
            </w:r>
            <w:r w:rsidRPr="00FB4BB3">
              <w:rPr>
                <w:rFonts w:ascii="Calibri" w:hAnsi="Calibri" w:cstheme="minorHAnsi"/>
                <w:noProof/>
                <w:webHidden/>
                <w:szCs w:val="24"/>
              </w:rPr>
              <w:instrText xml:space="preserve"> PAGEREF _Toc213531914 \h </w:instrText>
            </w:r>
            <w:r w:rsidRPr="00FB4BB3">
              <w:rPr>
                <w:rFonts w:ascii="Calibri" w:hAnsi="Calibri" w:cstheme="minorHAnsi"/>
                <w:noProof/>
                <w:webHidden/>
                <w:szCs w:val="24"/>
              </w:rPr>
            </w:r>
            <w:r w:rsidRPr="00FB4BB3">
              <w:rPr>
                <w:rFonts w:ascii="Calibri" w:hAnsi="Calibri" w:cstheme="minorHAnsi"/>
                <w:noProof/>
                <w:webHidden/>
                <w:szCs w:val="24"/>
              </w:rPr>
              <w:fldChar w:fldCharType="separate"/>
            </w:r>
            <w:r w:rsidRPr="00FB4BB3">
              <w:rPr>
                <w:rFonts w:ascii="Calibri" w:hAnsi="Calibri" w:cstheme="minorHAnsi"/>
                <w:noProof/>
                <w:webHidden/>
                <w:szCs w:val="24"/>
              </w:rPr>
              <w:t>3</w:t>
            </w:r>
            <w:r w:rsidRPr="00FB4BB3">
              <w:rPr>
                <w:rFonts w:ascii="Calibri" w:hAnsi="Calibri" w:cstheme="minorHAnsi"/>
                <w:noProof/>
                <w:webHidden/>
                <w:szCs w:val="24"/>
              </w:rPr>
              <w:fldChar w:fldCharType="end"/>
            </w:r>
          </w:hyperlink>
        </w:p>
        <w:p w14:paraId="08054E68" w14:textId="08782725" w:rsidR="00C41F1A" w:rsidRPr="00FB4BB3" w:rsidRDefault="00C41F1A">
          <w:pPr>
            <w:pStyle w:val="TOC1"/>
            <w:tabs>
              <w:tab w:val="right" w:leader="dot" w:pos="9350"/>
            </w:tabs>
            <w:rPr>
              <w:rFonts w:ascii="Calibri" w:hAnsi="Calibri" w:cstheme="minorHAnsi"/>
              <w:noProof/>
              <w:szCs w:val="24"/>
            </w:rPr>
          </w:pPr>
          <w:hyperlink w:anchor="_Toc213531915" w:history="1">
            <w:r w:rsidRPr="00FB4BB3">
              <w:rPr>
                <w:rStyle w:val="Hyperlink"/>
                <w:rFonts w:ascii="Calibri" w:hAnsi="Calibri" w:cstheme="minorHAnsi"/>
                <w:noProof/>
                <w:szCs w:val="24"/>
              </w:rPr>
              <w:t>3.0 Identifying and Discussing Organisational Culture in John Lewis Using Theoretical Models</w:t>
            </w:r>
            <w:r w:rsidRPr="00FB4BB3">
              <w:rPr>
                <w:rFonts w:ascii="Calibri" w:hAnsi="Calibri" w:cstheme="minorHAnsi"/>
                <w:noProof/>
                <w:webHidden/>
                <w:szCs w:val="24"/>
              </w:rPr>
              <w:tab/>
            </w:r>
            <w:r w:rsidRPr="00FB4BB3">
              <w:rPr>
                <w:rFonts w:ascii="Calibri" w:hAnsi="Calibri" w:cstheme="minorHAnsi"/>
                <w:noProof/>
                <w:webHidden/>
                <w:szCs w:val="24"/>
              </w:rPr>
              <w:fldChar w:fldCharType="begin"/>
            </w:r>
            <w:r w:rsidRPr="00FB4BB3">
              <w:rPr>
                <w:rFonts w:ascii="Calibri" w:hAnsi="Calibri" w:cstheme="minorHAnsi"/>
                <w:noProof/>
                <w:webHidden/>
                <w:szCs w:val="24"/>
              </w:rPr>
              <w:instrText xml:space="preserve"> PAGEREF _Toc213531915 \h </w:instrText>
            </w:r>
            <w:r w:rsidRPr="00FB4BB3">
              <w:rPr>
                <w:rFonts w:ascii="Calibri" w:hAnsi="Calibri" w:cstheme="minorHAnsi"/>
                <w:noProof/>
                <w:webHidden/>
                <w:szCs w:val="24"/>
              </w:rPr>
            </w:r>
            <w:r w:rsidRPr="00FB4BB3">
              <w:rPr>
                <w:rFonts w:ascii="Calibri" w:hAnsi="Calibri" w:cstheme="minorHAnsi"/>
                <w:noProof/>
                <w:webHidden/>
                <w:szCs w:val="24"/>
              </w:rPr>
              <w:fldChar w:fldCharType="separate"/>
            </w:r>
            <w:r w:rsidRPr="00FB4BB3">
              <w:rPr>
                <w:rFonts w:ascii="Calibri" w:hAnsi="Calibri" w:cstheme="minorHAnsi"/>
                <w:noProof/>
                <w:webHidden/>
                <w:szCs w:val="24"/>
              </w:rPr>
              <w:t>5</w:t>
            </w:r>
            <w:r w:rsidRPr="00FB4BB3">
              <w:rPr>
                <w:rFonts w:ascii="Calibri" w:hAnsi="Calibri" w:cstheme="minorHAnsi"/>
                <w:noProof/>
                <w:webHidden/>
                <w:szCs w:val="24"/>
              </w:rPr>
              <w:fldChar w:fldCharType="end"/>
            </w:r>
          </w:hyperlink>
        </w:p>
        <w:p w14:paraId="4E9DAD45" w14:textId="114F30E7" w:rsidR="00C41F1A" w:rsidRPr="00FB4BB3" w:rsidRDefault="00C41F1A">
          <w:pPr>
            <w:pStyle w:val="TOC2"/>
            <w:tabs>
              <w:tab w:val="right" w:leader="dot" w:pos="9350"/>
            </w:tabs>
            <w:rPr>
              <w:rFonts w:ascii="Calibri" w:hAnsi="Calibri" w:cstheme="minorHAnsi"/>
              <w:noProof/>
              <w:szCs w:val="24"/>
            </w:rPr>
          </w:pPr>
          <w:hyperlink w:anchor="_Toc213531916" w:history="1">
            <w:r w:rsidRPr="00FB4BB3">
              <w:rPr>
                <w:rStyle w:val="Hyperlink"/>
                <w:rFonts w:ascii="Calibri" w:hAnsi="Calibri" w:cstheme="minorHAnsi"/>
                <w:noProof/>
                <w:szCs w:val="24"/>
              </w:rPr>
              <w:t>3.1 Schein’s Model of Organisational Culture</w:t>
            </w:r>
            <w:r w:rsidRPr="00FB4BB3">
              <w:rPr>
                <w:rFonts w:ascii="Calibri" w:hAnsi="Calibri" w:cstheme="minorHAnsi"/>
                <w:noProof/>
                <w:webHidden/>
                <w:szCs w:val="24"/>
              </w:rPr>
              <w:tab/>
            </w:r>
            <w:r w:rsidRPr="00FB4BB3">
              <w:rPr>
                <w:rFonts w:ascii="Calibri" w:hAnsi="Calibri" w:cstheme="minorHAnsi"/>
                <w:noProof/>
                <w:webHidden/>
                <w:szCs w:val="24"/>
              </w:rPr>
              <w:fldChar w:fldCharType="begin"/>
            </w:r>
            <w:r w:rsidRPr="00FB4BB3">
              <w:rPr>
                <w:rFonts w:ascii="Calibri" w:hAnsi="Calibri" w:cstheme="minorHAnsi"/>
                <w:noProof/>
                <w:webHidden/>
                <w:szCs w:val="24"/>
              </w:rPr>
              <w:instrText xml:space="preserve"> PAGEREF _Toc213531916 \h </w:instrText>
            </w:r>
            <w:r w:rsidRPr="00FB4BB3">
              <w:rPr>
                <w:rFonts w:ascii="Calibri" w:hAnsi="Calibri" w:cstheme="minorHAnsi"/>
                <w:noProof/>
                <w:webHidden/>
                <w:szCs w:val="24"/>
              </w:rPr>
            </w:r>
            <w:r w:rsidRPr="00FB4BB3">
              <w:rPr>
                <w:rFonts w:ascii="Calibri" w:hAnsi="Calibri" w:cstheme="minorHAnsi"/>
                <w:noProof/>
                <w:webHidden/>
                <w:szCs w:val="24"/>
              </w:rPr>
              <w:fldChar w:fldCharType="separate"/>
            </w:r>
            <w:r w:rsidRPr="00FB4BB3">
              <w:rPr>
                <w:rFonts w:ascii="Calibri" w:hAnsi="Calibri" w:cstheme="minorHAnsi"/>
                <w:noProof/>
                <w:webHidden/>
                <w:szCs w:val="24"/>
              </w:rPr>
              <w:t>5</w:t>
            </w:r>
            <w:r w:rsidRPr="00FB4BB3">
              <w:rPr>
                <w:rFonts w:ascii="Calibri" w:hAnsi="Calibri" w:cstheme="minorHAnsi"/>
                <w:noProof/>
                <w:webHidden/>
                <w:szCs w:val="24"/>
              </w:rPr>
              <w:fldChar w:fldCharType="end"/>
            </w:r>
          </w:hyperlink>
        </w:p>
        <w:p w14:paraId="120D0078" w14:textId="67F17BAA" w:rsidR="00C41F1A" w:rsidRPr="00FB4BB3" w:rsidRDefault="00C41F1A">
          <w:pPr>
            <w:pStyle w:val="TOC2"/>
            <w:tabs>
              <w:tab w:val="right" w:leader="dot" w:pos="9350"/>
            </w:tabs>
            <w:rPr>
              <w:rFonts w:ascii="Calibri" w:hAnsi="Calibri" w:cstheme="minorHAnsi"/>
              <w:noProof/>
              <w:szCs w:val="24"/>
            </w:rPr>
          </w:pPr>
          <w:hyperlink w:anchor="_Toc213531917" w:history="1">
            <w:r w:rsidRPr="00FB4BB3">
              <w:rPr>
                <w:rStyle w:val="Hyperlink"/>
                <w:rFonts w:ascii="Calibri" w:hAnsi="Calibri" w:cstheme="minorHAnsi"/>
                <w:noProof/>
                <w:szCs w:val="24"/>
              </w:rPr>
              <w:t>3.2 Hofstede’s Cultural Dimensions</w:t>
            </w:r>
            <w:r w:rsidRPr="00FB4BB3">
              <w:rPr>
                <w:rFonts w:ascii="Calibri" w:hAnsi="Calibri" w:cstheme="minorHAnsi"/>
                <w:noProof/>
                <w:webHidden/>
                <w:szCs w:val="24"/>
              </w:rPr>
              <w:tab/>
            </w:r>
            <w:r w:rsidRPr="00FB4BB3">
              <w:rPr>
                <w:rFonts w:ascii="Calibri" w:hAnsi="Calibri" w:cstheme="minorHAnsi"/>
                <w:noProof/>
                <w:webHidden/>
                <w:szCs w:val="24"/>
              </w:rPr>
              <w:fldChar w:fldCharType="begin"/>
            </w:r>
            <w:r w:rsidRPr="00FB4BB3">
              <w:rPr>
                <w:rFonts w:ascii="Calibri" w:hAnsi="Calibri" w:cstheme="minorHAnsi"/>
                <w:noProof/>
                <w:webHidden/>
                <w:szCs w:val="24"/>
              </w:rPr>
              <w:instrText xml:space="preserve"> PAGEREF _Toc213531917 \h </w:instrText>
            </w:r>
            <w:r w:rsidRPr="00FB4BB3">
              <w:rPr>
                <w:rFonts w:ascii="Calibri" w:hAnsi="Calibri" w:cstheme="minorHAnsi"/>
                <w:noProof/>
                <w:webHidden/>
                <w:szCs w:val="24"/>
              </w:rPr>
            </w:r>
            <w:r w:rsidRPr="00FB4BB3">
              <w:rPr>
                <w:rFonts w:ascii="Calibri" w:hAnsi="Calibri" w:cstheme="minorHAnsi"/>
                <w:noProof/>
                <w:webHidden/>
                <w:szCs w:val="24"/>
              </w:rPr>
              <w:fldChar w:fldCharType="separate"/>
            </w:r>
            <w:r w:rsidRPr="00FB4BB3">
              <w:rPr>
                <w:rFonts w:ascii="Calibri" w:hAnsi="Calibri" w:cstheme="minorHAnsi"/>
                <w:noProof/>
                <w:webHidden/>
                <w:szCs w:val="24"/>
              </w:rPr>
              <w:t>6</w:t>
            </w:r>
            <w:r w:rsidRPr="00FB4BB3">
              <w:rPr>
                <w:rFonts w:ascii="Calibri" w:hAnsi="Calibri" w:cstheme="minorHAnsi"/>
                <w:noProof/>
                <w:webHidden/>
                <w:szCs w:val="24"/>
              </w:rPr>
              <w:fldChar w:fldCharType="end"/>
            </w:r>
          </w:hyperlink>
        </w:p>
        <w:p w14:paraId="17D7AB40" w14:textId="1FEF5C0F" w:rsidR="00C41F1A" w:rsidRPr="00FB4BB3" w:rsidRDefault="00C41F1A">
          <w:pPr>
            <w:pStyle w:val="TOC2"/>
            <w:tabs>
              <w:tab w:val="right" w:leader="dot" w:pos="9350"/>
            </w:tabs>
            <w:rPr>
              <w:rFonts w:ascii="Calibri" w:hAnsi="Calibri" w:cstheme="minorHAnsi"/>
              <w:noProof/>
              <w:szCs w:val="24"/>
            </w:rPr>
          </w:pPr>
          <w:hyperlink w:anchor="_Toc213531918" w:history="1">
            <w:r w:rsidRPr="00FB4BB3">
              <w:rPr>
                <w:rStyle w:val="Hyperlink"/>
                <w:rFonts w:ascii="Calibri" w:hAnsi="Calibri" w:cstheme="minorHAnsi"/>
                <w:noProof/>
                <w:szCs w:val="24"/>
              </w:rPr>
              <w:t>3.3 Handy’s Cultural Types</w:t>
            </w:r>
            <w:r w:rsidRPr="00FB4BB3">
              <w:rPr>
                <w:rFonts w:ascii="Calibri" w:hAnsi="Calibri" w:cstheme="minorHAnsi"/>
                <w:noProof/>
                <w:webHidden/>
                <w:szCs w:val="24"/>
              </w:rPr>
              <w:tab/>
            </w:r>
            <w:r w:rsidRPr="00FB4BB3">
              <w:rPr>
                <w:rFonts w:ascii="Calibri" w:hAnsi="Calibri" w:cstheme="minorHAnsi"/>
                <w:noProof/>
                <w:webHidden/>
                <w:szCs w:val="24"/>
              </w:rPr>
              <w:fldChar w:fldCharType="begin"/>
            </w:r>
            <w:r w:rsidRPr="00FB4BB3">
              <w:rPr>
                <w:rFonts w:ascii="Calibri" w:hAnsi="Calibri" w:cstheme="minorHAnsi"/>
                <w:noProof/>
                <w:webHidden/>
                <w:szCs w:val="24"/>
              </w:rPr>
              <w:instrText xml:space="preserve"> PAGEREF _Toc213531918 \h </w:instrText>
            </w:r>
            <w:r w:rsidRPr="00FB4BB3">
              <w:rPr>
                <w:rFonts w:ascii="Calibri" w:hAnsi="Calibri" w:cstheme="minorHAnsi"/>
                <w:noProof/>
                <w:webHidden/>
                <w:szCs w:val="24"/>
              </w:rPr>
            </w:r>
            <w:r w:rsidRPr="00FB4BB3">
              <w:rPr>
                <w:rFonts w:ascii="Calibri" w:hAnsi="Calibri" w:cstheme="minorHAnsi"/>
                <w:noProof/>
                <w:webHidden/>
                <w:szCs w:val="24"/>
              </w:rPr>
              <w:fldChar w:fldCharType="separate"/>
            </w:r>
            <w:r w:rsidRPr="00FB4BB3">
              <w:rPr>
                <w:rFonts w:ascii="Calibri" w:hAnsi="Calibri" w:cstheme="minorHAnsi"/>
                <w:noProof/>
                <w:webHidden/>
                <w:szCs w:val="24"/>
              </w:rPr>
              <w:t>6</w:t>
            </w:r>
            <w:r w:rsidRPr="00FB4BB3">
              <w:rPr>
                <w:rFonts w:ascii="Calibri" w:hAnsi="Calibri" w:cstheme="minorHAnsi"/>
                <w:noProof/>
                <w:webHidden/>
                <w:szCs w:val="24"/>
              </w:rPr>
              <w:fldChar w:fldCharType="end"/>
            </w:r>
          </w:hyperlink>
        </w:p>
        <w:p w14:paraId="47D17DCE" w14:textId="16C132E5" w:rsidR="00C41F1A" w:rsidRPr="00FB4BB3" w:rsidRDefault="00C41F1A">
          <w:pPr>
            <w:pStyle w:val="TOC1"/>
            <w:tabs>
              <w:tab w:val="right" w:leader="dot" w:pos="9350"/>
            </w:tabs>
            <w:rPr>
              <w:rFonts w:ascii="Calibri" w:hAnsi="Calibri" w:cstheme="minorHAnsi"/>
              <w:noProof/>
              <w:szCs w:val="24"/>
            </w:rPr>
          </w:pPr>
          <w:hyperlink w:anchor="_Toc213531919" w:history="1">
            <w:r w:rsidRPr="00FB4BB3">
              <w:rPr>
                <w:rStyle w:val="Hyperlink"/>
                <w:rFonts w:ascii="Calibri" w:hAnsi="Calibri" w:cstheme="minorHAnsi"/>
                <w:noProof/>
                <w:szCs w:val="24"/>
              </w:rPr>
              <w:t>4.0 Culture and External Environment Adaptation</w:t>
            </w:r>
            <w:r w:rsidRPr="00FB4BB3">
              <w:rPr>
                <w:rFonts w:ascii="Calibri" w:hAnsi="Calibri" w:cstheme="minorHAnsi"/>
                <w:noProof/>
                <w:webHidden/>
                <w:szCs w:val="24"/>
              </w:rPr>
              <w:tab/>
            </w:r>
            <w:r w:rsidRPr="00FB4BB3">
              <w:rPr>
                <w:rFonts w:ascii="Calibri" w:hAnsi="Calibri" w:cstheme="minorHAnsi"/>
                <w:noProof/>
                <w:webHidden/>
                <w:szCs w:val="24"/>
              </w:rPr>
              <w:fldChar w:fldCharType="begin"/>
            </w:r>
            <w:r w:rsidRPr="00FB4BB3">
              <w:rPr>
                <w:rFonts w:ascii="Calibri" w:hAnsi="Calibri" w:cstheme="minorHAnsi"/>
                <w:noProof/>
                <w:webHidden/>
                <w:szCs w:val="24"/>
              </w:rPr>
              <w:instrText xml:space="preserve"> PAGEREF _Toc213531919 \h </w:instrText>
            </w:r>
            <w:r w:rsidRPr="00FB4BB3">
              <w:rPr>
                <w:rFonts w:ascii="Calibri" w:hAnsi="Calibri" w:cstheme="minorHAnsi"/>
                <w:noProof/>
                <w:webHidden/>
                <w:szCs w:val="24"/>
              </w:rPr>
            </w:r>
            <w:r w:rsidRPr="00FB4BB3">
              <w:rPr>
                <w:rFonts w:ascii="Calibri" w:hAnsi="Calibri" w:cstheme="minorHAnsi"/>
                <w:noProof/>
                <w:webHidden/>
                <w:szCs w:val="24"/>
              </w:rPr>
              <w:fldChar w:fldCharType="separate"/>
            </w:r>
            <w:r w:rsidRPr="00FB4BB3">
              <w:rPr>
                <w:rFonts w:ascii="Calibri" w:hAnsi="Calibri" w:cstheme="minorHAnsi"/>
                <w:noProof/>
                <w:webHidden/>
                <w:szCs w:val="24"/>
              </w:rPr>
              <w:t>7</w:t>
            </w:r>
            <w:r w:rsidRPr="00FB4BB3">
              <w:rPr>
                <w:rFonts w:ascii="Calibri" w:hAnsi="Calibri" w:cstheme="minorHAnsi"/>
                <w:noProof/>
                <w:webHidden/>
                <w:szCs w:val="24"/>
              </w:rPr>
              <w:fldChar w:fldCharType="end"/>
            </w:r>
          </w:hyperlink>
        </w:p>
        <w:p w14:paraId="4AD43395" w14:textId="195BF8BB" w:rsidR="00C41F1A" w:rsidRPr="00FB4BB3" w:rsidRDefault="00C41F1A">
          <w:pPr>
            <w:pStyle w:val="TOC1"/>
            <w:tabs>
              <w:tab w:val="right" w:leader="dot" w:pos="9350"/>
            </w:tabs>
            <w:rPr>
              <w:rFonts w:ascii="Calibri" w:hAnsi="Calibri" w:cstheme="minorHAnsi"/>
              <w:noProof/>
              <w:szCs w:val="24"/>
            </w:rPr>
          </w:pPr>
          <w:hyperlink w:anchor="_Toc213531920" w:history="1">
            <w:r w:rsidRPr="00FB4BB3">
              <w:rPr>
                <w:rStyle w:val="Hyperlink"/>
                <w:rFonts w:ascii="Calibri" w:hAnsi="Calibri" w:cstheme="minorHAnsi"/>
                <w:noProof/>
                <w:szCs w:val="24"/>
              </w:rPr>
              <w:t>5.0 Culture as a Barrier or Enabler in John Lewis</w:t>
            </w:r>
            <w:r w:rsidRPr="00FB4BB3">
              <w:rPr>
                <w:rFonts w:ascii="Calibri" w:hAnsi="Calibri" w:cstheme="minorHAnsi"/>
                <w:noProof/>
                <w:webHidden/>
                <w:szCs w:val="24"/>
              </w:rPr>
              <w:tab/>
            </w:r>
            <w:r w:rsidRPr="00FB4BB3">
              <w:rPr>
                <w:rFonts w:ascii="Calibri" w:hAnsi="Calibri" w:cstheme="minorHAnsi"/>
                <w:noProof/>
                <w:webHidden/>
                <w:szCs w:val="24"/>
              </w:rPr>
              <w:fldChar w:fldCharType="begin"/>
            </w:r>
            <w:r w:rsidRPr="00FB4BB3">
              <w:rPr>
                <w:rFonts w:ascii="Calibri" w:hAnsi="Calibri" w:cstheme="minorHAnsi"/>
                <w:noProof/>
                <w:webHidden/>
                <w:szCs w:val="24"/>
              </w:rPr>
              <w:instrText xml:space="preserve"> PAGEREF _Toc213531920 \h </w:instrText>
            </w:r>
            <w:r w:rsidRPr="00FB4BB3">
              <w:rPr>
                <w:rFonts w:ascii="Calibri" w:hAnsi="Calibri" w:cstheme="minorHAnsi"/>
                <w:noProof/>
                <w:webHidden/>
                <w:szCs w:val="24"/>
              </w:rPr>
            </w:r>
            <w:r w:rsidRPr="00FB4BB3">
              <w:rPr>
                <w:rFonts w:ascii="Calibri" w:hAnsi="Calibri" w:cstheme="minorHAnsi"/>
                <w:noProof/>
                <w:webHidden/>
                <w:szCs w:val="24"/>
              </w:rPr>
              <w:fldChar w:fldCharType="separate"/>
            </w:r>
            <w:r w:rsidRPr="00FB4BB3">
              <w:rPr>
                <w:rFonts w:ascii="Calibri" w:hAnsi="Calibri" w:cstheme="minorHAnsi"/>
                <w:noProof/>
                <w:webHidden/>
                <w:szCs w:val="24"/>
              </w:rPr>
              <w:t>8</w:t>
            </w:r>
            <w:r w:rsidRPr="00FB4BB3">
              <w:rPr>
                <w:rFonts w:ascii="Calibri" w:hAnsi="Calibri" w:cstheme="minorHAnsi"/>
                <w:noProof/>
                <w:webHidden/>
                <w:szCs w:val="24"/>
              </w:rPr>
              <w:fldChar w:fldCharType="end"/>
            </w:r>
          </w:hyperlink>
        </w:p>
        <w:p w14:paraId="49CBBC9C" w14:textId="6DD8BDB3" w:rsidR="00C41F1A" w:rsidRPr="00FB4BB3" w:rsidRDefault="00C41F1A">
          <w:pPr>
            <w:pStyle w:val="TOC1"/>
            <w:tabs>
              <w:tab w:val="right" w:leader="dot" w:pos="9350"/>
            </w:tabs>
            <w:rPr>
              <w:rFonts w:ascii="Calibri" w:hAnsi="Calibri" w:cstheme="minorHAnsi"/>
              <w:noProof/>
              <w:szCs w:val="24"/>
            </w:rPr>
          </w:pPr>
          <w:hyperlink w:anchor="_Toc213531921" w:history="1">
            <w:r w:rsidRPr="00FB4BB3">
              <w:rPr>
                <w:rStyle w:val="Hyperlink"/>
                <w:rFonts w:ascii="Calibri" w:hAnsi="Calibri" w:cstheme="minorHAnsi"/>
                <w:noProof/>
                <w:szCs w:val="24"/>
              </w:rPr>
              <w:t>6.0 Impact of Culture on Organisational Performance and Recommendations</w:t>
            </w:r>
            <w:r w:rsidRPr="00FB4BB3">
              <w:rPr>
                <w:rFonts w:ascii="Calibri" w:hAnsi="Calibri" w:cstheme="minorHAnsi"/>
                <w:noProof/>
                <w:webHidden/>
                <w:szCs w:val="24"/>
              </w:rPr>
              <w:tab/>
            </w:r>
            <w:r w:rsidRPr="00FB4BB3">
              <w:rPr>
                <w:rFonts w:ascii="Calibri" w:hAnsi="Calibri" w:cstheme="minorHAnsi"/>
                <w:noProof/>
                <w:webHidden/>
                <w:szCs w:val="24"/>
              </w:rPr>
              <w:fldChar w:fldCharType="begin"/>
            </w:r>
            <w:r w:rsidRPr="00FB4BB3">
              <w:rPr>
                <w:rFonts w:ascii="Calibri" w:hAnsi="Calibri" w:cstheme="minorHAnsi"/>
                <w:noProof/>
                <w:webHidden/>
                <w:szCs w:val="24"/>
              </w:rPr>
              <w:instrText xml:space="preserve"> PAGEREF _Toc213531921 \h </w:instrText>
            </w:r>
            <w:r w:rsidRPr="00FB4BB3">
              <w:rPr>
                <w:rFonts w:ascii="Calibri" w:hAnsi="Calibri" w:cstheme="minorHAnsi"/>
                <w:noProof/>
                <w:webHidden/>
                <w:szCs w:val="24"/>
              </w:rPr>
            </w:r>
            <w:r w:rsidRPr="00FB4BB3">
              <w:rPr>
                <w:rFonts w:ascii="Calibri" w:hAnsi="Calibri" w:cstheme="minorHAnsi"/>
                <w:noProof/>
                <w:webHidden/>
                <w:szCs w:val="24"/>
              </w:rPr>
              <w:fldChar w:fldCharType="separate"/>
            </w:r>
            <w:r w:rsidRPr="00FB4BB3">
              <w:rPr>
                <w:rFonts w:ascii="Calibri" w:hAnsi="Calibri" w:cstheme="minorHAnsi"/>
                <w:noProof/>
                <w:webHidden/>
                <w:szCs w:val="24"/>
              </w:rPr>
              <w:t>9</w:t>
            </w:r>
            <w:r w:rsidRPr="00FB4BB3">
              <w:rPr>
                <w:rFonts w:ascii="Calibri" w:hAnsi="Calibri" w:cstheme="minorHAnsi"/>
                <w:noProof/>
                <w:webHidden/>
                <w:szCs w:val="24"/>
              </w:rPr>
              <w:fldChar w:fldCharType="end"/>
            </w:r>
          </w:hyperlink>
        </w:p>
        <w:p w14:paraId="280F9293" w14:textId="419F60D1" w:rsidR="00C41F1A" w:rsidRPr="00FB4BB3" w:rsidRDefault="00C41F1A">
          <w:pPr>
            <w:pStyle w:val="TOC1"/>
            <w:tabs>
              <w:tab w:val="right" w:leader="dot" w:pos="9350"/>
            </w:tabs>
            <w:rPr>
              <w:rFonts w:ascii="Calibri" w:hAnsi="Calibri" w:cstheme="minorHAnsi"/>
              <w:noProof/>
              <w:szCs w:val="24"/>
            </w:rPr>
          </w:pPr>
          <w:hyperlink w:anchor="_Toc213531922" w:history="1">
            <w:r w:rsidRPr="00FB4BB3">
              <w:rPr>
                <w:rStyle w:val="Hyperlink"/>
                <w:rFonts w:ascii="Calibri" w:hAnsi="Calibri" w:cstheme="minorHAnsi"/>
                <w:noProof/>
                <w:szCs w:val="24"/>
              </w:rPr>
              <w:t>7.0 Conclusion</w:t>
            </w:r>
            <w:r w:rsidRPr="00FB4BB3">
              <w:rPr>
                <w:rFonts w:ascii="Calibri" w:hAnsi="Calibri" w:cstheme="minorHAnsi"/>
                <w:noProof/>
                <w:webHidden/>
                <w:szCs w:val="24"/>
              </w:rPr>
              <w:tab/>
            </w:r>
            <w:r w:rsidRPr="00FB4BB3">
              <w:rPr>
                <w:rFonts w:ascii="Calibri" w:hAnsi="Calibri" w:cstheme="minorHAnsi"/>
                <w:noProof/>
                <w:webHidden/>
                <w:szCs w:val="24"/>
              </w:rPr>
              <w:fldChar w:fldCharType="begin"/>
            </w:r>
            <w:r w:rsidRPr="00FB4BB3">
              <w:rPr>
                <w:rFonts w:ascii="Calibri" w:hAnsi="Calibri" w:cstheme="minorHAnsi"/>
                <w:noProof/>
                <w:webHidden/>
                <w:szCs w:val="24"/>
              </w:rPr>
              <w:instrText xml:space="preserve"> PAGEREF _Toc213531922 \h </w:instrText>
            </w:r>
            <w:r w:rsidRPr="00FB4BB3">
              <w:rPr>
                <w:rFonts w:ascii="Calibri" w:hAnsi="Calibri" w:cstheme="minorHAnsi"/>
                <w:noProof/>
                <w:webHidden/>
                <w:szCs w:val="24"/>
              </w:rPr>
            </w:r>
            <w:r w:rsidRPr="00FB4BB3">
              <w:rPr>
                <w:rFonts w:ascii="Calibri" w:hAnsi="Calibri" w:cstheme="minorHAnsi"/>
                <w:noProof/>
                <w:webHidden/>
                <w:szCs w:val="24"/>
              </w:rPr>
              <w:fldChar w:fldCharType="separate"/>
            </w:r>
            <w:r w:rsidRPr="00FB4BB3">
              <w:rPr>
                <w:rFonts w:ascii="Calibri" w:hAnsi="Calibri" w:cstheme="minorHAnsi"/>
                <w:noProof/>
                <w:webHidden/>
                <w:szCs w:val="24"/>
              </w:rPr>
              <w:t>10</w:t>
            </w:r>
            <w:r w:rsidRPr="00FB4BB3">
              <w:rPr>
                <w:rFonts w:ascii="Calibri" w:hAnsi="Calibri" w:cstheme="minorHAnsi"/>
                <w:noProof/>
                <w:webHidden/>
                <w:szCs w:val="24"/>
              </w:rPr>
              <w:fldChar w:fldCharType="end"/>
            </w:r>
          </w:hyperlink>
        </w:p>
        <w:p w14:paraId="7876EC70" w14:textId="7C6D9C57" w:rsidR="00C41F1A" w:rsidRPr="00FB4BB3" w:rsidRDefault="00C41F1A">
          <w:pPr>
            <w:pStyle w:val="TOC1"/>
            <w:tabs>
              <w:tab w:val="right" w:leader="dot" w:pos="9350"/>
            </w:tabs>
            <w:rPr>
              <w:rFonts w:ascii="Calibri" w:hAnsi="Calibri" w:cstheme="minorHAnsi"/>
              <w:noProof/>
              <w:szCs w:val="24"/>
            </w:rPr>
          </w:pPr>
          <w:hyperlink w:anchor="_Toc213531923" w:history="1">
            <w:r w:rsidRPr="00FB4BB3">
              <w:rPr>
                <w:rStyle w:val="Hyperlink"/>
                <w:rFonts w:ascii="Calibri" w:hAnsi="Calibri" w:cstheme="minorHAnsi"/>
                <w:noProof/>
                <w:szCs w:val="24"/>
              </w:rPr>
              <w:t>8.0 References</w:t>
            </w:r>
            <w:r w:rsidRPr="00FB4BB3">
              <w:rPr>
                <w:rFonts w:ascii="Calibri" w:hAnsi="Calibri" w:cstheme="minorHAnsi"/>
                <w:noProof/>
                <w:webHidden/>
                <w:szCs w:val="24"/>
              </w:rPr>
              <w:tab/>
            </w:r>
            <w:r w:rsidRPr="00FB4BB3">
              <w:rPr>
                <w:rFonts w:ascii="Calibri" w:hAnsi="Calibri" w:cstheme="minorHAnsi"/>
                <w:noProof/>
                <w:webHidden/>
                <w:szCs w:val="24"/>
              </w:rPr>
              <w:fldChar w:fldCharType="begin"/>
            </w:r>
            <w:r w:rsidRPr="00FB4BB3">
              <w:rPr>
                <w:rFonts w:ascii="Calibri" w:hAnsi="Calibri" w:cstheme="minorHAnsi"/>
                <w:noProof/>
                <w:webHidden/>
                <w:szCs w:val="24"/>
              </w:rPr>
              <w:instrText xml:space="preserve"> PAGEREF _Toc213531923 \h </w:instrText>
            </w:r>
            <w:r w:rsidRPr="00FB4BB3">
              <w:rPr>
                <w:rFonts w:ascii="Calibri" w:hAnsi="Calibri" w:cstheme="minorHAnsi"/>
                <w:noProof/>
                <w:webHidden/>
                <w:szCs w:val="24"/>
              </w:rPr>
            </w:r>
            <w:r w:rsidRPr="00FB4BB3">
              <w:rPr>
                <w:rFonts w:ascii="Calibri" w:hAnsi="Calibri" w:cstheme="minorHAnsi"/>
                <w:noProof/>
                <w:webHidden/>
                <w:szCs w:val="24"/>
              </w:rPr>
              <w:fldChar w:fldCharType="separate"/>
            </w:r>
            <w:r w:rsidRPr="00FB4BB3">
              <w:rPr>
                <w:rFonts w:ascii="Calibri" w:hAnsi="Calibri" w:cstheme="minorHAnsi"/>
                <w:noProof/>
                <w:webHidden/>
                <w:szCs w:val="24"/>
              </w:rPr>
              <w:t>11</w:t>
            </w:r>
            <w:r w:rsidRPr="00FB4BB3">
              <w:rPr>
                <w:rFonts w:ascii="Calibri" w:hAnsi="Calibri" w:cstheme="minorHAnsi"/>
                <w:noProof/>
                <w:webHidden/>
                <w:szCs w:val="24"/>
              </w:rPr>
              <w:fldChar w:fldCharType="end"/>
            </w:r>
          </w:hyperlink>
        </w:p>
        <w:p w14:paraId="1DA94223" w14:textId="1413A70D" w:rsidR="00C41F1A" w:rsidRPr="00FB4BB3" w:rsidRDefault="00C41F1A">
          <w:pPr>
            <w:rPr>
              <w:rFonts w:ascii="Calibri" w:hAnsi="Calibri" w:cstheme="minorHAnsi"/>
              <w:szCs w:val="24"/>
            </w:rPr>
          </w:pPr>
          <w:r w:rsidRPr="00FB4BB3">
            <w:rPr>
              <w:rFonts w:ascii="Calibri" w:hAnsi="Calibri" w:cstheme="minorHAnsi"/>
              <w:b/>
              <w:bCs/>
              <w:noProof/>
              <w:szCs w:val="24"/>
            </w:rPr>
            <w:fldChar w:fldCharType="end"/>
          </w:r>
        </w:p>
      </w:sdtContent>
    </w:sdt>
    <w:p w14:paraId="0D6DC296" w14:textId="77777777" w:rsidR="006A4C8B" w:rsidRPr="00FB4BB3" w:rsidRDefault="006A4C8B" w:rsidP="00F65314">
      <w:pPr>
        <w:rPr>
          <w:rFonts w:ascii="Calibri" w:hAnsi="Calibri" w:cstheme="minorHAnsi"/>
          <w:b/>
          <w:bCs/>
          <w:szCs w:val="24"/>
        </w:rPr>
      </w:pPr>
    </w:p>
    <w:p w14:paraId="7CE398E1" w14:textId="77777777" w:rsidR="006A4C8B" w:rsidRPr="00FB4BB3" w:rsidRDefault="006A4C8B">
      <w:pPr>
        <w:spacing w:line="259" w:lineRule="auto"/>
        <w:jc w:val="left"/>
        <w:rPr>
          <w:rFonts w:ascii="Calibri" w:hAnsi="Calibri" w:cstheme="minorHAnsi"/>
          <w:b/>
          <w:bCs/>
          <w:szCs w:val="24"/>
        </w:rPr>
      </w:pPr>
      <w:r w:rsidRPr="00FB4BB3">
        <w:rPr>
          <w:rFonts w:ascii="Calibri" w:hAnsi="Calibri" w:cstheme="minorHAnsi"/>
          <w:b/>
          <w:bCs/>
          <w:szCs w:val="24"/>
        </w:rPr>
        <w:br w:type="page"/>
      </w:r>
    </w:p>
    <w:p w14:paraId="72AA276A" w14:textId="731ABB9D" w:rsidR="001216F4" w:rsidRPr="00FB4BB3" w:rsidRDefault="00FB0B09" w:rsidP="006A4C8B">
      <w:pPr>
        <w:pStyle w:val="Heading1"/>
        <w:rPr>
          <w:rFonts w:ascii="Calibri" w:hAnsi="Calibri" w:cstheme="minorHAnsi"/>
          <w:szCs w:val="24"/>
        </w:rPr>
      </w:pPr>
      <w:bookmarkStart w:id="0" w:name="_Toc213531913"/>
      <w:r w:rsidRPr="00FB4BB3">
        <w:rPr>
          <w:rFonts w:ascii="Calibri" w:hAnsi="Calibri" w:cstheme="minorHAnsi"/>
          <w:szCs w:val="24"/>
        </w:rPr>
        <w:t xml:space="preserve">1.0 </w:t>
      </w:r>
      <w:r w:rsidR="006A4C8B" w:rsidRPr="00FB4BB3">
        <w:rPr>
          <w:rFonts w:ascii="Calibri" w:hAnsi="Calibri" w:cstheme="minorHAnsi"/>
          <w:szCs w:val="24"/>
        </w:rPr>
        <w:t>Introduction</w:t>
      </w:r>
      <w:bookmarkEnd w:id="0"/>
      <w:r w:rsidR="006A4C8B" w:rsidRPr="00FB4BB3">
        <w:rPr>
          <w:rFonts w:ascii="Calibri" w:hAnsi="Calibri" w:cstheme="minorHAnsi"/>
          <w:szCs w:val="24"/>
        </w:rPr>
        <w:t xml:space="preserve"> </w:t>
      </w:r>
    </w:p>
    <w:p w14:paraId="5BBCE457" w14:textId="5C97D766" w:rsidR="00F16D4C" w:rsidRPr="00FB4BB3" w:rsidRDefault="00FB0B09" w:rsidP="00F16D4C">
      <w:pPr>
        <w:rPr>
          <w:rFonts w:ascii="Calibri" w:hAnsi="Calibri" w:cstheme="minorHAnsi"/>
          <w:szCs w:val="24"/>
        </w:rPr>
      </w:pPr>
      <w:r w:rsidRPr="00FB4BB3">
        <w:rPr>
          <w:rFonts w:ascii="Calibri" w:hAnsi="Calibri" w:cstheme="minorHAnsi"/>
          <w:szCs w:val="24"/>
        </w:rPr>
        <w:t xml:space="preserve">The culture of an organisation can be defined as social and managerial premises of an organisation, which includes its core values, norms and beliefs and behaviours that an organisation anticipates from its employees. Interactions made and the manner in which they understand roles portray an organisation’s culture. According to Mullins and Christy (2016), culture is central to an organisation’s work design, communication, motivation and behaviours, decision making, satisfaction, and the entire managerial control. Globally, in the current age of business, the ability to understand, shape, and manage the culture of an organisation is crucial in the business world. This is particularly because of increased globalisation, technological change, and diversity of workforces. An organisation’s coherence, employee alignment, and strategic effectiveness in the contemporary age of diverse employees in different departments also hinges on their understanding of the culture of the organisation. This report focuses on the organisational culture of one of the UK's famous retailers, John Lewis Partnership, which is characterised by unique employee ownership governance structure fostering shared responsibility among employees, democratic decision making and collective </w:t>
      </w:r>
      <w:r w:rsidR="00C41F1A" w:rsidRPr="00FB4BB3">
        <w:rPr>
          <w:rFonts w:ascii="Calibri" w:hAnsi="Calibri" w:cstheme="minorHAnsi"/>
          <w:szCs w:val="24"/>
        </w:rPr>
        <w:t>unity. The</w:t>
      </w:r>
      <w:r w:rsidRPr="00FB4BB3">
        <w:rPr>
          <w:rFonts w:ascii="Calibri" w:hAnsi="Calibri" w:cstheme="minorHAnsi"/>
          <w:szCs w:val="24"/>
        </w:rPr>
        <w:t xml:space="preserve"> report examines how the culture of John Lewis impacts the organization’s structure, and strategic decision-making, describes the organization's cultural attributes applying relevant theory, and assesses the influence of the prevailing culture on the organization’s ability to cope with external environmental factors, such as market competition, consumer demand, and evolution in retailing. Furthermore, the report </w:t>
      </w:r>
      <w:r w:rsidR="00FB4BB3" w:rsidRPr="00FB4BB3">
        <w:rPr>
          <w:rFonts w:ascii="Calibri" w:hAnsi="Calibri" w:cstheme="minorHAnsi"/>
          <w:szCs w:val="24"/>
        </w:rPr>
        <w:t>analyses</w:t>
      </w:r>
      <w:r w:rsidRPr="00FB4BB3">
        <w:rPr>
          <w:rFonts w:ascii="Calibri" w:hAnsi="Calibri" w:cstheme="minorHAnsi"/>
          <w:szCs w:val="24"/>
        </w:rPr>
        <w:t xml:space="preserve"> whether John Lewis’s culture acts as a constraint or a facilitator to the organization’s effectiveness, flexibility, and sustained viability in the digital age, with special emphasis on the prevailing conditions in retailing and the transformed consumer </w:t>
      </w:r>
      <w:r w:rsidR="00FB4BB3" w:rsidRPr="00FB4BB3">
        <w:rPr>
          <w:rFonts w:ascii="Calibri" w:hAnsi="Calibri" w:cstheme="minorHAnsi"/>
          <w:szCs w:val="24"/>
        </w:rPr>
        <w:t>behaviour</w:t>
      </w:r>
      <w:r w:rsidRPr="00FB4BB3">
        <w:rPr>
          <w:rFonts w:ascii="Calibri" w:hAnsi="Calibri" w:cstheme="minorHAnsi"/>
          <w:szCs w:val="24"/>
        </w:rPr>
        <w:t xml:space="preserve">. The report’s final section </w:t>
      </w:r>
      <w:r w:rsidR="00FB4BB3" w:rsidRPr="00FB4BB3">
        <w:rPr>
          <w:rFonts w:ascii="Calibri" w:hAnsi="Calibri" w:cstheme="minorHAnsi"/>
          <w:szCs w:val="24"/>
        </w:rPr>
        <w:t>analyses</w:t>
      </w:r>
      <w:r w:rsidRPr="00FB4BB3">
        <w:rPr>
          <w:rFonts w:ascii="Calibri" w:hAnsi="Calibri" w:cstheme="minorHAnsi"/>
          <w:szCs w:val="24"/>
        </w:rPr>
        <w:t xml:space="preserve"> how deeply the culture of John Lewis penetrates the organization and offers productive, innovative, and competitive solutions that aim to enhance the performance culture of the organization</w:t>
      </w:r>
      <w:r w:rsidR="00FB4BB3">
        <w:rPr>
          <w:rFonts w:ascii="Calibri" w:hAnsi="Calibri" w:cstheme="minorHAnsi"/>
          <w:szCs w:val="24"/>
        </w:rPr>
        <w:t>.</w:t>
      </w:r>
    </w:p>
    <w:p w14:paraId="5C8CCE29" w14:textId="0F0EBD23" w:rsidR="006A4C8B" w:rsidRPr="00FB4BB3" w:rsidRDefault="00FB0B09" w:rsidP="00FB0B09">
      <w:pPr>
        <w:pStyle w:val="Heading1"/>
        <w:rPr>
          <w:rFonts w:ascii="Calibri" w:hAnsi="Calibri" w:cstheme="minorHAnsi"/>
          <w:szCs w:val="24"/>
        </w:rPr>
      </w:pPr>
      <w:bookmarkStart w:id="1" w:name="_Toc213531914"/>
      <w:r w:rsidRPr="00FB4BB3">
        <w:rPr>
          <w:rFonts w:ascii="Calibri" w:hAnsi="Calibri" w:cstheme="minorHAnsi"/>
          <w:szCs w:val="24"/>
        </w:rPr>
        <w:t xml:space="preserve">2.0 </w:t>
      </w:r>
      <w:r w:rsidR="00F16D4C" w:rsidRPr="00FB4BB3">
        <w:rPr>
          <w:rFonts w:ascii="Calibri" w:hAnsi="Calibri" w:cstheme="minorHAnsi"/>
          <w:szCs w:val="24"/>
        </w:rPr>
        <w:t>Organisational Culture, Structure, and Decision-Making in John Lewis</w:t>
      </w:r>
      <w:bookmarkEnd w:id="1"/>
    </w:p>
    <w:p w14:paraId="78AE0EBC" w14:textId="77777777" w:rsidR="00FB0B09" w:rsidRPr="00FB4BB3" w:rsidRDefault="00FB0B09" w:rsidP="00FB0B09">
      <w:pPr>
        <w:rPr>
          <w:rFonts w:ascii="Calibri" w:hAnsi="Calibri" w:cstheme="minorHAnsi"/>
          <w:szCs w:val="24"/>
        </w:rPr>
      </w:pPr>
      <w:r w:rsidRPr="00FB4BB3">
        <w:rPr>
          <w:rFonts w:ascii="Calibri" w:hAnsi="Calibri" w:cstheme="minorHAnsi"/>
          <w:szCs w:val="24"/>
        </w:rPr>
        <w:t xml:space="preserve">The culture of John Lewis is deeply impacted by the company's cooperative model of ownership, with every employee, or “partner,” as a stakeholder of the company's success and direction. This model forms a distinctive culture, promoting a cohesive workplace of teamwork, egalitarianism, and shared responsibility. </w:t>
      </w:r>
    </w:p>
    <w:p w14:paraId="2A2D13E8" w14:textId="68A5676A" w:rsidR="00FB0B09" w:rsidRPr="00FB4BB3" w:rsidRDefault="00FB0B09" w:rsidP="00FB0B09">
      <w:pPr>
        <w:rPr>
          <w:rFonts w:ascii="Calibri" w:hAnsi="Calibri" w:cstheme="minorHAnsi"/>
          <w:szCs w:val="24"/>
        </w:rPr>
      </w:pPr>
      <w:r w:rsidRPr="00FB4BB3">
        <w:rPr>
          <w:rFonts w:ascii="Calibri" w:hAnsi="Calibri" w:cstheme="minorHAnsi"/>
          <w:szCs w:val="24"/>
        </w:rPr>
        <w:t>Rather than conducting business exclusively through top-down hierarchies, the company employs participatory governance frameworks like the Partnership Council and the many Partner Voice platforms that allow associates to contribute to strategy and send up concerns and ideas to the executives directly. These practices, along with the Practices Sense-Of-Ownership, contribute to an increased the feeling of shared responsibility which strengthens trust and openness the organisation as a whole. Managers and executives thus are to practice consultative leadership, which involves that before major shifts, a significant amount of dialogue and input is required, as opposed to top-down orders, which have to be avoided</w:t>
      </w:r>
      <w:r w:rsidR="00024935" w:rsidRPr="00FB4BB3">
        <w:rPr>
          <w:rFonts w:ascii="Calibri" w:hAnsi="Calibri" w:cstheme="minorHAnsi"/>
          <w:szCs w:val="24"/>
        </w:rPr>
        <w:t xml:space="preserve"> (</w:t>
      </w:r>
      <w:proofErr w:type="spellStart"/>
      <w:r w:rsidR="00024935" w:rsidRPr="00FB4BB3">
        <w:rPr>
          <w:rFonts w:ascii="Calibri" w:hAnsi="Calibri" w:cstheme="minorHAnsi"/>
          <w:szCs w:val="24"/>
        </w:rPr>
        <w:t>Kouzelis</w:t>
      </w:r>
      <w:proofErr w:type="spellEnd"/>
      <w:r w:rsidR="00024935" w:rsidRPr="00FB4BB3">
        <w:rPr>
          <w:rFonts w:ascii="Calibri" w:hAnsi="Calibri" w:cstheme="minorHAnsi"/>
          <w:szCs w:val="24"/>
        </w:rPr>
        <w:t>, 2020)</w:t>
      </w:r>
      <w:r w:rsidRPr="00FB4BB3">
        <w:rPr>
          <w:rFonts w:ascii="Calibri" w:hAnsi="Calibri" w:cstheme="minorHAnsi"/>
          <w:szCs w:val="24"/>
        </w:rPr>
        <w:t>. This greatly determines the company culture as well as the structure of John Lewis. In John Lewis, authority is more evenly distributed and leadership is shared with the assumed ethical obligations to the workforce which are the obligations them to.</w:t>
      </w:r>
    </w:p>
    <w:p w14:paraId="286654F8" w14:textId="77777777" w:rsidR="00FB0B09" w:rsidRPr="00FB4BB3" w:rsidRDefault="00FB0B09" w:rsidP="00FB0B09">
      <w:pPr>
        <w:rPr>
          <w:rFonts w:ascii="Calibri" w:hAnsi="Calibri" w:cstheme="minorHAnsi"/>
          <w:szCs w:val="24"/>
        </w:rPr>
      </w:pPr>
      <w:r w:rsidRPr="00FB4BB3">
        <w:rPr>
          <w:rFonts w:ascii="Calibri" w:hAnsi="Calibri" w:cstheme="minorHAnsi"/>
          <w:szCs w:val="24"/>
        </w:rPr>
        <w:t xml:space="preserve">The emphasis put on shared ownership and partnership is the reason why, historically, the company has enjoyed high motivation, job satisfaction and employee commitment which has increased the company also well-known for its outstanding customer service and the strong brand loyalty. Employees are more likely to provide attentive service and feel pride in the professionalism of the work they do when they feel appreciated, kept in the loop and are willing to work to the results of their efforts. </w:t>
      </w:r>
    </w:p>
    <w:p w14:paraId="68825205" w14:textId="3703AFCF" w:rsidR="00FB0B09" w:rsidRPr="00FB4BB3" w:rsidRDefault="00FB0B09" w:rsidP="00FB0B09">
      <w:pPr>
        <w:rPr>
          <w:rFonts w:ascii="Calibri" w:hAnsi="Calibri" w:cstheme="minorHAnsi"/>
          <w:szCs w:val="24"/>
        </w:rPr>
      </w:pPr>
      <w:r w:rsidRPr="00FB4BB3">
        <w:rPr>
          <w:rFonts w:ascii="Calibri" w:hAnsi="Calibri" w:cstheme="minorHAnsi"/>
          <w:szCs w:val="24"/>
        </w:rPr>
        <w:t xml:space="preserve">Because of their culture, John Lewis has remained stable, performing well over time, and has become synonymous with retail honesty, dependability, and concern for customers. But the same decision processes that promote inclusiveness can create difficulties in retail environments that change rapidly. Agreement and collaboration can delay the speed of strategic actions, which is problematic if competitors are leveraging advanced analytics and nimble management to quickly respond to changes in technology and shifts in consumer </w:t>
      </w:r>
      <w:proofErr w:type="spellStart"/>
      <w:r w:rsidRPr="00FB4BB3">
        <w:rPr>
          <w:rFonts w:ascii="Calibri" w:hAnsi="Calibri" w:cstheme="minorHAnsi"/>
          <w:szCs w:val="24"/>
        </w:rPr>
        <w:t>behavior</w:t>
      </w:r>
      <w:proofErr w:type="spellEnd"/>
      <w:r w:rsidRPr="00FB4BB3">
        <w:rPr>
          <w:rFonts w:ascii="Calibri" w:hAnsi="Calibri" w:cstheme="minorHAnsi"/>
          <w:szCs w:val="24"/>
        </w:rPr>
        <w:t>. Digital transformation, along with the growth of online competitors and changes in the market, demand work to be done far beyond the speed that collaborative frameworks can impose</w:t>
      </w:r>
      <w:r w:rsidR="00024935" w:rsidRPr="00FB4BB3">
        <w:rPr>
          <w:rFonts w:ascii="Calibri" w:hAnsi="Calibri" w:cstheme="minorHAnsi"/>
          <w:szCs w:val="24"/>
        </w:rPr>
        <w:t xml:space="preserve"> (Nolan, 2018)</w:t>
      </w:r>
      <w:r w:rsidRPr="00FB4BB3">
        <w:rPr>
          <w:rFonts w:ascii="Calibri" w:hAnsi="Calibri" w:cstheme="minorHAnsi"/>
          <w:szCs w:val="24"/>
        </w:rPr>
        <w:t xml:space="preserve">. This creates a need for an organisation to reconcile democratic decision making with efficiency of operations.  </w:t>
      </w:r>
    </w:p>
    <w:p w14:paraId="22807D9E" w14:textId="77777777" w:rsidR="00FB0B09" w:rsidRPr="00FB4BB3" w:rsidRDefault="00FB0B09" w:rsidP="00FB0B09">
      <w:pPr>
        <w:rPr>
          <w:rFonts w:ascii="Calibri" w:hAnsi="Calibri" w:cstheme="minorHAnsi"/>
          <w:szCs w:val="24"/>
        </w:rPr>
      </w:pPr>
      <w:r w:rsidRPr="00FB4BB3">
        <w:rPr>
          <w:rFonts w:ascii="Calibri" w:hAnsi="Calibri" w:cstheme="minorHAnsi"/>
          <w:szCs w:val="24"/>
        </w:rPr>
        <w:t>In organisational culture there are values which can enable a business to remain competitive. These values help John Lewis retain its market position as the business is less willing to sacrifice its values for the short term. This is achieved through the company's vision, which focuses on the sustainability and ethical practices of the company rather than the retail market short term profits. The partnership structure creates attitudes where people don't just think about the profits but about the organisation, making it possible for the company to remain strong as the economy shifts.</w:t>
      </w:r>
    </w:p>
    <w:p w14:paraId="04103E2C" w14:textId="365FDA96" w:rsidR="00FB0B09" w:rsidRPr="00FB4BB3" w:rsidRDefault="00FB0B09" w:rsidP="00FB0B09">
      <w:pPr>
        <w:rPr>
          <w:rFonts w:ascii="Calibri" w:hAnsi="Calibri" w:cstheme="minorHAnsi"/>
          <w:szCs w:val="24"/>
        </w:rPr>
      </w:pPr>
      <w:r w:rsidRPr="00FB4BB3">
        <w:rPr>
          <w:rFonts w:ascii="Calibri" w:hAnsi="Calibri" w:cstheme="minorHAnsi"/>
          <w:szCs w:val="24"/>
        </w:rPr>
        <w:t xml:space="preserve">Moreover, the culture incentivizes creativity that has shared value, where new ideas and improvements to the operations of the business are not only related to its growth, but also to the wellbeing of employees and the satisfaction of customers. While changes to governance are probably required to enhance responsiveness and agility of decision making, the enduring elements of trust and mutual collaboration and shared ownership continue to anchor the organisation. Therefore, the John Lewis business culture is not only a set of internal philosophies but an organism that actively influences structural choices, dominant leadership approaches, strategy focus, and the business itself in relation to other players in the retail market. </w:t>
      </w:r>
    </w:p>
    <w:p w14:paraId="68D4E946" w14:textId="77777777" w:rsidR="00FB0B09" w:rsidRPr="00FB4BB3" w:rsidRDefault="00FB0B09" w:rsidP="00FB0B09">
      <w:pPr>
        <w:pStyle w:val="Heading1"/>
        <w:rPr>
          <w:rFonts w:ascii="Calibri" w:hAnsi="Calibri" w:cstheme="minorHAnsi"/>
          <w:szCs w:val="24"/>
        </w:rPr>
      </w:pPr>
      <w:bookmarkStart w:id="2" w:name="_Toc213531915"/>
      <w:r w:rsidRPr="00FB4BB3">
        <w:rPr>
          <w:rFonts w:ascii="Calibri" w:hAnsi="Calibri" w:cstheme="minorHAnsi"/>
          <w:szCs w:val="24"/>
        </w:rPr>
        <w:t>3.0 Identifying and Discussing Organisational Culture in John Lewis Using Theoretical Models</w:t>
      </w:r>
      <w:bookmarkEnd w:id="2"/>
    </w:p>
    <w:p w14:paraId="16516B36" w14:textId="025D32FB" w:rsidR="00FB0B09" w:rsidRPr="00FB4BB3" w:rsidRDefault="00FB0B09" w:rsidP="00FB0B09">
      <w:pPr>
        <w:pStyle w:val="Heading2"/>
        <w:rPr>
          <w:rFonts w:ascii="Calibri" w:hAnsi="Calibri" w:cstheme="minorHAnsi"/>
          <w:szCs w:val="24"/>
        </w:rPr>
      </w:pPr>
      <w:bookmarkStart w:id="3" w:name="_Toc213531916"/>
      <w:r w:rsidRPr="00FB4BB3">
        <w:rPr>
          <w:rFonts w:ascii="Calibri" w:hAnsi="Calibri" w:cstheme="minorHAnsi"/>
          <w:szCs w:val="24"/>
        </w:rPr>
        <w:t>3.1 Schein’s Model of Organisational Culture</w:t>
      </w:r>
      <w:bookmarkEnd w:id="3"/>
    </w:p>
    <w:p w14:paraId="28587A7D" w14:textId="7FEBFDF1" w:rsidR="00FB0B09" w:rsidRPr="00FB4BB3" w:rsidRDefault="00FB0B09" w:rsidP="00FB0B09">
      <w:pPr>
        <w:rPr>
          <w:rFonts w:ascii="Calibri" w:hAnsi="Calibri" w:cstheme="minorHAnsi"/>
          <w:szCs w:val="24"/>
        </w:rPr>
      </w:pPr>
      <w:r w:rsidRPr="00FB4BB3">
        <w:rPr>
          <w:rFonts w:ascii="Calibri" w:hAnsi="Calibri" w:cstheme="minorHAnsi"/>
          <w:szCs w:val="24"/>
        </w:rPr>
        <w:t xml:space="preserve">Edgar Schein’s organisational culture model identifies three levels that are interconnected—artefacts, espoused values and basic underlying assumptions. These are all present in John Lewis. The artefacts are elements of the company culture that are visible and tangible, such as the intentional use of the work ‘partner’ instead of ‘employee’, the </w:t>
      </w:r>
      <w:r w:rsidR="0027533F" w:rsidRPr="00FB4BB3">
        <w:rPr>
          <w:rFonts w:ascii="Calibri" w:hAnsi="Calibri" w:cstheme="minorHAnsi"/>
          <w:szCs w:val="24"/>
        </w:rPr>
        <w:t>time-honoured</w:t>
      </w:r>
      <w:r w:rsidRPr="00FB4BB3">
        <w:rPr>
          <w:rFonts w:ascii="Calibri" w:hAnsi="Calibri" w:cstheme="minorHAnsi"/>
          <w:szCs w:val="24"/>
        </w:rPr>
        <w:t xml:space="preserve"> employee-owned governance structures, the upward internal communication and the practice of profit sharing through annual partnership bonuses. These bonuses have not been distributed in the previous years due to the financial situation.</w:t>
      </w:r>
    </w:p>
    <w:p w14:paraId="4C797A95" w14:textId="57608C1F" w:rsidR="00FB0B09" w:rsidRPr="00FB4BB3" w:rsidRDefault="00FB0B09" w:rsidP="00FB0B09">
      <w:pPr>
        <w:rPr>
          <w:rFonts w:ascii="Calibri" w:hAnsi="Calibri" w:cstheme="minorHAnsi"/>
          <w:szCs w:val="24"/>
        </w:rPr>
      </w:pPr>
      <w:r w:rsidRPr="00FB4BB3">
        <w:rPr>
          <w:rFonts w:ascii="Calibri" w:hAnsi="Calibri" w:cstheme="minorHAnsi"/>
          <w:szCs w:val="24"/>
        </w:rPr>
        <w:t xml:space="preserve">These </w:t>
      </w:r>
      <w:r w:rsidR="00FB4BB3" w:rsidRPr="00FB4BB3">
        <w:rPr>
          <w:rFonts w:ascii="Calibri" w:hAnsi="Calibri" w:cstheme="minorHAnsi"/>
          <w:szCs w:val="24"/>
        </w:rPr>
        <w:t>artefacts</w:t>
      </w:r>
      <w:r w:rsidRPr="00FB4BB3">
        <w:rPr>
          <w:rFonts w:ascii="Calibri" w:hAnsi="Calibri" w:cstheme="minorHAnsi"/>
          <w:szCs w:val="24"/>
        </w:rPr>
        <w:t xml:space="preserve"> are more than symbolic acts; they strengthen the sense of shared ownership and common obligation. The John Lewis espoused values are more visible in the formal organisational documents and particularly in the John Lewis Constitution, which captures the principles of equity, dignity at work, service excellence, teamwork, and shared achievement rather than gain in isolation. These values shape the governing principles of the organisation in terms of how it wishes to function and what it considers to be of utmost importance. In all these, the fundamental underlying assumptions represent the deepest cultural level. For John Lewis, these include the central belief that a long-term corporate success is best attained by empowering employees, fostering collaboration, and putting collective responsibility over unrestrained profit gaining shareholder capitalism (</w:t>
      </w:r>
      <w:proofErr w:type="spellStart"/>
      <w:r w:rsidRPr="00FB4BB3">
        <w:rPr>
          <w:rFonts w:ascii="Calibri" w:hAnsi="Calibri" w:cstheme="minorHAnsi"/>
          <w:szCs w:val="24"/>
        </w:rPr>
        <w:t>Milsome</w:t>
      </w:r>
      <w:proofErr w:type="spellEnd"/>
      <w:r w:rsidRPr="00FB4BB3">
        <w:rPr>
          <w:rFonts w:ascii="Calibri" w:hAnsi="Calibri" w:cstheme="minorHAnsi"/>
          <w:szCs w:val="24"/>
        </w:rPr>
        <w:t>, 2019). These assumptions shape people’s behaviours across the organization in terms of fostering corporate integrity, collaboration, and a customer centric approach</w:t>
      </w:r>
      <w:r w:rsidR="009D0314" w:rsidRPr="00FB4BB3">
        <w:rPr>
          <w:rFonts w:ascii="Calibri" w:hAnsi="Calibri" w:cstheme="minorHAnsi"/>
          <w:szCs w:val="24"/>
        </w:rPr>
        <w:t>.</w:t>
      </w:r>
    </w:p>
    <w:p w14:paraId="0FD63DFE" w14:textId="27EC557C" w:rsidR="009D0314" w:rsidRPr="00FB4BB3" w:rsidRDefault="009D0314" w:rsidP="009D0314">
      <w:pPr>
        <w:pStyle w:val="Heading2"/>
        <w:rPr>
          <w:rFonts w:ascii="Calibri" w:hAnsi="Calibri" w:cstheme="minorHAnsi"/>
          <w:szCs w:val="24"/>
        </w:rPr>
      </w:pPr>
      <w:bookmarkStart w:id="4" w:name="_Toc213531917"/>
      <w:r w:rsidRPr="00FB4BB3">
        <w:rPr>
          <w:rFonts w:ascii="Calibri" w:hAnsi="Calibri" w:cstheme="minorHAnsi"/>
          <w:szCs w:val="24"/>
        </w:rPr>
        <w:t xml:space="preserve">3.2 </w:t>
      </w:r>
      <w:proofErr w:type="spellStart"/>
      <w:r w:rsidRPr="00FB4BB3">
        <w:rPr>
          <w:rFonts w:ascii="Calibri" w:hAnsi="Calibri" w:cstheme="minorHAnsi"/>
          <w:szCs w:val="24"/>
        </w:rPr>
        <w:t>Hofstede’s</w:t>
      </w:r>
      <w:proofErr w:type="spellEnd"/>
      <w:r w:rsidRPr="00FB4BB3">
        <w:rPr>
          <w:rFonts w:ascii="Calibri" w:hAnsi="Calibri" w:cstheme="minorHAnsi"/>
          <w:szCs w:val="24"/>
        </w:rPr>
        <w:t xml:space="preserve"> Cultural Dimensions</w:t>
      </w:r>
      <w:bookmarkEnd w:id="4"/>
    </w:p>
    <w:p w14:paraId="0487CAD9" w14:textId="4889A34D" w:rsidR="009D0314" w:rsidRPr="00FB4BB3" w:rsidRDefault="009D0314" w:rsidP="009D0314">
      <w:pPr>
        <w:rPr>
          <w:rFonts w:ascii="Calibri" w:hAnsi="Calibri" w:cstheme="minorHAnsi"/>
          <w:szCs w:val="24"/>
        </w:rPr>
      </w:pPr>
      <w:r w:rsidRPr="00FB4BB3">
        <w:rPr>
          <w:rFonts w:ascii="Calibri" w:hAnsi="Calibri" w:cstheme="minorHAnsi"/>
          <w:szCs w:val="24"/>
        </w:rPr>
        <w:t xml:space="preserve">Though </w:t>
      </w:r>
      <w:proofErr w:type="spellStart"/>
      <w:r w:rsidRPr="00FB4BB3">
        <w:rPr>
          <w:rFonts w:ascii="Calibri" w:hAnsi="Calibri" w:cstheme="minorHAnsi"/>
          <w:szCs w:val="24"/>
        </w:rPr>
        <w:t>Hofstede’s</w:t>
      </w:r>
      <w:proofErr w:type="spellEnd"/>
      <w:r w:rsidRPr="00FB4BB3">
        <w:rPr>
          <w:rFonts w:ascii="Calibri" w:hAnsi="Calibri" w:cstheme="minorHAnsi"/>
          <w:szCs w:val="24"/>
        </w:rPr>
        <w:t xml:space="preserve"> cultural dimensions are mostly applied at the level of countries, they can also be used to explain organisational settings. The culture at John Lewis is a good example of this. People in the organisation work together and do not take on self-centred </w:t>
      </w:r>
      <w:r w:rsidR="00FB4BB3" w:rsidRPr="00FB4BB3">
        <w:rPr>
          <w:rFonts w:ascii="Calibri" w:hAnsi="Calibri" w:cstheme="minorHAnsi"/>
          <w:szCs w:val="24"/>
        </w:rPr>
        <w:t>behaviour</w:t>
      </w:r>
      <w:r w:rsidRPr="00FB4BB3">
        <w:rPr>
          <w:rFonts w:ascii="Calibri" w:hAnsi="Calibri" w:cstheme="minorHAnsi"/>
          <w:szCs w:val="24"/>
        </w:rPr>
        <w:t xml:space="preserve">. The organisation rewards teamwork over individual accomplishments and emphasises collaboration. Employees at all positions do not work in isolation and are invited to share in the company’s profits and strategic direction. Workers are considered partners and gain profit share due to the company’s profit-sharing structure (Rao, 2021). This demonstrates the organization’s collectivist culture. John Lewis demonstrates comprising ethical </w:t>
      </w:r>
      <w:r w:rsidR="00FB4BB3" w:rsidRPr="00FB4BB3">
        <w:rPr>
          <w:rFonts w:ascii="Calibri" w:hAnsi="Calibri" w:cstheme="minorHAnsi"/>
          <w:szCs w:val="24"/>
        </w:rPr>
        <w:t>conduct;</w:t>
      </w:r>
      <w:r w:rsidRPr="00FB4BB3">
        <w:rPr>
          <w:rFonts w:ascii="Calibri" w:hAnsi="Calibri" w:cstheme="minorHAnsi"/>
          <w:szCs w:val="24"/>
        </w:rPr>
        <w:t xml:space="preserve"> trust in brand, and sustainable growth rather than only focusing on short-term profits. Strong social cohesion and brand trust are the outcomes of sustained investments in retention, internally conducted staff development, and customer loyalty programs. This stable brand identity and cohesive loyalty are results of the long-term collectivist and ethical approach an organisation holds. Loyalty and commitment to an organisation suffered because it took too long to shift product market strategy and adapt to changes in flexible operational approaches in a competitive and volatile retail sector.  </w:t>
      </w:r>
    </w:p>
    <w:p w14:paraId="7F4EB0AB" w14:textId="150EF223" w:rsidR="009D0314" w:rsidRPr="00FB4BB3" w:rsidRDefault="009D0314" w:rsidP="009D0314">
      <w:pPr>
        <w:pStyle w:val="Heading2"/>
        <w:rPr>
          <w:rFonts w:ascii="Calibri" w:hAnsi="Calibri" w:cstheme="minorHAnsi"/>
          <w:szCs w:val="24"/>
        </w:rPr>
      </w:pPr>
      <w:bookmarkStart w:id="5" w:name="_Toc213531918"/>
      <w:r w:rsidRPr="00FB4BB3">
        <w:rPr>
          <w:rFonts w:ascii="Calibri" w:hAnsi="Calibri" w:cstheme="minorHAnsi"/>
          <w:szCs w:val="24"/>
        </w:rPr>
        <w:t>3.3 Handy’s Cultural Types</w:t>
      </w:r>
      <w:bookmarkEnd w:id="5"/>
    </w:p>
    <w:p w14:paraId="794CFEA0" w14:textId="641B926B" w:rsidR="00663130" w:rsidRPr="00FB4BB3" w:rsidRDefault="00663130" w:rsidP="00663130">
      <w:pPr>
        <w:rPr>
          <w:rFonts w:ascii="Calibri" w:hAnsi="Calibri" w:cstheme="minorHAnsi"/>
          <w:szCs w:val="24"/>
        </w:rPr>
      </w:pPr>
      <w:r w:rsidRPr="00FB4BB3">
        <w:rPr>
          <w:rFonts w:ascii="Calibri" w:hAnsi="Calibri" w:cstheme="minorHAnsi"/>
          <w:szCs w:val="24"/>
        </w:rPr>
        <w:t xml:space="preserve">When an organisation is trying to understand its structure and the relationship between the people, Handy (2019) defines four branches of culture including a person, power, role, and task culture. In the case of John Lewis, the organization exhibits predominantly practitioner culture which is demonstrated in the </w:t>
      </w:r>
      <w:r w:rsidR="00C41F1A" w:rsidRPr="00FB4BB3">
        <w:rPr>
          <w:rFonts w:ascii="Calibri" w:hAnsi="Calibri" w:cstheme="minorHAnsi"/>
          <w:szCs w:val="24"/>
        </w:rPr>
        <w:t>employee-owned</w:t>
      </w:r>
      <w:r w:rsidRPr="00FB4BB3">
        <w:rPr>
          <w:rFonts w:ascii="Calibri" w:hAnsi="Calibri" w:cstheme="minorHAnsi"/>
          <w:szCs w:val="24"/>
        </w:rPr>
        <w:t xml:space="preserve"> business structure, which is partner and employee oriented, and positions employees as core partners in the mission and identity of the organization. This aspect of the culture embodies shared responsibility, shared rewards, and the promotion of the sense of belonging and community with the organizational focus on employee welfare, nurturing, and participation as central priorities. At the same time, some elements of role culture are evident, especially with the company's formal governance systems, defined ladders of authority, and operational systems which are designed to eliminate variation in governance and responsibility, decision-making and accountability, and orderly arrangements in the cross-sectional and cross-department decision-making systems. This combination of person and role cultures has, historically, reinforced stability, trust, and strong organizational identity anchored on tradition and cooperative values. The competing elements of these cultures, however, have, in the context of the rapid transformation of the UK retail sector, brought in particular challenges as a result of the digitalization of the sector, changing customer expectations, and intense competition</w:t>
      </w:r>
      <w:r w:rsidR="00024935" w:rsidRPr="00FB4BB3">
        <w:rPr>
          <w:rFonts w:ascii="Calibri" w:hAnsi="Calibri" w:cstheme="minorHAnsi"/>
          <w:szCs w:val="24"/>
        </w:rPr>
        <w:t xml:space="preserve"> (Handy, 2019)</w:t>
      </w:r>
      <w:r w:rsidRPr="00FB4BB3">
        <w:rPr>
          <w:rFonts w:ascii="Calibri" w:hAnsi="Calibri" w:cstheme="minorHAnsi"/>
          <w:szCs w:val="24"/>
        </w:rPr>
        <w:t xml:space="preserve">. The pressure to sustain and support innovation as well as the need to adapt to these changes is in direct contradiction with the established strong cultural elements, which give rise to the paradox of the need to preserve organizational heritage and the change that is very often required.  </w:t>
      </w:r>
    </w:p>
    <w:p w14:paraId="10DE6D1E" w14:textId="5A3689B0" w:rsidR="00663130" w:rsidRPr="00FB4BB3" w:rsidRDefault="00663130" w:rsidP="00663130">
      <w:pPr>
        <w:rPr>
          <w:rFonts w:ascii="Calibri" w:hAnsi="Calibri" w:cstheme="minorHAnsi"/>
          <w:szCs w:val="24"/>
        </w:rPr>
      </w:pPr>
      <w:r w:rsidRPr="00FB4BB3">
        <w:rPr>
          <w:rFonts w:ascii="Calibri" w:hAnsi="Calibri" w:cstheme="minorHAnsi"/>
          <w:szCs w:val="24"/>
        </w:rPr>
        <w:t>In summary, these theoretical models demonstrate that John Lewis has a culture which is fundamentally based on partnership, shared ownership and sharing of values like collectivism, service to the customer, and fairness which are fairly dominant and have shaped the practices and the identity of the organization.</w:t>
      </w:r>
    </w:p>
    <w:p w14:paraId="796BDDFD" w14:textId="67AE95F6" w:rsidR="009D0314" w:rsidRPr="00FB4BB3" w:rsidRDefault="00663130" w:rsidP="00663130">
      <w:pPr>
        <w:pStyle w:val="Heading1"/>
        <w:rPr>
          <w:rFonts w:ascii="Calibri" w:hAnsi="Calibri" w:cstheme="minorHAnsi"/>
          <w:szCs w:val="24"/>
        </w:rPr>
      </w:pPr>
      <w:bookmarkStart w:id="6" w:name="_Toc213531919"/>
      <w:r w:rsidRPr="00FB4BB3">
        <w:rPr>
          <w:rFonts w:ascii="Calibri" w:hAnsi="Calibri" w:cstheme="minorHAnsi"/>
          <w:szCs w:val="24"/>
        </w:rPr>
        <w:t>4.0 Culture and External Environment Adaptation</w:t>
      </w:r>
      <w:bookmarkEnd w:id="6"/>
    </w:p>
    <w:p w14:paraId="420B5AF7" w14:textId="4E198355" w:rsidR="00663130" w:rsidRPr="00FB4BB3" w:rsidRDefault="00663130" w:rsidP="00663130">
      <w:pPr>
        <w:rPr>
          <w:rFonts w:ascii="Calibri" w:hAnsi="Calibri" w:cstheme="minorHAnsi"/>
          <w:szCs w:val="24"/>
        </w:rPr>
      </w:pPr>
      <w:r w:rsidRPr="00FB4BB3">
        <w:rPr>
          <w:rFonts w:ascii="Calibri" w:hAnsi="Calibri" w:cstheme="minorHAnsi"/>
          <w:szCs w:val="24"/>
        </w:rPr>
        <w:t xml:space="preserve">The UK external retail environment is shaped by technology, e-commerce, macroeconomic conditions, and consumer expectations. Customers expect speed, personalization, and frictionless retail shopping across channels all at the same time. In these circumstances, John Lewis has relied on its historical company culture to be competitive. John Lewis has a unique culture based on values of inclusivity, participation, and shared ownership. Employees are partners and are encouraged to commit, both emotionally and professionally, to the company’s success. Having a culture of ownership has empowered John Lewis to sustain its customer service excellence, values of quality, trust, and reliability, and </w:t>
      </w:r>
      <w:r w:rsidR="001E3D70" w:rsidRPr="00FB4BB3">
        <w:rPr>
          <w:rFonts w:ascii="Calibri" w:hAnsi="Calibri" w:cstheme="minorHAnsi"/>
          <w:szCs w:val="24"/>
        </w:rPr>
        <w:t xml:space="preserve">to </w:t>
      </w:r>
      <w:r w:rsidRPr="00FB4BB3">
        <w:rPr>
          <w:rFonts w:ascii="Calibri" w:hAnsi="Calibri" w:cstheme="minorHAnsi"/>
          <w:szCs w:val="24"/>
        </w:rPr>
        <w:t xml:space="preserve">keep passing the brand’s values to new generations of employees. Employees will </w:t>
      </w:r>
      <w:r w:rsidR="001E3D70" w:rsidRPr="00FB4BB3">
        <w:rPr>
          <w:rFonts w:ascii="Calibri" w:hAnsi="Calibri" w:cstheme="minorHAnsi"/>
          <w:szCs w:val="24"/>
        </w:rPr>
        <w:t xml:space="preserve">be </w:t>
      </w:r>
      <w:r w:rsidRPr="00FB4BB3">
        <w:rPr>
          <w:rFonts w:ascii="Calibri" w:hAnsi="Calibri" w:cstheme="minorHAnsi"/>
          <w:szCs w:val="24"/>
        </w:rPr>
        <w:t xml:space="preserve">willing </w:t>
      </w:r>
      <w:r w:rsidR="001E3D70" w:rsidRPr="00FB4BB3">
        <w:rPr>
          <w:rFonts w:ascii="Calibri" w:hAnsi="Calibri" w:cstheme="minorHAnsi"/>
          <w:szCs w:val="24"/>
        </w:rPr>
        <w:t xml:space="preserve">to </w:t>
      </w:r>
      <w:r w:rsidRPr="00FB4BB3">
        <w:rPr>
          <w:rFonts w:ascii="Calibri" w:hAnsi="Calibri" w:cstheme="minorHAnsi"/>
          <w:szCs w:val="24"/>
        </w:rPr>
        <w:t>defend the values of the brand. Employees are assigned floors of the retail space and are encouraged to suggest service improvements</w:t>
      </w:r>
      <w:r w:rsidR="00024935" w:rsidRPr="00FB4BB3">
        <w:rPr>
          <w:rFonts w:ascii="Calibri" w:hAnsi="Calibri" w:cstheme="minorHAnsi"/>
          <w:szCs w:val="24"/>
        </w:rPr>
        <w:t xml:space="preserve"> (Dawson &amp; Lord, 2022)</w:t>
      </w:r>
      <w:r w:rsidRPr="00FB4BB3">
        <w:rPr>
          <w:rFonts w:ascii="Calibri" w:hAnsi="Calibri" w:cstheme="minorHAnsi"/>
          <w:szCs w:val="24"/>
        </w:rPr>
        <w:t xml:space="preserve">. In hybrid retailing, employees guide the consumer </w:t>
      </w:r>
      <w:r w:rsidR="001E3D70" w:rsidRPr="00FB4BB3">
        <w:rPr>
          <w:rFonts w:ascii="Calibri" w:hAnsi="Calibri" w:cstheme="minorHAnsi"/>
          <w:szCs w:val="24"/>
        </w:rPr>
        <w:t>in</w:t>
      </w:r>
      <w:r w:rsidRPr="00FB4BB3">
        <w:rPr>
          <w:rFonts w:ascii="Calibri" w:hAnsi="Calibri" w:cstheme="minorHAnsi"/>
          <w:szCs w:val="24"/>
        </w:rPr>
        <w:t xml:space="preserve"> the physical retail space while serving them with the digital platform. Changes in retailing are complex in the company</w:t>
      </w:r>
      <w:r w:rsidR="001E3D70" w:rsidRPr="00FB4BB3">
        <w:rPr>
          <w:rFonts w:ascii="Calibri" w:hAnsi="Calibri" w:cstheme="minorHAnsi"/>
          <w:szCs w:val="24"/>
        </w:rPr>
        <w:t>,</w:t>
      </w:r>
      <w:r w:rsidRPr="00FB4BB3">
        <w:rPr>
          <w:rFonts w:ascii="Calibri" w:hAnsi="Calibri" w:cstheme="minorHAnsi"/>
          <w:szCs w:val="24"/>
        </w:rPr>
        <w:t xml:space="preserve"> and customer experience is the focus.  </w:t>
      </w:r>
    </w:p>
    <w:p w14:paraId="0991F916" w14:textId="2C1CA926" w:rsidR="00663130" w:rsidRPr="00FB4BB3" w:rsidRDefault="00663130" w:rsidP="00663130">
      <w:pPr>
        <w:rPr>
          <w:rFonts w:ascii="Calibri" w:hAnsi="Calibri" w:cstheme="minorHAnsi"/>
          <w:szCs w:val="24"/>
        </w:rPr>
      </w:pPr>
      <w:r w:rsidRPr="00FB4BB3">
        <w:rPr>
          <w:rFonts w:ascii="Calibri" w:hAnsi="Calibri" w:cstheme="minorHAnsi"/>
          <w:szCs w:val="24"/>
        </w:rPr>
        <w:t>Over the years, John Lewis has experienced challenges and made the necessary changes like closing some of their physical locations, changing leadership structures and adjusting some of their strategies. These changes impacted the strain of the organisational culture when the partnership bonus was lowered. This, coupled with the economic changes, raised concerns and anger from multitasking employees, and while the strain on culture was unprecedented, the culture of the organisation provided an anchor and a conduit through which employees and organisational challenges could be bypassed</w:t>
      </w:r>
      <w:r w:rsidR="00024935" w:rsidRPr="00FB4BB3">
        <w:rPr>
          <w:rFonts w:ascii="Calibri" w:hAnsi="Calibri" w:cstheme="minorHAnsi"/>
          <w:szCs w:val="24"/>
        </w:rPr>
        <w:t xml:space="preserve"> (Bloomfield, 2023)</w:t>
      </w:r>
      <w:r w:rsidRPr="00FB4BB3">
        <w:rPr>
          <w:rFonts w:ascii="Calibri" w:hAnsi="Calibri" w:cstheme="minorHAnsi"/>
          <w:szCs w:val="24"/>
        </w:rPr>
        <w:t>. Partnership culture spoke of mutual respect, responsibility, and communication, which meant employees would keep the organisational service standards high even during the chaos; the changes resulted and employees would keep chaos and high standards would focusing on service. John Lewis maintained a high service culture and the culture functioned as an anchor and as a support system that provided strong adaptation layers, and through the layers, strong expectations of the organisational and John Lewis stood strong with their changes visible externally.</w:t>
      </w:r>
    </w:p>
    <w:p w14:paraId="18678F9D" w14:textId="01D0B04E" w:rsidR="001E3D70" w:rsidRPr="00FB4BB3" w:rsidRDefault="001E3D70" w:rsidP="001E3D70">
      <w:pPr>
        <w:pStyle w:val="Heading1"/>
        <w:rPr>
          <w:rFonts w:ascii="Calibri" w:hAnsi="Calibri" w:cstheme="minorHAnsi"/>
          <w:szCs w:val="24"/>
        </w:rPr>
      </w:pPr>
      <w:bookmarkStart w:id="7" w:name="_Toc213531920"/>
      <w:r w:rsidRPr="00FB4BB3">
        <w:rPr>
          <w:rFonts w:ascii="Calibri" w:hAnsi="Calibri" w:cstheme="minorHAnsi"/>
          <w:szCs w:val="24"/>
        </w:rPr>
        <w:t>5.0 Culture as a Barrier or Enabler in John Lewis</w:t>
      </w:r>
      <w:bookmarkEnd w:id="7"/>
    </w:p>
    <w:p w14:paraId="0C6C8C03" w14:textId="77777777" w:rsidR="001E3D70" w:rsidRPr="00FB4BB3" w:rsidRDefault="001E3D70" w:rsidP="001E3D70">
      <w:pPr>
        <w:rPr>
          <w:rFonts w:ascii="Calibri" w:hAnsi="Calibri" w:cstheme="minorHAnsi"/>
          <w:szCs w:val="24"/>
        </w:rPr>
      </w:pPr>
      <w:r w:rsidRPr="00FB4BB3">
        <w:rPr>
          <w:rFonts w:ascii="Calibri" w:hAnsi="Calibri" w:cstheme="minorHAnsi"/>
          <w:szCs w:val="24"/>
        </w:rPr>
        <w:t xml:space="preserve">The specific organisational culture of John Lewis continues to be regarded positively and as a source of identity, stability, and competitive advantage, particularly due to the unique partnership model of shared ownership, employee voice, and collective responsibility. It has historically engendered high employee engagement, with partners emotionally committed to the organisation’s success. This culture focused on the emotional and psychological needs of partners, also fostered high standards of customer service, as motivated employees willing to go the extra mile to help a customer. However, the same relational and emotional culture that enhanced organisational success may act as a hindrance to success in the case of transformations in the retail industry. An excessive focus on consensus around decision-making may limit the pace of strategic responses to tight and evolving markets, including economic recessions, changes in consumer spending, and heightened competition from online retailers. An overemphasis on consultation and consensus may also limit the pace of reforms geared toward improving competitiveness. Traditional partnership values at the same time may limit the pace of positive change. </w:t>
      </w:r>
    </w:p>
    <w:p w14:paraId="27DF9AEC" w14:textId="77777777" w:rsidR="001E3D70" w:rsidRPr="00FB4BB3" w:rsidRDefault="001E3D70" w:rsidP="001E3D70">
      <w:pPr>
        <w:rPr>
          <w:rFonts w:ascii="Calibri" w:hAnsi="Calibri" w:cstheme="minorHAnsi"/>
          <w:szCs w:val="24"/>
        </w:rPr>
      </w:pPr>
      <w:r w:rsidRPr="00FB4BB3">
        <w:rPr>
          <w:rFonts w:ascii="Calibri" w:hAnsi="Calibri" w:cstheme="minorHAnsi"/>
          <w:szCs w:val="24"/>
        </w:rPr>
        <w:t xml:space="preserve">Actions taken to modernise, restructure, or cut costs may be viewed as threats to cultural identity, especially when confronting long-held expectations regarding the security of jobs, the pooling of benefits, and the mutuality of respect (Simpson, 2022). Such tensions may result in a mismatched balance between strategic and cultural expectations, which makes the management of change all the more complicated and delicate. </w:t>
      </w:r>
    </w:p>
    <w:p w14:paraId="26E33BD5" w14:textId="6E41A904" w:rsidR="001E3D70" w:rsidRPr="00FB4BB3" w:rsidRDefault="001E3D70" w:rsidP="001E3D70">
      <w:pPr>
        <w:rPr>
          <w:rFonts w:ascii="Calibri" w:hAnsi="Calibri" w:cstheme="minorHAnsi"/>
          <w:szCs w:val="24"/>
        </w:rPr>
      </w:pPr>
      <w:r w:rsidRPr="00FB4BB3">
        <w:rPr>
          <w:rFonts w:ascii="Calibri" w:hAnsi="Calibri" w:cstheme="minorHAnsi"/>
          <w:szCs w:val="24"/>
        </w:rPr>
        <w:t>The organisational culture of the John Lewis Partnership continues to be one of the most impactful legacies in providing the organisation with a significant and robust intangible asset which builds and sustains trust, credibility, and reputation with employees as well as customers. The trust and goodwill of customers and the public were needed most during financially challenging times. The cultural legacy of the Partnership provided a differentiating asset during the more recent periods of aggressive consumer focus on ethical behaviour and corporative social responsibility. The partnership culture arguably serves to reinforce a narrative of fairness and transparency in social relationships which boosts and sustains morale and loyalty and trust of customers in more volatile market conditions. The organisation’s culture requires a dynamic approach in the context of active change management and organisational evolution, to avoid it becoming a blind tradition.</w:t>
      </w:r>
    </w:p>
    <w:p w14:paraId="5D2FA984" w14:textId="2BFCA880" w:rsidR="001E3D70" w:rsidRPr="00FB4BB3" w:rsidRDefault="001E3D70" w:rsidP="001E3D70">
      <w:pPr>
        <w:rPr>
          <w:rFonts w:ascii="Calibri" w:hAnsi="Calibri" w:cstheme="minorHAnsi"/>
          <w:szCs w:val="24"/>
        </w:rPr>
      </w:pPr>
      <w:r w:rsidRPr="00FB4BB3">
        <w:rPr>
          <w:rFonts w:ascii="Calibri" w:hAnsi="Calibri" w:cstheme="minorHAnsi"/>
          <w:szCs w:val="24"/>
        </w:rPr>
        <w:t>This entails appreciating the importance of employee participation, as well as having more flexible and adaptive approaches to decision-making to foster innovation and respond to changes in strategy more quickly. There should also be thoughtful communication that explains the evolution of flexible partnership relations as a means of ensuring the organisation can preserve its values and sustain itself in the future. In that context, culture does not serve merely as a barrier to change. Instead, it enables John Lewis to continue balancing its heritage with innovation and respond to competitive challenges while retaining the integrity of its identity.</w:t>
      </w:r>
    </w:p>
    <w:p w14:paraId="16D901F5" w14:textId="6CD4E584" w:rsidR="001E3D70" w:rsidRPr="00FB4BB3" w:rsidRDefault="00A602DC" w:rsidP="00A602DC">
      <w:pPr>
        <w:pStyle w:val="Heading1"/>
        <w:rPr>
          <w:rFonts w:ascii="Calibri" w:hAnsi="Calibri" w:cstheme="minorHAnsi"/>
          <w:szCs w:val="24"/>
        </w:rPr>
      </w:pPr>
      <w:bookmarkStart w:id="8" w:name="_Toc213531921"/>
      <w:r w:rsidRPr="00FB4BB3">
        <w:rPr>
          <w:rFonts w:ascii="Calibri" w:hAnsi="Calibri" w:cstheme="minorHAnsi"/>
          <w:szCs w:val="24"/>
        </w:rPr>
        <w:t>6.0 Impact of Culture on Organisational Performance and Recommendations</w:t>
      </w:r>
      <w:bookmarkEnd w:id="8"/>
    </w:p>
    <w:p w14:paraId="7332F3E7" w14:textId="77777777" w:rsidR="00A602DC" w:rsidRPr="00FB4BB3" w:rsidRDefault="00A602DC" w:rsidP="00A602DC">
      <w:pPr>
        <w:rPr>
          <w:rFonts w:ascii="Calibri" w:hAnsi="Calibri" w:cstheme="minorHAnsi"/>
          <w:color w:val="auto"/>
          <w:szCs w:val="24"/>
          <w:lang w:eastAsia="en-US"/>
        </w:rPr>
      </w:pPr>
      <w:r w:rsidRPr="00FB4BB3">
        <w:rPr>
          <w:rFonts w:ascii="Calibri" w:hAnsi="Calibri" w:cstheme="minorHAnsi"/>
          <w:szCs w:val="24"/>
        </w:rPr>
        <w:t>The strong culture of partnership has historically contributed to high levels of employee motivation, loyalty, customer satisfaction, and service excellence, which in turn reinforced John Lewis’s competitive advantage (</w:t>
      </w:r>
      <w:proofErr w:type="spellStart"/>
      <w:r w:rsidRPr="00FB4BB3">
        <w:rPr>
          <w:rFonts w:ascii="Calibri" w:hAnsi="Calibri" w:cstheme="minorHAnsi"/>
          <w:szCs w:val="24"/>
        </w:rPr>
        <w:t>Caulkin</w:t>
      </w:r>
      <w:proofErr w:type="spellEnd"/>
      <w:r w:rsidRPr="00FB4BB3">
        <w:rPr>
          <w:rFonts w:ascii="Calibri" w:hAnsi="Calibri" w:cstheme="minorHAnsi"/>
          <w:szCs w:val="24"/>
        </w:rPr>
        <w:t>, 2021). However, economic pressures, market competition, and operational restructuring have highlighted the need for cultural and strategic renewal. To sustain performance, John Lewis should consider the following recommendations:</w:t>
      </w:r>
    </w:p>
    <w:p w14:paraId="04C3C7E7" w14:textId="77777777" w:rsidR="00A602DC" w:rsidRPr="00FB4BB3" w:rsidRDefault="00A602DC" w:rsidP="00A602DC">
      <w:pPr>
        <w:pStyle w:val="NormalWeb"/>
        <w:numPr>
          <w:ilvl w:val="0"/>
          <w:numId w:val="1"/>
        </w:numPr>
        <w:spacing w:line="360" w:lineRule="auto"/>
        <w:rPr>
          <w:rFonts w:ascii="Calibri" w:hAnsi="Calibri" w:cstheme="minorHAnsi"/>
          <w:lang w:val="en-GB"/>
        </w:rPr>
      </w:pPr>
      <w:r w:rsidRPr="00FB4BB3">
        <w:rPr>
          <w:rStyle w:val="Strong"/>
          <w:rFonts w:ascii="Calibri" w:eastAsiaTheme="majorEastAsia" w:hAnsi="Calibri" w:cstheme="minorHAnsi"/>
          <w:lang w:val="en-GB"/>
        </w:rPr>
        <w:t>Enhance Cultural Flexibility:</w:t>
      </w:r>
      <w:r w:rsidRPr="00FB4BB3">
        <w:rPr>
          <w:rFonts w:ascii="Calibri" w:hAnsi="Calibri" w:cstheme="minorHAnsi"/>
          <w:lang w:val="en-GB"/>
        </w:rPr>
        <w:t xml:space="preserve"> The organisation should maintain its core partnership values while promoting adaptability and agility in decision-making. This may involve streamlining consultation procedures and developing faster strategic execution frameworks.</w:t>
      </w:r>
    </w:p>
    <w:p w14:paraId="65D89A72" w14:textId="77777777" w:rsidR="00A602DC" w:rsidRPr="00FB4BB3" w:rsidRDefault="00A602DC" w:rsidP="00A602DC">
      <w:pPr>
        <w:pStyle w:val="NormalWeb"/>
        <w:numPr>
          <w:ilvl w:val="0"/>
          <w:numId w:val="1"/>
        </w:numPr>
        <w:spacing w:line="360" w:lineRule="auto"/>
        <w:rPr>
          <w:rFonts w:ascii="Calibri" w:hAnsi="Calibri" w:cstheme="minorHAnsi"/>
          <w:lang w:val="en-GB"/>
        </w:rPr>
      </w:pPr>
      <w:r w:rsidRPr="00FB4BB3">
        <w:rPr>
          <w:rStyle w:val="Strong"/>
          <w:rFonts w:ascii="Calibri" w:eastAsiaTheme="majorEastAsia" w:hAnsi="Calibri" w:cstheme="minorHAnsi"/>
          <w:lang w:val="en-GB"/>
        </w:rPr>
        <w:t>Strengthen Communication During Change:</w:t>
      </w:r>
      <w:r w:rsidRPr="00FB4BB3">
        <w:rPr>
          <w:rFonts w:ascii="Calibri" w:hAnsi="Calibri" w:cstheme="minorHAnsi"/>
          <w:lang w:val="en-GB"/>
        </w:rPr>
        <w:t xml:space="preserve"> Transparent and frequent communication will help manage expectations and minimise cultural resistance when restructuring is required.</w:t>
      </w:r>
    </w:p>
    <w:p w14:paraId="41A9E3BA" w14:textId="77777777" w:rsidR="00A602DC" w:rsidRPr="00FB4BB3" w:rsidRDefault="00A602DC" w:rsidP="00A602DC">
      <w:pPr>
        <w:pStyle w:val="NormalWeb"/>
        <w:numPr>
          <w:ilvl w:val="0"/>
          <w:numId w:val="1"/>
        </w:numPr>
        <w:spacing w:line="360" w:lineRule="auto"/>
        <w:rPr>
          <w:rFonts w:ascii="Calibri" w:hAnsi="Calibri" w:cstheme="minorHAnsi"/>
          <w:lang w:val="en-GB"/>
        </w:rPr>
      </w:pPr>
      <w:r w:rsidRPr="00FB4BB3">
        <w:rPr>
          <w:rStyle w:val="Strong"/>
          <w:rFonts w:ascii="Calibri" w:eastAsiaTheme="majorEastAsia" w:hAnsi="Calibri" w:cstheme="minorHAnsi"/>
          <w:lang w:val="en-GB"/>
        </w:rPr>
        <w:t>Reinforce Cultural Identity Through Training:</w:t>
      </w:r>
      <w:r w:rsidRPr="00FB4BB3">
        <w:rPr>
          <w:rFonts w:ascii="Calibri" w:hAnsi="Calibri" w:cstheme="minorHAnsi"/>
          <w:lang w:val="en-GB"/>
        </w:rPr>
        <w:t xml:space="preserve"> Leadership development and employee training should emphasise how cultural principles align with contemporary performance goals.</w:t>
      </w:r>
    </w:p>
    <w:p w14:paraId="2D922805" w14:textId="77777777" w:rsidR="00A602DC" w:rsidRPr="00FB4BB3" w:rsidRDefault="00A602DC" w:rsidP="00A602DC">
      <w:pPr>
        <w:pStyle w:val="NormalWeb"/>
        <w:numPr>
          <w:ilvl w:val="0"/>
          <w:numId w:val="1"/>
        </w:numPr>
        <w:spacing w:line="360" w:lineRule="auto"/>
        <w:rPr>
          <w:rFonts w:ascii="Calibri" w:hAnsi="Calibri" w:cstheme="minorHAnsi"/>
          <w:lang w:val="en-GB"/>
        </w:rPr>
      </w:pPr>
      <w:r w:rsidRPr="00FB4BB3">
        <w:rPr>
          <w:rStyle w:val="Strong"/>
          <w:rFonts w:ascii="Calibri" w:eastAsiaTheme="majorEastAsia" w:hAnsi="Calibri" w:cstheme="minorHAnsi"/>
          <w:lang w:val="en-GB"/>
        </w:rPr>
        <w:t>Encourage Innovation and Digital Integration:</w:t>
      </w:r>
      <w:r w:rsidRPr="00FB4BB3">
        <w:rPr>
          <w:rFonts w:ascii="Calibri" w:hAnsi="Calibri" w:cstheme="minorHAnsi"/>
          <w:lang w:val="en-GB"/>
        </w:rPr>
        <w:t xml:space="preserve"> Cultural support for creativity should be expanded through collaborative innovation labs and digital training programs.</w:t>
      </w:r>
    </w:p>
    <w:p w14:paraId="5B160C4D" w14:textId="05A61CCF" w:rsidR="00A602DC" w:rsidRPr="00FB4BB3" w:rsidRDefault="00A602DC" w:rsidP="00A602DC">
      <w:pPr>
        <w:rPr>
          <w:rFonts w:ascii="Calibri" w:hAnsi="Calibri" w:cstheme="minorHAnsi"/>
          <w:szCs w:val="24"/>
        </w:rPr>
      </w:pPr>
      <w:r w:rsidRPr="00FB4BB3">
        <w:rPr>
          <w:rFonts w:ascii="Calibri" w:hAnsi="Calibri" w:cstheme="minorHAnsi"/>
          <w:szCs w:val="24"/>
        </w:rPr>
        <w:t>By sustaining its core cultural identity while evolving operational practices, John Lewis can maintain organisational cohesion and enhance performance in a rapidly changing retail environment.</w:t>
      </w:r>
    </w:p>
    <w:p w14:paraId="50ABF0F6" w14:textId="4FCA88B0" w:rsidR="00A602DC" w:rsidRPr="00FB4BB3" w:rsidRDefault="00A602DC" w:rsidP="00A602DC">
      <w:pPr>
        <w:pStyle w:val="Heading1"/>
        <w:rPr>
          <w:rFonts w:ascii="Calibri" w:hAnsi="Calibri" w:cstheme="minorHAnsi"/>
          <w:szCs w:val="24"/>
        </w:rPr>
      </w:pPr>
      <w:bookmarkStart w:id="9" w:name="_Toc213531922"/>
      <w:r w:rsidRPr="00FB4BB3">
        <w:rPr>
          <w:rFonts w:ascii="Calibri" w:hAnsi="Calibri" w:cstheme="minorHAnsi"/>
          <w:szCs w:val="24"/>
        </w:rPr>
        <w:t>7.0 Conclusion</w:t>
      </w:r>
      <w:bookmarkEnd w:id="9"/>
      <w:r w:rsidRPr="00FB4BB3">
        <w:rPr>
          <w:rFonts w:ascii="Calibri" w:hAnsi="Calibri" w:cstheme="minorHAnsi"/>
          <w:szCs w:val="24"/>
        </w:rPr>
        <w:t xml:space="preserve"> </w:t>
      </w:r>
    </w:p>
    <w:p w14:paraId="5D7B68A4" w14:textId="74555ABF" w:rsidR="00A602DC" w:rsidRPr="00FB4BB3" w:rsidRDefault="00A602DC" w:rsidP="00A602DC">
      <w:pPr>
        <w:rPr>
          <w:rFonts w:ascii="Calibri" w:hAnsi="Calibri" w:cstheme="minorHAnsi"/>
          <w:szCs w:val="24"/>
        </w:rPr>
      </w:pPr>
      <w:r w:rsidRPr="00FB4BB3">
        <w:rPr>
          <w:rFonts w:ascii="Calibri" w:hAnsi="Calibri" w:cstheme="minorHAnsi"/>
          <w:szCs w:val="24"/>
        </w:rPr>
        <w:t xml:space="preserve">The distinctive partnership model of ownership embraced by John Lewis has resulted in a unique orientation as employees as partners remain custodians of varying degrees of responsibility and receive commensurate rewards in Return. This orientation, remarkable in the retail sector, gives John Lewis a strong identity as a hospitality company, Embedding Schein's Model has a focus on culture and the axioms, reflective of order and praxis in the organisation. At John Lewis, the </w:t>
      </w:r>
      <w:r w:rsidR="00FB4BB3" w:rsidRPr="00FB4BB3">
        <w:rPr>
          <w:rFonts w:ascii="Calibri" w:hAnsi="Calibri" w:cstheme="minorHAnsi"/>
          <w:szCs w:val="24"/>
        </w:rPr>
        <w:t>operationalization</w:t>
      </w:r>
      <w:r w:rsidRPr="00FB4BB3">
        <w:rPr>
          <w:rFonts w:ascii="Calibri" w:hAnsi="Calibri" w:cstheme="minorHAnsi"/>
          <w:szCs w:val="24"/>
        </w:rPr>
        <w:t xml:space="preserve"> of shared partnership ownership is a cultural norm</w:t>
      </w:r>
      <w:r w:rsidR="002A0B04" w:rsidRPr="00FB4BB3">
        <w:rPr>
          <w:rFonts w:ascii="Calibri" w:hAnsi="Calibri" w:cstheme="minorHAnsi"/>
          <w:szCs w:val="24"/>
        </w:rPr>
        <w:t>.</w:t>
      </w:r>
      <w:r w:rsidRPr="00FB4BB3">
        <w:rPr>
          <w:rFonts w:ascii="Calibri" w:hAnsi="Calibri" w:cstheme="minorHAnsi"/>
          <w:szCs w:val="24"/>
        </w:rPr>
        <w:t xml:space="preserve"> It significantly influences the decision-making processes and interactions of employees. Viewed through </w:t>
      </w:r>
      <w:proofErr w:type="spellStart"/>
      <w:r w:rsidRPr="00FB4BB3">
        <w:rPr>
          <w:rFonts w:ascii="Calibri" w:hAnsi="Calibri" w:cstheme="minorHAnsi"/>
          <w:szCs w:val="24"/>
        </w:rPr>
        <w:t>Hofstede’s</w:t>
      </w:r>
      <w:proofErr w:type="spellEnd"/>
      <w:r w:rsidRPr="00FB4BB3">
        <w:rPr>
          <w:rFonts w:ascii="Calibri" w:hAnsi="Calibri" w:cstheme="minorHAnsi"/>
          <w:szCs w:val="24"/>
        </w:rPr>
        <w:t xml:space="preserve"> Cultural Dimensions, John Lewis has an environment with low power distance and high collectivism. It fosters trust, collaboration, and commitment through the erosion of competition. Koestler and </w:t>
      </w:r>
      <w:proofErr w:type="spellStart"/>
      <w:r w:rsidRPr="00FB4BB3">
        <w:rPr>
          <w:rFonts w:ascii="Calibri" w:hAnsi="Calibri" w:cstheme="minorHAnsi"/>
          <w:szCs w:val="24"/>
        </w:rPr>
        <w:t>Hofstede's</w:t>
      </w:r>
      <w:proofErr w:type="spellEnd"/>
      <w:r w:rsidRPr="00FB4BB3">
        <w:rPr>
          <w:rFonts w:ascii="Calibri" w:hAnsi="Calibri" w:cstheme="minorHAnsi"/>
          <w:szCs w:val="24"/>
        </w:rPr>
        <w:t xml:space="preserve"> model </w:t>
      </w:r>
      <w:r w:rsidR="002A0B04" w:rsidRPr="00FB4BB3">
        <w:rPr>
          <w:rFonts w:ascii="Calibri" w:hAnsi="Calibri" w:cstheme="minorHAnsi"/>
          <w:szCs w:val="24"/>
        </w:rPr>
        <w:t>emphasises</w:t>
      </w:r>
      <w:r w:rsidRPr="00FB4BB3">
        <w:rPr>
          <w:rFonts w:ascii="Calibri" w:hAnsi="Calibri" w:cstheme="minorHAnsi"/>
          <w:szCs w:val="24"/>
        </w:rPr>
        <w:t xml:space="preserve"> collectivism and the erosion of competition. Handy’s Cultural Types predicates </w:t>
      </w:r>
      <w:r w:rsidR="002A0B04" w:rsidRPr="00FB4BB3">
        <w:rPr>
          <w:rFonts w:ascii="Calibri" w:hAnsi="Calibri" w:cstheme="minorHAnsi"/>
          <w:szCs w:val="24"/>
        </w:rPr>
        <w:t xml:space="preserve">that </w:t>
      </w:r>
      <w:r w:rsidRPr="00FB4BB3">
        <w:rPr>
          <w:rFonts w:ascii="Calibri" w:hAnsi="Calibri" w:cstheme="minorHAnsi"/>
          <w:szCs w:val="24"/>
        </w:rPr>
        <w:t xml:space="preserve">the organisation has a person or role culture ascribed as ‘fair culture,’ as it shifts the discourse in strategy and </w:t>
      </w:r>
      <w:r w:rsidR="00FB4BB3" w:rsidRPr="00FB4BB3">
        <w:rPr>
          <w:rFonts w:ascii="Calibri" w:hAnsi="Calibri" w:cstheme="minorHAnsi"/>
          <w:szCs w:val="24"/>
        </w:rPr>
        <w:t>operationalization</w:t>
      </w:r>
      <w:r w:rsidRPr="00FB4BB3">
        <w:rPr>
          <w:rFonts w:ascii="Calibri" w:hAnsi="Calibri" w:cstheme="minorHAnsi"/>
          <w:szCs w:val="24"/>
        </w:rPr>
        <w:t xml:space="preserve"> from top-down decision-making to consultation and co-creation. The resulting ethical environment with employee engagement in customer service may contrast with the imperative to rapidly respond to market dynamics. The resulting culture may prove </w:t>
      </w:r>
      <w:r w:rsidR="002A0B04" w:rsidRPr="00FB4BB3">
        <w:rPr>
          <w:rFonts w:ascii="Calibri" w:hAnsi="Calibri" w:cstheme="minorHAnsi"/>
          <w:szCs w:val="24"/>
        </w:rPr>
        <w:t>counterproductive</w:t>
      </w:r>
      <w:r w:rsidRPr="00FB4BB3">
        <w:rPr>
          <w:rFonts w:ascii="Calibri" w:hAnsi="Calibri" w:cstheme="minorHAnsi"/>
          <w:szCs w:val="24"/>
        </w:rPr>
        <w:t xml:space="preserve"> to fast-paced market dynamics due to protracted consultation. John Lewis aims to balance its traditional values and culture with contemporary needs and demands as one of many high performers in the retail sector</w:t>
      </w:r>
      <w:r w:rsidR="002A0B04" w:rsidRPr="00FB4BB3">
        <w:rPr>
          <w:rFonts w:ascii="Calibri" w:hAnsi="Calibri" w:cstheme="minorHAnsi"/>
          <w:szCs w:val="24"/>
        </w:rPr>
        <w:t>,</w:t>
      </w:r>
      <w:r w:rsidRPr="00FB4BB3">
        <w:rPr>
          <w:rFonts w:ascii="Calibri" w:hAnsi="Calibri" w:cstheme="minorHAnsi"/>
          <w:szCs w:val="24"/>
        </w:rPr>
        <w:t xml:space="preserve"> with its challenges. Integration of new strategies in an efficient manner in relation to the fourth industrial revolution, and changes in customer behaviour and competition, </w:t>
      </w:r>
      <w:r w:rsidR="002A0B04" w:rsidRPr="00FB4BB3">
        <w:rPr>
          <w:rFonts w:ascii="Calibri" w:hAnsi="Calibri" w:cstheme="minorHAnsi"/>
          <w:szCs w:val="24"/>
        </w:rPr>
        <w:t>requires</w:t>
      </w:r>
      <w:r w:rsidRPr="00FB4BB3">
        <w:rPr>
          <w:rFonts w:ascii="Calibri" w:hAnsi="Calibri" w:cstheme="minorHAnsi"/>
          <w:szCs w:val="24"/>
        </w:rPr>
        <w:t xml:space="preserve"> </w:t>
      </w:r>
      <w:r w:rsidR="002A0B04" w:rsidRPr="00FB4BB3">
        <w:rPr>
          <w:rFonts w:ascii="Calibri" w:hAnsi="Calibri" w:cstheme="minorHAnsi"/>
          <w:szCs w:val="24"/>
        </w:rPr>
        <w:t xml:space="preserve">a </w:t>
      </w:r>
      <w:r w:rsidRPr="00FB4BB3">
        <w:rPr>
          <w:rFonts w:ascii="Calibri" w:hAnsi="Calibri" w:cstheme="minorHAnsi"/>
          <w:szCs w:val="24"/>
        </w:rPr>
        <w:t>tilt in the retail sector to newer challenges. Long-term effectiveness demands a balance in partnership culture with increasing emphasis on flexibility, digital integration, and multi-channel innovation. Therefore, the challenges of adaptation, innovation, and digital integration in an effectively embedded tradition of partnership culture should be the primary challenges of the business.</w:t>
      </w:r>
    </w:p>
    <w:p w14:paraId="27EAAB12" w14:textId="77777777" w:rsidR="00A602DC" w:rsidRPr="00FB4BB3" w:rsidRDefault="00A602DC" w:rsidP="00A602DC">
      <w:pPr>
        <w:rPr>
          <w:rFonts w:ascii="Calibri" w:hAnsi="Calibri" w:cstheme="minorHAnsi"/>
          <w:szCs w:val="24"/>
        </w:rPr>
      </w:pPr>
    </w:p>
    <w:p w14:paraId="3E75E4C6" w14:textId="77777777" w:rsidR="00A602DC" w:rsidRPr="00FB4BB3" w:rsidRDefault="00A602DC" w:rsidP="00A602DC">
      <w:pPr>
        <w:rPr>
          <w:rFonts w:ascii="Calibri" w:hAnsi="Calibri" w:cstheme="minorHAnsi"/>
          <w:szCs w:val="24"/>
        </w:rPr>
      </w:pPr>
    </w:p>
    <w:p w14:paraId="469D6D8C" w14:textId="77777777" w:rsidR="001E3D70" w:rsidRPr="00FB4BB3" w:rsidRDefault="001E3D70" w:rsidP="001E3D70">
      <w:pPr>
        <w:rPr>
          <w:rFonts w:ascii="Calibri" w:hAnsi="Calibri" w:cstheme="minorHAnsi"/>
          <w:szCs w:val="24"/>
        </w:rPr>
      </w:pPr>
    </w:p>
    <w:p w14:paraId="2DD9F853" w14:textId="4473E16F" w:rsidR="00663130" w:rsidRPr="00FB4BB3" w:rsidRDefault="002A0B04" w:rsidP="002A0B04">
      <w:pPr>
        <w:pStyle w:val="Heading1"/>
        <w:rPr>
          <w:rFonts w:ascii="Calibri" w:hAnsi="Calibri" w:cstheme="minorHAnsi"/>
          <w:szCs w:val="24"/>
        </w:rPr>
      </w:pPr>
      <w:bookmarkStart w:id="10" w:name="_Toc213531923"/>
      <w:r w:rsidRPr="00FB4BB3">
        <w:rPr>
          <w:rFonts w:ascii="Calibri" w:hAnsi="Calibri" w:cstheme="minorHAnsi"/>
          <w:szCs w:val="24"/>
        </w:rPr>
        <w:t>8.0 References</w:t>
      </w:r>
      <w:bookmarkEnd w:id="10"/>
      <w:r w:rsidRPr="00FB4BB3">
        <w:rPr>
          <w:rFonts w:ascii="Calibri" w:hAnsi="Calibri" w:cstheme="minorHAnsi"/>
          <w:szCs w:val="24"/>
        </w:rPr>
        <w:t xml:space="preserve"> </w:t>
      </w:r>
    </w:p>
    <w:p w14:paraId="773FBA30" w14:textId="77777777" w:rsidR="00C41F1A" w:rsidRPr="00FB4BB3" w:rsidRDefault="00C41F1A" w:rsidP="00C41F1A">
      <w:pPr>
        <w:ind w:left="720" w:hanging="720"/>
        <w:rPr>
          <w:rFonts w:ascii="Calibri" w:hAnsi="Calibri" w:cstheme="minorHAnsi"/>
          <w:szCs w:val="24"/>
          <w:lang w:eastAsia="en-US"/>
        </w:rPr>
      </w:pPr>
      <w:r w:rsidRPr="00FB4BB3">
        <w:rPr>
          <w:rFonts w:ascii="Calibri" w:hAnsi="Calibri" w:cstheme="minorHAnsi"/>
          <w:szCs w:val="24"/>
          <w:lang w:eastAsia="en-US"/>
        </w:rPr>
        <w:t xml:space="preserve">Bloomfield, K. (2023) ‘Maintaining trust during organisational change: The John Lewis Partnership case’, </w:t>
      </w:r>
      <w:r w:rsidRPr="00FB4BB3">
        <w:rPr>
          <w:rFonts w:ascii="Calibri" w:hAnsi="Calibri" w:cstheme="minorHAnsi"/>
          <w:i/>
          <w:iCs/>
          <w:szCs w:val="24"/>
          <w:lang w:eastAsia="en-US"/>
        </w:rPr>
        <w:t>Journal of Retail Management</w:t>
      </w:r>
      <w:r w:rsidRPr="00FB4BB3">
        <w:rPr>
          <w:rFonts w:ascii="Calibri" w:hAnsi="Calibri" w:cstheme="minorHAnsi"/>
          <w:szCs w:val="24"/>
          <w:lang w:eastAsia="en-US"/>
        </w:rPr>
        <w:t>, 15(2), pp. 44–62.</w:t>
      </w:r>
    </w:p>
    <w:p w14:paraId="114B4D78" w14:textId="77777777" w:rsidR="00C41F1A" w:rsidRPr="00FB4BB3" w:rsidRDefault="00C41F1A" w:rsidP="00C41F1A">
      <w:pPr>
        <w:ind w:left="720" w:hanging="720"/>
        <w:rPr>
          <w:rFonts w:ascii="Calibri" w:hAnsi="Calibri" w:cstheme="minorHAnsi"/>
          <w:szCs w:val="24"/>
          <w:lang w:eastAsia="en-US"/>
        </w:rPr>
      </w:pPr>
      <w:proofErr w:type="spellStart"/>
      <w:r w:rsidRPr="00FB4BB3">
        <w:rPr>
          <w:rFonts w:ascii="Calibri" w:eastAsia="Times New Roman" w:hAnsi="Calibri" w:cstheme="minorHAnsi"/>
          <w:color w:val="auto"/>
          <w:szCs w:val="24"/>
          <w:lang w:eastAsia="en-US"/>
        </w:rPr>
        <w:t>Caulkin</w:t>
      </w:r>
      <w:proofErr w:type="spellEnd"/>
      <w:r w:rsidRPr="00FB4BB3">
        <w:rPr>
          <w:rFonts w:ascii="Calibri" w:eastAsia="Times New Roman" w:hAnsi="Calibri" w:cstheme="minorHAnsi"/>
          <w:color w:val="auto"/>
          <w:szCs w:val="24"/>
          <w:lang w:eastAsia="en-US"/>
        </w:rPr>
        <w:t xml:space="preserve">, S. (2021) ‘Partnership and organisational performance: Lessons from John Lewis’, </w:t>
      </w:r>
      <w:r w:rsidRPr="00FB4BB3">
        <w:rPr>
          <w:rFonts w:ascii="Calibri" w:eastAsia="Times New Roman" w:hAnsi="Calibri" w:cstheme="minorHAnsi"/>
          <w:i/>
          <w:iCs/>
          <w:color w:val="auto"/>
          <w:szCs w:val="24"/>
          <w:lang w:eastAsia="en-US"/>
        </w:rPr>
        <w:t>Business Ethics Quarterly</w:t>
      </w:r>
      <w:r w:rsidRPr="00FB4BB3">
        <w:rPr>
          <w:rFonts w:ascii="Calibri" w:eastAsia="Times New Roman" w:hAnsi="Calibri" w:cstheme="minorHAnsi"/>
          <w:color w:val="auto"/>
          <w:szCs w:val="24"/>
          <w:lang w:eastAsia="en-US"/>
        </w:rPr>
        <w:t>, 31(4), pp. 556–580.</w:t>
      </w:r>
    </w:p>
    <w:p w14:paraId="22F004D4" w14:textId="77777777" w:rsidR="00C41F1A" w:rsidRPr="00FB4BB3" w:rsidRDefault="00C41F1A" w:rsidP="00C41F1A">
      <w:pPr>
        <w:ind w:left="720" w:hanging="720"/>
        <w:rPr>
          <w:rFonts w:ascii="Calibri" w:hAnsi="Calibri" w:cstheme="minorHAnsi"/>
          <w:szCs w:val="24"/>
          <w:lang w:eastAsia="en-US"/>
        </w:rPr>
      </w:pPr>
      <w:r w:rsidRPr="00FB4BB3">
        <w:rPr>
          <w:rFonts w:ascii="Calibri" w:eastAsia="Times New Roman" w:hAnsi="Calibri" w:cstheme="minorHAnsi"/>
          <w:color w:val="auto"/>
          <w:szCs w:val="24"/>
          <w:lang w:eastAsia="en-US"/>
        </w:rPr>
        <w:t xml:space="preserve">Dawson, A. and Lord, C. (2022) ‘Employee ownership and resilience during market disruption’, </w:t>
      </w:r>
      <w:r w:rsidRPr="00FB4BB3">
        <w:rPr>
          <w:rFonts w:ascii="Calibri" w:eastAsia="Times New Roman" w:hAnsi="Calibri" w:cstheme="minorHAnsi"/>
          <w:i/>
          <w:iCs/>
          <w:color w:val="auto"/>
          <w:szCs w:val="24"/>
          <w:lang w:eastAsia="en-US"/>
        </w:rPr>
        <w:t>International Journal of Retail and Distribution Management</w:t>
      </w:r>
      <w:r w:rsidRPr="00FB4BB3">
        <w:rPr>
          <w:rFonts w:ascii="Calibri" w:eastAsia="Times New Roman" w:hAnsi="Calibri" w:cstheme="minorHAnsi"/>
          <w:color w:val="auto"/>
          <w:szCs w:val="24"/>
          <w:lang w:eastAsia="en-US"/>
        </w:rPr>
        <w:t>, 50(6), pp. 789–807.</w:t>
      </w:r>
    </w:p>
    <w:p w14:paraId="4C9A73E5" w14:textId="77777777" w:rsidR="00C41F1A" w:rsidRPr="00FB4BB3" w:rsidRDefault="00C41F1A" w:rsidP="00C41F1A">
      <w:pPr>
        <w:ind w:left="720" w:hanging="720"/>
        <w:rPr>
          <w:rFonts w:ascii="Calibri" w:hAnsi="Calibri" w:cstheme="minorHAnsi"/>
          <w:szCs w:val="24"/>
          <w:lang w:eastAsia="en-US"/>
        </w:rPr>
      </w:pPr>
      <w:r w:rsidRPr="00FB4BB3">
        <w:rPr>
          <w:rFonts w:ascii="Calibri" w:eastAsia="Times New Roman" w:hAnsi="Calibri" w:cstheme="minorHAnsi"/>
          <w:color w:val="auto"/>
          <w:szCs w:val="24"/>
          <w:lang w:eastAsia="en-US"/>
        </w:rPr>
        <w:t xml:space="preserve">Handy, C. (2019) </w:t>
      </w:r>
      <w:r w:rsidRPr="00FB4BB3">
        <w:rPr>
          <w:rFonts w:ascii="Calibri" w:eastAsia="Times New Roman" w:hAnsi="Calibri" w:cstheme="minorHAnsi"/>
          <w:i/>
          <w:iCs/>
          <w:color w:val="auto"/>
          <w:szCs w:val="24"/>
          <w:lang w:eastAsia="en-US"/>
        </w:rPr>
        <w:t>Understanding Organisations</w:t>
      </w:r>
      <w:r w:rsidRPr="00FB4BB3">
        <w:rPr>
          <w:rFonts w:ascii="Calibri" w:eastAsia="Times New Roman" w:hAnsi="Calibri" w:cstheme="minorHAnsi"/>
          <w:color w:val="auto"/>
          <w:szCs w:val="24"/>
          <w:lang w:eastAsia="en-US"/>
        </w:rPr>
        <w:t>. London: Penguin.</w:t>
      </w:r>
    </w:p>
    <w:p w14:paraId="3ACDD207" w14:textId="77777777" w:rsidR="00C41F1A" w:rsidRPr="00FB4BB3" w:rsidRDefault="00C41F1A" w:rsidP="00C41F1A">
      <w:pPr>
        <w:ind w:left="720" w:hanging="720"/>
        <w:rPr>
          <w:rFonts w:ascii="Calibri" w:hAnsi="Calibri" w:cstheme="minorHAnsi"/>
          <w:szCs w:val="24"/>
          <w:lang w:eastAsia="en-US"/>
        </w:rPr>
      </w:pPr>
      <w:proofErr w:type="spellStart"/>
      <w:r w:rsidRPr="00FB4BB3">
        <w:rPr>
          <w:rFonts w:ascii="Calibri" w:eastAsia="Times New Roman" w:hAnsi="Calibri" w:cstheme="minorHAnsi"/>
          <w:color w:val="auto"/>
          <w:szCs w:val="24"/>
          <w:lang w:eastAsia="en-US"/>
        </w:rPr>
        <w:t>Kouzelis</w:t>
      </w:r>
      <w:proofErr w:type="spellEnd"/>
      <w:r w:rsidRPr="00FB4BB3">
        <w:rPr>
          <w:rFonts w:ascii="Calibri" w:eastAsia="Times New Roman" w:hAnsi="Calibri" w:cstheme="minorHAnsi"/>
          <w:color w:val="auto"/>
          <w:szCs w:val="24"/>
          <w:lang w:eastAsia="en-US"/>
        </w:rPr>
        <w:t xml:space="preserve">, G. (2020) ‘Democratic governance and organisational identity in employee-owned firms’, </w:t>
      </w:r>
      <w:r w:rsidRPr="00FB4BB3">
        <w:rPr>
          <w:rFonts w:ascii="Calibri" w:eastAsia="Times New Roman" w:hAnsi="Calibri" w:cstheme="minorHAnsi"/>
          <w:i/>
          <w:iCs/>
          <w:color w:val="auto"/>
          <w:szCs w:val="24"/>
          <w:lang w:eastAsia="en-US"/>
        </w:rPr>
        <w:t>Organisation Studies</w:t>
      </w:r>
      <w:r w:rsidRPr="00FB4BB3">
        <w:rPr>
          <w:rFonts w:ascii="Calibri" w:eastAsia="Times New Roman" w:hAnsi="Calibri" w:cstheme="minorHAnsi"/>
          <w:color w:val="auto"/>
          <w:szCs w:val="24"/>
          <w:lang w:eastAsia="en-US"/>
        </w:rPr>
        <w:t>, 41(9), pp. 1245–1268.</w:t>
      </w:r>
    </w:p>
    <w:p w14:paraId="5B9F1710" w14:textId="77777777" w:rsidR="00C41F1A" w:rsidRPr="00FB4BB3" w:rsidRDefault="00C41F1A" w:rsidP="00C41F1A">
      <w:pPr>
        <w:ind w:left="720" w:hanging="720"/>
        <w:rPr>
          <w:rFonts w:ascii="Calibri" w:hAnsi="Calibri" w:cstheme="minorHAnsi"/>
          <w:szCs w:val="24"/>
          <w:lang w:eastAsia="en-US"/>
        </w:rPr>
      </w:pPr>
      <w:proofErr w:type="spellStart"/>
      <w:r w:rsidRPr="00FB4BB3">
        <w:rPr>
          <w:rFonts w:ascii="Calibri" w:eastAsia="Times New Roman" w:hAnsi="Calibri" w:cstheme="minorHAnsi"/>
          <w:color w:val="auto"/>
          <w:szCs w:val="24"/>
          <w:lang w:eastAsia="en-US"/>
        </w:rPr>
        <w:t>Milsome</w:t>
      </w:r>
      <w:proofErr w:type="spellEnd"/>
      <w:r w:rsidRPr="00FB4BB3">
        <w:rPr>
          <w:rFonts w:ascii="Calibri" w:eastAsia="Times New Roman" w:hAnsi="Calibri" w:cstheme="minorHAnsi"/>
          <w:color w:val="auto"/>
          <w:szCs w:val="24"/>
          <w:lang w:eastAsia="en-US"/>
        </w:rPr>
        <w:t xml:space="preserve">, J. (2019) ‘Collective culture and employee identity in retail organisations’, </w:t>
      </w:r>
      <w:r w:rsidRPr="00FB4BB3">
        <w:rPr>
          <w:rFonts w:ascii="Calibri" w:eastAsia="Times New Roman" w:hAnsi="Calibri" w:cstheme="minorHAnsi"/>
          <w:i/>
          <w:iCs/>
          <w:color w:val="auto"/>
          <w:szCs w:val="24"/>
          <w:lang w:eastAsia="en-US"/>
        </w:rPr>
        <w:t>Journal of Organisational Behaviour</w:t>
      </w:r>
      <w:r w:rsidRPr="00FB4BB3">
        <w:rPr>
          <w:rFonts w:ascii="Calibri" w:eastAsia="Times New Roman" w:hAnsi="Calibri" w:cstheme="minorHAnsi"/>
          <w:color w:val="auto"/>
          <w:szCs w:val="24"/>
          <w:lang w:eastAsia="en-US"/>
        </w:rPr>
        <w:t>, 40(2), pp. 215–233.</w:t>
      </w:r>
    </w:p>
    <w:p w14:paraId="6371B832" w14:textId="22978858" w:rsidR="00C41F1A" w:rsidRPr="00FB4BB3" w:rsidRDefault="00C41F1A" w:rsidP="00C41F1A">
      <w:pPr>
        <w:ind w:left="720" w:hanging="720"/>
        <w:rPr>
          <w:rFonts w:ascii="Calibri" w:eastAsia="Times New Roman" w:hAnsi="Calibri" w:cstheme="minorHAnsi"/>
          <w:color w:val="auto"/>
          <w:szCs w:val="24"/>
          <w:lang w:eastAsia="en-US"/>
        </w:rPr>
      </w:pPr>
      <w:r w:rsidRPr="00FB4BB3">
        <w:rPr>
          <w:rFonts w:ascii="Calibri" w:eastAsia="Times New Roman" w:hAnsi="Calibri" w:cstheme="minorHAnsi"/>
          <w:color w:val="auto"/>
          <w:szCs w:val="24"/>
          <w:lang w:eastAsia="en-US"/>
        </w:rPr>
        <w:t xml:space="preserve">Mullins, L. and Christy, G. (2016) </w:t>
      </w:r>
      <w:r w:rsidRPr="00FB4BB3">
        <w:rPr>
          <w:rFonts w:ascii="Calibri" w:eastAsia="Times New Roman" w:hAnsi="Calibri" w:cstheme="minorHAnsi"/>
          <w:i/>
          <w:iCs/>
          <w:color w:val="auto"/>
          <w:szCs w:val="24"/>
          <w:lang w:eastAsia="en-US"/>
        </w:rPr>
        <w:t>Management &amp; Organisational Behaviour</w:t>
      </w:r>
      <w:r w:rsidRPr="00FB4BB3">
        <w:rPr>
          <w:rFonts w:ascii="Calibri" w:eastAsia="Times New Roman" w:hAnsi="Calibri" w:cstheme="minorHAnsi"/>
          <w:color w:val="auto"/>
          <w:szCs w:val="24"/>
          <w:lang w:eastAsia="en-US"/>
        </w:rPr>
        <w:t xml:space="preserve">. 11th </w:t>
      </w:r>
      <w:proofErr w:type="spellStart"/>
      <w:r w:rsidRPr="00FB4BB3">
        <w:rPr>
          <w:rFonts w:ascii="Calibri" w:eastAsia="Times New Roman" w:hAnsi="Calibri" w:cstheme="minorHAnsi"/>
          <w:color w:val="auto"/>
          <w:szCs w:val="24"/>
          <w:lang w:eastAsia="en-US"/>
        </w:rPr>
        <w:t>edn</w:t>
      </w:r>
      <w:proofErr w:type="spellEnd"/>
      <w:r w:rsidRPr="00FB4BB3">
        <w:rPr>
          <w:rFonts w:ascii="Calibri" w:eastAsia="Times New Roman" w:hAnsi="Calibri" w:cstheme="minorHAnsi"/>
          <w:color w:val="auto"/>
          <w:szCs w:val="24"/>
          <w:lang w:eastAsia="en-US"/>
        </w:rPr>
        <w:t>. Harlow: Pearson.</w:t>
      </w:r>
    </w:p>
    <w:p w14:paraId="2A564D3F" w14:textId="670B2BF3" w:rsidR="00024935" w:rsidRPr="00FB4BB3" w:rsidRDefault="00024935" w:rsidP="00C41F1A">
      <w:pPr>
        <w:ind w:left="720" w:hanging="720"/>
        <w:rPr>
          <w:rFonts w:ascii="Calibri" w:eastAsia="Times New Roman" w:hAnsi="Calibri" w:cstheme="minorHAnsi"/>
          <w:color w:val="auto"/>
          <w:szCs w:val="24"/>
          <w:lang w:eastAsia="en-US"/>
        </w:rPr>
      </w:pPr>
      <w:r w:rsidRPr="00FB4BB3">
        <w:rPr>
          <w:rFonts w:ascii="Calibri" w:eastAsia="Times New Roman" w:hAnsi="Calibri" w:cstheme="minorHAnsi"/>
          <w:color w:val="auto"/>
          <w:szCs w:val="24"/>
          <w:lang w:eastAsia="en-US"/>
        </w:rPr>
        <w:t>Mullins, L., &amp; Christy, G. (2016). Management &amp; Organisational Behaviour (Eleventh ed., Always learning).</w:t>
      </w:r>
    </w:p>
    <w:p w14:paraId="3BA42EE9" w14:textId="77777777" w:rsidR="00C41F1A" w:rsidRPr="00FB4BB3" w:rsidRDefault="00C41F1A" w:rsidP="00C41F1A">
      <w:pPr>
        <w:ind w:left="720" w:hanging="720"/>
        <w:rPr>
          <w:rFonts w:ascii="Calibri" w:hAnsi="Calibri" w:cstheme="minorHAnsi"/>
          <w:szCs w:val="24"/>
          <w:lang w:eastAsia="en-US"/>
        </w:rPr>
      </w:pPr>
      <w:r w:rsidRPr="00FB4BB3">
        <w:rPr>
          <w:rFonts w:ascii="Calibri" w:eastAsia="Times New Roman" w:hAnsi="Calibri" w:cstheme="minorHAnsi"/>
          <w:color w:val="auto"/>
          <w:szCs w:val="24"/>
          <w:lang w:eastAsia="en-US"/>
        </w:rPr>
        <w:t xml:space="preserve">Nolan, T. (2018) ‘Agility in retail decision-making’, </w:t>
      </w:r>
      <w:r w:rsidRPr="00FB4BB3">
        <w:rPr>
          <w:rFonts w:ascii="Calibri" w:eastAsia="Times New Roman" w:hAnsi="Calibri" w:cstheme="minorHAnsi"/>
          <w:i/>
          <w:iCs/>
          <w:color w:val="auto"/>
          <w:szCs w:val="24"/>
          <w:lang w:eastAsia="en-US"/>
        </w:rPr>
        <w:t>Journal of Retail Innovation</w:t>
      </w:r>
      <w:r w:rsidRPr="00FB4BB3">
        <w:rPr>
          <w:rFonts w:ascii="Calibri" w:eastAsia="Times New Roman" w:hAnsi="Calibri" w:cstheme="minorHAnsi"/>
          <w:color w:val="auto"/>
          <w:szCs w:val="24"/>
          <w:lang w:eastAsia="en-US"/>
        </w:rPr>
        <w:t>, 12(3), pp. 98–115.</w:t>
      </w:r>
    </w:p>
    <w:p w14:paraId="52DC0C5C" w14:textId="77777777" w:rsidR="00C41F1A" w:rsidRPr="00FB4BB3" w:rsidRDefault="00C41F1A" w:rsidP="00C41F1A">
      <w:pPr>
        <w:ind w:left="720" w:hanging="720"/>
        <w:rPr>
          <w:rFonts w:ascii="Calibri" w:hAnsi="Calibri" w:cstheme="minorHAnsi"/>
          <w:szCs w:val="24"/>
          <w:lang w:eastAsia="en-US"/>
        </w:rPr>
      </w:pPr>
      <w:r w:rsidRPr="00FB4BB3">
        <w:rPr>
          <w:rFonts w:ascii="Calibri" w:eastAsia="Times New Roman" w:hAnsi="Calibri" w:cstheme="minorHAnsi"/>
          <w:color w:val="auto"/>
          <w:szCs w:val="24"/>
          <w:lang w:eastAsia="en-US"/>
        </w:rPr>
        <w:t xml:space="preserve">Parsons, D. (2021) ‘Ethics and long-termism in retail business culture’, </w:t>
      </w:r>
      <w:r w:rsidRPr="00FB4BB3">
        <w:rPr>
          <w:rFonts w:ascii="Calibri" w:eastAsia="Times New Roman" w:hAnsi="Calibri" w:cstheme="minorHAnsi"/>
          <w:i/>
          <w:iCs/>
          <w:color w:val="auto"/>
          <w:szCs w:val="24"/>
          <w:lang w:eastAsia="en-US"/>
        </w:rPr>
        <w:t>Journal of Business Ethics</w:t>
      </w:r>
      <w:r w:rsidRPr="00FB4BB3">
        <w:rPr>
          <w:rFonts w:ascii="Calibri" w:eastAsia="Times New Roman" w:hAnsi="Calibri" w:cstheme="minorHAnsi"/>
          <w:color w:val="auto"/>
          <w:szCs w:val="24"/>
          <w:lang w:eastAsia="en-US"/>
        </w:rPr>
        <w:t>, 168(4), pp. 677–690.</w:t>
      </w:r>
    </w:p>
    <w:p w14:paraId="0E99A4F6" w14:textId="77777777" w:rsidR="00C41F1A" w:rsidRPr="00FB4BB3" w:rsidRDefault="00C41F1A" w:rsidP="00C41F1A">
      <w:pPr>
        <w:ind w:left="720" w:hanging="720"/>
        <w:rPr>
          <w:rFonts w:ascii="Calibri" w:hAnsi="Calibri" w:cstheme="minorHAnsi"/>
          <w:szCs w:val="24"/>
          <w:lang w:eastAsia="en-US"/>
        </w:rPr>
      </w:pPr>
      <w:r w:rsidRPr="00FB4BB3">
        <w:rPr>
          <w:rFonts w:ascii="Calibri" w:eastAsia="Times New Roman" w:hAnsi="Calibri" w:cstheme="minorHAnsi"/>
          <w:color w:val="auto"/>
          <w:szCs w:val="24"/>
          <w:lang w:eastAsia="en-US"/>
        </w:rPr>
        <w:t xml:space="preserve">Rao, H. (2021) ‘Collectivism in organisational culture and its implications for performance’, </w:t>
      </w:r>
      <w:r w:rsidRPr="00FB4BB3">
        <w:rPr>
          <w:rFonts w:ascii="Calibri" w:eastAsia="Times New Roman" w:hAnsi="Calibri" w:cstheme="minorHAnsi"/>
          <w:i/>
          <w:iCs/>
          <w:color w:val="auto"/>
          <w:szCs w:val="24"/>
          <w:lang w:eastAsia="en-US"/>
        </w:rPr>
        <w:t>Management Review Quarterly</w:t>
      </w:r>
      <w:r w:rsidRPr="00FB4BB3">
        <w:rPr>
          <w:rFonts w:ascii="Calibri" w:eastAsia="Times New Roman" w:hAnsi="Calibri" w:cstheme="minorHAnsi"/>
          <w:color w:val="auto"/>
          <w:szCs w:val="24"/>
          <w:lang w:eastAsia="en-US"/>
        </w:rPr>
        <w:t>, 71(2), pp. 333–349.</w:t>
      </w:r>
    </w:p>
    <w:p w14:paraId="1A85E0E4" w14:textId="61E7A45E" w:rsidR="00C41F1A" w:rsidRPr="00FB4BB3" w:rsidRDefault="00C41F1A" w:rsidP="00C41F1A">
      <w:pPr>
        <w:ind w:left="720" w:hanging="720"/>
        <w:rPr>
          <w:rFonts w:ascii="Calibri" w:hAnsi="Calibri" w:cstheme="minorHAnsi"/>
          <w:szCs w:val="24"/>
          <w:lang w:eastAsia="en-US"/>
        </w:rPr>
      </w:pPr>
      <w:r w:rsidRPr="00FB4BB3">
        <w:rPr>
          <w:rFonts w:ascii="Calibri" w:eastAsia="Times New Roman" w:hAnsi="Calibri" w:cstheme="minorHAnsi"/>
          <w:color w:val="auto"/>
          <w:szCs w:val="24"/>
          <w:lang w:eastAsia="en-US"/>
        </w:rPr>
        <w:t xml:space="preserve">Simpson, R. (2022) ‘Cultural resistance and change in employee-owned firms’, </w:t>
      </w:r>
      <w:r w:rsidRPr="00FB4BB3">
        <w:rPr>
          <w:rFonts w:ascii="Calibri" w:eastAsia="Times New Roman" w:hAnsi="Calibri" w:cstheme="minorHAnsi"/>
          <w:i/>
          <w:iCs/>
          <w:color w:val="auto"/>
          <w:szCs w:val="24"/>
          <w:lang w:eastAsia="en-US"/>
        </w:rPr>
        <w:t>Human Relations</w:t>
      </w:r>
      <w:r w:rsidRPr="00FB4BB3">
        <w:rPr>
          <w:rFonts w:ascii="Calibri" w:eastAsia="Times New Roman" w:hAnsi="Calibri" w:cstheme="minorHAnsi"/>
          <w:color w:val="auto"/>
          <w:szCs w:val="24"/>
          <w:lang w:eastAsia="en-US"/>
        </w:rPr>
        <w:t>, 75(10), pp. 1954–1972.</w:t>
      </w:r>
    </w:p>
    <w:sectPr w:rsidR="00C41F1A" w:rsidRPr="00FB4BB3" w:rsidSect="0002493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2AC9D" w14:textId="77777777" w:rsidR="00663DF8" w:rsidRDefault="00663DF8" w:rsidP="00E43461">
      <w:pPr>
        <w:spacing w:after="0" w:line="240" w:lineRule="auto"/>
      </w:pPr>
      <w:r>
        <w:separator/>
      </w:r>
    </w:p>
  </w:endnote>
  <w:endnote w:type="continuationSeparator" w:id="0">
    <w:p w14:paraId="1020DD07" w14:textId="77777777" w:rsidR="00663DF8" w:rsidRDefault="00663DF8" w:rsidP="00E43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A0650" w14:textId="77777777" w:rsidR="00E43461" w:rsidRDefault="00E434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40D08" w14:textId="77777777" w:rsidR="00E43461" w:rsidRDefault="00E434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01D13" w14:textId="77777777" w:rsidR="00E43461" w:rsidRDefault="00E434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C2446" w14:textId="77777777" w:rsidR="00663DF8" w:rsidRDefault="00663DF8" w:rsidP="00E43461">
      <w:pPr>
        <w:spacing w:after="0" w:line="240" w:lineRule="auto"/>
      </w:pPr>
      <w:r>
        <w:separator/>
      </w:r>
    </w:p>
  </w:footnote>
  <w:footnote w:type="continuationSeparator" w:id="0">
    <w:p w14:paraId="15817680" w14:textId="77777777" w:rsidR="00663DF8" w:rsidRDefault="00663DF8" w:rsidP="00E434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08BD0" w14:textId="77777777" w:rsidR="00E43461" w:rsidRDefault="00E434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CF5D0" w14:textId="77777777" w:rsidR="00E43461" w:rsidRDefault="00E434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8ED4F" w14:textId="77777777" w:rsidR="00E43461" w:rsidRDefault="00E434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B67713"/>
    <w:multiLevelType w:val="multilevel"/>
    <w:tmpl w:val="D79C0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4558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8"/>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45918"/>
    <w:rsid w:val="00024935"/>
    <w:rsid w:val="000C21B7"/>
    <w:rsid w:val="001216F4"/>
    <w:rsid w:val="001E3D70"/>
    <w:rsid w:val="0027533F"/>
    <w:rsid w:val="002A0B04"/>
    <w:rsid w:val="004226EA"/>
    <w:rsid w:val="00663130"/>
    <w:rsid w:val="00663DF8"/>
    <w:rsid w:val="00690060"/>
    <w:rsid w:val="006A4C8B"/>
    <w:rsid w:val="00753110"/>
    <w:rsid w:val="008E130D"/>
    <w:rsid w:val="00924014"/>
    <w:rsid w:val="00945918"/>
    <w:rsid w:val="009D0314"/>
    <w:rsid w:val="009E2AC6"/>
    <w:rsid w:val="00A602DC"/>
    <w:rsid w:val="00BD5189"/>
    <w:rsid w:val="00C41F1A"/>
    <w:rsid w:val="00E43461"/>
    <w:rsid w:val="00EB76F2"/>
    <w:rsid w:val="00F16D4C"/>
    <w:rsid w:val="00F41FCF"/>
    <w:rsid w:val="00F44B74"/>
    <w:rsid w:val="00F65314"/>
    <w:rsid w:val="00FB0B09"/>
    <w:rsid w:val="00FB4B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E17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FCF"/>
    <w:pPr>
      <w:spacing w:line="360" w:lineRule="auto"/>
      <w:jc w:val="both"/>
    </w:pPr>
    <w:rPr>
      <w:rFonts w:ascii="Times New Roman" w:hAnsi="Times New Roman" w:cs="Calibri"/>
      <w:color w:val="000000"/>
      <w:sz w:val="24"/>
      <w:lang w:val="en-GB" w:eastAsia="en-GB"/>
    </w:rPr>
  </w:style>
  <w:style w:type="paragraph" w:styleId="Heading1">
    <w:name w:val="heading 1"/>
    <w:basedOn w:val="Normal"/>
    <w:next w:val="Normal"/>
    <w:link w:val="Heading1Char"/>
    <w:uiPriority w:val="9"/>
    <w:qFormat/>
    <w:rsid w:val="00690060"/>
    <w:pPr>
      <w:keepNext/>
      <w:keepLines/>
      <w:spacing w:before="240" w:after="0" w:line="240" w:lineRule="auto"/>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690060"/>
    <w:pPr>
      <w:keepNext/>
      <w:keepLines/>
      <w:spacing w:before="40" w:after="0" w:line="240" w:lineRule="auto"/>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753110"/>
    <w:pPr>
      <w:keepNext/>
      <w:keepLines/>
      <w:spacing w:before="40" w:after="0" w:line="240" w:lineRule="auto"/>
      <w:outlineLvl w:val="2"/>
    </w:pPr>
    <w:rPr>
      <w:rFonts w:eastAsiaTheme="majorEastAsia" w:cstheme="majorBidi"/>
      <w:b/>
      <w: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060"/>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690060"/>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semiHidden/>
    <w:rsid w:val="00753110"/>
    <w:rPr>
      <w:rFonts w:ascii="Times New Roman" w:eastAsiaTheme="majorEastAsia" w:hAnsi="Times New Roman" w:cstheme="majorBidi"/>
      <w:b/>
      <w:i/>
      <w:color w:val="1F3763" w:themeColor="accent1" w:themeShade="7F"/>
      <w:sz w:val="24"/>
      <w:szCs w:val="24"/>
    </w:rPr>
  </w:style>
  <w:style w:type="paragraph" w:styleId="NormalWeb">
    <w:name w:val="Normal (Web)"/>
    <w:basedOn w:val="Normal"/>
    <w:uiPriority w:val="99"/>
    <w:semiHidden/>
    <w:unhideWhenUsed/>
    <w:rsid w:val="00A602DC"/>
    <w:pPr>
      <w:spacing w:before="100" w:beforeAutospacing="1" w:after="100" w:afterAutospacing="1" w:line="240" w:lineRule="auto"/>
      <w:jc w:val="left"/>
    </w:pPr>
    <w:rPr>
      <w:rFonts w:eastAsia="Times New Roman" w:cs="Times New Roman"/>
      <w:color w:val="auto"/>
      <w:szCs w:val="24"/>
      <w:lang w:val="en-US" w:eastAsia="en-US"/>
    </w:rPr>
  </w:style>
  <w:style w:type="character" w:styleId="Strong">
    <w:name w:val="Strong"/>
    <w:basedOn w:val="DefaultParagraphFont"/>
    <w:uiPriority w:val="22"/>
    <w:qFormat/>
    <w:rsid w:val="00A602DC"/>
    <w:rPr>
      <w:b/>
      <w:bCs/>
    </w:rPr>
  </w:style>
  <w:style w:type="paragraph" w:styleId="TOCHeading">
    <w:name w:val="TOC Heading"/>
    <w:basedOn w:val="Heading1"/>
    <w:next w:val="Normal"/>
    <w:uiPriority w:val="39"/>
    <w:unhideWhenUsed/>
    <w:qFormat/>
    <w:rsid w:val="00C41F1A"/>
    <w:pPr>
      <w:spacing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C41F1A"/>
    <w:pPr>
      <w:spacing w:after="100"/>
    </w:pPr>
  </w:style>
  <w:style w:type="paragraph" w:styleId="TOC2">
    <w:name w:val="toc 2"/>
    <w:basedOn w:val="Normal"/>
    <w:next w:val="Normal"/>
    <w:autoRedefine/>
    <w:uiPriority w:val="39"/>
    <w:unhideWhenUsed/>
    <w:rsid w:val="00C41F1A"/>
    <w:pPr>
      <w:spacing w:after="100"/>
      <w:ind w:left="240"/>
    </w:pPr>
  </w:style>
  <w:style w:type="character" w:styleId="Hyperlink">
    <w:name w:val="Hyperlink"/>
    <w:basedOn w:val="DefaultParagraphFont"/>
    <w:uiPriority w:val="99"/>
    <w:unhideWhenUsed/>
    <w:rsid w:val="00C41F1A"/>
    <w:rPr>
      <w:color w:val="0563C1" w:themeColor="hyperlink"/>
      <w:u w:val="single"/>
    </w:rPr>
  </w:style>
  <w:style w:type="character" w:styleId="Emphasis">
    <w:name w:val="Emphasis"/>
    <w:basedOn w:val="DefaultParagraphFont"/>
    <w:uiPriority w:val="20"/>
    <w:qFormat/>
    <w:rsid w:val="00C41F1A"/>
    <w:rPr>
      <w:i/>
      <w:iCs/>
    </w:rPr>
  </w:style>
  <w:style w:type="paragraph" w:customStyle="1" w:styleId="TableParagraph">
    <w:name w:val="Table Paragraph"/>
    <w:basedOn w:val="Normal"/>
    <w:uiPriority w:val="1"/>
    <w:qFormat/>
    <w:rsid w:val="009E2AC6"/>
    <w:pPr>
      <w:widowControl w:val="0"/>
      <w:spacing w:after="0" w:line="240" w:lineRule="auto"/>
      <w:jc w:val="left"/>
    </w:pPr>
    <w:rPr>
      <w:rFonts w:ascii="Arial" w:eastAsia="Arial" w:hAnsi="Arial" w:cs="Arial"/>
      <w:color w:val="auto"/>
      <w:sz w:val="22"/>
      <w:lang w:val="en-US" w:eastAsia="en-US"/>
    </w:rPr>
  </w:style>
  <w:style w:type="paragraph" w:styleId="BalloonText">
    <w:name w:val="Balloon Text"/>
    <w:basedOn w:val="Normal"/>
    <w:link w:val="BalloonTextChar"/>
    <w:uiPriority w:val="99"/>
    <w:semiHidden/>
    <w:unhideWhenUsed/>
    <w:rsid w:val="00FB4B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BB3"/>
    <w:rPr>
      <w:rFonts w:ascii="Tahoma" w:hAnsi="Tahoma" w:cs="Tahoma"/>
      <w:color w:val="000000"/>
      <w:sz w:val="16"/>
      <w:szCs w:val="16"/>
      <w:lang w:val="en-GB" w:eastAsia="en-GB"/>
    </w:rPr>
  </w:style>
  <w:style w:type="paragraph" w:styleId="Header">
    <w:name w:val="header"/>
    <w:basedOn w:val="Normal"/>
    <w:link w:val="HeaderChar"/>
    <w:uiPriority w:val="99"/>
    <w:unhideWhenUsed/>
    <w:rsid w:val="00E434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3461"/>
    <w:rPr>
      <w:rFonts w:ascii="Times New Roman" w:hAnsi="Times New Roman" w:cs="Calibri"/>
      <w:color w:val="000000"/>
      <w:sz w:val="24"/>
      <w:lang w:val="en-GB" w:eastAsia="en-GB"/>
    </w:rPr>
  </w:style>
  <w:style w:type="paragraph" w:styleId="Footer">
    <w:name w:val="footer"/>
    <w:basedOn w:val="Normal"/>
    <w:link w:val="FooterChar"/>
    <w:uiPriority w:val="99"/>
    <w:unhideWhenUsed/>
    <w:rsid w:val="00E434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3461"/>
    <w:rPr>
      <w:rFonts w:ascii="Times New Roman" w:hAnsi="Times New Roman" w:cs="Calibri"/>
      <w:color w:val="000000"/>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562857">
      <w:bodyDiv w:val="1"/>
      <w:marLeft w:val="0"/>
      <w:marRight w:val="0"/>
      <w:marTop w:val="0"/>
      <w:marBottom w:val="0"/>
      <w:divBdr>
        <w:top w:val="none" w:sz="0" w:space="0" w:color="auto"/>
        <w:left w:val="none" w:sz="0" w:space="0" w:color="auto"/>
        <w:bottom w:val="none" w:sz="0" w:space="0" w:color="auto"/>
        <w:right w:val="none" w:sz="0" w:space="0" w:color="auto"/>
      </w:divBdr>
    </w:div>
    <w:div w:id="852379646">
      <w:bodyDiv w:val="1"/>
      <w:marLeft w:val="0"/>
      <w:marRight w:val="0"/>
      <w:marTop w:val="0"/>
      <w:marBottom w:val="0"/>
      <w:divBdr>
        <w:top w:val="none" w:sz="0" w:space="0" w:color="auto"/>
        <w:left w:val="none" w:sz="0" w:space="0" w:color="auto"/>
        <w:bottom w:val="none" w:sz="0" w:space="0" w:color="auto"/>
        <w:right w:val="none" w:sz="0" w:space="0" w:color="auto"/>
      </w:divBdr>
    </w:div>
    <w:div w:id="1789810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57F6C5-5216-4C45-A0CA-460F26B9BF5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3569</Words>
  <Characters>20348</Characters>
  <Application>Microsoft Office Word</Application>
  <DocSecurity>0</DocSecurity>
  <Lines>169</Lines>
  <Paragraphs>47</Paragraphs>
  <ScaleCrop>false</ScaleCrop>
  <LinksUpToDate>false</LinksUpToDate>
  <CharactersWithSpaces>23870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2025-11-09T09:50:00Z</dcterms:created>
  <dcterms:modified xsi:type="dcterms:W3CDTF">2025-11-09T09:51:00Z</dcterms:modified>
</cp:coreProperties>
</file>