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835A69" w14:textId="1F60D1E1" w:rsidR="007D7592" w:rsidRDefault="007D7592" w:rsidP="007D7592">
      <w:pPr>
        <w:spacing w:before="240" w:line="360" w:lineRule="auto"/>
        <w:ind w:firstLine="0"/>
        <w:rPr>
          <w:rFonts w:ascii="Arial" w:hAnsi="Arial" w:cs="Arial"/>
          <w:sz w:val="22"/>
          <w:szCs w:val="22"/>
        </w:rPr>
      </w:pPr>
      <w:r>
        <w:rPr>
          <w:rFonts w:ascii="Arial" w:hAnsi="Arial" w:cs="Arial"/>
          <w:sz w:val="22"/>
          <w:szCs w:val="22"/>
        </w:rPr>
        <w:t xml:space="preserve">                                              </w:t>
      </w:r>
      <w:r w:rsidRPr="005B5418">
        <w:rPr>
          <w:rFonts w:ascii="Arial" w:hAnsi="Arial" w:cs="Arial"/>
          <w:sz w:val="22"/>
          <w:szCs w:val="22"/>
        </w:rPr>
        <w:t>DEBATE</w:t>
      </w:r>
      <w:r>
        <w:rPr>
          <w:rFonts w:ascii="Arial" w:hAnsi="Arial" w:cs="Arial"/>
          <w:sz w:val="22"/>
          <w:szCs w:val="22"/>
        </w:rPr>
        <w:t xml:space="preserve"> &amp; DISCUSSION</w:t>
      </w:r>
    </w:p>
    <w:p w14:paraId="6F6676A3" w14:textId="77777777" w:rsidR="007D7592" w:rsidRPr="005B5418" w:rsidRDefault="007D7592" w:rsidP="007D7592">
      <w:pPr>
        <w:spacing w:before="240" w:line="360" w:lineRule="auto"/>
        <w:ind w:firstLine="0"/>
        <w:rPr>
          <w:rFonts w:ascii="Arial" w:hAnsi="Arial" w:cs="Arial"/>
          <w:sz w:val="22"/>
          <w:szCs w:val="22"/>
        </w:rPr>
      </w:pPr>
    </w:p>
    <w:p w14:paraId="3B3028AA" w14:textId="528A4738" w:rsidR="007D7592" w:rsidRDefault="007D7592" w:rsidP="007D7592">
      <w:pPr>
        <w:spacing w:before="240" w:line="360" w:lineRule="auto"/>
        <w:ind w:firstLine="0"/>
        <w:rPr>
          <w:rFonts w:ascii="Arial" w:hAnsi="Arial" w:cs="Arial"/>
          <w:sz w:val="22"/>
          <w:szCs w:val="22"/>
        </w:rPr>
      </w:pPr>
      <w:r>
        <w:rPr>
          <w:rFonts w:ascii="Arial" w:hAnsi="Arial" w:cs="Arial"/>
          <w:sz w:val="22"/>
          <w:szCs w:val="22"/>
        </w:rPr>
        <w:t xml:space="preserve">                                              </w:t>
      </w:r>
      <w:r>
        <w:rPr>
          <w:rFonts w:ascii="Arial" w:hAnsi="Arial" w:cs="Arial"/>
          <w:sz w:val="22"/>
          <w:szCs w:val="22"/>
        </w:rPr>
        <w:t>Student: Fadumo</w:t>
      </w:r>
      <w:r>
        <w:rPr>
          <w:rFonts w:ascii="Arial" w:hAnsi="Arial" w:cs="Arial"/>
          <w:sz w:val="22"/>
          <w:szCs w:val="22"/>
        </w:rPr>
        <w:t xml:space="preserve"> </w:t>
      </w:r>
      <w:r w:rsidR="00804445">
        <w:rPr>
          <w:rFonts w:ascii="Arial" w:hAnsi="Arial" w:cs="Arial"/>
          <w:sz w:val="22"/>
          <w:szCs w:val="22"/>
        </w:rPr>
        <w:t>Omar (</w:t>
      </w:r>
      <w:r>
        <w:rPr>
          <w:rFonts w:ascii="Arial" w:hAnsi="Arial" w:cs="Arial"/>
          <w:sz w:val="22"/>
          <w:szCs w:val="22"/>
        </w:rPr>
        <w:t xml:space="preserve">2311758) </w:t>
      </w:r>
    </w:p>
    <w:p w14:paraId="4194D647" w14:textId="49759500" w:rsidR="007D7592" w:rsidRPr="005B5418" w:rsidRDefault="007D7592" w:rsidP="007D7592">
      <w:pPr>
        <w:spacing w:before="240" w:line="360" w:lineRule="auto"/>
        <w:ind w:firstLine="0"/>
        <w:rPr>
          <w:rFonts w:ascii="Arial" w:hAnsi="Arial" w:cs="Arial"/>
          <w:sz w:val="22"/>
          <w:szCs w:val="22"/>
        </w:rPr>
      </w:pPr>
      <w:r>
        <w:rPr>
          <w:rFonts w:ascii="Arial" w:hAnsi="Arial" w:cs="Arial"/>
          <w:sz w:val="22"/>
          <w:szCs w:val="22"/>
        </w:rPr>
        <w:t xml:space="preserve">                                              </w:t>
      </w:r>
      <w:r>
        <w:rPr>
          <w:rFonts w:ascii="Arial" w:hAnsi="Arial" w:cs="Arial"/>
          <w:sz w:val="22"/>
          <w:szCs w:val="22"/>
        </w:rPr>
        <w:t xml:space="preserve">Student: Sobia Kauser </w:t>
      </w:r>
      <w:r w:rsidR="00804445">
        <w:rPr>
          <w:rFonts w:ascii="Arial" w:hAnsi="Arial" w:cs="Arial"/>
          <w:sz w:val="22"/>
          <w:szCs w:val="22"/>
        </w:rPr>
        <w:t>(2243574</w:t>
      </w:r>
      <w:r>
        <w:rPr>
          <w:rFonts w:ascii="Arial" w:hAnsi="Arial" w:cs="Arial"/>
          <w:sz w:val="22"/>
          <w:szCs w:val="22"/>
        </w:rPr>
        <w:t>)</w:t>
      </w:r>
    </w:p>
    <w:p w14:paraId="05ED3771" w14:textId="693CC52B" w:rsidR="007D7592" w:rsidRDefault="007D7592" w:rsidP="007D7592">
      <w:pPr>
        <w:spacing w:before="240" w:line="360" w:lineRule="auto"/>
        <w:ind w:firstLine="0"/>
        <w:jc w:val="center"/>
        <w:rPr>
          <w:rFonts w:ascii="Arial" w:hAnsi="Arial" w:cs="Arial"/>
          <w:sz w:val="22"/>
          <w:szCs w:val="22"/>
        </w:rPr>
      </w:pPr>
      <w:r>
        <w:rPr>
          <w:rFonts w:ascii="Arial" w:hAnsi="Arial" w:cs="Arial"/>
          <w:sz w:val="22"/>
          <w:szCs w:val="22"/>
        </w:rPr>
        <w:t xml:space="preserve"> </w:t>
      </w:r>
      <w:r>
        <w:rPr>
          <w:rFonts w:ascii="Arial" w:hAnsi="Arial" w:cs="Arial"/>
          <w:sz w:val="22"/>
          <w:szCs w:val="22"/>
        </w:rPr>
        <w:t>Module: Empowering</w:t>
      </w:r>
      <w:r w:rsidR="00804445">
        <w:rPr>
          <w:rFonts w:ascii="Arial" w:hAnsi="Arial" w:cs="Arial"/>
          <w:sz w:val="22"/>
          <w:szCs w:val="22"/>
        </w:rPr>
        <w:t xml:space="preserve"> </w:t>
      </w:r>
      <w:proofErr w:type="gramStart"/>
      <w:r w:rsidR="00804445">
        <w:rPr>
          <w:rFonts w:ascii="Arial" w:hAnsi="Arial" w:cs="Arial"/>
          <w:sz w:val="22"/>
          <w:szCs w:val="22"/>
        </w:rPr>
        <w:t>The</w:t>
      </w:r>
      <w:r>
        <w:rPr>
          <w:rFonts w:ascii="Arial" w:hAnsi="Arial" w:cs="Arial"/>
          <w:sz w:val="22"/>
          <w:szCs w:val="22"/>
        </w:rPr>
        <w:t xml:space="preserve"> </w:t>
      </w:r>
      <w:r w:rsidR="00191293">
        <w:rPr>
          <w:rFonts w:ascii="Arial" w:hAnsi="Arial" w:cs="Arial"/>
          <w:sz w:val="22"/>
          <w:szCs w:val="22"/>
        </w:rPr>
        <w:t>Older</w:t>
      </w:r>
      <w:proofErr w:type="gramEnd"/>
      <w:r>
        <w:rPr>
          <w:rFonts w:ascii="Arial" w:hAnsi="Arial" w:cs="Arial"/>
          <w:sz w:val="22"/>
          <w:szCs w:val="22"/>
        </w:rPr>
        <w:t xml:space="preserve"> People</w:t>
      </w:r>
    </w:p>
    <w:p w14:paraId="78748EC3" w14:textId="731D1176" w:rsidR="007D7592" w:rsidRPr="005B5418" w:rsidRDefault="007D7592" w:rsidP="007D7592">
      <w:pPr>
        <w:spacing w:before="240" w:line="360" w:lineRule="auto"/>
        <w:ind w:firstLine="0"/>
        <w:rPr>
          <w:rFonts w:ascii="Arial" w:hAnsi="Arial" w:cs="Arial"/>
          <w:sz w:val="22"/>
          <w:szCs w:val="22"/>
        </w:rPr>
      </w:pPr>
      <w:r>
        <w:rPr>
          <w:rFonts w:ascii="Arial" w:hAnsi="Arial" w:cs="Arial"/>
          <w:sz w:val="22"/>
          <w:szCs w:val="22"/>
        </w:rPr>
        <w:t xml:space="preserve">                                            </w:t>
      </w:r>
      <w:r>
        <w:rPr>
          <w:rFonts w:ascii="Arial" w:hAnsi="Arial" w:cs="Arial"/>
          <w:sz w:val="22"/>
          <w:szCs w:val="22"/>
        </w:rPr>
        <w:t xml:space="preserve"> </w:t>
      </w:r>
      <w:r>
        <w:rPr>
          <w:rFonts w:ascii="Arial" w:hAnsi="Arial" w:cs="Arial"/>
          <w:sz w:val="22"/>
          <w:szCs w:val="22"/>
        </w:rPr>
        <w:t>Module Code: BMHP6027</w:t>
      </w:r>
    </w:p>
    <w:p w14:paraId="2A95CF32" w14:textId="216209BC" w:rsidR="007D7592" w:rsidRPr="005B5418" w:rsidRDefault="007D7592" w:rsidP="007D7592">
      <w:pPr>
        <w:spacing w:before="240" w:line="360" w:lineRule="auto"/>
        <w:ind w:firstLine="0"/>
        <w:rPr>
          <w:rFonts w:ascii="Arial" w:hAnsi="Arial" w:cs="Arial"/>
          <w:sz w:val="22"/>
          <w:szCs w:val="22"/>
        </w:rPr>
      </w:pPr>
      <w:r>
        <w:rPr>
          <w:rFonts w:ascii="Arial" w:hAnsi="Arial" w:cs="Arial"/>
          <w:sz w:val="22"/>
          <w:szCs w:val="22"/>
        </w:rPr>
        <w:t xml:space="preserve">                                           </w:t>
      </w:r>
      <w:r>
        <w:rPr>
          <w:rFonts w:ascii="Arial" w:hAnsi="Arial" w:cs="Arial"/>
          <w:sz w:val="22"/>
          <w:szCs w:val="22"/>
        </w:rPr>
        <w:t xml:space="preserve"> </w:t>
      </w:r>
      <w:r>
        <w:rPr>
          <w:rFonts w:ascii="Arial" w:hAnsi="Arial" w:cs="Arial"/>
          <w:sz w:val="22"/>
          <w:szCs w:val="22"/>
        </w:rPr>
        <w:t xml:space="preserve"> </w:t>
      </w:r>
      <w:proofErr w:type="gramStart"/>
      <w:r>
        <w:rPr>
          <w:rFonts w:ascii="Arial" w:hAnsi="Arial" w:cs="Arial"/>
          <w:sz w:val="22"/>
          <w:szCs w:val="22"/>
        </w:rPr>
        <w:t>Lecture :</w:t>
      </w:r>
      <w:proofErr w:type="gramEnd"/>
      <w:r>
        <w:rPr>
          <w:rFonts w:ascii="Arial" w:hAnsi="Arial" w:cs="Arial"/>
          <w:sz w:val="22"/>
          <w:szCs w:val="22"/>
        </w:rPr>
        <w:t xml:space="preserve"> Kenn</w:t>
      </w:r>
      <w:r w:rsidR="0080337A">
        <w:rPr>
          <w:rFonts w:ascii="Arial" w:hAnsi="Arial" w:cs="Arial"/>
          <w:sz w:val="22"/>
          <w:szCs w:val="22"/>
        </w:rPr>
        <w:t xml:space="preserve">edy </w:t>
      </w:r>
      <w:proofErr w:type="spellStart"/>
      <w:r w:rsidR="0080337A">
        <w:rPr>
          <w:rFonts w:ascii="Arial" w:hAnsi="Arial" w:cs="Arial"/>
          <w:sz w:val="22"/>
          <w:szCs w:val="22"/>
        </w:rPr>
        <w:t>Obohwemu</w:t>
      </w:r>
      <w:proofErr w:type="spellEnd"/>
    </w:p>
    <w:p w14:paraId="503A6A7C" w14:textId="77777777" w:rsidR="007D7592" w:rsidRPr="005B5418" w:rsidRDefault="007D7592" w:rsidP="007D7592">
      <w:pPr>
        <w:spacing w:before="240" w:line="360" w:lineRule="auto"/>
        <w:ind w:firstLine="0"/>
        <w:jc w:val="center"/>
        <w:rPr>
          <w:rFonts w:ascii="Arial" w:hAnsi="Arial" w:cs="Arial"/>
          <w:sz w:val="22"/>
          <w:szCs w:val="22"/>
        </w:rPr>
      </w:pPr>
    </w:p>
    <w:p w14:paraId="6C13EF29" w14:textId="77777777" w:rsidR="007D7592" w:rsidRDefault="007D7592" w:rsidP="007D7592">
      <w:pPr>
        <w:spacing w:before="240"/>
        <w:rPr>
          <w:rFonts w:ascii="Arial" w:hAnsi="Arial" w:cs="Arial"/>
          <w:sz w:val="22"/>
          <w:szCs w:val="22"/>
        </w:rPr>
      </w:pPr>
      <w:r>
        <w:rPr>
          <w:rFonts w:ascii="Arial" w:hAnsi="Arial" w:cs="Arial"/>
          <w:sz w:val="22"/>
          <w:szCs w:val="22"/>
        </w:rPr>
        <w:br w:type="page"/>
      </w:r>
    </w:p>
    <w:p w14:paraId="53CAE91C" w14:textId="77777777" w:rsidR="007D7592" w:rsidRPr="005B5418" w:rsidRDefault="007D7592" w:rsidP="007D7592">
      <w:pPr>
        <w:spacing w:before="240" w:line="360" w:lineRule="auto"/>
        <w:ind w:firstLine="0"/>
        <w:jc w:val="center"/>
        <w:rPr>
          <w:rFonts w:ascii="Arial" w:hAnsi="Arial" w:cs="Arial"/>
          <w:sz w:val="22"/>
          <w:szCs w:val="22"/>
        </w:rPr>
      </w:pPr>
      <w:r w:rsidRPr="005B5418">
        <w:rPr>
          <w:rFonts w:ascii="Arial" w:hAnsi="Arial" w:cs="Arial"/>
          <w:sz w:val="22"/>
          <w:szCs w:val="22"/>
        </w:rPr>
        <w:lastRenderedPageBreak/>
        <w:t>Debate</w:t>
      </w:r>
    </w:p>
    <w:p w14:paraId="2A5DC2B2" w14:textId="77777777" w:rsidR="007D7592" w:rsidRPr="000B3CD8" w:rsidRDefault="007D7592" w:rsidP="007D7592">
      <w:pPr>
        <w:spacing w:before="240" w:line="360" w:lineRule="auto"/>
        <w:ind w:firstLine="0"/>
        <w:rPr>
          <w:rFonts w:ascii="Arial" w:hAnsi="Arial" w:cs="Arial"/>
          <w:sz w:val="22"/>
          <w:szCs w:val="22"/>
        </w:rPr>
      </w:pPr>
      <w:r w:rsidRPr="005B5418">
        <w:rPr>
          <w:rFonts w:ascii="Arial" w:hAnsi="Arial" w:cs="Arial"/>
          <w:b/>
          <w:bCs/>
          <w:sz w:val="22"/>
          <w:szCs w:val="22"/>
        </w:rPr>
        <w:t>Topic:</w:t>
      </w:r>
      <w:r w:rsidRPr="005B5418">
        <w:rPr>
          <w:rFonts w:ascii="Arial" w:hAnsi="Arial" w:cs="Arial"/>
          <w:sz w:val="22"/>
          <w:szCs w:val="22"/>
        </w:rPr>
        <w:t xml:space="preserve"> </w:t>
      </w:r>
      <w:r w:rsidRPr="000B3CD8">
        <w:rPr>
          <w:rFonts w:ascii="Arial" w:hAnsi="Arial" w:cs="Arial"/>
          <w:sz w:val="22"/>
          <w:szCs w:val="22"/>
        </w:rPr>
        <w:t>Residential care homes are very effective in addressing the care and support needs of older people with disabilities.</w:t>
      </w:r>
    </w:p>
    <w:p w14:paraId="6A02F33D" w14:textId="77777777" w:rsidR="007D7592" w:rsidRPr="000B3CD8" w:rsidRDefault="007D7592" w:rsidP="007D7592">
      <w:pPr>
        <w:spacing w:before="240" w:line="360" w:lineRule="auto"/>
        <w:ind w:firstLine="0"/>
        <w:jc w:val="center"/>
        <w:rPr>
          <w:rFonts w:ascii="Arial" w:hAnsi="Arial" w:cs="Arial"/>
          <w:sz w:val="22"/>
          <w:szCs w:val="22"/>
        </w:rPr>
      </w:pPr>
      <w:r w:rsidRPr="000B3CD8">
        <w:rPr>
          <w:rFonts w:ascii="Arial" w:hAnsi="Arial" w:cs="Arial"/>
          <w:sz w:val="22"/>
          <w:szCs w:val="22"/>
        </w:rPr>
        <w:t>Introduction (A)</w:t>
      </w:r>
    </w:p>
    <w:p w14:paraId="0E3A5D6E" w14:textId="77777777" w:rsidR="007D7592" w:rsidRPr="000B3CD8" w:rsidRDefault="007D7592" w:rsidP="007D7592">
      <w:pPr>
        <w:spacing w:before="240" w:line="360" w:lineRule="auto"/>
        <w:rPr>
          <w:rFonts w:ascii="Arial" w:hAnsi="Arial" w:cs="Arial"/>
          <w:sz w:val="22"/>
          <w:szCs w:val="22"/>
        </w:rPr>
      </w:pPr>
      <w:r w:rsidRPr="000B3CD8">
        <w:rPr>
          <w:rFonts w:ascii="Arial" w:hAnsi="Arial" w:cs="Arial"/>
          <w:sz w:val="22"/>
          <w:szCs w:val="22"/>
        </w:rPr>
        <w:t>Greetings, everybody, and thank you very much for being here today. We are going to talk about older individuals who are physically impaired, sensory impaired, or cognitively impaired; have many disabilities; and are residents of residential care homes. In this discussion, we will cover the topic of increasing importance in an aging society, including how well residential care homes can address the needs of older people with disabilities in terms of care and support. As explained by Beadle-Brown (2022), residential care has emerged as one of the pillars in the delivery of health and social care as more people continue to live long with physical, sensory, and cognitive impairment, as well as multiple disabilities. Though having the intersection of care, ethics, and empowerment, it is important to review not only the support that these settings offer but also the limitations that they also impose. Therefore, I will make the case that residential care can be safe, continuing, and aligned to individuals with complex needs, while my colleague will make a strong case discussing how the institutional practices can cause harm to autonomy, dignity, and overall well-being. In this discussion, we shall comprehensively critique the physical, psychological, social, and autonomy-related needs using the up-to-date research to give a balanced and holistic assessment of this controversial and much-debated problem.</w:t>
      </w:r>
    </w:p>
    <w:p w14:paraId="701EF882" w14:textId="7ACA6E72" w:rsidR="007D7592" w:rsidRPr="000B3CD8" w:rsidRDefault="007D7592" w:rsidP="007D7592">
      <w:pPr>
        <w:spacing w:before="240" w:line="360" w:lineRule="auto"/>
        <w:ind w:firstLine="0"/>
        <w:jc w:val="center"/>
        <w:rPr>
          <w:rFonts w:ascii="Arial" w:hAnsi="Arial" w:cs="Arial"/>
          <w:sz w:val="22"/>
          <w:szCs w:val="22"/>
        </w:rPr>
      </w:pPr>
      <w:r w:rsidRPr="000B3CD8">
        <w:rPr>
          <w:rFonts w:ascii="Arial" w:hAnsi="Arial" w:cs="Arial"/>
          <w:sz w:val="22"/>
          <w:szCs w:val="22"/>
        </w:rPr>
        <w:t xml:space="preserve">Opening Statement Student A </w:t>
      </w:r>
    </w:p>
    <w:p w14:paraId="6F30923A" w14:textId="77777777" w:rsidR="007D7592" w:rsidRPr="000B3CD8" w:rsidRDefault="007D7592" w:rsidP="007D7592">
      <w:pPr>
        <w:spacing w:before="240" w:line="360" w:lineRule="auto"/>
        <w:rPr>
          <w:rFonts w:ascii="Arial" w:hAnsi="Arial" w:cs="Arial"/>
          <w:sz w:val="22"/>
          <w:szCs w:val="22"/>
        </w:rPr>
      </w:pPr>
      <w:r w:rsidRPr="000B3CD8">
        <w:rPr>
          <w:rFonts w:ascii="Arial" w:hAnsi="Arial" w:cs="Arial"/>
          <w:sz w:val="22"/>
          <w:szCs w:val="22"/>
        </w:rPr>
        <w:t xml:space="preserve">My argument will be that residential care homes can be successfully used to support the complex care and support needs of older people with disabilities. Having 24-hour staffing, the World Health Organization (2025) states that residential settings are in a unique position to be able to offer continuous service, organized individual care, and efficient intervention for people of high physical and cognitive demand. Spilsbury et al. (2024) show that structured supervision may be effective in the prevention of falls, better pressure care results, and safer medication management under the condition of proper staffing models. Notably, Jayes, Austin, and Brown (2022) state that empowerment in residential care can be attained through person-centered planning and supported decision-making, especially upon training the staff to identify individual preferences and capacity. My claims will provide proof that the physical and clinical needs can </w:t>
      </w:r>
      <w:r w:rsidRPr="000B3CD8">
        <w:rPr>
          <w:rFonts w:ascii="Arial" w:hAnsi="Arial" w:cs="Arial"/>
          <w:sz w:val="22"/>
          <w:szCs w:val="22"/>
        </w:rPr>
        <w:lastRenderedPageBreak/>
        <w:t>be addressed on a regular basis, that multidisciplinary coordination can help avoid unnecessary harm, and that strong leadership and care culture can be used to encourage social well-being and autonomy.</w:t>
      </w:r>
    </w:p>
    <w:p w14:paraId="3566B6C7" w14:textId="77777777" w:rsidR="007D7592" w:rsidRPr="000B3CD8" w:rsidRDefault="007D7592" w:rsidP="007D7592">
      <w:pPr>
        <w:spacing w:before="240" w:line="360" w:lineRule="auto"/>
        <w:ind w:firstLine="0"/>
        <w:jc w:val="center"/>
        <w:rPr>
          <w:rFonts w:ascii="Arial" w:hAnsi="Arial" w:cs="Arial"/>
          <w:sz w:val="22"/>
          <w:szCs w:val="22"/>
        </w:rPr>
      </w:pPr>
      <w:r w:rsidRPr="000B3CD8">
        <w:rPr>
          <w:rFonts w:ascii="Arial" w:hAnsi="Arial" w:cs="Arial"/>
          <w:sz w:val="22"/>
          <w:szCs w:val="22"/>
        </w:rPr>
        <w:t>Opening Statement—Student B (Negative)</w:t>
      </w:r>
    </w:p>
    <w:p w14:paraId="407EC5F0" w14:textId="77777777" w:rsidR="007D7592" w:rsidRPr="000B3CD8" w:rsidRDefault="007D7592" w:rsidP="007D7592">
      <w:pPr>
        <w:spacing w:before="240" w:line="360" w:lineRule="auto"/>
        <w:rPr>
          <w:rFonts w:ascii="Arial" w:hAnsi="Arial" w:cs="Arial"/>
          <w:sz w:val="22"/>
          <w:szCs w:val="22"/>
        </w:rPr>
      </w:pPr>
      <w:r w:rsidRPr="000B3CD8">
        <w:rPr>
          <w:rFonts w:ascii="Arial" w:hAnsi="Arial" w:cs="Arial"/>
          <w:sz w:val="22"/>
          <w:szCs w:val="22"/>
        </w:rPr>
        <w:t>I shall claim that in the real world, residential care homes usually do not address the holistic requirements of older people with disabilities. Kesby (2023) states that the model often focuses on efficiency, routine, and risk control instead of dignity, autonomy, and empowerment, although it is meant to support them. To date, studies, like the one by Camilleri (2025), have indicated the disruptive nature of task-based care routines on person-centered physical support, especially regarding continence, nutrition, and mobility. The psychological and social needs, such as loneliness and emotional distress, are systematically overlooked even though a substantial amount of evidence by Beach et al. (2022) supports that isolation leads to poorer health outcomes. Moreover, the autonomy and identity are limited by risk-averse cultures and inappropriate implementation of the Mental Capacity Act (particularly in cases of residents with cognitive impairment), as explained by Aldridge and Dening (2024). These are the grounds of my arguments not to support the effectiveness of residential care in addressing holistic needs.</w:t>
      </w:r>
    </w:p>
    <w:p w14:paraId="5A7C5344" w14:textId="3EC307C3" w:rsidR="007D7592" w:rsidRPr="000B3CD8" w:rsidRDefault="007D7592" w:rsidP="007D7592">
      <w:pPr>
        <w:spacing w:before="240" w:line="360" w:lineRule="auto"/>
        <w:ind w:firstLine="0"/>
        <w:jc w:val="center"/>
        <w:rPr>
          <w:rFonts w:ascii="Arial" w:hAnsi="Arial" w:cs="Arial"/>
          <w:sz w:val="22"/>
          <w:szCs w:val="22"/>
        </w:rPr>
      </w:pPr>
      <w:r w:rsidRPr="000B3CD8">
        <w:rPr>
          <w:rFonts w:ascii="Arial" w:hAnsi="Arial" w:cs="Arial"/>
          <w:sz w:val="22"/>
          <w:szCs w:val="22"/>
        </w:rPr>
        <w:t xml:space="preserve">Main Arguments Student A </w:t>
      </w:r>
    </w:p>
    <w:p w14:paraId="6E9331B1" w14:textId="77777777" w:rsidR="007D7592" w:rsidRPr="000B3CD8" w:rsidRDefault="007D7592" w:rsidP="007D7592">
      <w:pPr>
        <w:spacing w:before="240" w:line="360" w:lineRule="auto"/>
        <w:rPr>
          <w:rFonts w:ascii="Arial" w:hAnsi="Arial" w:cs="Arial"/>
          <w:sz w:val="22"/>
          <w:szCs w:val="22"/>
        </w:rPr>
      </w:pPr>
      <w:r w:rsidRPr="000B3CD8">
        <w:rPr>
          <w:rFonts w:ascii="Arial" w:hAnsi="Arial" w:cs="Arial"/>
          <w:sz w:val="22"/>
          <w:szCs w:val="22"/>
        </w:rPr>
        <w:t xml:space="preserve">To begin with, residential care homes </w:t>
      </w:r>
      <w:proofErr w:type="gramStart"/>
      <w:r w:rsidRPr="000B3CD8">
        <w:rPr>
          <w:rFonts w:ascii="Arial" w:hAnsi="Arial" w:cs="Arial"/>
          <w:sz w:val="22"/>
          <w:szCs w:val="22"/>
        </w:rPr>
        <w:t>are able to</w:t>
      </w:r>
      <w:proofErr w:type="gramEnd"/>
      <w:r w:rsidRPr="000B3CD8">
        <w:rPr>
          <w:rFonts w:ascii="Arial" w:hAnsi="Arial" w:cs="Arial"/>
          <w:sz w:val="22"/>
          <w:szCs w:val="22"/>
        </w:rPr>
        <w:t xml:space="preserve"> address physical and clinical needs in a safer manner with the assistance of constant support.</w:t>
      </w:r>
    </w:p>
    <w:p w14:paraId="1FE632E9" w14:textId="77777777" w:rsidR="007D7592" w:rsidRPr="000B3CD8" w:rsidRDefault="007D7592" w:rsidP="007D7592">
      <w:pPr>
        <w:spacing w:before="240" w:line="360" w:lineRule="auto"/>
        <w:rPr>
          <w:rFonts w:ascii="Arial" w:hAnsi="Arial" w:cs="Arial"/>
          <w:sz w:val="22"/>
          <w:szCs w:val="22"/>
        </w:rPr>
      </w:pPr>
      <w:r w:rsidRPr="000B3CD8">
        <w:rPr>
          <w:rFonts w:ascii="Arial" w:hAnsi="Arial" w:cs="Arial"/>
          <w:sz w:val="22"/>
          <w:szCs w:val="22"/>
        </w:rPr>
        <w:t xml:space="preserve">Residential care provides 24-hour staffing, and this is especially critical to elderly, disabled individuals who may need help in personal care, mobility, continence, feeding, and hydration. A book by the World Health Organization (2024) states that residential care is less uptight with time-based and fragmented support compared to domiciliary care, where responses to need are delayed, particularly at nighttime or when there is a spontaneous change of condition. Based on </w:t>
      </w:r>
      <w:proofErr w:type="gramStart"/>
      <w:r w:rsidRPr="000B3CD8">
        <w:rPr>
          <w:rFonts w:ascii="Arial" w:hAnsi="Arial" w:cs="Arial"/>
          <w:sz w:val="22"/>
          <w:szCs w:val="22"/>
        </w:rPr>
        <w:t>the research</w:t>
      </w:r>
      <w:proofErr w:type="gramEnd"/>
      <w:r w:rsidRPr="000B3CD8">
        <w:rPr>
          <w:rFonts w:ascii="Arial" w:hAnsi="Arial" w:cs="Arial"/>
          <w:sz w:val="22"/>
          <w:szCs w:val="22"/>
        </w:rPr>
        <w:t xml:space="preserve"> by </w:t>
      </w:r>
      <w:proofErr w:type="spellStart"/>
      <w:r w:rsidRPr="000B3CD8">
        <w:rPr>
          <w:rFonts w:ascii="Arial" w:hAnsi="Arial" w:cs="Arial"/>
          <w:sz w:val="22"/>
          <w:szCs w:val="22"/>
        </w:rPr>
        <w:t>Misaghian</w:t>
      </w:r>
      <w:proofErr w:type="spellEnd"/>
      <w:r w:rsidRPr="000B3CD8">
        <w:rPr>
          <w:rFonts w:ascii="Arial" w:hAnsi="Arial" w:cs="Arial"/>
          <w:sz w:val="22"/>
          <w:szCs w:val="22"/>
        </w:rPr>
        <w:t>, Lugo, and Faubert (2024), there is an indicator that prompt care can reduce the risk of falling and prolonged immobility to a significant degree, which are the primary sources of injuries and hospitalizations due to older adults. In the same vein, systematic pressure care measures in the care facilities, when adequately adopted, have been found by Noreen et al. (2025) to lower the prevalence of pressure ulcers due to frequent repositioning and skin checking.</w:t>
      </w:r>
    </w:p>
    <w:p w14:paraId="5D3BE5CA" w14:textId="77777777" w:rsidR="007D7592" w:rsidRPr="000B3CD8" w:rsidRDefault="007D7592" w:rsidP="007D7592">
      <w:pPr>
        <w:spacing w:before="240" w:line="360" w:lineRule="auto"/>
        <w:rPr>
          <w:rFonts w:ascii="Arial" w:hAnsi="Arial" w:cs="Arial"/>
          <w:sz w:val="22"/>
          <w:szCs w:val="22"/>
        </w:rPr>
      </w:pPr>
      <w:r w:rsidRPr="000B3CD8">
        <w:rPr>
          <w:rFonts w:ascii="Arial" w:hAnsi="Arial" w:cs="Arial"/>
          <w:sz w:val="22"/>
          <w:szCs w:val="22"/>
        </w:rPr>
        <w:lastRenderedPageBreak/>
        <w:t xml:space="preserve">This benefit can also be illustrated through the medication administration systems. Dale and </w:t>
      </w:r>
      <w:proofErr w:type="spellStart"/>
      <w:r w:rsidRPr="000B3CD8">
        <w:rPr>
          <w:rFonts w:ascii="Arial" w:hAnsi="Arial" w:cs="Arial"/>
          <w:sz w:val="22"/>
          <w:szCs w:val="22"/>
        </w:rPr>
        <w:t>Kashid</w:t>
      </w:r>
      <w:proofErr w:type="spellEnd"/>
      <w:r w:rsidRPr="000B3CD8">
        <w:rPr>
          <w:rFonts w:ascii="Arial" w:hAnsi="Arial" w:cs="Arial"/>
          <w:sz w:val="22"/>
          <w:szCs w:val="22"/>
        </w:rPr>
        <w:t xml:space="preserve"> (2025) maintain that residential care makes scheduled administration, side effect monitoring, and escalation possible in case of any concerns, especially for residents with polypharmacy. An example is a frail resident who has intermittent mobility and chronic pain, who might need some help to move safely, frequent analgesia, and dizziness observation. When staff </w:t>
      </w:r>
      <w:proofErr w:type="gramStart"/>
      <w:r w:rsidRPr="000B3CD8">
        <w:rPr>
          <w:rFonts w:ascii="Arial" w:hAnsi="Arial" w:cs="Arial"/>
          <w:sz w:val="22"/>
          <w:szCs w:val="22"/>
        </w:rPr>
        <w:t>is</w:t>
      </w:r>
      <w:proofErr w:type="gramEnd"/>
      <w:r w:rsidRPr="000B3CD8">
        <w:rPr>
          <w:rFonts w:ascii="Arial" w:hAnsi="Arial" w:cs="Arial"/>
          <w:sz w:val="22"/>
          <w:szCs w:val="22"/>
        </w:rPr>
        <w:t xml:space="preserve"> available in a residential environment, timely intervention can occur, which minimizes the chances of falls or uncontrolled pain. Therefore, continuous staffing allows proactive physical care instead of reactive care, enhancing safety and consistency for residents with complex needs.</w:t>
      </w:r>
    </w:p>
    <w:p w14:paraId="5DEB6BB8" w14:textId="77777777" w:rsidR="007D7592" w:rsidRPr="000B3CD8" w:rsidRDefault="007D7592" w:rsidP="007D7592">
      <w:pPr>
        <w:spacing w:before="240" w:line="360" w:lineRule="auto"/>
        <w:rPr>
          <w:rFonts w:ascii="Arial" w:hAnsi="Arial" w:cs="Arial"/>
          <w:sz w:val="22"/>
          <w:szCs w:val="22"/>
        </w:rPr>
      </w:pPr>
      <w:r w:rsidRPr="000B3CD8">
        <w:rPr>
          <w:rFonts w:ascii="Arial" w:hAnsi="Arial" w:cs="Arial"/>
          <w:sz w:val="22"/>
          <w:szCs w:val="22"/>
        </w:rPr>
        <w:t>Secondly, multi-morbidity and frailty can only be effectively coordinated through oversight that residential care is in a good position to offer.</w:t>
      </w:r>
    </w:p>
    <w:p w14:paraId="2B905CEB" w14:textId="77777777" w:rsidR="007D7592" w:rsidRPr="000B3CD8" w:rsidRDefault="007D7592" w:rsidP="007D7592">
      <w:pPr>
        <w:spacing w:before="240" w:line="360" w:lineRule="auto"/>
        <w:rPr>
          <w:rFonts w:ascii="Arial" w:hAnsi="Arial" w:cs="Arial"/>
          <w:sz w:val="22"/>
          <w:szCs w:val="22"/>
        </w:rPr>
      </w:pPr>
      <w:r w:rsidRPr="000B3CD8">
        <w:rPr>
          <w:rFonts w:ascii="Arial" w:hAnsi="Arial" w:cs="Arial"/>
          <w:sz w:val="22"/>
          <w:szCs w:val="22"/>
        </w:rPr>
        <w:t xml:space="preserve">According to a longitudinal study by Yuan et al. (2022), residents in care homes have </w:t>
      </w:r>
      <w:proofErr w:type="gramStart"/>
      <w:r w:rsidRPr="000B3CD8">
        <w:rPr>
          <w:rFonts w:ascii="Arial" w:hAnsi="Arial" w:cs="Arial"/>
          <w:sz w:val="22"/>
          <w:szCs w:val="22"/>
        </w:rPr>
        <w:t>a large number of</w:t>
      </w:r>
      <w:proofErr w:type="gramEnd"/>
      <w:r w:rsidRPr="000B3CD8">
        <w:rPr>
          <w:rFonts w:ascii="Arial" w:hAnsi="Arial" w:cs="Arial"/>
          <w:sz w:val="22"/>
          <w:szCs w:val="22"/>
        </w:rPr>
        <w:t xml:space="preserve"> long-term conditions in addition to their frailty and cognitive impairment, which form interdependent care requirements that cannot be addressed independently. As stated by Guasti et al. (2022), such conditions as diabetes, heart failure, and respiratory disease need periodic monitoring, control over worsening, and rapid increase in the case of crossing the limits. This continuous monitoring is possible in residential care settings because the observation can be achieved daily, and shared documentation can be used to mitigate the chances of detecting subtle changes.</w:t>
      </w:r>
    </w:p>
    <w:p w14:paraId="5C496C80" w14:textId="77777777" w:rsidR="007D7592" w:rsidRPr="000B3CD8" w:rsidRDefault="007D7592" w:rsidP="007D7592">
      <w:pPr>
        <w:spacing w:before="240" w:line="360" w:lineRule="auto"/>
        <w:rPr>
          <w:rFonts w:ascii="Arial" w:hAnsi="Arial" w:cs="Arial"/>
          <w:sz w:val="22"/>
          <w:szCs w:val="22"/>
        </w:rPr>
      </w:pPr>
      <w:r w:rsidRPr="000B3CD8">
        <w:rPr>
          <w:rFonts w:ascii="Arial" w:hAnsi="Arial" w:cs="Arial"/>
          <w:sz w:val="22"/>
          <w:szCs w:val="22"/>
        </w:rPr>
        <w:t xml:space="preserve">It has been shown by Wang et al. (2025) that with effective use, structured care documentation can help decrease missed care and enhance continuity between staff shifts. An example can be a resident that has diabetes and a heart failure condition that is at an early stage where they monitor slight symptoms of fluid retention or hypoglycemia. In a home environment, the staff </w:t>
      </w:r>
      <w:proofErr w:type="gramStart"/>
      <w:r w:rsidRPr="000B3CD8">
        <w:rPr>
          <w:rFonts w:ascii="Arial" w:hAnsi="Arial" w:cs="Arial"/>
          <w:sz w:val="22"/>
          <w:szCs w:val="22"/>
        </w:rPr>
        <w:t>is able to</w:t>
      </w:r>
      <w:proofErr w:type="gramEnd"/>
      <w:r w:rsidRPr="000B3CD8">
        <w:rPr>
          <w:rFonts w:ascii="Arial" w:hAnsi="Arial" w:cs="Arial"/>
          <w:sz w:val="22"/>
          <w:szCs w:val="22"/>
        </w:rPr>
        <w:t xml:space="preserve"> monitor patterns in meals, medication rounds, and mobility and raise concerns with the primary care services before the illness gets so bad that admission to hospital is required. Mody et al. (2025) </w:t>
      </w:r>
      <w:proofErr w:type="gramStart"/>
      <w:r w:rsidRPr="000B3CD8">
        <w:rPr>
          <w:rFonts w:ascii="Arial" w:hAnsi="Arial" w:cs="Arial"/>
          <w:sz w:val="22"/>
          <w:szCs w:val="22"/>
        </w:rPr>
        <w:t>provide</w:t>
      </w:r>
      <w:proofErr w:type="gramEnd"/>
      <w:r w:rsidRPr="000B3CD8">
        <w:rPr>
          <w:rFonts w:ascii="Arial" w:hAnsi="Arial" w:cs="Arial"/>
          <w:sz w:val="22"/>
          <w:szCs w:val="22"/>
        </w:rPr>
        <w:t xml:space="preserve"> evidence that these anticipatory cares can help minimize unnecessary admissions and emergency service utilization by the residents of the care home.</w:t>
      </w:r>
    </w:p>
    <w:p w14:paraId="07D44F22" w14:textId="77777777" w:rsidR="007D7592" w:rsidRPr="000B3CD8" w:rsidRDefault="007D7592" w:rsidP="007D7592">
      <w:pPr>
        <w:spacing w:before="240" w:line="360" w:lineRule="auto"/>
        <w:rPr>
          <w:rFonts w:ascii="Arial" w:hAnsi="Arial" w:cs="Arial"/>
          <w:sz w:val="22"/>
          <w:szCs w:val="22"/>
        </w:rPr>
      </w:pPr>
      <w:r w:rsidRPr="000B3CD8">
        <w:rPr>
          <w:rFonts w:ascii="Arial" w:hAnsi="Arial" w:cs="Arial"/>
          <w:sz w:val="22"/>
          <w:szCs w:val="22"/>
        </w:rPr>
        <w:t xml:space="preserve">Although coordination is not always best realized, residential care provides a platform on which joint supervision can be realized in a manner that fragmented community care cannot do. </w:t>
      </w:r>
      <w:r w:rsidRPr="000B3CD8">
        <w:rPr>
          <w:rFonts w:ascii="Arial" w:hAnsi="Arial" w:cs="Arial"/>
          <w:sz w:val="22"/>
          <w:szCs w:val="22"/>
        </w:rPr>
        <w:lastRenderedPageBreak/>
        <w:t>Thus, continuity and coordination can be realistically realized in residential care environments in the case of residents whose conditions interact in complex ways.</w:t>
      </w:r>
    </w:p>
    <w:p w14:paraId="76EC7CA7" w14:textId="77777777" w:rsidR="007D7592" w:rsidRPr="000B3CD8" w:rsidRDefault="007D7592" w:rsidP="007D7592">
      <w:pPr>
        <w:spacing w:before="240" w:line="360" w:lineRule="auto"/>
        <w:rPr>
          <w:rFonts w:ascii="Arial" w:hAnsi="Arial" w:cs="Arial"/>
          <w:sz w:val="22"/>
          <w:szCs w:val="22"/>
        </w:rPr>
      </w:pPr>
      <w:r w:rsidRPr="000B3CD8">
        <w:rPr>
          <w:rFonts w:ascii="Arial" w:hAnsi="Arial" w:cs="Arial"/>
          <w:sz w:val="22"/>
          <w:szCs w:val="22"/>
        </w:rPr>
        <w:t xml:space="preserve">Third, the empowerment can be directed at </w:t>
      </w:r>
      <w:proofErr w:type="gramStart"/>
      <w:r w:rsidRPr="000B3CD8">
        <w:rPr>
          <w:rFonts w:ascii="Arial" w:hAnsi="Arial" w:cs="Arial"/>
          <w:sz w:val="22"/>
          <w:szCs w:val="22"/>
        </w:rPr>
        <w:t>the residential</w:t>
      </w:r>
      <w:proofErr w:type="gramEnd"/>
      <w:r w:rsidRPr="000B3CD8">
        <w:rPr>
          <w:rFonts w:ascii="Arial" w:hAnsi="Arial" w:cs="Arial"/>
          <w:sz w:val="22"/>
          <w:szCs w:val="22"/>
        </w:rPr>
        <w:t xml:space="preserve"> care when the homes are pervaded with the culture of person-centeredness and leadership.</w:t>
      </w:r>
    </w:p>
    <w:p w14:paraId="69770070" w14:textId="77777777" w:rsidR="007D7592" w:rsidRPr="000B3CD8" w:rsidRDefault="007D7592" w:rsidP="007D7592">
      <w:pPr>
        <w:spacing w:before="240" w:line="360" w:lineRule="auto"/>
        <w:rPr>
          <w:rFonts w:ascii="Arial" w:hAnsi="Arial" w:cs="Arial"/>
          <w:sz w:val="22"/>
          <w:szCs w:val="22"/>
        </w:rPr>
      </w:pPr>
      <w:r w:rsidRPr="000B3CD8">
        <w:rPr>
          <w:rFonts w:ascii="Arial" w:hAnsi="Arial" w:cs="Arial"/>
          <w:sz w:val="22"/>
          <w:szCs w:val="22"/>
        </w:rPr>
        <w:t xml:space="preserve">Institutional living is commonly believed to be disempowering in nature, but the results provided by person-centered care models have proven that even in extremely dependent populations, the process of empowerment can be reinforced. </w:t>
      </w:r>
      <w:r w:rsidRPr="005B5418">
        <w:rPr>
          <w:rFonts w:ascii="Arial" w:hAnsi="Arial" w:cs="Arial"/>
          <w:sz w:val="22"/>
          <w:szCs w:val="22"/>
        </w:rPr>
        <w:t>As demonstrated by Brooker (2022), p</w:t>
      </w:r>
      <w:r w:rsidRPr="000B3CD8">
        <w:rPr>
          <w:rFonts w:ascii="Arial" w:hAnsi="Arial" w:cs="Arial"/>
          <w:sz w:val="22"/>
          <w:szCs w:val="22"/>
        </w:rPr>
        <w:t xml:space="preserve">erson-centered dementia care as developed by </w:t>
      </w:r>
      <w:proofErr w:type="spellStart"/>
      <w:r w:rsidRPr="000B3CD8">
        <w:rPr>
          <w:rFonts w:ascii="Arial" w:hAnsi="Arial" w:cs="Arial"/>
          <w:sz w:val="22"/>
          <w:szCs w:val="22"/>
        </w:rPr>
        <w:t>Kitwood</w:t>
      </w:r>
      <w:proofErr w:type="spellEnd"/>
      <w:r w:rsidRPr="000B3CD8">
        <w:rPr>
          <w:rFonts w:ascii="Arial" w:hAnsi="Arial" w:cs="Arial"/>
          <w:sz w:val="22"/>
          <w:szCs w:val="22"/>
        </w:rPr>
        <w:t xml:space="preserve"> highlights the significance of personhood, identity, and the significance of relationships as opposed to dwelling on deficits only. This can mean</w:t>
      </w:r>
      <w:r w:rsidRPr="005B5418">
        <w:rPr>
          <w:rFonts w:ascii="Arial" w:hAnsi="Arial" w:cs="Arial"/>
          <w:sz w:val="22"/>
          <w:szCs w:val="22"/>
        </w:rPr>
        <w:t>,</w:t>
      </w:r>
      <w:r w:rsidRPr="000B3CD8">
        <w:rPr>
          <w:rFonts w:ascii="Arial" w:hAnsi="Arial" w:cs="Arial"/>
          <w:sz w:val="22"/>
          <w:szCs w:val="22"/>
        </w:rPr>
        <w:t xml:space="preserve"> in practice</w:t>
      </w:r>
      <w:r w:rsidRPr="005B5418">
        <w:rPr>
          <w:rFonts w:ascii="Arial" w:hAnsi="Arial" w:cs="Arial"/>
          <w:sz w:val="22"/>
          <w:szCs w:val="22"/>
        </w:rPr>
        <w:t>,</w:t>
      </w:r>
      <w:r w:rsidRPr="000B3CD8">
        <w:rPr>
          <w:rFonts w:ascii="Arial" w:hAnsi="Arial" w:cs="Arial"/>
          <w:sz w:val="22"/>
          <w:szCs w:val="22"/>
        </w:rPr>
        <w:t xml:space="preserve"> daily routines that are flexible, care plans that are co-produced, and activities that are meaningful and are specific to individual histories and preferences.</w:t>
      </w:r>
    </w:p>
    <w:p w14:paraId="1558A693" w14:textId="77777777" w:rsidR="007D7592" w:rsidRPr="000B3CD8" w:rsidRDefault="007D7592" w:rsidP="007D7592">
      <w:pPr>
        <w:spacing w:before="240" w:line="360" w:lineRule="auto"/>
        <w:rPr>
          <w:rFonts w:ascii="Arial" w:hAnsi="Arial" w:cs="Arial"/>
          <w:sz w:val="22"/>
          <w:szCs w:val="22"/>
        </w:rPr>
      </w:pPr>
      <w:r w:rsidRPr="000B3CD8">
        <w:rPr>
          <w:rFonts w:ascii="Arial" w:hAnsi="Arial" w:cs="Arial"/>
          <w:sz w:val="22"/>
          <w:szCs w:val="22"/>
        </w:rPr>
        <w:t>Good practice examples</w:t>
      </w:r>
      <w:r w:rsidRPr="005B5418">
        <w:rPr>
          <w:rFonts w:ascii="Arial" w:hAnsi="Arial" w:cs="Arial"/>
          <w:sz w:val="22"/>
          <w:szCs w:val="22"/>
        </w:rPr>
        <w:t xml:space="preserve"> provided by Lynch et al. (2022)</w:t>
      </w:r>
      <w:r w:rsidRPr="000B3CD8">
        <w:rPr>
          <w:rFonts w:ascii="Arial" w:hAnsi="Arial" w:cs="Arial"/>
          <w:sz w:val="22"/>
          <w:szCs w:val="22"/>
        </w:rPr>
        <w:t xml:space="preserve"> demonstrate that the encouragement of staff to develop relationships can result in a higher likelihood of residents expressing preferences and engaging in decision-making, as well as retaining a sense of self. Family inclusion also enhances empowerment through continuity of identity and advocacy (especially in residents with communication problems). Leadership is a vital factor in this case; </w:t>
      </w:r>
      <w:r w:rsidRPr="005B5418">
        <w:rPr>
          <w:rFonts w:ascii="Arial" w:hAnsi="Arial" w:cs="Arial"/>
          <w:sz w:val="22"/>
          <w:szCs w:val="22"/>
        </w:rPr>
        <w:t>residential</w:t>
      </w:r>
      <w:r w:rsidRPr="000B3CD8">
        <w:rPr>
          <w:rFonts w:ascii="Arial" w:hAnsi="Arial" w:cs="Arial"/>
          <w:sz w:val="22"/>
          <w:szCs w:val="22"/>
        </w:rPr>
        <w:t xml:space="preserve"> home</w:t>
      </w:r>
      <w:r w:rsidRPr="005B5418">
        <w:rPr>
          <w:rFonts w:ascii="Arial" w:hAnsi="Arial" w:cs="Arial"/>
          <w:sz w:val="22"/>
          <w:szCs w:val="22"/>
        </w:rPr>
        <w:t>s</w:t>
      </w:r>
      <w:r w:rsidRPr="000B3CD8">
        <w:rPr>
          <w:rFonts w:ascii="Arial" w:hAnsi="Arial" w:cs="Arial"/>
          <w:sz w:val="22"/>
          <w:szCs w:val="22"/>
        </w:rPr>
        <w:t xml:space="preserve"> where management is stable and all its values are based on culture can be observed to have more satisfied residents and better well-being levels</w:t>
      </w:r>
      <w:r w:rsidRPr="005B5418">
        <w:rPr>
          <w:rFonts w:ascii="Arial" w:hAnsi="Arial" w:cs="Arial"/>
          <w:sz w:val="22"/>
          <w:szCs w:val="22"/>
        </w:rPr>
        <w:t>, which is further affirmed by Duan et al. (2022)</w:t>
      </w:r>
      <w:r w:rsidRPr="000B3CD8">
        <w:rPr>
          <w:rFonts w:ascii="Arial" w:hAnsi="Arial" w:cs="Arial"/>
          <w:sz w:val="22"/>
          <w:szCs w:val="22"/>
        </w:rPr>
        <w:t>.</w:t>
      </w:r>
    </w:p>
    <w:p w14:paraId="04FB1FBC" w14:textId="77777777" w:rsidR="007D7592" w:rsidRPr="000B3CD8" w:rsidRDefault="007D7592" w:rsidP="007D7592">
      <w:pPr>
        <w:spacing w:before="240" w:line="360" w:lineRule="auto"/>
        <w:rPr>
          <w:rFonts w:ascii="Arial" w:hAnsi="Arial" w:cs="Arial"/>
          <w:sz w:val="22"/>
          <w:szCs w:val="22"/>
        </w:rPr>
      </w:pPr>
      <w:r w:rsidRPr="005B5418">
        <w:rPr>
          <w:rFonts w:ascii="Arial" w:hAnsi="Arial" w:cs="Arial"/>
          <w:sz w:val="22"/>
          <w:szCs w:val="22"/>
        </w:rPr>
        <w:t>For instance, t</w:t>
      </w:r>
      <w:r w:rsidRPr="000B3CD8">
        <w:rPr>
          <w:rFonts w:ascii="Arial" w:hAnsi="Arial" w:cs="Arial"/>
          <w:sz w:val="22"/>
          <w:szCs w:val="22"/>
        </w:rPr>
        <w:t>ake the case of a resident with a moderate level of dementia who used to participate in gardening. A person-centered home can be used to facilitate further interaction by providing modified activities and monitored outdoor activities, with the limitation of movement based on perceived risk. The mentioned approaches depict that autonomy and safety do not have to be antagonistic to each other. In sum, despite the difficulties of residential care, it has been demonstrated that the model can foster the safety of older people with disabilities and empower them in case the required quality standards, staff training, and person-centered values are incorporated.</w:t>
      </w:r>
    </w:p>
    <w:p w14:paraId="30FD29F8" w14:textId="77777777" w:rsidR="007D7592" w:rsidRPr="000B3CD8" w:rsidRDefault="007D7592" w:rsidP="007D7592">
      <w:pPr>
        <w:spacing w:before="240" w:line="360" w:lineRule="auto"/>
        <w:ind w:firstLine="0"/>
        <w:jc w:val="center"/>
        <w:rPr>
          <w:rFonts w:ascii="Arial" w:hAnsi="Arial" w:cs="Arial"/>
          <w:sz w:val="22"/>
          <w:szCs w:val="22"/>
        </w:rPr>
      </w:pPr>
      <w:r w:rsidRPr="000B3CD8">
        <w:rPr>
          <w:rFonts w:ascii="Arial" w:hAnsi="Arial" w:cs="Arial"/>
          <w:sz w:val="22"/>
          <w:szCs w:val="22"/>
        </w:rPr>
        <w:t>Overall Thesis—Student B (Negative)</w:t>
      </w:r>
    </w:p>
    <w:p w14:paraId="7B3FCB2F" w14:textId="77777777" w:rsidR="007D7592" w:rsidRPr="000B3CD8" w:rsidRDefault="007D7592" w:rsidP="007D7592">
      <w:pPr>
        <w:spacing w:before="240" w:line="360" w:lineRule="auto"/>
        <w:rPr>
          <w:rFonts w:ascii="Arial" w:hAnsi="Arial" w:cs="Arial"/>
          <w:sz w:val="22"/>
          <w:szCs w:val="22"/>
        </w:rPr>
      </w:pPr>
      <w:r w:rsidRPr="000B3CD8">
        <w:rPr>
          <w:rFonts w:ascii="Arial" w:hAnsi="Arial" w:cs="Arial"/>
          <w:sz w:val="22"/>
          <w:szCs w:val="22"/>
        </w:rPr>
        <w:t xml:space="preserve">My first point is that, practically, physical care in the residential facilities tends to be routinized and task-oriented, not </w:t>
      </w:r>
      <w:proofErr w:type="gramStart"/>
      <w:r w:rsidRPr="000B3CD8">
        <w:rPr>
          <w:rFonts w:ascii="Arial" w:hAnsi="Arial" w:cs="Arial"/>
          <w:sz w:val="22"/>
          <w:szCs w:val="22"/>
        </w:rPr>
        <w:t>really person-centered</w:t>
      </w:r>
      <w:proofErr w:type="gramEnd"/>
      <w:r w:rsidRPr="000B3CD8">
        <w:rPr>
          <w:rFonts w:ascii="Arial" w:hAnsi="Arial" w:cs="Arial"/>
          <w:sz w:val="22"/>
          <w:szCs w:val="22"/>
        </w:rPr>
        <w:t>.</w:t>
      </w:r>
    </w:p>
    <w:p w14:paraId="5962BDD6" w14:textId="77777777" w:rsidR="007D7592" w:rsidRPr="000B3CD8" w:rsidRDefault="007D7592" w:rsidP="007D7592">
      <w:pPr>
        <w:spacing w:before="240" w:line="360" w:lineRule="auto"/>
        <w:rPr>
          <w:rFonts w:ascii="Arial" w:hAnsi="Arial" w:cs="Arial"/>
          <w:sz w:val="22"/>
          <w:szCs w:val="22"/>
        </w:rPr>
      </w:pPr>
      <w:r w:rsidRPr="000B3CD8">
        <w:rPr>
          <w:rFonts w:ascii="Arial" w:hAnsi="Arial" w:cs="Arial"/>
          <w:sz w:val="22"/>
          <w:szCs w:val="22"/>
        </w:rPr>
        <w:lastRenderedPageBreak/>
        <w:t>Whereas residential care homes are supposed to be a place of constant care,</w:t>
      </w:r>
      <w:r w:rsidRPr="005B5418">
        <w:rPr>
          <w:rFonts w:ascii="Arial" w:hAnsi="Arial" w:cs="Arial"/>
          <w:color w:val="222222"/>
          <w:sz w:val="22"/>
          <w:szCs w:val="22"/>
          <w:shd w:val="clear" w:color="auto" w:fill="FFFFFF"/>
        </w:rPr>
        <w:t xml:space="preserve"> </w:t>
      </w:r>
      <w:r w:rsidRPr="005B5418">
        <w:rPr>
          <w:rFonts w:ascii="Arial" w:hAnsi="Arial" w:cs="Arial"/>
          <w:sz w:val="22"/>
          <w:szCs w:val="22"/>
        </w:rPr>
        <w:t>Strandell (2023) maintains that</w:t>
      </w:r>
      <w:r w:rsidRPr="000B3CD8">
        <w:rPr>
          <w:rFonts w:ascii="Arial" w:hAnsi="Arial" w:cs="Arial"/>
          <w:sz w:val="22"/>
          <w:szCs w:val="22"/>
        </w:rPr>
        <w:t xml:space="preserve"> inadequate staffing and time constraints often mean that care is offered as per </w:t>
      </w:r>
      <w:proofErr w:type="gramStart"/>
      <w:r w:rsidRPr="000B3CD8">
        <w:rPr>
          <w:rFonts w:ascii="Arial" w:hAnsi="Arial" w:cs="Arial"/>
          <w:sz w:val="22"/>
          <w:szCs w:val="22"/>
        </w:rPr>
        <w:t>the strict</w:t>
      </w:r>
      <w:proofErr w:type="gramEnd"/>
      <w:r w:rsidRPr="000B3CD8">
        <w:rPr>
          <w:rFonts w:ascii="Arial" w:hAnsi="Arial" w:cs="Arial"/>
          <w:sz w:val="22"/>
          <w:szCs w:val="22"/>
        </w:rPr>
        <w:t xml:space="preserve"> schedule but not per client need. Activities like toileting, repositioning, hydration, and mobility support are usually given priority in terms of efficiency,</w:t>
      </w:r>
      <w:r w:rsidRPr="005B5418">
        <w:rPr>
          <w:rFonts w:ascii="Arial" w:hAnsi="Arial" w:cs="Arial"/>
          <w:sz w:val="22"/>
          <w:szCs w:val="22"/>
        </w:rPr>
        <w:t xml:space="preserve"> as reported by Faraday (2023),</w:t>
      </w:r>
      <w:r w:rsidRPr="000B3CD8">
        <w:rPr>
          <w:rFonts w:ascii="Arial" w:hAnsi="Arial" w:cs="Arial"/>
          <w:sz w:val="22"/>
          <w:szCs w:val="22"/>
        </w:rPr>
        <w:t xml:space="preserve"> which results in hurried interactions and longer response times. This may be devastating to human dignity and safety. As an example, residents might be left without an assistant to go to the toilet, which leads to episodes of incontinence, which are embarrassing, result in skin breaking, and lead to loss of self-esteem.</w:t>
      </w:r>
    </w:p>
    <w:p w14:paraId="3C19AD02" w14:textId="77777777" w:rsidR="007D7592" w:rsidRPr="000B3CD8" w:rsidRDefault="007D7592" w:rsidP="007D7592">
      <w:pPr>
        <w:spacing w:before="240" w:line="360" w:lineRule="auto"/>
        <w:rPr>
          <w:rFonts w:ascii="Arial" w:hAnsi="Arial" w:cs="Arial"/>
          <w:sz w:val="22"/>
          <w:szCs w:val="22"/>
        </w:rPr>
      </w:pPr>
      <w:r w:rsidRPr="005B5418">
        <w:rPr>
          <w:rFonts w:ascii="Arial" w:hAnsi="Arial" w:cs="Arial"/>
          <w:sz w:val="22"/>
          <w:szCs w:val="22"/>
        </w:rPr>
        <w:t>A study by Chabot (2022) indicates that l</w:t>
      </w:r>
      <w:r w:rsidRPr="000B3CD8">
        <w:rPr>
          <w:rFonts w:ascii="Arial" w:hAnsi="Arial" w:cs="Arial"/>
          <w:sz w:val="22"/>
          <w:szCs w:val="22"/>
        </w:rPr>
        <w:t>apsed care has been a long-standing problem in residential care with a recorded occurrence either during understaffed shifts or during peak hours like the mornings and the evenings</w:t>
      </w:r>
      <w:r w:rsidRPr="005B5418">
        <w:rPr>
          <w:rFonts w:ascii="Arial" w:hAnsi="Arial" w:cs="Arial"/>
          <w:sz w:val="22"/>
          <w:szCs w:val="22"/>
        </w:rPr>
        <w:t>. T</w:t>
      </w:r>
      <w:r w:rsidRPr="000B3CD8">
        <w:rPr>
          <w:rFonts w:ascii="Arial" w:hAnsi="Arial" w:cs="Arial"/>
          <w:sz w:val="22"/>
          <w:szCs w:val="22"/>
        </w:rPr>
        <w:t xml:space="preserve">he issue of hydration is particularly prone to being neglected because the residents who cannot obtain drinks by themselves depend on the availability of the staff. </w:t>
      </w:r>
      <w:r w:rsidRPr="005B5418">
        <w:rPr>
          <w:rFonts w:ascii="Arial" w:hAnsi="Arial" w:cs="Arial"/>
          <w:sz w:val="22"/>
          <w:szCs w:val="22"/>
        </w:rPr>
        <w:t xml:space="preserve">A realist evidence synthesis by Prieto et al. (2025) found </w:t>
      </w:r>
      <w:r w:rsidRPr="000B3CD8">
        <w:rPr>
          <w:rFonts w:ascii="Arial" w:hAnsi="Arial" w:cs="Arial"/>
          <w:sz w:val="22"/>
          <w:szCs w:val="22"/>
        </w:rPr>
        <w:t>that lack of hydration and nutrition in care homes is associated with high risk of urinary tract infections</w:t>
      </w:r>
      <w:r w:rsidRPr="005B5418">
        <w:rPr>
          <w:rFonts w:ascii="Arial" w:hAnsi="Arial" w:cs="Arial"/>
          <w:sz w:val="22"/>
          <w:szCs w:val="22"/>
        </w:rPr>
        <w:t xml:space="preserve"> (UTI)</w:t>
      </w:r>
      <w:r w:rsidRPr="000B3CD8">
        <w:rPr>
          <w:rFonts w:ascii="Arial" w:hAnsi="Arial" w:cs="Arial"/>
          <w:sz w:val="22"/>
          <w:szCs w:val="22"/>
        </w:rPr>
        <w:t>, confusion, falls, and hospitalization.</w:t>
      </w:r>
      <w:r w:rsidRPr="005B5418">
        <w:rPr>
          <w:rFonts w:ascii="Arial" w:hAnsi="Arial" w:cs="Arial"/>
          <w:sz w:val="22"/>
          <w:szCs w:val="22"/>
        </w:rPr>
        <w:t xml:space="preserve"> Specifically, the study recorded that older people in residential homes are 4 times more likely to develop UTI</w:t>
      </w:r>
      <w:r>
        <w:rPr>
          <w:rFonts w:ascii="Arial" w:hAnsi="Arial" w:cs="Arial"/>
          <w:sz w:val="22"/>
          <w:szCs w:val="22"/>
        </w:rPr>
        <w:t>s</w:t>
      </w:r>
      <w:r w:rsidRPr="005B5418">
        <w:rPr>
          <w:rFonts w:ascii="Arial" w:hAnsi="Arial" w:cs="Arial"/>
          <w:sz w:val="22"/>
          <w:szCs w:val="22"/>
        </w:rPr>
        <w:t xml:space="preserve"> and antibiotic resistance compared to older people residing in their homes (Prieto et al., 2025).</w:t>
      </w:r>
      <w:r w:rsidRPr="000B3CD8">
        <w:rPr>
          <w:rFonts w:ascii="Arial" w:hAnsi="Arial" w:cs="Arial"/>
          <w:sz w:val="22"/>
          <w:szCs w:val="22"/>
        </w:rPr>
        <w:t xml:space="preserve"> One of the situations that can occur in real life is a weaker resident with limited mobility, who waits too long to get help to change </w:t>
      </w:r>
      <w:r w:rsidRPr="005B5418">
        <w:rPr>
          <w:rFonts w:ascii="Arial" w:hAnsi="Arial" w:cs="Arial"/>
          <w:sz w:val="22"/>
          <w:szCs w:val="22"/>
        </w:rPr>
        <w:t>their</w:t>
      </w:r>
      <w:r w:rsidRPr="000B3CD8">
        <w:rPr>
          <w:rFonts w:ascii="Arial" w:hAnsi="Arial" w:cs="Arial"/>
          <w:sz w:val="22"/>
          <w:szCs w:val="22"/>
        </w:rPr>
        <w:t xml:space="preserve"> position, tries to stand up, and falls</w:t>
      </w:r>
      <w:r w:rsidRPr="005B5418">
        <w:rPr>
          <w:rFonts w:ascii="Arial" w:hAnsi="Arial" w:cs="Arial"/>
          <w:sz w:val="22"/>
          <w:szCs w:val="22"/>
        </w:rPr>
        <w:t>, while others face challenges to adhere to medications, which might result in antibiotic res</w:t>
      </w:r>
      <w:r>
        <w:rPr>
          <w:rFonts w:ascii="Arial" w:hAnsi="Arial" w:cs="Arial"/>
          <w:sz w:val="22"/>
          <w:szCs w:val="22"/>
        </w:rPr>
        <w:t>is</w:t>
      </w:r>
      <w:r w:rsidRPr="005B5418">
        <w:rPr>
          <w:rFonts w:ascii="Arial" w:hAnsi="Arial" w:cs="Arial"/>
          <w:sz w:val="22"/>
          <w:szCs w:val="22"/>
        </w:rPr>
        <w:t>tance</w:t>
      </w:r>
      <w:r w:rsidRPr="000B3CD8">
        <w:rPr>
          <w:rFonts w:ascii="Arial" w:hAnsi="Arial" w:cs="Arial"/>
          <w:sz w:val="22"/>
          <w:szCs w:val="22"/>
        </w:rPr>
        <w:t xml:space="preserve">. </w:t>
      </w:r>
      <w:r w:rsidRPr="005B5418">
        <w:rPr>
          <w:rFonts w:ascii="Arial" w:hAnsi="Arial" w:cs="Arial"/>
          <w:sz w:val="22"/>
          <w:szCs w:val="22"/>
        </w:rPr>
        <w:t>A scoping review by St Clair et al. (2022) reports that t</w:t>
      </w:r>
      <w:r w:rsidRPr="000B3CD8">
        <w:rPr>
          <w:rFonts w:ascii="Arial" w:hAnsi="Arial" w:cs="Arial"/>
          <w:sz w:val="22"/>
          <w:szCs w:val="22"/>
        </w:rPr>
        <w:t xml:space="preserve">hese are not one-off cases but the </w:t>
      </w:r>
      <w:proofErr w:type="gramStart"/>
      <w:r w:rsidRPr="000B3CD8">
        <w:rPr>
          <w:rFonts w:ascii="Arial" w:hAnsi="Arial" w:cs="Arial"/>
          <w:sz w:val="22"/>
          <w:szCs w:val="22"/>
        </w:rPr>
        <w:t>main focus</w:t>
      </w:r>
      <w:proofErr w:type="gramEnd"/>
      <w:r w:rsidRPr="000B3CD8">
        <w:rPr>
          <w:rFonts w:ascii="Arial" w:hAnsi="Arial" w:cs="Arial"/>
          <w:sz w:val="22"/>
          <w:szCs w:val="22"/>
        </w:rPr>
        <w:t xml:space="preserve"> of complaints and inspection reports, where they are characterized by preventable harm but not inescapable risk. Concisely, the concept of task-oriented care motivated by systemic factors compromises person-centered physical care and directly leads to adverse outcomes.</w:t>
      </w:r>
    </w:p>
    <w:p w14:paraId="400EFFA4" w14:textId="77777777" w:rsidR="007D7592" w:rsidRPr="000B3CD8" w:rsidRDefault="007D7592" w:rsidP="007D7592">
      <w:pPr>
        <w:spacing w:before="240" w:line="360" w:lineRule="auto"/>
        <w:rPr>
          <w:rFonts w:ascii="Arial" w:hAnsi="Arial" w:cs="Arial"/>
          <w:sz w:val="22"/>
          <w:szCs w:val="22"/>
        </w:rPr>
      </w:pPr>
      <w:r w:rsidRPr="000B3CD8">
        <w:rPr>
          <w:rFonts w:ascii="Arial" w:hAnsi="Arial" w:cs="Arial"/>
          <w:sz w:val="22"/>
          <w:szCs w:val="22"/>
        </w:rPr>
        <w:t>Second, residential care models are structurally marginalized from their psychological, emotional, and social needs.</w:t>
      </w:r>
    </w:p>
    <w:p w14:paraId="1A720F39" w14:textId="77777777" w:rsidR="007D7592" w:rsidRPr="000B3CD8" w:rsidRDefault="007D7592" w:rsidP="007D7592">
      <w:pPr>
        <w:spacing w:before="240" w:line="360" w:lineRule="auto"/>
        <w:rPr>
          <w:rFonts w:ascii="Arial" w:hAnsi="Arial" w:cs="Arial"/>
          <w:sz w:val="22"/>
          <w:szCs w:val="22"/>
        </w:rPr>
      </w:pPr>
      <w:r w:rsidRPr="000B3CD8">
        <w:rPr>
          <w:rFonts w:ascii="Arial" w:hAnsi="Arial" w:cs="Arial"/>
          <w:sz w:val="22"/>
          <w:szCs w:val="22"/>
        </w:rPr>
        <w:t xml:space="preserve">Physical dependency is </w:t>
      </w:r>
      <w:proofErr w:type="gramStart"/>
      <w:r w:rsidRPr="000B3CD8">
        <w:rPr>
          <w:rFonts w:ascii="Arial" w:hAnsi="Arial" w:cs="Arial"/>
          <w:sz w:val="22"/>
          <w:szCs w:val="22"/>
        </w:rPr>
        <w:t>very obvious</w:t>
      </w:r>
      <w:proofErr w:type="gramEnd"/>
      <w:r w:rsidRPr="000B3CD8">
        <w:rPr>
          <w:rFonts w:ascii="Arial" w:hAnsi="Arial" w:cs="Arial"/>
          <w:sz w:val="22"/>
          <w:szCs w:val="22"/>
        </w:rPr>
        <w:t xml:space="preserve"> and can be easily measured, whereas emotional and social needs are not tangible and can be easily overlooked. </w:t>
      </w:r>
      <w:r w:rsidRPr="005B5418">
        <w:rPr>
          <w:rFonts w:ascii="Arial" w:hAnsi="Arial" w:cs="Arial"/>
          <w:sz w:val="22"/>
          <w:szCs w:val="22"/>
        </w:rPr>
        <w:t>Plys and Levy (2022) analyzed cross-section information from the National Survey of Residential Care Facilities and found that r</w:t>
      </w:r>
      <w:r w:rsidRPr="000B3CD8">
        <w:rPr>
          <w:rFonts w:ascii="Arial" w:hAnsi="Arial" w:cs="Arial"/>
          <w:sz w:val="22"/>
          <w:szCs w:val="22"/>
        </w:rPr>
        <w:t xml:space="preserve">esidential care can lead to depression and anxiety through a high incidence of relocation trauma, such as loss of home and independence, social roles that they were familiar with, and </w:t>
      </w:r>
      <w:r w:rsidRPr="000B3CD8">
        <w:rPr>
          <w:rFonts w:ascii="Arial" w:hAnsi="Arial" w:cs="Arial"/>
          <w:sz w:val="22"/>
          <w:szCs w:val="22"/>
        </w:rPr>
        <w:lastRenderedPageBreak/>
        <w:t>so on. Nevertheless, they are often normalized as natural aging and not considered as signs of an unfulfilled psychological need.</w:t>
      </w:r>
    </w:p>
    <w:p w14:paraId="24BEAC9D" w14:textId="77777777" w:rsidR="007D7592" w:rsidRPr="000B3CD8" w:rsidRDefault="007D7592" w:rsidP="007D7592">
      <w:pPr>
        <w:spacing w:before="240" w:line="360" w:lineRule="auto"/>
        <w:rPr>
          <w:rFonts w:ascii="Arial" w:hAnsi="Arial" w:cs="Arial"/>
          <w:sz w:val="22"/>
          <w:szCs w:val="22"/>
        </w:rPr>
      </w:pPr>
      <w:r w:rsidRPr="000B3CD8">
        <w:rPr>
          <w:rFonts w:ascii="Arial" w:hAnsi="Arial" w:cs="Arial"/>
          <w:sz w:val="22"/>
          <w:szCs w:val="22"/>
        </w:rPr>
        <w:t xml:space="preserve">Loneliness has been rife in residential care, even though they are in communal setups. </w:t>
      </w:r>
      <w:r w:rsidRPr="005B5418">
        <w:rPr>
          <w:rFonts w:ascii="Arial" w:hAnsi="Arial" w:cs="Arial"/>
          <w:sz w:val="22"/>
          <w:szCs w:val="22"/>
        </w:rPr>
        <w:t>As recorded by Gill and Sullivan (2025), t</w:t>
      </w:r>
      <w:r w:rsidRPr="000B3CD8">
        <w:rPr>
          <w:rFonts w:ascii="Arial" w:hAnsi="Arial" w:cs="Arial"/>
          <w:sz w:val="22"/>
          <w:szCs w:val="22"/>
        </w:rPr>
        <w:t xml:space="preserve">he group activities are usually introduced as a sign of social interaction, but they can be performative, as they are concerned with attendance and not with genuine connection. Especially vulnerable are residents with impaired senses. </w:t>
      </w:r>
      <w:r w:rsidRPr="005B5418">
        <w:rPr>
          <w:rFonts w:ascii="Arial" w:hAnsi="Arial" w:cs="Arial"/>
          <w:sz w:val="22"/>
          <w:szCs w:val="22"/>
        </w:rPr>
        <w:t xml:space="preserve">A good example </w:t>
      </w:r>
      <w:proofErr w:type="gramStart"/>
      <w:r w:rsidRPr="005B5418">
        <w:rPr>
          <w:rFonts w:ascii="Arial" w:hAnsi="Arial" w:cs="Arial"/>
          <w:sz w:val="22"/>
          <w:szCs w:val="22"/>
        </w:rPr>
        <w:t>is</w:t>
      </w:r>
      <w:proofErr w:type="gramEnd"/>
      <w:r w:rsidRPr="005B5418">
        <w:rPr>
          <w:rFonts w:ascii="Arial" w:hAnsi="Arial" w:cs="Arial"/>
          <w:sz w:val="22"/>
          <w:szCs w:val="22"/>
        </w:rPr>
        <w:t xml:space="preserve"> </w:t>
      </w:r>
      <w:r w:rsidRPr="000B3CD8">
        <w:rPr>
          <w:rFonts w:ascii="Arial" w:hAnsi="Arial" w:cs="Arial"/>
          <w:sz w:val="22"/>
          <w:szCs w:val="22"/>
        </w:rPr>
        <w:t>a resident who lacks hearing ability would find it hard to keep up with conversations or activities and gradually isolate</w:t>
      </w:r>
      <w:r w:rsidRPr="005B5418">
        <w:rPr>
          <w:rFonts w:ascii="Arial" w:hAnsi="Arial" w:cs="Arial"/>
          <w:sz w:val="22"/>
          <w:szCs w:val="22"/>
        </w:rPr>
        <w:t xml:space="preserve"> themselves</w:t>
      </w:r>
      <w:r w:rsidRPr="000B3CD8">
        <w:rPr>
          <w:rFonts w:ascii="Arial" w:hAnsi="Arial" w:cs="Arial"/>
          <w:sz w:val="22"/>
          <w:szCs w:val="22"/>
        </w:rPr>
        <w:t xml:space="preserve">. Such a withdrawal can be misunderstood by employees to mean that </w:t>
      </w:r>
      <w:r w:rsidRPr="005B5418">
        <w:rPr>
          <w:rFonts w:ascii="Arial" w:hAnsi="Arial" w:cs="Arial"/>
          <w:sz w:val="22"/>
          <w:szCs w:val="22"/>
        </w:rPr>
        <w:t>the resident</w:t>
      </w:r>
      <w:r w:rsidRPr="000B3CD8">
        <w:rPr>
          <w:rFonts w:ascii="Arial" w:hAnsi="Arial" w:cs="Arial"/>
          <w:sz w:val="22"/>
          <w:szCs w:val="22"/>
        </w:rPr>
        <w:t xml:space="preserve"> is settled or happy, yet it only means that </w:t>
      </w:r>
      <w:r w:rsidRPr="005B5418">
        <w:rPr>
          <w:rFonts w:ascii="Arial" w:hAnsi="Arial" w:cs="Arial"/>
          <w:sz w:val="22"/>
          <w:szCs w:val="22"/>
        </w:rPr>
        <w:t>they are</w:t>
      </w:r>
      <w:r w:rsidRPr="000B3CD8">
        <w:rPr>
          <w:rFonts w:ascii="Arial" w:hAnsi="Arial" w:cs="Arial"/>
          <w:sz w:val="22"/>
          <w:szCs w:val="22"/>
        </w:rPr>
        <w:t xml:space="preserve"> isolated and that </w:t>
      </w:r>
      <w:r w:rsidRPr="005B5418">
        <w:rPr>
          <w:rFonts w:ascii="Arial" w:hAnsi="Arial" w:cs="Arial"/>
          <w:sz w:val="22"/>
          <w:szCs w:val="22"/>
        </w:rPr>
        <w:t>t</w:t>
      </w:r>
      <w:r w:rsidRPr="000B3CD8">
        <w:rPr>
          <w:rFonts w:ascii="Arial" w:hAnsi="Arial" w:cs="Arial"/>
          <w:sz w:val="22"/>
          <w:szCs w:val="22"/>
        </w:rPr>
        <w:t>he</w:t>
      </w:r>
      <w:r w:rsidRPr="005B5418">
        <w:rPr>
          <w:rFonts w:ascii="Arial" w:hAnsi="Arial" w:cs="Arial"/>
          <w:sz w:val="22"/>
          <w:szCs w:val="22"/>
        </w:rPr>
        <w:t>y</w:t>
      </w:r>
      <w:r w:rsidRPr="000B3CD8">
        <w:rPr>
          <w:rFonts w:ascii="Arial" w:hAnsi="Arial" w:cs="Arial"/>
          <w:sz w:val="22"/>
          <w:szCs w:val="22"/>
        </w:rPr>
        <w:t xml:space="preserve"> </w:t>
      </w:r>
      <w:r w:rsidRPr="005B5418">
        <w:rPr>
          <w:rFonts w:ascii="Arial" w:hAnsi="Arial" w:cs="Arial"/>
          <w:sz w:val="22"/>
          <w:szCs w:val="22"/>
        </w:rPr>
        <w:t>are</w:t>
      </w:r>
      <w:r w:rsidRPr="000B3CD8">
        <w:rPr>
          <w:rFonts w:ascii="Arial" w:hAnsi="Arial" w:cs="Arial"/>
          <w:sz w:val="22"/>
          <w:szCs w:val="22"/>
        </w:rPr>
        <w:t xml:space="preserve"> in a state of emotional distress. </w:t>
      </w:r>
      <w:r w:rsidRPr="005B5418">
        <w:rPr>
          <w:rFonts w:ascii="Arial" w:hAnsi="Arial" w:cs="Arial"/>
          <w:sz w:val="22"/>
          <w:szCs w:val="22"/>
        </w:rPr>
        <w:t xml:space="preserve">In a scoping review, </w:t>
      </w:r>
      <w:proofErr w:type="spellStart"/>
      <w:r w:rsidRPr="00211488">
        <w:rPr>
          <w:rFonts w:ascii="Arial" w:hAnsi="Arial" w:cs="Arial"/>
          <w:sz w:val="22"/>
          <w:szCs w:val="22"/>
        </w:rPr>
        <w:t>Sedlackova</w:t>
      </w:r>
      <w:proofErr w:type="spellEnd"/>
      <w:r w:rsidRPr="00211488">
        <w:rPr>
          <w:rFonts w:ascii="Arial" w:hAnsi="Arial" w:cs="Arial"/>
          <w:sz w:val="22"/>
          <w:szCs w:val="22"/>
        </w:rPr>
        <w:t xml:space="preserve">, </w:t>
      </w:r>
      <w:proofErr w:type="spellStart"/>
      <w:r w:rsidRPr="00211488">
        <w:rPr>
          <w:rFonts w:ascii="Arial" w:hAnsi="Arial" w:cs="Arial"/>
          <w:sz w:val="22"/>
          <w:szCs w:val="22"/>
        </w:rPr>
        <w:t>Bartova</w:t>
      </w:r>
      <w:proofErr w:type="spellEnd"/>
      <w:r w:rsidRPr="00211488">
        <w:rPr>
          <w:rFonts w:ascii="Arial" w:hAnsi="Arial" w:cs="Arial"/>
          <w:sz w:val="22"/>
          <w:szCs w:val="22"/>
        </w:rPr>
        <w:t xml:space="preserve">, and </w:t>
      </w:r>
      <w:proofErr w:type="spellStart"/>
      <w:r w:rsidRPr="00211488">
        <w:rPr>
          <w:rFonts w:ascii="Arial" w:hAnsi="Arial" w:cs="Arial"/>
          <w:sz w:val="22"/>
          <w:szCs w:val="22"/>
        </w:rPr>
        <w:t>Holmerova</w:t>
      </w:r>
      <w:proofErr w:type="spellEnd"/>
      <w:r w:rsidRPr="00211488">
        <w:rPr>
          <w:rFonts w:ascii="Arial" w:hAnsi="Arial" w:cs="Arial"/>
          <w:sz w:val="22"/>
          <w:szCs w:val="22"/>
        </w:rPr>
        <w:t xml:space="preserve"> </w:t>
      </w:r>
      <w:r w:rsidRPr="005B5418">
        <w:rPr>
          <w:rFonts w:ascii="Arial" w:hAnsi="Arial" w:cs="Arial"/>
          <w:sz w:val="22"/>
          <w:szCs w:val="22"/>
        </w:rPr>
        <w:t>(</w:t>
      </w:r>
      <w:r w:rsidRPr="00211488">
        <w:rPr>
          <w:rFonts w:ascii="Arial" w:hAnsi="Arial" w:cs="Arial"/>
          <w:sz w:val="22"/>
          <w:szCs w:val="22"/>
        </w:rPr>
        <w:t>2024</w:t>
      </w:r>
      <w:r w:rsidRPr="005B5418">
        <w:rPr>
          <w:rFonts w:ascii="Arial" w:hAnsi="Arial" w:cs="Arial"/>
          <w:sz w:val="22"/>
          <w:szCs w:val="22"/>
        </w:rPr>
        <w:t xml:space="preserve">) indicate </w:t>
      </w:r>
      <w:r w:rsidRPr="000B3CD8">
        <w:rPr>
          <w:rFonts w:ascii="Arial" w:hAnsi="Arial" w:cs="Arial"/>
          <w:sz w:val="22"/>
          <w:szCs w:val="22"/>
        </w:rPr>
        <w:t xml:space="preserve">that loneliness is closely related to the risk of depression, cognitive decline, cardiovascular disease, and mortality, the impact of which is </w:t>
      </w:r>
      <w:proofErr w:type="gramStart"/>
      <w:r w:rsidRPr="000B3CD8">
        <w:rPr>
          <w:rFonts w:ascii="Arial" w:hAnsi="Arial" w:cs="Arial"/>
          <w:sz w:val="22"/>
          <w:szCs w:val="22"/>
        </w:rPr>
        <w:t>similar to</w:t>
      </w:r>
      <w:proofErr w:type="gramEnd"/>
      <w:r w:rsidRPr="000B3CD8">
        <w:rPr>
          <w:rFonts w:ascii="Arial" w:hAnsi="Arial" w:cs="Arial"/>
          <w:sz w:val="22"/>
          <w:szCs w:val="22"/>
        </w:rPr>
        <w:t xml:space="preserve"> that of significant health risk factors (Holt-</w:t>
      </w:r>
      <w:proofErr w:type="spellStart"/>
      <w:r w:rsidRPr="000B3CD8">
        <w:rPr>
          <w:rFonts w:ascii="Arial" w:hAnsi="Arial" w:cs="Arial"/>
          <w:sz w:val="22"/>
          <w:szCs w:val="22"/>
        </w:rPr>
        <w:t>Lunstad</w:t>
      </w:r>
      <w:proofErr w:type="spellEnd"/>
      <w:r w:rsidRPr="000B3CD8">
        <w:rPr>
          <w:rFonts w:ascii="Arial" w:hAnsi="Arial" w:cs="Arial"/>
          <w:sz w:val="22"/>
          <w:szCs w:val="22"/>
        </w:rPr>
        <w:t xml:space="preserve"> et al., 2015).</w:t>
      </w:r>
    </w:p>
    <w:p w14:paraId="41F0D1A3" w14:textId="77777777" w:rsidR="007D7592" w:rsidRPr="000B3CD8" w:rsidRDefault="007D7592" w:rsidP="007D7592">
      <w:pPr>
        <w:spacing w:before="240" w:line="360" w:lineRule="auto"/>
        <w:rPr>
          <w:rFonts w:ascii="Arial" w:hAnsi="Arial" w:cs="Arial"/>
          <w:sz w:val="22"/>
          <w:szCs w:val="22"/>
        </w:rPr>
      </w:pPr>
      <w:r w:rsidRPr="000B3CD8">
        <w:rPr>
          <w:rFonts w:ascii="Arial" w:hAnsi="Arial" w:cs="Arial"/>
          <w:sz w:val="22"/>
          <w:szCs w:val="22"/>
        </w:rPr>
        <w:t xml:space="preserve">This neglect is also demonstrated by dementia-related distress. </w:t>
      </w:r>
      <w:r w:rsidRPr="005B5418">
        <w:rPr>
          <w:rFonts w:ascii="Arial" w:hAnsi="Arial" w:cs="Arial"/>
          <w:sz w:val="22"/>
          <w:szCs w:val="22"/>
        </w:rPr>
        <w:t>As reported by Calo et al. (2023), a</w:t>
      </w:r>
      <w:r w:rsidRPr="000B3CD8">
        <w:rPr>
          <w:rFonts w:ascii="Arial" w:hAnsi="Arial" w:cs="Arial"/>
          <w:sz w:val="22"/>
          <w:szCs w:val="22"/>
        </w:rPr>
        <w:t xml:space="preserve">gitation or withdrawal are some of the forms of behavior that are normally dealt with </w:t>
      </w:r>
      <w:r w:rsidRPr="005B5418">
        <w:rPr>
          <w:rFonts w:ascii="Arial" w:hAnsi="Arial" w:cs="Arial"/>
          <w:sz w:val="22"/>
          <w:szCs w:val="22"/>
        </w:rPr>
        <w:t>through</w:t>
      </w:r>
      <w:r w:rsidRPr="000B3CD8">
        <w:rPr>
          <w:rFonts w:ascii="Arial" w:hAnsi="Arial" w:cs="Arial"/>
          <w:sz w:val="22"/>
          <w:szCs w:val="22"/>
        </w:rPr>
        <w:t xml:space="preserve"> medication instead of psychosocial interventions, which focus on the underlying emotional requirements. Access to psychological services in care homes is limited, making the emotional suffering </w:t>
      </w:r>
      <w:proofErr w:type="gramStart"/>
      <w:r w:rsidRPr="000B3CD8">
        <w:rPr>
          <w:rFonts w:ascii="Arial" w:hAnsi="Arial" w:cs="Arial"/>
          <w:sz w:val="22"/>
          <w:szCs w:val="22"/>
        </w:rPr>
        <w:t>mostly</w:t>
      </w:r>
      <w:proofErr w:type="gramEnd"/>
      <w:r w:rsidRPr="000B3CD8">
        <w:rPr>
          <w:rFonts w:ascii="Arial" w:hAnsi="Arial" w:cs="Arial"/>
          <w:sz w:val="22"/>
          <w:szCs w:val="22"/>
        </w:rPr>
        <w:t xml:space="preserve"> unattended</w:t>
      </w:r>
      <w:r w:rsidRPr="005B5418">
        <w:rPr>
          <w:rFonts w:ascii="Arial" w:hAnsi="Arial" w:cs="Arial"/>
          <w:sz w:val="22"/>
          <w:szCs w:val="22"/>
        </w:rPr>
        <w:t>, according to Giebel et al. (2022)</w:t>
      </w:r>
      <w:r w:rsidRPr="000B3CD8">
        <w:rPr>
          <w:rFonts w:ascii="Arial" w:hAnsi="Arial" w:cs="Arial"/>
          <w:sz w:val="22"/>
          <w:szCs w:val="22"/>
        </w:rPr>
        <w:t xml:space="preserve">. Therefore, prioritization of the physical over emotional and social care structure results in a </w:t>
      </w:r>
      <w:r w:rsidRPr="005B5418">
        <w:rPr>
          <w:rFonts w:ascii="Arial" w:hAnsi="Arial" w:cs="Arial"/>
          <w:sz w:val="22"/>
          <w:szCs w:val="22"/>
        </w:rPr>
        <w:t xml:space="preserve">decrease in the </w:t>
      </w:r>
      <w:r w:rsidRPr="000B3CD8">
        <w:rPr>
          <w:rFonts w:ascii="Arial" w:hAnsi="Arial" w:cs="Arial"/>
          <w:sz w:val="22"/>
          <w:szCs w:val="22"/>
        </w:rPr>
        <w:t>quality of life and faster deterioration.</w:t>
      </w:r>
    </w:p>
    <w:p w14:paraId="4EA72272" w14:textId="77777777" w:rsidR="007D7592" w:rsidRPr="000B3CD8" w:rsidRDefault="007D7592" w:rsidP="007D7592">
      <w:pPr>
        <w:spacing w:before="240" w:line="360" w:lineRule="auto"/>
        <w:rPr>
          <w:rFonts w:ascii="Arial" w:hAnsi="Arial" w:cs="Arial"/>
          <w:sz w:val="22"/>
          <w:szCs w:val="22"/>
        </w:rPr>
      </w:pPr>
      <w:r w:rsidRPr="000B3CD8">
        <w:rPr>
          <w:rFonts w:ascii="Arial" w:hAnsi="Arial" w:cs="Arial"/>
          <w:sz w:val="22"/>
          <w:szCs w:val="22"/>
        </w:rPr>
        <w:t>Third, the risk-averse cultures and inconsistent enforcement of the capacity legislation often limit autonomy.</w:t>
      </w:r>
    </w:p>
    <w:p w14:paraId="7CE14D25" w14:textId="77777777" w:rsidR="007D7592" w:rsidRPr="000B3CD8" w:rsidRDefault="007D7592" w:rsidP="007D7592">
      <w:pPr>
        <w:spacing w:before="240" w:line="360" w:lineRule="auto"/>
        <w:rPr>
          <w:rFonts w:ascii="Arial" w:hAnsi="Arial" w:cs="Arial"/>
          <w:sz w:val="22"/>
          <w:szCs w:val="22"/>
        </w:rPr>
      </w:pPr>
      <w:r w:rsidRPr="000B3CD8">
        <w:rPr>
          <w:rFonts w:ascii="Arial" w:hAnsi="Arial" w:cs="Arial"/>
          <w:sz w:val="22"/>
          <w:szCs w:val="22"/>
        </w:rPr>
        <w:t xml:space="preserve">Protecting is a fundamental task of residential care providers, </w:t>
      </w:r>
      <w:proofErr w:type="gramStart"/>
      <w:r w:rsidRPr="000B3CD8">
        <w:rPr>
          <w:rFonts w:ascii="Arial" w:hAnsi="Arial" w:cs="Arial"/>
          <w:sz w:val="22"/>
          <w:szCs w:val="22"/>
        </w:rPr>
        <w:t>although in reality</w:t>
      </w:r>
      <w:r w:rsidRPr="005B5418">
        <w:rPr>
          <w:rFonts w:ascii="Arial" w:hAnsi="Arial" w:cs="Arial"/>
          <w:sz w:val="22"/>
          <w:szCs w:val="22"/>
        </w:rPr>
        <w:t>,</w:t>
      </w:r>
      <w:proofErr w:type="gramEnd"/>
      <w:r w:rsidRPr="000B3CD8">
        <w:rPr>
          <w:rFonts w:ascii="Arial" w:hAnsi="Arial" w:cs="Arial"/>
          <w:sz w:val="22"/>
          <w:szCs w:val="22"/>
        </w:rPr>
        <w:t xml:space="preserve"> it is frequently excessive control. </w:t>
      </w:r>
      <w:r w:rsidRPr="005B5418">
        <w:rPr>
          <w:rFonts w:ascii="Arial" w:hAnsi="Arial" w:cs="Arial"/>
          <w:sz w:val="22"/>
          <w:szCs w:val="22"/>
        </w:rPr>
        <w:t>As indicated by Davidson (2022), t</w:t>
      </w:r>
      <w:r w:rsidRPr="000B3CD8">
        <w:rPr>
          <w:rFonts w:ascii="Arial" w:hAnsi="Arial" w:cs="Arial"/>
          <w:sz w:val="22"/>
          <w:szCs w:val="22"/>
        </w:rPr>
        <w:t xml:space="preserve">he principles that the Mental Capacity Act 2005 displays are straightforward: a person is supposed to be presumed to have the capacity, assisted in making the decisions, and left to make the unwise choices. Nevertheless, </w:t>
      </w:r>
      <w:proofErr w:type="spellStart"/>
      <w:r w:rsidRPr="005B5418">
        <w:rPr>
          <w:rFonts w:ascii="Arial" w:hAnsi="Arial" w:cs="Arial"/>
          <w:sz w:val="22"/>
          <w:szCs w:val="22"/>
        </w:rPr>
        <w:t>Nocivelli</w:t>
      </w:r>
      <w:proofErr w:type="spellEnd"/>
      <w:r w:rsidRPr="005B5418">
        <w:rPr>
          <w:rFonts w:ascii="Arial" w:hAnsi="Arial" w:cs="Arial"/>
          <w:sz w:val="22"/>
          <w:szCs w:val="22"/>
        </w:rPr>
        <w:t xml:space="preserve"> et al. (2023) indicate</w:t>
      </w:r>
      <w:r w:rsidRPr="000B3CD8">
        <w:rPr>
          <w:rFonts w:ascii="Arial" w:hAnsi="Arial" w:cs="Arial"/>
          <w:sz w:val="22"/>
          <w:szCs w:val="22"/>
        </w:rPr>
        <w:t xml:space="preserve"> that there are inconsistencies in the use of capacity assessments in care homes, and best-interest decisions can fall back to organi</w:t>
      </w:r>
      <w:r>
        <w:rPr>
          <w:rFonts w:ascii="Arial" w:hAnsi="Arial" w:cs="Arial"/>
          <w:sz w:val="22"/>
          <w:szCs w:val="22"/>
        </w:rPr>
        <w:t>z</w:t>
      </w:r>
      <w:r w:rsidRPr="000B3CD8">
        <w:rPr>
          <w:rFonts w:ascii="Arial" w:hAnsi="Arial" w:cs="Arial"/>
          <w:sz w:val="22"/>
          <w:szCs w:val="22"/>
        </w:rPr>
        <w:t>ational convenience instead of actual person-centered reasoning.</w:t>
      </w:r>
    </w:p>
    <w:p w14:paraId="6A598D8F" w14:textId="77777777" w:rsidR="007D7592" w:rsidRPr="005B5418" w:rsidRDefault="007D7592" w:rsidP="007D7592">
      <w:pPr>
        <w:spacing w:before="240" w:line="360" w:lineRule="auto"/>
        <w:rPr>
          <w:rFonts w:ascii="Arial" w:eastAsia="Times New Roman" w:hAnsi="Arial" w:cs="Arial"/>
          <w:color w:val="222222"/>
          <w:kern w:val="0"/>
          <w:sz w:val="22"/>
          <w:szCs w:val="22"/>
          <w14:ligatures w14:val="none"/>
        </w:rPr>
      </w:pPr>
      <w:r w:rsidRPr="000B3CD8">
        <w:rPr>
          <w:rFonts w:ascii="Arial" w:hAnsi="Arial" w:cs="Arial"/>
          <w:sz w:val="22"/>
          <w:szCs w:val="22"/>
        </w:rPr>
        <w:t xml:space="preserve">This leads to </w:t>
      </w:r>
      <w:r w:rsidRPr="005B5418">
        <w:rPr>
          <w:rFonts w:ascii="Arial" w:hAnsi="Arial" w:cs="Arial"/>
          <w:sz w:val="22"/>
          <w:szCs w:val="22"/>
        </w:rPr>
        <w:t xml:space="preserve">a </w:t>
      </w:r>
      <w:r w:rsidRPr="000B3CD8">
        <w:rPr>
          <w:rFonts w:ascii="Arial" w:hAnsi="Arial" w:cs="Arial"/>
          <w:sz w:val="22"/>
          <w:szCs w:val="22"/>
        </w:rPr>
        <w:t>blanket</w:t>
      </w:r>
      <w:r w:rsidRPr="005B5418">
        <w:rPr>
          <w:rFonts w:ascii="Arial" w:hAnsi="Arial" w:cs="Arial"/>
          <w:sz w:val="22"/>
          <w:szCs w:val="22"/>
        </w:rPr>
        <w:t xml:space="preserve"> of</w:t>
      </w:r>
      <w:r w:rsidRPr="000B3CD8">
        <w:rPr>
          <w:rFonts w:ascii="Arial" w:hAnsi="Arial" w:cs="Arial"/>
          <w:sz w:val="22"/>
          <w:szCs w:val="22"/>
        </w:rPr>
        <w:t xml:space="preserve"> limitations that constrain</w:t>
      </w:r>
      <w:r w:rsidRPr="005B5418">
        <w:rPr>
          <w:rFonts w:ascii="Arial" w:hAnsi="Arial" w:cs="Arial"/>
          <w:sz w:val="22"/>
          <w:szCs w:val="22"/>
        </w:rPr>
        <w:t xml:space="preserve"> the</w:t>
      </w:r>
      <w:r w:rsidRPr="000B3CD8">
        <w:rPr>
          <w:rFonts w:ascii="Arial" w:hAnsi="Arial" w:cs="Arial"/>
          <w:sz w:val="22"/>
          <w:szCs w:val="22"/>
        </w:rPr>
        <w:t xml:space="preserve"> agency, including closed doors, limited access to the outdoors, or inflexible routines that focus on staff workflow over resident </w:t>
      </w:r>
      <w:r w:rsidRPr="000B3CD8">
        <w:rPr>
          <w:rFonts w:ascii="Arial" w:hAnsi="Arial" w:cs="Arial"/>
          <w:sz w:val="22"/>
          <w:szCs w:val="22"/>
        </w:rPr>
        <w:lastRenderedPageBreak/>
        <w:t>choice. An example is a resident who states that they would like to</w:t>
      </w:r>
      <w:r w:rsidRPr="005B5418">
        <w:rPr>
          <w:rFonts w:ascii="Arial" w:hAnsi="Arial" w:cs="Arial"/>
          <w:sz w:val="22"/>
          <w:szCs w:val="22"/>
        </w:rPr>
        <w:t xml:space="preserve"> walk</w:t>
      </w:r>
      <w:r w:rsidRPr="000B3CD8">
        <w:rPr>
          <w:rFonts w:ascii="Arial" w:hAnsi="Arial" w:cs="Arial"/>
          <w:sz w:val="22"/>
          <w:szCs w:val="22"/>
        </w:rPr>
        <w:t xml:space="preserve"> independently </w:t>
      </w:r>
      <w:proofErr w:type="gramStart"/>
      <w:r w:rsidRPr="000B3CD8">
        <w:rPr>
          <w:rFonts w:ascii="Arial" w:hAnsi="Arial" w:cs="Arial"/>
          <w:sz w:val="22"/>
          <w:szCs w:val="22"/>
        </w:rPr>
        <w:t>outdoors</w:t>
      </w:r>
      <w:proofErr w:type="gramEnd"/>
      <w:r w:rsidRPr="000B3CD8">
        <w:rPr>
          <w:rFonts w:ascii="Arial" w:hAnsi="Arial" w:cs="Arial"/>
          <w:sz w:val="22"/>
          <w:szCs w:val="22"/>
        </w:rPr>
        <w:t xml:space="preserve"> being discouraged or banned because they are believed to be at risk of falls, </w:t>
      </w:r>
      <w:r w:rsidRPr="005B5418">
        <w:rPr>
          <w:rFonts w:ascii="Arial" w:hAnsi="Arial" w:cs="Arial"/>
          <w:sz w:val="22"/>
          <w:szCs w:val="22"/>
        </w:rPr>
        <w:t xml:space="preserve">despite having </w:t>
      </w:r>
      <w:r w:rsidRPr="000B3CD8">
        <w:rPr>
          <w:rFonts w:ascii="Arial" w:hAnsi="Arial" w:cs="Arial"/>
          <w:sz w:val="22"/>
          <w:szCs w:val="22"/>
        </w:rPr>
        <w:t xml:space="preserve">proven that </w:t>
      </w:r>
      <w:r w:rsidRPr="005B5418">
        <w:rPr>
          <w:rFonts w:ascii="Arial" w:hAnsi="Arial" w:cs="Arial"/>
          <w:sz w:val="22"/>
          <w:szCs w:val="22"/>
        </w:rPr>
        <w:t xml:space="preserve">they </w:t>
      </w:r>
      <w:proofErr w:type="gramStart"/>
      <w:r w:rsidRPr="005B5418">
        <w:rPr>
          <w:rFonts w:ascii="Arial" w:hAnsi="Arial" w:cs="Arial"/>
          <w:sz w:val="22"/>
          <w:szCs w:val="22"/>
        </w:rPr>
        <w:t xml:space="preserve">are </w:t>
      </w:r>
      <w:r w:rsidRPr="000B3CD8">
        <w:rPr>
          <w:rFonts w:ascii="Arial" w:hAnsi="Arial" w:cs="Arial"/>
          <w:sz w:val="22"/>
          <w:szCs w:val="22"/>
        </w:rPr>
        <w:t>capable of walking and even want</w:t>
      </w:r>
      <w:r>
        <w:rPr>
          <w:rFonts w:ascii="Arial" w:hAnsi="Arial" w:cs="Arial"/>
          <w:sz w:val="22"/>
          <w:szCs w:val="22"/>
        </w:rPr>
        <w:t>ing</w:t>
      </w:r>
      <w:proofErr w:type="gramEnd"/>
      <w:r w:rsidRPr="000B3CD8">
        <w:rPr>
          <w:rFonts w:ascii="Arial" w:hAnsi="Arial" w:cs="Arial"/>
          <w:sz w:val="22"/>
          <w:szCs w:val="22"/>
        </w:rPr>
        <w:t xml:space="preserve"> to take that risk. </w:t>
      </w:r>
      <w:r w:rsidRPr="005B5418">
        <w:rPr>
          <w:rFonts w:ascii="Arial" w:hAnsi="Arial" w:cs="Arial"/>
          <w:sz w:val="22"/>
          <w:szCs w:val="22"/>
        </w:rPr>
        <w:t xml:space="preserve">These activities reduce the state of being independent and enhance </w:t>
      </w:r>
      <w:proofErr w:type="gramStart"/>
      <w:r w:rsidRPr="005B5418">
        <w:rPr>
          <w:rFonts w:ascii="Arial" w:hAnsi="Arial" w:cs="Arial"/>
          <w:sz w:val="22"/>
          <w:szCs w:val="22"/>
        </w:rPr>
        <w:t>the dependency</w:t>
      </w:r>
      <w:proofErr w:type="gramEnd"/>
      <w:r w:rsidRPr="005B5418">
        <w:rPr>
          <w:rFonts w:ascii="Arial" w:hAnsi="Arial" w:cs="Arial"/>
          <w:sz w:val="22"/>
          <w:szCs w:val="22"/>
        </w:rPr>
        <w:t>, and this further brings about the frustrations and the developed helplessness (</w:t>
      </w:r>
      <w:r w:rsidRPr="005B5418">
        <w:rPr>
          <w:rFonts w:ascii="Arial" w:eastAsia="Times New Roman" w:hAnsi="Arial" w:cs="Arial"/>
          <w:color w:val="222222"/>
          <w:kern w:val="0"/>
          <w:sz w:val="22"/>
          <w:szCs w:val="22"/>
          <w14:ligatures w14:val="none"/>
        </w:rPr>
        <w:t>Moilanen, Suhonen, and Kangasniemi, 2022)</w:t>
      </w:r>
      <w:r w:rsidRPr="005B5418">
        <w:rPr>
          <w:rFonts w:ascii="Arial" w:hAnsi="Arial" w:cs="Arial"/>
          <w:sz w:val="22"/>
          <w:szCs w:val="22"/>
        </w:rPr>
        <w:t>.</w:t>
      </w:r>
    </w:p>
    <w:p w14:paraId="08989061" w14:textId="77777777" w:rsidR="007D7592" w:rsidRPr="000B3CD8" w:rsidRDefault="007D7592" w:rsidP="007D7592">
      <w:pPr>
        <w:spacing w:before="240" w:line="360" w:lineRule="auto"/>
        <w:rPr>
          <w:rFonts w:ascii="Arial" w:hAnsi="Arial" w:cs="Arial"/>
          <w:sz w:val="22"/>
          <w:szCs w:val="22"/>
        </w:rPr>
      </w:pPr>
      <w:r w:rsidRPr="00C70C7E">
        <w:rPr>
          <w:rFonts w:ascii="Arial" w:hAnsi="Arial" w:cs="Arial"/>
          <w:sz w:val="22"/>
          <w:szCs w:val="22"/>
        </w:rPr>
        <w:t xml:space="preserve">Technology can be utilized in the amplification of </w:t>
      </w:r>
      <w:proofErr w:type="gramStart"/>
      <w:r w:rsidRPr="00C70C7E">
        <w:rPr>
          <w:rFonts w:ascii="Arial" w:hAnsi="Arial" w:cs="Arial"/>
          <w:sz w:val="22"/>
          <w:szCs w:val="22"/>
        </w:rPr>
        <w:t>the anxieties</w:t>
      </w:r>
      <w:proofErr w:type="gramEnd"/>
      <w:r w:rsidRPr="00C70C7E">
        <w:rPr>
          <w:rFonts w:ascii="Arial" w:hAnsi="Arial" w:cs="Arial"/>
          <w:sz w:val="22"/>
          <w:szCs w:val="22"/>
        </w:rPr>
        <w:t xml:space="preserve">. </w:t>
      </w:r>
      <w:r w:rsidRPr="005B5418">
        <w:rPr>
          <w:rFonts w:ascii="Arial" w:hAnsi="Arial" w:cs="Arial"/>
          <w:sz w:val="22"/>
          <w:szCs w:val="22"/>
        </w:rPr>
        <w:t>Agrawal (2025) maintains that t</w:t>
      </w:r>
      <w:r w:rsidRPr="00C70C7E">
        <w:rPr>
          <w:rFonts w:ascii="Arial" w:hAnsi="Arial" w:cs="Arial"/>
          <w:sz w:val="22"/>
          <w:szCs w:val="22"/>
        </w:rPr>
        <w:t>his can be attributed to the need to enhance the degree of security and utilize monitoring systems and sensor alarms, yet they can be applied as a form of control rather than support, particularly when the agreement is not apparent and stable.</w:t>
      </w:r>
      <w:r w:rsidRPr="005B5418">
        <w:rPr>
          <w:rFonts w:ascii="Arial" w:hAnsi="Arial" w:cs="Arial"/>
          <w:sz w:val="22"/>
          <w:szCs w:val="22"/>
        </w:rPr>
        <w:t xml:space="preserve"> </w:t>
      </w:r>
      <w:r w:rsidRPr="000B3CD8">
        <w:rPr>
          <w:rFonts w:ascii="Arial" w:hAnsi="Arial" w:cs="Arial"/>
          <w:sz w:val="22"/>
          <w:szCs w:val="22"/>
        </w:rPr>
        <w:t>A</w:t>
      </w:r>
      <w:r w:rsidRPr="005B5418">
        <w:rPr>
          <w:rFonts w:ascii="Arial" w:hAnsi="Arial" w:cs="Arial"/>
          <w:sz w:val="22"/>
          <w:szCs w:val="22"/>
        </w:rPr>
        <w:t>ccording to Ianculescu, Paraschiv, and Alexandru (2022),</w:t>
      </w:r>
      <w:r w:rsidRPr="000B3CD8">
        <w:rPr>
          <w:rFonts w:ascii="Arial" w:hAnsi="Arial" w:cs="Arial"/>
          <w:sz w:val="22"/>
          <w:szCs w:val="22"/>
        </w:rPr>
        <w:t xml:space="preserve"> </w:t>
      </w:r>
      <w:r>
        <w:rPr>
          <w:rFonts w:ascii="Arial" w:hAnsi="Arial" w:cs="Arial"/>
          <w:sz w:val="22"/>
          <w:szCs w:val="22"/>
        </w:rPr>
        <w:t xml:space="preserve">a </w:t>
      </w:r>
      <w:r w:rsidRPr="000B3CD8">
        <w:rPr>
          <w:rFonts w:ascii="Arial" w:hAnsi="Arial" w:cs="Arial"/>
          <w:sz w:val="22"/>
          <w:szCs w:val="22"/>
        </w:rPr>
        <w:t>geriatric patient with a mental disability might be kept under constant surveillance and may not take any significant role in making decisions, which poses an ethical dilemma of privacy and rights. Finally, when care culture is dominated by risk aversion, identity and self-determination are eroded by placing secondary importance on control.</w:t>
      </w:r>
    </w:p>
    <w:p w14:paraId="5FE77C27" w14:textId="77777777" w:rsidR="007D7592" w:rsidRPr="000B3CD8" w:rsidRDefault="007D7592" w:rsidP="007D7592">
      <w:pPr>
        <w:spacing w:before="240" w:line="360" w:lineRule="auto"/>
        <w:rPr>
          <w:rFonts w:ascii="Arial" w:hAnsi="Arial" w:cs="Arial"/>
          <w:sz w:val="22"/>
          <w:szCs w:val="22"/>
        </w:rPr>
      </w:pPr>
      <w:r w:rsidRPr="000B3CD8">
        <w:rPr>
          <w:rFonts w:ascii="Arial" w:hAnsi="Arial" w:cs="Arial"/>
          <w:sz w:val="22"/>
          <w:szCs w:val="22"/>
        </w:rPr>
        <w:t>To sum up, although residential care is supposed to offer holistic care, systemic pressures, emotional neglect, and restrictive practices imply that the holistic needs are often not fulfilled. These facts contradict arguments of residential care being effective in promoting dignity, autonomy, and power in older adults with disabilities.</w:t>
      </w:r>
    </w:p>
    <w:p w14:paraId="4E92D6BC" w14:textId="15DA9125" w:rsidR="007D7592" w:rsidRPr="000B3CD8" w:rsidRDefault="007D7592" w:rsidP="007D7592">
      <w:pPr>
        <w:spacing w:before="240" w:line="360" w:lineRule="auto"/>
        <w:ind w:firstLine="0"/>
        <w:jc w:val="center"/>
        <w:rPr>
          <w:rFonts w:ascii="Arial" w:hAnsi="Arial" w:cs="Arial"/>
          <w:sz w:val="22"/>
          <w:szCs w:val="22"/>
        </w:rPr>
      </w:pPr>
      <w:r w:rsidRPr="000B3CD8">
        <w:rPr>
          <w:rFonts w:ascii="Arial" w:hAnsi="Arial" w:cs="Arial"/>
          <w:sz w:val="22"/>
          <w:szCs w:val="22"/>
        </w:rPr>
        <w:t xml:space="preserve">Rebuttal—Student A </w:t>
      </w:r>
    </w:p>
    <w:p w14:paraId="7244B9B8" w14:textId="77777777" w:rsidR="007D7592" w:rsidRPr="000B3CD8" w:rsidRDefault="007D7592" w:rsidP="007D7592">
      <w:pPr>
        <w:spacing w:before="240" w:line="360" w:lineRule="auto"/>
        <w:rPr>
          <w:rFonts w:ascii="Arial" w:hAnsi="Arial" w:cs="Arial"/>
          <w:sz w:val="22"/>
          <w:szCs w:val="22"/>
        </w:rPr>
      </w:pPr>
      <w:r w:rsidRPr="005B5418">
        <w:rPr>
          <w:rFonts w:ascii="Arial" w:hAnsi="Arial" w:cs="Arial"/>
          <w:sz w:val="22"/>
          <w:szCs w:val="22"/>
        </w:rPr>
        <w:t>Although</w:t>
      </w:r>
      <w:r w:rsidRPr="000B3CD8">
        <w:rPr>
          <w:rFonts w:ascii="Arial" w:hAnsi="Arial" w:cs="Arial"/>
          <w:sz w:val="22"/>
          <w:szCs w:val="22"/>
        </w:rPr>
        <w:t xml:space="preserve"> I do not underestimate th</w:t>
      </w:r>
      <w:r w:rsidRPr="005B5418">
        <w:rPr>
          <w:rFonts w:ascii="Arial" w:hAnsi="Arial" w:cs="Arial"/>
          <w:sz w:val="22"/>
          <w:szCs w:val="22"/>
        </w:rPr>
        <w:t>e</w:t>
      </w:r>
      <w:r w:rsidRPr="000B3CD8">
        <w:rPr>
          <w:rFonts w:ascii="Arial" w:hAnsi="Arial" w:cs="Arial"/>
          <w:sz w:val="22"/>
          <w:szCs w:val="22"/>
        </w:rPr>
        <w:t xml:space="preserve"> issues</w:t>
      </w:r>
      <w:r w:rsidRPr="005B5418">
        <w:rPr>
          <w:rFonts w:ascii="Arial" w:hAnsi="Arial" w:cs="Arial"/>
          <w:sz w:val="22"/>
          <w:szCs w:val="22"/>
        </w:rPr>
        <w:t xml:space="preserve"> discussed by my colleague</w:t>
      </w:r>
      <w:r w:rsidRPr="000B3CD8">
        <w:rPr>
          <w:rFonts w:ascii="Arial" w:hAnsi="Arial" w:cs="Arial"/>
          <w:sz w:val="22"/>
          <w:szCs w:val="22"/>
        </w:rPr>
        <w:t xml:space="preserve">, they do not necessarily follow </w:t>
      </w:r>
      <w:proofErr w:type="gramStart"/>
      <w:r w:rsidRPr="000B3CD8">
        <w:rPr>
          <w:rFonts w:ascii="Arial" w:hAnsi="Arial" w:cs="Arial"/>
          <w:sz w:val="22"/>
          <w:szCs w:val="22"/>
        </w:rPr>
        <w:t>the residential</w:t>
      </w:r>
      <w:proofErr w:type="gramEnd"/>
      <w:r w:rsidRPr="000B3CD8">
        <w:rPr>
          <w:rFonts w:ascii="Arial" w:hAnsi="Arial" w:cs="Arial"/>
          <w:sz w:val="22"/>
          <w:szCs w:val="22"/>
        </w:rPr>
        <w:t xml:space="preserve"> care, nor do they show that the model </w:t>
      </w:r>
      <w:proofErr w:type="gramStart"/>
      <w:r w:rsidRPr="000B3CD8">
        <w:rPr>
          <w:rFonts w:ascii="Arial" w:hAnsi="Arial" w:cs="Arial"/>
          <w:sz w:val="22"/>
          <w:szCs w:val="22"/>
        </w:rPr>
        <w:t>in itself is</w:t>
      </w:r>
      <w:proofErr w:type="gramEnd"/>
      <w:r w:rsidRPr="000B3CD8">
        <w:rPr>
          <w:rFonts w:ascii="Arial" w:hAnsi="Arial" w:cs="Arial"/>
          <w:sz w:val="22"/>
          <w:szCs w:val="22"/>
        </w:rPr>
        <w:t xml:space="preserve"> necessarily unable to address the holistic need. A significant number of the mentioned issues may be explained by the chronic under-resourcing, staffing fluctuations, and ineffective execution</w:t>
      </w:r>
      <w:r w:rsidRPr="005B5418">
        <w:rPr>
          <w:rFonts w:ascii="Arial" w:hAnsi="Arial" w:cs="Arial"/>
          <w:sz w:val="22"/>
          <w:szCs w:val="22"/>
        </w:rPr>
        <w:t>, as explained by Walker et al. (2022)</w:t>
      </w:r>
      <w:r w:rsidRPr="000B3CD8">
        <w:rPr>
          <w:rFonts w:ascii="Arial" w:hAnsi="Arial" w:cs="Arial"/>
          <w:sz w:val="22"/>
          <w:szCs w:val="22"/>
        </w:rPr>
        <w:t>, rather than the inability to provide person-centered care in residential establishments.</w:t>
      </w:r>
    </w:p>
    <w:p w14:paraId="5195B65D" w14:textId="77777777" w:rsidR="007D7592" w:rsidRPr="000B3CD8" w:rsidRDefault="007D7592" w:rsidP="007D7592">
      <w:pPr>
        <w:spacing w:before="240" w:line="360" w:lineRule="auto"/>
        <w:rPr>
          <w:rFonts w:ascii="Arial" w:hAnsi="Arial" w:cs="Arial"/>
          <w:sz w:val="22"/>
          <w:szCs w:val="22"/>
        </w:rPr>
      </w:pPr>
      <w:r w:rsidRPr="000B3CD8">
        <w:rPr>
          <w:rFonts w:ascii="Arial" w:hAnsi="Arial" w:cs="Arial"/>
          <w:sz w:val="22"/>
          <w:szCs w:val="22"/>
        </w:rPr>
        <w:t>To argue that task-based care will result in the denial of dignity, it is worth noting that the difference between poor practice and structural possibility must be identified. As demonstrated</w:t>
      </w:r>
      <w:r w:rsidRPr="005B5418">
        <w:rPr>
          <w:rFonts w:ascii="Arial" w:hAnsi="Arial" w:cs="Arial"/>
          <w:sz w:val="22"/>
          <w:szCs w:val="22"/>
        </w:rPr>
        <w:t xml:space="preserve"> by </w:t>
      </w:r>
      <w:proofErr w:type="spellStart"/>
      <w:r w:rsidRPr="005B5418">
        <w:rPr>
          <w:rFonts w:ascii="Arial" w:hAnsi="Arial" w:cs="Arial"/>
          <w:sz w:val="22"/>
          <w:szCs w:val="22"/>
        </w:rPr>
        <w:t>Straughair</w:t>
      </w:r>
      <w:proofErr w:type="spellEnd"/>
      <w:r w:rsidRPr="005B5418">
        <w:rPr>
          <w:rFonts w:ascii="Arial" w:hAnsi="Arial" w:cs="Arial"/>
          <w:sz w:val="22"/>
          <w:szCs w:val="22"/>
        </w:rPr>
        <w:t xml:space="preserve"> et al. (2025) and Musa (2023),</w:t>
      </w:r>
      <w:r w:rsidRPr="000B3CD8">
        <w:rPr>
          <w:rFonts w:ascii="Arial" w:hAnsi="Arial" w:cs="Arial"/>
          <w:sz w:val="22"/>
          <w:szCs w:val="22"/>
        </w:rPr>
        <w:t xml:space="preserve"> care homes with sufficient staffing, skill mix, and leadership can provide timely toileting care, hydration, and mobility assistance without necessarily integrating routinized care. A lack of necessary features of residential care is missed care, which is a byproduct of inadequate investment and monitoring.</w:t>
      </w:r>
    </w:p>
    <w:p w14:paraId="7781E4A0" w14:textId="77777777" w:rsidR="007D7592" w:rsidRPr="000B3CD8" w:rsidRDefault="007D7592" w:rsidP="007D7592">
      <w:pPr>
        <w:spacing w:before="240" w:line="360" w:lineRule="auto"/>
        <w:rPr>
          <w:rFonts w:ascii="Arial" w:eastAsia="Times New Roman" w:hAnsi="Arial" w:cs="Arial"/>
          <w:color w:val="222222"/>
          <w:kern w:val="0"/>
          <w:sz w:val="22"/>
          <w:szCs w:val="22"/>
          <w14:ligatures w14:val="none"/>
        </w:rPr>
      </w:pPr>
      <w:r w:rsidRPr="000B3CD8">
        <w:rPr>
          <w:rFonts w:ascii="Arial" w:hAnsi="Arial" w:cs="Arial"/>
          <w:sz w:val="22"/>
          <w:szCs w:val="22"/>
        </w:rPr>
        <w:lastRenderedPageBreak/>
        <w:t xml:space="preserve">In the context of psychological and social needs, one cannot argue that residential settings cannot minimize the isolation. It has been shown </w:t>
      </w:r>
      <w:r w:rsidRPr="005B5418">
        <w:rPr>
          <w:rFonts w:ascii="Arial" w:hAnsi="Arial" w:cs="Arial"/>
          <w:sz w:val="22"/>
          <w:szCs w:val="22"/>
        </w:rPr>
        <w:t xml:space="preserve">by </w:t>
      </w:r>
      <w:proofErr w:type="spellStart"/>
      <w:r w:rsidRPr="005B5418">
        <w:rPr>
          <w:rFonts w:ascii="Arial" w:eastAsia="Times New Roman" w:hAnsi="Arial" w:cs="Arial"/>
          <w:color w:val="222222"/>
          <w:kern w:val="0"/>
          <w:sz w:val="22"/>
          <w:szCs w:val="22"/>
          <w14:ligatures w14:val="none"/>
        </w:rPr>
        <w:t>Filfilan</w:t>
      </w:r>
      <w:proofErr w:type="spellEnd"/>
      <w:r w:rsidRPr="005B5418">
        <w:rPr>
          <w:rFonts w:ascii="Arial" w:eastAsia="Times New Roman" w:hAnsi="Arial" w:cs="Arial"/>
          <w:color w:val="222222"/>
          <w:kern w:val="0"/>
          <w:sz w:val="22"/>
          <w:szCs w:val="22"/>
          <w14:ligatures w14:val="none"/>
        </w:rPr>
        <w:t xml:space="preserve"> et al. (2024) </w:t>
      </w:r>
      <w:r w:rsidRPr="000B3CD8">
        <w:rPr>
          <w:rFonts w:ascii="Arial" w:hAnsi="Arial" w:cs="Arial"/>
          <w:sz w:val="22"/>
          <w:szCs w:val="22"/>
        </w:rPr>
        <w:t>that well-being and loneliness can be improved with the help of structured, personalized social programs, especially the ones that are built on the life histories and interests of the residents. Relationship-based models of care, which focus on continuity of staff, have been reported</w:t>
      </w:r>
      <w:r w:rsidRPr="005B5418">
        <w:rPr>
          <w:rFonts w:ascii="Arial" w:hAnsi="Arial" w:cs="Arial"/>
          <w:sz w:val="22"/>
          <w:szCs w:val="22"/>
        </w:rPr>
        <w:t xml:space="preserve"> by Gillen et al. (2024)</w:t>
      </w:r>
      <w:r w:rsidRPr="000B3CD8">
        <w:rPr>
          <w:rFonts w:ascii="Arial" w:hAnsi="Arial" w:cs="Arial"/>
          <w:sz w:val="22"/>
          <w:szCs w:val="22"/>
        </w:rPr>
        <w:t xml:space="preserve"> to enable trust, emotional safety, and engagement, particularly among individuals with dementia. In cases of failure in social activities, the reason is usually </w:t>
      </w:r>
      <w:r w:rsidRPr="005B5418">
        <w:rPr>
          <w:rFonts w:ascii="Arial" w:hAnsi="Arial" w:cs="Arial"/>
          <w:sz w:val="22"/>
          <w:szCs w:val="22"/>
        </w:rPr>
        <w:t>a</w:t>
      </w:r>
      <w:r w:rsidRPr="000B3CD8">
        <w:rPr>
          <w:rFonts w:ascii="Arial" w:hAnsi="Arial" w:cs="Arial"/>
          <w:sz w:val="22"/>
          <w:szCs w:val="22"/>
        </w:rPr>
        <w:t xml:space="preserve"> lack of proper design and not the common environment.</w:t>
      </w:r>
    </w:p>
    <w:p w14:paraId="4D2CBBF8" w14:textId="77777777" w:rsidR="007D7592" w:rsidRPr="000B3CD8" w:rsidRDefault="007D7592" w:rsidP="007D7592">
      <w:pPr>
        <w:spacing w:before="240" w:line="360" w:lineRule="auto"/>
        <w:rPr>
          <w:rFonts w:ascii="Arial" w:hAnsi="Arial" w:cs="Arial"/>
          <w:sz w:val="22"/>
          <w:szCs w:val="22"/>
        </w:rPr>
      </w:pPr>
      <w:r w:rsidRPr="000B3CD8">
        <w:rPr>
          <w:rFonts w:ascii="Arial" w:hAnsi="Arial" w:cs="Arial"/>
          <w:sz w:val="22"/>
          <w:szCs w:val="22"/>
        </w:rPr>
        <w:t xml:space="preserve">On autonomy and risk, it would be necessary to differentiate proportionate risk management and blanket restriction. </w:t>
      </w:r>
      <w:r w:rsidRPr="005B5418">
        <w:rPr>
          <w:rFonts w:ascii="Arial" w:hAnsi="Arial" w:cs="Arial"/>
          <w:sz w:val="22"/>
          <w:szCs w:val="22"/>
        </w:rPr>
        <w:t>According to the findings by Fletcher (2023), t</w:t>
      </w:r>
      <w:r w:rsidRPr="000B3CD8">
        <w:rPr>
          <w:rFonts w:ascii="Arial" w:hAnsi="Arial" w:cs="Arial"/>
          <w:sz w:val="22"/>
          <w:szCs w:val="22"/>
        </w:rPr>
        <w:t xml:space="preserve">he Mental Capacity Act 2005 clearly facilitates the process of empowering people to make unwise decisions with reasonable assistance. The supported decision-making techniques have been found to enhance autonomy and not to harm safety </w:t>
      </w:r>
      <w:proofErr w:type="gramStart"/>
      <w:r w:rsidRPr="000B3CD8">
        <w:rPr>
          <w:rFonts w:ascii="Arial" w:hAnsi="Arial" w:cs="Arial"/>
          <w:sz w:val="22"/>
          <w:szCs w:val="22"/>
        </w:rPr>
        <w:t>as long as</w:t>
      </w:r>
      <w:proofErr w:type="gramEnd"/>
      <w:r w:rsidRPr="000B3CD8">
        <w:rPr>
          <w:rFonts w:ascii="Arial" w:hAnsi="Arial" w:cs="Arial"/>
          <w:sz w:val="22"/>
          <w:szCs w:val="22"/>
        </w:rPr>
        <w:t xml:space="preserve"> staff are trained and organi</w:t>
      </w:r>
      <w:r>
        <w:rPr>
          <w:rFonts w:ascii="Arial" w:hAnsi="Arial" w:cs="Arial"/>
          <w:sz w:val="22"/>
          <w:szCs w:val="22"/>
        </w:rPr>
        <w:t>z</w:t>
      </w:r>
      <w:r w:rsidRPr="000B3CD8">
        <w:rPr>
          <w:rFonts w:ascii="Arial" w:hAnsi="Arial" w:cs="Arial"/>
          <w:sz w:val="22"/>
          <w:szCs w:val="22"/>
        </w:rPr>
        <w:t xml:space="preserve">ational cultures endorse positive risk-taking. The emergence of restrictive practices is not </w:t>
      </w:r>
      <w:proofErr w:type="gramStart"/>
      <w:r w:rsidRPr="000B3CD8">
        <w:rPr>
          <w:rFonts w:ascii="Arial" w:hAnsi="Arial" w:cs="Arial"/>
          <w:sz w:val="22"/>
          <w:szCs w:val="22"/>
        </w:rPr>
        <w:t>due to the fact that</w:t>
      </w:r>
      <w:proofErr w:type="gramEnd"/>
      <w:r w:rsidRPr="000B3CD8">
        <w:rPr>
          <w:rFonts w:ascii="Arial" w:hAnsi="Arial" w:cs="Arial"/>
          <w:sz w:val="22"/>
          <w:szCs w:val="22"/>
        </w:rPr>
        <w:t xml:space="preserve"> autonomy is inconsistent with residential care but the fear of liability dominating over the person-centered values.</w:t>
      </w:r>
    </w:p>
    <w:p w14:paraId="4833FE06" w14:textId="77777777" w:rsidR="007D7592" w:rsidRPr="000B3CD8" w:rsidRDefault="007D7592" w:rsidP="007D7592">
      <w:pPr>
        <w:spacing w:before="240" w:line="360" w:lineRule="auto"/>
        <w:rPr>
          <w:rFonts w:ascii="Arial" w:hAnsi="Arial" w:cs="Arial"/>
          <w:sz w:val="22"/>
          <w:szCs w:val="22"/>
        </w:rPr>
      </w:pPr>
      <w:proofErr w:type="gramStart"/>
      <w:r w:rsidRPr="000B3CD8">
        <w:rPr>
          <w:rFonts w:ascii="Arial" w:hAnsi="Arial" w:cs="Arial"/>
          <w:sz w:val="22"/>
          <w:szCs w:val="22"/>
        </w:rPr>
        <w:t>Last but not least</w:t>
      </w:r>
      <w:proofErr w:type="gramEnd"/>
      <w:r w:rsidRPr="000B3CD8">
        <w:rPr>
          <w:rFonts w:ascii="Arial" w:hAnsi="Arial" w:cs="Arial"/>
          <w:sz w:val="22"/>
          <w:szCs w:val="22"/>
        </w:rPr>
        <w:t>, technology should not be neglected.</w:t>
      </w:r>
      <w:r w:rsidRPr="005B5418">
        <w:rPr>
          <w:rFonts w:ascii="Arial" w:hAnsi="Arial" w:cs="Arial"/>
          <w:sz w:val="22"/>
          <w:szCs w:val="22"/>
        </w:rPr>
        <w:t xml:space="preserve"> A study by Schmidt et al. (2023) shows that c</w:t>
      </w:r>
      <w:r w:rsidRPr="000B3CD8">
        <w:rPr>
          <w:rFonts w:ascii="Arial" w:hAnsi="Arial" w:cs="Arial"/>
          <w:sz w:val="22"/>
          <w:szCs w:val="22"/>
        </w:rPr>
        <w:t xml:space="preserve">ontact-free and ethically controlled, co-designed, and consent-based assistive technologies have the potential to increase independence, minimize falls, and aid early intervention. The important question then is not whether residential care </w:t>
      </w:r>
      <w:proofErr w:type="gramStart"/>
      <w:r w:rsidRPr="000B3CD8">
        <w:rPr>
          <w:rFonts w:ascii="Arial" w:hAnsi="Arial" w:cs="Arial"/>
          <w:sz w:val="22"/>
          <w:szCs w:val="22"/>
        </w:rPr>
        <w:t>is capable of achieving</w:t>
      </w:r>
      <w:proofErr w:type="gramEnd"/>
      <w:r w:rsidRPr="000B3CD8">
        <w:rPr>
          <w:rFonts w:ascii="Arial" w:hAnsi="Arial" w:cs="Arial"/>
          <w:sz w:val="22"/>
          <w:szCs w:val="22"/>
        </w:rPr>
        <w:t xml:space="preserve"> needs, but whether we impose demands and make investments to achieve them.</w:t>
      </w:r>
    </w:p>
    <w:p w14:paraId="0DA4F95C" w14:textId="77777777" w:rsidR="007D7592" w:rsidRDefault="007D7592" w:rsidP="007D7592">
      <w:pPr>
        <w:spacing w:before="240" w:line="360" w:lineRule="auto"/>
        <w:ind w:firstLine="0"/>
        <w:jc w:val="center"/>
        <w:rPr>
          <w:rFonts w:ascii="Arial" w:hAnsi="Arial" w:cs="Arial"/>
          <w:sz w:val="22"/>
          <w:szCs w:val="22"/>
        </w:rPr>
      </w:pPr>
      <w:r w:rsidRPr="000B3CD8">
        <w:rPr>
          <w:rFonts w:ascii="Arial" w:hAnsi="Arial" w:cs="Arial"/>
          <w:sz w:val="22"/>
          <w:szCs w:val="22"/>
        </w:rPr>
        <w:t>Rebuttal – Student B (Negative)</w:t>
      </w:r>
    </w:p>
    <w:p w14:paraId="0CFEF559" w14:textId="77777777" w:rsidR="007D7592" w:rsidRPr="000B3CD8" w:rsidRDefault="007D7592" w:rsidP="007D7592">
      <w:pPr>
        <w:spacing w:before="240" w:line="360" w:lineRule="auto"/>
        <w:rPr>
          <w:rFonts w:ascii="Arial" w:hAnsi="Arial" w:cs="Arial"/>
          <w:sz w:val="22"/>
          <w:szCs w:val="22"/>
        </w:rPr>
      </w:pPr>
      <w:r w:rsidRPr="000B3CD8">
        <w:rPr>
          <w:rFonts w:ascii="Arial" w:hAnsi="Arial" w:cs="Arial"/>
          <w:sz w:val="22"/>
          <w:szCs w:val="22"/>
        </w:rPr>
        <w:t xml:space="preserve">Although good practice may prevail, the residential care model should be evaluated based on normal results and not on </w:t>
      </w:r>
      <w:proofErr w:type="gramStart"/>
      <w:r w:rsidRPr="000B3CD8">
        <w:rPr>
          <w:rFonts w:ascii="Arial" w:hAnsi="Arial" w:cs="Arial"/>
          <w:sz w:val="22"/>
          <w:szCs w:val="22"/>
        </w:rPr>
        <w:t>the extraordinary</w:t>
      </w:r>
      <w:proofErr w:type="gramEnd"/>
      <w:r w:rsidRPr="000B3CD8">
        <w:rPr>
          <w:rFonts w:ascii="Arial" w:hAnsi="Arial" w:cs="Arial"/>
          <w:sz w:val="22"/>
          <w:szCs w:val="22"/>
        </w:rPr>
        <w:t xml:space="preserve"> ones. </w:t>
      </w:r>
      <w:r w:rsidRPr="005B5418">
        <w:rPr>
          <w:rFonts w:ascii="Arial" w:hAnsi="Arial" w:cs="Arial"/>
          <w:sz w:val="22"/>
          <w:szCs w:val="22"/>
        </w:rPr>
        <w:t>As Dixon et al. (2023) points out, a</w:t>
      </w:r>
      <w:r w:rsidRPr="000B3CD8">
        <w:rPr>
          <w:rFonts w:ascii="Arial" w:hAnsi="Arial" w:cs="Arial"/>
          <w:sz w:val="22"/>
          <w:szCs w:val="22"/>
        </w:rPr>
        <w:t xml:space="preserve">lthough, as my colleague points out, residential care has the potential to do a lot, in reality, </w:t>
      </w:r>
      <w:proofErr w:type="gramStart"/>
      <w:r w:rsidRPr="000B3CD8">
        <w:rPr>
          <w:rFonts w:ascii="Arial" w:hAnsi="Arial" w:cs="Arial"/>
          <w:sz w:val="22"/>
          <w:szCs w:val="22"/>
        </w:rPr>
        <w:t>it is clear that quality</w:t>
      </w:r>
      <w:proofErr w:type="gramEnd"/>
      <w:r w:rsidRPr="000B3CD8">
        <w:rPr>
          <w:rFonts w:ascii="Arial" w:hAnsi="Arial" w:cs="Arial"/>
          <w:sz w:val="22"/>
          <w:szCs w:val="22"/>
        </w:rPr>
        <w:t xml:space="preserve"> differs greatly by postcode, provider, and leadership instead of being a right. The variability is </w:t>
      </w:r>
      <w:proofErr w:type="gramStart"/>
      <w:r w:rsidRPr="000B3CD8">
        <w:rPr>
          <w:rFonts w:ascii="Arial" w:hAnsi="Arial" w:cs="Arial"/>
          <w:sz w:val="22"/>
          <w:szCs w:val="22"/>
        </w:rPr>
        <w:t>in itself a</w:t>
      </w:r>
      <w:proofErr w:type="gramEnd"/>
      <w:r w:rsidRPr="000B3CD8">
        <w:rPr>
          <w:rFonts w:ascii="Arial" w:hAnsi="Arial" w:cs="Arial"/>
          <w:sz w:val="22"/>
          <w:szCs w:val="22"/>
        </w:rPr>
        <w:t xml:space="preserve"> structural weakness of the model.</w:t>
      </w:r>
    </w:p>
    <w:p w14:paraId="2C171047" w14:textId="77777777" w:rsidR="007D7592" w:rsidRPr="000B3CD8" w:rsidRDefault="007D7592" w:rsidP="007D7592">
      <w:pPr>
        <w:spacing w:before="240" w:line="360" w:lineRule="auto"/>
        <w:rPr>
          <w:rFonts w:ascii="Arial" w:hAnsi="Arial" w:cs="Arial"/>
          <w:sz w:val="22"/>
          <w:szCs w:val="22"/>
        </w:rPr>
      </w:pPr>
      <w:r w:rsidRPr="000B3CD8">
        <w:rPr>
          <w:rFonts w:ascii="Arial" w:hAnsi="Arial" w:cs="Arial"/>
          <w:sz w:val="22"/>
          <w:szCs w:val="22"/>
        </w:rPr>
        <w:t xml:space="preserve">Efficiency pressures are not accidental, but rather, they are internalized into the system. The structural issues of chronic workforce shortages, high staff turnover, and inadequate funding present powerful reasons to adopt the task-based approach to care, where </w:t>
      </w:r>
      <w:r w:rsidRPr="005B5418">
        <w:rPr>
          <w:rFonts w:ascii="Arial" w:hAnsi="Arial" w:cs="Arial"/>
          <w:sz w:val="22"/>
          <w:szCs w:val="22"/>
        </w:rPr>
        <w:t xml:space="preserve">Lewis (2022) states that </w:t>
      </w:r>
      <w:r w:rsidRPr="000B3CD8">
        <w:rPr>
          <w:rFonts w:ascii="Arial" w:hAnsi="Arial" w:cs="Arial"/>
          <w:sz w:val="22"/>
          <w:szCs w:val="22"/>
        </w:rPr>
        <w:t xml:space="preserve">routines overrule responsiveness and individual preference so that </w:t>
      </w:r>
      <w:r w:rsidRPr="000B3CD8">
        <w:rPr>
          <w:rFonts w:ascii="Arial" w:hAnsi="Arial" w:cs="Arial"/>
          <w:sz w:val="22"/>
          <w:szCs w:val="22"/>
        </w:rPr>
        <w:lastRenderedPageBreak/>
        <w:t>organizations can survive. Person-centered care</w:t>
      </w:r>
      <w:r w:rsidRPr="005B5418">
        <w:rPr>
          <w:rFonts w:ascii="Arial" w:hAnsi="Arial" w:cs="Arial"/>
          <w:sz w:val="22"/>
          <w:szCs w:val="22"/>
        </w:rPr>
        <w:t>,</w:t>
      </w:r>
      <w:r w:rsidRPr="000B3CD8">
        <w:rPr>
          <w:rFonts w:ascii="Arial" w:hAnsi="Arial" w:cs="Arial"/>
          <w:sz w:val="22"/>
          <w:szCs w:val="22"/>
        </w:rPr>
        <w:t xml:space="preserve"> in this case</w:t>
      </w:r>
      <w:r w:rsidRPr="005B5418">
        <w:rPr>
          <w:rFonts w:ascii="Arial" w:hAnsi="Arial" w:cs="Arial"/>
          <w:sz w:val="22"/>
          <w:szCs w:val="22"/>
        </w:rPr>
        <w:t>,</w:t>
      </w:r>
      <w:r w:rsidRPr="000B3CD8">
        <w:rPr>
          <w:rFonts w:ascii="Arial" w:hAnsi="Arial" w:cs="Arial"/>
          <w:sz w:val="22"/>
          <w:szCs w:val="22"/>
        </w:rPr>
        <w:t xml:space="preserve"> is usually dreamy instead of practical, especially when the shift is understaffed and when there are high-demand times.</w:t>
      </w:r>
    </w:p>
    <w:p w14:paraId="0BD84F6F" w14:textId="77777777" w:rsidR="007D7592" w:rsidRPr="000B3CD8" w:rsidRDefault="007D7592" w:rsidP="007D7592">
      <w:pPr>
        <w:spacing w:before="240" w:line="360" w:lineRule="auto"/>
        <w:rPr>
          <w:rFonts w:ascii="Arial" w:hAnsi="Arial" w:cs="Arial"/>
          <w:sz w:val="22"/>
          <w:szCs w:val="22"/>
        </w:rPr>
      </w:pPr>
      <w:r w:rsidRPr="000B3CD8">
        <w:rPr>
          <w:rFonts w:ascii="Arial" w:hAnsi="Arial" w:cs="Arial"/>
          <w:sz w:val="22"/>
          <w:szCs w:val="22"/>
        </w:rPr>
        <w:t xml:space="preserve">Assertions that training and culture change can provide empowerment should also be handled with a lot of caution. </w:t>
      </w:r>
      <w:r w:rsidRPr="005B5418">
        <w:rPr>
          <w:rFonts w:ascii="Arial" w:hAnsi="Arial" w:cs="Arial"/>
          <w:sz w:val="22"/>
          <w:szCs w:val="22"/>
        </w:rPr>
        <w:t xml:space="preserve">According to Woodward and Ruston (2023), </w:t>
      </w:r>
      <w:proofErr w:type="gramStart"/>
      <w:r w:rsidRPr="005B5418">
        <w:rPr>
          <w:rFonts w:ascii="Arial" w:hAnsi="Arial" w:cs="Arial"/>
          <w:sz w:val="22"/>
          <w:szCs w:val="22"/>
        </w:rPr>
        <w:t>e</w:t>
      </w:r>
      <w:r w:rsidRPr="000B3CD8">
        <w:rPr>
          <w:rFonts w:ascii="Arial" w:hAnsi="Arial" w:cs="Arial"/>
          <w:sz w:val="22"/>
          <w:szCs w:val="22"/>
        </w:rPr>
        <w:t>mpowerments take</w:t>
      </w:r>
      <w:proofErr w:type="gramEnd"/>
      <w:r w:rsidRPr="000B3CD8">
        <w:rPr>
          <w:rFonts w:ascii="Arial" w:hAnsi="Arial" w:cs="Arial"/>
          <w:sz w:val="22"/>
          <w:szCs w:val="22"/>
        </w:rPr>
        <w:t xml:space="preserve"> time and continuity in relationships and confidence of staff, which is compromised when the staffing levels are low. </w:t>
      </w:r>
      <w:r w:rsidRPr="005B5418">
        <w:rPr>
          <w:rFonts w:ascii="Arial" w:hAnsi="Arial" w:cs="Arial"/>
          <w:sz w:val="22"/>
          <w:szCs w:val="22"/>
        </w:rPr>
        <w:t>Moreover, most of the residents who cannot advocate for themselves</w:t>
      </w:r>
      <w:r w:rsidRPr="000B3CD8">
        <w:rPr>
          <w:rFonts w:ascii="Arial" w:hAnsi="Arial" w:cs="Arial"/>
          <w:sz w:val="22"/>
          <w:szCs w:val="22"/>
        </w:rPr>
        <w:t>, especially those with severe dementia or communication difficulties and the like, are least likely to enjoy these ideals at work.</w:t>
      </w:r>
    </w:p>
    <w:p w14:paraId="046C0E6C" w14:textId="77777777" w:rsidR="007D7592" w:rsidRPr="000B3CD8" w:rsidRDefault="007D7592" w:rsidP="007D7592">
      <w:pPr>
        <w:spacing w:before="240" w:line="360" w:lineRule="auto"/>
        <w:rPr>
          <w:rFonts w:ascii="Arial" w:hAnsi="Arial" w:cs="Arial"/>
          <w:sz w:val="22"/>
          <w:szCs w:val="22"/>
        </w:rPr>
      </w:pPr>
      <w:r w:rsidRPr="000B3CD8">
        <w:rPr>
          <w:rFonts w:ascii="Arial" w:hAnsi="Arial" w:cs="Arial"/>
          <w:sz w:val="22"/>
          <w:szCs w:val="22"/>
        </w:rPr>
        <w:t xml:space="preserve">Technology is also another way of demonstrating the difference between intention and impact. Although </w:t>
      </w:r>
      <w:proofErr w:type="gramStart"/>
      <w:r w:rsidRPr="000B3CD8">
        <w:rPr>
          <w:rFonts w:ascii="Arial" w:hAnsi="Arial" w:cs="Arial"/>
          <w:sz w:val="22"/>
          <w:szCs w:val="22"/>
        </w:rPr>
        <w:t>the surveillance</w:t>
      </w:r>
      <w:proofErr w:type="gramEnd"/>
      <w:r w:rsidRPr="000B3CD8">
        <w:rPr>
          <w:rFonts w:ascii="Arial" w:hAnsi="Arial" w:cs="Arial"/>
          <w:sz w:val="22"/>
          <w:szCs w:val="22"/>
        </w:rPr>
        <w:t xml:space="preserve"> can help mitigate some of the risks, surveillance often heightens monitoring and control, especially when the consent is unclear or the continued ability is not re-evaluated. In the case of residents with cognitive impairment, </w:t>
      </w:r>
      <w:r w:rsidRPr="005B5418">
        <w:rPr>
          <w:rFonts w:ascii="Arial" w:hAnsi="Arial" w:cs="Arial"/>
          <w:sz w:val="22"/>
          <w:szCs w:val="22"/>
        </w:rPr>
        <w:t xml:space="preserve">Berridge and Grigorovich (2022) claim that </w:t>
      </w:r>
      <w:r w:rsidRPr="000B3CD8">
        <w:rPr>
          <w:rFonts w:ascii="Arial" w:hAnsi="Arial" w:cs="Arial"/>
          <w:sz w:val="22"/>
          <w:szCs w:val="22"/>
        </w:rPr>
        <w:t>technology is commonly applied as a risk management tool to uphold power imbalances instead of empowerment.</w:t>
      </w:r>
    </w:p>
    <w:p w14:paraId="40720872" w14:textId="77777777" w:rsidR="007D7592" w:rsidRPr="000B3CD8" w:rsidRDefault="007D7592" w:rsidP="007D7592">
      <w:pPr>
        <w:spacing w:before="240" w:line="360" w:lineRule="auto"/>
        <w:rPr>
          <w:rFonts w:ascii="Arial" w:hAnsi="Arial" w:cs="Arial"/>
          <w:sz w:val="22"/>
          <w:szCs w:val="22"/>
        </w:rPr>
      </w:pPr>
      <w:r w:rsidRPr="000B3CD8">
        <w:rPr>
          <w:rFonts w:ascii="Arial" w:hAnsi="Arial" w:cs="Arial"/>
          <w:sz w:val="22"/>
          <w:szCs w:val="22"/>
        </w:rPr>
        <w:t>Lastly, the protection of cultures still focuses on organi</w:t>
      </w:r>
      <w:r>
        <w:rPr>
          <w:rFonts w:ascii="Arial" w:hAnsi="Arial" w:cs="Arial"/>
          <w:sz w:val="22"/>
          <w:szCs w:val="22"/>
        </w:rPr>
        <w:t>z</w:t>
      </w:r>
      <w:r w:rsidRPr="000B3CD8">
        <w:rPr>
          <w:rFonts w:ascii="Arial" w:hAnsi="Arial" w:cs="Arial"/>
          <w:sz w:val="22"/>
          <w:szCs w:val="22"/>
        </w:rPr>
        <w:t xml:space="preserve">ational protection as opposed to the autonomy of the residents. Even though the law promotes taking positive risks, one of the reasons is the fear of being blamed and failing </w:t>
      </w:r>
      <w:proofErr w:type="gramStart"/>
      <w:r w:rsidRPr="000B3CD8">
        <w:rPr>
          <w:rFonts w:ascii="Arial" w:hAnsi="Arial" w:cs="Arial"/>
          <w:sz w:val="22"/>
          <w:szCs w:val="22"/>
        </w:rPr>
        <w:t>an inspection</w:t>
      </w:r>
      <w:proofErr w:type="gramEnd"/>
      <w:r w:rsidRPr="000B3CD8">
        <w:rPr>
          <w:rFonts w:ascii="Arial" w:hAnsi="Arial" w:cs="Arial"/>
          <w:sz w:val="22"/>
          <w:szCs w:val="22"/>
        </w:rPr>
        <w:t>, which leads to restrictive practices that suppress movement, choice, and self-determination. Residential care can be safe, but saf</w:t>
      </w:r>
      <w:r w:rsidRPr="005B5418">
        <w:rPr>
          <w:rFonts w:ascii="Arial" w:hAnsi="Arial" w:cs="Arial"/>
          <w:sz w:val="22"/>
          <w:szCs w:val="22"/>
        </w:rPr>
        <w:t>ety i</w:t>
      </w:r>
      <w:r>
        <w:rPr>
          <w:rFonts w:ascii="Arial" w:hAnsi="Arial" w:cs="Arial"/>
          <w:sz w:val="22"/>
          <w:szCs w:val="22"/>
        </w:rPr>
        <w:t>n</w:t>
      </w:r>
      <w:r w:rsidRPr="005B5418">
        <w:rPr>
          <w:rFonts w:ascii="Arial" w:hAnsi="Arial" w:cs="Arial"/>
          <w:sz w:val="22"/>
          <w:szCs w:val="22"/>
        </w:rPr>
        <w:t xml:space="preserve"> the absence of freedom is </w:t>
      </w:r>
      <w:r w:rsidRPr="000B3CD8">
        <w:rPr>
          <w:rFonts w:ascii="Arial" w:hAnsi="Arial" w:cs="Arial"/>
          <w:sz w:val="22"/>
          <w:szCs w:val="22"/>
        </w:rPr>
        <w:t>not empowering.</w:t>
      </w:r>
    </w:p>
    <w:p w14:paraId="71BAD4A1" w14:textId="72F26371" w:rsidR="007D7592" w:rsidRPr="000B3CD8" w:rsidRDefault="007D7592" w:rsidP="007D7592">
      <w:pPr>
        <w:spacing w:before="240" w:line="360" w:lineRule="auto"/>
        <w:ind w:firstLine="0"/>
        <w:jc w:val="center"/>
        <w:rPr>
          <w:rFonts w:ascii="Arial" w:hAnsi="Arial" w:cs="Arial"/>
          <w:sz w:val="22"/>
          <w:szCs w:val="22"/>
        </w:rPr>
      </w:pPr>
      <w:r w:rsidRPr="000B3CD8">
        <w:rPr>
          <w:rFonts w:ascii="Arial" w:hAnsi="Arial" w:cs="Arial"/>
          <w:sz w:val="22"/>
          <w:szCs w:val="22"/>
        </w:rPr>
        <w:t xml:space="preserve">Conclusion Statement: Student A </w:t>
      </w:r>
    </w:p>
    <w:p w14:paraId="277C0ED0" w14:textId="77777777" w:rsidR="007D7592" w:rsidRPr="000B3CD8" w:rsidRDefault="007D7592" w:rsidP="007D7592">
      <w:pPr>
        <w:spacing w:before="240" w:line="360" w:lineRule="auto"/>
        <w:rPr>
          <w:rFonts w:ascii="Arial" w:hAnsi="Arial" w:cs="Arial"/>
          <w:sz w:val="22"/>
          <w:szCs w:val="22"/>
        </w:rPr>
      </w:pPr>
      <w:r w:rsidRPr="000B3CD8">
        <w:rPr>
          <w:rFonts w:ascii="Arial" w:hAnsi="Arial" w:cs="Arial"/>
          <w:sz w:val="22"/>
          <w:szCs w:val="22"/>
        </w:rPr>
        <w:t>In summation</w:t>
      </w:r>
      <w:r w:rsidRPr="005B5418">
        <w:rPr>
          <w:rFonts w:ascii="Arial" w:hAnsi="Arial" w:cs="Arial"/>
          <w:sz w:val="22"/>
          <w:szCs w:val="22"/>
        </w:rPr>
        <w:t>, in</w:t>
      </w:r>
      <w:r w:rsidRPr="000B3CD8">
        <w:rPr>
          <w:rFonts w:ascii="Arial" w:hAnsi="Arial" w:cs="Arial"/>
          <w:sz w:val="22"/>
          <w:szCs w:val="22"/>
        </w:rPr>
        <w:t xml:space="preserve"> my argument, I have contended that residential care homes are capable of effectively supporting and meeting the complex care and support needs of older people with disabilities </w:t>
      </w:r>
      <w:proofErr w:type="gramStart"/>
      <w:r w:rsidRPr="000B3CD8">
        <w:rPr>
          <w:rFonts w:ascii="Arial" w:hAnsi="Arial" w:cs="Arial"/>
          <w:sz w:val="22"/>
          <w:szCs w:val="22"/>
        </w:rPr>
        <w:t>as long as</w:t>
      </w:r>
      <w:proofErr w:type="gramEnd"/>
      <w:r w:rsidRPr="000B3CD8">
        <w:rPr>
          <w:rFonts w:ascii="Arial" w:hAnsi="Arial" w:cs="Arial"/>
          <w:sz w:val="22"/>
          <w:szCs w:val="22"/>
        </w:rPr>
        <w:t xml:space="preserve"> they are adequatel</w:t>
      </w:r>
      <w:r w:rsidRPr="005B5418">
        <w:rPr>
          <w:rFonts w:ascii="Arial" w:hAnsi="Arial" w:cs="Arial"/>
          <w:sz w:val="22"/>
          <w:szCs w:val="22"/>
        </w:rPr>
        <w:t>y</w:t>
      </w:r>
      <w:r w:rsidRPr="000B3CD8">
        <w:rPr>
          <w:rFonts w:ascii="Arial" w:hAnsi="Arial" w:cs="Arial"/>
          <w:sz w:val="22"/>
          <w:szCs w:val="22"/>
        </w:rPr>
        <w:t xml:space="preserve"> resourced, regulated, and led. Residential care is clearly beneficial in terms of safety, continuity, and coordinated care, specifically in those cases when the physical level of dependency, frailty, and multi-morbidity are high</w:t>
      </w:r>
      <w:r w:rsidRPr="005B5418">
        <w:rPr>
          <w:rFonts w:ascii="Arial" w:hAnsi="Arial" w:cs="Arial"/>
          <w:sz w:val="22"/>
          <w:szCs w:val="22"/>
        </w:rPr>
        <w:t>, as recorded by Yuan et al. (2022)</w:t>
      </w:r>
      <w:r w:rsidRPr="000B3CD8">
        <w:rPr>
          <w:rFonts w:ascii="Arial" w:hAnsi="Arial" w:cs="Arial"/>
          <w:sz w:val="22"/>
          <w:szCs w:val="22"/>
        </w:rPr>
        <w:t xml:space="preserve">. </w:t>
      </w:r>
      <w:proofErr w:type="gramStart"/>
      <w:r w:rsidRPr="000B3CD8">
        <w:rPr>
          <w:rFonts w:ascii="Arial" w:hAnsi="Arial" w:cs="Arial"/>
          <w:sz w:val="22"/>
          <w:szCs w:val="22"/>
        </w:rPr>
        <w:t>Staffing</w:t>
      </w:r>
      <w:proofErr w:type="gramEnd"/>
      <w:r w:rsidRPr="000B3CD8">
        <w:rPr>
          <w:rFonts w:ascii="Arial" w:hAnsi="Arial" w:cs="Arial"/>
          <w:sz w:val="22"/>
          <w:szCs w:val="22"/>
        </w:rPr>
        <w:t xml:space="preserve"> continuously helps </w:t>
      </w:r>
      <w:proofErr w:type="gramStart"/>
      <w:r w:rsidRPr="000B3CD8">
        <w:rPr>
          <w:rFonts w:ascii="Arial" w:hAnsi="Arial" w:cs="Arial"/>
          <w:sz w:val="22"/>
          <w:szCs w:val="22"/>
        </w:rPr>
        <w:t>in</w:t>
      </w:r>
      <w:proofErr w:type="gramEnd"/>
      <w:r w:rsidRPr="000B3CD8">
        <w:rPr>
          <w:rFonts w:ascii="Arial" w:hAnsi="Arial" w:cs="Arial"/>
          <w:sz w:val="22"/>
          <w:szCs w:val="22"/>
        </w:rPr>
        <w:t xml:space="preserve"> responding in a timely manner, observing, and escalating services usually not able to be done by fragmented community care.</w:t>
      </w:r>
    </w:p>
    <w:p w14:paraId="5D5111CF" w14:textId="77777777" w:rsidR="007D7592" w:rsidRPr="000B3CD8" w:rsidRDefault="007D7592" w:rsidP="007D7592">
      <w:pPr>
        <w:spacing w:before="240" w:line="360" w:lineRule="auto"/>
        <w:rPr>
          <w:rFonts w:ascii="Arial" w:hAnsi="Arial" w:cs="Arial"/>
          <w:sz w:val="22"/>
          <w:szCs w:val="22"/>
        </w:rPr>
      </w:pPr>
      <w:r w:rsidRPr="000B3CD8">
        <w:rPr>
          <w:rFonts w:ascii="Arial" w:hAnsi="Arial" w:cs="Arial"/>
          <w:sz w:val="22"/>
          <w:szCs w:val="22"/>
        </w:rPr>
        <w:t>More importantly, I have highlighted that empowerment in residential care is not unachievable. It has been demonstrated</w:t>
      </w:r>
      <w:r w:rsidRPr="005B5418">
        <w:rPr>
          <w:rFonts w:ascii="Arial" w:hAnsi="Arial" w:cs="Arial"/>
          <w:sz w:val="22"/>
          <w:szCs w:val="22"/>
        </w:rPr>
        <w:t xml:space="preserve"> by Brooker (2022) and </w:t>
      </w:r>
      <w:r w:rsidRPr="000B3CD8">
        <w:rPr>
          <w:rFonts w:ascii="Arial" w:hAnsi="Arial" w:cs="Arial"/>
          <w:sz w:val="22"/>
          <w:szCs w:val="22"/>
        </w:rPr>
        <w:t xml:space="preserve">Jayes, Austin, and Brown </w:t>
      </w:r>
      <w:r w:rsidRPr="000B3CD8">
        <w:rPr>
          <w:rFonts w:ascii="Arial" w:hAnsi="Arial" w:cs="Arial"/>
          <w:sz w:val="22"/>
          <w:szCs w:val="22"/>
        </w:rPr>
        <w:lastRenderedPageBreak/>
        <w:t>(2022) that, where person-centered cultures are instilled, with effective leaders and competent employees, dignity, autonomy, and identity are not weakened but ensured. Although I would not dismiss the points that have been mentioned, such as staffing demands and fluctuation in quality, they cannot be seen as fundamental weaknesses of the model. They are issues that can be addressed through better implementation of policies and investing in the workforce and meaningful person-centered and rights-based care training.</w:t>
      </w:r>
    </w:p>
    <w:p w14:paraId="0A2520A6" w14:textId="77777777" w:rsidR="007D7592" w:rsidRPr="000B3CD8" w:rsidRDefault="007D7592" w:rsidP="007D7592">
      <w:pPr>
        <w:spacing w:before="240" w:line="360" w:lineRule="auto"/>
        <w:rPr>
          <w:rFonts w:ascii="Arial" w:hAnsi="Arial" w:cs="Arial"/>
          <w:sz w:val="22"/>
          <w:szCs w:val="22"/>
        </w:rPr>
      </w:pPr>
      <w:r w:rsidRPr="000B3CD8">
        <w:rPr>
          <w:rFonts w:ascii="Arial" w:hAnsi="Arial" w:cs="Arial"/>
          <w:sz w:val="22"/>
          <w:szCs w:val="22"/>
        </w:rPr>
        <w:t xml:space="preserve">Finally, residential care cannot be evaluated against its worst cases but against its ability to provide safe, caring, and empowering care </w:t>
      </w:r>
      <w:r w:rsidRPr="005B5418">
        <w:rPr>
          <w:rFonts w:ascii="Arial" w:hAnsi="Arial" w:cs="Arial"/>
          <w:sz w:val="22"/>
          <w:szCs w:val="22"/>
        </w:rPr>
        <w:t>when</w:t>
      </w:r>
      <w:r w:rsidRPr="000B3CD8">
        <w:rPr>
          <w:rFonts w:ascii="Arial" w:hAnsi="Arial" w:cs="Arial"/>
          <w:sz w:val="22"/>
          <w:szCs w:val="22"/>
        </w:rPr>
        <w:t xml:space="preserve"> its standards are achieved. These are the reasons why I would agree with the argument that residential care homes have the potential to address </w:t>
      </w:r>
      <w:proofErr w:type="gramStart"/>
      <w:r w:rsidRPr="000B3CD8">
        <w:rPr>
          <w:rFonts w:ascii="Arial" w:hAnsi="Arial" w:cs="Arial"/>
          <w:sz w:val="22"/>
          <w:szCs w:val="22"/>
        </w:rPr>
        <w:t>the complex</w:t>
      </w:r>
      <w:proofErr w:type="gramEnd"/>
      <w:r w:rsidRPr="000B3CD8">
        <w:rPr>
          <w:rFonts w:ascii="Arial" w:hAnsi="Arial" w:cs="Arial"/>
          <w:sz w:val="22"/>
          <w:szCs w:val="22"/>
        </w:rPr>
        <w:t xml:space="preserve"> needs.</w:t>
      </w:r>
    </w:p>
    <w:p w14:paraId="4D6229BD" w14:textId="77777777" w:rsidR="007D7592" w:rsidRPr="000B3CD8" w:rsidRDefault="007D7592" w:rsidP="007D7592">
      <w:pPr>
        <w:spacing w:before="240" w:line="360" w:lineRule="auto"/>
        <w:ind w:firstLine="0"/>
        <w:jc w:val="center"/>
        <w:rPr>
          <w:rFonts w:ascii="Arial" w:hAnsi="Arial" w:cs="Arial"/>
          <w:sz w:val="22"/>
          <w:szCs w:val="22"/>
        </w:rPr>
      </w:pPr>
      <w:r w:rsidRPr="000B3CD8">
        <w:rPr>
          <w:rFonts w:ascii="Arial" w:hAnsi="Arial" w:cs="Arial"/>
          <w:sz w:val="22"/>
          <w:szCs w:val="22"/>
        </w:rPr>
        <w:t>Concluding Statement Student B (Negative)</w:t>
      </w:r>
    </w:p>
    <w:p w14:paraId="49E822A8" w14:textId="77777777" w:rsidR="007D7592" w:rsidRPr="000B3CD8" w:rsidRDefault="007D7592" w:rsidP="007D7592">
      <w:pPr>
        <w:spacing w:before="240" w:line="360" w:lineRule="auto"/>
        <w:rPr>
          <w:rFonts w:ascii="Arial" w:hAnsi="Arial" w:cs="Arial"/>
          <w:sz w:val="22"/>
          <w:szCs w:val="22"/>
        </w:rPr>
      </w:pPr>
      <w:r w:rsidRPr="000B3CD8">
        <w:rPr>
          <w:rFonts w:ascii="Arial" w:hAnsi="Arial" w:cs="Arial"/>
          <w:sz w:val="22"/>
          <w:szCs w:val="22"/>
        </w:rPr>
        <w:t xml:space="preserve">To conclude, I have posited that residential care often does not address the holistic needs of older people with disabilities regardless of its intentions. </w:t>
      </w:r>
      <w:r w:rsidRPr="005B5418">
        <w:rPr>
          <w:rFonts w:ascii="Arial" w:hAnsi="Arial" w:cs="Arial"/>
          <w:sz w:val="22"/>
          <w:szCs w:val="22"/>
        </w:rPr>
        <w:t xml:space="preserve">As explained by Strandell (2023) and </w:t>
      </w:r>
      <w:r w:rsidRPr="000B3CD8">
        <w:rPr>
          <w:rFonts w:ascii="Arial" w:hAnsi="Arial" w:cs="Arial"/>
          <w:sz w:val="22"/>
          <w:szCs w:val="22"/>
        </w:rPr>
        <w:t>Kesby (2023)</w:t>
      </w:r>
      <w:r w:rsidRPr="005B5418">
        <w:rPr>
          <w:rFonts w:ascii="Arial" w:hAnsi="Arial" w:cs="Arial"/>
          <w:sz w:val="22"/>
          <w:szCs w:val="22"/>
        </w:rPr>
        <w:t>, t</w:t>
      </w:r>
      <w:r w:rsidRPr="000B3CD8">
        <w:rPr>
          <w:rFonts w:ascii="Arial" w:hAnsi="Arial" w:cs="Arial"/>
          <w:sz w:val="22"/>
          <w:szCs w:val="22"/>
        </w:rPr>
        <w:t>he systemic influence of chronic understaffing, financial strain, and risk-averse organi</w:t>
      </w:r>
      <w:r>
        <w:rPr>
          <w:rFonts w:ascii="Arial" w:hAnsi="Arial" w:cs="Arial"/>
          <w:sz w:val="22"/>
          <w:szCs w:val="22"/>
        </w:rPr>
        <w:t>z</w:t>
      </w:r>
      <w:r w:rsidRPr="000B3CD8">
        <w:rPr>
          <w:rFonts w:ascii="Arial" w:hAnsi="Arial" w:cs="Arial"/>
          <w:sz w:val="22"/>
          <w:szCs w:val="22"/>
        </w:rPr>
        <w:t xml:space="preserve">ational cultures leads to care that is inefficient and control-focused rather than dignity, autonomy, and actual empowerment. Although the physical needs can be satisfied on a low level, the psychological, social, and identity-related needs are always pushed aside, which leads to </w:t>
      </w:r>
      <w:r w:rsidRPr="005B5418">
        <w:rPr>
          <w:rFonts w:ascii="Arial" w:hAnsi="Arial" w:cs="Arial"/>
          <w:sz w:val="22"/>
          <w:szCs w:val="22"/>
        </w:rPr>
        <w:t>increased</w:t>
      </w:r>
      <w:r w:rsidRPr="000B3CD8">
        <w:rPr>
          <w:rFonts w:ascii="Arial" w:hAnsi="Arial" w:cs="Arial"/>
          <w:sz w:val="22"/>
          <w:szCs w:val="22"/>
        </w:rPr>
        <w:t xml:space="preserve"> loneliness and emotional pain as well as loss of a sense of self.</w:t>
      </w:r>
    </w:p>
    <w:p w14:paraId="69866F8E" w14:textId="77777777" w:rsidR="007D7592" w:rsidRPr="000B3CD8" w:rsidRDefault="007D7592" w:rsidP="007D7592">
      <w:pPr>
        <w:spacing w:before="240" w:line="360" w:lineRule="auto"/>
        <w:rPr>
          <w:rFonts w:ascii="Arial" w:hAnsi="Arial" w:cs="Arial"/>
          <w:sz w:val="22"/>
          <w:szCs w:val="22"/>
        </w:rPr>
      </w:pPr>
      <w:r w:rsidRPr="000B3CD8">
        <w:rPr>
          <w:rFonts w:ascii="Arial" w:hAnsi="Arial" w:cs="Arial"/>
          <w:sz w:val="22"/>
          <w:szCs w:val="22"/>
        </w:rPr>
        <w:t xml:space="preserve">I also brought out how autonomy is actively limited on a regular basis by blanket risk management and inconsistent use of the Mental Capacity Act, </w:t>
      </w:r>
      <w:r w:rsidRPr="005B5418">
        <w:rPr>
          <w:rFonts w:ascii="Arial" w:hAnsi="Arial" w:cs="Arial"/>
          <w:sz w:val="22"/>
          <w:szCs w:val="22"/>
        </w:rPr>
        <w:t xml:space="preserve">which is explained by Davidson (2022), </w:t>
      </w:r>
      <w:r w:rsidRPr="000B3CD8">
        <w:rPr>
          <w:rFonts w:ascii="Arial" w:hAnsi="Arial" w:cs="Arial"/>
          <w:sz w:val="22"/>
          <w:szCs w:val="22"/>
        </w:rPr>
        <w:t>especially in relation to residents with cognitive impairment</w:t>
      </w:r>
      <w:r w:rsidRPr="005B5418">
        <w:rPr>
          <w:rFonts w:ascii="Arial" w:hAnsi="Arial" w:cs="Arial"/>
          <w:sz w:val="22"/>
          <w:szCs w:val="22"/>
        </w:rPr>
        <w:t xml:space="preserve">. </w:t>
      </w:r>
      <w:r w:rsidRPr="000B3CD8">
        <w:rPr>
          <w:rFonts w:ascii="Arial" w:hAnsi="Arial" w:cs="Arial"/>
          <w:sz w:val="22"/>
          <w:szCs w:val="22"/>
        </w:rPr>
        <w:t>Despite the existence of good practice examples, they are not evenly spread and rely on outstanding leadership instead of being guaranteed. This variation implies that postcode and provider have greater influence on the quality of life of residents than rights.</w:t>
      </w:r>
    </w:p>
    <w:p w14:paraId="65728355" w14:textId="77777777" w:rsidR="007D7592" w:rsidRPr="000B3CD8" w:rsidRDefault="007D7592" w:rsidP="007D7592">
      <w:pPr>
        <w:spacing w:before="240" w:line="360" w:lineRule="auto"/>
        <w:rPr>
          <w:rFonts w:ascii="Arial" w:hAnsi="Arial" w:cs="Arial"/>
          <w:sz w:val="22"/>
          <w:szCs w:val="22"/>
        </w:rPr>
      </w:pPr>
      <w:r w:rsidRPr="000B3CD8">
        <w:rPr>
          <w:rFonts w:ascii="Arial" w:hAnsi="Arial" w:cs="Arial"/>
          <w:sz w:val="22"/>
          <w:szCs w:val="22"/>
        </w:rPr>
        <w:t>Although it can be improved, it will take significant structural changes, not some small changes. Residential care will remain a source of undermined empowerment of many older people with disabilities until the areas of staffing, funding, and accountability are essentially tackled. These are the reasons why I refuse the proposition.</w:t>
      </w:r>
    </w:p>
    <w:p w14:paraId="75255188" w14:textId="77777777" w:rsidR="007D7592" w:rsidRPr="000B3CD8" w:rsidRDefault="007D7592" w:rsidP="007D7592">
      <w:pPr>
        <w:spacing w:before="240" w:line="360" w:lineRule="auto"/>
        <w:ind w:firstLine="0"/>
        <w:jc w:val="center"/>
        <w:rPr>
          <w:rFonts w:ascii="Arial" w:hAnsi="Arial" w:cs="Arial"/>
          <w:sz w:val="22"/>
          <w:szCs w:val="22"/>
        </w:rPr>
      </w:pPr>
      <w:r w:rsidRPr="005B5418">
        <w:rPr>
          <w:rFonts w:ascii="Arial" w:hAnsi="Arial" w:cs="Arial"/>
          <w:sz w:val="22"/>
          <w:szCs w:val="22"/>
        </w:rPr>
        <w:t>General</w:t>
      </w:r>
      <w:r w:rsidRPr="000B3CD8">
        <w:rPr>
          <w:rFonts w:ascii="Arial" w:hAnsi="Arial" w:cs="Arial"/>
          <w:sz w:val="22"/>
          <w:szCs w:val="22"/>
        </w:rPr>
        <w:t xml:space="preserve"> </w:t>
      </w:r>
      <w:r w:rsidRPr="005B5418">
        <w:rPr>
          <w:rFonts w:ascii="Arial" w:hAnsi="Arial" w:cs="Arial"/>
          <w:sz w:val="22"/>
          <w:szCs w:val="22"/>
        </w:rPr>
        <w:t>C</w:t>
      </w:r>
      <w:r w:rsidRPr="000B3CD8">
        <w:rPr>
          <w:rFonts w:ascii="Arial" w:hAnsi="Arial" w:cs="Arial"/>
          <w:sz w:val="22"/>
          <w:szCs w:val="22"/>
        </w:rPr>
        <w:t>onclusion</w:t>
      </w:r>
      <w:r>
        <w:rPr>
          <w:rFonts w:ascii="Arial" w:hAnsi="Arial" w:cs="Arial"/>
          <w:sz w:val="22"/>
          <w:szCs w:val="22"/>
        </w:rPr>
        <w:t>:</w:t>
      </w:r>
      <w:r w:rsidRPr="000B3CD8">
        <w:rPr>
          <w:rFonts w:ascii="Arial" w:hAnsi="Arial" w:cs="Arial"/>
          <w:sz w:val="22"/>
          <w:szCs w:val="22"/>
        </w:rPr>
        <w:t xml:space="preserve"> Student B.</w:t>
      </w:r>
    </w:p>
    <w:p w14:paraId="33B5BFB3" w14:textId="77777777" w:rsidR="007D7592" w:rsidRPr="005B5418" w:rsidRDefault="007D7592" w:rsidP="007D7592">
      <w:pPr>
        <w:spacing w:before="240" w:line="360" w:lineRule="auto"/>
        <w:rPr>
          <w:rFonts w:ascii="Arial" w:hAnsi="Arial" w:cs="Arial"/>
          <w:sz w:val="22"/>
          <w:szCs w:val="22"/>
        </w:rPr>
      </w:pPr>
      <w:r w:rsidRPr="000B3CD8">
        <w:rPr>
          <w:rFonts w:ascii="Arial" w:hAnsi="Arial" w:cs="Arial"/>
          <w:sz w:val="22"/>
          <w:szCs w:val="22"/>
        </w:rPr>
        <w:lastRenderedPageBreak/>
        <w:t xml:space="preserve">In summary, </w:t>
      </w:r>
      <w:proofErr w:type="gramStart"/>
      <w:r w:rsidRPr="000B3CD8">
        <w:rPr>
          <w:rFonts w:ascii="Arial" w:hAnsi="Arial" w:cs="Arial"/>
          <w:sz w:val="22"/>
          <w:szCs w:val="22"/>
        </w:rPr>
        <w:t>it is clear that the</w:t>
      </w:r>
      <w:proofErr w:type="gramEnd"/>
      <w:r w:rsidRPr="000B3CD8">
        <w:rPr>
          <w:rFonts w:ascii="Arial" w:hAnsi="Arial" w:cs="Arial"/>
          <w:sz w:val="22"/>
          <w:szCs w:val="22"/>
        </w:rPr>
        <w:t xml:space="preserve"> functionality of residential care in addressing the needs of older people with disabilities is an intricate and disputable phenomenon, as revealed by </w:t>
      </w:r>
      <w:r w:rsidRPr="005B5418">
        <w:rPr>
          <w:rFonts w:ascii="Arial" w:hAnsi="Arial" w:cs="Arial"/>
          <w:sz w:val="22"/>
          <w:szCs w:val="22"/>
        </w:rPr>
        <w:t>our debate</w:t>
      </w:r>
      <w:r w:rsidRPr="000B3CD8">
        <w:rPr>
          <w:rFonts w:ascii="Arial" w:hAnsi="Arial" w:cs="Arial"/>
          <w:sz w:val="22"/>
          <w:szCs w:val="22"/>
        </w:rPr>
        <w:t>. On the positive side, residential care has definite advantages, especially in terms of safety, continuity, and coordinated care for people with high and complex needs. On the contrary side, however, we have observed strong evidence that systemic pressures, routine-based tasks, and risk-averse cultures often lead to unfulfilled psychological, social, and autonomy-</w:t>
      </w:r>
      <w:r w:rsidRPr="005B5418">
        <w:rPr>
          <w:rFonts w:ascii="Arial" w:hAnsi="Arial" w:cs="Arial"/>
          <w:sz w:val="22"/>
          <w:szCs w:val="22"/>
        </w:rPr>
        <w:t>related</w:t>
      </w:r>
      <w:r w:rsidRPr="000B3CD8">
        <w:rPr>
          <w:rFonts w:ascii="Arial" w:hAnsi="Arial" w:cs="Arial"/>
          <w:sz w:val="22"/>
          <w:szCs w:val="22"/>
        </w:rPr>
        <w:t xml:space="preserve"> needs. What stands out in this discussion is the fact that the care and support needs are multidimensional and highly interrelated, and the quality cannot be measured only by the availability of care provision or adherence to regulations. Rather, it </w:t>
      </w:r>
      <w:proofErr w:type="gramStart"/>
      <w:r w:rsidRPr="000B3CD8">
        <w:rPr>
          <w:rFonts w:ascii="Arial" w:hAnsi="Arial" w:cs="Arial"/>
          <w:sz w:val="22"/>
          <w:szCs w:val="22"/>
        </w:rPr>
        <w:t>has to</w:t>
      </w:r>
      <w:proofErr w:type="gramEnd"/>
      <w:r w:rsidRPr="000B3CD8">
        <w:rPr>
          <w:rFonts w:ascii="Arial" w:hAnsi="Arial" w:cs="Arial"/>
          <w:sz w:val="22"/>
          <w:szCs w:val="22"/>
        </w:rPr>
        <w:t xml:space="preserve"> be considered in terms of the lives of residents, their feelings of dignity, their sense of identity, and their ability to control their everyday life. </w:t>
      </w:r>
      <w:r w:rsidRPr="005B5418">
        <w:rPr>
          <w:rFonts w:ascii="Arial" w:hAnsi="Arial" w:cs="Arial"/>
          <w:sz w:val="22"/>
          <w:szCs w:val="22"/>
        </w:rPr>
        <w:t xml:space="preserve">Practically, the arguments in this debate suggest the necessity of urgency in investing in the workforce on a long-term basis, a more human approach towards leadership, responsibility towards technology, and the capacity to exercise control that will enable balancing priorities between well-being and safety. Lastly, protection does not establish empowerment in the residential care setting but rather for those who value </w:t>
      </w:r>
      <w:proofErr w:type="gramStart"/>
      <w:r w:rsidRPr="005B5418">
        <w:rPr>
          <w:rFonts w:ascii="Arial" w:hAnsi="Arial" w:cs="Arial"/>
          <w:sz w:val="22"/>
          <w:szCs w:val="22"/>
        </w:rPr>
        <w:t>the older</w:t>
      </w:r>
      <w:proofErr w:type="gramEnd"/>
      <w:r w:rsidRPr="005B5418">
        <w:rPr>
          <w:rFonts w:ascii="Arial" w:hAnsi="Arial" w:cs="Arial"/>
          <w:sz w:val="22"/>
          <w:szCs w:val="22"/>
        </w:rPr>
        <w:t xml:space="preserve"> people with disabilities as having rights, with preferences, and with the ability to live a worthy life.</w:t>
      </w:r>
    </w:p>
    <w:p w14:paraId="5E880214" w14:textId="77777777" w:rsidR="007D7592" w:rsidRDefault="007D7592" w:rsidP="007D7592">
      <w:pPr>
        <w:rPr>
          <w:rFonts w:ascii="Arial" w:hAnsi="Arial" w:cs="Arial"/>
          <w:sz w:val="22"/>
          <w:szCs w:val="22"/>
        </w:rPr>
      </w:pPr>
      <w:r>
        <w:rPr>
          <w:rFonts w:ascii="Arial" w:hAnsi="Arial" w:cs="Arial"/>
          <w:sz w:val="22"/>
          <w:szCs w:val="22"/>
        </w:rPr>
        <w:br w:type="page"/>
      </w:r>
    </w:p>
    <w:p w14:paraId="22C4A11E" w14:textId="77777777" w:rsidR="007D7592" w:rsidRPr="005B5418" w:rsidRDefault="007D7592" w:rsidP="007D7592">
      <w:pPr>
        <w:spacing w:before="240" w:line="360" w:lineRule="auto"/>
        <w:ind w:firstLine="0"/>
        <w:jc w:val="center"/>
        <w:rPr>
          <w:rFonts w:ascii="Arial" w:hAnsi="Arial" w:cs="Arial"/>
          <w:sz w:val="22"/>
          <w:szCs w:val="22"/>
        </w:rPr>
      </w:pPr>
      <w:r w:rsidRPr="005B5418">
        <w:rPr>
          <w:rFonts w:ascii="Arial" w:hAnsi="Arial" w:cs="Arial"/>
          <w:sz w:val="22"/>
          <w:szCs w:val="22"/>
        </w:rPr>
        <w:lastRenderedPageBreak/>
        <w:t>References</w:t>
      </w:r>
    </w:p>
    <w:p w14:paraId="6C65CC4B" w14:textId="77777777" w:rsidR="007D7592" w:rsidRPr="00797864" w:rsidRDefault="007D7592" w:rsidP="007D7592">
      <w:pPr>
        <w:spacing w:before="240" w:line="360" w:lineRule="auto"/>
        <w:ind w:left="720" w:hanging="720"/>
        <w:rPr>
          <w:rFonts w:ascii="Arial" w:hAnsi="Arial" w:cs="Arial"/>
          <w:sz w:val="22"/>
          <w:szCs w:val="22"/>
        </w:rPr>
      </w:pPr>
      <w:r w:rsidRPr="00797864">
        <w:rPr>
          <w:rFonts w:ascii="Arial" w:hAnsi="Arial" w:cs="Arial"/>
          <w:sz w:val="22"/>
          <w:szCs w:val="22"/>
        </w:rPr>
        <w:t>Agrawal, A., 2025. </w:t>
      </w:r>
      <w:r w:rsidRPr="00797864">
        <w:rPr>
          <w:rFonts w:ascii="Arial" w:hAnsi="Arial" w:cs="Arial"/>
          <w:i/>
          <w:iCs/>
          <w:sz w:val="22"/>
          <w:szCs w:val="22"/>
        </w:rPr>
        <w:t>Smart home technologies in elderly care homes</w:t>
      </w:r>
      <w:r w:rsidRPr="00797864">
        <w:rPr>
          <w:rFonts w:ascii="Arial" w:hAnsi="Arial" w:cs="Arial"/>
          <w:sz w:val="22"/>
          <w:szCs w:val="22"/>
        </w:rPr>
        <w:t xml:space="preserve"> (Doctoral dissertation, School of Architecture, Cardiff University). </w:t>
      </w:r>
      <w:hyperlink r:id="rId4" w:tgtFrame="_blank" w:history="1">
        <w:r w:rsidRPr="00797864">
          <w:rPr>
            <w:rStyle w:val="Hyperlink"/>
            <w:rFonts w:ascii="Arial" w:hAnsi="Arial" w:cs="Arial"/>
            <w:sz w:val="22"/>
            <w:szCs w:val="22"/>
          </w:rPr>
          <w:t>https://www.researchgate.net/profile/Anant-Agrawal-10/publication/398535761_SMART_HOME_TECHNOLOGIES_IN_ELDERLY_CARE_HOMES_AUTHOR_ANANT_AGRAWAL_COURSE_MSC_SUSTAINABLE_MEGA_BUILDINGS/links/6939a9dd27359023a00aaee2/SMART-HOME-TECHNOLOGIES-IN-ELDERLY-CARE-HOMES-AUTHOR-ANANT-AGRAWAL-COURSE-MSC-SUSTAINABLE-MEGA-BUILDINGS.pdf</w:t>
        </w:r>
      </w:hyperlink>
    </w:p>
    <w:p w14:paraId="185B55A1" w14:textId="77777777" w:rsidR="007D7592" w:rsidRPr="00797864" w:rsidRDefault="007D7592" w:rsidP="007D7592">
      <w:pPr>
        <w:spacing w:before="240" w:line="360" w:lineRule="auto"/>
        <w:ind w:left="720" w:hanging="720"/>
        <w:rPr>
          <w:rFonts w:ascii="Arial" w:hAnsi="Arial" w:cs="Arial"/>
          <w:sz w:val="22"/>
          <w:szCs w:val="22"/>
        </w:rPr>
      </w:pPr>
      <w:r w:rsidRPr="00797864">
        <w:rPr>
          <w:rFonts w:ascii="Arial" w:hAnsi="Arial" w:cs="Arial"/>
          <w:sz w:val="22"/>
          <w:szCs w:val="22"/>
        </w:rPr>
        <w:t xml:space="preserve">Aldridge, Z. and Dening, K.H., 2024. Risk management and decision-making in dementia care.  </w:t>
      </w:r>
      <w:r w:rsidRPr="00797864">
        <w:rPr>
          <w:rFonts w:ascii="Arial" w:hAnsi="Arial" w:cs="Arial"/>
          <w:i/>
          <w:iCs/>
          <w:sz w:val="22"/>
          <w:szCs w:val="22"/>
        </w:rPr>
        <w:t>Nursing Older People</w:t>
      </w:r>
      <w:r w:rsidRPr="00797864">
        <w:rPr>
          <w:rFonts w:ascii="Arial" w:hAnsi="Arial" w:cs="Arial"/>
          <w:sz w:val="22"/>
          <w:szCs w:val="22"/>
        </w:rPr>
        <w:t>, </w:t>
      </w:r>
      <w:r w:rsidRPr="00797864">
        <w:rPr>
          <w:rFonts w:ascii="Arial" w:hAnsi="Arial" w:cs="Arial"/>
          <w:i/>
          <w:iCs/>
          <w:sz w:val="22"/>
          <w:szCs w:val="22"/>
        </w:rPr>
        <w:t>36</w:t>
      </w:r>
      <w:r w:rsidRPr="00797864">
        <w:rPr>
          <w:rFonts w:ascii="Arial" w:hAnsi="Arial" w:cs="Arial"/>
          <w:sz w:val="22"/>
          <w:szCs w:val="22"/>
        </w:rPr>
        <w:t xml:space="preserve">(3). </w:t>
      </w:r>
      <w:hyperlink r:id="rId5" w:tgtFrame="_blank" w:history="1">
        <w:r w:rsidRPr="00797864">
          <w:rPr>
            <w:rStyle w:val="Hyperlink"/>
            <w:rFonts w:ascii="Arial" w:hAnsi="Arial" w:cs="Arial"/>
            <w:sz w:val="22"/>
            <w:szCs w:val="22"/>
          </w:rPr>
          <w:t>https://journals.rcni.com/nursing-older-people/evidence-and-practice/risk-management-and-decisionmaking-in-dementia-care-nop.2024.e1460/print/abs</w:t>
        </w:r>
      </w:hyperlink>
    </w:p>
    <w:p w14:paraId="02F0C90D" w14:textId="77777777" w:rsidR="007D7592" w:rsidRPr="00797864" w:rsidRDefault="007D7592" w:rsidP="007D7592">
      <w:pPr>
        <w:spacing w:before="240" w:line="360" w:lineRule="auto"/>
        <w:ind w:left="720" w:hanging="720"/>
        <w:rPr>
          <w:rFonts w:ascii="Arial" w:hAnsi="Arial" w:cs="Arial"/>
          <w:sz w:val="22"/>
          <w:szCs w:val="22"/>
        </w:rPr>
      </w:pPr>
      <w:r w:rsidRPr="00797864">
        <w:rPr>
          <w:rFonts w:ascii="Arial" w:hAnsi="Arial" w:cs="Arial"/>
          <w:sz w:val="22"/>
          <w:szCs w:val="22"/>
        </w:rPr>
        <w:t xml:space="preserve">Beach, B., Willis, P., Powell, J., Vickery, A., Smith, R., and Cameron, A., 2022. The impact of living in housing with care and support on loneliness and social isolation: findings from a resident-based survey.  </w:t>
      </w:r>
      <w:r w:rsidRPr="00797864">
        <w:rPr>
          <w:rFonts w:ascii="Arial" w:hAnsi="Arial" w:cs="Arial"/>
          <w:i/>
          <w:iCs/>
          <w:sz w:val="22"/>
          <w:szCs w:val="22"/>
        </w:rPr>
        <w:t>Innovation in Aging</w:t>
      </w:r>
      <w:r w:rsidRPr="00797864">
        <w:rPr>
          <w:rFonts w:ascii="Arial" w:hAnsi="Arial" w:cs="Arial"/>
          <w:sz w:val="22"/>
          <w:szCs w:val="22"/>
        </w:rPr>
        <w:t>, </w:t>
      </w:r>
      <w:r w:rsidRPr="00797864">
        <w:rPr>
          <w:rFonts w:ascii="Arial" w:hAnsi="Arial" w:cs="Arial"/>
          <w:i/>
          <w:iCs/>
          <w:sz w:val="22"/>
          <w:szCs w:val="22"/>
        </w:rPr>
        <w:t>6</w:t>
      </w:r>
      <w:r w:rsidRPr="00797864">
        <w:rPr>
          <w:rFonts w:ascii="Arial" w:hAnsi="Arial" w:cs="Arial"/>
          <w:sz w:val="22"/>
          <w:szCs w:val="22"/>
        </w:rPr>
        <w:t xml:space="preserve">(7), p. igac061. </w:t>
      </w:r>
      <w:hyperlink r:id="rId6" w:tgtFrame="_blank" w:history="1">
        <w:r w:rsidRPr="00797864">
          <w:rPr>
            <w:rStyle w:val="Hyperlink"/>
            <w:rFonts w:ascii="Arial" w:hAnsi="Arial" w:cs="Arial"/>
            <w:sz w:val="22"/>
            <w:szCs w:val="22"/>
          </w:rPr>
          <w:t>https://doi.org/10.1093/geroni/igac061</w:t>
        </w:r>
      </w:hyperlink>
    </w:p>
    <w:p w14:paraId="6A5D96BE" w14:textId="77777777" w:rsidR="007D7592" w:rsidRPr="00797864" w:rsidRDefault="007D7592" w:rsidP="007D7592">
      <w:pPr>
        <w:spacing w:before="240" w:line="360" w:lineRule="auto"/>
        <w:ind w:left="720" w:hanging="720"/>
        <w:rPr>
          <w:rFonts w:ascii="Arial" w:hAnsi="Arial" w:cs="Arial"/>
          <w:sz w:val="22"/>
          <w:szCs w:val="22"/>
        </w:rPr>
      </w:pPr>
      <w:r w:rsidRPr="00797864">
        <w:rPr>
          <w:rFonts w:ascii="Arial" w:hAnsi="Arial" w:cs="Arial"/>
          <w:sz w:val="22"/>
          <w:szCs w:val="22"/>
        </w:rPr>
        <w:t>Beadle-Brown, J., 2022. Residential care and community living. In </w:t>
      </w:r>
      <w:r w:rsidRPr="00797864">
        <w:rPr>
          <w:rFonts w:ascii="Arial" w:hAnsi="Arial" w:cs="Arial"/>
          <w:i/>
          <w:iCs/>
          <w:sz w:val="22"/>
          <w:szCs w:val="22"/>
        </w:rPr>
        <w:t>Textbook of psychiatry for intellectual disability and autism spectrum disorder</w:t>
      </w:r>
      <w:r w:rsidRPr="00797864">
        <w:rPr>
          <w:rFonts w:ascii="Arial" w:hAnsi="Arial" w:cs="Arial"/>
          <w:sz w:val="22"/>
          <w:szCs w:val="22"/>
        </w:rPr>
        <w:t xml:space="preserve"> (pp. 921-940). Cham: Springer International Publishing. </w:t>
      </w:r>
      <w:hyperlink r:id="rId7" w:tgtFrame="_blank" w:history="1">
        <w:r w:rsidRPr="00797864">
          <w:rPr>
            <w:rStyle w:val="Hyperlink"/>
            <w:rFonts w:ascii="Arial" w:hAnsi="Arial" w:cs="Arial"/>
            <w:sz w:val="22"/>
            <w:szCs w:val="22"/>
          </w:rPr>
          <w:t>https://link.springer.com/chapter/10.1007/978-3-319-95720-3_37</w:t>
        </w:r>
      </w:hyperlink>
    </w:p>
    <w:p w14:paraId="236CD882" w14:textId="77777777" w:rsidR="007D7592" w:rsidRPr="00797864" w:rsidRDefault="007D7592" w:rsidP="007D7592">
      <w:pPr>
        <w:spacing w:before="240" w:line="360" w:lineRule="auto"/>
        <w:ind w:left="720" w:hanging="720"/>
        <w:rPr>
          <w:rFonts w:ascii="Arial" w:hAnsi="Arial" w:cs="Arial"/>
          <w:sz w:val="22"/>
          <w:szCs w:val="22"/>
        </w:rPr>
      </w:pPr>
      <w:r w:rsidRPr="00797864">
        <w:rPr>
          <w:rFonts w:ascii="Arial" w:hAnsi="Arial" w:cs="Arial"/>
          <w:sz w:val="22"/>
          <w:szCs w:val="22"/>
        </w:rPr>
        <w:t xml:space="preserve">Berridge, C. and Grigorovich, A., 2022. Algorithmic harms and digital ageism in the use of surveillance technologies in nursing homes.  </w:t>
      </w:r>
      <w:r w:rsidRPr="00797864">
        <w:rPr>
          <w:rFonts w:ascii="Arial" w:hAnsi="Arial" w:cs="Arial"/>
          <w:i/>
          <w:iCs/>
          <w:sz w:val="22"/>
          <w:szCs w:val="22"/>
        </w:rPr>
        <w:t xml:space="preserve">Frontiers in </w:t>
      </w:r>
      <w:proofErr w:type="gramStart"/>
      <w:r w:rsidRPr="00797864">
        <w:rPr>
          <w:rFonts w:ascii="Arial" w:hAnsi="Arial" w:cs="Arial"/>
          <w:i/>
          <w:iCs/>
          <w:sz w:val="22"/>
          <w:szCs w:val="22"/>
        </w:rPr>
        <w:t>sociology</w:t>
      </w:r>
      <w:proofErr w:type="gramEnd"/>
      <w:r w:rsidRPr="00797864">
        <w:rPr>
          <w:rFonts w:ascii="Arial" w:hAnsi="Arial" w:cs="Arial"/>
          <w:sz w:val="22"/>
          <w:szCs w:val="22"/>
        </w:rPr>
        <w:t>, </w:t>
      </w:r>
      <w:r w:rsidRPr="00797864">
        <w:rPr>
          <w:rFonts w:ascii="Arial" w:hAnsi="Arial" w:cs="Arial"/>
          <w:i/>
          <w:iCs/>
          <w:sz w:val="22"/>
          <w:szCs w:val="22"/>
        </w:rPr>
        <w:t>7</w:t>
      </w:r>
      <w:r w:rsidRPr="00797864">
        <w:rPr>
          <w:rFonts w:ascii="Arial" w:hAnsi="Arial" w:cs="Arial"/>
          <w:sz w:val="22"/>
          <w:szCs w:val="22"/>
        </w:rPr>
        <w:t xml:space="preserve">, p.957246. </w:t>
      </w:r>
      <w:hyperlink r:id="rId8" w:tgtFrame="_blank" w:history="1">
        <w:r w:rsidRPr="00797864">
          <w:rPr>
            <w:rStyle w:val="Hyperlink"/>
            <w:rFonts w:ascii="Arial" w:hAnsi="Arial" w:cs="Arial"/>
            <w:sz w:val="22"/>
            <w:szCs w:val="22"/>
          </w:rPr>
          <w:t>https://doi.org/10.3389/fsoc.2022.957246</w:t>
        </w:r>
      </w:hyperlink>
    </w:p>
    <w:p w14:paraId="21BAC9C5" w14:textId="77777777" w:rsidR="007D7592" w:rsidRPr="00797864" w:rsidRDefault="007D7592" w:rsidP="007D7592">
      <w:pPr>
        <w:spacing w:before="240" w:line="360" w:lineRule="auto"/>
        <w:ind w:left="720" w:hanging="720"/>
        <w:rPr>
          <w:rFonts w:ascii="Arial" w:hAnsi="Arial" w:cs="Arial"/>
          <w:sz w:val="22"/>
          <w:szCs w:val="22"/>
        </w:rPr>
      </w:pPr>
      <w:r w:rsidRPr="00797864">
        <w:rPr>
          <w:rFonts w:ascii="Arial" w:hAnsi="Arial" w:cs="Arial"/>
          <w:sz w:val="22"/>
          <w:szCs w:val="22"/>
        </w:rPr>
        <w:t xml:space="preserve">Brooker, D., 2022. Person-centered dementia care: The legacy of Tom Kitwood.  </w:t>
      </w:r>
      <w:r w:rsidRPr="00797864">
        <w:rPr>
          <w:rFonts w:ascii="Arial" w:hAnsi="Arial" w:cs="Arial"/>
          <w:i/>
          <w:iCs/>
          <w:sz w:val="22"/>
          <w:szCs w:val="22"/>
        </w:rPr>
        <w:t xml:space="preserve">International Journal of </w:t>
      </w:r>
      <w:proofErr w:type="gramStart"/>
      <w:r w:rsidRPr="00797864">
        <w:rPr>
          <w:rFonts w:ascii="Arial" w:hAnsi="Arial" w:cs="Arial"/>
          <w:i/>
          <w:iCs/>
          <w:sz w:val="22"/>
          <w:szCs w:val="22"/>
        </w:rPr>
        <w:t>Person Centered</w:t>
      </w:r>
      <w:proofErr w:type="gramEnd"/>
      <w:r w:rsidRPr="00797864">
        <w:rPr>
          <w:rFonts w:ascii="Arial" w:hAnsi="Arial" w:cs="Arial"/>
          <w:i/>
          <w:iCs/>
          <w:sz w:val="22"/>
          <w:szCs w:val="22"/>
        </w:rPr>
        <w:t xml:space="preserve"> Medicine</w:t>
      </w:r>
      <w:r w:rsidRPr="00797864">
        <w:rPr>
          <w:rFonts w:ascii="Arial" w:hAnsi="Arial" w:cs="Arial"/>
          <w:sz w:val="22"/>
          <w:szCs w:val="22"/>
        </w:rPr>
        <w:t>, </w:t>
      </w:r>
      <w:r w:rsidRPr="00797864">
        <w:rPr>
          <w:rFonts w:ascii="Arial" w:hAnsi="Arial" w:cs="Arial"/>
          <w:i/>
          <w:iCs/>
          <w:sz w:val="22"/>
          <w:szCs w:val="22"/>
        </w:rPr>
        <w:t>12</w:t>
      </w:r>
      <w:r w:rsidRPr="00797864">
        <w:rPr>
          <w:rFonts w:ascii="Arial" w:hAnsi="Arial" w:cs="Arial"/>
          <w:sz w:val="22"/>
          <w:szCs w:val="22"/>
        </w:rPr>
        <w:t xml:space="preserve">(2), pp. 21-36. </w:t>
      </w:r>
      <w:hyperlink r:id="rId9" w:tgtFrame="_blank" w:history="1">
        <w:r w:rsidRPr="00797864">
          <w:rPr>
            <w:rStyle w:val="Hyperlink"/>
            <w:rFonts w:ascii="Arial" w:hAnsi="Arial" w:cs="Arial"/>
            <w:sz w:val="22"/>
            <w:szCs w:val="22"/>
          </w:rPr>
          <w:t>https://www.ijpcm.org/index.php/ijpcm/article/view/1114</w:t>
        </w:r>
      </w:hyperlink>
    </w:p>
    <w:p w14:paraId="15DB5C8A" w14:textId="77777777" w:rsidR="007D7592" w:rsidRPr="00797864" w:rsidRDefault="007D7592" w:rsidP="007D7592">
      <w:pPr>
        <w:spacing w:before="240" w:line="360" w:lineRule="auto"/>
        <w:ind w:left="720" w:hanging="720"/>
        <w:rPr>
          <w:rFonts w:ascii="Arial" w:hAnsi="Arial" w:cs="Arial"/>
          <w:sz w:val="22"/>
          <w:szCs w:val="22"/>
        </w:rPr>
      </w:pPr>
      <w:r w:rsidRPr="00797864">
        <w:rPr>
          <w:rFonts w:ascii="Arial" w:hAnsi="Arial" w:cs="Arial"/>
          <w:sz w:val="22"/>
          <w:szCs w:val="22"/>
        </w:rPr>
        <w:t xml:space="preserve">Calo, S., Meyer, G., Köpke, S., and </w:t>
      </w:r>
      <w:proofErr w:type="spellStart"/>
      <w:r w:rsidRPr="00797864">
        <w:rPr>
          <w:rFonts w:ascii="Arial" w:hAnsi="Arial" w:cs="Arial"/>
          <w:sz w:val="22"/>
          <w:szCs w:val="22"/>
        </w:rPr>
        <w:t>Möhler</w:t>
      </w:r>
      <w:proofErr w:type="spellEnd"/>
      <w:r w:rsidRPr="00797864">
        <w:rPr>
          <w:rFonts w:ascii="Arial" w:hAnsi="Arial" w:cs="Arial"/>
          <w:sz w:val="22"/>
          <w:szCs w:val="22"/>
        </w:rPr>
        <w:t xml:space="preserve">, R., 2023. Psychosocial interventions for reducing antipsychotic medication in care home residents.  </w:t>
      </w:r>
      <w:r w:rsidRPr="00797864">
        <w:rPr>
          <w:rFonts w:ascii="Arial" w:hAnsi="Arial" w:cs="Arial"/>
          <w:i/>
          <w:iCs/>
          <w:sz w:val="22"/>
          <w:szCs w:val="22"/>
        </w:rPr>
        <w:t>Cochrane Database of Systematic Reviews</w:t>
      </w:r>
      <w:r w:rsidRPr="00797864">
        <w:rPr>
          <w:rFonts w:ascii="Arial" w:hAnsi="Arial" w:cs="Arial"/>
          <w:sz w:val="22"/>
          <w:szCs w:val="22"/>
        </w:rPr>
        <w:t xml:space="preserve">, (8). </w:t>
      </w:r>
      <w:hyperlink r:id="rId10" w:tgtFrame="_blank" w:history="1">
        <w:r w:rsidRPr="00797864">
          <w:rPr>
            <w:rStyle w:val="Hyperlink"/>
            <w:rFonts w:ascii="Arial" w:hAnsi="Arial" w:cs="Arial"/>
            <w:sz w:val="22"/>
            <w:szCs w:val="22"/>
          </w:rPr>
          <w:t>https://doi.org/10.1002/14651858.CD008634.pub3</w:t>
        </w:r>
      </w:hyperlink>
    </w:p>
    <w:p w14:paraId="1B79E909" w14:textId="77777777" w:rsidR="007D7592" w:rsidRPr="00797864" w:rsidRDefault="007D7592" w:rsidP="007D7592">
      <w:pPr>
        <w:spacing w:before="240" w:line="360" w:lineRule="auto"/>
        <w:ind w:left="720" w:hanging="720"/>
        <w:rPr>
          <w:rFonts w:ascii="Arial" w:hAnsi="Arial" w:cs="Arial"/>
          <w:sz w:val="22"/>
          <w:szCs w:val="22"/>
        </w:rPr>
      </w:pPr>
      <w:r w:rsidRPr="00797864">
        <w:rPr>
          <w:rFonts w:ascii="Arial" w:hAnsi="Arial" w:cs="Arial"/>
          <w:sz w:val="22"/>
          <w:szCs w:val="22"/>
        </w:rPr>
        <w:lastRenderedPageBreak/>
        <w:t>Camilleri, D., 2025. </w:t>
      </w:r>
      <w:r w:rsidRPr="00797864">
        <w:rPr>
          <w:rFonts w:ascii="Arial" w:hAnsi="Arial" w:cs="Arial"/>
          <w:i/>
          <w:iCs/>
          <w:sz w:val="22"/>
          <w:szCs w:val="22"/>
        </w:rPr>
        <w:t>Quality of life in residential care homes: older disabled persons’ and allied health professionals’ perspectives</w:t>
      </w:r>
      <w:r w:rsidRPr="00797864">
        <w:rPr>
          <w:rFonts w:ascii="Arial" w:hAnsi="Arial" w:cs="Arial"/>
          <w:sz w:val="22"/>
          <w:szCs w:val="22"/>
        </w:rPr>
        <w:t> (</w:t>
      </w:r>
      <w:proofErr w:type="gramStart"/>
      <w:r w:rsidRPr="00797864">
        <w:rPr>
          <w:rFonts w:ascii="Arial" w:hAnsi="Arial" w:cs="Arial"/>
          <w:sz w:val="22"/>
          <w:szCs w:val="22"/>
        </w:rPr>
        <w:t>Master's</w:t>
      </w:r>
      <w:proofErr w:type="gramEnd"/>
      <w:r w:rsidRPr="00797864">
        <w:rPr>
          <w:rFonts w:ascii="Arial" w:hAnsi="Arial" w:cs="Arial"/>
          <w:sz w:val="22"/>
          <w:szCs w:val="22"/>
        </w:rPr>
        <w:t xml:space="preserve"> thesis, University of Malta). </w:t>
      </w:r>
      <w:hyperlink r:id="rId11" w:tgtFrame="_blank" w:history="1">
        <w:r w:rsidRPr="00797864">
          <w:rPr>
            <w:rStyle w:val="Hyperlink"/>
            <w:rFonts w:ascii="Arial" w:hAnsi="Arial" w:cs="Arial"/>
            <w:sz w:val="22"/>
            <w:szCs w:val="22"/>
          </w:rPr>
          <w:t>https://www.um.edu.mt/library/oar/handle/123456789/142708</w:t>
        </w:r>
      </w:hyperlink>
    </w:p>
    <w:p w14:paraId="2EEDBC03" w14:textId="77777777" w:rsidR="007D7592" w:rsidRPr="00797864" w:rsidRDefault="007D7592" w:rsidP="007D7592">
      <w:pPr>
        <w:spacing w:before="240" w:line="360" w:lineRule="auto"/>
        <w:ind w:left="720" w:hanging="720"/>
        <w:rPr>
          <w:rFonts w:ascii="Arial" w:hAnsi="Arial" w:cs="Arial"/>
          <w:sz w:val="22"/>
          <w:szCs w:val="22"/>
        </w:rPr>
      </w:pPr>
      <w:r w:rsidRPr="00797864">
        <w:rPr>
          <w:rFonts w:ascii="Arial" w:hAnsi="Arial" w:cs="Arial"/>
          <w:sz w:val="22"/>
          <w:szCs w:val="22"/>
        </w:rPr>
        <w:t xml:space="preserve">Chabot, J., 2022.  </w:t>
      </w:r>
      <w:r w:rsidRPr="00797864">
        <w:rPr>
          <w:rFonts w:ascii="Arial" w:hAnsi="Arial" w:cs="Arial"/>
          <w:i/>
          <w:iCs/>
          <w:sz w:val="22"/>
          <w:szCs w:val="22"/>
        </w:rPr>
        <w:t>The ethical need to give legitimacy to the voices of older adults with dementia in long-term care</w:t>
      </w:r>
      <w:r w:rsidRPr="00797864">
        <w:rPr>
          <w:rFonts w:ascii="Arial" w:hAnsi="Arial" w:cs="Arial"/>
          <w:sz w:val="22"/>
          <w:szCs w:val="22"/>
        </w:rPr>
        <w:t xml:space="preserve">. McGill University (Canada). </w:t>
      </w:r>
      <w:hyperlink r:id="rId12" w:tgtFrame="_blank" w:history="1">
        <w:r w:rsidRPr="00797864">
          <w:rPr>
            <w:rStyle w:val="Hyperlink"/>
            <w:rFonts w:ascii="Arial" w:hAnsi="Arial" w:cs="Arial"/>
            <w:sz w:val="22"/>
            <w:szCs w:val="22"/>
          </w:rPr>
          <w:t>https://www.proquest.com/openview/75182bac4a67c35d0797153f7fab5d11/1?pq-origsite=gscholar&amp;cbl=18750&amp;diss=y</w:t>
        </w:r>
      </w:hyperlink>
    </w:p>
    <w:p w14:paraId="71528C57" w14:textId="77777777" w:rsidR="007D7592" w:rsidRPr="00797864" w:rsidRDefault="007D7592" w:rsidP="007D7592">
      <w:pPr>
        <w:spacing w:before="240" w:line="360" w:lineRule="auto"/>
        <w:ind w:left="720" w:hanging="720"/>
        <w:rPr>
          <w:rFonts w:ascii="Arial" w:hAnsi="Arial" w:cs="Arial"/>
          <w:sz w:val="22"/>
          <w:szCs w:val="22"/>
        </w:rPr>
      </w:pPr>
      <w:r w:rsidRPr="00797864">
        <w:rPr>
          <w:rFonts w:ascii="Arial" w:hAnsi="Arial" w:cs="Arial"/>
          <w:sz w:val="22"/>
          <w:szCs w:val="22"/>
        </w:rPr>
        <w:t xml:space="preserve">Dale, A.F. and Kashid, G., 2025. The Impact of Polypharmacy on Elderly Patients and Strategies </w:t>
      </w:r>
      <w:proofErr w:type="gramStart"/>
      <w:r w:rsidRPr="00797864">
        <w:rPr>
          <w:rFonts w:ascii="Arial" w:hAnsi="Arial" w:cs="Arial"/>
          <w:sz w:val="22"/>
          <w:szCs w:val="22"/>
        </w:rPr>
        <w:t>To</w:t>
      </w:r>
      <w:proofErr w:type="gramEnd"/>
      <w:r w:rsidRPr="00797864">
        <w:rPr>
          <w:rFonts w:ascii="Arial" w:hAnsi="Arial" w:cs="Arial"/>
          <w:sz w:val="22"/>
          <w:szCs w:val="22"/>
        </w:rPr>
        <w:t xml:space="preserve"> Reduce Risks.  </w:t>
      </w:r>
      <w:r w:rsidRPr="00797864">
        <w:rPr>
          <w:rFonts w:ascii="Arial" w:hAnsi="Arial" w:cs="Arial"/>
          <w:i/>
          <w:iCs/>
          <w:sz w:val="22"/>
          <w:szCs w:val="22"/>
        </w:rPr>
        <w:t>Journal of Neonatal Surgery</w:t>
      </w:r>
      <w:r w:rsidRPr="00797864">
        <w:rPr>
          <w:rFonts w:ascii="Arial" w:hAnsi="Arial" w:cs="Arial"/>
          <w:sz w:val="22"/>
          <w:szCs w:val="22"/>
        </w:rPr>
        <w:t>, </w:t>
      </w:r>
      <w:r w:rsidRPr="00797864">
        <w:rPr>
          <w:rFonts w:ascii="Arial" w:hAnsi="Arial" w:cs="Arial"/>
          <w:i/>
          <w:iCs/>
          <w:sz w:val="22"/>
          <w:szCs w:val="22"/>
        </w:rPr>
        <w:t>14</w:t>
      </w:r>
      <w:r w:rsidRPr="00797864">
        <w:rPr>
          <w:rFonts w:ascii="Arial" w:hAnsi="Arial" w:cs="Arial"/>
          <w:sz w:val="22"/>
          <w:szCs w:val="22"/>
        </w:rPr>
        <w:t xml:space="preserve">(22s). </w:t>
      </w:r>
      <w:hyperlink r:id="rId13" w:tgtFrame="_blank" w:history="1">
        <w:r w:rsidRPr="00797864">
          <w:rPr>
            <w:rStyle w:val="Hyperlink"/>
            <w:rFonts w:ascii="Arial" w:hAnsi="Arial" w:cs="Arial"/>
            <w:sz w:val="22"/>
            <w:szCs w:val="22"/>
          </w:rPr>
          <w:t>https://www.researchgate.net/profile/Girish-Kashid/publication/399526600_The_Impact_of_Polypharmacy_on_Elderly_Patients_and_Strategies_To_Reduce_Risks/links/695e120ea1fd017989119fd1/The-Impact-of-Polypharmacy-on-Elderly-Patients-and-Strategies-To-Reduce-Risks.pdf</w:t>
        </w:r>
      </w:hyperlink>
    </w:p>
    <w:p w14:paraId="06DEC9DD" w14:textId="77777777" w:rsidR="007D7592" w:rsidRPr="00797864" w:rsidRDefault="007D7592" w:rsidP="007D7592">
      <w:pPr>
        <w:spacing w:before="240" w:line="360" w:lineRule="auto"/>
        <w:ind w:left="720" w:hanging="720"/>
        <w:rPr>
          <w:rFonts w:ascii="Arial" w:hAnsi="Arial" w:cs="Arial"/>
          <w:sz w:val="22"/>
          <w:szCs w:val="22"/>
        </w:rPr>
      </w:pPr>
      <w:r w:rsidRPr="00797864">
        <w:rPr>
          <w:rFonts w:ascii="Arial" w:hAnsi="Arial" w:cs="Arial"/>
          <w:sz w:val="22"/>
          <w:szCs w:val="22"/>
        </w:rPr>
        <w:t xml:space="preserve">Davidson, H., 2022. The Assisted Decision-Making (Capacity) Act 2015: interrogating the guiding principles for a person with dementia.  </w:t>
      </w:r>
      <w:r w:rsidRPr="00797864">
        <w:rPr>
          <w:rFonts w:ascii="Arial" w:hAnsi="Arial" w:cs="Arial"/>
          <w:i/>
          <w:iCs/>
          <w:sz w:val="22"/>
          <w:szCs w:val="22"/>
        </w:rPr>
        <w:t>International Journal of Law and Psychiatry</w:t>
      </w:r>
      <w:r w:rsidRPr="00797864">
        <w:rPr>
          <w:rFonts w:ascii="Arial" w:hAnsi="Arial" w:cs="Arial"/>
          <w:sz w:val="22"/>
          <w:szCs w:val="22"/>
        </w:rPr>
        <w:t>, </w:t>
      </w:r>
      <w:r w:rsidRPr="00797864">
        <w:rPr>
          <w:rFonts w:ascii="Arial" w:hAnsi="Arial" w:cs="Arial"/>
          <w:i/>
          <w:iCs/>
          <w:sz w:val="22"/>
          <w:szCs w:val="22"/>
        </w:rPr>
        <w:t>84</w:t>
      </w:r>
      <w:r w:rsidRPr="00797864">
        <w:rPr>
          <w:rFonts w:ascii="Arial" w:hAnsi="Arial" w:cs="Arial"/>
          <w:sz w:val="22"/>
          <w:szCs w:val="22"/>
        </w:rPr>
        <w:t xml:space="preserve">, p.101819. </w:t>
      </w:r>
      <w:hyperlink r:id="rId14" w:tgtFrame="_blank" w:history="1">
        <w:r w:rsidRPr="00797864">
          <w:rPr>
            <w:rStyle w:val="Hyperlink"/>
            <w:rFonts w:ascii="Arial" w:hAnsi="Arial" w:cs="Arial"/>
            <w:sz w:val="22"/>
            <w:szCs w:val="22"/>
          </w:rPr>
          <w:t>https://doi.org/10.1016/j.ijlp.2022.101819</w:t>
        </w:r>
      </w:hyperlink>
    </w:p>
    <w:p w14:paraId="2BF2D843" w14:textId="77777777" w:rsidR="007D7592" w:rsidRPr="00797864" w:rsidRDefault="007D7592" w:rsidP="007D7592">
      <w:pPr>
        <w:spacing w:before="240" w:line="360" w:lineRule="auto"/>
        <w:ind w:left="720" w:hanging="720"/>
        <w:rPr>
          <w:rFonts w:ascii="Arial" w:hAnsi="Arial" w:cs="Arial"/>
          <w:sz w:val="22"/>
          <w:szCs w:val="22"/>
        </w:rPr>
      </w:pPr>
      <w:r w:rsidRPr="00797864">
        <w:rPr>
          <w:rFonts w:ascii="Arial" w:hAnsi="Arial" w:cs="Arial"/>
          <w:sz w:val="22"/>
          <w:szCs w:val="22"/>
        </w:rPr>
        <w:t xml:space="preserve">Dixon, J., Lorenz-Dant, K., Stubbs, E., Harrison Dening, K., </w:t>
      </w:r>
      <w:proofErr w:type="spellStart"/>
      <w:r w:rsidRPr="00797864">
        <w:rPr>
          <w:rFonts w:ascii="Arial" w:hAnsi="Arial" w:cs="Arial"/>
          <w:sz w:val="22"/>
          <w:szCs w:val="22"/>
        </w:rPr>
        <w:t>Mostaghim</w:t>
      </w:r>
      <w:proofErr w:type="spellEnd"/>
      <w:r w:rsidRPr="00797864">
        <w:rPr>
          <w:rFonts w:ascii="Arial" w:hAnsi="Arial" w:cs="Arial"/>
          <w:sz w:val="22"/>
          <w:szCs w:val="22"/>
        </w:rPr>
        <w:t xml:space="preserve">, M., and Casson, D., 2023. Registered care home managers’ experiences of responding to the national care home visiting guidance in England during the Covid-19 pandemic: a multi-method qualitative study.  </w:t>
      </w:r>
      <w:r w:rsidRPr="00797864">
        <w:rPr>
          <w:rFonts w:ascii="Arial" w:hAnsi="Arial" w:cs="Arial"/>
          <w:i/>
          <w:iCs/>
          <w:sz w:val="22"/>
          <w:szCs w:val="22"/>
        </w:rPr>
        <w:t>BMC geriatrics</w:t>
      </w:r>
      <w:r w:rsidRPr="00797864">
        <w:rPr>
          <w:rFonts w:ascii="Arial" w:hAnsi="Arial" w:cs="Arial"/>
          <w:sz w:val="22"/>
          <w:szCs w:val="22"/>
        </w:rPr>
        <w:t>, </w:t>
      </w:r>
      <w:r w:rsidRPr="00797864">
        <w:rPr>
          <w:rFonts w:ascii="Arial" w:hAnsi="Arial" w:cs="Arial"/>
          <w:i/>
          <w:iCs/>
          <w:sz w:val="22"/>
          <w:szCs w:val="22"/>
        </w:rPr>
        <w:t>23</w:t>
      </w:r>
      <w:r w:rsidRPr="00797864">
        <w:rPr>
          <w:rFonts w:ascii="Arial" w:hAnsi="Arial" w:cs="Arial"/>
          <w:sz w:val="22"/>
          <w:szCs w:val="22"/>
        </w:rPr>
        <w:t xml:space="preserve">(1), p.236. </w:t>
      </w:r>
      <w:hyperlink r:id="rId15" w:tgtFrame="_blank" w:history="1">
        <w:r w:rsidRPr="00797864">
          <w:rPr>
            <w:rStyle w:val="Hyperlink"/>
            <w:rFonts w:ascii="Arial" w:hAnsi="Arial" w:cs="Arial"/>
            <w:sz w:val="22"/>
            <w:szCs w:val="22"/>
          </w:rPr>
          <w:t>https://link.springer.com/article/10.1186/s12877-023-03935-w</w:t>
        </w:r>
      </w:hyperlink>
    </w:p>
    <w:p w14:paraId="1E5F45ED" w14:textId="77777777" w:rsidR="007D7592" w:rsidRPr="00797864" w:rsidRDefault="007D7592" w:rsidP="007D7592">
      <w:pPr>
        <w:spacing w:before="240" w:line="360" w:lineRule="auto"/>
        <w:ind w:left="720" w:hanging="720"/>
        <w:rPr>
          <w:rFonts w:ascii="Arial" w:hAnsi="Arial" w:cs="Arial"/>
          <w:sz w:val="22"/>
          <w:szCs w:val="22"/>
        </w:rPr>
      </w:pPr>
      <w:r w:rsidRPr="00797864">
        <w:rPr>
          <w:rFonts w:ascii="Arial" w:hAnsi="Arial" w:cs="Arial"/>
          <w:sz w:val="22"/>
          <w:szCs w:val="22"/>
        </w:rPr>
        <w:t xml:space="preserve">Duan, Y., Mueller, C.A., Yu, F., Talley, K.M., and Shippee, T.P., 2022. The relationships of nursing home culture change practices with resident quality of life and family satisfaction: toward a more nuanced understanding.  </w:t>
      </w:r>
      <w:r w:rsidRPr="00797864">
        <w:rPr>
          <w:rFonts w:ascii="Arial" w:hAnsi="Arial" w:cs="Arial"/>
          <w:i/>
          <w:iCs/>
          <w:sz w:val="22"/>
          <w:szCs w:val="22"/>
        </w:rPr>
        <w:t>Research on Aging</w:t>
      </w:r>
      <w:r w:rsidRPr="00797864">
        <w:rPr>
          <w:rFonts w:ascii="Arial" w:hAnsi="Arial" w:cs="Arial"/>
          <w:sz w:val="22"/>
          <w:szCs w:val="22"/>
        </w:rPr>
        <w:t>, </w:t>
      </w:r>
      <w:r w:rsidRPr="00797864">
        <w:rPr>
          <w:rFonts w:ascii="Arial" w:hAnsi="Arial" w:cs="Arial"/>
          <w:i/>
          <w:iCs/>
          <w:sz w:val="22"/>
          <w:szCs w:val="22"/>
        </w:rPr>
        <w:t>44</w:t>
      </w:r>
      <w:r w:rsidRPr="00797864">
        <w:rPr>
          <w:rFonts w:ascii="Arial" w:hAnsi="Arial" w:cs="Arial"/>
          <w:sz w:val="22"/>
          <w:szCs w:val="22"/>
        </w:rPr>
        <w:t xml:space="preserve">(2), pp. 174-185. </w:t>
      </w:r>
      <w:hyperlink r:id="rId16" w:tgtFrame="_blank" w:history="1">
        <w:r w:rsidRPr="00797864">
          <w:rPr>
            <w:rStyle w:val="Hyperlink"/>
            <w:rFonts w:ascii="Arial" w:hAnsi="Arial" w:cs="Arial"/>
            <w:sz w:val="22"/>
            <w:szCs w:val="22"/>
          </w:rPr>
          <w:t>https://doi.org/10.1177/01640275211012652</w:t>
        </w:r>
      </w:hyperlink>
    </w:p>
    <w:p w14:paraId="480A68CB" w14:textId="77777777" w:rsidR="007D7592" w:rsidRPr="00797864" w:rsidRDefault="007D7592" w:rsidP="007D7592">
      <w:pPr>
        <w:spacing w:before="240" w:line="360" w:lineRule="auto"/>
        <w:ind w:left="720" w:hanging="720"/>
        <w:rPr>
          <w:rFonts w:ascii="Arial" w:hAnsi="Arial" w:cs="Arial"/>
          <w:sz w:val="22"/>
          <w:szCs w:val="22"/>
        </w:rPr>
      </w:pPr>
      <w:r w:rsidRPr="00797864">
        <w:rPr>
          <w:rFonts w:ascii="Arial" w:hAnsi="Arial" w:cs="Arial"/>
          <w:sz w:val="22"/>
          <w:szCs w:val="22"/>
        </w:rPr>
        <w:t>Faraday, J.H., 2023. </w:t>
      </w:r>
      <w:r w:rsidRPr="00797864">
        <w:rPr>
          <w:rFonts w:ascii="Arial" w:hAnsi="Arial" w:cs="Arial"/>
          <w:i/>
          <w:iCs/>
          <w:sz w:val="22"/>
          <w:szCs w:val="22"/>
        </w:rPr>
        <w:t>Improving mealtime care for people with dementia: a training intervention for care homes</w:t>
      </w:r>
      <w:r w:rsidRPr="00797864">
        <w:rPr>
          <w:rFonts w:ascii="Arial" w:hAnsi="Arial" w:cs="Arial"/>
          <w:sz w:val="22"/>
          <w:szCs w:val="22"/>
        </w:rPr>
        <w:t xml:space="preserve"> (Doctoral dissertation, Newcastle University). </w:t>
      </w:r>
      <w:hyperlink r:id="rId17" w:tgtFrame="_blank" w:history="1">
        <w:r w:rsidRPr="00797864">
          <w:rPr>
            <w:rStyle w:val="Hyperlink"/>
            <w:rFonts w:ascii="Arial" w:hAnsi="Arial" w:cs="Arial"/>
            <w:sz w:val="22"/>
            <w:szCs w:val="22"/>
          </w:rPr>
          <w:t>https://theses.ncl.ac.uk/jspui/handle/10443/6051</w:t>
        </w:r>
      </w:hyperlink>
    </w:p>
    <w:p w14:paraId="52630977" w14:textId="77777777" w:rsidR="007D7592" w:rsidRPr="00797864" w:rsidRDefault="007D7592" w:rsidP="007D7592">
      <w:pPr>
        <w:spacing w:before="240" w:line="360" w:lineRule="auto"/>
        <w:ind w:left="720" w:hanging="720"/>
        <w:rPr>
          <w:rFonts w:ascii="Arial" w:hAnsi="Arial" w:cs="Arial"/>
          <w:sz w:val="22"/>
          <w:szCs w:val="22"/>
        </w:rPr>
      </w:pPr>
      <w:proofErr w:type="spellStart"/>
      <w:r w:rsidRPr="00797864">
        <w:rPr>
          <w:rFonts w:ascii="Arial" w:hAnsi="Arial" w:cs="Arial"/>
          <w:sz w:val="22"/>
          <w:szCs w:val="22"/>
        </w:rPr>
        <w:t>Filfilan</w:t>
      </w:r>
      <w:proofErr w:type="spellEnd"/>
      <w:r w:rsidRPr="00797864">
        <w:rPr>
          <w:rFonts w:ascii="Arial" w:hAnsi="Arial" w:cs="Arial"/>
          <w:sz w:val="22"/>
          <w:szCs w:val="22"/>
        </w:rPr>
        <w:t xml:space="preserve">, F.M., </w:t>
      </w:r>
      <w:proofErr w:type="spellStart"/>
      <w:r w:rsidRPr="00797864">
        <w:rPr>
          <w:rFonts w:ascii="Arial" w:hAnsi="Arial" w:cs="Arial"/>
          <w:sz w:val="22"/>
          <w:szCs w:val="22"/>
        </w:rPr>
        <w:t>Alsulimani</w:t>
      </w:r>
      <w:proofErr w:type="spellEnd"/>
      <w:r w:rsidRPr="00797864">
        <w:rPr>
          <w:rFonts w:ascii="Arial" w:hAnsi="Arial" w:cs="Arial"/>
          <w:sz w:val="22"/>
          <w:szCs w:val="22"/>
        </w:rPr>
        <w:t xml:space="preserve">, F.S., Alfahmi, H.M.H., Ali, B.A.A., </w:t>
      </w:r>
      <w:proofErr w:type="spellStart"/>
      <w:r w:rsidRPr="00797864">
        <w:rPr>
          <w:rFonts w:ascii="Arial" w:hAnsi="Arial" w:cs="Arial"/>
          <w:sz w:val="22"/>
          <w:szCs w:val="22"/>
        </w:rPr>
        <w:t>Alasiri</w:t>
      </w:r>
      <w:proofErr w:type="spellEnd"/>
      <w:r w:rsidRPr="00797864">
        <w:rPr>
          <w:rFonts w:ascii="Arial" w:hAnsi="Arial" w:cs="Arial"/>
          <w:sz w:val="22"/>
          <w:szCs w:val="22"/>
        </w:rPr>
        <w:t xml:space="preserve">, O.I.A., Alharbi, A.G.S., Al Qalhmi, F.A.M., Fallatah, B.S.B., Alharbi, A.S.S., and Alharthi, A.M., 2024. Impact of </w:t>
      </w:r>
      <w:r w:rsidRPr="00797864">
        <w:rPr>
          <w:rFonts w:ascii="Arial" w:hAnsi="Arial" w:cs="Arial"/>
          <w:sz w:val="22"/>
          <w:szCs w:val="22"/>
        </w:rPr>
        <w:lastRenderedPageBreak/>
        <w:t xml:space="preserve">Social Service Programs on Improving the Quality of Health Care for Older Persons in Care Homes.  </w:t>
      </w:r>
      <w:r w:rsidRPr="00797864">
        <w:rPr>
          <w:rFonts w:ascii="Arial" w:hAnsi="Arial" w:cs="Arial"/>
          <w:i/>
          <w:iCs/>
          <w:sz w:val="22"/>
          <w:szCs w:val="22"/>
        </w:rPr>
        <w:t>Journal of International Crisis and Risk Communication Research</w:t>
      </w:r>
      <w:r w:rsidRPr="00797864">
        <w:rPr>
          <w:rFonts w:ascii="Arial" w:hAnsi="Arial" w:cs="Arial"/>
          <w:sz w:val="22"/>
          <w:szCs w:val="22"/>
        </w:rPr>
        <w:t>, </w:t>
      </w:r>
      <w:r w:rsidRPr="00797864">
        <w:rPr>
          <w:rFonts w:ascii="Arial" w:hAnsi="Arial" w:cs="Arial"/>
          <w:i/>
          <w:iCs/>
          <w:sz w:val="22"/>
          <w:szCs w:val="22"/>
        </w:rPr>
        <w:t>7</w:t>
      </w:r>
      <w:r w:rsidRPr="00797864">
        <w:rPr>
          <w:rFonts w:ascii="Arial" w:hAnsi="Arial" w:cs="Arial"/>
          <w:sz w:val="22"/>
          <w:szCs w:val="22"/>
        </w:rPr>
        <w:t xml:space="preserve">(S6), p.1256. </w:t>
      </w:r>
      <w:hyperlink r:id="rId18" w:tgtFrame="_blank" w:history="1">
        <w:r w:rsidRPr="00797864">
          <w:rPr>
            <w:rStyle w:val="Hyperlink"/>
            <w:rFonts w:ascii="Arial" w:hAnsi="Arial" w:cs="Arial"/>
            <w:sz w:val="22"/>
            <w:szCs w:val="22"/>
          </w:rPr>
          <w:t>https://www.proquest.com/openview/9500ef91dcb7ecc6a1bf0d87a4a08d81/1?pq-origsite=gscholar&amp;cbl=6480378</w:t>
        </w:r>
      </w:hyperlink>
    </w:p>
    <w:p w14:paraId="3C6EEC47" w14:textId="77777777" w:rsidR="007D7592" w:rsidRPr="00797864" w:rsidRDefault="007D7592" w:rsidP="007D7592">
      <w:pPr>
        <w:spacing w:before="240" w:line="360" w:lineRule="auto"/>
        <w:ind w:left="720" w:hanging="720"/>
        <w:rPr>
          <w:rFonts w:ascii="Arial" w:hAnsi="Arial" w:cs="Arial"/>
          <w:sz w:val="22"/>
          <w:szCs w:val="22"/>
        </w:rPr>
      </w:pPr>
      <w:r w:rsidRPr="00797864">
        <w:rPr>
          <w:rFonts w:ascii="Arial" w:hAnsi="Arial" w:cs="Arial"/>
          <w:sz w:val="22"/>
          <w:szCs w:val="22"/>
        </w:rPr>
        <w:t xml:space="preserve">Fletcher, J.R., 2023. Regulating the disenfranchised: Reciprocity &amp; resistance under the Mental Capacity Act.  </w:t>
      </w:r>
      <w:r w:rsidRPr="00797864">
        <w:rPr>
          <w:rFonts w:ascii="Arial" w:hAnsi="Arial" w:cs="Arial"/>
          <w:i/>
          <w:iCs/>
          <w:sz w:val="22"/>
          <w:szCs w:val="22"/>
        </w:rPr>
        <w:t>Journal of Aging Studies</w:t>
      </w:r>
      <w:r w:rsidRPr="00797864">
        <w:rPr>
          <w:rFonts w:ascii="Arial" w:hAnsi="Arial" w:cs="Arial"/>
          <w:sz w:val="22"/>
          <w:szCs w:val="22"/>
        </w:rPr>
        <w:t>, </w:t>
      </w:r>
      <w:r w:rsidRPr="00797864">
        <w:rPr>
          <w:rFonts w:ascii="Arial" w:hAnsi="Arial" w:cs="Arial"/>
          <w:i/>
          <w:iCs/>
          <w:sz w:val="22"/>
          <w:szCs w:val="22"/>
        </w:rPr>
        <w:t>64</w:t>
      </w:r>
      <w:r w:rsidRPr="00797864">
        <w:rPr>
          <w:rFonts w:ascii="Arial" w:hAnsi="Arial" w:cs="Arial"/>
          <w:sz w:val="22"/>
          <w:szCs w:val="22"/>
        </w:rPr>
        <w:t xml:space="preserve">, p.101099. </w:t>
      </w:r>
      <w:hyperlink r:id="rId19" w:tgtFrame="_blank" w:history="1">
        <w:r w:rsidRPr="00797864">
          <w:rPr>
            <w:rStyle w:val="Hyperlink"/>
            <w:rFonts w:ascii="Arial" w:hAnsi="Arial" w:cs="Arial"/>
            <w:sz w:val="22"/>
            <w:szCs w:val="22"/>
          </w:rPr>
          <w:t>https://doi.org/10.1016/j.jaging.2022.101099</w:t>
        </w:r>
      </w:hyperlink>
    </w:p>
    <w:p w14:paraId="066B35AA" w14:textId="77777777" w:rsidR="007D7592" w:rsidRPr="00797864" w:rsidRDefault="007D7592" w:rsidP="007D7592">
      <w:pPr>
        <w:spacing w:before="240" w:line="360" w:lineRule="auto"/>
        <w:ind w:left="720" w:hanging="720"/>
        <w:rPr>
          <w:rFonts w:ascii="Arial" w:hAnsi="Arial" w:cs="Arial"/>
          <w:sz w:val="22"/>
          <w:szCs w:val="22"/>
        </w:rPr>
      </w:pPr>
      <w:r w:rsidRPr="00797864">
        <w:rPr>
          <w:rFonts w:ascii="Arial" w:hAnsi="Arial" w:cs="Arial"/>
          <w:sz w:val="22"/>
          <w:szCs w:val="22"/>
        </w:rPr>
        <w:t xml:space="preserve">Giebel, C., Hanna, K., Marlow, P., Cannon, J., Tetlow, H., Shenton, J., Faulkner, T., Rajagopal, M., Mason, S., and Gabbay, M., 2022. Guilt, tears, and burnout—the impact of UK care home restrictions on the mental well-being of staff, families, and residents.  </w:t>
      </w:r>
      <w:r w:rsidRPr="00797864">
        <w:rPr>
          <w:rFonts w:ascii="Arial" w:hAnsi="Arial" w:cs="Arial"/>
          <w:i/>
          <w:iCs/>
          <w:sz w:val="22"/>
          <w:szCs w:val="22"/>
        </w:rPr>
        <w:t>Journal of Advanced Nursing</w:t>
      </w:r>
      <w:r w:rsidRPr="00797864">
        <w:rPr>
          <w:rFonts w:ascii="Arial" w:hAnsi="Arial" w:cs="Arial"/>
          <w:sz w:val="22"/>
          <w:szCs w:val="22"/>
        </w:rPr>
        <w:t>, </w:t>
      </w:r>
      <w:r w:rsidRPr="00797864">
        <w:rPr>
          <w:rFonts w:ascii="Arial" w:hAnsi="Arial" w:cs="Arial"/>
          <w:i/>
          <w:iCs/>
          <w:sz w:val="22"/>
          <w:szCs w:val="22"/>
        </w:rPr>
        <w:t>78</w:t>
      </w:r>
      <w:r w:rsidRPr="00797864">
        <w:rPr>
          <w:rFonts w:ascii="Arial" w:hAnsi="Arial" w:cs="Arial"/>
          <w:sz w:val="22"/>
          <w:szCs w:val="22"/>
        </w:rPr>
        <w:t xml:space="preserve">(7), pp. 2191-2202. </w:t>
      </w:r>
      <w:hyperlink r:id="rId20" w:tgtFrame="_blank" w:history="1">
        <w:r w:rsidRPr="00797864">
          <w:rPr>
            <w:rStyle w:val="Hyperlink"/>
            <w:rFonts w:ascii="Arial" w:hAnsi="Arial" w:cs="Arial"/>
            <w:sz w:val="22"/>
            <w:szCs w:val="22"/>
          </w:rPr>
          <w:t>https://doi.org/10.1111/jan.15181</w:t>
        </w:r>
      </w:hyperlink>
    </w:p>
    <w:p w14:paraId="59F67460" w14:textId="77777777" w:rsidR="007D7592" w:rsidRPr="00797864" w:rsidRDefault="007D7592" w:rsidP="007D7592">
      <w:pPr>
        <w:spacing w:before="240" w:line="360" w:lineRule="auto"/>
        <w:ind w:left="720" w:hanging="720"/>
        <w:rPr>
          <w:rFonts w:ascii="Arial" w:hAnsi="Arial" w:cs="Arial"/>
          <w:sz w:val="22"/>
          <w:szCs w:val="22"/>
        </w:rPr>
      </w:pPr>
      <w:r w:rsidRPr="00797864">
        <w:rPr>
          <w:rFonts w:ascii="Arial" w:hAnsi="Arial" w:cs="Arial"/>
          <w:sz w:val="22"/>
          <w:szCs w:val="22"/>
        </w:rPr>
        <w:t xml:space="preserve">Gill, A.S. and Sullivan, S.S., 2025. Resonances of Feeling Alone: A Systematic Review Unveiling Older Persons' Loneliness and Its Mechanisms in Residential Care Facilities.  </w:t>
      </w:r>
      <w:r w:rsidRPr="00797864">
        <w:rPr>
          <w:rFonts w:ascii="Arial" w:hAnsi="Arial" w:cs="Arial"/>
          <w:i/>
          <w:iCs/>
          <w:sz w:val="22"/>
          <w:szCs w:val="22"/>
        </w:rPr>
        <w:t>Journal of advanced nursing</w:t>
      </w:r>
      <w:r w:rsidRPr="00797864">
        <w:rPr>
          <w:rFonts w:ascii="Arial" w:hAnsi="Arial" w:cs="Arial"/>
          <w:sz w:val="22"/>
          <w:szCs w:val="22"/>
        </w:rPr>
        <w:t xml:space="preserve">. </w:t>
      </w:r>
      <w:hyperlink r:id="rId21" w:tgtFrame="_blank" w:history="1">
        <w:r w:rsidRPr="00797864">
          <w:rPr>
            <w:rStyle w:val="Hyperlink"/>
            <w:rFonts w:ascii="Arial" w:hAnsi="Arial" w:cs="Arial"/>
            <w:sz w:val="22"/>
            <w:szCs w:val="22"/>
          </w:rPr>
          <w:t>https://doi.org/10.1111/jan.16766</w:t>
        </w:r>
      </w:hyperlink>
    </w:p>
    <w:p w14:paraId="5EDB7ADD" w14:textId="77777777" w:rsidR="007D7592" w:rsidRPr="00797864" w:rsidRDefault="007D7592" w:rsidP="007D7592">
      <w:pPr>
        <w:spacing w:before="240" w:line="360" w:lineRule="auto"/>
        <w:ind w:left="720" w:hanging="720"/>
        <w:rPr>
          <w:rFonts w:ascii="Arial" w:hAnsi="Arial" w:cs="Arial"/>
          <w:sz w:val="22"/>
          <w:szCs w:val="22"/>
        </w:rPr>
      </w:pPr>
      <w:r w:rsidRPr="00797864">
        <w:rPr>
          <w:rFonts w:ascii="Arial" w:hAnsi="Arial" w:cs="Arial"/>
          <w:sz w:val="22"/>
          <w:szCs w:val="22"/>
        </w:rPr>
        <w:t xml:space="preserve">Gillen, E., Edwards, D., Roberts, S., Davies, N., Davies, I., and Harden, J., 2024. Relationship-centered care for people living with dementia in care homes.  </w:t>
      </w:r>
      <w:proofErr w:type="spellStart"/>
      <w:r w:rsidRPr="00797864">
        <w:rPr>
          <w:rFonts w:ascii="Arial" w:hAnsi="Arial" w:cs="Arial"/>
          <w:i/>
          <w:iCs/>
          <w:sz w:val="22"/>
          <w:szCs w:val="22"/>
        </w:rPr>
        <w:t>medRixv</w:t>
      </w:r>
      <w:proofErr w:type="spellEnd"/>
      <w:r w:rsidRPr="00797864">
        <w:rPr>
          <w:rFonts w:ascii="Arial" w:hAnsi="Arial" w:cs="Arial"/>
          <w:sz w:val="22"/>
          <w:szCs w:val="22"/>
        </w:rPr>
        <w:t xml:space="preserve">. </w:t>
      </w:r>
      <w:hyperlink r:id="rId22" w:tgtFrame="_blank" w:history="1">
        <w:r w:rsidRPr="00797864">
          <w:rPr>
            <w:rStyle w:val="Hyperlink"/>
            <w:rFonts w:ascii="Arial" w:hAnsi="Arial" w:cs="Arial"/>
            <w:sz w:val="22"/>
            <w:szCs w:val="22"/>
          </w:rPr>
          <w:t>https://www.medrxiv.org/content/10.1101/2024.04.15.24305839v1</w:t>
        </w:r>
      </w:hyperlink>
    </w:p>
    <w:p w14:paraId="25055105" w14:textId="77777777" w:rsidR="007D7592" w:rsidRPr="00797864" w:rsidRDefault="007D7592" w:rsidP="007D7592">
      <w:pPr>
        <w:spacing w:before="240" w:line="360" w:lineRule="auto"/>
        <w:ind w:left="720" w:hanging="720"/>
        <w:rPr>
          <w:rFonts w:ascii="Arial" w:hAnsi="Arial" w:cs="Arial"/>
          <w:sz w:val="22"/>
          <w:szCs w:val="22"/>
        </w:rPr>
      </w:pPr>
      <w:r w:rsidRPr="00797864">
        <w:rPr>
          <w:rFonts w:ascii="Arial" w:hAnsi="Arial" w:cs="Arial"/>
          <w:sz w:val="22"/>
          <w:szCs w:val="22"/>
        </w:rPr>
        <w:t xml:space="preserve">Guasti, L., </w:t>
      </w:r>
      <w:proofErr w:type="spellStart"/>
      <w:r w:rsidRPr="00797864">
        <w:rPr>
          <w:rFonts w:ascii="Arial" w:hAnsi="Arial" w:cs="Arial"/>
          <w:sz w:val="22"/>
          <w:szCs w:val="22"/>
        </w:rPr>
        <w:t>Dilaveris</w:t>
      </w:r>
      <w:proofErr w:type="spellEnd"/>
      <w:r w:rsidRPr="00797864">
        <w:rPr>
          <w:rFonts w:ascii="Arial" w:hAnsi="Arial" w:cs="Arial"/>
          <w:sz w:val="22"/>
          <w:szCs w:val="22"/>
        </w:rPr>
        <w:t xml:space="preserve">, P., Mamas, M.A., Richter, D., </w:t>
      </w:r>
      <w:proofErr w:type="spellStart"/>
      <w:r w:rsidRPr="00797864">
        <w:rPr>
          <w:rFonts w:ascii="Arial" w:hAnsi="Arial" w:cs="Arial"/>
          <w:sz w:val="22"/>
          <w:szCs w:val="22"/>
        </w:rPr>
        <w:t>Christodorescu</w:t>
      </w:r>
      <w:proofErr w:type="spellEnd"/>
      <w:r w:rsidRPr="00797864">
        <w:rPr>
          <w:rFonts w:ascii="Arial" w:hAnsi="Arial" w:cs="Arial"/>
          <w:sz w:val="22"/>
          <w:szCs w:val="22"/>
        </w:rPr>
        <w:t xml:space="preserve">, R., Lumens, J., </w:t>
      </w:r>
      <w:proofErr w:type="spellStart"/>
      <w:r w:rsidRPr="00797864">
        <w:rPr>
          <w:rFonts w:ascii="Arial" w:hAnsi="Arial" w:cs="Arial"/>
          <w:sz w:val="22"/>
          <w:szCs w:val="22"/>
        </w:rPr>
        <w:t>Schuuring</w:t>
      </w:r>
      <w:proofErr w:type="spellEnd"/>
      <w:r w:rsidRPr="00797864">
        <w:rPr>
          <w:rFonts w:ascii="Arial" w:hAnsi="Arial" w:cs="Arial"/>
          <w:sz w:val="22"/>
          <w:szCs w:val="22"/>
        </w:rPr>
        <w:t xml:space="preserve">, M.J., </w:t>
      </w:r>
      <w:proofErr w:type="spellStart"/>
      <w:r w:rsidRPr="00797864">
        <w:rPr>
          <w:rFonts w:ascii="Arial" w:hAnsi="Arial" w:cs="Arial"/>
          <w:sz w:val="22"/>
          <w:szCs w:val="22"/>
        </w:rPr>
        <w:t>Carugo</w:t>
      </w:r>
      <w:proofErr w:type="spellEnd"/>
      <w:r w:rsidRPr="00797864">
        <w:rPr>
          <w:rFonts w:ascii="Arial" w:hAnsi="Arial" w:cs="Arial"/>
          <w:sz w:val="22"/>
          <w:szCs w:val="22"/>
        </w:rPr>
        <w:t xml:space="preserve">, S., </w:t>
      </w:r>
      <w:proofErr w:type="spellStart"/>
      <w:r w:rsidRPr="00797864">
        <w:rPr>
          <w:rFonts w:ascii="Arial" w:hAnsi="Arial" w:cs="Arial"/>
          <w:sz w:val="22"/>
          <w:szCs w:val="22"/>
        </w:rPr>
        <w:t>Afilalo</w:t>
      </w:r>
      <w:proofErr w:type="spellEnd"/>
      <w:r w:rsidRPr="00797864">
        <w:rPr>
          <w:rFonts w:ascii="Arial" w:hAnsi="Arial" w:cs="Arial"/>
          <w:sz w:val="22"/>
          <w:szCs w:val="22"/>
        </w:rPr>
        <w:t xml:space="preserve">, J., Ferrini, M., and </w:t>
      </w:r>
      <w:proofErr w:type="spellStart"/>
      <w:r w:rsidRPr="00797864">
        <w:rPr>
          <w:rFonts w:ascii="Arial" w:hAnsi="Arial" w:cs="Arial"/>
          <w:sz w:val="22"/>
          <w:szCs w:val="22"/>
        </w:rPr>
        <w:t>Asteggiano</w:t>
      </w:r>
      <w:proofErr w:type="spellEnd"/>
      <w:r w:rsidRPr="00797864">
        <w:rPr>
          <w:rFonts w:ascii="Arial" w:hAnsi="Arial" w:cs="Arial"/>
          <w:sz w:val="22"/>
          <w:szCs w:val="22"/>
        </w:rPr>
        <w:t>, R., 2022. Digital health in older adults for the prevention and management of cardiovascular diseases and frailty. A clinical consensus statement from the ESC Council for Cardiology Practice/Taskforce on Geriatric Cardiology, the ESC Digital Health Committee, and the ESC Working Group on e</w:t>
      </w:r>
      <w:r w:rsidRPr="00797864">
        <w:rPr>
          <w:rFonts w:ascii="Cambria Math" w:hAnsi="Cambria Math" w:cs="Cambria Math"/>
          <w:sz w:val="22"/>
          <w:szCs w:val="22"/>
        </w:rPr>
        <w:t>‐</w:t>
      </w:r>
      <w:r w:rsidRPr="00797864">
        <w:rPr>
          <w:rFonts w:ascii="Arial" w:hAnsi="Arial" w:cs="Arial"/>
          <w:sz w:val="22"/>
          <w:szCs w:val="22"/>
        </w:rPr>
        <w:t xml:space="preserve">Cardiology.  </w:t>
      </w:r>
      <w:r w:rsidRPr="00797864">
        <w:rPr>
          <w:rFonts w:ascii="Arial" w:hAnsi="Arial" w:cs="Arial"/>
          <w:i/>
          <w:iCs/>
          <w:sz w:val="22"/>
          <w:szCs w:val="22"/>
        </w:rPr>
        <w:t>ESC heart failure</w:t>
      </w:r>
      <w:r w:rsidRPr="00797864">
        <w:rPr>
          <w:rFonts w:ascii="Arial" w:hAnsi="Arial" w:cs="Arial"/>
          <w:sz w:val="22"/>
          <w:szCs w:val="22"/>
        </w:rPr>
        <w:t>, </w:t>
      </w:r>
      <w:r w:rsidRPr="00797864">
        <w:rPr>
          <w:rFonts w:ascii="Arial" w:hAnsi="Arial" w:cs="Arial"/>
          <w:i/>
          <w:iCs/>
          <w:sz w:val="22"/>
          <w:szCs w:val="22"/>
        </w:rPr>
        <w:t>9</w:t>
      </w:r>
      <w:r w:rsidRPr="00797864">
        <w:rPr>
          <w:rFonts w:ascii="Arial" w:hAnsi="Arial" w:cs="Arial"/>
          <w:sz w:val="22"/>
          <w:szCs w:val="22"/>
        </w:rPr>
        <w:t xml:space="preserve">(5), pp. 2808-2822. </w:t>
      </w:r>
      <w:hyperlink r:id="rId23" w:tgtFrame="_blank" w:history="1">
        <w:r w:rsidRPr="00797864">
          <w:rPr>
            <w:rStyle w:val="Hyperlink"/>
            <w:rFonts w:ascii="Arial" w:hAnsi="Arial" w:cs="Arial"/>
            <w:sz w:val="22"/>
            <w:szCs w:val="22"/>
          </w:rPr>
          <w:t>https://doi.org/10.1002/ehf2.14022</w:t>
        </w:r>
      </w:hyperlink>
    </w:p>
    <w:p w14:paraId="5801F366" w14:textId="77777777" w:rsidR="007D7592" w:rsidRPr="00797864" w:rsidRDefault="007D7592" w:rsidP="007D7592">
      <w:pPr>
        <w:spacing w:before="240" w:line="360" w:lineRule="auto"/>
        <w:ind w:left="720" w:hanging="720"/>
        <w:rPr>
          <w:rFonts w:ascii="Arial" w:hAnsi="Arial" w:cs="Arial"/>
          <w:sz w:val="22"/>
          <w:szCs w:val="22"/>
        </w:rPr>
      </w:pPr>
      <w:r w:rsidRPr="00797864">
        <w:rPr>
          <w:rFonts w:ascii="Arial" w:hAnsi="Arial" w:cs="Arial"/>
          <w:sz w:val="22"/>
          <w:szCs w:val="22"/>
        </w:rPr>
        <w:t>Ianculescu, M., Paraschiv, E.A., and Alexandru, A., 2022, June. Addressing mild cognitive impairment and boosting wellness for the elderly through personalized remote monitoring. In </w:t>
      </w:r>
      <w:r w:rsidRPr="00797864">
        <w:rPr>
          <w:rFonts w:ascii="Arial" w:hAnsi="Arial" w:cs="Arial"/>
          <w:i/>
          <w:iCs/>
          <w:sz w:val="22"/>
          <w:szCs w:val="22"/>
        </w:rPr>
        <w:t>Healthcare</w:t>
      </w:r>
      <w:r w:rsidRPr="00797864">
        <w:rPr>
          <w:rFonts w:ascii="Arial" w:hAnsi="Arial" w:cs="Arial"/>
          <w:sz w:val="22"/>
          <w:szCs w:val="22"/>
        </w:rPr>
        <w:t xml:space="preserve"> (Vol. 10, No. 7, p. 1214). MDPI. </w:t>
      </w:r>
      <w:hyperlink r:id="rId24" w:tgtFrame="_blank" w:history="1">
        <w:r w:rsidRPr="00797864">
          <w:rPr>
            <w:rStyle w:val="Hyperlink"/>
            <w:rFonts w:ascii="Arial" w:hAnsi="Arial" w:cs="Arial"/>
            <w:sz w:val="22"/>
            <w:szCs w:val="22"/>
          </w:rPr>
          <w:t>https://doi.org/10.3390/healthcare10071214</w:t>
        </w:r>
      </w:hyperlink>
    </w:p>
    <w:p w14:paraId="5DE36DF0" w14:textId="77777777" w:rsidR="007D7592" w:rsidRPr="00797864" w:rsidRDefault="007D7592" w:rsidP="007D7592">
      <w:pPr>
        <w:spacing w:before="240" w:line="360" w:lineRule="auto"/>
        <w:ind w:left="720" w:hanging="720"/>
        <w:rPr>
          <w:rFonts w:ascii="Arial" w:hAnsi="Arial" w:cs="Arial"/>
          <w:sz w:val="22"/>
          <w:szCs w:val="22"/>
        </w:rPr>
      </w:pPr>
      <w:r w:rsidRPr="00797864">
        <w:rPr>
          <w:rFonts w:ascii="Arial" w:hAnsi="Arial" w:cs="Arial"/>
          <w:sz w:val="22"/>
          <w:szCs w:val="22"/>
        </w:rPr>
        <w:lastRenderedPageBreak/>
        <w:t xml:space="preserve">Jayes, M., Austin, L., and Brown, L.J., 2022. Supported decision-making and mental capacity assessment in care homes: A qualitative study.  </w:t>
      </w:r>
      <w:r w:rsidRPr="00797864">
        <w:rPr>
          <w:rFonts w:ascii="Arial" w:hAnsi="Arial" w:cs="Arial"/>
          <w:i/>
          <w:iCs/>
          <w:sz w:val="22"/>
          <w:szCs w:val="22"/>
        </w:rPr>
        <w:t>Health &amp; Social Care in the Community</w:t>
      </w:r>
      <w:r w:rsidRPr="00797864">
        <w:rPr>
          <w:rFonts w:ascii="Arial" w:hAnsi="Arial" w:cs="Arial"/>
          <w:sz w:val="22"/>
          <w:szCs w:val="22"/>
        </w:rPr>
        <w:t>, </w:t>
      </w:r>
      <w:r w:rsidRPr="00797864">
        <w:rPr>
          <w:rFonts w:ascii="Arial" w:hAnsi="Arial" w:cs="Arial"/>
          <w:i/>
          <w:iCs/>
          <w:sz w:val="22"/>
          <w:szCs w:val="22"/>
        </w:rPr>
        <w:t>30</w:t>
      </w:r>
      <w:r w:rsidRPr="00797864">
        <w:rPr>
          <w:rFonts w:ascii="Arial" w:hAnsi="Arial" w:cs="Arial"/>
          <w:sz w:val="22"/>
          <w:szCs w:val="22"/>
        </w:rPr>
        <w:t xml:space="preserve">(4), pp. e1061-e1069. </w:t>
      </w:r>
      <w:hyperlink r:id="rId25" w:tgtFrame="_blank" w:history="1">
        <w:r w:rsidRPr="00797864">
          <w:rPr>
            <w:rStyle w:val="Hyperlink"/>
            <w:rFonts w:ascii="Arial" w:hAnsi="Arial" w:cs="Arial"/>
            <w:sz w:val="22"/>
            <w:szCs w:val="22"/>
          </w:rPr>
          <w:t>https://doi.org/10.1111/hsc.13512</w:t>
        </w:r>
      </w:hyperlink>
    </w:p>
    <w:p w14:paraId="78FD80E0" w14:textId="77777777" w:rsidR="007D7592" w:rsidRPr="00797864" w:rsidRDefault="007D7592" w:rsidP="007D7592">
      <w:pPr>
        <w:spacing w:before="240" w:line="360" w:lineRule="auto"/>
        <w:ind w:left="720" w:hanging="720"/>
        <w:rPr>
          <w:rFonts w:ascii="Arial" w:hAnsi="Arial" w:cs="Arial"/>
          <w:sz w:val="22"/>
          <w:szCs w:val="22"/>
        </w:rPr>
      </w:pPr>
      <w:r w:rsidRPr="00797864">
        <w:rPr>
          <w:rFonts w:ascii="Arial" w:hAnsi="Arial" w:cs="Arial"/>
          <w:sz w:val="22"/>
          <w:szCs w:val="22"/>
        </w:rPr>
        <w:t xml:space="preserve">Kesby, A., 2023. Enabling the Right to Liberty of the Person in Aged Care Homes.  </w:t>
      </w:r>
      <w:r w:rsidRPr="00797864">
        <w:rPr>
          <w:rFonts w:ascii="Arial" w:hAnsi="Arial" w:cs="Arial"/>
          <w:i/>
          <w:iCs/>
          <w:sz w:val="22"/>
          <w:szCs w:val="22"/>
        </w:rPr>
        <w:t>Human Rights Law Review</w:t>
      </w:r>
      <w:r w:rsidRPr="00797864">
        <w:rPr>
          <w:rFonts w:ascii="Arial" w:hAnsi="Arial" w:cs="Arial"/>
          <w:sz w:val="22"/>
          <w:szCs w:val="22"/>
        </w:rPr>
        <w:t>, </w:t>
      </w:r>
      <w:r w:rsidRPr="00797864">
        <w:rPr>
          <w:rFonts w:ascii="Arial" w:hAnsi="Arial" w:cs="Arial"/>
          <w:i/>
          <w:iCs/>
          <w:sz w:val="22"/>
          <w:szCs w:val="22"/>
        </w:rPr>
        <w:t>23</w:t>
      </w:r>
      <w:r w:rsidRPr="00797864">
        <w:rPr>
          <w:rFonts w:ascii="Arial" w:hAnsi="Arial" w:cs="Arial"/>
          <w:sz w:val="22"/>
          <w:szCs w:val="22"/>
        </w:rPr>
        <w:t xml:space="preserve">(2), </w:t>
      </w:r>
      <w:proofErr w:type="gramStart"/>
      <w:r w:rsidRPr="00797864">
        <w:rPr>
          <w:rFonts w:ascii="Arial" w:hAnsi="Arial" w:cs="Arial"/>
          <w:sz w:val="22"/>
          <w:szCs w:val="22"/>
        </w:rPr>
        <w:t>p.ngad</w:t>
      </w:r>
      <w:proofErr w:type="gramEnd"/>
      <w:r w:rsidRPr="00797864">
        <w:rPr>
          <w:rFonts w:ascii="Arial" w:hAnsi="Arial" w:cs="Arial"/>
          <w:sz w:val="22"/>
          <w:szCs w:val="22"/>
        </w:rPr>
        <w:t xml:space="preserve">005. </w:t>
      </w:r>
      <w:hyperlink r:id="rId26" w:tgtFrame="_blank" w:history="1">
        <w:r w:rsidRPr="00797864">
          <w:rPr>
            <w:rStyle w:val="Hyperlink"/>
            <w:rFonts w:ascii="Arial" w:hAnsi="Arial" w:cs="Arial"/>
            <w:sz w:val="22"/>
            <w:szCs w:val="22"/>
          </w:rPr>
          <w:t>https://doi.org/10.1093/hrlr/ngad005</w:t>
        </w:r>
      </w:hyperlink>
    </w:p>
    <w:p w14:paraId="304618C6" w14:textId="77777777" w:rsidR="007D7592" w:rsidRPr="00797864" w:rsidRDefault="007D7592" w:rsidP="007D7592">
      <w:pPr>
        <w:spacing w:before="240" w:line="360" w:lineRule="auto"/>
        <w:ind w:left="720" w:hanging="720"/>
        <w:rPr>
          <w:rFonts w:ascii="Arial" w:hAnsi="Arial" w:cs="Arial"/>
          <w:sz w:val="22"/>
          <w:szCs w:val="22"/>
        </w:rPr>
      </w:pPr>
      <w:r w:rsidRPr="00797864">
        <w:rPr>
          <w:rFonts w:ascii="Arial" w:hAnsi="Arial" w:cs="Arial"/>
          <w:sz w:val="22"/>
          <w:szCs w:val="22"/>
        </w:rPr>
        <w:t xml:space="preserve">Lewis, J., 2022. The problems of social care in English nursing and residential homes for older people and the role of state regulation.  </w:t>
      </w:r>
      <w:r w:rsidRPr="00797864">
        <w:rPr>
          <w:rFonts w:ascii="Arial" w:hAnsi="Arial" w:cs="Arial"/>
          <w:i/>
          <w:iCs/>
          <w:sz w:val="22"/>
          <w:szCs w:val="22"/>
        </w:rPr>
        <w:t>Journal of Social Welfare and Family Law</w:t>
      </w:r>
      <w:r w:rsidRPr="00797864">
        <w:rPr>
          <w:rFonts w:ascii="Arial" w:hAnsi="Arial" w:cs="Arial"/>
          <w:sz w:val="22"/>
          <w:szCs w:val="22"/>
        </w:rPr>
        <w:t>, </w:t>
      </w:r>
      <w:r w:rsidRPr="00797864">
        <w:rPr>
          <w:rFonts w:ascii="Arial" w:hAnsi="Arial" w:cs="Arial"/>
          <w:i/>
          <w:iCs/>
          <w:sz w:val="22"/>
          <w:szCs w:val="22"/>
        </w:rPr>
        <w:t>44</w:t>
      </w:r>
      <w:r w:rsidRPr="00797864">
        <w:rPr>
          <w:rFonts w:ascii="Arial" w:hAnsi="Arial" w:cs="Arial"/>
          <w:sz w:val="22"/>
          <w:szCs w:val="22"/>
        </w:rPr>
        <w:t xml:space="preserve">(2), pp. 185-204. </w:t>
      </w:r>
      <w:hyperlink r:id="rId27" w:tgtFrame="_blank" w:history="1">
        <w:r w:rsidRPr="00797864">
          <w:rPr>
            <w:rStyle w:val="Hyperlink"/>
            <w:rFonts w:ascii="Arial" w:hAnsi="Arial" w:cs="Arial"/>
            <w:sz w:val="22"/>
            <w:szCs w:val="22"/>
          </w:rPr>
          <w:t>https://doi.org/10.1080/09649069.2022.2067650</w:t>
        </w:r>
      </w:hyperlink>
    </w:p>
    <w:p w14:paraId="0C31201A" w14:textId="77777777" w:rsidR="007D7592" w:rsidRPr="00797864" w:rsidRDefault="007D7592" w:rsidP="007D7592">
      <w:pPr>
        <w:spacing w:before="240" w:line="360" w:lineRule="auto"/>
        <w:ind w:left="720" w:hanging="720"/>
        <w:rPr>
          <w:rFonts w:ascii="Arial" w:hAnsi="Arial" w:cs="Arial"/>
          <w:sz w:val="22"/>
          <w:szCs w:val="22"/>
        </w:rPr>
      </w:pPr>
      <w:r w:rsidRPr="00797864">
        <w:rPr>
          <w:rFonts w:ascii="Arial" w:hAnsi="Arial" w:cs="Arial"/>
          <w:sz w:val="22"/>
          <w:szCs w:val="22"/>
        </w:rPr>
        <w:t xml:space="preserve">Lynch, B., Ryan, A.A., O’Neill, M., and Penney, S., 2022. The factors that influence care home residents’ and families’ engagement with decision-making about their care and support: an integrative review of the literature.  </w:t>
      </w:r>
      <w:r w:rsidRPr="00797864">
        <w:rPr>
          <w:rFonts w:ascii="Arial" w:hAnsi="Arial" w:cs="Arial"/>
          <w:i/>
          <w:iCs/>
          <w:sz w:val="22"/>
          <w:szCs w:val="22"/>
        </w:rPr>
        <w:t>BMC geriatrics</w:t>
      </w:r>
      <w:r w:rsidRPr="00797864">
        <w:rPr>
          <w:rFonts w:ascii="Arial" w:hAnsi="Arial" w:cs="Arial"/>
          <w:sz w:val="22"/>
          <w:szCs w:val="22"/>
        </w:rPr>
        <w:t>, </w:t>
      </w:r>
      <w:r w:rsidRPr="00797864">
        <w:rPr>
          <w:rFonts w:ascii="Arial" w:hAnsi="Arial" w:cs="Arial"/>
          <w:i/>
          <w:iCs/>
          <w:sz w:val="22"/>
          <w:szCs w:val="22"/>
        </w:rPr>
        <w:t>22</w:t>
      </w:r>
      <w:r w:rsidRPr="00797864">
        <w:rPr>
          <w:rFonts w:ascii="Arial" w:hAnsi="Arial" w:cs="Arial"/>
          <w:sz w:val="22"/>
          <w:szCs w:val="22"/>
        </w:rPr>
        <w:t xml:space="preserve">(1), p.873. </w:t>
      </w:r>
      <w:hyperlink r:id="rId28" w:tgtFrame="_blank" w:history="1">
        <w:r w:rsidRPr="00797864">
          <w:rPr>
            <w:rStyle w:val="Hyperlink"/>
            <w:rFonts w:ascii="Arial" w:hAnsi="Arial" w:cs="Arial"/>
            <w:sz w:val="22"/>
            <w:szCs w:val="22"/>
          </w:rPr>
          <w:t>https://link.springer.com/article/10.1186/s12877-022-03503-8</w:t>
        </w:r>
      </w:hyperlink>
    </w:p>
    <w:p w14:paraId="53A93373" w14:textId="77777777" w:rsidR="007D7592" w:rsidRPr="00797864" w:rsidRDefault="007D7592" w:rsidP="007D7592">
      <w:pPr>
        <w:spacing w:before="240" w:line="360" w:lineRule="auto"/>
        <w:ind w:left="720" w:hanging="720"/>
        <w:rPr>
          <w:rFonts w:ascii="Arial" w:hAnsi="Arial" w:cs="Arial"/>
          <w:sz w:val="22"/>
          <w:szCs w:val="22"/>
        </w:rPr>
      </w:pPr>
      <w:proofErr w:type="spellStart"/>
      <w:r w:rsidRPr="00797864">
        <w:rPr>
          <w:rFonts w:ascii="Arial" w:hAnsi="Arial" w:cs="Arial"/>
          <w:sz w:val="22"/>
          <w:szCs w:val="22"/>
        </w:rPr>
        <w:t>Misaghian</w:t>
      </w:r>
      <w:proofErr w:type="spellEnd"/>
      <w:r w:rsidRPr="00797864">
        <w:rPr>
          <w:rFonts w:ascii="Arial" w:hAnsi="Arial" w:cs="Arial"/>
          <w:sz w:val="22"/>
          <w:szCs w:val="22"/>
        </w:rPr>
        <w:t xml:space="preserve">, K., Lugo, J.E., and Faubert, J., 2024. Immediate fall prevention: the missing key to a comprehensive solution for falling hazards in older adults.  </w:t>
      </w:r>
      <w:r w:rsidRPr="00797864">
        <w:rPr>
          <w:rFonts w:ascii="Arial" w:hAnsi="Arial" w:cs="Arial"/>
          <w:i/>
          <w:iCs/>
          <w:sz w:val="22"/>
          <w:szCs w:val="22"/>
        </w:rPr>
        <w:t>Frontiers in aging neuroscience</w:t>
      </w:r>
      <w:r w:rsidRPr="00797864">
        <w:rPr>
          <w:rFonts w:ascii="Arial" w:hAnsi="Arial" w:cs="Arial"/>
          <w:sz w:val="22"/>
          <w:szCs w:val="22"/>
        </w:rPr>
        <w:t>, </w:t>
      </w:r>
      <w:r w:rsidRPr="00797864">
        <w:rPr>
          <w:rFonts w:ascii="Arial" w:hAnsi="Arial" w:cs="Arial"/>
          <w:i/>
          <w:iCs/>
          <w:sz w:val="22"/>
          <w:szCs w:val="22"/>
        </w:rPr>
        <w:t>16</w:t>
      </w:r>
      <w:r w:rsidRPr="00797864">
        <w:rPr>
          <w:rFonts w:ascii="Arial" w:hAnsi="Arial" w:cs="Arial"/>
          <w:sz w:val="22"/>
          <w:szCs w:val="22"/>
        </w:rPr>
        <w:t xml:space="preserve">, p.1348712. </w:t>
      </w:r>
      <w:hyperlink r:id="rId29" w:tgtFrame="_blank" w:history="1">
        <w:r w:rsidRPr="00797864">
          <w:rPr>
            <w:rStyle w:val="Hyperlink"/>
            <w:rFonts w:ascii="Arial" w:hAnsi="Arial" w:cs="Arial"/>
            <w:sz w:val="22"/>
            <w:szCs w:val="22"/>
          </w:rPr>
          <w:t>https://doi.org/10.3389/fnagi.2024.1348712</w:t>
        </w:r>
      </w:hyperlink>
    </w:p>
    <w:p w14:paraId="1D27B0D9" w14:textId="77777777" w:rsidR="007D7592" w:rsidRPr="00797864" w:rsidRDefault="007D7592" w:rsidP="007D7592">
      <w:pPr>
        <w:spacing w:before="240" w:line="360" w:lineRule="auto"/>
        <w:ind w:left="720" w:hanging="720"/>
        <w:rPr>
          <w:rFonts w:ascii="Arial" w:hAnsi="Arial" w:cs="Arial"/>
          <w:sz w:val="22"/>
          <w:szCs w:val="22"/>
        </w:rPr>
      </w:pPr>
      <w:r w:rsidRPr="00797864">
        <w:rPr>
          <w:rFonts w:ascii="Arial" w:hAnsi="Arial" w:cs="Arial"/>
          <w:sz w:val="22"/>
          <w:szCs w:val="22"/>
        </w:rPr>
        <w:t xml:space="preserve">Mody, L., Advani, S.D., Ashraf, M.S., Bartlett, A.H., Bradley, S.F., Burdsall, D.P., Hanrahan, J.A., Huang, S.S., Jump, R.L., Nicolle, L., and Roghmann, M.C., 2025. </w:t>
      </w:r>
      <w:proofErr w:type="spellStart"/>
      <w:r w:rsidRPr="00797864">
        <w:rPr>
          <w:rFonts w:ascii="Arial" w:hAnsi="Arial" w:cs="Arial"/>
          <w:sz w:val="22"/>
          <w:szCs w:val="22"/>
        </w:rPr>
        <w:t>Multisociety</w:t>
      </w:r>
      <w:proofErr w:type="spellEnd"/>
      <w:r w:rsidRPr="00797864">
        <w:rPr>
          <w:rFonts w:ascii="Arial" w:hAnsi="Arial" w:cs="Arial"/>
          <w:sz w:val="22"/>
          <w:szCs w:val="22"/>
        </w:rPr>
        <w:t xml:space="preserve"> guidance for infection prevention and control in nursing homes.  </w:t>
      </w:r>
      <w:r w:rsidRPr="00797864">
        <w:rPr>
          <w:rFonts w:ascii="Arial" w:hAnsi="Arial" w:cs="Arial"/>
          <w:i/>
          <w:iCs/>
          <w:sz w:val="22"/>
          <w:szCs w:val="22"/>
        </w:rPr>
        <w:t>Infection Control &amp; Hospital Epidemiology</w:t>
      </w:r>
      <w:r w:rsidRPr="00797864">
        <w:rPr>
          <w:rFonts w:ascii="Arial" w:hAnsi="Arial" w:cs="Arial"/>
          <w:sz w:val="22"/>
          <w:szCs w:val="22"/>
        </w:rPr>
        <w:t xml:space="preserve">, pp. 1-28. </w:t>
      </w:r>
      <w:hyperlink r:id="rId30" w:tgtFrame="_blank" w:history="1">
        <w:r w:rsidRPr="00797864">
          <w:rPr>
            <w:rStyle w:val="Hyperlink"/>
            <w:rFonts w:ascii="Arial" w:hAnsi="Arial" w:cs="Arial"/>
            <w:sz w:val="22"/>
            <w:szCs w:val="22"/>
          </w:rPr>
          <w:t>https://doi.org/10.1017/ice.2025.10252</w:t>
        </w:r>
      </w:hyperlink>
    </w:p>
    <w:p w14:paraId="16B84828" w14:textId="77777777" w:rsidR="007D7592" w:rsidRPr="00797864" w:rsidRDefault="007D7592" w:rsidP="007D7592">
      <w:pPr>
        <w:spacing w:before="240" w:line="360" w:lineRule="auto"/>
        <w:ind w:left="720" w:hanging="720"/>
        <w:rPr>
          <w:rFonts w:ascii="Arial" w:hAnsi="Arial" w:cs="Arial"/>
          <w:sz w:val="22"/>
          <w:szCs w:val="22"/>
        </w:rPr>
      </w:pPr>
      <w:r w:rsidRPr="00797864">
        <w:rPr>
          <w:rFonts w:ascii="Arial" w:hAnsi="Arial" w:cs="Arial"/>
          <w:sz w:val="22"/>
          <w:szCs w:val="22"/>
        </w:rPr>
        <w:t xml:space="preserve">Moilanen, T., Suhonen, R., and Kangasniemi, M., 2022. Nursing support for older people's autonomy in residential care: An integrative review.  </w:t>
      </w:r>
      <w:r w:rsidRPr="00797864">
        <w:rPr>
          <w:rFonts w:ascii="Arial" w:hAnsi="Arial" w:cs="Arial"/>
          <w:i/>
          <w:iCs/>
          <w:sz w:val="22"/>
          <w:szCs w:val="22"/>
        </w:rPr>
        <w:t>International Journal of Older People Nursing,</w:t>
      </w:r>
      <w:r w:rsidRPr="00797864">
        <w:rPr>
          <w:rFonts w:ascii="Arial" w:hAnsi="Arial" w:cs="Arial"/>
          <w:sz w:val="22"/>
          <w:szCs w:val="22"/>
        </w:rPr>
        <w:t> </w:t>
      </w:r>
      <w:r w:rsidRPr="00797864">
        <w:rPr>
          <w:rFonts w:ascii="Arial" w:hAnsi="Arial" w:cs="Arial"/>
          <w:i/>
          <w:iCs/>
          <w:sz w:val="22"/>
          <w:szCs w:val="22"/>
        </w:rPr>
        <w:t>17</w:t>
      </w:r>
      <w:r w:rsidRPr="00797864">
        <w:rPr>
          <w:rFonts w:ascii="Arial" w:hAnsi="Arial" w:cs="Arial"/>
          <w:sz w:val="22"/>
          <w:szCs w:val="22"/>
        </w:rPr>
        <w:t xml:space="preserve">(2), p.e12428. </w:t>
      </w:r>
      <w:hyperlink r:id="rId31" w:tgtFrame="_blank" w:history="1">
        <w:r w:rsidRPr="00797864">
          <w:rPr>
            <w:rStyle w:val="Hyperlink"/>
            <w:rFonts w:ascii="Arial" w:hAnsi="Arial" w:cs="Arial"/>
            <w:sz w:val="22"/>
            <w:szCs w:val="22"/>
          </w:rPr>
          <w:t>https://doi.org/10.1111/opn.12428</w:t>
        </w:r>
      </w:hyperlink>
    </w:p>
    <w:p w14:paraId="36B4D969" w14:textId="77777777" w:rsidR="007D7592" w:rsidRPr="00797864" w:rsidRDefault="007D7592" w:rsidP="007D7592">
      <w:pPr>
        <w:spacing w:before="240" w:line="360" w:lineRule="auto"/>
        <w:ind w:left="720" w:hanging="720"/>
        <w:rPr>
          <w:rFonts w:ascii="Arial" w:hAnsi="Arial" w:cs="Arial"/>
          <w:sz w:val="22"/>
          <w:szCs w:val="22"/>
        </w:rPr>
      </w:pPr>
      <w:r w:rsidRPr="00797864">
        <w:rPr>
          <w:rFonts w:ascii="Arial" w:hAnsi="Arial" w:cs="Arial"/>
          <w:sz w:val="22"/>
          <w:szCs w:val="22"/>
        </w:rPr>
        <w:t>Musa, M.K., 2023. </w:t>
      </w:r>
      <w:r w:rsidRPr="00797864">
        <w:rPr>
          <w:rFonts w:ascii="Arial" w:hAnsi="Arial" w:cs="Arial"/>
          <w:i/>
          <w:iCs/>
          <w:sz w:val="22"/>
          <w:szCs w:val="22"/>
        </w:rPr>
        <w:t>Improving fecal continence among care home residents living with dementia: developing an intervention and conducting a feasibility study</w:t>
      </w:r>
      <w:r w:rsidRPr="00797864">
        <w:rPr>
          <w:rFonts w:ascii="Arial" w:hAnsi="Arial" w:cs="Arial"/>
          <w:sz w:val="22"/>
          <w:szCs w:val="22"/>
        </w:rPr>
        <w:t xml:space="preserve"> (Doctoral dissertation, King's College London). </w:t>
      </w:r>
      <w:hyperlink r:id="rId32" w:tgtFrame="_blank" w:history="1">
        <w:r w:rsidRPr="00797864">
          <w:rPr>
            <w:rStyle w:val="Hyperlink"/>
            <w:rFonts w:ascii="Arial" w:hAnsi="Arial" w:cs="Arial"/>
            <w:sz w:val="22"/>
            <w:szCs w:val="22"/>
          </w:rPr>
          <w:t>https://core.ac.uk/download/pdf/587002276.pdf</w:t>
        </w:r>
      </w:hyperlink>
    </w:p>
    <w:p w14:paraId="5305516F" w14:textId="77777777" w:rsidR="007D7592" w:rsidRPr="00797864" w:rsidRDefault="007D7592" w:rsidP="007D7592">
      <w:pPr>
        <w:spacing w:before="240" w:line="360" w:lineRule="auto"/>
        <w:ind w:left="720" w:hanging="720"/>
        <w:rPr>
          <w:rFonts w:ascii="Arial" w:hAnsi="Arial" w:cs="Arial"/>
          <w:sz w:val="22"/>
          <w:szCs w:val="22"/>
        </w:rPr>
      </w:pPr>
      <w:proofErr w:type="spellStart"/>
      <w:r w:rsidRPr="00797864">
        <w:rPr>
          <w:rFonts w:ascii="Arial" w:hAnsi="Arial" w:cs="Arial"/>
          <w:sz w:val="22"/>
          <w:szCs w:val="22"/>
        </w:rPr>
        <w:t>Nocivelli</w:t>
      </w:r>
      <w:proofErr w:type="spellEnd"/>
      <w:r w:rsidRPr="00797864">
        <w:rPr>
          <w:rFonts w:ascii="Arial" w:hAnsi="Arial" w:cs="Arial"/>
          <w:sz w:val="22"/>
          <w:szCs w:val="22"/>
        </w:rPr>
        <w:t>, B., Shepherd, V., Hood, K., Wallace, C., and Wood, F., 2023. Identifying barriers and facilitators to the inclusion of older adults living in UK care homes in research: a scoping review.</w:t>
      </w:r>
      <w:r>
        <w:rPr>
          <w:rFonts w:ascii="Arial" w:hAnsi="Arial" w:cs="Arial"/>
          <w:sz w:val="22"/>
          <w:szCs w:val="22"/>
        </w:rPr>
        <w:t xml:space="preserve"> </w:t>
      </w:r>
      <w:r w:rsidRPr="00797864">
        <w:rPr>
          <w:rFonts w:ascii="Arial" w:hAnsi="Arial" w:cs="Arial"/>
          <w:sz w:val="22"/>
          <w:szCs w:val="22"/>
        </w:rPr>
        <w:t> </w:t>
      </w:r>
      <w:r w:rsidRPr="00797864">
        <w:rPr>
          <w:rFonts w:ascii="Arial" w:hAnsi="Arial" w:cs="Arial"/>
          <w:i/>
          <w:iCs/>
          <w:sz w:val="22"/>
          <w:szCs w:val="22"/>
        </w:rPr>
        <w:t>BMC geriatrics</w:t>
      </w:r>
      <w:r w:rsidRPr="00797864">
        <w:rPr>
          <w:rFonts w:ascii="Arial" w:hAnsi="Arial" w:cs="Arial"/>
          <w:sz w:val="22"/>
          <w:szCs w:val="22"/>
        </w:rPr>
        <w:t>, </w:t>
      </w:r>
      <w:r w:rsidRPr="00797864">
        <w:rPr>
          <w:rFonts w:ascii="Arial" w:hAnsi="Arial" w:cs="Arial"/>
          <w:i/>
          <w:iCs/>
          <w:sz w:val="22"/>
          <w:szCs w:val="22"/>
        </w:rPr>
        <w:t>23</w:t>
      </w:r>
      <w:r w:rsidRPr="00797864">
        <w:rPr>
          <w:rFonts w:ascii="Arial" w:hAnsi="Arial" w:cs="Arial"/>
          <w:sz w:val="22"/>
          <w:szCs w:val="22"/>
        </w:rPr>
        <w:t xml:space="preserve">(1), p.446. </w:t>
      </w:r>
      <w:hyperlink r:id="rId33" w:tgtFrame="_blank" w:history="1">
        <w:r w:rsidRPr="00797864">
          <w:rPr>
            <w:rStyle w:val="Hyperlink"/>
            <w:rFonts w:ascii="Arial" w:hAnsi="Arial" w:cs="Arial"/>
            <w:sz w:val="22"/>
            <w:szCs w:val="22"/>
          </w:rPr>
          <w:t>https://link.springer.com/article/10.1186/s12877-023-04126-3</w:t>
        </w:r>
      </w:hyperlink>
    </w:p>
    <w:p w14:paraId="0E11E352" w14:textId="77777777" w:rsidR="007D7592" w:rsidRPr="00797864" w:rsidRDefault="007D7592" w:rsidP="007D7592">
      <w:pPr>
        <w:spacing w:before="240" w:line="360" w:lineRule="auto"/>
        <w:ind w:left="720" w:hanging="720"/>
        <w:rPr>
          <w:rFonts w:ascii="Arial" w:hAnsi="Arial" w:cs="Arial"/>
          <w:sz w:val="22"/>
          <w:szCs w:val="22"/>
        </w:rPr>
      </w:pPr>
      <w:r w:rsidRPr="00797864">
        <w:rPr>
          <w:rFonts w:ascii="Arial" w:hAnsi="Arial" w:cs="Arial"/>
          <w:sz w:val="22"/>
          <w:szCs w:val="22"/>
        </w:rPr>
        <w:lastRenderedPageBreak/>
        <w:t xml:space="preserve">Noreen, A., Fatima, N., </w:t>
      </w:r>
      <w:proofErr w:type="spellStart"/>
      <w:r w:rsidRPr="00797864">
        <w:rPr>
          <w:rFonts w:ascii="Arial" w:hAnsi="Arial" w:cs="Arial"/>
          <w:sz w:val="22"/>
          <w:szCs w:val="22"/>
        </w:rPr>
        <w:t>Arshed</w:t>
      </w:r>
      <w:proofErr w:type="spellEnd"/>
      <w:r w:rsidRPr="00797864">
        <w:rPr>
          <w:rFonts w:ascii="Arial" w:hAnsi="Arial" w:cs="Arial"/>
          <w:sz w:val="22"/>
          <w:szCs w:val="22"/>
        </w:rPr>
        <w:t xml:space="preserve">, A., Ali, F., Elahi, A., and Khan, N.U., 2025. Pressure Ulcer Prevention: Examine Best Practices for Managing Pressure Ulcers in Immobile Patients and Evaluate the Efficacy of Prevention Strategies.  </w:t>
      </w:r>
      <w:r w:rsidRPr="00797864">
        <w:rPr>
          <w:rFonts w:ascii="Arial" w:hAnsi="Arial" w:cs="Arial"/>
          <w:i/>
          <w:iCs/>
          <w:sz w:val="22"/>
          <w:szCs w:val="22"/>
        </w:rPr>
        <w:t>Indus Journal of Bioscience Research</w:t>
      </w:r>
      <w:r w:rsidRPr="00797864">
        <w:rPr>
          <w:rFonts w:ascii="Arial" w:hAnsi="Arial" w:cs="Arial"/>
          <w:sz w:val="22"/>
          <w:szCs w:val="22"/>
        </w:rPr>
        <w:t>, </w:t>
      </w:r>
      <w:r w:rsidRPr="00880AA2">
        <w:rPr>
          <w:rFonts w:ascii="Arial" w:hAnsi="Arial" w:cs="Arial"/>
          <w:i/>
          <w:iCs/>
          <w:sz w:val="22"/>
          <w:szCs w:val="22"/>
        </w:rPr>
        <w:t>3</w:t>
      </w:r>
      <w:r w:rsidRPr="00880AA2">
        <w:rPr>
          <w:rFonts w:ascii="Arial" w:hAnsi="Arial" w:cs="Arial"/>
          <w:sz w:val="22"/>
          <w:szCs w:val="22"/>
        </w:rPr>
        <w:t>(4), pp. 471-478.</w:t>
      </w:r>
      <w:r>
        <w:rPr>
          <w:rFonts w:ascii="Arial" w:hAnsi="Arial" w:cs="Arial"/>
          <w:sz w:val="22"/>
          <w:szCs w:val="22"/>
        </w:rPr>
        <w:t xml:space="preserve"> </w:t>
      </w:r>
      <w:hyperlink r:id="rId34" w:tgtFrame="_blank" w:history="1">
        <w:r w:rsidRPr="00797864">
          <w:rPr>
            <w:rStyle w:val="Hyperlink"/>
            <w:rFonts w:ascii="Arial" w:hAnsi="Arial" w:cs="Arial"/>
            <w:sz w:val="22"/>
            <w:szCs w:val="22"/>
          </w:rPr>
          <w:t>https://www.researchgate.net/publication/391140075_Pressure_Ulcer_Prevention_Examine_Best_Practices_for_Managing_Pressure_Ulcers_in_Immobile_Patients_and_Evaluate_the_Efficacy_of_Prevention_Strategies</w:t>
        </w:r>
      </w:hyperlink>
    </w:p>
    <w:p w14:paraId="5F4A8C04" w14:textId="77777777" w:rsidR="007D7592" w:rsidRPr="00797864" w:rsidRDefault="007D7592" w:rsidP="007D7592">
      <w:pPr>
        <w:spacing w:before="240" w:line="360" w:lineRule="auto"/>
        <w:ind w:left="720" w:hanging="720"/>
        <w:rPr>
          <w:rFonts w:ascii="Arial" w:hAnsi="Arial" w:cs="Arial"/>
          <w:sz w:val="22"/>
          <w:szCs w:val="22"/>
        </w:rPr>
      </w:pPr>
      <w:r w:rsidRPr="00797864">
        <w:rPr>
          <w:rFonts w:ascii="Arial" w:hAnsi="Arial" w:cs="Arial"/>
          <w:sz w:val="22"/>
          <w:szCs w:val="22"/>
        </w:rPr>
        <w:t xml:space="preserve">Plys, E., and Levy, C., 2022. Depression within the first year of relocation to residential care/assisted living: Where you come from matters.  </w:t>
      </w:r>
      <w:r w:rsidRPr="00797864">
        <w:rPr>
          <w:rFonts w:ascii="Arial" w:hAnsi="Arial" w:cs="Arial"/>
          <w:i/>
          <w:iCs/>
          <w:sz w:val="22"/>
          <w:szCs w:val="22"/>
        </w:rPr>
        <w:t>Journal of Applied Gerontology</w:t>
      </w:r>
      <w:r w:rsidRPr="00797864">
        <w:rPr>
          <w:rFonts w:ascii="Arial" w:hAnsi="Arial" w:cs="Arial"/>
          <w:sz w:val="22"/>
          <w:szCs w:val="22"/>
        </w:rPr>
        <w:t>, </w:t>
      </w:r>
      <w:r w:rsidRPr="00797864">
        <w:rPr>
          <w:rFonts w:ascii="Arial" w:hAnsi="Arial" w:cs="Arial"/>
          <w:i/>
          <w:iCs/>
          <w:sz w:val="22"/>
          <w:szCs w:val="22"/>
        </w:rPr>
        <w:t>41</w:t>
      </w:r>
      <w:r w:rsidRPr="00797864">
        <w:rPr>
          <w:rFonts w:ascii="Arial" w:hAnsi="Arial" w:cs="Arial"/>
          <w:sz w:val="22"/>
          <w:szCs w:val="22"/>
        </w:rPr>
        <w:t xml:space="preserve">(12), pp. 2532-2541. </w:t>
      </w:r>
      <w:hyperlink r:id="rId35" w:tgtFrame="_blank" w:history="1">
        <w:r w:rsidRPr="00797864">
          <w:rPr>
            <w:rStyle w:val="Hyperlink"/>
            <w:rFonts w:ascii="Arial" w:hAnsi="Arial" w:cs="Arial"/>
            <w:sz w:val="22"/>
            <w:szCs w:val="22"/>
          </w:rPr>
          <w:t>https://doi.org/10.1177/07334648221117524</w:t>
        </w:r>
      </w:hyperlink>
    </w:p>
    <w:p w14:paraId="49EA5D61" w14:textId="77777777" w:rsidR="007D7592" w:rsidRPr="00797864" w:rsidRDefault="007D7592" w:rsidP="007D7592">
      <w:pPr>
        <w:spacing w:before="240" w:line="360" w:lineRule="auto"/>
        <w:ind w:left="720" w:hanging="720"/>
        <w:rPr>
          <w:rFonts w:ascii="Arial" w:hAnsi="Arial" w:cs="Arial"/>
          <w:sz w:val="22"/>
          <w:szCs w:val="22"/>
        </w:rPr>
      </w:pPr>
      <w:r w:rsidRPr="00797864">
        <w:rPr>
          <w:rFonts w:ascii="Arial" w:hAnsi="Arial" w:cs="Arial"/>
          <w:sz w:val="22"/>
          <w:szCs w:val="22"/>
        </w:rPr>
        <w:t>Prieto, J., Wilson, J., Tingle, A., Cooper, E., Handley, M., Rycroft Malone, J., Bostock, J., &amp; Loveday, H. (2025). Preventing urinary tract infection in older people living in care homes: the '</w:t>
      </w:r>
      <w:proofErr w:type="spellStart"/>
      <w:r w:rsidRPr="00797864">
        <w:rPr>
          <w:rFonts w:ascii="Arial" w:hAnsi="Arial" w:cs="Arial"/>
          <w:sz w:val="22"/>
          <w:szCs w:val="22"/>
        </w:rPr>
        <w:t>StOP</w:t>
      </w:r>
      <w:proofErr w:type="spellEnd"/>
      <w:r w:rsidRPr="00797864">
        <w:rPr>
          <w:rFonts w:ascii="Arial" w:hAnsi="Arial" w:cs="Arial"/>
          <w:sz w:val="22"/>
          <w:szCs w:val="22"/>
        </w:rPr>
        <w:t xml:space="preserve"> UTI' realist synthesis.  </w:t>
      </w:r>
      <w:r w:rsidRPr="00797864">
        <w:rPr>
          <w:rFonts w:ascii="Arial" w:hAnsi="Arial" w:cs="Arial"/>
          <w:i/>
          <w:iCs/>
          <w:sz w:val="22"/>
          <w:szCs w:val="22"/>
        </w:rPr>
        <w:t>BMJ quality &amp; safety</w:t>
      </w:r>
      <w:r w:rsidRPr="00797864">
        <w:rPr>
          <w:rFonts w:ascii="Arial" w:hAnsi="Arial" w:cs="Arial"/>
          <w:sz w:val="22"/>
          <w:szCs w:val="22"/>
        </w:rPr>
        <w:t>, </w:t>
      </w:r>
      <w:r w:rsidRPr="00797864">
        <w:rPr>
          <w:rFonts w:ascii="Arial" w:hAnsi="Arial" w:cs="Arial"/>
          <w:i/>
          <w:iCs/>
          <w:sz w:val="22"/>
          <w:szCs w:val="22"/>
        </w:rPr>
        <w:t>34</w:t>
      </w:r>
      <w:r w:rsidRPr="00797864">
        <w:rPr>
          <w:rFonts w:ascii="Arial" w:hAnsi="Arial" w:cs="Arial"/>
          <w:sz w:val="22"/>
          <w:szCs w:val="22"/>
        </w:rPr>
        <w:t xml:space="preserve">(3), 178–189. </w:t>
      </w:r>
      <w:hyperlink r:id="rId36" w:tgtFrame="_blank" w:history="1">
        <w:r w:rsidRPr="00797864">
          <w:rPr>
            <w:rStyle w:val="Hyperlink"/>
            <w:rFonts w:ascii="Arial" w:hAnsi="Arial" w:cs="Arial"/>
            <w:sz w:val="22"/>
            <w:szCs w:val="22"/>
          </w:rPr>
          <w:t>https://doi.org/10.1136/bmjqs-2023-016967</w:t>
        </w:r>
      </w:hyperlink>
    </w:p>
    <w:p w14:paraId="3F0D299B" w14:textId="77777777" w:rsidR="007D7592" w:rsidRPr="00797864" w:rsidRDefault="007D7592" w:rsidP="007D7592">
      <w:pPr>
        <w:spacing w:before="240" w:line="360" w:lineRule="auto"/>
        <w:ind w:left="720" w:hanging="720"/>
        <w:rPr>
          <w:rFonts w:ascii="Arial" w:hAnsi="Arial" w:cs="Arial"/>
          <w:sz w:val="22"/>
          <w:szCs w:val="22"/>
        </w:rPr>
      </w:pPr>
      <w:r w:rsidRPr="00797864">
        <w:rPr>
          <w:rFonts w:ascii="Arial" w:hAnsi="Arial" w:cs="Arial"/>
          <w:sz w:val="22"/>
          <w:szCs w:val="22"/>
        </w:rPr>
        <w:t xml:space="preserve">Schmidt, S., Neumann, A., Muller, J., Schweitzer, A., </w:t>
      </w:r>
      <w:proofErr w:type="spellStart"/>
      <w:r w:rsidRPr="00797864">
        <w:rPr>
          <w:rFonts w:ascii="Arial" w:hAnsi="Arial" w:cs="Arial"/>
          <w:sz w:val="22"/>
          <w:szCs w:val="22"/>
        </w:rPr>
        <w:t>Gölly</w:t>
      </w:r>
      <w:proofErr w:type="spellEnd"/>
      <w:r w:rsidRPr="00797864">
        <w:rPr>
          <w:rFonts w:ascii="Arial" w:hAnsi="Arial" w:cs="Arial"/>
          <w:sz w:val="22"/>
          <w:szCs w:val="22"/>
        </w:rPr>
        <w:t>, K.I., and Brandl, J., 2023. Digital assistance systems in the field of incontinence care for individuals in need of long-term care (EASY): study protocol of a stratified randomized controlled trial. </w:t>
      </w:r>
      <w:r w:rsidRPr="00797864">
        <w:rPr>
          <w:rFonts w:ascii="Arial" w:hAnsi="Arial" w:cs="Arial"/>
          <w:i/>
          <w:iCs/>
          <w:sz w:val="22"/>
          <w:szCs w:val="22"/>
        </w:rPr>
        <w:t>BMC geriatrics</w:t>
      </w:r>
      <w:r w:rsidRPr="00797864">
        <w:rPr>
          <w:rFonts w:ascii="Arial" w:hAnsi="Arial" w:cs="Arial"/>
          <w:sz w:val="22"/>
          <w:szCs w:val="22"/>
        </w:rPr>
        <w:t>, </w:t>
      </w:r>
      <w:r w:rsidRPr="00797864">
        <w:rPr>
          <w:rFonts w:ascii="Arial" w:hAnsi="Arial" w:cs="Arial"/>
          <w:i/>
          <w:iCs/>
          <w:sz w:val="22"/>
          <w:szCs w:val="22"/>
        </w:rPr>
        <w:t>23</w:t>
      </w:r>
      <w:r w:rsidRPr="00797864">
        <w:rPr>
          <w:rFonts w:ascii="Arial" w:hAnsi="Arial" w:cs="Arial"/>
          <w:sz w:val="22"/>
          <w:szCs w:val="22"/>
        </w:rPr>
        <w:t xml:space="preserve">(1), p.409. </w:t>
      </w:r>
      <w:hyperlink r:id="rId37" w:tgtFrame="_blank" w:history="1">
        <w:r w:rsidRPr="00797864">
          <w:rPr>
            <w:rStyle w:val="Hyperlink"/>
            <w:rFonts w:ascii="Arial" w:hAnsi="Arial" w:cs="Arial"/>
            <w:sz w:val="22"/>
            <w:szCs w:val="22"/>
          </w:rPr>
          <w:t>https://link.springer.com/article/10.1186/s12877-023-04135-2</w:t>
        </w:r>
      </w:hyperlink>
    </w:p>
    <w:p w14:paraId="7701F134" w14:textId="77777777" w:rsidR="007D7592" w:rsidRPr="00797864" w:rsidRDefault="007D7592" w:rsidP="007D7592">
      <w:pPr>
        <w:spacing w:before="240" w:line="360" w:lineRule="auto"/>
        <w:ind w:left="720" w:hanging="720"/>
        <w:rPr>
          <w:rFonts w:ascii="Arial" w:hAnsi="Arial" w:cs="Arial"/>
          <w:sz w:val="22"/>
          <w:szCs w:val="22"/>
        </w:rPr>
      </w:pPr>
      <w:proofErr w:type="spellStart"/>
      <w:r w:rsidRPr="00797864">
        <w:rPr>
          <w:rFonts w:ascii="Arial" w:hAnsi="Arial" w:cs="Arial"/>
          <w:sz w:val="22"/>
          <w:szCs w:val="22"/>
        </w:rPr>
        <w:t>Sedlackova</w:t>
      </w:r>
      <w:proofErr w:type="spellEnd"/>
      <w:r w:rsidRPr="00797864">
        <w:rPr>
          <w:rFonts w:ascii="Arial" w:hAnsi="Arial" w:cs="Arial"/>
          <w:sz w:val="22"/>
          <w:szCs w:val="22"/>
        </w:rPr>
        <w:t xml:space="preserve">, K.B., Bartova, A., and </w:t>
      </w:r>
      <w:proofErr w:type="spellStart"/>
      <w:r w:rsidRPr="00797864">
        <w:rPr>
          <w:rFonts w:ascii="Arial" w:hAnsi="Arial" w:cs="Arial"/>
          <w:sz w:val="22"/>
          <w:szCs w:val="22"/>
        </w:rPr>
        <w:t>Holmerova</w:t>
      </w:r>
      <w:proofErr w:type="spellEnd"/>
      <w:r w:rsidRPr="00797864">
        <w:rPr>
          <w:rFonts w:ascii="Arial" w:hAnsi="Arial" w:cs="Arial"/>
          <w:sz w:val="22"/>
          <w:szCs w:val="22"/>
        </w:rPr>
        <w:t xml:space="preserve">, I., 2024. Feeling Lonely, Isolated, and Depressed. Older Adults’ Feelings in Long-term </w:t>
      </w:r>
      <w:r>
        <w:rPr>
          <w:rFonts w:ascii="Arial" w:hAnsi="Arial" w:cs="Arial"/>
          <w:sz w:val="22"/>
          <w:szCs w:val="22"/>
        </w:rPr>
        <w:t>Care</w:t>
      </w:r>
      <w:r w:rsidRPr="00797864">
        <w:rPr>
          <w:rFonts w:ascii="Arial" w:hAnsi="Arial" w:cs="Arial"/>
          <w:sz w:val="22"/>
          <w:szCs w:val="22"/>
        </w:rPr>
        <w:t xml:space="preserve"> Facilities: A Scoping Review.  </w:t>
      </w:r>
      <w:r w:rsidRPr="00797864">
        <w:rPr>
          <w:rFonts w:ascii="Arial" w:hAnsi="Arial" w:cs="Arial"/>
          <w:i/>
          <w:iCs/>
          <w:sz w:val="22"/>
          <w:szCs w:val="22"/>
        </w:rPr>
        <w:t>Journal of Population Ageing</w:t>
      </w:r>
      <w:r w:rsidRPr="00797864">
        <w:rPr>
          <w:rFonts w:ascii="Arial" w:hAnsi="Arial" w:cs="Arial"/>
          <w:sz w:val="22"/>
          <w:szCs w:val="22"/>
        </w:rPr>
        <w:t>, </w:t>
      </w:r>
      <w:r w:rsidRPr="00797864">
        <w:rPr>
          <w:rFonts w:ascii="Arial" w:hAnsi="Arial" w:cs="Arial"/>
          <w:i/>
          <w:iCs/>
          <w:sz w:val="22"/>
          <w:szCs w:val="22"/>
        </w:rPr>
        <w:t>17</w:t>
      </w:r>
      <w:r w:rsidRPr="00797864">
        <w:rPr>
          <w:rFonts w:ascii="Arial" w:hAnsi="Arial" w:cs="Arial"/>
          <w:sz w:val="22"/>
          <w:szCs w:val="22"/>
        </w:rPr>
        <w:t xml:space="preserve">(4), pp. 861-914. </w:t>
      </w:r>
      <w:hyperlink r:id="rId38" w:tgtFrame="_blank" w:history="1">
        <w:r w:rsidRPr="00797864">
          <w:rPr>
            <w:rStyle w:val="Hyperlink"/>
            <w:rFonts w:ascii="Arial" w:hAnsi="Arial" w:cs="Arial"/>
            <w:sz w:val="22"/>
            <w:szCs w:val="22"/>
          </w:rPr>
          <w:t>https://link.springer.com/article/10.1007/s12062-024-09463-8</w:t>
        </w:r>
      </w:hyperlink>
    </w:p>
    <w:p w14:paraId="208F4630" w14:textId="77777777" w:rsidR="007D7592" w:rsidRPr="00797864" w:rsidRDefault="007D7592" w:rsidP="007D7592">
      <w:pPr>
        <w:spacing w:before="240" w:line="360" w:lineRule="auto"/>
        <w:ind w:left="720" w:hanging="720"/>
        <w:rPr>
          <w:rFonts w:ascii="Arial" w:hAnsi="Arial" w:cs="Arial"/>
          <w:sz w:val="22"/>
          <w:szCs w:val="22"/>
        </w:rPr>
      </w:pPr>
      <w:r w:rsidRPr="00797864">
        <w:rPr>
          <w:rFonts w:ascii="Arial" w:hAnsi="Arial" w:cs="Arial"/>
          <w:sz w:val="22"/>
          <w:szCs w:val="22"/>
        </w:rPr>
        <w:t xml:space="preserve">Spilsbury, K., Charlwood, A., Thompson, C., Haunch, K., </w:t>
      </w:r>
      <w:proofErr w:type="spellStart"/>
      <w:r w:rsidRPr="00797864">
        <w:rPr>
          <w:rFonts w:ascii="Arial" w:hAnsi="Arial" w:cs="Arial"/>
          <w:sz w:val="22"/>
          <w:szCs w:val="22"/>
        </w:rPr>
        <w:t>Valizade</w:t>
      </w:r>
      <w:proofErr w:type="spellEnd"/>
      <w:r w:rsidRPr="00797864">
        <w:rPr>
          <w:rFonts w:ascii="Arial" w:hAnsi="Arial" w:cs="Arial"/>
          <w:sz w:val="22"/>
          <w:szCs w:val="22"/>
        </w:rPr>
        <w:t xml:space="preserve">, D., Devi, R., Jackson, C., Alldred, D.P., Alldred, D., Arthur, A., and Brown, L., 2024. Relationship between staff and quality of care in care homes: The StaRQ mixed methods study.  </w:t>
      </w:r>
      <w:r w:rsidRPr="00797864">
        <w:rPr>
          <w:rFonts w:ascii="Arial" w:hAnsi="Arial" w:cs="Arial"/>
          <w:i/>
          <w:iCs/>
          <w:sz w:val="22"/>
          <w:szCs w:val="22"/>
        </w:rPr>
        <w:t>Health and social care delivery research</w:t>
      </w:r>
      <w:r w:rsidRPr="00797864">
        <w:rPr>
          <w:rFonts w:ascii="Arial" w:hAnsi="Arial" w:cs="Arial"/>
          <w:sz w:val="22"/>
          <w:szCs w:val="22"/>
        </w:rPr>
        <w:t>, </w:t>
      </w:r>
      <w:r w:rsidRPr="00797864">
        <w:rPr>
          <w:rFonts w:ascii="Arial" w:hAnsi="Arial" w:cs="Arial"/>
          <w:i/>
          <w:iCs/>
          <w:sz w:val="22"/>
          <w:szCs w:val="22"/>
        </w:rPr>
        <w:t>12</w:t>
      </w:r>
      <w:r w:rsidRPr="00797864">
        <w:rPr>
          <w:rFonts w:ascii="Arial" w:hAnsi="Arial" w:cs="Arial"/>
          <w:sz w:val="22"/>
          <w:szCs w:val="22"/>
        </w:rPr>
        <w:t xml:space="preserve">(8), pp.1-139. </w:t>
      </w:r>
      <w:hyperlink r:id="rId39" w:tgtFrame="_blank" w:history="1">
        <w:r w:rsidRPr="00797864">
          <w:rPr>
            <w:rStyle w:val="Hyperlink"/>
            <w:rFonts w:ascii="Arial" w:hAnsi="Arial" w:cs="Arial"/>
            <w:sz w:val="22"/>
            <w:szCs w:val="22"/>
          </w:rPr>
          <w:t>https://doi.org/10.3310/GWTT8143</w:t>
        </w:r>
      </w:hyperlink>
    </w:p>
    <w:p w14:paraId="3384614D" w14:textId="77777777" w:rsidR="007D7592" w:rsidRPr="00797864" w:rsidRDefault="007D7592" w:rsidP="007D7592">
      <w:pPr>
        <w:spacing w:before="240" w:line="360" w:lineRule="auto"/>
        <w:ind w:left="720" w:hanging="720"/>
        <w:rPr>
          <w:rFonts w:ascii="Arial" w:hAnsi="Arial" w:cs="Arial"/>
          <w:sz w:val="22"/>
          <w:szCs w:val="22"/>
        </w:rPr>
      </w:pPr>
      <w:r w:rsidRPr="00797864">
        <w:rPr>
          <w:rFonts w:ascii="Arial" w:hAnsi="Arial" w:cs="Arial"/>
          <w:sz w:val="22"/>
          <w:szCs w:val="22"/>
        </w:rPr>
        <w:t xml:space="preserve">St Clair, B., Jorgensen, M., Nguyen, A., and Georgiou, A., 2022. A scoping review of adverse incident research in aged care homes: Learnings, gaps, and challenges.  </w:t>
      </w:r>
      <w:r w:rsidRPr="00797864">
        <w:rPr>
          <w:rFonts w:ascii="Arial" w:hAnsi="Arial" w:cs="Arial"/>
          <w:i/>
          <w:iCs/>
          <w:sz w:val="22"/>
          <w:szCs w:val="22"/>
        </w:rPr>
        <w:t>Gerontology and Geriatric Medicine</w:t>
      </w:r>
      <w:r w:rsidRPr="00797864">
        <w:rPr>
          <w:rFonts w:ascii="Arial" w:hAnsi="Arial" w:cs="Arial"/>
          <w:sz w:val="22"/>
          <w:szCs w:val="22"/>
        </w:rPr>
        <w:t>, </w:t>
      </w:r>
      <w:r w:rsidRPr="00797864">
        <w:rPr>
          <w:rFonts w:ascii="Arial" w:hAnsi="Arial" w:cs="Arial"/>
          <w:i/>
          <w:iCs/>
          <w:sz w:val="22"/>
          <w:szCs w:val="22"/>
        </w:rPr>
        <w:t>8</w:t>
      </w:r>
      <w:r w:rsidRPr="00797864">
        <w:rPr>
          <w:rFonts w:ascii="Arial" w:hAnsi="Arial" w:cs="Arial"/>
          <w:sz w:val="22"/>
          <w:szCs w:val="22"/>
        </w:rPr>
        <w:t xml:space="preserve">, p.23337214221144192. </w:t>
      </w:r>
      <w:hyperlink r:id="rId40" w:tgtFrame="_blank" w:history="1">
        <w:r w:rsidRPr="00797864">
          <w:rPr>
            <w:rStyle w:val="Hyperlink"/>
            <w:rFonts w:ascii="Arial" w:hAnsi="Arial" w:cs="Arial"/>
            <w:sz w:val="22"/>
            <w:szCs w:val="22"/>
          </w:rPr>
          <w:t>https://doi.org/10.1177/23337214221144192</w:t>
        </w:r>
      </w:hyperlink>
    </w:p>
    <w:p w14:paraId="789593D9" w14:textId="77777777" w:rsidR="007D7592" w:rsidRPr="00797864" w:rsidRDefault="007D7592" w:rsidP="007D7592">
      <w:pPr>
        <w:spacing w:before="240" w:line="360" w:lineRule="auto"/>
        <w:ind w:left="720" w:hanging="720"/>
        <w:rPr>
          <w:rFonts w:ascii="Arial" w:hAnsi="Arial" w:cs="Arial"/>
          <w:sz w:val="22"/>
          <w:szCs w:val="22"/>
        </w:rPr>
      </w:pPr>
      <w:r w:rsidRPr="00797864">
        <w:rPr>
          <w:rFonts w:ascii="Arial" w:hAnsi="Arial" w:cs="Arial"/>
          <w:sz w:val="22"/>
          <w:szCs w:val="22"/>
        </w:rPr>
        <w:lastRenderedPageBreak/>
        <w:t xml:space="preserve">Strandell, R., 2023. ‘It's always a battle against time.’ Experiencing and handling temporal conditions in homecare work.  </w:t>
      </w:r>
      <w:r w:rsidRPr="00797864">
        <w:rPr>
          <w:rFonts w:ascii="Arial" w:hAnsi="Arial" w:cs="Arial"/>
          <w:i/>
          <w:iCs/>
          <w:sz w:val="22"/>
          <w:szCs w:val="22"/>
        </w:rPr>
        <w:t>International Journal of Social Welfare</w:t>
      </w:r>
      <w:r w:rsidRPr="00797864">
        <w:rPr>
          <w:rFonts w:ascii="Arial" w:hAnsi="Arial" w:cs="Arial"/>
          <w:sz w:val="22"/>
          <w:szCs w:val="22"/>
        </w:rPr>
        <w:t>, </w:t>
      </w:r>
      <w:r w:rsidRPr="00797864">
        <w:rPr>
          <w:rFonts w:ascii="Arial" w:hAnsi="Arial" w:cs="Arial"/>
          <w:i/>
          <w:iCs/>
          <w:sz w:val="22"/>
          <w:szCs w:val="22"/>
        </w:rPr>
        <w:t>32</w:t>
      </w:r>
      <w:r w:rsidRPr="00797864">
        <w:rPr>
          <w:rFonts w:ascii="Arial" w:hAnsi="Arial" w:cs="Arial"/>
          <w:sz w:val="22"/>
          <w:szCs w:val="22"/>
        </w:rPr>
        <w:t xml:space="preserve">(2), pp. 207-220. </w:t>
      </w:r>
      <w:hyperlink r:id="rId41" w:tgtFrame="_blank" w:history="1">
        <w:r w:rsidRPr="00797864">
          <w:rPr>
            <w:rStyle w:val="Hyperlink"/>
            <w:rFonts w:ascii="Arial" w:hAnsi="Arial" w:cs="Arial"/>
            <w:sz w:val="22"/>
            <w:szCs w:val="22"/>
          </w:rPr>
          <w:t>https://doi.org/10.1111/ijsw.12559</w:t>
        </w:r>
      </w:hyperlink>
    </w:p>
    <w:p w14:paraId="1D55D39C" w14:textId="77777777" w:rsidR="007D7592" w:rsidRPr="00797864" w:rsidRDefault="007D7592" w:rsidP="007D7592">
      <w:pPr>
        <w:spacing w:before="240" w:line="360" w:lineRule="auto"/>
        <w:ind w:left="720" w:hanging="720"/>
        <w:rPr>
          <w:rFonts w:ascii="Arial" w:hAnsi="Arial" w:cs="Arial"/>
          <w:sz w:val="22"/>
          <w:szCs w:val="22"/>
        </w:rPr>
      </w:pPr>
      <w:proofErr w:type="spellStart"/>
      <w:r w:rsidRPr="00797864">
        <w:rPr>
          <w:rFonts w:ascii="Arial" w:hAnsi="Arial" w:cs="Arial"/>
          <w:sz w:val="22"/>
          <w:szCs w:val="22"/>
        </w:rPr>
        <w:t>Straughair</w:t>
      </w:r>
      <w:proofErr w:type="spellEnd"/>
      <w:r w:rsidRPr="00797864">
        <w:rPr>
          <w:rFonts w:ascii="Arial" w:hAnsi="Arial" w:cs="Arial"/>
          <w:sz w:val="22"/>
          <w:szCs w:val="22"/>
        </w:rPr>
        <w:t xml:space="preserve">, C., Hodgson, P., Gates, J., Johnson, A., Pryor, C., and Cook, G., 2025. Developing and testing a competency framework to enhance hydration care for older people in care homes.  </w:t>
      </w:r>
      <w:r w:rsidRPr="00797864">
        <w:rPr>
          <w:rFonts w:ascii="Arial" w:hAnsi="Arial" w:cs="Arial"/>
          <w:i/>
          <w:iCs/>
          <w:sz w:val="22"/>
          <w:szCs w:val="22"/>
        </w:rPr>
        <w:t>Working with Older People</w:t>
      </w:r>
      <w:r w:rsidRPr="00797864">
        <w:rPr>
          <w:rFonts w:ascii="Arial" w:hAnsi="Arial" w:cs="Arial"/>
          <w:sz w:val="22"/>
          <w:szCs w:val="22"/>
        </w:rPr>
        <w:t xml:space="preserve">. </w:t>
      </w:r>
      <w:hyperlink r:id="rId42" w:tgtFrame="_blank" w:history="1">
        <w:r w:rsidRPr="00797864">
          <w:rPr>
            <w:rStyle w:val="Hyperlink"/>
            <w:rFonts w:ascii="Arial" w:hAnsi="Arial" w:cs="Arial"/>
            <w:sz w:val="22"/>
            <w:szCs w:val="22"/>
          </w:rPr>
          <w:t>https://www.emerald.com/insight/content/doi/10.1108/wwop-11-2024-0077/full/html</w:t>
        </w:r>
      </w:hyperlink>
    </w:p>
    <w:p w14:paraId="00A3D12E" w14:textId="77777777" w:rsidR="007D7592" w:rsidRPr="00797864" w:rsidRDefault="007D7592" w:rsidP="007D7592">
      <w:pPr>
        <w:spacing w:before="240" w:line="360" w:lineRule="auto"/>
        <w:ind w:left="720" w:hanging="720"/>
        <w:rPr>
          <w:rFonts w:ascii="Arial" w:hAnsi="Arial" w:cs="Arial"/>
          <w:sz w:val="22"/>
          <w:szCs w:val="22"/>
        </w:rPr>
      </w:pPr>
      <w:r w:rsidRPr="00797864">
        <w:rPr>
          <w:rFonts w:ascii="Arial" w:hAnsi="Arial" w:cs="Arial"/>
          <w:sz w:val="22"/>
          <w:szCs w:val="22"/>
        </w:rPr>
        <w:t xml:space="preserve">Walker, C.C., Kotecha, V., Druckman, A., and Jackson, T.D., 2022. Held to Ransom: What happens when investment firms take over UK care homes. </w:t>
      </w:r>
      <w:hyperlink r:id="rId43" w:tgtFrame="_blank" w:history="1">
        <w:r w:rsidRPr="00797864">
          <w:rPr>
            <w:rStyle w:val="Hyperlink"/>
            <w:rFonts w:ascii="Arial" w:hAnsi="Arial" w:cs="Arial"/>
            <w:sz w:val="22"/>
            <w:szCs w:val="22"/>
          </w:rPr>
          <w:t>https://eu-st01.ext.exlibrisgroup.com/44SUR_INST/upload/1770402710269/UNISON-CUSP%20report%20%28final%29.pdf?Expires=1770402830&amp;Signature=GwCUBdktc8MZ2xxnZMPbvyNw1uJwmn8N~5OsGkn26jTHpWrQKVCVLD2zzIljYYTyH0P~mCmz0YM2~8nZlQN8TO2UAzB4DpuuEgg1DdbDJQhjVz659H~GdHj6nQHu~dgRINUjiUotuxZLnbXvosWik8pHbuk6i~SWrTlAYcj0O6U3xlvx2LSzwY5MVC4sVxBT3k6cxPPh~wpJtOui9LKzIBvswfbqKQYKpw392Pw9ZZI88kV0ZNvYPlYnyLPa1x6JzFrEIyShFtthKemQHQVY74vVPLVbaG8vFmw62RBoDlWBy9ctZ~c7qxfdRCB-G-wxMKVV9qT75-c6uQOrPkD27Q__&amp;Key-Pair-Id=APKAJ72OZCZ36VGVASIA</w:t>
        </w:r>
      </w:hyperlink>
    </w:p>
    <w:p w14:paraId="279C8C75" w14:textId="77777777" w:rsidR="007D7592" w:rsidRPr="00797864" w:rsidRDefault="007D7592" w:rsidP="007D7592">
      <w:pPr>
        <w:spacing w:before="240" w:line="360" w:lineRule="auto"/>
        <w:ind w:left="720" w:hanging="720"/>
        <w:rPr>
          <w:rFonts w:ascii="Arial" w:hAnsi="Arial" w:cs="Arial"/>
          <w:sz w:val="22"/>
          <w:szCs w:val="22"/>
        </w:rPr>
      </w:pPr>
      <w:r w:rsidRPr="00797864">
        <w:rPr>
          <w:rFonts w:ascii="Arial" w:hAnsi="Arial" w:cs="Arial"/>
          <w:sz w:val="22"/>
          <w:szCs w:val="22"/>
        </w:rPr>
        <w:t>Wang, X., Rihari</w:t>
      </w:r>
      <w:r w:rsidRPr="00797864">
        <w:rPr>
          <w:rFonts w:ascii="Cambria Math" w:hAnsi="Cambria Math" w:cs="Cambria Math"/>
          <w:sz w:val="22"/>
          <w:szCs w:val="22"/>
        </w:rPr>
        <w:t>‐</w:t>
      </w:r>
      <w:r w:rsidRPr="00797864">
        <w:rPr>
          <w:rFonts w:ascii="Arial" w:hAnsi="Arial" w:cs="Arial"/>
          <w:sz w:val="22"/>
          <w:szCs w:val="22"/>
        </w:rPr>
        <w:t>Thomas, J., Bail, K., Bala, N., and Traynor, V., 2025. Care quality and safety in long</w:t>
      </w:r>
      <w:r w:rsidRPr="00797864">
        <w:rPr>
          <w:rFonts w:ascii="Cambria Math" w:hAnsi="Cambria Math" w:cs="Cambria Math"/>
          <w:sz w:val="22"/>
          <w:szCs w:val="22"/>
        </w:rPr>
        <w:t>‐</w:t>
      </w:r>
      <w:r w:rsidRPr="00797864">
        <w:rPr>
          <w:rFonts w:ascii="Arial" w:hAnsi="Arial" w:cs="Arial"/>
          <w:sz w:val="22"/>
          <w:szCs w:val="22"/>
        </w:rPr>
        <w:t xml:space="preserve">term aged care settings: A systematic review and narrative analysis of missed care measurements.  </w:t>
      </w:r>
      <w:r w:rsidRPr="00797864">
        <w:rPr>
          <w:rFonts w:ascii="Arial" w:hAnsi="Arial" w:cs="Arial"/>
          <w:i/>
          <w:iCs/>
          <w:sz w:val="22"/>
          <w:szCs w:val="22"/>
        </w:rPr>
        <w:t>Journal of Advanced Nursing</w:t>
      </w:r>
      <w:r w:rsidRPr="00797864">
        <w:rPr>
          <w:rFonts w:ascii="Arial" w:hAnsi="Arial" w:cs="Arial"/>
          <w:sz w:val="22"/>
          <w:szCs w:val="22"/>
        </w:rPr>
        <w:t>, </w:t>
      </w:r>
      <w:r w:rsidRPr="00797864">
        <w:rPr>
          <w:rFonts w:ascii="Arial" w:hAnsi="Arial" w:cs="Arial"/>
          <w:i/>
          <w:iCs/>
          <w:sz w:val="22"/>
          <w:szCs w:val="22"/>
        </w:rPr>
        <w:t>81</w:t>
      </w:r>
      <w:r w:rsidRPr="00797864">
        <w:rPr>
          <w:rFonts w:ascii="Arial" w:hAnsi="Arial" w:cs="Arial"/>
          <w:sz w:val="22"/>
          <w:szCs w:val="22"/>
        </w:rPr>
        <w:t xml:space="preserve">(9), pp. 5264-5290. </w:t>
      </w:r>
      <w:hyperlink r:id="rId44" w:tgtFrame="_blank" w:history="1">
        <w:r w:rsidRPr="00797864">
          <w:rPr>
            <w:rStyle w:val="Hyperlink"/>
            <w:rFonts w:ascii="Arial" w:hAnsi="Arial" w:cs="Arial"/>
            <w:sz w:val="22"/>
            <w:szCs w:val="22"/>
          </w:rPr>
          <w:t>https://doi.org/10.1111/jan.16358</w:t>
        </w:r>
      </w:hyperlink>
    </w:p>
    <w:p w14:paraId="3BC52791" w14:textId="77777777" w:rsidR="007D7592" w:rsidRPr="00797864" w:rsidRDefault="007D7592" w:rsidP="007D7592">
      <w:pPr>
        <w:spacing w:before="240" w:line="360" w:lineRule="auto"/>
        <w:ind w:left="720" w:hanging="720"/>
        <w:rPr>
          <w:rFonts w:ascii="Arial" w:hAnsi="Arial" w:cs="Arial"/>
          <w:sz w:val="22"/>
          <w:szCs w:val="22"/>
        </w:rPr>
      </w:pPr>
      <w:r w:rsidRPr="00797864">
        <w:rPr>
          <w:rFonts w:ascii="Arial" w:hAnsi="Arial" w:cs="Arial"/>
          <w:sz w:val="22"/>
          <w:szCs w:val="22"/>
        </w:rPr>
        <w:t xml:space="preserve">Woodward, A. and Ruston, A., 2023. Empowerment of care home staff through effective collaboration with healthcare.  </w:t>
      </w:r>
      <w:r w:rsidRPr="00797864">
        <w:rPr>
          <w:rFonts w:ascii="Arial" w:hAnsi="Arial" w:cs="Arial"/>
          <w:i/>
          <w:iCs/>
          <w:sz w:val="22"/>
          <w:szCs w:val="22"/>
        </w:rPr>
        <w:t>Journal of Interprofessional Care</w:t>
      </w:r>
      <w:r w:rsidRPr="00797864">
        <w:rPr>
          <w:rFonts w:ascii="Arial" w:hAnsi="Arial" w:cs="Arial"/>
          <w:sz w:val="22"/>
          <w:szCs w:val="22"/>
        </w:rPr>
        <w:t>, </w:t>
      </w:r>
      <w:r w:rsidRPr="00797864">
        <w:rPr>
          <w:rFonts w:ascii="Arial" w:hAnsi="Arial" w:cs="Arial"/>
          <w:i/>
          <w:iCs/>
          <w:sz w:val="22"/>
          <w:szCs w:val="22"/>
        </w:rPr>
        <w:t>37</w:t>
      </w:r>
      <w:r w:rsidRPr="00797864">
        <w:rPr>
          <w:rFonts w:ascii="Arial" w:hAnsi="Arial" w:cs="Arial"/>
          <w:sz w:val="22"/>
          <w:szCs w:val="22"/>
        </w:rPr>
        <w:t xml:space="preserve">(1), pp. 109-117. </w:t>
      </w:r>
      <w:hyperlink r:id="rId45" w:tgtFrame="_blank" w:history="1">
        <w:r w:rsidRPr="00797864">
          <w:rPr>
            <w:rStyle w:val="Hyperlink"/>
            <w:rFonts w:ascii="Arial" w:hAnsi="Arial" w:cs="Arial"/>
            <w:sz w:val="22"/>
            <w:szCs w:val="22"/>
          </w:rPr>
          <w:t>https://doi.org/10.1080/13561820.2022.2047015</w:t>
        </w:r>
      </w:hyperlink>
    </w:p>
    <w:p w14:paraId="158BBA76" w14:textId="77777777" w:rsidR="007D7592" w:rsidRPr="00797864" w:rsidRDefault="007D7592" w:rsidP="007D7592">
      <w:pPr>
        <w:spacing w:before="240" w:line="360" w:lineRule="auto"/>
        <w:ind w:left="720" w:hanging="720"/>
        <w:rPr>
          <w:rFonts w:ascii="Arial" w:hAnsi="Arial" w:cs="Arial"/>
          <w:sz w:val="22"/>
          <w:szCs w:val="22"/>
        </w:rPr>
      </w:pPr>
      <w:r w:rsidRPr="00797864">
        <w:rPr>
          <w:rFonts w:ascii="Arial" w:hAnsi="Arial" w:cs="Arial"/>
          <w:sz w:val="22"/>
          <w:szCs w:val="22"/>
        </w:rPr>
        <w:t>World Health Organization, 2024. </w:t>
      </w:r>
      <w:r w:rsidRPr="00797864">
        <w:rPr>
          <w:rFonts w:ascii="Arial" w:hAnsi="Arial" w:cs="Arial"/>
          <w:i/>
          <w:iCs/>
          <w:sz w:val="22"/>
          <w:szCs w:val="22"/>
        </w:rPr>
        <w:t>Long-term care for older people: package for universal health coverage</w:t>
      </w:r>
      <w:r w:rsidRPr="00797864">
        <w:rPr>
          <w:rFonts w:ascii="Arial" w:hAnsi="Arial" w:cs="Arial"/>
          <w:sz w:val="22"/>
          <w:szCs w:val="22"/>
        </w:rPr>
        <w:t xml:space="preserve">. World Health Organization. </w:t>
      </w:r>
      <w:hyperlink r:id="rId46" w:anchor="v=onepage&amp;q&amp;f=false" w:tgtFrame="_blank" w:history="1">
        <w:r w:rsidRPr="00797864">
          <w:rPr>
            <w:rStyle w:val="Hyperlink"/>
            <w:rFonts w:ascii="Arial" w:hAnsi="Arial" w:cs="Arial"/>
            <w:sz w:val="22"/>
            <w:szCs w:val="22"/>
          </w:rPr>
          <w:t>https://books.google.co.ke/books?hl=en&amp;lr=&amp;id=IaYOEQAAQBAJ&amp;oi=fnd&amp;pg=PR5&amp;dq=Residential+care+is+less+uptight+with+time+based+and+fragmented+support+compared+to+domiciliary+care+&amp;ots=-x_R9qTaO4&amp;sig=o0B0k3YuoRb57fgbyWJnsz2NkDo&amp;redir_esc=y#v=onepage&amp;q&amp;f=false</w:t>
        </w:r>
      </w:hyperlink>
    </w:p>
    <w:p w14:paraId="2C7CF552" w14:textId="77777777" w:rsidR="007D7592" w:rsidRPr="00797864" w:rsidRDefault="007D7592" w:rsidP="007D7592">
      <w:pPr>
        <w:spacing w:before="240" w:line="360" w:lineRule="auto"/>
        <w:ind w:left="720" w:hanging="720"/>
        <w:rPr>
          <w:rFonts w:ascii="Arial" w:hAnsi="Arial" w:cs="Arial"/>
          <w:sz w:val="22"/>
          <w:szCs w:val="22"/>
        </w:rPr>
      </w:pPr>
      <w:r w:rsidRPr="00797864">
        <w:rPr>
          <w:rFonts w:ascii="Arial" w:hAnsi="Arial" w:cs="Arial"/>
          <w:sz w:val="22"/>
          <w:szCs w:val="22"/>
        </w:rPr>
        <w:lastRenderedPageBreak/>
        <w:t>World Health Organization. 2025</w:t>
      </w:r>
      <w:proofErr w:type="gramStart"/>
      <w:r w:rsidRPr="00797864">
        <w:rPr>
          <w:rFonts w:ascii="Arial" w:hAnsi="Arial" w:cs="Arial"/>
          <w:sz w:val="22"/>
          <w:szCs w:val="22"/>
        </w:rPr>
        <w:t xml:space="preserve">.  </w:t>
      </w:r>
      <w:r w:rsidRPr="00797864">
        <w:rPr>
          <w:rFonts w:ascii="Arial" w:hAnsi="Arial" w:cs="Arial"/>
          <w:i/>
          <w:iCs/>
          <w:sz w:val="22"/>
          <w:szCs w:val="22"/>
        </w:rPr>
        <w:t>Integrated</w:t>
      </w:r>
      <w:proofErr w:type="gramEnd"/>
      <w:r w:rsidRPr="00797864">
        <w:rPr>
          <w:rFonts w:ascii="Arial" w:hAnsi="Arial" w:cs="Arial"/>
          <w:i/>
          <w:iCs/>
          <w:sz w:val="22"/>
          <w:szCs w:val="22"/>
        </w:rPr>
        <w:t xml:space="preserve"> care for older people (ICOPE): guidance for person-centered assessment and pathways in primary care</w:t>
      </w:r>
      <w:r w:rsidRPr="00797864">
        <w:rPr>
          <w:rFonts w:ascii="Arial" w:hAnsi="Arial" w:cs="Arial"/>
          <w:sz w:val="22"/>
          <w:szCs w:val="22"/>
        </w:rPr>
        <w:t xml:space="preserve">. World Health Organization. </w:t>
      </w:r>
      <w:hyperlink r:id="rId47" w:anchor="v=onepage&amp;q&amp;f=false" w:tgtFrame="_blank" w:history="1">
        <w:r w:rsidRPr="00797864">
          <w:rPr>
            <w:rStyle w:val="Hyperlink"/>
            <w:rFonts w:ascii="Arial" w:hAnsi="Arial" w:cs="Arial"/>
            <w:sz w:val="22"/>
            <w:szCs w:val="22"/>
          </w:rPr>
          <w:t>https://books.google.co.ke/books?hl=en&amp;lr=&amp;id=lk9AEQAAQBAJ&amp;oi=fnd&amp;pg=PR4&amp;dq=for+the+old+people+in+UK,+residential+settings+provide+continuous+service,+organized+individual+care,+and+efficient+intervention+in+people+of+high+physical+and+cognitive+demand&amp;ots=IzJuXOQs8O&amp;sig=fbR7rMJN9VPmrsr-lgVNAYJHxyE&amp;redir_esc=y#v=onepage&amp;q&amp;f=false</w:t>
        </w:r>
      </w:hyperlink>
    </w:p>
    <w:p w14:paraId="50DC03F5" w14:textId="77777777" w:rsidR="007D7592" w:rsidRPr="00797864" w:rsidRDefault="007D7592" w:rsidP="007D7592">
      <w:pPr>
        <w:spacing w:before="240" w:line="360" w:lineRule="auto"/>
        <w:ind w:left="720" w:hanging="720"/>
        <w:rPr>
          <w:rFonts w:ascii="Arial" w:hAnsi="Arial" w:cs="Arial"/>
          <w:sz w:val="22"/>
          <w:szCs w:val="22"/>
        </w:rPr>
      </w:pPr>
      <w:proofErr w:type="gramStart"/>
      <w:r w:rsidRPr="00797864">
        <w:rPr>
          <w:rFonts w:ascii="Arial" w:hAnsi="Arial" w:cs="Arial"/>
          <w:sz w:val="22"/>
          <w:szCs w:val="22"/>
        </w:rPr>
        <w:t>Yuan,</w:t>
      </w:r>
      <w:proofErr w:type="gramEnd"/>
      <w:r w:rsidRPr="00797864">
        <w:rPr>
          <w:rFonts w:ascii="Arial" w:hAnsi="Arial" w:cs="Arial"/>
          <w:sz w:val="22"/>
          <w:szCs w:val="22"/>
        </w:rPr>
        <w:t xml:space="preserve"> Y., </w:t>
      </w:r>
      <w:proofErr w:type="spellStart"/>
      <w:r w:rsidRPr="00797864">
        <w:rPr>
          <w:rFonts w:ascii="Arial" w:hAnsi="Arial" w:cs="Arial"/>
          <w:sz w:val="22"/>
          <w:szCs w:val="22"/>
        </w:rPr>
        <w:t>Lapane</w:t>
      </w:r>
      <w:proofErr w:type="spellEnd"/>
      <w:r w:rsidRPr="00797864">
        <w:rPr>
          <w:rFonts w:ascii="Arial" w:hAnsi="Arial" w:cs="Arial"/>
          <w:sz w:val="22"/>
          <w:szCs w:val="22"/>
        </w:rPr>
        <w:t xml:space="preserve">, K.L., Tjia, J., Baek, J., Liu, S.H., and Ulbricht, C.M., 2022. Trajectories of physical frailty and cognitive impairment in older adults in United States nursing homes.  </w:t>
      </w:r>
      <w:r w:rsidRPr="00797864">
        <w:rPr>
          <w:rFonts w:ascii="Arial" w:hAnsi="Arial" w:cs="Arial"/>
          <w:i/>
          <w:iCs/>
          <w:sz w:val="22"/>
          <w:szCs w:val="22"/>
        </w:rPr>
        <w:t>BMC geriatrics</w:t>
      </w:r>
      <w:r w:rsidRPr="00797864">
        <w:rPr>
          <w:rFonts w:ascii="Arial" w:hAnsi="Arial" w:cs="Arial"/>
          <w:sz w:val="22"/>
          <w:szCs w:val="22"/>
        </w:rPr>
        <w:t>, </w:t>
      </w:r>
      <w:r w:rsidRPr="00797864">
        <w:rPr>
          <w:rFonts w:ascii="Arial" w:hAnsi="Arial" w:cs="Arial"/>
          <w:i/>
          <w:iCs/>
          <w:sz w:val="22"/>
          <w:szCs w:val="22"/>
        </w:rPr>
        <w:t>22</w:t>
      </w:r>
      <w:r w:rsidRPr="00797864">
        <w:rPr>
          <w:rFonts w:ascii="Arial" w:hAnsi="Arial" w:cs="Arial"/>
          <w:sz w:val="22"/>
          <w:szCs w:val="22"/>
        </w:rPr>
        <w:t xml:space="preserve">(1), p.339. </w:t>
      </w:r>
      <w:hyperlink r:id="rId48" w:tgtFrame="_blank" w:history="1">
        <w:r w:rsidRPr="00797864">
          <w:rPr>
            <w:rStyle w:val="Hyperlink"/>
            <w:rFonts w:ascii="Arial" w:hAnsi="Arial" w:cs="Arial"/>
            <w:sz w:val="22"/>
            <w:szCs w:val="22"/>
          </w:rPr>
          <w:t>https://link.springer.com/article/10.1186/s12877-022-03012-8</w:t>
        </w:r>
      </w:hyperlink>
    </w:p>
    <w:p w14:paraId="2390BE8C" w14:textId="77777777" w:rsidR="007D7592" w:rsidRPr="005B5418" w:rsidRDefault="007D7592" w:rsidP="007D7592">
      <w:pPr>
        <w:spacing w:before="240" w:line="360" w:lineRule="auto"/>
        <w:ind w:firstLine="0"/>
        <w:rPr>
          <w:rFonts w:ascii="Arial" w:hAnsi="Arial" w:cs="Arial"/>
          <w:sz w:val="22"/>
          <w:szCs w:val="22"/>
        </w:rPr>
      </w:pPr>
    </w:p>
    <w:p w14:paraId="02EAD3F5" w14:textId="77777777" w:rsidR="007D7592" w:rsidRPr="005B5418" w:rsidRDefault="007D7592" w:rsidP="007D7592">
      <w:pPr>
        <w:spacing w:before="240" w:line="360" w:lineRule="auto"/>
        <w:ind w:firstLine="0"/>
        <w:rPr>
          <w:rFonts w:ascii="Arial" w:hAnsi="Arial" w:cs="Arial"/>
          <w:sz w:val="22"/>
          <w:szCs w:val="22"/>
        </w:rPr>
      </w:pPr>
    </w:p>
    <w:p w14:paraId="05D22258" w14:textId="77777777" w:rsidR="007D7592" w:rsidRPr="000B3CD8" w:rsidRDefault="007D7592" w:rsidP="007D7592">
      <w:pPr>
        <w:spacing w:before="240" w:line="360" w:lineRule="auto"/>
        <w:ind w:firstLine="0"/>
        <w:rPr>
          <w:rFonts w:ascii="Arial" w:hAnsi="Arial" w:cs="Arial"/>
          <w:sz w:val="22"/>
          <w:szCs w:val="22"/>
        </w:rPr>
      </w:pPr>
    </w:p>
    <w:p w14:paraId="697C3042" w14:textId="77777777" w:rsidR="007D7592" w:rsidRPr="005B5418" w:rsidRDefault="007D7592" w:rsidP="007D7592">
      <w:pPr>
        <w:spacing w:before="240" w:line="360" w:lineRule="auto"/>
        <w:ind w:firstLine="0"/>
        <w:rPr>
          <w:rFonts w:ascii="Arial" w:hAnsi="Arial" w:cs="Arial"/>
          <w:sz w:val="22"/>
          <w:szCs w:val="22"/>
        </w:rPr>
      </w:pPr>
      <w:r w:rsidRPr="005B5418">
        <w:rPr>
          <w:rFonts w:ascii="Arial" w:hAnsi="Arial" w:cs="Arial"/>
          <w:sz w:val="22"/>
          <w:szCs w:val="22"/>
        </w:rPr>
        <w:t xml:space="preserve"> </w:t>
      </w:r>
    </w:p>
    <w:p w14:paraId="54F274FB" w14:textId="77777777" w:rsidR="00CB5CA4" w:rsidRPr="007D7592" w:rsidRDefault="00CB5CA4">
      <w:pPr>
        <w:rPr>
          <w:rFonts w:ascii="Arial" w:hAnsi="Arial" w:cs="Arial"/>
        </w:rPr>
      </w:pPr>
    </w:p>
    <w:sectPr w:rsidR="00CB5CA4" w:rsidRPr="007D7592" w:rsidSect="007D7592">
      <w:headerReference w:type="default" r:id="rId4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rPr>
      <w:id w:val="753781976"/>
      <w:docPartObj>
        <w:docPartGallery w:val="Page Numbers (Top of Page)"/>
        <w:docPartUnique/>
      </w:docPartObj>
    </w:sdtPr>
    <w:sdtEndPr>
      <w:rPr>
        <w:noProof/>
      </w:rPr>
    </w:sdtEndPr>
    <w:sdtContent>
      <w:p w14:paraId="5C543DD7" w14:textId="77777777" w:rsidR="007D7592" w:rsidRPr="005B5418" w:rsidRDefault="007D7592">
        <w:pPr>
          <w:pStyle w:val="Header"/>
          <w:jc w:val="right"/>
          <w:rPr>
            <w:rFonts w:ascii="Times New Roman" w:hAnsi="Times New Roman" w:cs="Times New Roman"/>
          </w:rPr>
        </w:pPr>
        <w:r w:rsidRPr="005B5418">
          <w:rPr>
            <w:rFonts w:ascii="Times New Roman" w:hAnsi="Times New Roman" w:cs="Times New Roman"/>
          </w:rPr>
          <w:t xml:space="preserve">Debate </w:t>
        </w:r>
        <w:r w:rsidRPr="005B5418">
          <w:rPr>
            <w:rFonts w:ascii="Times New Roman" w:hAnsi="Times New Roman" w:cs="Times New Roman"/>
          </w:rPr>
          <w:fldChar w:fldCharType="begin"/>
        </w:r>
        <w:r w:rsidRPr="005B5418">
          <w:rPr>
            <w:rFonts w:ascii="Times New Roman" w:hAnsi="Times New Roman" w:cs="Times New Roman"/>
          </w:rPr>
          <w:instrText xml:space="preserve"> PAGE   \* MERGEFORMAT </w:instrText>
        </w:r>
        <w:r w:rsidRPr="005B5418">
          <w:rPr>
            <w:rFonts w:ascii="Times New Roman" w:hAnsi="Times New Roman" w:cs="Times New Roman"/>
          </w:rPr>
          <w:fldChar w:fldCharType="separate"/>
        </w:r>
        <w:r w:rsidRPr="005B5418">
          <w:rPr>
            <w:rFonts w:ascii="Times New Roman" w:hAnsi="Times New Roman" w:cs="Times New Roman"/>
            <w:noProof/>
          </w:rPr>
          <w:t>2</w:t>
        </w:r>
        <w:r w:rsidRPr="005B5418">
          <w:rPr>
            <w:rFonts w:ascii="Times New Roman" w:hAnsi="Times New Roman" w:cs="Times New Roman"/>
            <w:noProof/>
          </w:rPr>
          <w:fldChar w:fldCharType="end"/>
        </w:r>
      </w:p>
    </w:sdtContent>
  </w:sdt>
  <w:p w14:paraId="26D544E9" w14:textId="77777777" w:rsidR="007D7592" w:rsidRPr="005B5418" w:rsidRDefault="007D7592">
    <w:pPr>
      <w:pStyle w:val="Header"/>
      <w:rPr>
        <w:rFonts w:ascii="Times New Roman" w:hAnsi="Times New Roman" w:cs="Times New Roman"/>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7592"/>
    <w:rsid w:val="00191293"/>
    <w:rsid w:val="007D7592"/>
    <w:rsid w:val="0080337A"/>
    <w:rsid w:val="00804445"/>
    <w:rsid w:val="00BB61D7"/>
    <w:rsid w:val="00CB5CA4"/>
    <w:rsid w:val="00F25A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F76E7A"/>
  <w15:chartTrackingRefBased/>
  <w15:docId w15:val="{C4898B13-1710-4A35-97F3-DBC767C0A2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7592"/>
    <w:pPr>
      <w:spacing w:after="0" w:line="480" w:lineRule="auto"/>
      <w:ind w:firstLine="720"/>
    </w:pPr>
    <w:rPr>
      <w:sz w:val="24"/>
      <w:szCs w:val="24"/>
      <w:lang w:val="en-US"/>
    </w:rPr>
  </w:style>
  <w:style w:type="paragraph" w:styleId="Heading1">
    <w:name w:val="heading 1"/>
    <w:basedOn w:val="Normal"/>
    <w:next w:val="Normal"/>
    <w:link w:val="Heading1Char"/>
    <w:uiPriority w:val="9"/>
    <w:qFormat/>
    <w:rsid w:val="007D7592"/>
    <w:pPr>
      <w:keepNext/>
      <w:keepLines/>
      <w:spacing w:before="360" w:after="80" w:line="259" w:lineRule="auto"/>
      <w:ind w:firstLine="0"/>
      <w:outlineLvl w:val="0"/>
    </w:pPr>
    <w:rPr>
      <w:rFonts w:asciiTheme="majorHAnsi" w:eastAsiaTheme="majorEastAsia" w:hAnsiTheme="majorHAnsi" w:cstheme="majorBidi"/>
      <w:color w:val="0F4761" w:themeColor="accent1" w:themeShade="BF"/>
      <w:sz w:val="40"/>
      <w:szCs w:val="40"/>
      <w:lang w:val="en-GB"/>
    </w:rPr>
  </w:style>
  <w:style w:type="paragraph" w:styleId="Heading2">
    <w:name w:val="heading 2"/>
    <w:basedOn w:val="Normal"/>
    <w:next w:val="Normal"/>
    <w:link w:val="Heading2Char"/>
    <w:uiPriority w:val="9"/>
    <w:semiHidden/>
    <w:unhideWhenUsed/>
    <w:qFormat/>
    <w:rsid w:val="007D7592"/>
    <w:pPr>
      <w:keepNext/>
      <w:keepLines/>
      <w:spacing w:before="160" w:after="80" w:line="259" w:lineRule="auto"/>
      <w:ind w:firstLine="0"/>
      <w:outlineLvl w:val="1"/>
    </w:pPr>
    <w:rPr>
      <w:rFonts w:asciiTheme="majorHAnsi" w:eastAsiaTheme="majorEastAsia" w:hAnsiTheme="majorHAnsi" w:cstheme="majorBidi"/>
      <w:color w:val="0F4761" w:themeColor="accent1" w:themeShade="BF"/>
      <w:sz w:val="32"/>
      <w:szCs w:val="32"/>
      <w:lang w:val="en-GB"/>
    </w:rPr>
  </w:style>
  <w:style w:type="paragraph" w:styleId="Heading3">
    <w:name w:val="heading 3"/>
    <w:basedOn w:val="Normal"/>
    <w:next w:val="Normal"/>
    <w:link w:val="Heading3Char"/>
    <w:uiPriority w:val="9"/>
    <w:semiHidden/>
    <w:unhideWhenUsed/>
    <w:qFormat/>
    <w:rsid w:val="007D7592"/>
    <w:pPr>
      <w:keepNext/>
      <w:keepLines/>
      <w:spacing w:before="160" w:after="80" w:line="259" w:lineRule="auto"/>
      <w:ind w:firstLine="0"/>
      <w:outlineLvl w:val="2"/>
    </w:pPr>
    <w:rPr>
      <w:rFonts w:eastAsiaTheme="majorEastAsia" w:cstheme="majorBidi"/>
      <w:color w:val="0F4761" w:themeColor="accent1" w:themeShade="BF"/>
      <w:sz w:val="28"/>
      <w:szCs w:val="28"/>
      <w:lang w:val="en-GB"/>
    </w:rPr>
  </w:style>
  <w:style w:type="paragraph" w:styleId="Heading4">
    <w:name w:val="heading 4"/>
    <w:basedOn w:val="Normal"/>
    <w:next w:val="Normal"/>
    <w:link w:val="Heading4Char"/>
    <w:uiPriority w:val="9"/>
    <w:semiHidden/>
    <w:unhideWhenUsed/>
    <w:qFormat/>
    <w:rsid w:val="007D7592"/>
    <w:pPr>
      <w:keepNext/>
      <w:keepLines/>
      <w:spacing w:before="80" w:after="40" w:line="259" w:lineRule="auto"/>
      <w:ind w:firstLine="0"/>
      <w:outlineLvl w:val="3"/>
    </w:pPr>
    <w:rPr>
      <w:rFonts w:eastAsiaTheme="majorEastAsia" w:cstheme="majorBidi"/>
      <w:i/>
      <w:iCs/>
      <w:color w:val="0F4761" w:themeColor="accent1" w:themeShade="BF"/>
      <w:sz w:val="22"/>
      <w:szCs w:val="22"/>
      <w:lang w:val="en-GB"/>
    </w:rPr>
  </w:style>
  <w:style w:type="paragraph" w:styleId="Heading5">
    <w:name w:val="heading 5"/>
    <w:basedOn w:val="Normal"/>
    <w:next w:val="Normal"/>
    <w:link w:val="Heading5Char"/>
    <w:uiPriority w:val="9"/>
    <w:semiHidden/>
    <w:unhideWhenUsed/>
    <w:qFormat/>
    <w:rsid w:val="007D7592"/>
    <w:pPr>
      <w:keepNext/>
      <w:keepLines/>
      <w:spacing w:before="80" w:after="40" w:line="259" w:lineRule="auto"/>
      <w:ind w:firstLine="0"/>
      <w:outlineLvl w:val="4"/>
    </w:pPr>
    <w:rPr>
      <w:rFonts w:eastAsiaTheme="majorEastAsia" w:cstheme="majorBidi"/>
      <w:color w:val="0F4761" w:themeColor="accent1" w:themeShade="BF"/>
      <w:sz w:val="22"/>
      <w:szCs w:val="22"/>
      <w:lang w:val="en-GB"/>
    </w:rPr>
  </w:style>
  <w:style w:type="paragraph" w:styleId="Heading6">
    <w:name w:val="heading 6"/>
    <w:basedOn w:val="Normal"/>
    <w:next w:val="Normal"/>
    <w:link w:val="Heading6Char"/>
    <w:uiPriority w:val="9"/>
    <w:semiHidden/>
    <w:unhideWhenUsed/>
    <w:qFormat/>
    <w:rsid w:val="007D7592"/>
    <w:pPr>
      <w:keepNext/>
      <w:keepLines/>
      <w:spacing w:before="40" w:line="259" w:lineRule="auto"/>
      <w:ind w:firstLine="0"/>
      <w:outlineLvl w:val="5"/>
    </w:pPr>
    <w:rPr>
      <w:rFonts w:eastAsiaTheme="majorEastAsia" w:cstheme="majorBidi"/>
      <w:i/>
      <w:iCs/>
      <w:color w:val="595959" w:themeColor="text1" w:themeTint="A6"/>
      <w:sz w:val="22"/>
      <w:szCs w:val="22"/>
      <w:lang w:val="en-GB"/>
    </w:rPr>
  </w:style>
  <w:style w:type="paragraph" w:styleId="Heading7">
    <w:name w:val="heading 7"/>
    <w:basedOn w:val="Normal"/>
    <w:next w:val="Normal"/>
    <w:link w:val="Heading7Char"/>
    <w:uiPriority w:val="9"/>
    <w:semiHidden/>
    <w:unhideWhenUsed/>
    <w:qFormat/>
    <w:rsid w:val="007D7592"/>
    <w:pPr>
      <w:keepNext/>
      <w:keepLines/>
      <w:spacing w:before="40" w:line="259" w:lineRule="auto"/>
      <w:ind w:firstLine="0"/>
      <w:outlineLvl w:val="6"/>
    </w:pPr>
    <w:rPr>
      <w:rFonts w:eastAsiaTheme="majorEastAsia" w:cstheme="majorBidi"/>
      <w:color w:val="595959" w:themeColor="text1" w:themeTint="A6"/>
      <w:sz w:val="22"/>
      <w:szCs w:val="22"/>
      <w:lang w:val="en-GB"/>
    </w:rPr>
  </w:style>
  <w:style w:type="paragraph" w:styleId="Heading8">
    <w:name w:val="heading 8"/>
    <w:basedOn w:val="Normal"/>
    <w:next w:val="Normal"/>
    <w:link w:val="Heading8Char"/>
    <w:uiPriority w:val="9"/>
    <w:semiHidden/>
    <w:unhideWhenUsed/>
    <w:qFormat/>
    <w:rsid w:val="007D7592"/>
    <w:pPr>
      <w:keepNext/>
      <w:keepLines/>
      <w:spacing w:line="259" w:lineRule="auto"/>
      <w:ind w:firstLine="0"/>
      <w:outlineLvl w:val="7"/>
    </w:pPr>
    <w:rPr>
      <w:rFonts w:eastAsiaTheme="majorEastAsia" w:cstheme="majorBidi"/>
      <w:i/>
      <w:iCs/>
      <w:color w:val="272727" w:themeColor="text1" w:themeTint="D8"/>
      <w:sz w:val="22"/>
      <w:szCs w:val="22"/>
      <w:lang w:val="en-GB"/>
    </w:rPr>
  </w:style>
  <w:style w:type="paragraph" w:styleId="Heading9">
    <w:name w:val="heading 9"/>
    <w:basedOn w:val="Normal"/>
    <w:next w:val="Normal"/>
    <w:link w:val="Heading9Char"/>
    <w:uiPriority w:val="9"/>
    <w:semiHidden/>
    <w:unhideWhenUsed/>
    <w:qFormat/>
    <w:rsid w:val="007D7592"/>
    <w:pPr>
      <w:keepNext/>
      <w:keepLines/>
      <w:spacing w:line="259" w:lineRule="auto"/>
      <w:ind w:firstLine="0"/>
      <w:outlineLvl w:val="8"/>
    </w:pPr>
    <w:rPr>
      <w:rFonts w:eastAsiaTheme="majorEastAsia" w:cstheme="majorBidi"/>
      <w:color w:val="272727" w:themeColor="text1" w:themeTint="D8"/>
      <w:sz w:val="22"/>
      <w:szCs w:val="2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75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D75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D75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D75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D75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D75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75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75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7592"/>
    <w:rPr>
      <w:rFonts w:eastAsiaTheme="majorEastAsia" w:cstheme="majorBidi"/>
      <w:color w:val="272727" w:themeColor="text1" w:themeTint="D8"/>
    </w:rPr>
  </w:style>
  <w:style w:type="paragraph" w:styleId="Title">
    <w:name w:val="Title"/>
    <w:basedOn w:val="Normal"/>
    <w:next w:val="Normal"/>
    <w:link w:val="TitleChar"/>
    <w:uiPriority w:val="10"/>
    <w:qFormat/>
    <w:rsid w:val="007D7592"/>
    <w:pPr>
      <w:spacing w:after="80" w:line="240" w:lineRule="auto"/>
      <w:ind w:firstLine="0"/>
      <w:contextualSpacing/>
    </w:pPr>
    <w:rPr>
      <w:rFonts w:asciiTheme="majorHAnsi" w:eastAsiaTheme="majorEastAsia" w:hAnsiTheme="majorHAnsi" w:cstheme="majorBidi"/>
      <w:spacing w:val="-10"/>
      <w:kern w:val="28"/>
      <w:sz w:val="56"/>
      <w:szCs w:val="56"/>
      <w:lang w:val="en-GB"/>
    </w:rPr>
  </w:style>
  <w:style w:type="character" w:customStyle="1" w:styleId="TitleChar">
    <w:name w:val="Title Char"/>
    <w:basedOn w:val="DefaultParagraphFont"/>
    <w:link w:val="Title"/>
    <w:uiPriority w:val="10"/>
    <w:rsid w:val="007D75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7592"/>
    <w:pPr>
      <w:numPr>
        <w:ilvl w:val="1"/>
      </w:numPr>
      <w:spacing w:after="160" w:line="259" w:lineRule="auto"/>
    </w:pPr>
    <w:rPr>
      <w:rFonts w:eastAsiaTheme="majorEastAsia" w:cstheme="majorBidi"/>
      <w:color w:val="595959" w:themeColor="text1" w:themeTint="A6"/>
      <w:spacing w:val="15"/>
      <w:sz w:val="28"/>
      <w:szCs w:val="28"/>
      <w:lang w:val="en-GB"/>
    </w:rPr>
  </w:style>
  <w:style w:type="character" w:customStyle="1" w:styleId="SubtitleChar">
    <w:name w:val="Subtitle Char"/>
    <w:basedOn w:val="DefaultParagraphFont"/>
    <w:link w:val="Subtitle"/>
    <w:uiPriority w:val="11"/>
    <w:rsid w:val="007D75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7592"/>
    <w:pPr>
      <w:spacing w:before="160" w:after="160" w:line="259" w:lineRule="auto"/>
      <w:ind w:firstLine="0"/>
      <w:jc w:val="center"/>
    </w:pPr>
    <w:rPr>
      <w:i/>
      <w:iCs/>
      <w:color w:val="404040" w:themeColor="text1" w:themeTint="BF"/>
      <w:sz w:val="22"/>
      <w:szCs w:val="22"/>
      <w:lang w:val="en-GB"/>
    </w:rPr>
  </w:style>
  <w:style w:type="character" w:customStyle="1" w:styleId="QuoteChar">
    <w:name w:val="Quote Char"/>
    <w:basedOn w:val="DefaultParagraphFont"/>
    <w:link w:val="Quote"/>
    <w:uiPriority w:val="29"/>
    <w:rsid w:val="007D7592"/>
    <w:rPr>
      <w:i/>
      <w:iCs/>
      <w:color w:val="404040" w:themeColor="text1" w:themeTint="BF"/>
    </w:rPr>
  </w:style>
  <w:style w:type="paragraph" w:styleId="ListParagraph">
    <w:name w:val="List Paragraph"/>
    <w:basedOn w:val="Normal"/>
    <w:uiPriority w:val="34"/>
    <w:qFormat/>
    <w:rsid w:val="007D7592"/>
    <w:pPr>
      <w:spacing w:after="160" w:line="259" w:lineRule="auto"/>
      <w:ind w:left="720" w:firstLine="0"/>
      <w:contextualSpacing/>
    </w:pPr>
    <w:rPr>
      <w:sz w:val="22"/>
      <w:szCs w:val="22"/>
      <w:lang w:val="en-GB"/>
    </w:rPr>
  </w:style>
  <w:style w:type="character" w:styleId="IntenseEmphasis">
    <w:name w:val="Intense Emphasis"/>
    <w:basedOn w:val="DefaultParagraphFont"/>
    <w:uiPriority w:val="21"/>
    <w:qFormat/>
    <w:rsid w:val="007D7592"/>
    <w:rPr>
      <w:i/>
      <w:iCs/>
      <w:color w:val="0F4761" w:themeColor="accent1" w:themeShade="BF"/>
    </w:rPr>
  </w:style>
  <w:style w:type="paragraph" w:styleId="IntenseQuote">
    <w:name w:val="Intense Quote"/>
    <w:basedOn w:val="Normal"/>
    <w:next w:val="Normal"/>
    <w:link w:val="IntenseQuoteChar"/>
    <w:uiPriority w:val="30"/>
    <w:qFormat/>
    <w:rsid w:val="007D7592"/>
    <w:pPr>
      <w:pBdr>
        <w:top w:val="single" w:sz="4" w:space="10" w:color="0F4761" w:themeColor="accent1" w:themeShade="BF"/>
        <w:bottom w:val="single" w:sz="4" w:space="10" w:color="0F4761" w:themeColor="accent1" w:themeShade="BF"/>
      </w:pBdr>
      <w:spacing w:before="360" w:after="360" w:line="259" w:lineRule="auto"/>
      <w:ind w:left="864" w:right="864" w:firstLine="0"/>
      <w:jc w:val="center"/>
    </w:pPr>
    <w:rPr>
      <w:i/>
      <w:iCs/>
      <w:color w:val="0F4761" w:themeColor="accent1" w:themeShade="BF"/>
      <w:sz w:val="22"/>
      <w:szCs w:val="22"/>
      <w:lang w:val="en-GB"/>
    </w:rPr>
  </w:style>
  <w:style w:type="character" w:customStyle="1" w:styleId="IntenseQuoteChar">
    <w:name w:val="Intense Quote Char"/>
    <w:basedOn w:val="DefaultParagraphFont"/>
    <w:link w:val="IntenseQuote"/>
    <w:uiPriority w:val="30"/>
    <w:rsid w:val="007D7592"/>
    <w:rPr>
      <w:i/>
      <w:iCs/>
      <w:color w:val="0F4761" w:themeColor="accent1" w:themeShade="BF"/>
    </w:rPr>
  </w:style>
  <w:style w:type="character" w:styleId="IntenseReference">
    <w:name w:val="Intense Reference"/>
    <w:basedOn w:val="DefaultParagraphFont"/>
    <w:uiPriority w:val="32"/>
    <w:qFormat/>
    <w:rsid w:val="007D7592"/>
    <w:rPr>
      <w:b/>
      <w:bCs/>
      <w:smallCaps/>
      <w:color w:val="0F4761" w:themeColor="accent1" w:themeShade="BF"/>
      <w:spacing w:val="5"/>
    </w:rPr>
  </w:style>
  <w:style w:type="character" w:styleId="Hyperlink">
    <w:name w:val="Hyperlink"/>
    <w:basedOn w:val="DefaultParagraphFont"/>
    <w:uiPriority w:val="99"/>
    <w:unhideWhenUsed/>
    <w:rsid w:val="007D7592"/>
    <w:rPr>
      <w:color w:val="467886" w:themeColor="hyperlink"/>
      <w:u w:val="single"/>
    </w:rPr>
  </w:style>
  <w:style w:type="paragraph" w:styleId="Header">
    <w:name w:val="header"/>
    <w:basedOn w:val="Normal"/>
    <w:link w:val="HeaderChar"/>
    <w:uiPriority w:val="99"/>
    <w:unhideWhenUsed/>
    <w:rsid w:val="007D7592"/>
    <w:pPr>
      <w:tabs>
        <w:tab w:val="center" w:pos="4680"/>
        <w:tab w:val="right" w:pos="9360"/>
      </w:tabs>
      <w:spacing w:line="240" w:lineRule="auto"/>
    </w:pPr>
  </w:style>
  <w:style w:type="character" w:customStyle="1" w:styleId="HeaderChar">
    <w:name w:val="Header Char"/>
    <w:basedOn w:val="DefaultParagraphFont"/>
    <w:link w:val="Header"/>
    <w:uiPriority w:val="99"/>
    <w:rsid w:val="007D7592"/>
    <w:rPr>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profile/Girish-Kashid/publication/399526600_The_Impact_of_Polypharmacy_on_Elderly_Patients_and_Strategies_To_Reduce_Risks/links/695e120ea1fd017989119fd1/The-Impact-of-Polypharmacy-on-Elderly-Patients-and-Strategies-To-Reduce-Risks.pdf" TargetMode="External"/><Relationship Id="rId18" Type="http://schemas.openxmlformats.org/officeDocument/2006/relationships/hyperlink" Target="https://www.proquest.com/openview/9500ef91dcb7ecc6a1bf0d87a4a08d81/1?pq-origsite=gscholar&amp;cbl=6480378" TargetMode="External"/><Relationship Id="rId26" Type="http://schemas.openxmlformats.org/officeDocument/2006/relationships/hyperlink" Target="https://doi.org/10.1093/hrlr/ngad005" TargetMode="External"/><Relationship Id="rId39" Type="http://schemas.openxmlformats.org/officeDocument/2006/relationships/hyperlink" Target="https://doi.org/10.3310/GWTT8143" TargetMode="External"/><Relationship Id="rId21" Type="http://schemas.openxmlformats.org/officeDocument/2006/relationships/hyperlink" Target="https://doi.org/10.1111/jan.16766" TargetMode="External"/><Relationship Id="rId34" Type="http://schemas.openxmlformats.org/officeDocument/2006/relationships/hyperlink" Target="https://www.researchgate.net/publication/391140075_Pressure_Ulcer_Prevention_Examine_Best_Practices_for_Managing_Pressure_Ulcers_in_Immobile_Patients_and_Evaluate_the_Efficacy_of_Prevention_Strategies" TargetMode="External"/><Relationship Id="rId42" Type="http://schemas.openxmlformats.org/officeDocument/2006/relationships/hyperlink" Target="https://www.emerald.com/insight/content/doi/10.1108/wwop-11-2024-0077/full/html" TargetMode="External"/><Relationship Id="rId47" Type="http://schemas.openxmlformats.org/officeDocument/2006/relationships/hyperlink" Target="https://books.google.co.ke/books?hl=en&amp;lr=&amp;id=lk9AEQAAQBAJ&amp;oi=fnd&amp;pg=PR4&amp;dq=for+the+old+people+in+UK,+residential+settings+provide+continuous+service,+organized+individual+care,+and+efficient+intervention+in+people+of+high+physical+and+cognitive+demand&amp;ots=IzJuXOQs8O&amp;sig=fbR7rMJN9VPmrsr-lgVNAYJHxyE&amp;redir_esc=y" TargetMode="External"/><Relationship Id="rId50" Type="http://schemas.openxmlformats.org/officeDocument/2006/relationships/fontTable" Target="fontTable.xml"/><Relationship Id="rId7" Type="http://schemas.openxmlformats.org/officeDocument/2006/relationships/hyperlink" Target="https://link.springer.com/chapter/10.1007/978-3-319-95720-3_37" TargetMode="External"/><Relationship Id="rId2" Type="http://schemas.openxmlformats.org/officeDocument/2006/relationships/settings" Target="settings.xml"/><Relationship Id="rId16" Type="http://schemas.openxmlformats.org/officeDocument/2006/relationships/hyperlink" Target="https://doi.org/10.1177/01640275211012652" TargetMode="External"/><Relationship Id="rId29" Type="http://schemas.openxmlformats.org/officeDocument/2006/relationships/hyperlink" Target="https://doi.org/10.3389/fnagi.2024.1348712" TargetMode="External"/><Relationship Id="rId11" Type="http://schemas.openxmlformats.org/officeDocument/2006/relationships/hyperlink" Target="https://www.um.edu.mt/library/oar/handle/123456789/142708" TargetMode="External"/><Relationship Id="rId24" Type="http://schemas.openxmlformats.org/officeDocument/2006/relationships/hyperlink" Target="https://doi.org/10.3390/healthcare10071214" TargetMode="External"/><Relationship Id="rId32" Type="http://schemas.openxmlformats.org/officeDocument/2006/relationships/hyperlink" Target="https://core.ac.uk/download/pdf/587002276.pdf" TargetMode="External"/><Relationship Id="rId37" Type="http://schemas.openxmlformats.org/officeDocument/2006/relationships/hyperlink" Target="https://link.springer.com/article/10.1186/s12877-023-04135-2" TargetMode="External"/><Relationship Id="rId40" Type="http://schemas.openxmlformats.org/officeDocument/2006/relationships/hyperlink" Target="https://doi.org/10.1177/23337214221144192" TargetMode="External"/><Relationship Id="rId45" Type="http://schemas.openxmlformats.org/officeDocument/2006/relationships/hyperlink" Target="https://doi.org/10.1080/13561820.2022.2047015" TargetMode="External"/><Relationship Id="rId5" Type="http://schemas.openxmlformats.org/officeDocument/2006/relationships/hyperlink" Target="https://journals.rcni.com/nursing-older-people/evidence-and-practice/risk-management-and-decisionmaking-in-dementia-care-nop.2024.e1460/print/abs" TargetMode="External"/><Relationship Id="rId15" Type="http://schemas.openxmlformats.org/officeDocument/2006/relationships/hyperlink" Target="https://link.springer.com/article/10.1186/s12877-023-03935-w" TargetMode="External"/><Relationship Id="rId23" Type="http://schemas.openxmlformats.org/officeDocument/2006/relationships/hyperlink" Target="https://doi.org/10.1002/ehf2.14022" TargetMode="External"/><Relationship Id="rId28" Type="http://schemas.openxmlformats.org/officeDocument/2006/relationships/hyperlink" Target="https://link.springer.com/article/10.1186/s12877-022-03503-8" TargetMode="External"/><Relationship Id="rId36" Type="http://schemas.openxmlformats.org/officeDocument/2006/relationships/hyperlink" Target="https://doi.org/10.1136/bmjqs-2023-016967" TargetMode="External"/><Relationship Id="rId49" Type="http://schemas.openxmlformats.org/officeDocument/2006/relationships/header" Target="header1.xml"/><Relationship Id="rId10" Type="http://schemas.openxmlformats.org/officeDocument/2006/relationships/hyperlink" Target="https://doi.org/10.1002/14651858.CD008634.pub3" TargetMode="External"/><Relationship Id="rId19" Type="http://schemas.openxmlformats.org/officeDocument/2006/relationships/hyperlink" Target="https://doi.org/10.1016/j.jaging.2022.101099" TargetMode="External"/><Relationship Id="rId31" Type="http://schemas.openxmlformats.org/officeDocument/2006/relationships/hyperlink" Target="https://doi.org/10.1111/opn.12428" TargetMode="External"/><Relationship Id="rId44" Type="http://schemas.openxmlformats.org/officeDocument/2006/relationships/hyperlink" Target="https://doi.org/10.1111/jan.16358" TargetMode="External"/><Relationship Id="rId4" Type="http://schemas.openxmlformats.org/officeDocument/2006/relationships/hyperlink" Target="https://www.researchgate.net/profile/Anant-Agrawal-10/publication/398535761_SMART_HOME_TECHNOLOGIES_IN_ELDERLY_CARE_HOMES_AUTHOR_ANANT_AGRAWAL_COURSE_MSC_SUSTAINABLE_MEGA_BUILDINGS/links/6939a9dd27359023a00aaee2/SMART-HOME-TECHNOLOGIES-IN-ELDERLY-CARE-HOMES-AUTHOR-ANANT-AGRAWAL-COURSE-MSC-SUSTAINABLE-MEGA-BUILDINGS.pdf" TargetMode="External"/><Relationship Id="rId9" Type="http://schemas.openxmlformats.org/officeDocument/2006/relationships/hyperlink" Target="https://www.ijpcm.org/index.php/ijpcm/article/view/1114" TargetMode="External"/><Relationship Id="rId14" Type="http://schemas.openxmlformats.org/officeDocument/2006/relationships/hyperlink" Target="https://doi.org/10.1016/j.ijlp.2022.101819" TargetMode="External"/><Relationship Id="rId22" Type="http://schemas.openxmlformats.org/officeDocument/2006/relationships/hyperlink" Target="https://www.medrxiv.org/content/10.1101/2024.04.15.24305839v1" TargetMode="External"/><Relationship Id="rId27" Type="http://schemas.openxmlformats.org/officeDocument/2006/relationships/hyperlink" Target="https://doi.org/10.1080/09649069.2022.2067650" TargetMode="External"/><Relationship Id="rId30" Type="http://schemas.openxmlformats.org/officeDocument/2006/relationships/hyperlink" Target="https://doi.org/10.1017/ice.2025.10252" TargetMode="External"/><Relationship Id="rId35" Type="http://schemas.openxmlformats.org/officeDocument/2006/relationships/hyperlink" Target="https://doi.org/10.1177/07334648221117524" TargetMode="External"/><Relationship Id="rId43" Type="http://schemas.openxmlformats.org/officeDocument/2006/relationships/hyperlink" Target="https://eu-st01.ext.exlibrisgroup.com/44SUR_INST/upload/1770402710269/UNISON-CUSP%20report%20%28final%29.pdf?Expires=1770402830&amp;Signature=GwCUBdktc8MZ2xxnZMPbvyNw1uJwmn8N~5OsGkn26jTHpWrQKVCVLD2zzIljYYTyH0P~mCmz0YM2~8nZlQN8TO2UAzB4DpuuEgg1DdbDJQhjVz659H~GdHj6nQHu~dgRINUjiUotuxZLnbXvosWik8pHbuk6i~SWrTlAYcj0O6U3xlvx2LSzwY5MVC4sVxBT3k6cxPPh~wpJtOui9LKzIBvswfbqKQYKpw392Pw9ZZI88kV0ZNvYPlYnyLPa1x6JzFrEIyShFtthKemQHQVY74vVPLVbaG8vFmw62RBoDlWBy9ctZ~c7qxfdRCB-G-wxMKVV9qT75-c6uQOrPkD27Q__&amp;Key-Pair-Id=APKAJ72OZCZ36VGVASIA" TargetMode="External"/><Relationship Id="rId48" Type="http://schemas.openxmlformats.org/officeDocument/2006/relationships/hyperlink" Target="https://link.springer.com/article/10.1186/s12877-022-03012-8" TargetMode="External"/><Relationship Id="rId8" Type="http://schemas.openxmlformats.org/officeDocument/2006/relationships/hyperlink" Target="https://doi.org/10.3389/fsoc.2022.957246" TargetMode="External"/><Relationship Id="rId51" Type="http://schemas.openxmlformats.org/officeDocument/2006/relationships/theme" Target="theme/theme1.xml"/><Relationship Id="rId3" Type="http://schemas.openxmlformats.org/officeDocument/2006/relationships/webSettings" Target="webSettings.xml"/><Relationship Id="rId12" Type="http://schemas.openxmlformats.org/officeDocument/2006/relationships/hyperlink" Target="https://www.proquest.com/openview/75182bac4a67c35d0797153f7fab5d11/1?pq-origsite=gscholar&amp;cbl=18750&amp;diss=y" TargetMode="External"/><Relationship Id="rId17" Type="http://schemas.openxmlformats.org/officeDocument/2006/relationships/hyperlink" Target="https://theses.ncl.ac.uk/jspui/handle/10443/6051" TargetMode="External"/><Relationship Id="rId25" Type="http://schemas.openxmlformats.org/officeDocument/2006/relationships/hyperlink" Target="https://doi.org/10.1111/hsc.13512" TargetMode="External"/><Relationship Id="rId33" Type="http://schemas.openxmlformats.org/officeDocument/2006/relationships/hyperlink" Target="https://link.springer.com/article/10.1186/s12877-023-04126-3" TargetMode="External"/><Relationship Id="rId38" Type="http://schemas.openxmlformats.org/officeDocument/2006/relationships/hyperlink" Target="https://link.springer.com/article/10.1007/s12062-024-09463-8" TargetMode="External"/><Relationship Id="rId46" Type="http://schemas.openxmlformats.org/officeDocument/2006/relationships/hyperlink" Target="https://books.google.co.ke/books?hl=en&amp;lr=&amp;id=IaYOEQAAQBAJ&amp;oi=fnd&amp;pg=PR5&amp;dq=Residential+care+is+less+uptight+with+time+based+and+fragmented+support+compared+to+domiciliary+care+&amp;ots=-x_R9qTaO4&amp;sig=o0B0k3YuoRb57fgbyWJnsz2NkDo&amp;redir_esc=y" TargetMode="External"/><Relationship Id="rId20" Type="http://schemas.openxmlformats.org/officeDocument/2006/relationships/hyperlink" Target="https://doi.org/10.1111/jan.15181" TargetMode="External"/><Relationship Id="rId41" Type="http://schemas.openxmlformats.org/officeDocument/2006/relationships/hyperlink" Target="https://doi.org/10.1111/ijsw.12559" TargetMode="External"/><Relationship Id="rId1" Type="http://schemas.openxmlformats.org/officeDocument/2006/relationships/styles" Target="styles.xml"/><Relationship Id="rId6" Type="http://schemas.openxmlformats.org/officeDocument/2006/relationships/hyperlink" Target="https://doi.org/10.1093/geroni/igac06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19</Pages>
  <Words>6907</Words>
  <Characters>39376</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Fadumo Omar</dc:creator>
  <cp:keywords/>
  <dc:description/>
  <cp:lastModifiedBy>Fadumo Omar</cp:lastModifiedBy>
  <cp:revision>3</cp:revision>
  <dcterms:created xsi:type="dcterms:W3CDTF">2026-03-03T17:21:00Z</dcterms:created>
  <dcterms:modified xsi:type="dcterms:W3CDTF">2026-03-03T17:37:00Z</dcterms:modified>
</cp:coreProperties>
</file>